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_Toc174696171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_Toc174696172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_Toc174696173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_Toc174696174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_Toc174696175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_Toc174696176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_Toc174696177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_Toc174696178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_Toc174696179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_Toc174696180 \h </w:instrText>
      </w:r>
      <w:r>
        <w:fldChar w:fldCharType="separate"/>
      </w:r>
      <w:r>
        <w:t>3</w:t>
      </w:r>
      <w:r>
        <w:fldChar w:fldCharType="end"/>
      </w:r>
    </w:p>
    <w:p>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_Toc174696181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_Toc174696182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_Toc174696186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_Toc174696187 \h </w:instrText>
      </w:r>
      <w:r>
        <w:fldChar w:fldCharType="separate"/>
      </w:r>
      <w:r>
        <w:t>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_Toc174696188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2" w:name="_Toc174696171"/>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3" w:name="_Toc17469617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4" w:name="_Toc174696173"/>
      <w:r>
        <w:rPr>
          <w:rStyle w:val="CharSectno"/>
        </w:rPr>
        <w:t>2A</w:t>
      </w:r>
      <w:r>
        <w:rPr>
          <w:snapToGrid w:val="0"/>
        </w:rPr>
        <w:t>.</w:t>
      </w:r>
      <w:r>
        <w:rPr>
          <w:snapToGrid w:val="0"/>
        </w:rPr>
        <w:tab/>
        <w:t>Term used: non-personal information</w:t>
      </w:r>
      <w:bookmarkEnd w:id="4"/>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5" w:name="_Toc174696174"/>
      <w:r>
        <w:rPr>
          <w:rStyle w:val="CharSectno"/>
        </w:rPr>
        <w:t>3</w:t>
      </w:r>
      <w:r>
        <w:rPr>
          <w:snapToGrid w:val="0"/>
        </w:rPr>
        <w:t>.</w:t>
      </w:r>
      <w:r>
        <w:rPr>
          <w:snapToGrid w:val="0"/>
        </w:rPr>
        <w:tab/>
        <w:t>General provisions relating to charges</w:t>
      </w:r>
      <w:bookmarkEnd w:id="5"/>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6" w:name="_Toc174696175"/>
      <w:r>
        <w:rPr>
          <w:rStyle w:val="CharSectno"/>
        </w:rPr>
        <w:lastRenderedPageBreak/>
        <w:t>4</w:t>
      </w:r>
      <w:r>
        <w:rPr>
          <w:snapToGrid w:val="0"/>
        </w:rPr>
        <w:t>.</w:t>
      </w:r>
      <w:r>
        <w:rPr>
          <w:snapToGrid w:val="0"/>
        </w:rPr>
        <w:tab/>
        <w:t>Application fee (section 12(1)(e))</w:t>
      </w:r>
      <w:bookmarkEnd w:id="6"/>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7" w:name="_Toc174696176"/>
      <w:r>
        <w:rPr>
          <w:rStyle w:val="CharSectno"/>
        </w:rPr>
        <w:t>5</w:t>
      </w:r>
      <w:r>
        <w:rPr>
          <w:snapToGrid w:val="0"/>
        </w:rPr>
        <w:t>.</w:t>
      </w:r>
      <w:r>
        <w:rPr>
          <w:snapToGrid w:val="0"/>
        </w:rPr>
        <w:tab/>
        <w:t>Charges (section 16(1))</w:t>
      </w:r>
      <w:bookmarkEnd w:id="7"/>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8" w:name="_Toc174696177"/>
      <w:r>
        <w:rPr>
          <w:rStyle w:val="CharSectno"/>
        </w:rPr>
        <w:t>6</w:t>
      </w:r>
      <w:r>
        <w:rPr>
          <w:snapToGrid w:val="0"/>
        </w:rPr>
        <w:t>.</w:t>
      </w:r>
      <w:r>
        <w:rPr>
          <w:snapToGrid w:val="0"/>
        </w:rPr>
        <w:tab/>
        <w:t>Advance deposits (section 18(1) and (4))</w:t>
      </w:r>
      <w:bookmarkEnd w:id="8"/>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9" w:name="_Toc174696178"/>
      <w:r>
        <w:rPr>
          <w:rStyle w:val="CharSectno"/>
        </w:rPr>
        <w:t>7</w:t>
      </w:r>
      <w:r>
        <w:rPr>
          <w:snapToGrid w:val="0"/>
        </w:rPr>
        <w:t>.</w:t>
      </w:r>
      <w:r>
        <w:rPr>
          <w:snapToGrid w:val="0"/>
        </w:rPr>
        <w:tab/>
        <w:t>Term used: suitably qualified person (section 28)</w:t>
      </w:r>
      <w:bookmarkEnd w:id="9"/>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0" w:name="_Toc174696179"/>
      <w:r>
        <w:rPr>
          <w:rStyle w:val="CharSectno"/>
        </w:rPr>
        <w:t>8</w:t>
      </w:r>
      <w:r>
        <w:rPr>
          <w:snapToGrid w:val="0"/>
        </w:rPr>
        <w:t>.</w:t>
      </w:r>
      <w:r>
        <w:rPr>
          <w:snapToGrid w:val="0"/>
        </w:rPr>
        <w:tab/>
        <w:t>Information or details to be included in complaint (section 66(1)(d))</w:t>
      </w:r>
      <w:bookmarkEnd w:id="10"/>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1" w:name="_Toc174696180"/>
      <w:r>
        <w:rPr>
          <w:rStyle w:val="CharSectno"/>
        </w:rPr>
        <w:t>9</w:t>
      </w:r>
      <w:r>
        <w:rPr>
          <w:snapToGrid w:val="0"/>
        </w:rPr>
        <w:t>.</w:t>
      </w:r>
      <w:r>
        <w:rPr>
          <w:snapToGrid w:val="0"/>
        </w:rPr>
        <w:tab/>
        <w:t>Prescribed personal details (Act Schedule 1 clause 3)</w:t>
      </w:r>
      <w:bookmarkEnd w:id="11"/>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12" w:name="_Toc174696181"/>
      <w:r>
        <w:rPr>
          <w:rStyle w:val="CharSectno"/>
        </w:rPr>
        <w:t>9A</w:t>
      </w:r>
      <w:r>
        <w:t>.</w:t>
      </w:r>
      <w:r>
        <w:tab/>
        <w:t>Principal officer of health service provider</w:t>
      </w:r>
      <w:bookmarkEnd w:id="12"/>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13" w:name="_Toc174696182"/>
      <w:r>
        <w:rPr>
          <w:rStyle w:val="CharSectno"/>
        </w:rPr>
        <w:t>10</w:t>
      </w:r>
      <w:r>
        <w:rPr>
          <w:snapToGrid w:val="0"/>
        </w:rPr>
        <w:t>.</w:t>
      </w:r>
      <w:r>
        <w:rPr>
          <w:snapToGrid w:val="0"/>
        </w:rPr>
        <w:tab/>
        <w:t>Specified bodies etc. to be regarded as part of other agencies</w:t>
      </w:r>
      <w:bookmarkEnd w:id="13"/>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 w:name="_Toc107402025"/>
      <w:bookmarkStart w:id="15" w:name="_Toc107403031"/>
      <w:bookmarkStart w:id="16" w:name="_Toc107412972"/>
      <w:bookmarkStart w:id="17" w:name="_Toc174627985"/>
      <w:bookmarkStart w:id="18" w:name="_Toc174628363"/>
      <w:bookmarkStart w:id="19" w:name="_Toc174696103"/>
      <w:bookmarkStart w:id="20" w:name="_Toc174696183"/>
      <w:r>
        <w:rPr>
          <w:rStyle w:val="CharSchNo"/>
        </w:rPr>
        <w:lastRenderedPageBreak/>
        <w:t>Schedule 1</w:t>
      </w:r>
      <w:bookmarkEnd w:id="14"/>
      <w:bookmarkEnd w:id="15"/>
      <w:bookmarkEnd w:id="16"/>
      <w:bookmarkEnd w:id="17"/>
      <w:bookmarkEnd w:id="18"/>
      <w:bookmarkEnd w:id="19"/>
      <w:bookmarkEnd w:id="20"/>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21" w:name="_Toc107402026"/>
      <w:bookmarkStart w:id="22" w:name="_Toc107403032"/>
      <w:bookmarkStart w:id="23" w:name="_Toc107412973"/>
      <w:bookmarkStart w:id="24" w:name="_Toc174627986"/>
      <w:bookmarkStart w:id="25" w:name="_Toc174628364"/>
      <w:bookmarkStart w:id="26" w:name="_Toc174696104"/>
      <w:bookmarkStart w:id="27" w:name="_Toc174696184"/>
      <w:r>
        <w:rPr>
          <w:rStyle w:val="CharSchNo"/>
        </w:rPr>
        <w:lastRenderedPageBreak/>
        <w:t>Schedule 2</w:t>
      </w:r>
      <w:r>
        <w:t> — </w:t>
      </w:r>
      <w:r>
        <w:rPr>
          <w:rStyle w:val="CharSchText"/>
        </w:rPr>
        <w:t>Offices and bodies to be regarded as part of other agencies</w:t>
      </w:r>
      <w:bookmarkEnd w:id="21"/>
      <w:bookmarkEnd w:id="22"/>
      <w:bookmarkEnd w:id="23"/>
      <w:bookmarkEnd w:id="24"/>
      <w:bookmarkEnd w:id="25"/>
      <w:bookmarkEnd w:id="26"/>
      <w:bookmarkEnd w:id="27"/>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trPr>
          <w:tblHeader/>
        </w:trPr>
        <w:tc>
          <w:tcPr>
            <w:tcW w:w="1956"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956"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Case Review Panel</w:t>
            </w:r>
          </w:p>
        </w:tc>
      </w:tr>
      <w:tr>
        <w:trPr>
          <w:cantSplit/>
        </w:trPr>
        <w:tc>
          <w:tcPr>
            <w:tcW w:w="1956" w:type="dxa"/>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cantSplit/>
        </w:trPr>
        <w:tc>
          <w:tcPr>
            <w:tcW w:w="1956" w:type="dxa"/>
            <w:vMerge/>
          </w:tcPr>
          <w:p>
            <w:pPr>
              <w:pStyle w:val="yTable"/>
            </w:pPr>
          </w:p>
        </w:tc>
        <w:tc>
          <w:tcPr>
            <w:tcW w:w="5132" w:type="dxa"/>
          </w:tcPr>
          <w:p>
            <w:pPr>
              <w:pStyle w:val="yTable"/>
              <w:ind w:left="209" w:hanging="209"/>
            </w:pPr>
            <w:r>
              <w:rPr>
                <w:sz w:val="20"/>
              </w:rPr>
              <w:t>Office for Children and Youth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cantSplit/>
        </w:trPr>
        <w:tc>
          <w:tcPr>
            <w:tcW w:w="1956" w:type="dxa"/>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Government Domain Reserve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Pastoral Lands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 Bicycle Committee (WABC)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Walking WA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cantSplit/>
        </w:trPr>
        <w:tc>
          <w:tcPr>
            <w:tcW w:w="1956" w:type="dxa"/>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Albany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Brookton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Bunbury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Chicken Meat Industry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Geraldton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Grain Licensing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Kimberley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Midland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Moora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Pilbara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Veterinary Practice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Waroona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c>
          <w:tcPr>
            <w:tcW w:w="1956" w:type="dxa"/>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cantSplit/>
        </w:trPr>
        <w:tc>
          <w:tcPr>
            <w:tcW w:w="1956" w:type="dxa"/>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cantSplit/>
        </w:trPr>
        <w:tc>
          <w:tcPr>
            <w:tcW w:w="1956" w:type="dxa"/>
            <w:vMerge/>
          </w:tcPr>
          <w:p>
            <w:pPr>
              <w:pStyle w:val="yTable"/>
            </w:pPr>
          </w:p>
        </w:tc>
        <w:tc>
          <w:tcPr>
            <w:tcW w:w="5132" w:type="dxa"/>
          </w:tcPr>
          <w:p>
            <w:pPr>
              <w:pStyle w:val="yTable"/>
              <w:ind w:left="209" w:hanging="209"/>
              <w:rPr>
                <w:sz w:val="20"/>
              </w:rPr>
            </w:pPr>
            <w:r>
              <w:rPr>
                <w:sz w:val="20"/>
              </w:rPr>
              <w:t>Art Gallery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 Gallery of Western Australia</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w:t>
            </w:r>
          </w:p>
        </w:tc>
      </w:tr>
      <w:tr>
        <w:trPr>
          <w:cantSplit/>
        </w:trPr>
        <w:tc>
          <w:tcPr>
            <w:tcW w:w="1956" w:type="dxa"/>
            <w:vMerge/>
          </w:tcPr>
          <w:p>
            <w:pPr>
              <w:pStyle w:val="yTable"/>
            </w:pPr>
          </w:p>
        </w:tc>
        <w:tc>
          <w:tcPr>
            <w:tcW w:w="5132" w:type="dxa"/>
          </w:tcPr>
          <w:p>
            <w:pPr>
              <w:pStyle w:val="yTable"/>
              <w:ind w:left="209" w:hanging="209"/>
              <w:rPr>
                <w:sz w:val="20"/>
              </w:rPr>
            </w:pPr>
            <w:r>
              <w:rPr>
                <w:sz w:val="20"/>
              </w:rPr>
              <w:t>Arts and Culture Trust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 – Designer Fashion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Arts Development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Contemporary Music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Indigenous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ArtsWA Peer Assessment Panels – Young People and the Arts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Community Cultural and Arts Facilities Fund Assessment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Library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Screen West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Office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Bells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cantSplit/>
        </w:trPr>
        <w:tc>
          <w:tcPr>
            <w:tcW w:w="1956" w:type="dxa"/>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956" w:type="dxa"/>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956" w:type="dxa"/>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cantSplit/>
        </w:trPr>
        <w:tc>
          <w:tcPr>
            <w:tcW w:w="1956" w:type="dxa"/>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cantSplit/>
        </w:trPr>
        <w:tc>
          <w:tcPr>
            <w:tcW w:w="1956" w:type="dxa"/>
            <w:vMerge/>
          </w:tcPr>
          <w:p>
            <w:pPr>
              <w:pStyle w:val="yTableNAm"/>
            </w:pPr>
          </w:p>
        </w:tc>
        <w:tc>
          <w:tcPr>
            <w:tcW w:w="5132" w:type="dxa"/>
          </w:tcPr>
          <w:p>
            <w:pPr>
              <w:pStyle w:val="yTableNAm"/>
              <w:spacing w:before="60"/>
            </w:pPr>
            <w:r>
              <w:rPr>
                <w:sz w:val="20"/>
              </w:rPr>
              <w:t>Rural and Remote Education Advisory Council</w:t>
            </w:r>
          </w:p>
        </w:tc>
      </w:tr>
      <w:tr>
        <w:trPr>
          <w:cantSplit/>
        </w:trPr>
        <w:tc>
          <w:tcPr>
            <w:tcW w:w="1956" w:type="dxa"/>
            <w:vMerge/>
          </w:tcPr>
          <w:p>
            <w:pPr>
              <w:pStyle w:val="yTableNAm"/>
            </w:pPr>
          </w:p>
        </w:tc>
        <w:tc>
          <w:tcPr>
            <w:tcW w:w="5132" w:type="dxa"/>
          </w:tcPr>
          <w:p>
            <w:pPr>
              <w:pStyle w:val="yTableNAm"/>
              <w:spacing w:before="60"/>
            </w:pPr>
            <w:r>
              <w:rPr>
                <w:sz w:val="20"/>
              </w:rPr>
              <w:t>Teacher Registration Board of Western Australia</w:t>
            </w:r>
          </w:p>
        </w:tc>
      </w:tr>
      <w:tr>
        <w:trPr>
          <w:cantSplit/>
        </w:trPr>
        <w:tc>
          <w:tcPr>
            <w:tcW w:w="1956" w:type="dxa"/>
            <w:vMerge/>
          </w:tcPr>
          <w:p>
            <w:pPr>
              <w:pStyle w:val="yTableNAm"/>
            </w:pPr>
          </w:p>
        </w:tc>
        <w:tc>
          <w:tcPr>
            <w:tcW w:w="5132" w:type="dxa"/>
          </w:tcPr>
          <w:p>
            <w:pPr>
              <w:pStyle w:val="yTableNAm"/>
              <w:spacing w:before="60"/>
              <w:rPr>
                <w:sz w:val="20"/>
              </w:rPr>
            </w:pPr>
            <w:r>
              <w:rPr>
                <w:sz w:val="20"/>
              </w:rPr>
              <w:t>Training Accreditation Council</w:t>
            </w:r>
          </w:p>
        </w:tc>
      </w:tr>
      <w:tr>
        <w:trPr>
          <w:cantSplit/>
        </w:trPr>
        <w:tc>
          <w:tcPr>
            <w:tcW w:w="1956" w:type="dxa"/>
            <w:vMerge/>
          </w:tcPr>
          <w:p>
            <w:pPr>
              <w:pStyle w:val="yTableNAm"/>
            </w:pPr>
          </w:p>
        </w:tc>
        <w:tc>
          <w:tcPr>
            <w:tcW w:w="5132" w:type="dxa"/>
          </w:tcPr>
          <w:p>
            <w:pPr>
              <w:pStyle w:val="yTableNAm"/>
              <w:spacing w:before="60"/>
            </w:pPr>
            <w:r>
              <w:rPr>
                <w:sz w:val="20"/>
              </w:rPr>
              <w:t>Western Australian Higher Education Council</w:t>
            </w:r>
          </w:p>
        </w:tc>
      </w:tr>
      <w:tr>
        <w:trPr>
          <w:cantSplit/>
        </w:trPr>
        <w:tc>
          <w:tcPr>
            <w:tcW w:w="1956" w:type="dxa"/>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cantSplit/>
        </w:trPr>
        <w:tc>
          <w:tcPr>
            <w:tcW w:w="1956" w:type="dxa"/>
            <w:vMerge w:val="restart"/>
          </w:tcPr>
          <w:p>
            <w:pPr>
              <w:pStyle w:val="yTable"/>
              <w:rPr>
                <w:sz w:val="20"/>
              </w:rPr>
            </w:pPr>
            <w:r>
              <w:rPr>
                <w:sz w:val="20"/>
              </w:rPr>
              <w:t xml:space="preserve">Department of Fisheries </w:t>
            </w:r>
          </w:p>
        </w:tc>
        <w:tc>
          <w:tcPr>
            <w:tcW w:w="5132" w:type="dxa"/>
          </w:tcPr>
          <w:p>
            <w:pPr>
              <w:pStyle w:val="yTable"/>
              <w:ind w:left="209" w:hanging="209"/>
              <w:rPr>
                <w:sz w:val="20"/>
              </w:rPr>
            </w:pPr>
            <w:r>
              <w:rPr>
                <w:sz w:val="20"/>
              </w:rPr>
              <w:t>Abrolhos Islands Management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Aquaculture Development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Pearling Industry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Recreational Fishing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Rock Lobster Industry Advisory Committee</w:t>
            </w:r>
          </w:p>
        </w:tc>
      </w:tr>
      <w:tr>
        <w:trPr>
          <w:cantSplit/>
        </w:trPr>
        <w:tc>
          <w:tcPr>
            <w:tcW w:w="1956" w:type="dxa"/>
            <w:vMerge w:val="restart"/>
          </w:tcPr>
          <w:p>
            <w:pPr>
              <w:pStyle w:val="yTable"/>
              <w:keepNext/>
              <w:keepLines/>
              <w:rPr>
                <w:sz w:val="20"/>
              </w:rPr>
            </w:pPr>
            <w:r>
              <w:rPr>
                <w:sz w:val="20"/>
              </w:rPr>
              <w:t>Department of Health</w:t>
            </w:r>
          </w:p>
        </w:tc>
        <w:tc>
          <w:tcPr>
            <w:tcW w:w="5132" w:type="dxa"/>
          </w:tcPr>
          <w:p>
            <w:pPr>
              <w:pStyle w:val="yTable"/>
              <w:keepNext/>
              <w:keepLines/>
              <w:ind w:left="209" w:hanging="209"/>
              <w:rPr>
                <w:sz w:val="20"/>
              </w:rPr>
            </w:pPr>
            <w:r>
              <w:rPr>
                <w:sz w:val="20"/>
              </w:rPr>
              <w:t>Aged Care Advisory Panel</w:t>
            </w:r>
          </w:p>
        </w:tc>
      </w:tr>
      <w:tr>
        <w:trPr>
          <w:cantSplit/>
        </w:trPr>
        <w:tc>
          <w:tcPr>
            <w:tcW w:w="1956" w:type="dxa"/>
            <w:vMerge/>
          </w:tcPr>
          <w:p>
            <w:pPr>
              <w:pStyle w:val="yTable"/>
              <w:rPr>
                <w:rFonts w:eastAsia="Arial Unicode MS"/>
              </w:rPr>
            </w:pPr>
          </w:p>
        </w:tc>
        <w:tc>
          <w:tcPr>
            <w:tcW w:w="5132" w:type="dxa"/>
          </w:tcPr>
          <w:p>
            <w:pPr>
              <w:pStyle w:val="yTable"/>
              <w:keepNext/>
              <w:keepLines/>
              <w:ind w:left="209" w:hanging="209"/>
              <w:rPr>
                <w:rFonts w:eastAsia="Arial Unicode MS"/>
              </w:rPr>
            </w:pPr>
            <w:r>
              <w:rPr>
                <w:sz w:val="20"/>
              </w:rPr>
              <w:t>Anaesthetic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Food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Maternal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Pesticides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cantSplit/>
        </w:trPr>
        <w:tc>
          <w:tcPr>
            <w:tcW w:w="1956" w:type="dxa"/>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Country Housing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Keystart Board of Directors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Housing Review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Regional Appeals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cantSplit/>
        </w:trPr>
        <w:tc>
          <w:tcPr>
            <w:tcW w:w="1956" w:type="dxa"/>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sz w:val="20"/>
              </w:rPr>
            </w:pPr>
            <w:r>
              <w:rPr>
                <w:sz w:val="20"/>
              </w:rPr>
              <w:t>Aboriginal Cultural Material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cantSplit/>
        </w:trPr>
        <w:tc>
          <w:tcPr>
            <w:tcW w:w="1956" w:type="dxa"/>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Welfare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cantSplit/>
        </w:trPr>
        <w:tc>
          <w:tcPr>
            <w:tcW w:w="1956" w:type="dxa"/>
            <w:vMerge w:val="restart"/>
          </w:tcPr>
          <w:p>
            <w:pPr>
              <w:pStyle w:val="yTable"/>
              <w:keepNext/>
              <w:rPr>
                <w:sz w:val="20"/>
              </w:rPr>
            </w:pPr>
            <w:r>
              <w:rPr>
                <w:sz w:val="20"/>
              </w:rPr>
              <w:t>Department of Local Government and Regional Development</w:t>
            </w:r>
            <w:r>
              <w:rPr>
                <w:sz w:val="20"/>
                <w:vertAlign w:val="superscript"/>
              </w:rPr>
              <w:t> 10</w:t>
            </w:r>
          </w:p>
        </w:tc>
        <w:tc>
          <w:tcPr>
            <w:tcW w:w="5132" w:type="dxa"/>
          </w:tcPr>
          <w:p>
            <w:pPr>
              <w:pStyle w:val="yTable"/>
              <w:keepNext/>
              <w:ind w:left="209" w:hanging="209"/>
              <w:rPr>
                <w:sz w:val="20"/>
              </w:rPr>
            </w:pPr>
            <w:r>
              <w:rPr>
                <w:sz w:val="20"/>
              </w:rPr>
              <w:t>Caravan Parks and Camping Grounds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Control of Vehicles (Off</w:t>
            </w:r>
            <w:r>
              <w:rPr>
                <w:sz w:val="20"/>
              </w:rPr>
              <w:noBreakHyphen/>
              <w:t>road Areas) Act Advisory Committee</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Local Government Advisory Board</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Regional Development Council</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Rural, Remote and Regional Women’s Network</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WA Local Government Grants Commission</w:t>
            </w:r>
          </w:p>
        </w:tc>
      </w:tr>
      <w:tr>
        <w:trPr>
          <w:cantSplit/>
        </w:trPr>
        <w:tc>
          <w:tcPr>
            <w:tcW w:w="1956" w:type="dxa"/>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Charitable Collections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Coal Industry Tribunal of Western Australia</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Consumer Products Safety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Electrical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Land Valuers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z w:val="20"/>
              </w:rPr>
              <w:t>Mines and Petroleum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Motor Vehicle Industry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Plumbers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Retail Shops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napToGrid w:val="0"/>
                <w:sz w:val="20"/>
              </w:rPr>
              <w:t>Work Health and Safety Commission</w:t>
            </w:r>
          </w:p>
        </w:tc>
      </w:tr>
      <w:tr>
        <w:trPr>
          <w:cantSplit/>
        </w:trPr>
        <w:tc>
          <w:tcPr>
            <w:tcW w:w="1956" w:type="dxa"/>
            <w:vMerge w:val="restart"/>
          </w:tcPr>
          <w:p>
            <w:pPr>
              <w:pStyle w:val="yTable"/>
              <w:rPr>
                <w:i/>
                <w:sz w:val="20"/>
              </w:rPr>
            </w:pPr>
            <w:r>
              <w:rPr>
                <w:sz w:val="20"/>
              </w:rPr>
              <w:t>Department of Parks and Wildlife</w:t>
            </w:r>
          </w:p>
        </w:tc>
        <w:tc>
          <w:tcPr>
            <w:tcW w:w="5132" w:type="dxa"/>
          </w:tcPr>
          <w:p>
            <w:pPr>
              <w:pStyle w:val="yTable"/>
              <w:rPr>
                <w:i/>
                <w:sz w:val="20"/>
              </w:rPr>
            </w:pPr>
            <w:r>
              <w:rPr>
                <w:sz w:val="20"/>
              </w:rPr>
              <w:t>Conservation Commission of Western Australia</w:t>
            </w:r>
          </w:p>
        </w:tc>
      </w:tr>
      <w:tr>
        <w:trPr>
          <w:cantSplit/>
        </w:trPr>
        <w:tc>
          <w:tcPr>
            <w:tcW w:w="1956" w:type="dxa"/>
            <w:vMerge/>
          </w:tcPr>
          <w:p>
            <w:pPr>
              <w:pStyle w:val="yTable"/>
            </w:pPr>
          </w:p>
        </w:tc>
        <w:tc>
          <w:tcPr>
            <w:tcW w:w="5132" w:type="dxa"/>
          </w:tcPr>
          <w:p>
            <w:pPr>
              <w:pStyle w:val="yTable"/>
              <w:rPr>
                <w:i/>
                <w:sz w:val="20"/>
              </w:rPr>
            </w:pPr>
            <w:r>
              <w:rPr>
                <w:sz w:val="20"/>
              </w:rPr>
              <w:t>Marine Parks and Reserves Authority</w:t>
            </w:r>
          </w:p>
        </w:tc>
      </w:tr>
      <w:tr>
        <w:trPr>
          <w:cantSplit/>
        </w:trPr>
        <w:tc>
          <w:tcPr>
            <w:tcW w:w="1956" w:type="dxa"/>
            <w:vMerge/>
          </w:tcPr>
          <w:p>
            <w:pPr>
              <w:pStyle w:val="yTable"/>
            </w:pPr>
          </w:p>
        </w:tc>
        <w:tc>
          <w:tcPr>
            <w:tcW w:w="5132" w:type="dxa"/>
          </w:tcPr>
          <w:p>
            <w:pPr>
              <w:pStyle w:val="yTable"/>
              <w:rPr>
                <w:i/>
                <w:sz w:val="20"/>
              </w:rPr>
            </w:pPr>
            <w:r>
              <w:rPr>
                <w:sz w:val="20"/>
              </w:rPr>
              <w:t>Marine Parks and Reserves Scientific Advisory Committee</w:t>
            </w:r>
          </w:p>
        </w:tc>
      </w:tr>
      <w:tr>
        <w:trPr>
          <w:cantSplit/>
        </w:trPr>
        <w:tc>
          <w:tcPr>
            <w:tcW w:w="1956" w:type="dxa"/>
            <w:vMerge/>
          </w:tcPr>
          <w:p>
            <w:pPr>
              <w:pStyle w:val="yTable"/>
            </w:pPr>
          </w:p>
        </w:tc>
        <w:tc>
          <w:tcPr>
            <w:tcW w:w="5132" w:type="dxa"/>
          </w:tcPr>
          <w:p>
            <w:pPr>
              <w:pStyle w:val="yTable"/>
              <w:rPr>
                <w:i/>
                <w:sz w:val="20"/>
              </w:rPr>
            </w:pPr>
            <w:r>
              <w:rPr>
                <w:sz w:val="20"/>
              </w:rPr>
              <w:t>Swan River Trust</w:t>
            </w:r>
          </w:p>
        </w:tc>
      </w:tr>
      <w:tr>
        <w:trPr>
          <w:cantSplit/>
        </w:trPr>
        <w:tc>
          <w:tcPr>
            <w:tcW w:w="1956" w:type="dxa"/>
            <w:vMerge w:val="restart"/>
          </w:tcPr>
          <w:p>
            <w:pPr>
              <w:pStyle w:val="yTable"/>
              <w:rPr>
                <w:sz w:val="20"/>
              </w:rPr>
            </w:pPr>
            <w:r>
              <w:rPr>
                <w:sz w:val="20"/>
              </w:rPr>
              <w:t>Department of Racing, Gaming and Liquor</w:t>
            </w:r>
          </w:p>
        </w:tc>
        <w:tc>
          <w:tcPr>
            <w:tcW w:w="5132" w:type="dxa"/>
          </w:tcPr>
          <w:p>
            <w:pPr>
              <w:pStyle w:val="yTable"/>
              <w:rPr>
                <w:i/>
                <w:sz w:val="20"/>
              </w:rPr>
            </w:pPr>
            <w:r>
              <w:rPr>
                <w:sz w:val="20"/>
              </w:rPr>
              <w:t>Gaming and Wagering Commission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Gaming Community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Problem Gambling Support Services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Racing Penalties Appeal Tribunal</w:t>
            </w:r>
          </w:p>
        </w:tc>
      </w:tr>
      <w:tr>
        <w:trPr>
          <w:cantSplit/>
        </w:trPr>
        <w:tc>
          <w:tcPr>
            <w:tcW w:w="1956" w:type="dxa"/>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sz w:val="20"/>
              </w:rPr>
            </w:pPr>
            <w:r>
              <w:rPr>
                <w:sz w:val="20"/>
              </w:rPr>
              <w:t>Premier’s Physical Activity Taskforce</w:t>
            </w:r>
          </w:p>
        </w:tc>
      </w:tr>
      <w:tr>
        <w:tc>
          <w:tcPr>
            <w:tcW w:w="1956" w:type="dxa"/>
            <w:vMerge w:val="restart"/>
          </w:tcPr>
          <w:p>
            <w:pPr>
              <w:pStyle w:val="yTable"/>
              <w:keepNext/>
              <w:rPr>
                <w:rFonts w:eastAsia="Arial Unicode MS"/>
              </w:rPr>
            </w:pPr>
            <w:r>
              <w:rPr>
                <w:sz w:val="20"/>
              </w:rPr>
              <w:t>Department of the Attorney General</w:t>
            </w:r>
          </w:p>
        </w:tc>
        <w:tc>
          <w:tcPr>
            <w:tcW w:w="5132" w:type="dxa"/>
          </w:tcPr>
          <w:p>
            <w:pPr>
              <w:pStyle w:val="yTable"/>
              <w:keepNext/>
              <w:ind w:left="209" w:hanging="209"/>
              <w:rPr>
                <w:rFonts w:eastAsia="Arial Unicode MS"/>
              </w:rPr>
            </w:pPr>
            <w:r>
              <w:rPr>
                <w:sz w:val="20"/>
              </w:rPr>
              <w:t>Appeals Costs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Children’s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Coroner’s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Family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Gender Reassignment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Law Reporting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Magistrates Court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Mentally Impaired Accused Review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Professional Standards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Supreme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cantSplit/>
        </w:trPr>
        <w:tc>
          <w:tcPr>
            <w:tcW w:w="1956" w:type="dxa"/>
            <w:vMerge w:val="restart"/>
          </w:tcPr>
          <w:p>
            <w:pPr>
              <w:pStyle w:val="yTable"/>
              <w:rPr>
                <w:sz w:val="20"/>
              </w:rPr>
            </w:pPr>
            <w:r>
              <w:rPr>
                <w:sz w:val="20"/>
              </w:rPr>
              <w:t>Department of the Premier and Cabinet</w:t>
            </w:r>
          </w:p>
        </w:tc>
        <w:tc>
          <w:tcPr>
            <w:tcW w:w="5132" w:type="dxa"/>
          </w:tcPr>
          <w:p>
            <w:pPr>
              <w:pStyle w:val="yTable"/>
              <w:ind w:left="209" w:hanging="209"/>
              <w:rPr>
                <w:sz w:val="20"/>
              </w:rPr>
            </w:pPr>
            <w:r>
              <w:rPr>
                <w:sz w:val="20"/>
              </w:rPr>
              <w:t>Completed Royal Commissions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 of Western Australia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cantSplit/>
        </w:trPr>
        <w:tc>
          <w:tcPr>
            <w:tcW w:w="1956" w:type="dxa"/>
            <w:vMerge/>
          </w:tcPr>
          <w:p>
            <w:pPr>
              <w:pStyle w:val="yTable"/>
            </w:pPr>
          </w:p>
        </w:tc>
        <w:tc>
          <w:tcPr>
            <w:tcW w:w="5132" w:type="dxa"/>
          </w:tcPr>
          <w:p>
            <w:pPr>
              <w:pStyle w:val="yTable"/>
              <w:ind w:left="209" w:hanging="209"/>
              <w:rPr>
                <w:sz w:val="20"/>
              </w:rPr>
            </w:pPr>
            <w:r>
              <w:rPr>
                <w:sz w:val="20"/>
              </w:rPr>
              <w:t>Infrastructure WA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Road Safety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the Premier</w:t>
            </w:r>
          </w:p>
        </w:tc>
      </w:tr>
      <w:tr>
        <w:trPr>
          <w:cantSplit/>
        </w:trPr>
        <w:tc>
          <w:tcPr>
            <w:tcW w:w="1956" w:type="dxa"/>
            <w:vMerge w:val="restart"/>
          </w:tcPr>
          <w:p>
            <w:pPr>
              <w:pStyle w:val="yTableNAm"/>
              <w:spacing w:before="60"/>
            </w:pPr>
            <w:r>
              <w:rPr>
                <w:sz w:val="20"/>
              </w:rPr>
              <w:t>Department of Training and Workforce Development</w:t>
            </w:r>
          </w:p>
        </w:tc>
        <w:tc>
          <w:tcPr>
            <w:tcW w:w="5132" w:type="dxa"/>
          </w:tcPr>
          <w:p>
            <w:pPr>
              <w:pStyle w:val="yTableNAm"/>
              <w:spacing w:before="60"/>
              <w:rPr>
                <w:rFonts w:eastAsia="Arial Unicode MS"/>
              </w:rPr>
            </w:pPr>
            <w:r>
              <w:rPr>
                <w:sz w:val="20"/>
              </w:rPr>
              <w:t>Division of Industrial Training</w:t>
            </w:r>
          </w:p>
        </w:tc>
      </w:tr>
      <w:tr>
        <w:trPr>
          <w:cantSplit/>
        </w:trPr>
        <w:tc>
          <w:tcPr>
            <w:tcW w:w="1956" w:type="dxa"/>
            <w:vMerge/>
          </w:tcPr>
          <w:p>
            <w:pPr>
              <w:pStyle w:val="yTableNAm"/>
            </w:pPr>
          </w:p>
        </w:tc>
        <w:tc>
          <w:tcPr>
            <w:tcW w:w="5132" w:type="dxa"/>
          </w:tcPr>
          <w:p>
            <w:pPr>
              <w:pStyle w:val="yTableNAm"/>
              <w:spacing w:before="60"/>
              <w:rPr>
                <w:rFonts w:eastAsia="Arial Unicode MS"/>
              </w:rPr>
            </w:pPr>
            <w:r>
              <w:rPr>
                <w:sz w:val="20"/>
              </w:rPr>
              <w:t>State Training Board</w:t>
            </w:r>
          </w:p>
        </w:tc>
      </w:tr>
      <w:tr>
        <w:trPr>
          <w:cantSplit/>
        </w:trPr>
        <w:tc>
          <w:tcPr>
            <w:tcW w:w="1956" w:type="dxa"/>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
              <w:ind w:left="209" w:hanging="209"/>
              <w:rPr>
                <w:sz w:val="20"/>
              </w:rPr>
            </w:pPr>
            <w:r>
              <w:rPr>
                <w:sz w:val="20"/>
              </w:rPr>
              <w:t>Anzac Day Trust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Office of Shared Services</w:t>
            </w:r>
          </w:p>
        </w:tc>
      </w:tr>
      <w:tr>
        <w:trPr>
          <w:cantSplit/>
        </w:trPr>
        <w:tc>
          <w:tcPr>
            <w:tcW w:w="1956" w:type="dxa"/>
            <w:vMerge w:val="restart"/>
          </w:tcPr>
          <w:p>
            <w:pPr>
              <w:pStyle w:val="yTable"/>
              <w:rPr>
                <w:sz w:val="20"/>
              </w:rPr>
            </w:pPr>
            <w:r>
              <w:rPr>
                <w:sz w:val="20"/>
              </w:rPr>
              <w:t>Department of Water</w:t>
            </w:r>
          </w:p>
        </w:tc>
        <w:tc>
          <w:tcPr>
            <w:tcW w:w="5132" w:type="dxa"/>
          </w:tcPr>
          <w:p>
            <w:pPr>
              <w:pStyle w:val="yTable"/>
              <w:ind w:left="209" w:hanging="209"/>
              <w:rPr>
                <w:sz w:val="20"/>
              </w:rPr>
            </w:pPr>
            <w:r>
              <w:rPr>
                <w:sz w:val="20"/>
              </w:rPr>
              <w:t>Avon Waterways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Groundwater Advisory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Canning – Wungong – Southern River Irrigation Advisory Committee</w:t>
            </w:r>
          </w:p>
        </w:tc>
      </w:tr>
      <w:tr>
        <w:trPr>
          <w:cantSplit/>
        </w:trPr>
        <w:tc>
          <w:tcPr>
            <w:tcW w:w="1956" w:type="dxa"/>
            <w:vMerge/>
          </w:tcPr>
          <w:p>
            <w:pPr>
              <w:pStyle w:val="yTable"/>
            </w:pPr>
          </w:p>
        </w:tc>
        <w:tc>
          <w:tcPr>
            <w:tcW w:w="5132" w:type="dxa"/>
          </w:tcPr>
          <w:p>
            <w:pPr>
              <w:pStyle w:val="yTable"/>
              <w:keepNext/>
              <w:keepLines/>
              <w:ind w:left="209" w:hanging="209"/>
              <w:rPr>
                <w:rFonts w:eastAsia="Arial Unicode MS"/>
              </w:rPr>
            </w:pPr>
            <w:r>
              <w:rPr>
                <w:sz w:val="20"/>
              </w:rPr>
              <w:t>Carnarvon Water Allocation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Cockburn Sound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Salinity Catchment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Engineering Evaluation Initiative Steering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Consultative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Operations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Gnangara Coordinating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Leschenault Catchment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Peel Inlet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Premier’s Water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Water Forum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trHeight w:val="172"/>
        </w:trPr>
        <w:tc>
          <w:tcPr>
            <w:tcW w:w="1956" w:type="dxa"/>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sz w:val="20"/>
              </w:rPr>
            </w:pPr>
            <w:r>
              <w:rPr>
                <w:sz w:val="20"/>
              </w:rPr>
              <w:t xml:space="preserve">Advisory Council for Disability Services </w:t>
            </w:r>
          </w:p>
        </w:tc>
      </w:tr>
      <w:tr>
        <w:tc>
          <w:tcPr>
            <w:tcW w:w="1956" w:type="dxa"/>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956" w:type="dxa"/>
          </w:tcPr>
          <w:p>
            <w:pPr>
              <w:pStyle w:val="yTable"/>
              <w:keepNext/>
              <w:keepLines/>
              <w:rPr>
                <w:i/>
                <w:sz w:val="20"/>
              </w:rPr>
            </w:pPr>
            <w:r>
              <w:rPr>
                <w:sz w:val="20"/>
              </w:rPr>
              <w:t>Office of the Environmental Protection Authority</w:t>
            </w:r>
          </w:p>
        </w:tc>
        <w:tc>
          <w:tcPr>
            <w:tcW w:w="5132"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956" w:type="dxa"/>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sz w:val="20"/>
              </w:rPr>
            </w:pPr>
            <w:r>
              <w:rPr>
                <w:sz w:val="20"/>
              </w:rPr>
              <w:t>Aboriginal and Remote Communities Power Supply Steering Committee</w:t>
            </w:r>
          </w:p>
        </w:tc>
      </w:tr>
      <w:tr>
        <w:trPr>
          <w:cantSplit/>
        </w:trPr>
        <w:tc>
          <w:tcPr>
            <w:tcW w:w="1956" w:type="dxa"/>
            <w:vMerge/>
          </w:tcPr>
          <w:p>
            <w:pPr>
              <w:pStyle w:val="yTable"/>
              <w:rPr>
                <w:rFonts w:eastAsia="Arial Unicode MS"/>
                <w:sz w:val="20"/>
              </w:rPr>
            </w:pPr>
          </w:p>
        </w:tc>
        <w:tc>
          <w:tcPr>
            <w:tcW w:w="5132"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Ministerial Advisory Committee on Electricity Supply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c>
          <w:tcPr>
            <w:tcW w:w="1956" w:type="dxa"/>
          </w:tcPr>
          <w:p>
            <w:pPr>
              <w:pStyle w:val="yTable"/>
              <w:rPr>
                <w:rFonts w:eastAsia="Arial Unicode MS"/>
                <w:sz w:val="20"/>
              </w:rPr>
            </w:pPr>
            <w:r>
              <w:rPr>
                <w:sz w:val="20"/>
              </w:rPr>
              <w:t>Public Transport Authority of Western Australia</w:t>
            </w:r>
          </w:p>
        </w:tc>
        <w:tc>
          <w:tcPr>
            <w:tcW w:w="5132" w:type="dxa"/>
          </w:tcPr>
          <w:p>
            <w:pPr>
              <w:pStyle w:val="yTable"/>
              <w:keepNext/>
              <w:ind w:left="209" w:hanging="209"/>
              <w:rPr>
                <w:rFonts w:eastAsia="Arial Unicode MS"/>
                <w:sz w:val="20"/>
              </w:rPr>
            </w:pPr>
            <w:r>
              <w:rPr>
                <w:sz w:val="20"/>
              </w:rPr>
              <w:t xml:space="preserve">Railway Appeal Board </w:t>
            </w:r>
          </w:p>
        </w:tc>
      </w:tr>
      <w:tr>
        <w:tc>
          <w:tcPr>
            <w:tcW w:w="1956" w:type="dxa"/>
            <w:vMerge w:val="restart"/>
          </w:tcPr>
          <w:p>
            <w:pPr>
              <w:pStyle w:val="yTable"/>
              <w:keepNext/>
              <w:keepLines/>
              <w:rPr>
                <w:sz w:val="20"/>
              </w:rPr>
            </w:pPr>
            <w:r>
              <w:rPr>
                <w:sz w:val="20"/>
              </w:rPr>
              <w:t>Western Australian Industrial Relations Commission</w:t>
            </w:r>
          </w:p>
        </w:tc>
        <w:tc>
          <w:tcPr>
            <w:tcW w:w="5132"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Industrial Magistrates Court</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Appeal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Arbitrator</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Railways Classification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WA Industrial Appeal Court</w:t>
            </w:r>
          </w:p>
        </w:tc>
      </w:tr>
      <w:tr>
        <w:trPr>
          <w:cantSplit/>
        </w:trPr>
        <w:tc>
          <w:tcPr>
            <w:tcW w:w="1956" w:type="dxa"/>
            <w:vMerge/>
          </w:tcPr>
          <w:p>
            <w:pPr>
              <w:pStyle w:val="yTable"/>
            </w:pPr>
          </w:p>
        </w:tc>
        <w:tc>
          <w:tcPr>
            <w:tcW w:w="5132" w:type="dxa"/>
          </w:tcPr>
          <w:p>
            <w:pPr>
              <w:pStyle w:val="yTable"/>
              <w:ind w:left="209" w:hanging="209"/>
              <w:rPr>
                <w:sz w:val="20"/>
              </w:rPr>
            </w:pPr>
            <w:r>
              <w:rPr>
                <w:sz w:val="20"/>
              </w:rPr>
              <w:t>Work Health and Safety Tribunal</w:t>
            </w:r>
          </w:p>
        </w:tc>
      </w:tr>
      <w:tr>
        <w:trPr>
          <w:cantSplit/>
        </w:trPr>
        <w:tc>
          <w:tcPr>
            <w:tcW w:w="1956" w:type="dxa"/>
            <w:vMerge w:val="restart"/>
          </w:tcPr>
          <w:p>
            <w:pPr>
              <w:pStyle w:val="yTable"/>
              <w:rPr>
                <w:sz w:val="20"/>
              </w:rPr>
            </w:pPr>
            <w:r>
              <w:rPr>
                <w:sz w:val="20"/>
              </w:rPr>
              <w:t>Western Australia Police</w:t>
            </w:r>
          </w:p>
        </w:tc>
        <w:tc>
          <w:tcPr>
            <w:tcW w:w="5132" w:type="dxa"/>
          </w:tcPr>
          <w:p>
            <w:pPr>
              <w:pStyle w:val="yTable"/>
              <w:ind w:left="209" w:hanging="209"/>
              <w:rPr>
                <w:sz w:val="20"/>
              </w:rPr>
            </w:pPr>
            <w:r>
              <w:rPr>
                <w:sz w:val="20"/>
              </w:rPr>
              <w:t>Community Safety and Crime Prevention Council</w:t>
            </w:r>
          </w:p>
        </w:tc>
      </w:tr>
      <w:tr>
        <w:trPr>
          <w:cantSplit/>
        </w:trPr>
        <w:tc>
          <w:tcPr>
            <w:tcW w:w="1956" w:type="dxa"/>
            <w:vMerge/>
          </w:tcPr>
          <w:p>
            <w:pPr>
              <w:pStyle w:val="yTable"/>
              <w:rPr>
                <w:sz w:val="20"/>
              </w:rPr>
            </w:pPr>
          </w:p>
        </w:tc>
        <w:tc>
          <w:tcPr>
            <w:tcW w:w="5132" w:type="dxa"/>
          </w:tcPr>
          <w:p>
            <w:pPr>
              <w:pStyle w:val="yTable"/>
              <w:ind w:left="209" w:hanging="209"/>
              <w:rPr>
                <w:rFonts w:eastAsia="Arial Unicode MS"/>
                <w:sz w:val="20"/>
              </w:rPr>
            </w:pPr>
            <w:r>
              <w:rPr>
                <w:sz w:val="20"/>
              </w:rPr>
              <w:t>Police Appeal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Western Australian Police Historical Society</w:t>
            </w:r>
          </w:p>
        </w:tc>
      </w:tr>
      <w:tr>
        <w:trPr>
          <w:cantSplit/>
        </w:trPr>
        <w:tc>
          <w:tcPr>
            <w:tcW w:w="1956" w:type="dxa"/>
            <w:vMerge w:val="restart"/>
          </w:tcPr>
          <w:p>
            <w:pPr>
              <w:pStyle w:val="yTable"/>
              <w:rPr>
                <w:sz w:val="20"/>
              </w:rPr>
            </w:pPr>
            <w:r>
              <w:rPr>
                <w:sz w:val="20"/>
              </w:rPr>
              <w:t>Western Australian Land Information Authority (Landgate)</w:t>
            </w:r>
          </w:p>
        </w:tc>
        <w:tc>
          <w:tcPr>
            <w:tcW w:w="5132" w:type="dxa"/>
          </w:tcPr>
          <w:p>
            <w:pPr>
              <w:pStyle w:val="yTable"/>
              <w:ind w:left="209" w:hanging="209"/>
              <w:rPr>
                <w:rFonts w:eastAsia="Arial Unicode MS"/>
                <w:sz w:val="20"/>
              </w:rPr>
            </w:pPr>
            <w:r>
              <w:rPr>
                <w:rFonts w:eastAsia="Arial Unicode MS"/>
                <w:sz w:val="20"/>
              </w:rPr>
              <w:t>Geographic Names Committee</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Pastoral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Valuer General’s Office</w:t>
            </w:r>
          </w:p>
        </w:tc>
      </w:tr>
      <w:tr>
        <w:tc>
          <w:tcPr>
            <w:tcW w:w="1956" w:type="dxa"/>
          </w:tcPr>
          <w:p>
            <w:pPr>
              <w:pStyle w:val="yTable"/>
              <w:rPr>
                <w:rFonts w:eastAsia="Arial Unicode MS"/>
                <w:sz w:val="20"/>
              </w:rPr>
            </w:pPr>
            <w:r>
              <w:rPr>
                <w:sz w:val="20"/>
              </w:rPr>
              <w:t>WorkCover Western Australia Authority (Workcover WA)</w:t>
            </w:r>
          </w:p>
        </w:tc>
        <w:tc>
          <w:tcPr>
            <w:tcW w:w="5132"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 SL 2022/5 r. 4; SL 2022/27 r. 6; SL 2022/97 r. 4.]</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9" w:name="_Toc107402027"/>
      <w:bookmarkStart w:id="30" w:name="_Toc107403033"/>
      <w:bookmarkStart w:id="31" w:name="_Toc107412974"/>
      <w:bookmarkStart w:id="32" w:name="_Toc174627987"/>
      <w:bookmarkStart w:id="33" w:name="_Toc174628365"/>
      <w:bookmarkStart w:id="34" w:name="_Toc174696105"/>
      <w:bookmarkStart w:id="35" w:name="_Toc174696185"/>
      <w:r>
        <w:lastRenderedPageBreak/>
        <w:t>Notes</w:t>
      </w:r>
      <w:bookmarkEnd w:id="29"/>
      <w:bookmarkEnd w:id="30"/>
      <w:bookmarkEnd w:id="31"/>
      <w:bookmarkEnd w:id="32"/>
      <w:bookmarkEnd w:id="33"/>
      <w:bookmarkEnd w:id="34"/>
      <w:bookmarkEnd w:id="35"/>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 w:name="_Toc174696186"/>
      <w:r>
        <w:t>Compilation table</w:t>
      </w:r>
      <w:bookmarkEnd w:id="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37" w:name="RuleErr_8"/>
            <w:r>
              <w:rPr>
                <w:i/>
              </w:rPr>
              <w:lastRenderedPageBreak/>
              <w:t>Freedom of Information Amendment Regulations 2013</w:t>
            </w:r>
            <w:bookmarkEnd w:id="37"/>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rPr>
          <w:cantSplit/>
        </w:trPr>
        <w:tc>
          <w:tcPr>
            <w:tcW w:w="3118" w:type="dxa"/>
            <w:tcBorders>
              <w:top w:val="nil"/>
              <w:bottom w:val="nil"/>
            </w:tcBorders>
          </w:tcPr>
          <w:p>
            <w:pPr>
              <w:pStyle w:val="nTable"/>
              <w:spacing w:after="40"/>
              <w:rPr>
                <w:i/>
              </w:rPr>
            </w:pPr>
            <w:r>
              <w:rPr>
                <w:i/>
              </w:rPr>
              <w:t>Freedom of Information Amendment Regulations 2022</w:t>
            </w:r>
          </w:p>
        </w:tc>
        <w:tc>
          <w:tcPr>
            <w:tcW w:w="1276" w:type="dxa"/>
            <w:tcBorders>
              <w:top w:val="nil"/>
              <w:bottom w:val="nil"/>
            </w:tcBorders>
          </w:tcPr>
          <w:p>
            <w:pPr>
              <w:pStyle w:val="nTable"/>
              <w:keepNext/>
              <w:spacing w:after="40"/>
            </w:pPr>
            <w:r>
              <w:t>SL 2022/5 18 Jan 2022</w:t>
            </w:r>
          </w:p>
        </w:tc>
        <w:tc>
          <w:tcPr>
            <w:tcW w:w="2693" w:type="dxa"/>
            <w:tcBorders>
              <w:top w:val="nil"/>
              <w:bottom w:val="nil"/>
            </w:tcBorders>
          </w:tcPr>
          <w:p>
            <w:pPr>
              <w:pStyle w:val="nTable"/>
              <w:keepNext/>
              <w:spacing w:after="40"/>
            </w:pPr>
            <w:r>
              <w:rPr>
                <w:snapToGrid w:val="0"/>
              </w:rPr>
              <w:t>r. 1 and 2: 18 Jan 2022 (see r. 2(a));</w:t>
            </w:r>
            <w:r>
              <w:rPr>
                <w:snapToGrid w:val="0"/>
              </w:rPr>
              <w:br/>
              <w:t xml:space="preserve">Regulations other than r. 1 and 2: </w:t>
            </w:r>
            <w:r>
              <w:t>1 Jul 2022 (see r. 2(b) and SL 2022/77 cl. 2)</w:t>
            </w:r>
          </w:p>
        </w:tc>
      </w:tr>
      <w:tr>
        <w:trPr>
          <w:cantSplit/>
        </w:trPr>
        <w:tc>
          <w:tcPr>
            <w:tcW w:w="3118" w:type="dxa"/>
            <w:tcBorders>
              <w:top w:val="nil"/>
              <w:bottom w:val="nil"/>
            </w:tcBorders>
          </w:tcPr>
          <w:p>
            <w:pPr>
              <w:pStyle w:val="nTable"/>
              <w:spacing w:after="40"/>
              <w:rPr>
                <w:i/>
              </w:rPr>
            </w:pPr>
            <w:r>
              <w:rPr>
                <w:i/>
              </w:rPr>
              <w:t>Attorney General Regulations Amendment (Work Health and Safety) Regulations 2022</w:t>
            </w:r>
            <w:r>
              <w:t xml:space="preserve"> Pt. 3</w:t>
            </w:r>
          </w:p>
        </w:tc>
        <w:tc>
          <w:tcPr>
            <w:tcW w:w="1276" w:type="dxa"/>
            <w:tcBorders>
              <w:top w:val="nil"/>
              <w:bottom w:val="nil"/>
            </w:tcBorders>
          </w:tcPr>
          <w:p>
            <w:pPr>
              <w:pStyle w:val="nTable"/>
              <w:keepNext/>
              <w:spacing w:after="40"/>
            </w:pPr>
            <w:r>
              <w:t>SL 2022/27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single" w:sz="4" w:space="0" w:color="auto"/>
            </w:tcBorders>
          </w:tcPr>
          <w:p>
            <w:pPr>
              <w:pStyle w:val="nTable"/>
              <w:spacing w:after="40"/>
              <w:rPr>
                <w:i/>
              </w:rPr>
            </w:pPr>
            <w:r>
              <w:rPr>
                <w:i/>
              </w:rPr>
              <w:t>Attorney General Regulations Amendment (Veterinary Practice) Regulations 2022</w:t>
            </w:r>
            <w:r>
              <w:t xml:space="preserve"> Pt. 2</w:t>
            </w:r>
          </w:p>
        </w:tc>
        <w:tc>
          <w:tcPr>
            <w:tcW w:w="1276" w:type="dxa"/>
            <w:tcBorders>
              <w:top w:val="nil"/>
              <w:bottom w:val="single" w:sz="4" w:space="0" w:color="auto"/>
            </w:tcBorders>
          </w:tcPr>
          <w:p>
            <w:pPr>
              <w:pStyle w:val="nTable"/>
              <w:keepNext/>
              <w:spacing w:after="40"/>
            </w:pPr>
            <w:r>
              <w:t>SL 2022/97 17 Jun 2022</w:t>
            </w:r>
          </w:p>
        </w:tc>
        <w:tc>
          <w:tcPr>
            <w:tcW w:w="2693" w:type="dxa"/>
            <w:tcBorders>
              <w:top w:val="nil"/>
              <w:bottom w:val="single" w:sz="4" w:space="0" w:color="auto"/>
            </w:tcBorders>
          </w:tcPr>
          <w:p>
            <w:pPr>
              <w:pStyle w:val="nTable"/>
              <w:keepNext/>
              <w:spacing w:after="40"/>
            </w:pPr>
            <w:r>
              <w:rPr>
                <w:bCs/>
                <w:snapToGrid w:val="0"/>
              </w:rPr>
              <w:t>18 Jun 2022 (see r. 2(b) and SL 2022/81 cl. 2)</w:t>
            </w:r>
          </w:p>
        </w:tc>
      </w:tr>
    </w:tbl>
    <w:p>
      <w:pPr>
        <w:pStyle w:val="nHeading3"/>
      </w:pPr>
      <w:bookmarkStart w:id="38" w:name="_Toc174696187"/>
      <w:r>
        <w:lastRenderedPageBreak/>
        <w:t>Uncommenced provisions table</w:t>
      </w:r>
      <w:bookmarkEnd w:id="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Attorney General Regulations Amendment (Criminal Law Mental Impairment) Regulations 2024 </w:t>
            </w:r>
            <w:r>
              <w:rPr>
                <w:iCs/>
              </w:rPr>
              <w:t>Pt. 2</w:t>
            </w:r>
          </w:p>
        </w:tc>
        <w:tc>
          <w:tcPr>
            <w:tcW w:w="1276" w:type="dxa"/>
          </w:tcPr>
          <w:p>
            <w:pPr>
              <w:pStyle w:val="nTable"/>
              <w:spacing w:after="40"/>
            </w:pPr>
            <w:r>
              <w:t>SL 2024/173 21 Aug 2024</w:t>
            </w:r>
          </w:p>
        </w:tc>
        <w:tc>
          <w:tcPr>
            <w:tcW w:w="2693" w:type="dxa"/>
          </w:tcPr>
          <w:p>
            <w:pPr>
              <w:pStyle w:val="nTable"/>
              <w:spacing w:after="40"/>
            </w:pPr>
            <w:r>
              <w:t>1 Sep 2024 (see r. 2(b))</w:t>
            </w:r>
          </w:p>
        </w:tc>
      </w:tr>
    </w:tbl>
    <w:p>
      <w:pPr>
        <w:pStyle w:val="nHeading3"/>
      </w:pPr>
      <w:bookmarkStart w:id="39" w:name="_Toc174696188"/>
      <w:r>
        <w:t>Other notes</w:t>
      </w:r>
      <w:bookmarkEnd w:id="39"/>
    </w:p>
    <w:p>
      <w:pPr>
        <w:pStyle w:val="nNote"/>
        <w:keepNext/>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Footnote no longer applicable.</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lastRenderedPageBreak/>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1" w:name="_Toc107402030"/>
      <w:bookmarkStart w:id="42" w:name="_Toc107403036"/>
      <w:bookmarkStart w:id="43" w:name="_Toc107412977"/>
      <w:bookmarkStart w:id="44" w:name="_Toc174627990"/>
      <w:bookmarkStart w:id="45" w:name="_Toc174628369"/>
      <w:bookmarkStart w:id="46" w:name="_Toc174696109"/>
      <w:bookmarkStart w:id="47" w:name="_Toc174696189"/>
      <w:r>
        <w:rPr>
          <w:sz w:val="28"/>
        </w:rPr>
        <w:lastRenderedPageBreak/>
        <w:t>Defined terms</w:t>
      </w:r>
      <w:bookmarkEnd w:id="41"/>
      <w:bookmarkEnd w:id="42"/>
      <w:bookmarkEnd w:id="43"/>
      <w:bookmarkEnd w:id="44"/>
      <w:bookmarkEnd w:id="45"/>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
      <w:pPr>
        <w:sectPr>
          <w:headerReference w:type="even" r:id="rId30"/>
          <w:headerReference w:type="default" r:id="rId31"/>
          <w:pgSz w:w="11907" w:h="16840" w:code="9"/>
          <w:pgMar w:top="2381" w:right="2409" w:bottom="3543" w:left="2409" w:header="720" w:footer="3543"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32941"/>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 w:name="WAFER_20220614145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26_GUID" w:val="15b63b92-0e14-4fe5-9992-2e564206b092"/>
    <w:docVar w:name="WAFER_2022062913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32941_GUID" w:val="da0f8b19-3edc-4f57-97f7-933550d21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A23D0-8E75-4D2B-94EA-A73A8ACF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4715</Words>
  <Characters>27725</Characters>
  <Application>Microsoft Office Word</Application>
  <DocSecurity>0</DocSecurity>
  <Lines>1260</Lines>
  <Paragraphs>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1993 - 02-m0-00</dc:title>
  <dc:subject/>
  <dc:creator/>
  <cp:keywords/>
  <dc:description/>
  <cp:lastModifiedBy>Master Repository Process</cp:lastModifiedBy>
  <cp:revision>4</cp:revision>
  <cp:lastPrinted>2021-07-27T01:34:00Z</cp:lastPrinted>
  <dcterms:created xsi:type="dcterms:W3CDTF">2025-06-26T01:37:00Z</dcterms:created>
  <dcterms:modified xsi:type="dcterms:W3CDTF">2025-06-26T01:37:00Z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21 Aug 2024</vt:lpwstr>
  </property>
  <property fmtid="{D5CDD505-2E9C-101B-9397-08002B2CF9AE}" pid="8" name="Suffix">
    <vt:lpwstr>02-m0-00</vt:lpwstr>
  </property>
  <property fmtid="{D5CDD505-2E9C-101B-9397-08002B2CF9AE}" pid="9" name="Official">
    <vt:lpwstr/>
  </property>
  <property fmtid="{D5CDD505-2E9C-101B-9397-08002B2CF9AE}" pid="10" name="CommencementDate">
    <vt:lpwstr>20240821</vt:lpwstr>
  </property>
  <property fmtid="{D5CDD505-2E9C-101B-9397-08002B2CF9AE}" pid="11" name="CommencementAsAt">
    <vt:filetime>2024-08-20T16:00:00Z</vt:filetime>
  </property>
  <property fmtid="{D5CDD505-2E9C-101B-9397-08002B2CF9AE}" pid="12" name="CommencementYear">
    <vt:lpwstr>2024</vt:lpwstr>
  </property>
</Properties>
</file>