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Surveillance Devices Act 1998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Surveillance Devices Regulations 1999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Surveillance Devices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_Toc174625799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_Toc174625800 \h </w:instrText>
      </w:r>
      <w:r>
        <w:fldChar w:fldCharType="separate"/>
      </w:r>
      <w:r>
        <w:t>1</w:t>
      </w:r>
      <w:r>
        <w:fldChar w:fldCharType="end"/>
      </w:r>
    </w:p>
    <w:p>
      <w:pPr>
        <w:pStyle w:val="TOC8"/>
        <w:rPr>
          <w:rFonts w:asciiTheme="minorHAnsi" w:eastAsiaTheme="minorEastAsia" w:hAnsiTheme="minorHAnsi" w:cstheme="minorBidi"/>
          <w:szCs w:val="22"/>
        </w:rPr>
      </w:pPr>
      <w:r>
        <w:t>3.</w:t>
      </w:r>
      <w:r>
        <w:tab/>
        <w:t>Forms</w:t>
      </w:r>
      <w:r>
        <w:tab/>
      </w:r>
      <w:r>
        <w:fldChar w:fldCharType="begin"/>
      </w:r>
      <w:r>
        <w:instrText xml:space="preserve"> PAGEREF _Toc174625801 \h </w:instrText>
      </w:r>
      <w:r>
        <w:fldChar w:fldCharType="separate"/>
      </w:r>
      <w:r>
        <w:t>1</w:t>
      </w:r>
      <w:r>
        <w:fldChar w:fldCharType="end"/>
      </w:r>
    </w:p>
    <w:p>
      <w:pPr>
        <w:pStyle w:val="TOC8"/>
        <w:rPr>
          <w:rFonts w:asciiTheme="minorHAnsi" w:eastAsiaTheme="minorEastAsia" w:hAnsiTheme="minorHAnsi" w:cstheme="minorBidi"/>
          <w:szCs w:val="22"/>
        </w:rPr>
      </w:pPr>
      <w:r>
        <w:t>4.</w:t>
      </w:r>
      <w:r>
        <w:tab/>
        <w:t>Law enforcement officers, classes prescribed</w:t>
      </w:r>
      <w:r>
        <w:tab/>
      </w:r>
      <w:r>
        <w:fldChar w:fldCharType="begin"/>
      </w:r>
      <w:r>
        <w:instrText xml:space="preserve"> PAGEREF _Toc174625802 \h </w:instrText>
      </w:r>
      <w:r>
        <w:fldChar w:fldCharType="separate"/>
      </w:r>
      <w:r>
        <w:t>2</w:t>
      </w:r>
      <w:r>
        <w:fldChar w:fldCharType="end"/>
      </w:r>
    </w:p>
    <w:p>
      <w:pPr>
        <w:pStyle w:val="TOC8"/>
        <w:rPr>
          <w:rFonts w:asciiTheme="minorHAnsi" w:eastAsiaTheme="minorEastAsia" w:hAnsiTheme="minorHAnsi" w:cstheme="minorBidi"/>
          <w:szCs w:val="22"/>
        </w:rPr>
      </w:pPr>
      <w:r>
        <w:t>5.</w:t>
      </w:r>
      <w:r>
        <w:tab/>
        <w:t>Commonwealth agencies, instrumentalities and bodies</w:t>
      </w:r>
      <w:r>
        <w:tab/>
      </w:r>
      <w:r>
        <w:fldChar w:fldCharType="begin"/>
      </w:r>
      <w:r>
        <w:instrText xml:space="preserve"> PAGEREF _Toc174625803 \h </w:instrText>
      </w:r>
      <w:r>
        <w:fldChar w:fldCharType="separate"/>
      </w:r>
      <w:r>
        <w:t>2</w:t>
      </w:r>
      <w:r>
        <w:fldChar w:fldCharType="end"/>
      </w:r>
    </w:p>
    <w:p>
      <w:pPr>
        <w:pStyle w:val="TOC8"/>
        <w:rPr>
          <w:rFonts w:asciiTheme="minorHAnsi" w:eastAsiaTheme="minorEastAsia" w:hAnsiTheme="minorHAnsi" w:cstheme="minorBidi"/>
          <w:szCs w:val="22"/>
        </w:rPr>
      </w:pPr>
      <w:r>
        <w:t>6.</w:t>
      </w:r>
      <w:r>
        <w:tab/>
        <w:t>Use of tracking devices without warrant</w:t>
      </w:r>
      <w:r>
        <w:tab/>
      </w:r>
      <w:r>
        <w:fldChar w:fldCharType="begin"/>
      </w:r>
      <w:r>
        <w:instrText xml:space="preserve"> PAGEREF _Toc174625804 \h </w:instrText>
      </w:r>
      <w:r>
        <w:fldChar w:fldCharType="separate"/>
      </w:r>
      <w:r>
        <w:t>3</w:t>
      </w:r>
      <w:r>
        <w:fldChar w:fldCharType="end"/>
      </w:r>
    </w:p>
    <w:p>
      <w:pPr>
        <w:pStyle w:val="TOC8"/>
        <w:rPr>
          <w:rFonts w:asciiTheme="minorHAnsi" w:eastAsiaTheme="minorEastAsia" w:hAnsiTheme="minorHAnsi" w:cstheme="minorBidi"/>
          <w:szCs w:val="22"/>
        </w:rPr>
      </w:pPr>
      <w:r>
        <w:t>7.</w:t>
      </w:r>
      <w:r>
        <w:tab/>
        <w:t>Storage and destruction of Part 5 records</w:t>
      </w:r>
      <w:r>
        <w:tab/>
      </w:r>
      <w:r>
        <w:fldChar w:fldCharType="begin"/>
      </w:r>
      <w:r>
        <w:instrText xml:space="preserve"> PAGEREF _Toc174625805 \h </w:instrText>
      </w:r>
      <w:r>
        <w:fldChar w:fldCharType="separate"/>
      </w:r>
      <w:r>
        <w:t>6</w:t>
      </w:r>
      <w:r>
        <w:fldChar w:fldCharType="end"/>
      </w:r>
    </w:p>
    <w:p>
      <w:pPr>
        <w:pStyle w:val="TOC8"/>
        <w:rPr>
          <w:rFonts w:asciiTheme="minorHAnsi" w:eastAsiaTheme="minorEastAsia" w:hAnsiTheme="minorHAnsi" w:cstheme="minorBidi"/>
          <w:szCs w:val="22"/>
        </w:rPr>
      </w:pPr>
      <w:r>
        <w:t>8.</w:t>
      </w:r>
      <w:r>
        <w:tab/>
        <w:t>Annual reports</w:t>
      </w:r>
      <w:r>
        <w:tab/>
      </w:r>
      <w:r>
        <w:fldChar w:fldCharType="begin"/>
      </w:r>
      <w:r>
        <w:instrText xml:space="preserve"> PAGEREF _Toc174625806 \h </w:instrText>
      </w:r>
      <w:r>
        <w:fldChar w:fldCharType="separate"/>
      </w:r>
      <w:r>
        <w:t>7</w:t>
      </w:r>
      <w:r>
        <w:fldChar w:fldCharType="end"/>
      </w:r>
    </w:p>
    <w:p>
      <w:pPr>
        <w:pStyle w:val="TOC8"/>
        <w:rPr>
          <w:rFonts w:asciiTheme="minorHAnsi" w:eastAsiaTheme="minorEastAsia" w:hAnsiTheme="minorHAnsi" w:cstheme="minorBidi"/>
          <w:szCs w:val="22"/>
        </w:rPr>
      </w:pPr>
      <w:r>
        <w:t>8A.</w:t>
      </w:r>
      <w:r>
        <w:tab/>
        <w:t>Reports by designated Commission</w:t>
      </w:r>
      <w:r>
        <w:tab/>
      </w:r>
      <w:r>
        <w:fldChar w:fldCharType="begin"/>
      </w:r>
      <w:r>
        <w:instrText xml:space="preserve"> PAGEREF _Toc174625807 \h </w:instrText>
      </w:r>
      <w:r>
        <w:fldChar w:fldCharType="separate"/>
      </w:r>
      <w:r>
        <w:t>7</w:t>
      </w:r>
      <w:r>
        <w:fldChar w:fldCharType="end"/>
      </w:r>
    </w:p>
    <w:p>
      <w:pPr>
        <w:pStyle w:val="TOC8"/>
        <w:rPr>
          <w:rFonts w:asciiTheme="minorHAnsi" w:eastAsiaTheme="minorEastAsia" w:hAnsiTheme="minorHAnsi" w:cstheme="minorBidi"/>
          <w:szCs w:val="22"/>
        </w:rPr>
      </w:pPr>
      <w:r>
        <w:t>9.</w:t>
      </w:r>
      <w:r>
        <w:tab/>
        <w:t>Unlawful possession of surveillance information</w:t>
      </w:r>
      <w:r>
        <w:tab/>
      </w:r>
      <w:r>
        <w:fldChar w:fldCharType="begin"/>
      </w:r>
      <w:r>
        <w:instrText xml:space="preserve"> PAGEREF _Toc174625808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_Toc174625811 \h </w:instrText>
      </w:r>
      <w:r>
        <w:fldChar w:fldCharType="separate"/>
      </w:r>
      <w:r>
        <w:t>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_Toc174625812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before="120"/>
      </w:pPr>
      <w:r>
        <w:lastRenderedPageBreak/>
        <w:t>Surveillance Devices Act 1998</w:t>
      </w:r>
    </w:p>
    <w:p>
      <w:pPr>
        <w:pStyle w:val="NameofActReg"/>
        <w:spacing w:after="720"/>
      </w:pPr>
      <w:r>
        <w:t>Surveillance Devices Regulations 1999</w:t>
      </w:r>
    </w:p>
    <w:p>
      <w:pPr>
        <w:pStyle w:val="Heading5"/>
      </w:pPr>
      <w:bookmarkStart w:id="2" w:name="_Toc174625799"/>
      <w:r>
        <w:rPr>
          <w:rStyle w:val="CharSectno"/>
        </w:rPr>
        <w:t>1</w:t>
      </w:r>
      <w:r>
        <w:t>.</w:t>
      </w:r>
      <w:r>
        <w:tab/>
        <w:t>Citation</w:t>
      </w:r>
      <w:bookmarkEnd w:id="2"/>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3" w:name="_Toc174625800"/>
      <w:r>
        <w:rPr>
          <w:rStyle w:val="CharSectno"/>
        </w:rPr>
        <w:t>2</w:t>
      </w:r>
      <w:r>
        <w:rPr>
          <w:spacing w:val="-2"/>
        </w:rPr>
        <w:t>.</w:t>
      </w:r>
      <w:r>
        <w:rPr>
          <w:spacing w:val="-2"/>
        </w:rPr>
        <w:tab/>
        <w:t>Commencement</w:t>
      </w:r>
      <w:bookmarkEnd w:id="3"/>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4" w:name="_Toc174625801"/>
      <w:r>
        <w:rPr>
          <w:rStyle w:val="CharSectno"/>
        </w:rPr>
        <w:t>3</w:t>
      </w:r>
      <w:r>
        <w:t>.</w:t>
      </w:r>
      <w:r>
        <w:tab/>
        <w:t>Forms</w:t>
      </w:r>
      <w:bookmarkEnd w:id="4"/>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Gazette 8 Feb 2000 p. 458; 5 May 2006 p. 1735.]</w:t>
      </w:r>
    </w:p>
    <w:p>
      <w:pPr>
        <w:pStyle w:val="Heading5"/>
      </w:pPr>
      <w:bookmarkStart w:id="5" w:name="_Toc174625802"/>
      <w:r>
        <w:rPr>
          <w:rStyle w:val="CharSectno"/>
        </w:rPr>
        <w:lastRenderedPageBreak/>
        <w:t>4</w:t>
      </w:r>
      <w:r>
        <w:t>.</w:t>
      </w:r>
      <w:r>
        <w:tab/>
        <w:t>Law enforcement officers, classes prescribed</w:t>
      </w:r>
      <w:bookmarkEnd w:id="5"/>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 Gazette 6 Jul 2010 p. 3225.]</w:t>
      </w:r>
    </w:p>
    <w:p>
      <w:pPr>
        <w:pStyle w:val="Heading5"/>
      </w:pPr>
      <w:bookmarkStart w:id="6" w:name="_Toc174625803"/>
      <w:r>
        <w:rPr>
          <w:rStyle w:val="CharSectno"/>
        </w:rPr>
        <w:t>5</w:t>
      </w:r>
      <w:r>
        <w:t>.</w:t>
      </w:r>
      <w:r>
        <w:tab/>
        <w:t>Commonwealth agencies, instrumentalities and bodies</w:t>
      </w:r>
      <w:bookmarkEnd w:id="6"/>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tab/>
        <w:t>(b)</w:t>
      </w:r>
      <w:r>
        <w:tab/>
        <w:t xml:space="preserve">Australian Federal Police established by section 6 of the </w:t>
      </w:r>
      <w:r>
        <w:rPr>
          <w:i/>
        </w:rPr>
        <w:t>Australian Federal Police Act 1979</w:t>
      </w:r>
      <w:r>
        <w:t xml:space="preserve"> of the Commonwealth; and</w:t>
      </w:r>
    </w:p>
    <w:p>
      <w:pPr>
        <w:pStyle w:val="Ednotepara"/>
      </w:pPr>
      <w:r>
        <w:lastRenderedPageBreak/>
        <w:tab/>
        <w:t>[(c)</w:t>
      </w:r>
      <w:r>
        <w:tab/>
        <w:t>deleted]</w:t>
      </w:r>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Footnotesection"/>
      </w:pPr>
      <w:r>
        <w:tab/>
        <w:t>[Regulation 5 amended: Gazette 1 Dec 2015 p. 4821.]</w:t>
      </w:r>
    </w:p>
    <w:p>
      <w:pPr>
        <w:pStyle w:val="Heading5"/>
        <w:keepNext w:val="0"/>
        <w:keepLines w:val="0"/>
      </w:pPr>
      <w:bookmarkStart w:id="7" w:name="_Toc174625804"/>
      <w:r>
        <w:rPr>
          <w:rStyle w:val="CharSectno"/>
        </w:rPr>
        <w:t>6</w:t>
      </w:r>
      <w:r>
        <w:t>.</w:t>
      </w:r>
      <w:r>
        <w:tab/>
        <w:t>Use of tracking devices without warrant</w:t>
      </w:r>
      <w:bookmarkEnd w:id="7"/>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(da)</w:t>
      </w:r>
      <w:r>
        <w:tab/>
        <w:t xml:space="preserve">by a public authority authorised under a written law to monitor traffic on a road as defined in the </w:t>
      </w:r>
      <w:r>
        <w:rPr>
          <w:i/>
        </w:rPr>
        <w:t>Main Roads Act 1930</w:t>
      </w:r>
      <w:r>
        <w:t xml:space="preserve"> section 6;</w:t>
      </w:r>
    </w:p>
    <w:p>
      <w:pPr>
        <w:pStyle w:val="Indenta"/>
        <w:keepNext/>
      </w:pPr>
      <w:r>
        <w:tab/>
        <w:t>(e)</w:t>
      </w:r>
      <w:r>
        <w:tab/>
        <w:t xml:space="preserve">for the purposes of any of the following — </w:t>
      </w:r>
    </w:p>
    <w:p>
      <w:pPr>
        <w:pStyle w:val="Indenti"/>
      </w:pPr>
      <w:r>
        <w:tab/>
        <w:t>(i)</w:t>
      </w:r>
      <w:r>
        <w:tab/>
      </w:r>
      <w:r>
        <w:rPr>
          <w:i/>
          <w:iCs/>
        </w:rPr>
        <w:t>Bail Act 1982</w:t>
      </w:r>
      <w:r>
        <w:t xml:space="preserve"> section 50L(1)(a) or Schedule 1 Part D clause 3(4);</w:t>
      </w:r>
    </w:p>
    <w:p>
      <w:pPr>
        <w:pStyle w:val="Ednotesubpara"/>
      </w:pPr>
      <w:r>
        <w:lastRenderedPageBreak/>
        <w:tab/>
        <w:t>[(iia)</w:t>
      </w:r>
      <w:r>
        <w:tab/>
        <w:t>deleted]</w:t>
      </w:r>
    </w:p>
    <w:p>
      <w:pPr>
        <w:pStyle w:val="Indenti"/>
      </w:pPr>
      <w:r>
        <w:tab/>
        <w:t>(iib)</w:t>
      </w:r>
      <w:r>
        <w:tab/>
      </w:r>
      <w:r>
        <w:rPr>
          <w:i/>
        </w:rPr>
        <w:t>Emergency Management Act 2005</w:t>
      </w:r>
      <w:r>
        <w:t xml:space="preserve"> section 70A(2) or (4);</w:t>
      </w:r>
    </w:p>
    <w:p>
      <w:pPr>
        <w:pStyle w:val="Indenti"/>
      </w:pPr>
      <w:r>
        <w:tab/>
        <w:t>(iic)</w:t>
      </w:r>
      <w:r>
        <w:tab/>
      </w:r>
      <w:r>
        <w:rPr>
          <w:i/>
        </w:rPr>
        <w:t>High Risk Serious Offenders Act 2020</w:t>
      </w:r>
      <w:r>
        <w:t xml:space="preserve"> section 31(3);</w:t>
      </w:r>
    </w:p>
    <w:p>
      <w:pPr>
        <w:pStyle w:val="Indenti"/>
      </w:pPr>
      <w:r>
        <w:tab/>
        <w:t>(ii)</w:t>
      </w:r>
      <w:r>
        <w:tab/>
      </w:r>
      <w:r>
        <w:rPr>
          <w:i/>
          <w:iCs/>
        </w:rPr>
        <w:t>Sentence Administration Act 2003</w:t>
      </w:r>
      <w:r>
        <w:t xml:space="preserve"> section 30(c) or (e)(i), 57(2)(a) or 74G(c), (d) or (e);</w:t>
      </w:r>
    </w:p>
    <w:p>
      <w:pPr>
        <w:pStyle w:val="Indenti"/>
      </w:pPr>
      <w:r>
        <w:tab/>
        <w:t>(iii)</w:t>
      </w:r>
      <w:r>
        <w:tab/>
      </w:r>
      <w:r>
        <w:rPr>
          <w:i/>
          <w:iCs/>
        </w:rPr>
        <w:t>Sentencing Act 1995</w:t>
      </w:r>
      <w:r>
        <w:t xml:space="preserve"> section 33H(2)(b), 75(2)(b), 76A(2), 84C(2)(b) or 84CA(2);</w:t>
      </w:r>
    </w:p>
    <w:p>
      <w:pPr>
        <w:pStyle w:val="Indenti"/>
      </w:pPr>
      <w:r>
        <w:tab/>
        <w:t>(iv)</w:t>
      </w:r>
      <w:r>
        <w:tab/>
      </w:r>
      <w:r>
        <w:rPr>
          <w:i/>
          <w:iCs/>
        </w:rPr>
        <w:t>Young Offenders Act 1994</w:t>
      </w:r>
      <w:r>
        <w:t xml:space="preserve"> section 109B(1)(a) or 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keepNext/>
      </w:pPr>
      <w:r>
        <w:lastRenderedPageBreak/>
        <w:tab/>
        <w:t>(4)</w:t>
      </w:r>
      <w:r>
        <w:tab/>
        <w:t>In this regulation —</w:t>
      </w:r>
    </w:p>
    <w:p>
      <w:pPr>
        <w:pStyle w:val="Defstart"/>
        <w:keepNex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department of the Public Service principally assisting in the administration of the </w:t>
      </w:r>
      <w:r>
        <w:rPr>
          <w:i/>
        </w:rPr>
        <w:t>Fire and Emergency Services Act 1998</w:t>
      </w:r>
      <w:r>
        <w:t xml:space="preserve"> or an equivalent department, authority or agency of another State or a Territory; or</w:t>
      </w:r>
    </w:p>
    <w:p>
      <w:pPr>
        <w:pStyle w:val="Defpara"/>
      </w:pPr>
      <w:r>
        <w:tab/>
        <w:t>(c)</w:t>
      </w:r>
      <w:r>
        <w:tab/>
        <w:t>a voluntary or community rescue organisation; or</w:t>
      </w:r>
    </w:p>
    <w:p>
      <w:pPr>
        <w:pStyle w:val="Defpara"/>
      </w:pPr>
      <w:r>
        <w:tab/>
        <w:t>(d)</w:t>
      </w:r>
      <w:r>
        <w:tab/>
        <w:t xml:space="preserve">the Australian Maritime Safety Authority established under the </w:t>
      </w:r>
      <w:r>
        <w:rPr>
          <w:i/>
        </w:rPr>
        <w:t>Australian Maritime Safety Authority Act 1990</w:t>
      </w:r>
      <w:r>
        <w:t xml:space="preserve"> (Commonwealth) section 5;</w:t>
      </w:r>
    </w:p>
    <w:p>
      <w:pPr>
        <w:pStyle w:val="Defstart"/>
      </w:pPr>
      <w:r>
        <w:tab/>
      </w:r>
      <w:r>
        <w:rPr>
          <w:rStyle w:val="CharDefText"/>
        </w:rPr>
        <w:t>hospital</w:t>
      </w:r>
      <w:r>
        <w:rPr>
          <w:b/>
        </w:rPr>
        <w:t xml:space="preserve"> </w:t>
      </w:r>
      <w:r>
        <w:t xml:space="preserve">has the meaning given in the </w:t>
      </w:r>
      <w:r>
        <w:rPr>
          <w:i/>
        </w:rPr>
        <w:t xml:space="preserve">Health Services Act 2016 </w:t>
      </w:r>
      <w:r>
        <w:t xml:space="preserve">section 8(4);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public authority</w:t>
      </w:r>
      <w:r>
        <w:t xml:space="preserve"> has the meaning given in the </w:t>
      </w:r>
      <w:r>
        <w:rPr>
          <w:i/>
        </w:rPr>
        <w:t>Criminal Procedure Act 2004</w:t>
      </w:r>
      <w:r>
        <w:t xml:space="preserve"> section 3(1);</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keepNext/>
      </w:pPr>
      <w:r>
        <w:lastRenderedPageBreak/>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Gazette 21 Sep 2007 p. 4734; 4 Jan 2013 p. 10; 19 Feb 2013 p. 992; 24 Jun 2016 p. 2340; 16 Sep 2016 p. 3941; 23 Dec 2016 p. 5906; 18 Aug 2017 p. 4448; SL 2020/36 r. 4; SL 2020/61 r. 4; SL 2020/151 r. 4; SL 2023/188 r. 4.]</w:t>
      </w:r>
    </w:p>
    <w:p>
      <w:pPr>
        <w:pStyle w:val="Heading5"/>
        <w:rPr>
          <w:rStyle w:val="CharSectno"/>
        </w:rPr>
      </w:pPr>
      <w:bookmarkStart w:id="8" w:name="_Toc174625805"/>
      <w:r>
        <w:rPr>
          <w:rStyle w:val="CharSectno"/>
        </w:rPr>
        <w:t>7</w:t>
      </w:r>
      <w:r>
        <w:t>.</w:t>
      </w:r>
      <w:r>
        <w:rPr>
          <w:rStyle w:val="CharSectno"/>
        </w:rPr>
        <w:tab/>
      </w:r>
      <w:r>
        <w:t>Storage and destruction of Part 5 records</w:t>
      </w:r>
      <w:bookmarkEnd w:id="8"/>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keepNext/>
        <w:spacing w:before="80"/>
      </w:pPr>
      <w:r>
        <w:lastRenderedPageBreak/>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Act No. 74 of 2004 s. 73(2); Gazette 5 May 2006 p. 1736; 21 Sep 2007 p. 4735.]</w:t>
      </w:r>
    </w:p>
    <w:p>
      <w:pPr>
        <w:pStyle w:val="Heading5"/>
        <w:keepNext w:val="0"/>
        <w:keepLines w:val="0"/>
        <w:spacing w:before="180"/>
      </w:pPr>
      <w:bookmarkStart w:id="9" w:name="_Toc174625806"/>
      <w:r>
        <w:rPr>
          <w:rStyle w:val="CharSectno"/>
        </w:rPr>
        <w:t>8</w:t>
      </w:r>
      <w:r>
        <w:t>.</w:t>
      </w:r>
      <w:r>
        <w:tab/>
        <w:t>Annual reports</w:t>
      </w:r>
      <w:bookmarkEnd w:id="9"/>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10" w:name="_Toc174625807"/>
      <w:r>
        <w:rPr>
          <w:rStyle w:val="CharSectno"/>
        </w:rPr>
        <w:t>8A</w:t>
      </w:r>
      <w:r>
        <w:t>.</w:t>
      </w:r>
      <w:r>
        <w:tab/>
        <w:t>Reports by designated Commission</w:t>
      </w:r>
      <w:bookmarkEnd w:id="10"/>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Gazette 21 Sep 2007 p. 4735.]</w:t>
      </w:r>
    </w:p>
    <w:p>
      <w:pPr>
        <w:pStyle w:val="Heading5"/>
      </w:pPr>
      <w:bookmarkStart w:id="11" w:name="_Toc174625808"/>
      <w:r>
        <w:rPr>
          <w:rStyle w:val="CharSectno"/>
        </w:rPr>
        <w:t>9</w:t>
      </w:r>
      <w:r>
        <w:t>.</w:t>
      </w:r>
      <w:r>
        <w:tab/>
        <w:t>Unlawful possession of surveillance information</w:t>
      </w:r>
      <w:bookmarkEnd w:id="11"/>
    </w:p>
    <w:p>
      <w:pPr>
        <w:pStyle w:val="Subsection"/>
      </w:pPr>
      <w:r>
        <w:tab/>
        <w:t>(1)</w:t>
      </w:r>
      <w:r>
        <w:tab/>
        <w:t>A person who is unlawfully in possession of surveillance information commits an offence</w:t>
      </w:r>
      <w:r>
        <w:rPr>
          <w:spacing w:val="-2"/>
        </w:rPr>
        <w:t>.</w:t>
      </w:r>
      <w:r>
        <w:t xml:space="preserve"> </w:t>
      </w:r>
    </w:p>
    <w:p>
      <w:pPr>
        <w:pStyle w:val="Penstart"/>
      </w:pPr>
      <w:r>
        <w:lastRenderedPageBreak/>
        <w:tab/>
        <w:t>Penalty: $5 000.</w:t>
      </w:r>
    </w:p>
    <w:p>
      <w:pPr>
        <w:pStyle w:val="Subsection"/>
        <w:keepNext/>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2" w:name="_Toc174625335"/>
      <w:bookmarkStart w:id="13" w:name="_Toc174625578"/>
      <w:bookmarkStart w:id="14" w:name="_Toc174625809"/>
      <w:r>
        <w:rPr>
          <w:rStyle w:val="CharSchNo"/>
        </w:rPr>
        <w:lastRenderedPageBreak/>
        <w:t>Schedule 1</w:t>
      </w:r>
      <w:r>
        <w:t xml:space="preserve"> — </w:t>
      </w:r>
      <w:r>
        <w:rPr>
          <w:rStyle w:val="CharSchText"/>
        </w:rPr>
        <w:t>Forms</w:t>
      </w:r>
      <w:bookmarkEnd w:id="12"/>
      <w:bookmarkEnd w:id="13"/>
      <w:bookmarkEnd w:id="14"/>
    </w:p>
    <w:p>
      <w:pPr>
        <w:pStyle w:val="yShoulderClause"/>
      </w:pPr>
      <w:r>
        <w:t>[r. 3]</w:t>
      </w:r>
    </w:p>
    <w:tbl>
      <w:tblPr>
        <w:tblW w:w="73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
        <w:gridCol w:w="709"/>
        <w:gridCol w:w="709"/>
        <w:gridCol w:w="3260"/>
        <w:gridCol w:w="284"/>
        <w:gridCol w:w="141"/>
        <w:gridCol w:w="2103"/>
        <w:gridCol w:w="24"/>
      </w:tblGrid>
      <w:tr>
        <w:trPr>
          <w:gridBefore w:val="1"/>
          <w:wBefore w:w="142" w:type="dxa"/>
        </w:trPr>
        <w:tc>
          <w:tcPr>
            <w:tcW w:w="709" w:type="dxa"/>
            <w:tcBorders>
              <w:top w:val="nil"/>
              <w:left w:val="nil"/>
              <w:bottom w:val="single" w:sz="4" w:space="0" w:color="auto"/>
              <w:right w:val="nil"/>
            </w:tcBorders>
          </w:tcPr>
          <w:p>
            <w:pPr>
              <w:pStyle w:val="yTableNAm"/>
              <w:rPr>
                <w:b/>
                <w:bCs/>
              </w:rPr>
            </w:pPr>
            <w:r>
              <w:rPr>
                <w:b/>
                <w:bCs/>
              </w:rPr>
              <w:t>No.</w:t>
            </w:r>
          </w:p>
        </w:tc>
        <w:tc>
          <w:tcPr>
            <w:tcW w:w="4394" w:type="dxa"/>
            <w:gridSpan w:val="4"/>
            <w:tcBorders>
              <w:top w:val="nil"/>
              <w:left w:val="nil"/>
              <w:bottom w:val="single" w:sz="4" w:space="0" w:color="auto"/>
              <w:right w:val="nil"/>
            </w:tcBorders>
          </w:tcPr>
          <w:p>
            <w:pPr>
              <w:pStyle w:val="yTableNAm"/>
              <w:rPr>
                <w:b/>
                <w:bCs/>
              </w:rPr>
            </w:pPr>
            <w:r>
              <w:rPr>
                <w:b/>
                <w:bCs/>
              </w:rPr>
              <w:t>Form</w:t>
            </w:r>
          </w:p>
        </w:tc>
        <w:tc>
          <w:tcPr>
            <w:tcW w:w="2127" w:type="dxa"/>
            <w:gridSpan w:val="2"/>
            <w:tcBorders>
              <w:top w:val="nil"/>
              <w:left w:val="nil"/>
              <w:bottom w:val="single" w:sz="4" w:space="0" w:color="auto"/>
              <w:right w:val="nil"/>
            </w:tcBorders>
          </w:tcPr>
          <w:p>
            <w:pPr>
              <w:pStyle w:val="yTableNAm"/>
              <w:rPr>
                <w:b/>
                <w:bCs/>
              </w:rPr>
            </w:pPr>
            <w:r>
              <w:rPr>
                <w:b/>
                <w:bCs/>
              </w:rPr>
              <w:t>Section of Act</w:t>
            </w:r>
          </w:p>
        </w:tc>
      </w:tr>
      <w:tr>
        <w:trPr>
          <w:gridBefore w:val="1"/>
          <w:wBefore w:w="142" w:type="dxa"/>
        </w:trPr>
        <w:tc>
          <w:tcPr>
            <w:tcW w:w="709" w:type="dxa"/>
            <w:tcBorders>
              <w:top w:val="nil"/>
              <w:left w:val="nil"/>
              <w:bottom w:val="nil"/>
              <w:right w:val="nil"/>
            </w:tcBorders>
          </w:tcPr>
          <w:p>
            <w:pPr>
              <w:pStyle w:val="yTableNAm"/>
            </w:pPr>
            <w:r>
              <w:t>1</w:t>
            </w:r>
          </w:p>
        </w:tc>
        <w:tc>
          <w:tcPr>
            <w:tcW w:w="4394" w:type="dxa"/>
            <w:gridSpan w:val="4"/>
            <w:tcBorders>
              <w:top w:val="nil"/>
              <w:left w:val="nil"/>
              <w:bottom w:val="nil"/>
              <w:right w:val="nil"/>
            </w:tcBorders>
          </w:tcPr>
          <w:p>
            <w:pPr>
              <w:pStyle w:val="yTableNAm"/>
            </w:pPr>
            <w:r>
              <w:t>Warrant</w:t>
            </w:r>
          </w:p>
        </w:tc>
        <w:tc>
          <w:tcPr>
            <w:tcW w:w="2127" w:type="dxa"/>
            <w:gridSpan w:val="2"/>
            <w:tcBorders>
              <w:top w:val="nil"/>
              <w:left w:val="nil"/>
              <w:bottom w:val="nil"/>
              <w:right w:val="nil"/>
            </w:tcBorders>
          </w:tcPr>
          <w:p>
            <w:pPr>
              <w:pStyle w:val="yTableNAm"/>
            </w:pPr>
            <w:r>
              <w:t xml:space="preserve">13, 14, 17, 19 and 22 </w:t>
            </w:r>
          </w:p>
        </w:tc>
      </w:tr>
      <w:tr>
        <w:trPr>
          <w:gridBefore w:val="1"/>
          <w:wBefore w:w="142" w:type="dxa"/>
        </w:trPr>
        <w:tc>
          <w:tcPr>
            <w:tcW w:w="709" w:type="dxa"/>
            <w:tcBorders>
              <w:top w:val="nil"/>
              <w:left w:val="nil"/>
              <w:bottom w:val="nil"/>
              <w:right w:val="nil"/>
            </w:tcBorders>
          </w:tcPr>
          <w:p>
            <w:pPr>
              <w:pStyle w:val="yTableNAm"/>
            </w:pPr>
            <w:r>
              <w:t>2</w:t>
            </w:r>
          </w:p>
        </w:tc>
        <w:tc>
          <w:tcPr>
            <w:tcW w:w="4394" w:type="dxa"/>
            <w:gridSpan w:val="4"/>
            <w:tcBorders>
              <w:top w:val="nil"/>
              <w:left w:val="nil"/>
              <w:bottom w:val="nil"/>
              <w:right w:val="nil"/>
            </w:tcBorders>
          </w:tcPr>
          <w:p>
            <w:pPr>
              <w:pStyle w:val="yTableNAm"/>
            </w:pPr>
            <w:r>
              <w:t>Application for emergency authorisation</w:t>
            </w:r>
          </w:p>
        </w:tc>
        <w:tc>
          <w:tcPr>
            <w:tcW w:w="2127" w:type="dxa"/>
            <w:gridSpan w:val="2"/>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3</w:t>
            </w:r>
          </w:p>
        </w:tc>
        <w:tc>
          <w:tcPr>
            <w:tcW w:w="4394" w:type="dxa"/>
            <w:gridSpan w:val="4"/>
            <w:tcBorders>
              <w:top w:val="nil"/>
              <w:left w:val="nil"/>
              <w:bottom w:val="nil"/>
              <w:right w:val="nil"/>
            </w:tcBorders>
          </w:tcPr>
          <w:p>
            <w:pPr>
              <w:pStyle w:val="yTableNAm"/>
            </w:pPr>
            <w:r>
              <w:t>Emergency authorisation</w:t>
            </w:r>
          </w:p>
        </w:tc>
        <w:tc>
          <w:tcPr>
            <w:tcW w:w="2127" w:type="dxa"/>
            <w:gridSpan w:val="2"/>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4</w:t>
            </w:r>
          </w:p>
        </w:tc>
        <w:tc>
          <w:tcPr>
            <w:tcW w:w="4394" w:type="dxa"/>
            <w:gridSpan w:val="4"/>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gridSpan w:val="2"/>
            <w:tcBorders>
              <w:top w:val="nil"/>
              <w:left w:val="nil"/>
              <w:bottom w:val="nil"/>
              <w:right w:val="nil"/>
            </w:tcBorders>
          </w:tcPr>
          <w:p>
            <w:pPr>
              <w:pStyle w:val="yTableNAm"/>
            </w:pPr>
            <w:r>
              <w:t>15 and 19</w:t>
            </w:r>
          </w:p>
        </w:tc>
      </w:tr>
      <w:tr>
        <w:trPr>
          <w:gridAfter w:val="1"/>
          <w:wAfter w:w="24" w:type="dxa"/>
          <w:cantSplit/>
        </w:trPr>
        <w:tc>
          <w:tcPr>
            <w:tcW w:w="4820" w:type="dxa"/>
            <w:gridSpan w:val="4"/>
            <w:tcBorders>
              <w:bottom w:val="single" w:sz="4" w:space="0" w:color="auto"/>
            </w:tcBorders>
            <w:shd w:val="pct20" w:color="000000" w:fill="FFFFFF"/>
          </w:tcPr>
          <w:p>
            <w:pPr>
              <w:pStyle w:val="ySubsection"/>
              <w:pageBreakBefore/>
              <w:tabs>
                <w:tab w:val="clear" w:pos="595"/>
                <w:tab w:val="clear" w:pos="879"/>
              </w:tabs>
              <w:spacing w:before="0"/>
              <w:ind w:left="0" w:firstLine="0"/>
              <w:rPr>
                <w:sz w:val="20"/>
              </w:rPr>
            </w:pPr>
            <w:r>
              <w:rPr>
                <w:i/>
                <w:sz w:val="20"/>
              </w:rPr>
              <w:lastRenderedPageBreak/>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4"/>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gridAfter w:val="1"/>
          <w:wAfter w:w="24" w:type="dxa"/>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4"/>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4"/>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gridAfter w:val="1"/>
          <w:wAfter w:w="24" w:type="dxa"/>
          <w:cantSplit/>
        </w:trPr>
        <w:tc>
          <w:tcPr>
            <w:tcW w:w="1560" w:type="dxa"/>
            <w:gridSpan w:val="3"/>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4"/>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4"/>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ind w:left="0"/>
              <w:rPr>
                <w:b/>
                <w:sz w:val="20"/>
              </w:rPr>
            </w:pPr>
          </w:p>
        </w:tc>
        <w:tc>
          <w:tcPr>
            <w:tcW w:w="5788" w:type="dxa"/>
            <w:gridSpan w:val="4"/>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Where practicable the surveillance device should be retrieved or rendered inoperable during the period that the warrant is in force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6"/>
              </w:rPr>
            </w:pPr>
          </w:p>
        </w:tc>
      </w:tr>
      <w:tr>
        <w:trPr>
          <w:gridAfter w:val="1"/>
          <w:wAfter w:w="24" w:type="dxa"/>
          <w:cantSplit/>
        </w:trPr>
        <w:tc>
          <w:tcPr>
            <w:tcW w:w="1560" w:type="dxa"/>
            <w:gridSpan w:val="3"/>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4"/>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4"/>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4"/>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gridAfter w:val="1"/>
          <w:wAfter w:w="24" w:type="dxa"/>
          <w:cantSplit/>
        </w:trPr>
        <w:tc>
          <w:tcPr>
            <w:tcW w:w="1560" w:type="dxa"/>
            <w:gridSpan w:val="3"/>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lastRenderedPageBreak/>
              <w:t>Conditions</w:t>
            </w: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Act No. 74 of 2004 s. 73(3);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clear" w:color="auto" w:fill="D9D9D9" w:themeFill="background1" w:themeFillShade="D9"/>
          </w:tcPr>
          <w:p>
            <w:pPr>
              <w:pStyle w:val="ySubsection"/>
              <w:pageBreakBefore/>
              <w:tabs>
                <w:tab w:val="clear" w:pos="595"/>
                <w:tab w:val="clear" w:pos="879"/>
              </w:tabs>
              <w:spacing w:before="0"/>
              <w:ind w:left="0" w:firstLine="0"/>
              <w:rPr>
                <w:sz w:val="20"/>
              </w:rPr>
            </w:pPr>
            <w:r>
              <w:lastRenderedPageBreak/>
              <w:br w:type="page"/>
            </w:r>
            <w:r>
              <w:rPr>
                <w:i/>
                <w:sz w:val="20"/>
              </w:rPr>
              <w:t>Surveillance Devices Act 1998</w:t>
            </w:r>
            <w:r>
              <w:rPr>
                <w:sz w:val="20"/>
              </w:rPr>
              <w:t>, s. 21</w:t>
            </w:r>
          </w:p>
          <w:p>
            <w:pPr>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r>
              <w:rPr>
                <w:b/>
                <w:sz w:val="20"/>
              </w:rPr>
              <w:lastRenderedPageBreak/>
              <w:t>Grounds cont.</w:t>
            </w: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nil"/>
            </w:tcBorders>
          </w:tcPr>
          <w:p>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hemeFill="background1" w:themeFillShade="D9"/>
          </w:tcPr>
          <w:p>
            <w:pPr>
              <w:pStyle w:val="ySubsection"/>
              <w:keepLines/>
              <w:tabs>
                <w:tab w:val="clear" w:pos="595"/>
                <w:tab w:val="clear" w:pos="879"/>
              </w:tabs>
              <w:spacing w:before="0"/>
              <w:ind w:left="0" w:firstLine="0"/>
              <w:rPr>
                <w:b/>
                <w:sz w:val="20"/>
              </w:rPr>
            </w:pPr>
            <w:r>
              <w:rPr>
                <w:b/>
                <w:sz w:val="20"/>
              </w:rPr>
              <w:lastRenderedPageBreak/>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clear" w:color="auto" w:fill="D9D9D9" w:themeFill="background1" w:themeFillShade="D9"/>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567" w:hanging="567"/>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567" w:hanging="567"/>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 Act No. 74 of 2004 s. 73(3); Gazette 5 May 2006 p. 1736; 21 Sep 2007 p. 4735.]</w:t>
      </w:r>
    </w:p>
    <w:p>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r>
              <w:rPr>
                <w:sz w:val="16"/>
              </w:rPr>
              <w:lastRenderedPageBreak/>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lastRenderedPageBreak/>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Authorised per</w:t>
            </w:r>
            <w:r>
              <w:rPr>
                <w:b/>
                <w:sz w:val="20"/>
                <w:shd w:val="clear" w:color="auto" w:fill="D9D9D9" w:themeFill="background1" w:themeFillShade="D9"/>
              </w:rPr>
              <w:t>s</w:t>
            </w:r>
            <w:r>
              <w:rPr>
                <w:b/>
                <w:sz w:val="20"/>
              </w:rPr>
              <w:t>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lastRenderedPageBreak/>
        <w:tab/>
        <w:t>[Form amended: Act No. 74 of 2004 s. 73(3) and (4);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lastRenderedPageBreak/>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lastRenderedPageBreak/>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single" w:sz="4" w:space="0" w:color="auto"/>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lastRenderedPageBreak/>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397" w:hanging="397"/>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397" w:hanging="397"/>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Gazette 8 Feb 2000 p. 458</w:t>
      </w:r>
      <w:r>
        <w:noBreakHyphen/>
        <w:t>60; amended: Act No. 74 of 2004 s. 73(3); Gazette 5 May 2006 p. 1736; 21 Sep 2007 p. 4735.]</w:t>
      </w:r>
    </w:p>
    <w:p>
      <w:pPr>
        <w:pStyle w:val="CentredBaseLine"/>
        <w:jc w:val="center"/>
      </w:pPr>
      <w:r>
        <w:rPr>
          <w:noProof/>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5" w:name="_Toc174625336"/>
      <w:bookmarkStart w:id="16" w:name="_Toc174625579"/>
      <w:bookmarkStart w:id="17" w:name="_Toc174625810"/>
      <w:r>
        <w:lastRenderedPageBreak/>
        <w:t>Notes</w:t>
      </w:r>
      <w:bookmarkEnd w:id="15"/>
      <w:bookmarkEnd w:id="16"/>
      <w:bookmarkEnd w:id="17"/>
    </w:p>
    <w:p>
      <w:pPr>
        <w:pStyle w:val="nStatement"/>
      </w:pPr>
      <w:r>
        <w:t xml:space="preserve">This is a compilation of the </w:t>
      </w:r>
      <w:r>
        <w:rPr>
          <w:i/>
          <w:noProof/>
        </w:rPr>
        <w:t>Surveillance Devices Regulations 1999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 w:name="_Toc174625811"/>
      <w:r>
        <w:t>Compilation table</w:t>
      </w:r>
      <w:bookmarkEnd w:id="18"/>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Borders>
              <w:top w:val="single" w:sz="8" w:space="0" w:color="auto"/>
            </w:tcBorders>
          </w:tcPr>
          <w:p>
            <w:pPr>
              <w:pStyle w:val="nTable"/>
              <w:spacing w:after="40"/>
            </w:pPr>
            <w:r>
              <w:rPr>
                <w:i/>
                <w:snapToGrid w:val="0"/>
              </w:rPr>
              <w:t>Surveillance Devices Regulations 1999</w:t>
            </w:r>
          </w:p>
        </w:tc>
        <w:tc>
          <w:tcPr>
            <w:tcW w:w="1276" w:type="dxa"/>
            <w:gridSpan w:val="2"/>
            <w:tcBorders>
              <w:top w:val="single" w:sz="8" w:space="0" w:color="auto"/>
            </w:tcBorders>
          </w:tcPr>
          <w:p>
            <w:pPr>
              <w:pStyle w:val="nTable"/>
              <w:spacing w:after="40"/>
            </w:pPr>
            <w:r>
              <w:t>18 Nov 1999 p. 5767</w:t>
            </w:r>
            <w:r>
              <w:noBreakHyphen/>
              <w:t>86</w:t>
            </w:r>
          </w:p>
        </w:tc>
        <w:tc>
          <w:tcPr>
            <w:tcW w:w="2693" w:type="dxa"/>
            <w:gridSpan w:val="2"/>
            <w:tcBorders>
              <w:top w:val="single" w:sz="8" w:space="0" w:color="auto"/>
            </w:tcBorders>
          </w:tcPr>
          <w:p>
            <w:pPr>
              <w:pStyle w:val="nTable"/>
              <w:spacing w:after="40"/>
            </w:pPr>
            <w:r>
              <w:t xml:space="preserve">22 Nov 1999 (see r. 2 and </w:t>
            </w:r>
            <w:r>
              <w:rPr>
                <w:i/>
              </w:rPr>
              <w:t>Gazette</w:t>
            </w:r>
            <w:r>
              <w:t xml:space="preserve"> 22 Nov 1999 p. 5843)</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1999</w:t>
            </w:r>
          </w:p>
        </w:tc>
        <w:tc>
          <w:tcPr>
            <w:tcW w:w="1276" w:type="dxa"/>
            <w:gridSpan w:val="2"/>
          </w:tcPr>
          <w:p>
            <w:pPr>
              <w:pStyle w:val="nTable"/>
              <w:spacing w:after="40"/>
            </w:pPr>
            <w:r>
              <w:t>8 Feb 2000 p. 457</w:t>
            </w:r>
            <w:r>
              <w:noBreakHyphen/>
              <w:t>60</w:t>
            </w:r>
          </w:p>
        </w:tc>
        <w:tc>
          <w:tcPr>
            <w:tcW w:w="2693"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9" w:type="dxa"/>
          <w:cantSplit/>
        </w:trPr>
        <w:tc>
          <w:tcPr>
            <w:tcW w:w="4395" w:type="dxa"/>
            <w:gridSpan w:val="4"/>
          </w:tcPr>
          <w:p>
            <w:pPr>
              <w:pStyle w:val="nTable"/>
              <w:spacing w:after="40"/>
            </w:pPr>
            <w:r>
              <w:rPr>
                <w:i/>
                <w:iCs/>
                <w:snapToGrid w:val="0"/>
              </w:rPr>
              <w:t xml:space="preserve">Australian Crime Commission (Western Australia) Act 2004 </w:t>
            </w:r>
            <w:r>
              <w:rPr>
                <w:snapToGrid w:val="0"/>
              </w:rPr>
              <w:t>s. 73 assented to 8 Dec 2004</w:t>
            </w:r>
          </w:p>
        </w:tc>
        <w:tc>
          <w:tcPr>
            <w:tcW w:w="2693" w:type="dxa"/>
            <w:gridSpan w:val="2"/>
          </w:tcPr>
          <w:p>
            <w:pPr>
              <w:pStyle w:val="nTable"/>
              <w:spacing w:after="40"/>
            </w:pPr>
            <w:r>
              <w:rPr>
                <w:snapToGrid w:val="0"/>
              </w:rPr>
              <w:t xml:space="preserve">1 Feb 2005 (see s. 2 and </w:t>
            </w:r>
            <w:r>
              <w:rPr>
                <w:i/>
                <w:iCs/>
                <w:snapToGrid w:val="0"/>
              </w:rPr>
              <w:t xml:space="preserve">Gazette </w:t>
            </w:r>
            <w:r>
              <w:rPr>
                <w:snapToGrid w:val="0"/>
              </w:rPr>
              <w:t>31 Dec 2004 p. 7130)</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2005</w:t>
            </w:r>
          </w:p>
        </w:tc>
        <w:tc>
          <w:tcPr>
            <w:tcW w:w="1276" w:type="dxa"/>
            <w:gridSpan w:val="2"/>
          </w:tcPr>
          <w:p>
            <w:pPr>
              <w:pStyle w:val="nTable"/>
              <w:spacing w:after="40"/>
            </w:pPr>
            <w:r>
              <w:t>23 Sep 2005 p. 4363</w:t>
            </w:r>
          </w:p>
        </w:tc>
        <w:tc>
          <w:tcPr>
            <w:tcW w:w="2693" w:type="dxa"/>
            <w:gridSpan w:val="2"/>
          </w:tcPr>
          <w:p>
            <w:pPr>
              <w:pStyle w:val="nTable"/>
              <w:spacing w:after="40"/>
            </w:pPr>
            <w:r>
              <w:t>23 Sep 2005</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2006</w:t>
            </w:r>
          </w:p>
        </w:tc>
        <w:tc>
          <w:tcPr>
            <w:tcW w:w="1276" w:type="dxa"/>
            <w:gridSpan w:val="2"/>
          </w:tcPr>
          <w:p>
            <w:pPr>
              <w:pStyle w:val="nTable"/>
              <w:spacing w:after="40"/>
            </w:pPr>
            <w:r>
              <w:t>5 May 2006 p. 1735</w:t>
            </w:r>
            <w:r>
              <w:noBreakHyphen/>
              <w:t>6</w:t>
            </w:r>
          </w:p>
        </w:tc>
        <w:tc>
          <w:tcPr>
            <w:tcW w:w="2693" w:type="dxa"/>
            <w:gridSpan w:val="2"/>
          </w:tcPr>
          <w:p>
            <w:pPr>
              <w:pStyle w:val="nTable"/>
              <w:spacing w:after="40"/>
            </w:pPr>
            <w:r>
              <w:t>5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1:  The </w:t>
            </w:r>
            <w:r>
              <w:rPr>
                <w:b/>
                <w:bCs/>
                <w:i/>
                <w:snapToGrid w:val="0"/>
              </w:rPr>
              <w:t>Surveillance Devices Regulations 1999</w:t>
            </w:r>
            <w:r>
              <w:rPr>
                <w:b/>
                <w:bCs/>
              </w:rPr>
              <w:t xml:space="preserve"> as at 15 Dec 2006</w:t>
            </w:r>
            <w:r>
              <w:t xml:space="preserve"> </w:t>
            </w:r>
            <w:r>
              <w:br/>
              <w:t>(includes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2007</w:t>
            </w:r>
          </w:p>
        </w:tc>
        <w:tc>
          <w:tcPr>
            <w:tcW w:w="1276" w:type="dxa"/>
            <w:gridSpan w:val="2"/>
          </w:tcPr>
          <w:p>
            <w:pPr>
              <w:pStyle w:val="nTable"/>
              <w:spacing w:after="40"/>
            </w:pPr>
            <w:r>
              <w:t>21 Sep 2007 p. 4734</w:t>
            </w:r>
            <w:r>
              <w:noBreakHyphen/>
              <w:t>5</w:t>
            </w:r>
          </w:p>
        </w:tc>
        <w:tc>
          <w:tcPr>
            <w:tcW w:w="2693" w:type="dxa"/>
            <w:gridSpan w:val="2"/>
          </w:tcPr>
          <w:p>
            <w:pPr>
              <w:pStyle w:val="nTable"/>
              <w:spacing w:after="40"/>
            </w:pPr>
            <w:r>
              <w:t>r. 1 and 2: 21 Sep 2007 (see r. 2(a));</w:t>
            </w:r>
            <w:r>
              <w:br/>
              <w:t>Regulations other than r. 1 and 2: 22 Sep 2007 (see r. 2(b))</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2010</w:t>
            </w:r>
          </w:p>
        </w:tc>
        <w:tc>
          <w:tcPr>
            <w:tcW w:w="1276" w:type="dxa"/>
            <w:gridSpan w:val="2"/>
          </w:tcPr>
          <w:p>
            <w:pPr>
              <w:pStyle w:val="nTable"/>
              <w:spacing w:after="40"/>
            </w:pPr>
            <w:r>
              <w:t>6 Jul 2010 p. 3224</w:t>
            </w:r>
            <w:r>
              <w:noBreakHyphen/>
              <w:t>5</w:t>
            </w:r>
          </w:p>
        </w:tc>
        <w:tc>
          <w:tcPr>
            <w:tcW w:w="2693" w:type="dxa"/>
            <w:gridSpan w:val="2"/>
          </w:tcPr>
          <w:p>
            <w:pPr>
              <w:pStyle w:val="nTable"/>
              <w:spacing w:after="40"/>
            </w:pPr>
            <w:r>
              <w:t>r. 1 and 2: 6 Jul 2010 (see r. 2(a));</w:t>
            </w:r>
            <w:r>
              <w:br/>
              <w:t>Regulations other than r. 1 and 2: 7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snapToGrid w:val="0"/>
              </w:rPr>
              <w:t>Surveillance Devices Regulations 1999</w:t>
            </w:r>
            <w:r>
              <w:rPr>
                <w:b/>
                <w:bCs/>
              </w:rPr>
              <w:t xml:space="preserve"> as at 10 Sep 2010</w:t>
            </w:r>
            <w:r>
              <w:t xml:space="preserve"> </w:t>
            </w:r>
            <w:r>
              <w:b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Surveillance Devices Amendment Regulations (No. 2) 2012</w:t>
            </w:r>
            <w:r>
              <w:t xml:space="preserve"> </w:t>
            </w:r>
          </w:p>
        </w:tc>
        <w:tc>
          <w:tcPr>
            <w:tcW w:w="1276" w:type="dxa"/>
            <w:gridSpan w:val="2"/>
          </w:tcPr>
          <w:p>
            <w:pPr>
              <w:pStyle w:val="nTable"/>
              <w:spacing w:after="40"/>
            </w:pPr>
            <w:r>
              <w:t>4 Jan 2013 p. 10</w:t>
            </w:r>
          </w:p>
        </w:tc>
        <w:tc>
          <w:tcPr>
            <w:tcW w:w="2695" w:type="dxa"/>
            <w:gridSpan w:val="2"/>
          </w:tcPr>
          <w:p>
            <w:pPr>
              <w:pStyle w:val="nTable"/>
              <w:spacing w:after="40"/>
            </w:pPr>
            <w:r>
              <w:rPr>
                <w:snapToGrid w:val="0"/>
              </w:rPr>
              <w:t>r. 1 and 2: 4 Jan 2013 (see r. 2(a));</w:t>
            </w:r>
            <w:r>
              <w:rPr>
                <w:snapToGrid w:val="0"/>
              </w:rPr>
              <w:br/>
              <w:t xml:space="preserve">Regulations other than r. 1 and 2: </w:t>
            </w:r>
            <w:r>
              <w:t xml:space="preserve">1 Feb 2013 (see r. 2(b) and </w:t>
            </w:r>
            <w:r>
              <w:rPr>
                <w:i/>
              </w:rPr>
              <w:t>Gazette</w:t>
            </w:r>
            <w:r>
              <w:t xml:space="preserve"> 4 Jan 2013 p. 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2012</w:t>
            </w:r>
          </w:p>
        </w:tc>
        <w:tc>
          <w:tcPr>
            <w:tcW w:w="1276" w:type="dxa"/>
            <w:gridSpan w:val="2"/>
          </w:tcPr>
          <w:p>
            <w:pPr>
              <w:pStyle w:val="nTable"/>
              <w:spacing w:after="40"/>
            </w:pPr>
            <w:r>
              <w:t>19 Feb 2013 p. 991</w:t>
            </w:r>
            <w:r>
              <w:noBreakHyphen/>
              <w:t>2</w:t>
            </w:r>
          </w:p>
        </w:tc>
        <w:tc>
          <w:tcPr>
            <w:tcW w:w="2695" w:type="dxa"/>
            <w:gridSpan w:val="2"/>
          </w:tcPr>
          <w:p>
            <w:pPr>
              <w:pStyle w:val="nTable"/>
              <w:spacing w:after="40"/>
              <w:rPr>
                <w:snapToGrid w:val="0"/>
              </w:rPr>
            </w:pPr>
            <w:r>
              <w:rPr>
                <w:snapToGrid w:val="0"/>
                <w:spacing w:val="-2"/>
              </w:rPr>
              <w:t>r. 1 and 2: 19 Feb 2013 (see r. 2(a));</w:t>
            </w:r>
            <w:r>
              <w:rPr>
                <w:snapToGrid w:val="0"/>
                <w:spacing w:val="-2"/>
              </w:rPr>
              <w:br/>
              <w:t>Regulations other than r. 1 and 2: 20 Feb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lastRenderedPageBreak/>
              <w:t>Surveillance Devices Amendment Regulations 2015</w:t>
            </w:r>
          </w:p>
        </w:tc>
        <w:tc>
          <w:tcPr>
            <w:tcW w:w="1276" w:type="dxa"/>
            <w:gridSpan w:val="2"/>
          </w:tcPr>
          <w:p>
            <w:pPr>
              <w:pStyle w:val="nTable"/>
              <w:spacing w:after="40"/>
            </w:pPr>
            <w:r>
              <w:t>1 Dec 2015 p. 4820</w:t>
            </w:r>
            <w:r>
              <w:noBreakHyphen/>
              <w:t>1</w:t>
            </w:r>
          </w:p>
        </w:tc>
        <w:tc>
          <w:tcPr>
            <w:tcW w:w="2695" w:type="dxa"/>
            <w:gridSpan w:val="2"/>
          </w:tcPr>
          <w:p>
            <w:pPr>
              <w:pStyle w:val="nTable"/>
              <w:spacing w:after="40"/>
              <w:rPr>
                <w:snapToGrid w:val="0"/>
                <w:spacing w:val="-2"/>
              </w:rPr>
            </w:pPr>
            <w:r>
              <w:rPr>
                <w:snapToGrid w:val="0"/>
                <w:spacing w:val="-2"/>
              </w:rPr>
              <w:t>r. 1 and 2: 1 Dec 2015 (see r. 2(a));</w:t>
            </w:r>
            <w:r>
              <w:rPr>
                <w:snapToGrid w:val="0"/>
                <w:spacing w:val="-2"/>
              </w:rPr>
              <w:br/>
              <w:t>Regulations other than r. 1 and 2: 2 Dec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(No. 2) 2016</w:t>
            </w:r>
          </w:p>
        </w:tc>
        <w:tc>
          <w:tcPr>
            <w:tcW w:w="1276" w:type="dxa"/>
            <w:gridSpan w:val="2"/>
          </w:tcPr>
          <w:p>
            <w:pPr>
              <w:pStyle w:val="nTable"/>
              <w:spacing w:after="40"/>
            </w:pPr>
            <w:r>
              <w:t>24 Jun 2016 p. 2339-40</w:t>
            </w:r>
          </w:p>
        </w:tc>
        <w:tc>
          <w:tcPr>
            <w:tcW w:w="2695" w:type="dxa"/>
            <w:gridSpan w:val="2"/>
          </w:tcPr>
          <w:p>
            <w:pPr>
              <w:pStyle w:val="nTable"/>
              <w:spacing w:after="40"/>
              <w:rPr>
                <w:snapToGrid w:val="0"/>
                <w:spacing w:val="-2"/>
              </w:rPr>
            </w:pPr>
            <w:r>
              <w:rPr>
                <w:snapToGrid w:val="0"/>
                <w:spacing w:val="-2"/>
              </w:rPr>
              <w:t>r. 1 and 2: 24 Jun 2016 (see r. 2(a));</w:t>
            </w:r>
            <w:r>
              <w:rPr>
                <w:snapToGrid w:val="0"/>
                <w:spacing w:val="-2"/>
              </w:rPr>
              <w:br/>
              <w:t xml:space="preserve">Regulations other than r. 1 and 2: 1 Jul 2016 (see r. 2(b) and </w:t>
            </w:r>
            <w:r>
              <w:rPr>
                <w:i/>
                <w:snapToGrid w:val="0"/>
                <w:spacing w:val="-2"/>
              </w:rPr>
              <w:t>Gazette</w:t>
            </w:r>
            <w:r>
              <w:rPr>
                <w:snapToGrid w:val="0"/>
                <w:spacing w:val="-2"/>
              </w:rPr>
              <w:t xml:space="preserve"> 24 Jun 2016 p. 2291)</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2016</w:t>
            </w:r>
          </w:p>
        </w:tc>
        <w:tc>
          <w:tcPr>
            <w:tcW w:w="1276" w:type="dxa"/>
            <w:gridSpan w:val="2"/>
          </w:tcPr>
          <w:p>
            <w:pPr>
              <w:pStyle w:val="nTable"/>
              <w:spacing w:after="40"/>
            </w:pPr>
            <w:r>
              <w:t>16 Sep 2016 p. 3941</w:t>
            </w:r>
          </w:p>
        </w:tc>
        <w:tc>
          <w:tcPr>
            <w:tcW w:w="2695" w:type="dxa"/>
            <w:gridSpan w:val="2"/>
          </w:tcPr>
          <w:p>
            <w:pPr>
              <w:pStyle w:val="nTable"/>
              <w:spacing w:after="40"/>
              <w:rPr>
                <w:snapToGrid w:val="0"/>
                <w:spacing w:val="-2"/>
              </w:rPr>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Surveillance Devices Amendment Regulations (No. 3) 2016</w:t>
            </w:r>
          </w:p>
        </w:tc>
        <w:tc>
          <w:tcPr>
            <w:tcW w:w="1276" w:type="dxa"/>
            <w:gridSpan w:val="2"/>
          </w:tcPr>
          <w:p>
            <w:pPr>
              <w:pStyle w:val="nTable"/>
              <w:spacing w:after="40"/>
            </w:pPr>
            <w:r>
              <w:t>23 Dec 2016 p. 5905</w:t>
            </w:r>
            <w:r>
              <w:noBreakHyphen/>
              <w:t>6</w:t>
            </w:r>
          </w:p>
        </w:tc>
        <w:tc>
          <w:tcPr>
            <w:tcW w:w="2695" w:type="dxa"/>
            <w:gridSpan w:val="2"/>
          </w:tcPr>
          <w:p>
            <w:pPr>
              <w:pStyle w:val="nTable"/>
              <w:spacing w:after="40"/>
              <w:rPr>
                <w:snapToGrid w:val="0"/>
                <w:spacing w:val="-2"/>
              </w:rPr>
            </w:pPr>
            <w:r>
              <w:rPr>
                <w:snapToGrid w:val="0"/>
                <w:spacing w:val="-2"/>
              </w:rPr>
              <w:t>r. 1 and 2: 23</w:t>
            </w:r>
            <w:r>
              <w:t> Dec 2016</w:t>
            </w:r>
            <w:r>
              <w:rPr>
                <w:snapToGrid w:val="0"/>
                <w:spacing w:val="-2"/>
              </w:rPr>
              <w:t xml:space="preserve"> (see r. 2(a));</w:t>
            </w:r>
            <w:r>
              <w:rPr>
                <w:snapToGrid w:val="0"/>
                <w:spacing w:val="-2"/>
              </w:rPr>
              <w:br/>
              <w:t>Regulations other than r. 1 and 2: 24</w:t>
            </w:r>
            <w:r>
              <w:t> Dec 2016</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2017</w:t>
            </w:r>
          </w:p>
        </w:tc>
        <w:tc>
          <w:tcPr>
            <w:tcW w:w="1276" w:type="dxa"/>
            <w:gridSpan w:val="2"/>
          </w:tcPr>
          <w:p>
            <w:pPr>
              <w:pStyle w:val="nTable"/>
              <w:spacing w:after="40"/>
            </w:pPr>
            <w:r>
              <w:t>18 Aug 2017 p. 4448</w:t>
            </w:r>
          </w:p>
        </w:tc>
        <w:tc>
          <w:tcPr>
            <w:tcW w:w="2695" w:type="dxa"/>
            <w:gridSpan w:val="2"/>
          </w:tcPr>
          <w:p>
            <w:pPr>
              <w:pStyle w:val="nTable"/>
              <w:spacing w:after="40"/>
              <w:rPr>
                <w:snapToGrid w:val="0"/>
                <w:spacing w:val="-2"/>
              </w:rPr>
            </w:pPr>
            <w:r>
              <w:rPr>
                <w:snapToGrid w:val="0"/>
                <w:spacing w:val="-2"/>
              </w:rPr>
              <w:t>r. 1 and 2: 18</w:t>
            </w:r>
            <w:r>
              <w:t> Aug 2017</w:t>
            </w:r>
            <w:r>
              <w:rPr>
                <w:snapToGrid w:val="0"/>
                <w:spacing w:val="-2"/>
              </w:rPr>
              <w:t xml:space="preserve"> (see r. 2(a));</w:t>
            </w:r>
            <w:r>
              <w:rPr>
                <w:snapToGrid w:val="0"/>
                <w:spacing w:val="-2"/>
              </w:rPr>
              <w:br/>
              <w:t>Regulations other than r. 1 and 2: 19</w:t>
            </w:r>
            <w:r>
              <w:t> Aug 2017</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snapToGrid w:val="0"/>
                <w:spacing w:val="-2"/>
              </w:rPr>
              <w:t xml:space="preserve">Reprint 3: The </w:t>
            </w:r>
            <w:r>
              <w:rPr>
                <w:b/>
                <w:i/>
                <w:noProof/>
                <w:snapToGrid w:val="0"/>
                <w:spacing w:val="-2"/>
              </w:rPr>
              <w:t>Surveillance Devices Regulations 1999</w:t>
            </w:r>
            <w:r>
              <w:rPr>
                <w:b/>
                <w:snapToGrid w:val="0"/>
                <w:spacing w:val="-2"/>
              </w:rPr>
              <w:t xml:space="preserve"> as at 13 Jul 2018</w:t>
            </w:r>
            <w:r>
              <w:rPr>
                <w:snapToGrid w:val="0"/>
                <w:spacing w:val="-2"/>
              </w:rPr>
              <w:t xml:space="preserve"> (includes amendments listed above)</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2020</w:t>
            </w:r>
          </w:p>
        </w:tc>
        <w:tc>
          <w:tcPr>
            <w:tcW w:w="1276" w:type="dxa"/>
            <w:gridSpan w:val="2"/>
            <w:tcBorders>
              <w:top w:val="nil"/>
              <w:bottom w:val="nil"/>
            </w:tcBorders>
          </w:tcPr>
          <w:p>
            <w:pPr>
              <w:pStyle w:val="nTable"/>
              <w:spacing w:after="40"/>
            </w:pPr>
            <w:r>
              <w:t>SL 2020/36 9 Apr 2020</w:t>
            </w:r>
          </w:p>
        </w:tc>
        <w:tc>
          <w:tcPr>
            <w:tcW w:w="2695" w:type="dxa"/>
            <w:gridSpan w:val="2"/>
            <w:tcBorders>
              <w:top w:val="nil"/>
              <w:bottom w:val="nil"/>
            </w:tcBorders>
          </w:tcPr>
          <w:p>
            <w:pPr>
              <w:pStyle w:val="nTable"/>
              <w:spacing w:after="40"/>
              <w:rPr>
                <w:snapToGrid w:val="0"/>
                <w:spacing w:val="-2"/>
              </w:rPr>
            </w:pPr>
            <w:r>
              <w:rPr>
                <w:snapToGrid w:val="0"/>
                <w:spacing w:val="-2"/>
              </w:rPr>
              <w:t xml:space="preserve">r. 1 and 2: </w:t>
            </w:r>
            <w:r>
              <w:t>9 Apr 2020</w:t>
            </w:r>
            <w:r>
              <w:rPr>
                <w:snapToGrid w:val="0"/>
                <w:spacing w:val="-2"/>
              </w:rPr>
              <w:t xml:space="preserve"> (see r. 2(a));</w:t>
            </w:r>
            <w:r>
              <w:rPr>
                <w:snapToGrid w:val="0"/>
                <w:spacing w:val="-2"/>
              </w:rPr>
              <w:br/>
              <w:t xml:space="preserve">Regulations other than r. 1 and 2: </w:t>
            </w:r>
            <w:r>
              <w:t>10 Apr 2020</w:t>
            </w:r>
            <w:r>
              <w:rPr>
                <w:snapToGrid w:val="0"/>
                <w:spacing w:val="-2"/>
              </w:rPr>
              <w:t xml:space="preserve">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(No. 2)  2020</w:t>
            </w:r>
          </w:p>
        </w:tc>
        <w:tc>
          <w:tcPr>
            <w:tcW w:w="1276" w:type="dxa"/>
            <w:gridSpan w:val="2"/>
            <w:tcBorders>
              <w:top w:val="nil"/>
              <w:bottom w:val="nil"/>
            </w:tcBorders>
          </w:tcPr>
          <w:p>
            <w:pPr>
              <w:pStyle w:val="nTable"/>
              <w:spacing w:after="40"/>
            </w:pPr>
            <w:r>
              <w:t>SL 2020/61 22 May 2020</w:t>
            </w:r>
          </w:p>
        </w:tc>
        <w:tc>
          <w:tcPr>
            <w:tcW w:w="2695" w:type="dxa"/>
            <w:gridSpan w:val="2"/>
            <w:tcBorders>
              <w:top w:val="nil"/>
              <w:bottom w:val="nil"/>
            </w:tcBorders>
          </w:tcPr>
          <w:p>
            <w:pPr>
              <w:pStyle w:val="nTable"/>
              <w:spacing w:after="40"/>
              <w:rPr>
                <w:snapToGrid w:val="0"/>
                <w:spacing w:val="-2"/>
              </w:rPr>
            </w:pPr>
            <w:r>
              <w:rPr>
                <w:snapToGrid w:val="0"/>
                <w:spacing w:val="-2"/>
              </w:rPr>
              <w:t xml:space="preserve">r. 1 and 2: </w:t>
            </w:r>
            <w:r>
              <w:t>22 May 2020</w:t>
            </w:r>
            <w:r>
              <w:rPr>
                <w:snapToGrid w:val="0"/>
                <w:spacing w:val="-2"/>
              </w:rPr>
              <w:t xml:space="preserve"> (see r. 2(a));</w:t>
            </w:r>
            <w:r>
              <w:rPr>
                <w:snapToGrid w:val="0"/>
                <w:spacing w:val="-2"/>
              </w:rPr>
              <w:br/>
              <w:t xml:space="preserve">Regulations other than r. 1 and 2: </w:t>
            </w:r>
            <w:r>
              <w:t>23 May 2020</w:t>
            </w:r>
            <w:r>
              <w:rPr>
                <w:snapToGrid w:val="0"/>
                <w:spacing w:val="-2"/>
              </w:rPr>
              <w:t xml:space="preserve">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(No. 3) 2020</w:t>
            </w:r>
          </w:p>
        </w:tc>
        <w:tc>
          <w:tcPr>
            <w:tcW w:w="1276" w:type="dxa"/>
            <w:gridSpan w:val="2"/>
            <w:tcBorders>
              <w:top w:val="nil"/>
              <w:bottom w:val="nil"/>
            </w:tcBorders>
          </w:tcPr>
          <w:p>
            <w:pPr>
              <w:pStyle w:val="nTable"/>
              <w:spacing w:after="40"/>
            </w:pPr>
            <w:r>
              <w:t>SL 2020/151 31 Aug 2020</w:t>
            </w:r>
          </w:p>
        </w:tc>
        <w:tc>
          <w:tcPr>
            <w:tcW w:w="2695" w:type="dxa"/>
            <w:gridSpan w:val="2"/>
            <w:tcBorders>
              <w:top w:val="nil"/>
              <w:bottom w:val="nil"/>
            </w:tcBorders>
          </w:tcPr>
          <w:p>
            <w:pPr>
              <w:pStyle w:val="nTable"/>
              <w:spacing w:after="40"/>
              <w:rPr>
                <w:snapToGrid w:val="0"/>
                <w:spacing w:val="-2"/>
              </w:rPr>
            </w:pPr>
            <w:r>
              <w:rPr>
                <w:snapToGrid w:val="0"/>
                <w:spacing w:val="-2"/>
              </w:rPr>
              <w:t>31 Aug 2020 (see r. 2)</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bottom w:val="single" w:sz="4" w:space="0" w:color="auto"/>
            </w:tcBorders>
          </w:tcPr>
          <w:p>
            <w:pPr>
              <w:pStyle w:val="nTable"/>
              <w:spacing w:after="40"/>
              <w:ind w:right="113"/>
              <w:rPr>
                <w:i/>
              </w:rPr>
            </w:pPr>
            <w:r>
              <w:rPr>
                <w:i/>
              </w:rPr>
              <w:t>Surveillance Devices Amendment Regulations 2023</w:t>
            </w:r>
          </w:p>
        </w:tc>
        <w:tc>
          <w:tcPr>
            <w:tcW w:w="1276" w:type="dxa"/>
            <w:gridSpan w:val="2"/>
            <w:tcBorders>
              <w:bottom w:val="single" w:sz="4" w:space="0" w:color="auto"/>
            </w:tcBorders>
          </w:tcPr>
          <w:p>
            <w:pPr>
              <w:pStyle w:val="nTable"/>
              <w:spacing w:after="40"/>
            </w:pPr>
            <w:r>
              <w:t>SL 2023/188 29 Nov 2023</w:t>
            </w:r>
          </w:p>
        </w:tc>
        <w:tc>
          <w:tcPr>
            <w:tcW w:w="2695" w:type="dxa"/>
            <w:gridSpan w:val="2"/>
            <w:tcBorders>
              <w:bottom w:val="single" w:sz="4" w:space="0" w:color="auto"/>
            </w:tcBorders>
          </w:tcPr>
          <w:p>
            <w:pPr>
              <w:pStyle w:val="nTable"/>
              <w:spacing w:after="40"/>
              <w:rPr>
                <w:snapToGrid w:val="0"/>
                <w:spacing w:val="-2"/>
              </w:rPr>
            </w:pPr>
            <w:r>
              <w:rPr>
                <w:snapToGrid w:val="0"/>
                <w:spacing w:val="-2"/>
              </w:rPr>
              <w:t>r. 1 and 2: 29 Nov 2023 (see r. 2(a));</w:t>
            </w:r>
            <w:r>
              <w:rPr>
                <w:snapToGrid w:val="0"/>
                <w:spacing w:val="-2"/>
              </w:rPr>
              <w:br/>
              <w:t>Regulations other than r. 1 and 2: 30 Nov 2023 (see r. 2(b))</w:t>
            </w:r>
          </w:p>
        </w:tc>
      </w:tr>
    </w:tbl>
    <w:p>
      <w:pPr>
        <w:pStyle w:val="nHeading3"/>
      </w:pPr>
      <w:bookmarkStart w:id="19" w:name="_Toc174625812"/>
      <w:r>
        <w:lastRenderedPageBreak/>
        <w:t>Uncommenced provisions table</w:t>
      </w:r>
      <w:bookmarkEnd w:id="1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Police Regulations Amendment (Criminal Law Mental Impairment) Regulations 2024 </w:t>
            </w:r>
            <w:r>
              <w:rPr>
                <w:iCs/>
              </w:rPr>
              <w:t>Pt. 4</w:t>
            </w:r>
          </w:p>
        </w:tc>
        <w:tc>
          <w:tcPr>
            <w:tcW w:w="1276" w:type="dxa"/>
          </w:tcPr>
          <w:p>
            <w:pPr>
              <w:pStyle w:val="nTable"/>
              <w:spacing w:after="40"/>
            </w:pPr>
            <w:r>
              <w:t>SL 2024/172 21 Aug 2024</w:t>
            </w:r>
          </w:p>
        </w:tc>
        <w:tc>
          <w:tcPr>
            <w:tcW w:w="2693" w:type="dxa"/>
          </w:tcPr>
          <w:p>
            <w:pPr>
              <w:pStyle w:val="nTable"/>
              <w:spacing w:after="40"/>
            </w:pPr>
            <w:r>
              <w:t>1 Sep 2024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1" w:name="_Toc174625338"/>
      <w:bookmarkStart w:id="22" w:name="_Toc174625582"/>
      <w:bookmarkStart w:id="23" w:name="_Toc174625813"/>
      <w:r>
        <w:rPr>
          <w:sz w:val="28"/>
        </w:rPr>
        <w:lastRenderedPageBreak/>
        <w:t>Defined terms</w:t>
      </w:r>
      <w:bookmarkEnd w:id="21"/>
      <w:bookmarkEnd w:id="22"/>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emergency service</w:t>
      </w:r>
      <w:r>
        <w:tab/>
        <w:t>6(4)</w:t>
      </w:r>
    </w:p>
    <w:p>
      <w:pPr>
        <w:pStyle w:val="DefinedTerms"/>
      </w:pPr>
      <w:r>
        <w:t>hospital</w:t>
      </w:r>
      <w:r>
        <w:tab/>
        <w:t>6(4)</w:t>
      </w:r>
    </w:p>
    <w:p>
      <w:pPr>
        <w:pStyle w:val="DefinedTerms"/>
      </w:pPr>
      <w:r>
        <w:t>nursing home</w:t>
      </w:r>
      <w:r>
        <w:tab/>
        <w:t>6(4)</w:t>
      </w:r>
    </w:p>
    <w:p>
      <w:pPr>
        <w:pStyle w:val="DefinedTerms"/>
      </w:pPr>
      <w:r>
        <w:t>Part 5 record</w:t>
      </w:r>
      <w:r>
        <w:tab/>
        <w:t>7(3)</w:t>
      </w:r>
    </w:p>
    <w:p>
      <w:pPr>
        <w:pStyle w:val="DefinedTerms"/>
      </w:pPr>
      <w:r>
        <w:t>prison</w:t>
      </w:r>
      <w:r>
        <w:tab/>
        <w:t>6(4)</w:t>
      </w:r>
    </w:p>
    <w:p>
      <w:pPr>
        <w:pStyle w:val="DefinedTerms"/>
      </w:pPr>
      <w:r>
        <w:t>public authority</w:t>
      </w:r>
      <w:r>
        <w:tab/>
        <w:t>6(4)</w:t>
      </w:r>
    </w:p>
    <w:p>
      <w:pPr>
        <w:pStyle w:val="DefinedTerms"/>
      </w:pPr>
      <w:r>
        <w:t>researcher</w:t>
      </w:r>
      <w:r>
        <w:tab/>
        <w:t>6(4)</w:t>
      </w:r>
    </w:p>
    <w:p>
      <w:pPr>
        <w:pStyle w:val="DefinedTerms"/>
      </w:pPr>
      <w:r>
        <w:t>superintendent</w:t>
      </w:r>
      <w:r>
        <w:tab/>
        <w:t>6(4)</w:t>
      </w:r>
    </w:p>
    <w:p>
      <w:pPr>
        <w:pStyle w:val="DefinedTerms"/>
      </w:pPr>
      <w:r>
        <w:t>surveillance information</w:t>
      </w:r>
      <w:r>
        <w:tab/>
        <w:t>9(3)</w:t>
      </w:r>
    </w:p>
    <w:p>
      <w:pPr>
        <w:pStyle w:val="DefinedTerms"/>
      </w:pPr>
      <w:r>
        <w:t>vulnerable patient</w:t>
      </w:r>
      <w:r>
        <w:tab/>
        <w:t>6(4)</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 w:name="Coversheet"/>
    <w:bookmarkEnd w:id="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5286D0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63906"/>
    <w:docVar w:name="WAFER_20140203154210" w:val="RemoveTocBookmarks,RemoveUnusedBookmarks,RemoveLanguageTags,UsedStyles,ResetPageSize,UpdateArrangement"/>
    <w:docVar w:name="WAFER_20140203154210_GUID" w:val="dc426eed-d799-4c74-90b0-e09b083e21c1"/>
    <w:docVar w:name="WAFER_20140203160953" w:val="RemoveTocBookmarks,RunningHeaders"/>
    <w:docVar w:name="WAFER_20140203160953_GUID" w:val="194e5d90-b5a4-499d-99db-cdd6e2cb7134"/>
    <w:docVar w:name="WAFER_20150721101554" w:val="ResetPageSize,UpdateArrangement,UpdateNTable"/>
    <w:docVar w:name="WAFER_20150721101554_GUID" w:val="6d13a5b7-7a81-4d06-8c59-418184cbfca0"/>
    <w:docVar w:name="WAFER_20151111120508" w:val="UpdateStyles,UsedStyles"/>
    <w:docVar w:name="WAFER_20151111120508_GUID" w:val="5786efb1-1309-4810-b9ea-e9ce8e948dbf"/>
    <w:docVar w:name="WAFER_20161222153632" w:val="RemoveTocBookmarks,RemoveUnusedBookmarks,RemoveLanguageTags,UsedStyles,ResetPageSize"/>
    <w:docVar w:name="WAFER_20161222153632_GUID" w:val="62c151ef-b6c1-4980-baaf-3b7fb9146a7a"/>
    <w:docVar w:name="WAFER_20180320095542" w:val="RemoveTocBookmarks,RemoveUnusedBookmarks,RemoveLanguageTags,UsedStyles,ResetPageSize,RemoveCustomizations"/>
    <w:docVar w:name="WAFER_20180320095542_GUID" w:val="d358047c-c6ba-4a05-a1d9-97179e1c8f8e"/>
    <w:docVar w:name="WAFER_20180510092033" w:val="RemoveTocBookmarks,RemoveUnusedBookmarks,RemoveLanguageTags,UsedStyles,RemoveTrackChanges"/>
    <w:docVar w:name="WAFER_20180510092033_GUID" w:val="5655f42c-5a37-4e23-8bd9-aba940bd40b0"/>
    <w:docVar w:name="WAFER_20180510092102" w:val="RemoveTocBookmarks,RemoveLanguageTags,RemoveTrackChanges,RunningHeaders"/>
    <w:docVar w:name="WAFER_20180510092102_GUID" w:val="64318387-d392-42fe-8252-4bbfa8f1fcf6"/>
    <w:docVar w:name="WAFER_20200522093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93510_GUID" w:val="83678e17-fd5f-4b87-8442-9c6a2714e3ca"/>
    <w:docVar w:name="WAFER_20200831095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095050_GUID" w:val="d7c303c1-ea1b-4ad9-aaba-46d1bc70ad2d"/>
    <w:docVar w:name="WAFER_20231124101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24101531_GUID" w:val="e12248d1-1da0-48f1-a3a0-8db971739d42"/>
    <w:docVar w:name="WAFER_20231228163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906_GUID" w:val="ae95325c-58e8-4904-a225-ab8a097f69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5:docId w15:val="{ED64E8C7-BF9F-4A2C-B652-C218692F3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99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4966</Words>
  <Characters>27066</Characters>
  <Application>Microsoft Office Word</Application>
  <DocSecurity>0</DocSecurity>
  <Lines>1127</Lines>
  <Paragraphs>681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1999 - 03-f0-00</dc:title>
  <dc:subject/>
  <dc:creator/>
  <cp:keywords/>
  <dc:description/>
  <cp:lastModifiedBy>Master Repository Process</cp:lastModifiedBy>
  <cp:revision>4</cp:revision>
  <cp:lastPrinted>2018-03-20T02:06:00Z</cp:lastPrinted>
  <dcterms:created xsi:type="dcterms:W3CDTF">2025-06-26T03:13:00Z</dcterms:created>
  <dcterms:modified xsi:type="dcterms:W3CDTF">2025-06-26T03:13:00Z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DocumentType">
    <vt:lpwstr>Reg</vt:lpwstr>
  </property>
  <property fmtid="{D5CDD505-2E9C-101B-9397-08002B2CF9AE}" pid="4" name="OwlsUID">
    <vt:i4>917</vt:i4>
  </property>
  <property fmtid="{D5CDD505-2E9C-101B-9397-08002B2CF9AE}" pid="5" name="ReprintedAsAt">
    <vt:filetime>2018-07-12T16:00:00Z</vt:filetime>
  </property>
  <property fmtid="{D5CDD505-2E9C-101B-9397-08002B2CF9AE}" pid="6" name="ReprintNo">
    <vt:lpwstr>3</vt:lpwstr>
  </property>
  <property fmtid="{D5CDD505-2E9C-101B-9397-08002B2CF9AE}" pid="7" name="AsAtDate">
    <vt:lpwstr>21 Aug 2024</vt:lpwstr>
  </property>
  <property fmtid="{D5CDD505-2E9C-101B-9397-08002B2CF9AE}" pid="8" name="Suffix">
    <vt:lpwstr>03-f0-00</vt:lpwstr>
  </property>
  <property fmtid="{D5CDD505-2E9C-101B-9397-08002B2CF9AE}" pid="9" name="Official">
    <vt:lpwstr/>
  </property>
  <property fmtid="{D5CDD505-2E9C-101B-9397-08002B2CF9AE}" pid="10" name="CommencementDate">
    <vt:lpwstr>20240821</vt:lpwstr>
  </property>
  <property fmtid="{D5CDD505-2E9C-101B-9397-08002B2CF9AE}" pid="11" name="CommencementAsAt">
    <vt:filetime>2024-08-20T16:00:00Z</vt:filetime>
  </property>
  <property fmtid="{D5CDD505-2E9C-101B-9397-08002B2CF9AE}" pid="12" name="CommencementYear">
    <vt:lpwstr>2024</vt:lpwstr>
  </property>
</Properties>
</file>