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_Toc175219381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_Toc175219382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_Toc175219383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_Toc175219384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_Toc175219385 \h </w:instrText>
      </w:r>
      <w:r>
        <w:fldChar w:fldCharType="separate"/>
      </w:r>
      <w:r>
        <w:t>6</w:t>
      </w:r>
      <w:r>
        <w:fldChar w:fldCharType="end"/>
      </w:r>
    </w:p>
    <w:p>
      <w:pPr>
        <w:pStyle w:val="TOC8"/>
        <w:rPr>
          <w:rFonts w:asciiTheme="minorHAnsi" w:eastAsiaTheme="minorEastAsia" w:hAnsiTheme="minorHAnsi" w:cstheme="minorBidi"/>
          <w:szCs w:val="22"/>
        </w:rPr>
      </w:pPr>
      <w:r>
        <w:t>5A.</w:t>
      </w:r>
      <w:r>
        <w:tab/>
        <w:t>Delegation by Minister</w:t>
      </w:r>
      <w:r>
        <w:tab/>
      </w:r>
      <w:r>
        <w:fldChar w:fldCharType="begin"/>
      </w:r>
      <w:r>
        <w:instrText xml:space="preserve"> PAGEREF _Toc175219386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_Toc175219389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_Toc175219391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_Toc175219392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_Toc175219393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_Toc175219395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_Toc175219396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_Toc175219397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_Toc175219398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_Toc175219399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_Toc175219401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_Toc175219402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Consents under section 13</w:t>
      </w:r>
      <w:r>
        <w:tab/>
      </w:r>
      <w:r>
        <w:fldChar w:fldCharType="begin"/>
      </w:r>
      <w:r>
        <w:instrText xml:space="preserve"> PAGEREF _Toc175219403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tab/>
        <w:t>Consent by adult to removal of blood</w:t>
      </w:r>
      <w:r>
        <w:tab/>
      </w:r>
      <w:r>
        <w:fldChar w:fldCharType="begin"/>
      </w:r>
      <w:r>
        <w:instrText xml:space="preserve"> PAGEREF _Toc175219405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_Toc175219406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_Toc175219407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_Toc175219408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Donations of tissue after death</w:t>
      </w:r>
    </w:p>
    <w:p>
      <w:pPr>
        <w:pStyle w:val="TOC8"/>
        <w:rPr>
          <w:rFonts w:asciiTheme="minorHAnsi" w:eastAsiaTheme="minorEastAsia" w:hAnsiTheme="minorHAnsi" w:cstheme="minorBidi"/>
          <w:szCs w:val="22"/>
        </w:rPr>
      </w:pPr>
      <w:r>
        <w:t>21A.</w:t>
      </w:r>
      <w:r>
        <w:tab/>
        <w:t xml:space="preserve">No application to </w:t>
      </w:r>
      <w:r>
        <w:rPr>
          <w:i/>
        </w:rPr>
        <w:t>Anatomy Act 1930</w:t>
      </w:r>
      <w:r>
        <w:tab/>
      </w:r>
      <w:r>
        <w:fldChar w:fldCharType="begin"/>
      </w:r>
      <w:r>
        <w:instrText xml:space="preserve"> PAGEREF _Toc175219410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_Toc175219411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_Toc175219412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_Toc175219413 \h </w:instrText>
      </w:r>
      <w:r>
        <w:fldChar w:fldCharType="separate"/>
      </w:r>
      <w:r>
        <w:t>19</w:t>
      </w:r>
      <w:r>
        <w:fldChar w:fldCharType="end"/>
      </w:r>
    </w:p>
    <w:p>
      <w:pPr>
        <w:pStyle w:val="TOC8"/>
        <w:rPr>
          <w:rFonts w:asciiTheme="minorHAnsi" w:eastAsiaTheme="minorEastAsia" w:hAnsiTheme="minorHAnsi" w:cstheme="minorBidi"/>
          <w:szCs w:val="22"/>
        </w:rPr>
      </w:pPr>
      <w:r>
        <w:t>24A.</w:t>
      </w:r>
      <w:r>
        <w:tab/>
        <w:t>Appointment of authorised persons</w:t>
      </w:r>
      <w:r>
        <w:tab/>
      </w:r>
      <w:r>
        <w:fldChar w:fldCharType="begin"/>
      </w:r>
      <w:r>
        <w:instrText xml:space="preserve"> PAGEREF _Toc175219414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_Toc175219416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_Toc175219417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_Toc175219418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_Toc175219419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29.</w:t>
      </w:r>
      <w:r>
        <w:tab/>
        <w:t xml:space="preserve">Part does not apply to trading regulated under </w:t>
      </w:r>
      <w:r>
        <w:rPr>
          <w:i/>
        </w:rPr>
        <w:t>Human Reproductive Technology Act 1991</w:t>
      </w:r>
      <w:r>
        <w:tab/>
      </w:r>
      <w:r>
        <w:fldChar w:fldCharType="begin"/>
      </w:r>
      <w:r>
        <w:instrText xml:space="preserve"> PAGEREF _Toc175219421 \h </w:instrText>
      </w:r>
      <w:r>
        <w:fldChar w:fldCharType="separate"/>
      </w:r>
      <w:r>
        <w:t>28</w:t>
      </w:r>
      <w:r>
        <w:fldChar w:fldCharType="end"/>
      </w:r>
    </w:p>
    <w:p>
      <w:pPr>
        <w:pStyle w:val="TOC8"/>
        <w:rPr>
          <w:rFonts w:asciiTheme="minorHAnsi" w:eastAsiaTheme="minorEastAsia" w:hAnsiTheme="minorHAnsi" w:cstheme="minorBidi"/>
          <w:szCs w:val="22"/>
        </w:rPr>
      </w:pPr>
      <w:r>
        <w:t>29A.</w:t>
      </w:r>
      <w:r>
        <w:tab/>
        <w:t>Unauthorised trading in tissue prohibited</w:t>
      </w:r>
      <w:r>
        <w:tab/>
      </w:r>
      <w:r>
        <w:fldChar w:fldCharType="begin"/>
      </w:r>
      <w:r>
        <w:instrText xml:space="preserve"> PAGEREF _Toc175219422 \h </w:instrText>
      </w:r>
      <w:r>
        <w:fldChar w:fldCharType="separate"/>
      </w:r>
      <w:r>
        <w:t>28</w:t>
      </w:r>
      <w:r>
        <w:fldChar w:fldCharType="end"/>
      </w:r>
    </w:p>
    <w:p>
      <w:pPr>
        <w:pStyle w:val="TOC8"/>
        <w:rPr>
          <w:rFonts w:asciiTheme="minorHAnsi" w:eastAsiaTheme="minorEastAsia" w:hAnsiTheme="minorHAnsi" w:cstheme="minorBidi"/>
          <w:szCs w:val="22"/>
        </w:rPr>
      </w:pPr>
      <w:r>
        <w:t>29B.</w:t>
      </w:r>
      <w:r>
        <w:tab/>
        <w:t>Recovery of certain costs by authorised suppliers</w:t>
      </w:r>
      <w:r>
        <w:tab/>
      </w:r>
      <w:r>
        <w:fldChar w:fldCharType="begin"/>
      </w:r>
      <w:r>
        <w:instrText xml:space="preserve"> PAGEREF _Toc175219423 \h </w:instrText>
      </w:r>
      <w:r>
        <w:fldChar w:fldCharType="separate"/>
      </w:r>
      <w:r>
        <w:t>31</w:t>
      </w:r>
      <w:r>
        <w:fldChar w:fldCharType="end"/>
      </w:r>
    </w:p>
    <w:p>
      <w:pPr>
        <w:pStyle w:val="TOC8"/>
        <w:rPr>
          <w:rFonts w:asciiTheme="minorHAnsi" w:eastAsiaTheme="minorEastAsia" w:hAnsiTheme="minorHAnsi" w:cstheme="minorBidi"/>
          <w:szCs w:val="22"/>
        </w:rPr>
      </w:pPr>
      <w:r>
        <w:t>29C.</w:t>
      </w:r>
      <w:r>
        <w:tab/>
        <w:t>Recovery of certain costs by authorised school of anatomy</w:t>
      </w:r>
      <w:r>
        <w:tab/>
      </w:r>
      <w:r>
        <w:fldChar w:fldCharType="begin"/>
      </w:r>
      <w:r>
        <w:instrText xml:space="preserve"> PAGEREF _Toc175219424 \h </w:instrText>
      </w:r>
      <w:r>
        <w:fldChar w:fldCharType="separate"/>
      </w:r>
      <w:r>
        <w:t>32</w:t>
      </w:r>
      <w:r>
        <w:fldChar w:fldCharType="end"/>
      </w:r>
    </w:p>
    <w:p>
      <w:pPr>
        <w:pStyle w:val="TOC8"/>
        <w:rPr>
          <w:rFonts w:asciiTheme="minorHAnsi" w:eastAsiaTheme="minorEastAsia" w:hAnsiTheme="minorHAnsi" w:cstheme="minorBidi"/>
          <w:szCs w:val="22"/>
        </w:rPr>
      </w:pPr>
      <w:r>
        <w:t>29D.</w:t>
      </w:r>
      <w:r>
        <w:tab/>
        <w:t>Minister may make order as to application of section 29A</w:t>
      </w:r>
      <w:r>
        <w:tab/>
      </w:r>
      <w:r>
        <w:fldChar w:fldCharType="begin"/>
      </w:r>
      <w:r>
        <w:instrText xml:space="preserve"> PAGEREF _Toc175219425 \h </w:instrText>
      </w:r>
      <w:r>
        <w:fldChar w:fldCharType="separate"/>
      </w:r>
      <w:r>
        <w:t>33</w:t>
      </w:r>
      <w:r>
        <w:fldChar w:fldCharType="end"/>
      </w:r>
    </w:p>
    <w:p>
      <w:pPr>
        <w:pStyle w:val="TOC8"/>
        <w:rPr>
          <w:rFonts w:asciiTheme="minorHAnsi" w:eastAsiaTheme="minorEastAsia" w:hAnsiTheme="minorHAnsi" w:cstheme="minorBidi"/>
          <w:szCs w:val="22"/>
        </w:rPr>
      </w:pPr>
      <w:r>
        <w:t>29E.</w:t>
      </w:r>
      <w:r>
        <w:tab/>
        <w:t>Minister may approve certain contracts</w:t>
      </w:r>
      <w:r>
        <w:tab/>
      </w:r>
      <w:r>
        <w:fldChar w:fldCharType="begin"/>
      </w:r>
      <w:r>
        <w:instrText xml:space="preserve"> PAGEREF _Toc175219426 \h </w:instrText>
      </w:r>
      <w:r>
        <w:fldChar w:fldCharType="separate"/>
      </w:r>
      <w:r>
        <w:t>34</w:t>
      </w:r>
      <w:r>
        <w:fldChar w:fldCharType="end"/>
      </w:r>
    </w:p>
    <w:p>
      <w:pPr>
        <w:pStyle w:val="TOC8"/>
        <w:rPr>
          <w:rFonts w:asciiTheme="minorHAnsi" w:eastAsiaTheme="minorEastAsia" w:hAnsiTheme="minorHAnsi" w:cstheme="minorBidi"/>
          <w:szCs w:val="22"/>
        </w:rPr>
      </w:pPr>
      <w:r>
        <w:t>29F.</w:t>
      </w:r>
      <w:r>
        <w:tab/>
        <w:t>Human Tissue Advisory Body</w:t>
      </w:r>
      <w:r>
        <w:tab/>
      </w:r>
      <w:r>
        <w:fldChar w:fldCharType="begin"/>
      </w:r>
      <w:r>
        <w:instrText xml:space="preserve"> PAGEREF _Toc175219427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Advertisements relating to buying human tissue prohibited</w:t>
      </w:r>
      <w:r>
        <w:tab/>
      </w:r>
      <w:r>
        <w:fldChar w:fldCharType="begin"/>
      </w:r>
      <w:r>
        <w:instrText xml:space="preserve"> PAGEREF _Toc175219428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Prohibition on the use of embryonic stem cell lines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_Toc175219430 \h </w:instrText>
      </w:r>
      <w:r>
        <w:fldChar w:fldCharType="separate"/>
      </w:r>
      <w:r>
        <w:t>37</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_Toc175219431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_Toc175219433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_Toc175219434 \h </w:instrText>
      </w:r>
      <w:r>
        <w:fldChar w:fldCharType="separate"/>
      </w:r>
      <w:r>
        <w:t>39</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_Toc175219435 \h </w:instrText>
      </w:r>
      <w:r>
        <w:fldChar w:fldCharType="separate"/>
      </w:r>
      <w:r>
        <w:t>40</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_Toc175219436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_Toc175219437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_Toc175219438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_Toc175219439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may adopt codes or legislation</w:t>
      </w:r>
      <w:r>
        <w:tab/>
      </w:r>
      <w:r>
        <w:fldChar w:fldCharType="begin"/>
      </w:r>
      <w:r>
        <w:instrText xml:space="preserve"> PAGEREF _Toc175219440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_Toc175219442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2" w:name="_Toc175212219"/>
      <w:bookmarkStart w:id="3" w:name="_Toc175213145"/>
      <w:bookmarkStart w:id="4" w:name="_Toc1752193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pPr>
      <w:r>
        <w:tab/>
        <w:t>[Heading amended: No. 41 of 2022 s. 5.]</w:t>
      </w:r>
    </w:p>
    <w:p>
      <w:pPr>
        <w:pStyle w:val="Heading5"/>
        <w:rPr>
          <w:snapToGrid w:val="0"/>
        </w:rPr>
      </w:pPr>
      <w:bookmarkStart w:id="5" w:name="_Toc17521938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6" w:name="_Toc17521938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175219383"/>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Human Tissue Advisory Body</w:t>
      </w:r>
      <w:r>
        <w:t xml:space="preserve"> means the body established under section 29F(1);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lastRenderedPageBreak/>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lastRenderedPageBreak/>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8" w:name="_Toc175219384"/>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w:t>
      </w:r>
      <w:r>
        <w:rPr>
          <w:snapToGrid w:val="0"/>
        </w:rPr>
        <w:lastRenderedPageBreak/>
        <w:t xml:space="preserve">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9" w:name="_Toc175219385"/>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lastRenderedPageBreak/>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0" w:name="_Toc175219386"/>
      <w:r>
        <w:rPr>
          <w:rStyle w:val="CharSectno"/>
        </w:rPr>
        <w:t>5A</w:t>
      </w:r>
      <w:r>
        <w:t>.</w:t>
      </w:r>
      <w:r>
        <w:tab/>
        <w:t>Delegation by Minister</w:t>
      </w:r>
      <w:bookmarkEnd w:id="10"/>
    </w:p>
    <w:p>
      <w:pPr>
        <w:pStyle w:val="Subsection"/>
      </w:pPr>
      <w:r>
        <w:tab/>
        <w:t>(1)</w:t>
      </w:r>
      <w:r>
        <w:tab/>
        <w:t>The Minister may delegate to a person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1" w:name="_Toc175212226"/>
      <w:bookmarkStart w:id="12" w:name="_Toc175213152"/>
      <w:bookmarkStart w:id="13" w:name="_Toc175219387"/>
      <w:r>
        <w:rPr>
          <w:rStyle w:val="CharPartNo"/>
        </w:rPr>
        <w:lastRenderedPageBreak/>
        <w:t>Part 2</w:t>
      </w:r>
      <w:r>
        <w:t> — </w:t>
      </w:r>
      <w:r>
        <w:rPr>
          <w:rStyle w:val="CharPartText"/>
        </w:rPr>
        <w:t>Donations of tissue by living persons</w:t>
      </w:r>
      <w:bookmarkEnd w:id="11"/>
      <w:bookmarkEnd w:id="12"/>
      <w:bookmarkEnd w:id="13"/>
      <w:r>
        <w:rPr>
          <w:rStyle w:val="CharPartText"/>
        </w:rPr>
        <w:t xml:space="preserve"> </w:t>
      </w:r>
    </w:p>
    <w:p>
      <w:pPr>
        <w:pStyle w:val="Footnoteheading"/>
      </w:pPr>
      <w:r>
        <w:tab/>
        <w:t>[Heading amended: No. 41 of 2022 s. 10.]</w:t>
      </w:r>
    </w:p>
    <w:p>
      <w:pPr>
        <w:pStyle w:val="Heading3"/>
        <w:rPr>
          <w:snapToGrid w:val="0"/>
        </w:rPr>
      </w:pPr>
      <w:bookmarkStart w:id="14" w:name="_Toc175212227"/>
      <w:bookmarkStart w:id="15" w:name="_Toc175213153"/>
      <w:bookmarkStart w:id="16" w:name="_Toc175219388"/>
      <w:r>
        <w:rPr>
          <w:rStyle w:val="CharDivNo"/>
        </w:rPr>
        <w:t>Division 1</w:t>
      </w:r>
      <w:r>
        <w:rPr>
          <w:snapToGrid w:val="0"/>
        </w:rPr>
        <w:t> — </w:t>
      </w:r>
      <w:r>
        <w:rPr>
          <w:rStyle w:val="CharDivText"/>
        </w:rPr>
        <w:t>Exclusion of certain tissue</w:t>
      </w:r>
      <w:bookmarkEnd w:id="14"/>
      <w:bookmarkEnd w:id="15"/>
      <w:bookmarkEnd w:id="16"/>
      <w:r>
        <w:rPr>
          <w:rStyle w:val="CharDivText"/>
        </w:rPr>
        <w:t xml:space="preserve"> </w:t>
      </w:r>
    </w:p>
    <w:p>
      <w:pPr>
        <w:pStyle w:val="Heading5"/>
        <w:rPr>
          <w:snapToGrid w:val="0"/>
        </w:rPr>
      </w:pPr>
      <w:bookmarkStart w:id="17" w:name="_Toc175219389"/>
      <w:r>
        <w:rPr>
          <w:rStyle w:val="CharSectno"/>
        </w:rPr>
        <w:t>6</w:t>
      </w:r>
      <w:r>
        <w:rPr>
          <w:snapToGrid w:val="0"/>
        </w:rPr>
        <w:t>.</w:t>
      </w:r>
      <w:r>
        <w:rPr>
          <w:snapToGrid w:val="0"/>
        </w:rPr>
        <w:tab/>
        <w:t>Interpretation</w:t>
      </w:r>
      <w:bookmarkEnd w:id="1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18" w:name="_Toc175212229"/>
      <w:bookmarkStart w:id="19" w:name="_Toc175213155"/>
      <w:bookmarkStart w:id="20" w:name="_Toc175219390"/>
      <w:r>
        <w:rPr>
          <w:rStyle w:val="CharDivNo"/>
        </w:rPr>
        <w:t>Division 2</w:t>
      </w:r>
      <w:r>
        <w:rPr>
          <w:snapToGrid w:val="0"/>
        </w:rPr>
        <w:t> — </w:t>
      </w:r>
      <w:r>
        <w:rPr>
          <w:rStyle w:val="CharDivText"/>
        </w:rPr>
        <w:t>Donations by adults</w:t>
      </w:r>
      <w:bookmarkEnd w:id="18"/>
      <w:bookmarkEnd w:id="19"/>
      <w:bookmarkEnd w:id="20"/>
      <w:r>
        <w:rPr>
          <w:rStyle w:val="CharDivText"/>
        </w:rPr>
        <w:t xml:space="preserve"> </w:t>
      </w:r>
    </w:p>
    <w:p>
      <w:pPr>
        <w:pStyle w:val="Heading5"/>
        <w:rPr>
          <w:snapToGrid w:val="0"/>
        </w:rPr>
      </w:pPr>
      <w:bookmarkStart w:id="21" w:name="_Toc175219391"/>
      <w:r>
        <w:rPr>
          <w:rStyle w:val="CharSectno"/>
        </w:rPr>
        <w:t>7</w:t>
      </w:r>
      <w:r>
        <w:rPr>
          <w:snapToGrid w:val="0"/>
        </w:rPr>
        <w:t>.</w:t>
      </w:r>
      <w:r>
        <w:rPr>
          <w:snapToGrid w:val="0"/>
        </w:rPr>
        <w:tab/>
        <w:t>Blood transfusions not subject to this Division</w:t>
      </w:r>
      <w:bookmarkEnd w:id="2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2" w:name="_Toc175219392"/>
      <w:r>
        <w:rPr>
          <w:rStyle w:val="CharSectno"/>
        </w:rPr>
        <w:t>8</w:t>
      </w:r>
      <w:r>
        <w:rPr>
          <w:snapToGrid w:val="0"/>
        </w:rPr>
        <w:t>.</w:t>
      </w:r>
      <w:r>
        <w:rPr>
          <w:snapToGrid w:val="0"/>
        </w:rPr>
        <w:tab/>
        <w:t>Consent to removal of regenerative tissue</w:t>
      </w:r>
      <w:bookmarkEnd w:id="22"/>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lastRenderedPageBreak/>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23" w:name="_Toc175219393"/>
      <w:r>
        <w:rPr>
          <w:rStyle w:val="CharSectno"/>
        </w:rPr>
        <w:t>9</w:t>
      </w:r>
      <w:r>
        <w:rPr>
          <w:snapToGrid w:val="0"/>
        </w:rPr>
        <w:t>.</w:t>
      </w:r>
      <w:r>
        <w:rPr>
          <w:snapToGrid w:val="0"/>
        </w:rPr>
        <w:tab/>
        <w:t>Consent to removal of non</w:t>
      </w:r>
      <w:r>
        <w:rPr>
          <w:snapToGrid w:val="0"/>
        </w:rPr>
        <w:noBreakHyphen/>
        <w:t>regenerative tissue</w:t>
      </w:r>
      <w:bookmarkEnd w:id="23"/>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24" w:name="_Toc175212233"/>
      <w:bookmarkStart w:id="25" w:name="_Toc175213159"/>
      <w:bookmarkStart w:id="26" w:name="_Toc175219394"/>
      <w:r>
        <w:rPr>
          <w:rStyle w:val="CharDivNo"/>
        </w:rPr>
        <w:t>Division 3</w:t>
      </w:r>
      <w:r>
        <w:rPr>
          <w:snapToGrid w:val="0"/>
        </w:rPr>
        <w:t> — </w:t>
      </w:r>
      <w:r>
        <w:rPr>
          <w:rStyle w:val="CharDivText"/>
        </w:rPr>
        <w:t>Donations from children</w:t>
      </w:r>
      <w:bookmarkEnd w:id="24"/>
      <w:bookmarkEnd w:id="25"/>
      <w:bookmarkEnd w:id="26"/>
      <w:r>
        <w:rPr>
          <w:rStyle w:val="CharDivText"/>
        </w:rPr>
        <w:t xml:space="preserve"> </w:t>
      </w:r>
    </w:p>
    <w:p>
      <w:pPr>
        <w:pStyle w:val="Heading5"/>
        <w:rPr>
          <w:snapToGrid w:val="0"/>
        </w:rPr>
      </w:pPr>
      <w:bookmarkStart w:id="27" w:name="_Toc175219395"/>
      <w:r>
        <w:rPr>
          <w:rStyle w:val="CharSectno"/>
        </w:rPr>
        <w:t>10</w:t>
      </w:r>
      <w:r>
        <w:rPr>
          <w:snapToGrid w:val="0"/>
        </w:rPr>
        <w:t>.</w:t>
      </w:r>
      <w:r>
        <w:rPr>
          <w:snapToGrid w:val="0"/>
        </w:rPr>
        <w:tab/>
        <w:t>Blood transfusions not subject to this Division</w:t>
      </w:r>
      <w:bookmarkEnd w:id="2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8" w:name="_Toc175219396"/>
      <w:r>
        <w:rPr>
          <w:rStyle w:val="CharSectno"/>
        </w:rPr>
        <w:lastRenderedPageBreak/>
        <w:t>11</w:t>
      </w:r>
      <w:r>
        <w:rPr>
          <w:snapToGrid w:val="0"/>
        </w:rPr>
        <w:t>.</w:t>
      </w:r>
      <w:r>
        <w:rPr>
          <w:snapToGrid w:val="0"/>
        </w:rPr>
        <w:tab/>
        <w:t>References to parents</w:t>
      </w:r>
      <w:bookmarkEnd w:id="28"/>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29" w:name="_Toc175219397"/>
      <w:r>
        <w:rPr>
          <w:rStyle w:val="CharSectno"/>
        </w:rPr>
        <w:t>12</w:t>
      </w:r>
      <w:r>
        <w:rPr>
          <w:snapToGrid w:val="0"/>
        </w:rPr>
        <w:t>.</w:t>
      </w:r>
      <w:r>
        <w:rPr>
          <w:snapToGrid w:val="0"/>
        </w:rPr>
        <w:tab/>
        <w:t>General prohibition of removal of tissue from children</w:t>
      </w:r>
      <w:bookmarkEnd w:id="2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0" w:name="_Toc175219398"/>
      <w:r>
        <w:rPr>
          <w:rStyle w:val="CharSectno"/>
        </w:rPr>
        <w:t>13</w:t>
      </w:r>
      <w:r>
        <w:rPr>
          <w:snapToGrid w:val="0"/>
        </w:rPr>
        <w:t>.</w:t>
      </w:r>
      <w:r>
        <w:rPr>
          <w:snapToGrid w:val="0"/>
        </w:rPr>
        <w:tab/>
        <w:t>Parent may consent to removal of regenerative tissue from a child</w:t>
      </w:r>
      <w:bookmarkEnd w:id="3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1" w:name="_Toc175219399"/>
      <w:r>
        <w:rPr>
          <w:rStyle w:val="CharSectno"/>
        </w:rPr>
        <w:lastRenderedPageBreak/>
        <w:t>14</w:t>
      </w:r>
      <w:r>
        <w:rPr>
          <w:snapToGrid w:val="0"/>
        </w:rPr>
        <w:t>.</w:t>
      </w:r>
      <w:r>
        <w:rPr>
          <w:snapToGrid w:val="0"/>
        </w:rPr>
        <w:tab/>
        <w:t>Revocation of consent</w:t>
      </w:r>
      <w:bookmarkEnd w:id="31"/>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32" w:name="_Toc175212239"/>
      <w:bookmarkStart w:id="33" w:name="_Toc175213165"/>
      <w:bookmarkStart w:id="34" w:name="_Toc175219400"/>
      <w:r>
        <w:rPr>
          <w:rStyle w:val="CharDivNo"/>
        </w:rPr>
        <w:t>Division 4</w:t>
      </w:r>
      <w:r>
        <w:rPr>
          <w:snapToGrid w:val="0"/>
        </w:rPr>
        <w:t> — </w:t>
      </w:r>
      <w:r>
        <w:rPr>
          <w:rStyle w:val="CharDivText"/>
        </w:rPr>
        <w:t>Effect of consents and authorities</w:t>
      </w:r>
      <w:bookmarkEnd w:id="32"/>
      <w:bookmarkEnd w:id="33"/>
      <w:bookmarkEnd w:id="34"/>
      <w:r>
        <w:rPr>
          <w:rStyle w:val="CharDivText"/>
        </w:rPr>
        <w:t xml:space="preserve"> </w:t>
      </w:r>
    </w:p>
    <w:p>
      <w:pPr>
        <w:pStyle w:val="Heading5"/>
        <w:rPr>
          <w:snapToGrid w:val="0"/>
        </w:rPr>
      </w:pPr>
      <w:bookmarkStart w:id="35" w:name="_Toc175219401"/>
      <w:r>
        <w:rPr>
          <w:rStyle w:val="CharSectno"/>
        </w:rPr>
        <w:t>15</w:t>
      </w:r>
      <w:r>
        <w:rPr>
          <w:snapToGrid w:val="0"/>
        </w:rPr>
        <w:t>.</w:t>
      </w:r>
      <w:r>
        <w:rPr>
          <w:snapToGrid w:val="0"/>
        </w:rPr>
        <w:tab/>
        <w:t>Consents under section 8</w:t>
      </w:r>
      <w:bookmarkEnd w:id="35"/>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36" w:name="_Toc175219402"/>
      <w:r>
        <w:rPr>
          <w:rStyle w:val="CharSectno"/>
        </w:rPr>
        <w:t>16</w:t>
      </w:r>
      <w:r>
        <w:rPr>
          <w:snapToGrid w:val="0"/>
        </w:rPr>
        <w:t>.</w:t>
      </w:r>
      <w:r>
        <w:rPr>
          <w:snapToGrid w:val="0"/>
        </w:rPr>
        <w:tab/>
        <w:t>Consents under section 9</w:t>
      </w:r>
      <w:bookmarkEnd w:id="3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 xml:space="preserve">regenerative tissue referred to in the consent for </w:t>
      </w:r>
      <w:r>
        <w:rPr>
          <w:snapToGrid w:val="0"/>
        </w:rPr>
        <w:lastRenderedPageBreak/>
        <w:t>the purpose of the transplantation of the tissue to the body of another living person.</w:t>
      </w:r>
    </w:p>
    <w:p>
      <w:pPr>
        <w:pStyle w:val="Heading5"/>
        <w:rPr>
          <w:snapToGrid w:val="0"/>
        </w:rPr>
      </w:pPr>
      <w:bookmarkStart w:id="37" w:name="_Toc175219403"/>
      <w:r>
        <w:rPr>
          <w:rStyle w:val="CharSectno"/>
        </w:rPr>
        <w:t>17</w:t>
      </w:r>
      <w:r>
        <w:rPr>
          <w:snapToGrid w:val="0"/>
        </w:rPr>
        <w:t>.</w:t>
      </w:r>
      <w:r>
        <w:rPr>
          <w:snapToGrid w:val="0"/>
        </w:rPr>
        <w:tab/>
        <w:t>Consents under section 13</w:t>
      </w:r>
      <w:bookmarkEnd w:id="37"/>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38" w:name="_Toc175212243"/>
      <w:bookmarkStart w:id="39" w:name="_Toc175213169"/>
      <w:bookmarkStart w:id="40" w:name="_Toc175219404"/>
      <w:r>
        <w:rPr>
          <w:rStyle w:val="CharDivNo"/>
        </w:rPr>
        <w:t>Division 5</w:t>
      </w:r>
      <w:r>
        <w:rPr>
          <w:snapToGrid w:val="0"/>
        </w:rPr>
        <w:t> — </w:t>
      </w:r>
      <w:r>
        <w:rPr>
          <w:rStyle w:val="CharDivText"/>
        </w:rPr>
        <w:t>Blood transfusions</w:t>
      </w:r>
      <w:bookmarkEnd w:id="38"/>
      <w:bookmarkEnd w:id="39"/>
      <w:bookmarkEnd w:id="40"/>
      <w:r>
        <w:rPr>
          <w:rStyle w:val="CharDivText"/>
        </w:rPr>
        <w:t xml:space="preserve"> </w:t>
      </w:r>
    </w:p>
    <w:p>
      <w:pPr>
        <w:pStyle w:val="Heading5"/>
      </w:pPr>
      <w:bookmarkStart w:id="41" w:name="_Toc175219405"/>
      <w:r>
        <w:rPr>
          <w:rStyle w:val="CharSectno"/>
        </w:rPr>
        <w:t>18</w:t>
      </w:r>
      <w:r>
        <w:t>.</w:t>
      </w:r>
      <w:r>
        <w:tab/>
        <w:t>Consent by adult to removal of blood</w:t>
      </w:r>
      <w:bookmarkEnd w:id="41"/>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42" w:name="_Toc175219406"/>
      <w:r>
        <w:rPr>
          <w:rStyle w:val="CharSectno"/>
        </w:rPr>
        <w:lastRenderedPageBreak/>
        <w:t>19</w:t>
      </w:r>
      <w:r>
        <w:rPr>
          <w:snapToGrid w:val="0"/>
        </w:rPr>
        <w:t>.</w:t>
      </w:r>
      <w:r>
        <w:rPr>
          <w:snapToGrid w:val="0"/>
        </w:rPr>
        <w:tab/>
        <w:t>Parent may consent to removal of blood from child</w:t>
      </w:r>
      <w:bookmarkEnd w:id="4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43" w:name="_Toc175219407"/>
      <w:r>
        <w:rPr>
          <w:rStyle w:val="CharSectno"/>
        </w:rPr>
        <w:t>20</w:t>
      </w:r>
      <w:r>
        <w:rPr>
          <w:snapToGrid w:val="0"/>
        </w:rPr>
        <w:t>.</w:t>
      </w:r>
      <w:r>
        <w:rPr>
          <w:snapToGrid w:val="0"/>
        </w:rPr>
        <w:tab/>
        <w:t>Consent is sufficient authority for removal of blood</w:t>
      </w:r>
      <w:bookmarkEnd w:id="4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44" w:name="_Toc175219408"/>
      <w:r>
        <w:rPr>
          <w:rStyle w:val="CharSectno"/>
        </w:rPr>
        <w:t>21</w:t>
      </w:r>
      <w:r>
        <w:rPr>
          <w:snapToGrid w:val="0"/>
        </w:rPr>
        <w:t>.</w:t>
      </w:r>
      <w:r>
        <w:rPr>
          <w:snapToGrid w:val="0"/>
        </w:rPr>
        <w:tab/>
        <w:t>Blood transfusions upon children without parental consent</w:t>
      </w:r>
      <w:bookmarkEnd w:id="44"/>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lastRenderedPageBreak/>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lastRenderedPageBreak/>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45" w:name="_Toc175212248"/>
      <w:bookmarkStart w:id="46" w:name="_Toc175213174"/>
      <w:bookmarkStart w:id="47" w:name="_Toc175219409"/>
      <w:r>
        <w:rPr>
          <w:rStyle w:val="CharPartNo"/>
        </w:rPr>
        <w:lastRenderedPageBreak/>
        <w:t>Part 3</w:t>
      </w:r>
      <w:r>
        <w:rPr>
          <w:rStyle w:val="CharDivNo"/>
        </w:rPr>
        <w:t> </w:t>
      </w:r>
      <w:r>
        <w:t>—</w:t>
      </w:r>
      <w:r>
        <w:rPr>
          <w:rStyle w:val="CharDivText"/>
        </w:rPr>
        <w:t> </w:t>
      </w:r>
      <w:r>
        <w:rPr>
          <w:rStyle w:val="CharPartText"/>
        </w:rPr>
        <w:t>Donations of tissue after death</w:t>
      </w:r>
      <w:bookmarkEnd w:id="45"/>
      <w:bookmarkEnd w:id="46"/>
      <w:bookmarkEnd w:id="47"/>
      <w:r>
        <w:rPr>
          <w:rStyle w:val="CharPartText"/>
        </w:rPr>
        <w:t xml:space="preserve"> </w:t>
      </w:r>
    </w:p>
    <w:p>
      <w:pPr>
        <w:pStyle w:val="Footnoteheading"/>
      </w:pPr>
      <w:r>
        <w:tab/>
        <w:t>[Heading amended: No. 41 of 2022 s. 16.]</w:t>
      </w:r>
    </w:p>
    <w:p>
      <w:pPr>
        <w:pStyle w:val="Heading5"/>
      </w:pPr>
      <w:bookmarkStart w:id="48" w:name="_Toc175219410"/>
      <w:r>
        <w:rPr>
          <w:rStyle w:val="CharSectno"/>
        </w:rPr>
        <w:t>21A</w:t>
      </w:r>
      <w:r>
        <w:t>.</w:t>
      </w:r>
      <w:r>
        <w:tab/>
        <w:t xml:space="preserve">No application to </w:t>
      </w:r>
      <w:r>
        <w:rPr>
          <w:i/>
        </w:rPr>
        <w:t>Anatomy Act 1930</w:t>
      </w:r>
      <w:bookmarkEnd w:id="48"/>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49" w:name="_Toc175219411"/>
      <w:r>
        <w:rPr>
          <w:rStyle w:val="CharSectno"/>
        </w:rPr>
        <w:t>22</w:t>
      </w:r>
      <w:r>
        <w:rPr>
          <w:snapToGrid w:val="0"/>
        </w:rPr>
        <w:t>.</w:t>
      </w:r>
      <w:r>
        <w:rPr>
          <w:snapToGrid w:val="0"/>
        </w:rPr>
        <w:tab/>
        <w:t>Designated officer may authorise removal of tissue from bodies in hospital</w:t>
      </w:r>
      <w:bookmarkEnd w:id="4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lastRenderedPageBreak/>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lastRenderedPageBreak/>
        <w:tab/>
        <w:t>[Section 22 amended: No. 25 of 1997 s. 6; No. 41 of 2022 s. 18, 28 and 29.]</w:t>
      </w:r>
    </w:p>
    <w:p>
      <w:pPr>
        <w:pStyle w:val="Heading5"/>
        <w:rPr>
          <w:snapToGrid w:val="0"/>
        </w:rPr>
      </w:pPr>
      <w:bookmarkStart w:id="50" w:name="_Toc175219412"/>
      <w:r>
        <w:rPr>
          <w:rStyle w:val="CharSectno"/>
        </w:rPr>
        <w:t>23</w:t>
      </w:r>
      <w:r>
        <w:rPr>
          <w:snapToGrid w:val="0"/>
        </w:rPr>
        <w:t>.</w:t>
      </w:r>
      <w:r>
        <w:rPr>
          <w:snapToGrid w:val="0"/>
        </w:rPr>
        <w:tab/>
      </w:r>
      <w:r>
        <w:rPr>
          <w:snapToGrid w:val="0"/>
          <w:spacing w:val="-4"/>
        </w:rPr>
        <w:t>Coroner’s consent to removal of tissue required in some cases</w:t>
      </w:r>
      <w:bookmarkEnd w:id="50"/>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51" w:name="_Toc175219413"/>
      <w:r>
        <w:rPr>
          <w:rStyle w:val="CharSectno"/>
        </w:rPr>
        <w:t>24</w:t>
      </w:r>
      <w:r>
        <w:rPr>
          <w:snapToGrid w:val="0"/>
        </w:rPr>
        <w:t>.</w:t>
      </w:r>
      <w:r>
        <w:rPr>
          <w:snapToGrid w:val="0"/>
        </w:rPr>
        <w:tab/>
        <w:t>Effect of authority under this Part</w:t>
      </w:r>
      <w:bookmarkEnd w:id="51"/>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 xml:space="preserve">the designated officer for the hospital in which the authority was given or a person who has lawfully </w:t>
      </w:r>
      <w:r>
        <w:lastRenderedPageBreak/>
        <w:t>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lastRenderedPageBreak/>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52" w:name="_Toc175219414"/>
      <w:r>
        <w:rPr>
          <w:rStyle w:val="CharSectno"/>
        </w:rPr>
        <w:t>24A</w:t>
      </w:r>
      <w:r>
        <w:t>.</w:t>
      </w:r>
      <w:r>
        <w:tab/>
        <w:t>Appointment of authorised persons</w:t>
      </w:r>
      <w:bookmarkEnd w:id="52"/>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lastRenderedPageBreak/>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53" w:name="_Toc175212254"/>
      <w:bookmarkStart w:id="54" w:name="_Toc175213180"/>
      <w:bookmarkStart w:id="55" w:name="_Toc175219415"/>
      <w:r>
        <w:rPr>
          <w:rStyle w:val="CharPartNo"/>
        </w:rPr>
        <w:lastRenderedPageBreak/>
        <w:t>Part 4</w:t>
      </w:r>
      <w:r>
        <w:rPr>
          <w:rStyle w:val="CharDivNo"/>
        </w:rPr>
        <w:t> </w:t>
      </w:r>
      <w:r>
        <w:t>—</w:t>
      </w:r>
      <w:r>
        <w:rPr>
          <w:rStyle w:val="CharDivText"/>
        </w:rPr>
        <w:t> </w:t>
      </w:r>
      <w:r>
        <w:rPr>
          <w:rStyle w:val="CharPartText"/>
        </w:rPr>
        <w:t>Post</w:t>
      </w:r>
      <w:r>
        <w:rPr>
          <w:rStyle w:val="CharPartText"/>
        </w:rPr>
        <w:noBreakHyphen/>
        <w:t>mortem examinations</w:t>
      </w:r>
      <w:bookmarkEnd w:id="53"/>
      <w:bookmarkEnd w:id="54"/>
      <w:bookmarkEnd w:id="55"/>
      <w:r>
        <w:rPr>
          <w:rStyle w:val="CharPartText"/>
        </w:rPr>
        <w:t xml:space="preserve"> </w:t>
      </w:r>
    </w:p>
    <w:p>
      <w:pPr>
        <w:pStyle w:val="Footnoteheading"/>
      </w:pPr>
      <w:r>
        <w:tab/>
        <w:t>[Heading amended: No. 41 of 2022 s. 21.]</w:t>
      </w:r>
    </w:p>
    <w:p>
      <w:pPr>
        <w:pStyle w:val="Heading5"/>
        <w:rPr>
          <w:snapToGrid w:val="0"/>
        </w:rPr>
      </w:pPr>
      <w:bookmarkStart w:id="56" w:name="_Toc175219416"/>
      <w:r>
        <w:rPr>
          <w:rStyle w:val="CharSectno"/>
        </w:rPr>
        <w:t>25</w:t>
      </w:r>
      <w:r>
        <w:rPr>
          <w:snapToGrid w:val="0"/>
        </w:rPr>
        <w:t>.</w:t>
      </w:r>
      <w:r>
        <w:rPr>
          <w:snapToGrid w:val="0"/>
        </w:rPr>
        <w:tab/>
        <w:t>Designated officer may authorise post-mortems of bodies in hospital</w:t>
      </w:r>
      <w:bookmarkEnd w:id="56"/>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lastRenderedPageBreak/>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57" w:name="_Toc175219417"/>
      <w:r>
        <w:rPr>
          <w:rStyle w:val="CharSectno"/>
        </w:rPr>
        <w:lastRenderedPageBreak/>
        <w:t>26</w:t>
      </w:r>
      <w:r>
        <w:rPr>
          <w:snapToGrid w:val="0"/>
        </w:rPr>
        <w:t>.</w:t>
      </w:r>
      <w:r>
        <w:rPr>
          <w:snapToGrid w:val="0"/>
        </w:rPr>
        <w:tab/>
      </w:r>
      <w:r>
        <w:rPr>
          <w:snapToGrid w:val="0"/>
          <w:spacing w:val="-4"/>
        </w:rPr>
        <w:t>Next of kin may authorise post-mortem of body not in hospital</w:t>
      </w:r>
      <w:bookmarkEnd w:id="57"/>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58" w:name="_Toc175219418"/>
      <w:r>
        <w:rPr>
          <w:rStyle w:val="CharSectno"/>
        </w:rPr>
        <w:lastRenderedPageBreak/>
        <w:t>27</w:t>
      </w:r>
      <w:r>
        <w:rPr>
          <w:snapToGrid w:val="0"/>
        </w:rPr>
        <w:t>.</w:t>
      </w:r>
      <w:r>
        <w:rPr>
          <w:snapToGrid w:val="0"/>
        </w:rPr>
        <w:tab/>
        <w:t>Coroner’s consent to post-mortem required in some cases</w:t>
      </w:r>
      <w:bookmarkEnd w:id="58"/>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59" w:name="_Toc175219419"/>
      <w:r>
        <w:rPr>
          <w:rStyle w:val="CharSectno"/>
        </w:rPr>
        <w:t>28</w:t>
      </w:r>
      <w:r>
        <w:rPr>
          <w:snapToGrid w:val="0"/>
        </w:rPr>
        <w:t>.</w:t>
      </w:r>
      <w:r>
        <w:rPr>
          <w:snapToGrid w:val="0"/>
        </w:rPr>
        <w:tab/>
        <w:t>Effect of authority under this Part</w:t>
      </w:r>
      <w:bookmarkEnd w:id="59"/>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lastRenderedPageBreak/>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60" w:name="_Toc175212259"/>
      <w:bookmarkStart w:id="61" w:name="_Toc175213185"/>
      <w:bookmarkStart w:id="62" w:name="_Toc175219420"/>
      <w:r>
        <w:rPr>
          <w:rStyle w:val="CharPartNo"/>
        </w:rPr>
        <w:lastRenderedPageBreak/>
        <w:t>Part 5</w:t>
      </w:r>
      <w:r>
        <w:t> — </w:t>
      </w:r>
      <w:r>
        <w:rPr>
          <w:rStyle w:val="CharPartText"/>
        </w:rPr>
        <w:t>Trading in tissue</w:t>
      </w:r>
      <w:bookmarkEnd w:id="60"/>
      <w:bookmarkEnd w:id="61"/>
      <w:bookmarkEnd w:id="62"/>
    </w:p>
    <w:p>
      <w:pPr>
        <w:pStyle w:val="Footnoteheading"/>
      </w:pPr>
      <w:r>
        <w:tab/>
        <w:t>[Heading inserted: No. 41 of 2022 s. 23.]</w:t>
      </w:r>
    </w:p>
    <w:p>
      <w:pPr>
        <w:pStyle w:val="Heading5"/>
      </w:pPr>
      <w:bookmarkStart w:id="63" w:name="_Toc175219421"/>
      <w:r>
        <w:rPr>
          <w:rStyle w:val="CharSectno"/>
        </w:rPr>
        <w:t>29</w:t>
      </w:r>
      <w:r>
        <w:t>.</w:t>
      </w:r>
      <w:r>
        <w:tab/>
        <w:t xml:space="preserve">Part does not apply to trading regulated under </w:t>
      </w:r>
      <w:r>
        <w:rPr>
          <w:i/>
        </w:rPr>
        <w:t>Human Reproductive Technology Act 1991</w:t>
      </w:r>
      <w:bookmarkEnd w:id="63"/>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64" w:name="_Toc175219422"/>
      <w:r>
        <w:rPr>
          <w:rStyle w:val="CharSectno"/>
        </w:rPr>
        <w:t>29A</w:t>
      </w:r>
      <w:r>
        <w:t>.</w:t>
      </w:r>
      <w:r>
        <w:tab/>
        <w:t>Unauthorised trading in tissue prohibited</w:t>
      </w:r>
      <w:bookmarkEnd w:id="64"/>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Defstart"/>
      </w:pPr>
      <w:r>
        <w:tab/>
      </w:r>
      <w:r>
        <w:rPr>
          <w:rStyle w:val="CharDefText"/>
          <w:bCs/>
          <w:iCs/>
        </w:rPr>
        <w:t>TG law provision</w:t>
      </w:r>
      <w:r>
        <w:t xml:space="preserve"> means — </w:t>
      </w:r>
    </w:p>
    <w:p>
      <w:pPr>
        <w:pStyle w:val="Defpara"/>
      </w:pPr>
      <w:r>
        <w:tab/>
        <w:t>(a)</w:t>
      </w:r>
      <w:r>
        <w:tab/>
        <w:t>a TGA provision; or</w:t>
      </w:r>
    </w:p>
    <w:p>
      <w:pPr>
        <w:pStyle w:val="Defpara"/>
      </w:pPr>
      <w:r>
        <w:tab/>
        <w:t>(b)</w:t>
      </w:r>
      <w:r>
        <w:tab/>
        <w:t xml:space="preserve">a provision or portion of the applied therapeutic goods law as defined in the </w:t>
      </w:r>
      <w:r>
        <w:rPr>
          <w:i/>
        </w:rPr>
        <w:t xml:space="preserve">Therapeutic Goods Law Application Act 2024 </w:t>
      </w:r>
      <w:r>
        <w:t>section 3(1).</w:t>
      </w:r>
    </w:p>
    <w:p>
      <w:pPr>
        <w:pStyle w:val="Subsection"/>
      </w:pPr>
      <w:r>
        <w:tab/>
        <w:t>(2)</w:t>
      </w:r>
      <w:r>
        <w:tab/>
        <w:t xml:space="preserve">Subject to subsection (4) and sections 29C, 29D(1) and 29E, a contract or arrangement is void if, under the contract or arrangement, a person agrees, for valuable consideration, </w:t>
      </w:r>
      <w:r>
        <w:lastRenderedPageBreak/>
        <w:t xml:space="preserve">whether given or to be given to that person or to another person — </w:t>
      </w:r>
    </w:p>
    <w:p>
      <w:pPr>
        <w:pStyle w:val="Indenta"/>
      </w:pPr>
      <w:r>
        <w:tab/>
        <w:t>(a)</w:t>
      </w:r>
      <w:r>
        <w:tab/>
        <w:t>to the sale or supply of tissue from that person’s body or from the body of another person, whether before or after 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lastRenderedPageBreak/>
        <w:tab/>
        <w:t>(i)</w:t>
      </w:r>
      <w:r>
        <w:tab/>
        <w:t>the sale or supply is carried out by or with an exempt entity or the Commonwealth for the benefit of an exempt entity; and</w:t>
      </w:r>
    </w:p>
    <w:p>
      <w:pPr>
        <w:pStyle w:val="Indenti"/>
      </w:pPr>
      <w:r>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 law provision; and</w:t>
      </w:r>
    </w:p>
    <w:p>
      <w:pPr>
        <w:pStyle w:val="Indenti"/>
      </w:pPr>
      <w:r>
        <w:tab/>
        <w:t>(ii)</w:t>
      </w:r>
      <w:r>
        <w:tab/>
        <w:t>the TG law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 xml:space="preserve">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w:t>
      </w:r>
      <w:r>
        <w:lastRenderedPageBreak/>
        <w:t>that the tissue or the body was the subject matter of an unauthorised contract or arrangement.</w:t>
      </w:r>
    </w:p>
    <w:p>
      <w:pPr>
        <w:pStyle w:val="Footnotesection"/>
      </w:pPr>
      <w:r>
        <w:tab/>
        <w:t>[Section 29A inserted: No. 41 of 2022 s. 31; amended: No. 19 of 2024 s. 33.]</w:t>
      </w:r>
    </w:p>
    <w:p>
      <w:pPr>
        <w:pStyle w:val="Heading5"/>
      </w:pPr>
      <w:bookmarkStart w:id="65" w:name="_Toc175219423"/>
      <w:r>
        <w:rPr>
          <w:rStyle w:val="CharSectno"/>
        </w:rPr>
        <w:t>29B</w:t>
      </w:r>
      <w:r>
        <w:t>.</w:t>
      </w:r>
      <w:r>
        <w:tab/>
        <w:t>Recovery of certain costs by authorised suppliers</w:t>
      </w:r>
      <w:bookmarkEnd w:id="65"/>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 xml:space="preserve">the authorised supplier must be satisfied, after making reasonable enquiries, that the first sale or supply of the </w:t>
      </w:r>
      <w:r>
        <w:lastRenderedPageBreak/>
        <w:t>tissue was not for valuable consideration other than reimbursement of any expenses necessarily incurred in relation to the removal of the tissue;</w:t>
      </w:r>
    </w:p>
    <w:p>
      <w:pPr>
        <w:pStyle w:val="Indenta"/>
        <w:keepNext/>
      </w:pPr>
      <w:r>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66" w:name="_Toc175219424"/>
      <w:r>
        <w:rPr>
          <w:rStyle w:val="CharSectno"/>
        </w:rPr>
        <w:t>29C</w:t>
      </w:r>
      <w:r>
        <w:t>.</w:t>
      </w:r>
      <w:r>
        <w:tab/>
        <w:t>Recovery of certain costs by authorised school of anatomy</w:t>
      </w:r>
      <w:bookmarkEnd w:id="66"/>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lastRenderedPageBreak/>
        <w:tab/>
        <w:t>(2)</w:t>
      </w:r>
      <w:r>
        <w:tab/>
        <w:t xml:space="preserve">An authorised school of anatomy may charge an amount to recover the reasonable costs associated with supply of a donated 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67" w:name="_Toc175219425"/>
      <w:r>
        <w:rPr>
          <w:rStyle w:val="CharSectno"/>
        </w:rPr>
        <w:t>29D</w:t>
      </w:r>
      <w:r>
        <w:t>.</w:t>
      </w:r>
      <w:r>
        <w:tab/>
        <w:t>Minister may make order as to application of section 29A</w:t>
      </w:r>
      <w:bookmarkEnd w:id="67"/>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lastRenderedPageBreak/>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68" w:name="_Toc175219426"/>
      <w:r>
        <w:rPr>
          <w:rStyle w:val="CharSectno"/>
        </w:rPr>
        <w:t>29E</w:t>
      </w:r>
      <w:r>
        <w:t>.</w:t>
      </w:r>
      <w:r>
        <w:tab/>
        <w:t>Minister may approve certain contracts</w:t>
      </w:r>
      <w:bookmarkEnd w:id="68"/>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lastRenderedPageBreak/>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69" w:name="_Toc175219427"/>
      <w:r>
        <w:rPr>
          <w:rStyle w:val="CharSectno"/>
        </w:rPr>
        <w:t>29F</w:t>
      </w:r>
      <w:r>
        <w:t>.</w:t>
      </w:r>
      <w:r>
        <w:tab/>
        <w:t>Human Tissue Advisory Body</w:t>
      </w:r>
      <w:bookmarkEnd w:id="69"/>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lastRenderedPageBreak/>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70" w:name="_Toc175219428"/>
      <w:r>
        <w:rPr>
          <w:rStyle w:val="CharSectno"/>
        </w:rPr>
        <w:t>30</w:t>
      </w:r>
      <w:r>
        <w:rPr>
          <w:snapToGrid w:val="0"/>
        </w:rPr>
        <w:t>.</w:t>
      </w:r>
      <w:r>
        <w:rPr>
          <w:snapToGrid w:val="0"/>
        </w:rPr>
        <w:tab/>
        <w:t>Advertisements relating to buying human tissue prohibited</w:t>
      </w:r>
      <w:bookmarkEnd w:id="70"/>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71" w:name="_Toc175212268"/>
      <w:bookmarkStart w:id="72" w:name="_Toc175213194"/>
      <w:bookmarkStart w:id="73" w:name="_Toc175219429"/>
      <w:r>
        <w:rPr>
          <w:rStyle w:val="CharPartNo"/>
        </w:rPr>
        <w:lastRenderedPageBreak/>
        <w:t>Part 6</w:t>
      </w:r>
      <w:r>
        <w:rPr>
          <w:rStyle w:val="CharDivNo"/>
        </w:rPr>
        <w:t> </w:t>
      </w:r>
      <w:r>
        <w:t>—</w:t>
      </w:r>
      <w:r>
        <w:rPr>
          <w:rStyle w:val="CharDivText"/>
        </w:rPr>
        <w:t> </w:t>
      </w:r>
      <w:r>
        <w:rPr>
          <w:rStyle w:val="CharPartText"/>
        </w:rPr>
        <w:t>Prohibition on the use of embryonic stem cell lines</w:t>
      </w:r>
      <w:bookmarkEnd w:id="71"/>
      <w:bookmarkEnd w:id="72"/>
      <w:bookmarkEnd w:id="73"/>
    </w:p>
    <w:p>
      <w:pPr>
        <w:pStyle w:val="Footnoteheading"/>
        <w:tabs>
          <w:tab w:val="left" w:pos="851"/>
        </w:tabs>
      </w:pPr>
      <w:r>
        <w:tab/>
        <w:t>[Heading inserted: No. 18 of 2004 s. 11(3); amended: No. 41 of 2022 s. 24.]</w:t>
      </w:r>
    </w:p>
    <w:p>
      <w:pPr>
        <w:pStyle w:val="Heading5"/>
      </w:pPr>
      <w:bookmarkStart w:id="74" w:name="_Toc175219430"/>
      <w:r>
        <w:rPr>
          <w:rStyle w:val="CharSectno"/>
        </w:rPr>
        <w:t>30A</w:t>
      </w:r>
      <w:r>
        <w:t>.</w:t>
      </w:r>
      <w:r>
        <w:tab/>
        <w:t>Terms used</w:t>
      </w:r>
      <w:bookmarkEnd w:id="74"/>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75" w:name="_Toc175219431"/>
      <w:r>
        <w:rPr>
          <w:rStyle w:val="CharSectno"/>
        </w:rPr>
        <w:lastRenderedPageBreak/>
        <w:t>30B</w:t>
      </w:r>
      <w:r>
        <w:t>.</w:t>
      </w:r>
      <w:r>
        <w:tab/>
        <w:t>Restriction on use of human embryonic stem cells lines</w:t>
      </w:r>
      <w:bookmarkEnd w:id="7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76" w:name="_Toc175212271"/>
      <w:bookmarkStart w:id="77" w:name="_Toc175213197"/>
      <w:bookmarkStart w:id="78" w:name="_Toc175219432"/>
      <w:r>
        <w:rPr>
          <w:rStyle w:val="CharPartNo"/>
        </w:rPr>
        <w:lastRenderedPageBreak/>
        <w:t>Part 7</w:t>
      </w:r>
      <w:r>
        <w:rPr>
          <w:rStyle w:val="CharDivNo"/>
        </w:rPr>
        <w:t> </w:t>
      </w:r>
      <w:r>
        <w:t>—</w:t>
      </w:r>
      <w:r>
        <w:rPr>
          <w:rStyle w:val="CharDivText"/>
        </w:rPr>
        <w:t> </w:t>
      </w:r>
      <w:r>
        <w:rPr>
          <w:rStyle w:val="CharPartText"/>
        </w:rPr>
        <w:t>Miscellaneous</w:t>
      </w:r>
      <w:bookmarkEnd w:id="76"/>
      <w:bookmarkEnd w:id="77"/>
      <w:bookmarkEnd w:id="78"/>
      <w:r>
        <w:rPr>
          <w:rStyle w:val="CharPartText"/>
        </w:rPr>
        <w:t xml:space="preserve"> </w:t>
      </w:r>
    </w:p>
    <w:p>
      <w:pPr>
        <w:pStyle w:val="Footnoteheading"/>
      </w:pPr>
      <w:r>
        <w:tab/>
        <w:t>[Heading amended: No. 41 of 2022 s. 25.]</w:t>
      </w:r>
    </w:p>
    <w:p>
      <w:pPr>
        <w:pStyle w:val="Heading5"/>
        <w:rPr>
          <w:snapToGrid w:val="0"/>
        </w:rPr>
      </w:pPr>
      <w:bookmarkStart w:id="79" w:name="_Toc175219433"/>
      <w:r>
        <w:rPr>
          <w:rStyle w:val="CharSectno"/>
        </w:rPr>
        <w:t>31</w:t>
      </w:r>
      <w:r>
        <w:rPr>
          <w:snapToGrid w:val="0"/>
        </w:rPr>
        <w:t>.</w:t>
      </w:r>
      <w:r>
        <w:rPr>
          <w:snapToGrid w:val="0"/>
        </w:rPr>
        <w:tab/>
        <w:t>Exclusion of liability of persons acting in pursuance of consent, etc.</w:t>
      </w:r>
      <w:bookmarkEnd w:id="79"/>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80" w:name="_Toc175219434"/>
      <w:r>
        <w:rPr>
          <w:rStyle w:val="CharSectno"/>
        </w:rPr>
        <w:t>32</w:t>
      </w:r>
      <w:r>
        <w:rPr>
          <w:snapToGrid w:val="0"/>
        </w:rPr>
        <w:t>.</w:t>
      </w:r>
      <w:r>
        <w:rPr>
          <w:snapToGrid w:val="0"/>
        </w:rPr>
        <w:tab/>
        <w:t>Act does not prevent specified removals of tissue etc.</w:t>
      </w:r>
      <w:bookmarkEnd w:id="8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lastRenderedPageBreak/>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81" w:name="_Toc175219435"/>
      <w:r>
        <w:rPr>
          <w:rStyle w:val="CharSectno"/>
        </w:rPr>
        <w:t>32A</w:t>
      </w:r>
      <w:r>
        <w:t>.</w:t>
      </w:r>
      <w:r>
        <w:tab/>
        <w:t>Codes of practice</w:t>
      </w:r>
      <w:bookmarkEnd w:id="81"/>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 xml:space="preserve">where a text adopted is to be applied as from time to time amended, as if any modification specified in the code at the time the text was adopted prevailed (subject to any amendment of that modification itself under this Act) over any subsequent amendment to that text made </w:t>
      </w:r>
      <w:r>
        <w:lastRenderedPageBreak/>
        <w:t>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82" w:name="_Toc175219436"/>
      <w:r>
        <w:rPr>
          <w:rStyle w:val="CharSectno"/>
        </w:rPr>
        <w:t>32B</w:t>
      </w:r>
      <w:r>
        <w:t>.</w:t>
      </w:r>
      <w:r>
        <w:tab/>
        <w:t>Enforcement of directions contained in a code of practice</w:t>
      </w:r>
      <w:bookmarkEnd w:id="82"/>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lastRenderedPageBreak/>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83" w:name="_Toc175219437"/>
      <w:r>
        <w:rPr>
          <w:rStyle w:val="CharSectno"/>
        </w:rPr>
        <w:t>33</w:t>
      </w:r>
      <w:r>
        <w:rPr>
          <w:snapToGrid w:val="0"/>
        </w:rPr>
        <w:t>.</w:t>
      </w:r>
      <w:r>
        <w:rPr>
          <w:snapToGrid w:val="0"/>
        </w:rPr>
        <w:tab/>
        <w:t>Offences in relation to removal of tissue</w:t>
      </w:r>
      <w:bookmarkEnd w:id="83"/>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w:t>
      </w:r>
      <w:r>
        <w:rPr>
          <w:snapToGrid w:val="0"/>
        </w:rPr>
        <w:lastRenderedPageBreak/>
        <w:t xml:space="preserve">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84" w:name="_Toc175219438"/>
      <w:r>
        <w:rPr>
          <w:rStyle w:val="CharSectno"/>
        </w:rPr>
        <w:lastRenderedPageBreak/>
        <w:t>34</w:t>
      </w:r>
      <w:r>
        <w:rPr>
          <w:snapToGrid w:val="0"/>
        </w:rPr>
        <w:t>.</w:t>
      </w:r>
      <w:r>
        <w:rPr>
          <w:snapToGrid w:val="0"/>
        </w:rPr>
        <w:tab/>
        <w:t>Disclosure of information</w:t>
      </w:r>
      <w:bookmarkEnd w:id="84"/>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85" w:name="_Toc175219439"/>
      <w:r>
        <w:rPr>
          <w:rStyle w:val="CharSectno"/>
        </w:rPr>
        <w:t>35</w:t>
      </w:r>
      <w:r>
        <w:rPr>
          <w:snapToGrid w:val="0"/>
        </w:rPr>
        <w:t>.</w:t>
      </w:r>
      <w:r>
        <w:rPr>
          <w:snapToGrid w:val="0"/>
        </w:rPr>
        <w:tab/>
        <w:t>Regulations</w:t>
      </w:r>
      <w:bookmarkEnd w:id="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lastRenderedPageBreak/>
        <w:t>[</w:t>
      </w:r>
      <w:r>
        <w:rPr>
          <w:b/>
          <w:bCs/>
        </w:rPr>
        <w:t>36.</w:t>
      </w:r>
      <w:r>
        <w:tab/>
        <w:t>Omitted under the Reprints Act 1984 s. 7(4)(f).]</w:t>
      </w:r>
    </w:p>
    <w:p>
      <w:pPr>
        <w:pStyle w:val="Heading5"/>
      </w:pPr>
      <w:bookmarkStart w:id="86" w:name="_Toc175219440"/>
      <w:r>
        <w:rPr>
          <w:rStyle w:val="CharSectno"/>
        </w:rPr>
        <w:t>37</w:t>
      </w:r>
      <w:r>
        <w:t>.</w:t>
      </w:r>
      <w:r>
        <w:tab/>
        <w:t>Regulations may adopt codes or legislation</w:t>
      </w:r>
      <w:bookmarkEnd w:id="86"/>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Particulars of any code or subsidiary legislation adopted by reference must be published on, or accessible through, the </w:t>
      </w:r>
      <w:r>
        <w:lastRenderedPageBreak/>
        <w:t>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7" w:name="_Toc175212280"/>
      <w:bookmarkStart w:id="88" w:name="_Toc175213206"/>
      <w:bookmarkStart w:id="89" w:name="_Toc175219441"/>
      <w:r>
        <w:lastRenderedPageBreak/>
        <w:t>Notes</w:t>
      </w:r>
      <w:bookmarkEnd w:id="87"/>
      <w:bookmarkEnd w:id="88"/>
      <w:bookmarkEnd w:id="89"/>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w:t>
      </w:r>
    </w:p>
    <w:p>
      <w:pPr>
        <w:pStyle w:val="nHeading3"/>
      </w:pPr>
      <w:bookmarkStart w:id="90" w:name="_Toc175219442"/>
      <w:r>
        <w:t>Compilation table</w:t>
      </w:r>
      <w:bookmarkEnd w:id="9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lastRenderedPageBreak/>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nil"/>
            </w:tcBorders>
            <w:shd w:val="clear" w:color="auto" w:fill="auto"/>
          </w:tcPr>
          <w:p>
            <w:pPr>
              <w:pStyle w:val="nTable"/>
              <w:spacing w:after="40"/>
              <w:rPr>
                <w:b/>
                <w:snapToGrid w:val="0"/>
              </w:rPr>
            </w:pPr>
            <w:r>
              <w:t>41 of 2022</w:t>
            </w:r>
          </w:p>
        </w:tc>
        <w:tc>
          <w:tcPr>
            <w:tcW w:w="1134" w:type="dxa"/>
            <w:tcBorders>
              <w:top w:val="nil"/>
              <w:bottom w:val="nil"/>
            </w:tcBorders>
            <w:shd w:val="clear" w:color="auto" w:fill="auto"/>
          </w:tcPr>
          <w:p>
            <w:pPr>
              <w:pStyle w:val="nTable"/>
              <w:spacing w:after="40"/>
              <w:rPr>
                <w:b/>
                <w:snapToGrid w:val="0"/>
              </w:rPr>
            </w:pPr>
            <w:r>
              <w:t>21 Nov 2022</w:t>
            </w:r>
          </w:p>
        </w:tc>
        <w:tc>
          <w:tcPr>
            <w:tcW w:w="2552" w:type="dxa"/>
            <w:tcBorders>
              <w:top w:val="nil"/>
              <w:bottom w:val="nil"/>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r>
        <w:trPr>
          <w:cantSplit/>
        </w:trPr>
        <w:tc>
          <w:tcPr>
            <w:tcW w:w="2268" w:type="dxa"/>
            <w:tcBorders>
              <w:top w:val="nil"/>
              <w:bottom w:val="single" w:sz="8" w:space="0" w:color="auto"/>
            </w:tcBorders>
            <w:shd w:val="clear" w:color="auto" w:fill="auto"/>
          </w:tcPr>
          <w:p>
            <w:pPr>
              <w:pStyle w:val="nTable"/>
              <w:spacing w:after="40"/>
              <w:rPr>
                <w:i/>
              </w:rPr>
            </w:pPr>
            <w:r>
              <w:rPr>
                <w:i/>
              </w:rPr>
              <w:t>Therapeutic Goods Law Application Act 2024</w:t>
            </w:r>
            <w:r>
              <w:rPr>
                <w:iCs/>
              </w:rPr>
              <w:t xml:space="preserve"> Pt. 8 Div. 1</w:t>
            </w:r>
          </w:p>
        </w:tc>
        <w:tc>
          <w:tcPr>
            <w:tcW w:w="1134" w:type="dxa"/>
            <w:tcBorders>
              <w:top w:val="nil"/>
              <w:bottom w:val="single" w:sz="8" w:space="0" w:color="auto"/>
            </w:tcBorders>
            <w:shd w:val="clear" w:color="auto" w:fill="auto"/>
          </w:tcPr>
          <w:p>
            <w:pPr>
              <w:pStyle w:val="nTable"/>
              <w:spacing w:after="40"/>
            </w:pPr>
            <w:r>
              <w:t>19 of 2024</w:t>
            </w:r>
          </w:p>
        </w:tc>
        <w:tc>
          <w:tcPr>
            <w:tcW w:w="1134" w:type="dxa"/>
            <w:tcBorders>
              <w:top w:val="nil"/>
              <w:bottom w:val="single" w:sz="8" w:space="0" w:color="auto"/>
            </w:tcBorders>
            <w:shd w:val="clear" w:color="auto" w:fill="auto"/>
          </w:tcPr>
          <w:p>
            <w:pPr>
              <w:pStyle w:val="nTable"/>
              <w:spacing w:after="40"/>
            </w:pPr>
            <w:r>
              <w:t>14 May 2024</w:t>
            </w:r>
          </w:p>
        </w:tc>
        <w:tc>
          <w:tcPr>
            <w:tcW w:w="2552" w:type="dxa"/>
            <w:tcBorders>
              <w:top w:val="nil"/>
              <w:bottom w:val="single" w:sz="8" w:space="0" w:color="auto"/>
            </w:tcBorders>
            <w:shd w:val="clear" w:color="auto" w:fill="auto"/>
          </w:tcPr>
          <w:p>
            <w:pPr>
              <w:pStyle w:val="nTable"/>
              <w:spacing w:after="40"/>
            </w:pPr>
            <w:r>
              <w:t>30 Aug 2024 (see s. 2(b) and SL 2024/177 cl. 2)</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92" w:name="_Toc175219443"/>
      <w:r>
        <w:rPr>
          <w:sz w:val="28"/>
        </w:rPr>
        <w:lastRenderedPageBreak/>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school of anatomy</w:t>
      </w:r>
      <w:r>
        <w:tab/>
        <w:t>29C(1)</w:t>
      </w:r>
    </w:p>
    <w:p>
      <w:pPr>
        <w:pStyle w:val="DefinedTerms"/>
      </w:pPr>
      <w:r>
        <w:t>authorised supplier</w:t>
      </w:r>
      <w:r>
        <w:tab/>
        <w:t>29B(1)</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code</w:t>
      </w:r>
      <w:r>
        <w:tab/>
        <w:t>37(1)</w:t>
      </w:r>
    </w:p>
    <w:p>
      <w:pPr>
        <w:pStyle w:val="DefinedTerms"/>
      </w:pPr>
      <w:r>
        <w:t>coroner</w:t>
      </w:r>
      <w:r>
        <w:tab/>
        <w:t>3(1)</w:t>
      </w:r>
    </w:p>
    <w:p>
      <w:pPr>
        <w:pStyle w:val="DefinedTerms"/>
      </w:pPr>
      <w:r>
        <w:t>cost-recovery amount</w:t>
      </w:r>
      <w:r>
        <w:tab/>
        <w:t>29B(3)</w:t>
      </w:r>
    </w:p>
    <w:p>
      <w:pPr>
        <w:pStyle w:val="DefinedTerms"/>
      </w:pPr>
      <w:r>
        <w:t>designated officer</w:t>
      </w:r>
      <w:r>
        <w:tab/>
        <w:t>3(1)</w:t>
      </w:r>
    </w:p>
    <w:p>
      <w:pPr>
        <w:pStyle w:val="DefinedTerms"/>
      </w:pPr>
      <w:r>
        <w:t>Division</w:t>
      </w:r>
      <w:r>
        <w:tab/>
        <w:t>3(1)</w:t>
      </w:r>
    </w:p>
    <w:p>
      <w:pPr>
        <w:pStyle w:val="DefinedTerms"/>
      </w:pPr>
      <w:r>
        <w:t>donated body</w:t>
      </w:r>
      <w:r>
        <w:tab/>
        <w:t>29C(1)</w:t>
      </w:r>
    </w:p>
    <w:p>
      <w:pPr>
        <w:pStyle w:val="DefinedTerms"/>
      </w:pPr>
      <w:r>
        <w:t>exempt entity</w:t>
      </w:r>
      <w:r>
        <w:tab/>
        <w:t>29A(1)</w:t>
      </w:r>
    </w:p>
    <w:p>
      <w:pPr>
        <w:pStyle w:val="DefinedTerms"/>
      </w:pPr>
      <w:r>
        <w:t>hospital</w:t>
      </w:r>
      <w:r>
        <w:tab/>
        <w:t>3(2)</w:t>
      </w:r>
    </w:p>
    <w:p>
      <w:pPr>
        <w:pStyle w:val="DefinedTerms"/>
      </w:pPr>
      <w:r>
        <w:t>human egg</w:t>
      </w:r>
      <w:r>
        <w:tab/>
        <w:t>3(1)</w:t>
      </w:r>
    </w:p>
    <w:p>
      <w:pPr>
        <w:pStyle w:val="DefinedTerms"/>
      </w:pPr>
      <w:r>
        <w:t>human embryo</w:t>
      </w:r>
      <w:r>
        <w:tab/>
        <w:t>3(1)</w:t>
      </w:r>
    </w:p>
    <w:p>
      <w:pPr>
        <w:pStyle w:val="DefinedTerms"/>
      </w:pPr>
      <w:r>
        <w:t>human embryonic stem cell line</w:t>
      </w:r>
      <w:r>
        <w:tab/>
        <w:t>30A</w:t>
      </w:r>
    </w:p>
    <w:p>
      <w:pPr>
        <w:pStyle w:val="DefinedTerms"/>
      </w:pPr>
      <w:r>
        <w:t>human sperm</w:t>
      </w:r>
      <w:r>
        <w:tab/>
        <w:t>3(1)</w:t>
      </w:r>
    </w:p>
    <w:p>
      <w:pPr>
        <w:pStyle w:val="DefinedTerms"/>
      </w:pPr>
      <w:r>
        <w:t>Human Tissue Advisory Body</w:t>
      </w:r>
      <w:r>
        <w:tab/>
        <w:t>3(1)</w:t>
      </w:r>
    </w:p>
    <w:p>
      <w:pPr>
        <w:pStyle w:val="DefinedTerms"/>
      </w:pPr>
      <w:r>
        <w:t>medical practitioner</w:t>
      </w:r>
      <w:r>
        <w:tab/>
        <w:t>3(1)</w:t>
      </w:r>
    </w:p>
    <w:p>
      <w:pPr>
        <w:pStyle w:val="DefinedTerms"/>
      </w:pPr>
      <w:r>
        <w:t>national product price list</w:t>
      </w:r>
      <w:r>
        <w:tab/>
        <w:t>29A(1)</w:t>
      </w:r>
    </w:p>
    <w:p>
      <w:pPr>
        <w:pStyle w:val="DefinedTerms"/>
      </w:pPr>
      <w:r>
        <w:t>next of kin</w:t>
      </w:r>
      <w:r>
        <w:tab/>
        <w:t>3(1)</w:t>
      </w:r>
    </w:p>
    <w:p>
      <w:pPr>
        <w:pStyle w:val="DefinedTerms"/>
      </w:pPr>
      <w:r>
        <w:t>non-regenerative tissue</w:t>
      </w:r>
      <w:r>
        <w:tab/>
        <w:t>3(1)</w:t>
      </w:r>
    </w:p>
    <w:p>
      <w:pPr>
        <w:pStyle w:val="DefinedTerms"/>
      </w:pPr>
      <w:r>
        <w:t>permitted practitioner</w:t>
      </w:r>
      <w:r>
        <w:tab/>
        <w:t>24(1)</w:t>
      </w:r>
    </w:p>
    <w:p>
      <w:pPr>
        <w:pStyle w:val="DefinedTerms"/>
      </w:pPr>
      <w:r>
        <w:t>permitted purpose or use</w:t>
      </w:r>
      <w:r>
        <w:tab/>
        <w:t>24(1)</w:t>
      </w:r>
    </w:p>
    <w:p>
      <w:pPr>
        <w:pStyle w:val="DefinedTerms"/>
      </w:pPr>
      <w:r>
        <w:t>reasonable costs associated with supply</w:t>
      </w:r>
      <w:r>
        <w:tab/>
        <w:t>29C(3)</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subsidiary legislation</w:t>
      </w:r>
      <w:r>
        <w:tab/>
        <w:t>37(1)</w:t>
      </w:r>
    </w:p>
    <w:p>
      <w:pPr>
        <w:pStyle w:val="DefinedTerms"/>
      </w:pPr>
      <w:r>
        <w:t>TGA provision</w:t>
      </w:r>
      <w:r>
        <w:tab/>
        <w:t>29A(1)</w:t>
      </w:r>
    </w:p>
    <w:p>
      <w:pPr>
        <w:pStyle w:val="DefinedTerms"/>
      </w:pPr>
      <w:r>
        <w:t>TG law provision</w:t>
      </w:r>
      <w:r>
        <w:tab/>
        <w:t>29A(1)</w:t>
      </w:r>
    </w:p>
    <w:p>
      <w:pPr>
        <w:pStyle w:val="DefinedTerms"/>
      </w:pPr>
      <w:r>
        <w:t>therapeutic goods</w:t>
      </w:r>
      <w:r>
        <w:tab/>
        <w:t>3(1)</w:t>
      </w:r>
    </w:p>
    <w:p>
      <w:pPr>
        <w:pStyle w:val="DefinedTerms"/>
      </w:pPr>
      <w:r>
        <w:t>Therapeutic Goods Act</w:t>
      </w:r>
      <w:r>
        <w:tab/>
        <w:t>3(1)</w:t>
      </w:r>
    </w:p>
    <w:p>
      <w:pPr>
        <w:pStyle w:val="DefinedTerms"/>
      </w:pPr>
      <w:r>
        <w:t>therapeutic use</w:t>
      </w:r>
      <w:r>
        <w:tab/>
        <w:t>30A</w:t>
      </w:r>
    </w:p>
    <w:p>
      <w:pPr>
        <w:pStyle w:val="DefinedTerms"/>
      </w:pPr>
      <w:r>
        <w:t>tissue</w:t>
      </w:r>
      <w:r>
        <w:tab/>
        <w:t>3(1), 32(2)</w:t>
      </w:r>
    </w:p>
    <w:p>
      <w:pPr>
        <w:pStyle w:val="DefinedTerms"/>
        <w:keepNext/>
      </w:pPr>
      <w:r>
        <w:lastRenderedPageBreak/>
        <w:t>tissue bank</w:t>
      </w:r>
      <w:r>
        <w:tab/>
        <w:t>29B(1)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AA8D6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E6A6EBC" w14:textId="4622BFEB" w:rsidR="00533C90" w:rsidRDefault="00777D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3E41">
                        <w:rPr>
                          <w:sz w:val="16"/>
                        </w:rPr>
                        <w:t>2024</w:t>
                      </w:r>
                      <w:r>
                        <w:rPr>
                          <w:sz w:val="16"/>
                        </w:rPr>
                        <w:fldChar w:fldCharType="end"/>
                      </w:r>
                      <w:r>
                        <w:rPr>
                          <w:sz w:val="16"/>
                        </w:rPr>
                        <w:t>.</w:t>
                      </w:r>
                    </w:p>
                    <w:p w14:paraId="4426F910" w14:textId="77777777" w:rsidR="00533C90" w:rsidRDefault="00777D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2DC1B1" w14:textId="23E053D4" w:rsidR="00533C90" w:rsidRDefault="00777D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3E41">
                        <w:rPr>
                          <w:sz w:val="16"/>
                        </w:rPr>
                        <w:t>2024</w:t>
                      </w:r>
                      <w:r>
                        <w:rPr>
                          <w:sz w:val="16"/>
                        </w:rPr>
                        <w:fldChar w:fldCharType="end"/>
                      </w:r>
                      <w:r>
                        <w:rPr>
                          <w:sz w:val="16"/>
                        </w:rPr>
                        <w:t>.</w:t>
                      </w:r>
                    </w:p>
                    <w:p w14:paraId="446C65D6" w14:textId="77777777" w:rsidR="00533C90" w:rsidRDefault="00777DA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3" w:name="DefinedTerms"/>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9421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 w:name="WAFER_2024082209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4215_GUID" w:val="331ab12a-ac54-4b63-b0d1-84e2c4729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12136</Words>
  <Characters>57166</Characters>
  <Application>Microsoft Office Word</Application>
  <DocSecurity>0</DocSecurity>
  <Lines>1587</Lines>
  <Paragraphs>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1982 - 03-e0-00</dc:title>
  <dc:subject/>
  <dc:creator/>
  <cp:keywords/>
  <dc:description/>
  <cp:lastModifiedBy>Master Repository Process</cp:lastModifiedBy>
  <cp:revision>4</cp:revision>
  <cp:lastPrinted>2017-05-29T05:55:00Z</cp:lastPrinted>
  <dcterms:created xsi:type="dcterms:W3CDTF">2025-06-17T02:22:00Z</dcterms:created>
  <dcterms:modified xsi:type="dcterms:W3CDTF">2025-06-17T02:23:00Z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AsAtDate">
    <vt:lpwstr>30 Aug 2024</vt:lpwstr>
  </property>
  <property fmtid="{D5CDD505-2E9C-101B-9397-08002B2CF9AE}" pid="8" name="Suffix">
    <vt:lpwstr>03-e0-00</vt:lpwstr>
  </property>
  <property fmtid="{D5CDD505-2E9C-101B-9397-08002B2CF9AE}" pid="9" name="Official">
    <vt:lpwstr/>
  </property>
  <property fmtid="{D5CDD505-2E9C-101B-9397-08002B2CF9AE}" pid="10" name="CommencementDate">
    <vt:lpwstr>20240830</vt:lpwstr>
  </property>
  <property fmtid="{D5CDD505-2E9C-101B-9397-08002B2CF9AE}" pid="11" name="CommencementAsAt">
    <vt:filetime>2024-08-29T16:00:00Z</vt:filetime>
  </property>
  <property fmtid="{D5CDD505-2E9C-101B-9397-08002B2CF9AE}" pid="12" name="CommencementYear">
    <vt:lpwstr>2024</vt:lpwstr>
  </property>
</Properties>
</file>