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Children’s Court of Western Australia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Children’s Court (Fees)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_Toc175733975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_Toc175733976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_Toc175733977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53)</w:t>
      </w:r>
      <w:r>
        <w:tab/>
      </w:r>
      <w:r>
        <w:fldChar w:fldCharType="begin"/>
      </w:r>
      <w:r>
        <w:instrText xml:space="preserve"> PAGEREF _Toc175733978 \h </w:instrText>
      </w:r>
      <w:r>
        <w:fldChar w:fldCharType="separate"/>
      </w:r>
      <w:r>
        <w:t>2</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_Toc175733979 \h </w:instrText>
      </w:r>
      <w:r>
        <w:fldChar w:fldCharType="separate"/>
      </w:r>
      <w:r>
        <w:t>2</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_Toc175733980 \h </w:instrText>
      </w:r>
      <w:r>
        <w:fldChar w:fldCharType="separate"/>
      </w:r>
      <w:r>
        <w:t>3</w:t>
      </w:r>
      <w:r>
        <w:fldChar w:fldCharType="end"/>
      </w:r>
    </w:p>
    <w:p>
      <w:pPr>
        <w:pStyle w:val="TOC8"/>
        <w:rPr>
          <w:rFonts w:asciiTheme="minorHAnsi" w:eastAsiaTheme="minorEastAsia" w:hAnsiTheme="minorHAnsi" w:cstheme="minorBidi"/>
          <w:szCs w:val="22"/>
        </w:rPr>
      </w:pPr>
      <w:r>
        <w:t>6A.</w:t>
      </w:r>
      <w:r>
        <w:tab/>
        <w:t>Certain application fees may be waived</w:t>
      </w:r>
      <w:r>
        <w:tab/>
      </w:r>
      <w:r>
        <w:fldChar w:fldCharType="begin"/>
      </w:r>
      <w:r>
        <w:instrText xml:space="preserve"> PAGEREF _Toc175733981 \h </w:instrText>
      </w:r>
      <w:r>
        <w:fldChar w:fldCharType="separate"/>
      </w:r>
      <w:r>
        <w:t>4</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 in civil cases</w:t>
      </w:r>
      <w:r>
        <w:tab/>
      </w:r>
      <w:r>
        <w:fldChar w:fldCharType="begin"/>
      </w:r>
      <w:r>
        <w:instrText xml:space="preserve"> PAGEREF _Toc175733982 \h </w:instrText>
      </w:r>
      <w:r>
        <w:fldChar w:fldCharType="separate"/>
      </w:r>
      <w:r>
        <w:t>4</w:t>
      </w:r>
      <w:r>
        <w:fldChar w:fldCharType="end"/>
      </w:r>
    </w:p>
    <w:p>
      <w:pPr>
        <w:pStyle w:val="TOC8"/>
        <w:rPr>
          <w:rFonts w:asciiTheme="minorHAnsi" w:eastAsiaTheme="minorEastAsia" w:hAnsiTheme="minorHAnsi" w:cstheme="minorBidi"/>
          <w:szCs w:val="22"/>
        </w:rPr>
      </w:pPr>
      <w:r>
        <w:t>8.</w:t>
      </w:r>
      <w:r>
        <w:tab/>
        <w:t>Who is an eligible individual</w:t>
      </w:r>
      <w:r>
        <w:tab/>
      </w:r>
      <w:r>
        <w:fldChar w:fldCharType="begin"/>
      </w:r>
      <w:r>
        <w:instrText xml:space="preserve"> PAGEREF _Toc175733983 \h </w:instrText>
      </w:r>
      <w:r>
        <w:fldChar w:fldCharType="separate"/>
      </w:r>
      <w:r>
        <w:t>4</w:t>
      </w:r>
      <w:r>
        <w:fldChar w:fldCharType="end"/>
      </w:r>
    </w:p>
    <w:p>
      <w:pPr>
        <w:pStyle w:val="TOC8"/>
        <w:rPr>
          <w:rFonts w:asciiTheme="minorHAnsi" w:eastAsiaTheme="minorEastAsia" w:hAnsiTheme="minorHAnsi" w:cstheme="minorBidi"/>
          <w:szCs w:val="22"/>
        </w:rPr>
      </w:pPr>
      <w:r>
        <w:t>9A.</w:t>
      </w:r>
      <w:r>
        <w:tab/>
        <w:t>Application to be recognised as eligible individual</w:t>
      </w:r>
      <w:r>
        <w:tab/>
      </w:r>
      <w:r>
        <w:fldChar w:fldCharType="begin"/>
      </w:r>
      <w:r>
        <w:instrText xml:space="preserve"> PAGEREF _Toc175733984 \h </w:instrText>
      </w:r>
      <w:r>
        <w:fldChar w:fldCharType="separate"/>
      </w:r>
      <w:r>
        <w:t>5</w:t>
      </w:r>
      <w:r>
        <w:fldChar w:fldCharType="end"/>
      </w:r>
    </w:p>
    <w:p>
      <w:pPr>
        <w:pStyle w:val="TOC8"/>
        <w:rPr>
          <w:rFonts w:asciiTheme="minorHAnsi" w:eastAsiaTheme="minorEastAsia" w:hAnsiTheme="minorHAnsi" w:cstheme="minorBidi"/>
          <w:szCs w:val="22"/>
        </w:rPr>
      </w:pPr>
      <w:r>
        <w:t>9B.</w:t>
      </w:r>
      <w:r>
        <w:tab/>
        <w:t>Recognition as eligible individual</w:t>
      </w:r>
      <w:r>
        <w:tab/>
      </w:r>
      <w:r>
        <w:fldChar w:fldCharType="begin"/>
      </w:r>
      <w:r>
        <w:instrText xml:space="preserve"> PAGEREF _Toc175733985 \h </w:instrText>
      </w:r>
      <w:r>
        <w:fldChar w:fldCharType="separate"/>
      </w:r>
      <w:r>
        <w:t>6</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_Toc175733986 \h </w:instrText>
      </w:r>
      <w:r>
        <w:fldChar w:fldCharType="separate"/>
      </w:r>
      <w:r>
        <w:t>6</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_Toc175733987 \h </w:instrText>
      </w:r>
      <w:r>
        <w:fldChar w:fldCharType="separate"/>
      </w:r>
      <w:r>
        <w:t>7</w:t>
      </w:r>
      <w:r>
        <w:fldChar w:fldCharType="end"/>
      </w:r>
    </w:p>
    <w:p>
      <w:pPr>
        <w:pStyle w:val="TOC8"/>
        <w:rPr>
          <w:rFonts w:asciiTheme="minorHAnsi" w:eastAsiaTheme="minorEastAsia" w:hAnsiTheme="minorHAnsi" w:cstheme="minorBidi"/>
          <w:szCs w:val="22"/>
        </w:rPr>
      </w:pPr>
      <w:r>
        <w:t>9.</w:t>
      </w:r>
      <w:r>
        <w:tab/>
        <w:t>Waiving fee for copy of document or transcript</w:t>
      </w:r>
      <w:r>
        <w:tab/>
      </w:r>
      <w:r>
        <w:fldChar w:fldCharType="begin"/>
      </w:r>
      <w:r>
        <w:instrText xml:space="preserve"> PAGEREF _Toc175733988 \h </w:instrText>
      </w:r>
      <w:r>
        <w:fldChar w:fldCharType="separate"/>
      </w:r>
      <w:r>
        <w:t>8</w:t>
      </w:r>
      <w:r>
        <w:fldChar w:fldCharType="end"/>
      </w:r>
    </w:p>
    <w:p>
      <w:pPr>
        <w:pStyle w:val="TOC8"/>
        <w:rPr>
          <w:rFonts w:asciiTheme="minorHAnsi" w:eastAsiaTheme="minorEastAsia" w:hAnsiTheme="minorHAnsi" w:cstheme="minorBidi"/>
          <w:szCs w:val="22"/>
        </w:rPr>
      </w:pPr>
      <w:r>
        <w:t>10.</w:t>
      </w:r>
      <w:r>
        <w:tab/>
        <w:t>Disputes as to fees, determination of</w:t>
      </w:r>
      <w:r>
        <w:tab/>
      </w:r>
      <w:r>
        <w:fldChar w:fldCharType="begin"/>
      </w:r>
      <w:r>
        <w:instrText xml:space="preserve"> PAGEREF _Toc175733989 \h </w:instrText>
      </w:r>
      <w:r>
        <w:fldChar w:fldCharType="separate"/>
      </w:r>
      <w:r>
        <w:t>8</w:t>
      </w:r>
      <w:r>
        <w:fldChar w:fldCharType="end"/>
      </w:r>
    </w:p>
    <w:p>
      <w:pPr>
        <w:pStyle w:val="TOC8"/>
        <w:rPr>
          <w:rFonts w:asciiTheme="minorHAnsi" w:eastAsiaTheme="minorEastAsia" w:hAnsiTheme="minorHAnsi" w:cstheme="minorBidi"/>
          <w:szCs w:val="22"/>
        </w:rPr>
      </w:pPr>
      <w:r>
        <w:t>11.</w:t>
      </w:r>
      <w:r>
        <w:tab/>
        <w:t>Unpaid fees, recovery of</w:t>
      </w:r>
      <w:r>
        <w:tab/>
      </w:r>
      <w:r>
        <w:fldChar w:fldCharType="begin"/>
      </w:r>
      <w:r>
        <w:instrText xml:space="preserve"> PAGEREF _Toc175733990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Civil jurisdiction</w:t>
      </w:r>
    </w:p>
    <w:p>
      <w:pPr>
        <w:pStyle w:val="TOC4"/>
        <w:tabs>
          <w:tab w:val="right" w:leader="dot" w:pos="7077"/>
        </w:tabs>
        <w:rPr>
          <w:rFonts w:asciiTheme="minorHAnsi" w:eastAsiaTheme="minorEastAsia" w:hAnsiTheme="minorHAnsi" w:cstheme="minorBidi"/>
          <w:b w:val="0"/>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_Toc175733996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360"/>
      </w:pPr>
      <w:r>
        <w:lastRenderedPageBreak/>
        <w:t>Children’s Court of Western Australia Act 1988</w:t>
      </w:r>
    </w:p>
    <w:p>
      <w:pPr>
        <w:pStyle w:val="NameofActReg"/>
        <w:spacing w:after="480"/>
      </w:pPr>
      <w:r>
        <w:t>Children’s Court (Fees) Regulations 2005</w:t>
      </w:r>
    </w:p>
    <w:p>
      <w:pPr>
        <w:pStyle w:val="Heading5"/>
      </w:pPr>
      <w:bookmarkStart w:id="2" w:name="_Toc175733975"/>
      <w:r>
        <w:rPr>
          <w:rStyle w:val="CharSectno"/>
        </w:rPr>
        <w:t>1</w:t>
      </w:r>
      <w:r>
        <w:t>.</w:t>
      </w:r>
      <w:r>
        <w:tab/>
        <w:t>Citation</w:t>
      </w:r>
      <w:bookmarkEnd w:id="2"/>
    </w:p>
    <w:p>
      <w:pPr>
        <w:pStyle w:val="Subsection"/>
        <w:rPr>
          <w:i/>
        </w:rPr>
      </w:pPr>
      <w:r>
        <w:tab/>
      </w:r>
      <w:r>
        <w:tab/>
      </w:r>
      <w:r>
        <w:rPr>
          <w:spacing w:val="-2"/>
        </w:rPr>
        <w:t>These</w:t>
      </w:r>
      <w:r>
        <w:t> </w:t>
      </w:r>
      <w:r>
        <w:rPr>
          <w:spacing w:val="-2"/>
        </w:rPr>
        <w:t>regulations</w:t>
      </w:r>
      <w:r>
        <w:t xml:space="preserve"> are the </w:t>
      </w:r>
      <w:r>
        <w:rPr>
          <w:i/>
        </w:rPr>
        <w:t>Children’s Court (Fees) Regulations 2005</w:t>
      </w:r>
      <w:r>
        <w:t>.</w:t>
      </w:r>
    </w:p>
    <w:p>
      <w:pPr>
        <w:pStyle w:val="Heading5"/>
        <w:rPr>
          <w:spacing w:val="-2"/>
        </w:rPr>
      </w:pPr>
      <w:bookmarkStart w:id="3" w:name="_Toc175733976"/>
      <w:r>
        <w:rPr>
          <w:rStyle w:val="CharSectno"/>
        </w:rPr>
        <w:t>2</w:t>
      </w:r>
      <w:r>
        <w:rPr>
          <w:spacing w:val="-2"/>
        </w:rPr>
        <w:t>.</w:t>
      </w:r>
      <w:r>
        <w:rPr>
          <w:spacing w:val="-2"/>
        </w:rPr>
        <w:tab/>
        <w:t>Commencement</w:t>
      </w:r>
      <w:bookmarkEnd w:id="3"/>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p>
    <w:p>
      <w:pPr>
        <w:pStyle w:val="Heading5"/>
      </w:pPr>
      <w:bookmarkStart w:id="4" w:name="_Toc175733977"/>
      <w:r>
        <w:rPr>
          <w:rStyle w:val="CharSectno"/>
        </w:rPr>
        <w:t>3</w:t>
      </w:r>
      <w:r>
        <w:t>.</w:t>
      </w:r>
      <w:r>
        <w:tab/>
        <w:t>Terms used</w:t>
      </w:r>
      <w:bookmarkEnd w:id="4"/>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keepNext/>
      </w:pPr>
      <w:r>
        <w:rPr>
          <w:b/>
        </w:rPr>
        <w:lastRenderedPageBreak/>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Gazette 23 Jun 2006 p. 2182; 14 Jun 2016 p. 1856.]</w:t>
      </w:r>
    </w:p>
    <w:p>
      <w:pPr>
        <w:pStyle w:val="Heading5"/>
        <w:spacing w:before="200"/>
        <w:rPr>
          <w:snapToGrid w:val="0"/>
        </w:rPr>
      </w:pPr>
      <w:bookmarkStart w:id="5" w:name="_Toc175733978"/>
      <w:r>
        <w:rPr>
          <w:rStyle w:val="CharSectno"/>
        </w:rPr>
        <w:t>4</w:t>
      </w:r>
      <w:r>
        <w:t>.</w:t>
      </w:r>
      <w:r>
        <w:tab/>
      </w:r>
      <w:r>
        <w:rPr>
          <w:snapToGrid w:val="0"/>
        </w:rPr>
        <w:t>Fees to be charged (Act s. 53)</w:t>
      </w:r>
      <w:bookmarkEnd w:id="5"/>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Gazette 14 Jun 2016 p. 1856.]</w:t>
      </w:r>
    </w:p>
    <w:p>
      <w:pPr>
        <w:pStyle w:val="Heading5"/>
      </w:pPr>
      <w:bookmarkStart w:id="6" w:name="_Toc174616763"/>
      <w:bookmarkStart w:id="7" w:name="_Toc175043324"/>
      <w:bookmarkStart w:id="8" w:name="_Toc175733979"/>
      <w:r>
        <w:rPr>
          <w:rStyle w:val="CharSectno"/>
        </w:rPr>
        <w:t>5</w:t>
      </w:r>
      <w:r>
        <w:t>.</w:t>
      </w:r>
      <w:r>
        <w:tab/>
        <w:t>Exemptions</w:t>
      </w:r>
      <w:bookmarkEnd w:id="6"/>
      <w:bookmarkEnd w:id="7"/>
      <w:bookmarkEnd w:id="8"/>
    </w:p>
    <w:p>
      <w:pPr>
        <w:pStyle w:val="Subsection"/>
      </w:pPr>
      <w:r>
        <w:tab/>
      </w:r>
      <w:r>
        <w:tab/>
        <w:t>A person is not required to pay a fee in respect of the following —</w:t>
      </w:r>
    </w:p>
    <w:p>
      <w:pPr>
        <w:pStyle w:val="Indenta"/>
      </w:pPr>
      <w:r>
        <w:tab/>
        <w:t>(a)</w:t>
      </w:r>
      <w:r>
        <w:tab/>
        <w:t xml:space="preserve">an application under the </w:t>
      </w:r>
      <w:r>
        <w:rPr>
          <w:i/>
          <w:iCs/>
        </w:rPr>
        <w:t xml:space="preserve">Restraining Orders Act 1997 </w:t>
      </w:r>
      <w:r>
        <w:t>for a family violence restraining order or violence restraining order or to vary or cancel a family violence restraining order or violence restraining order;</w:t>
      </w:r>
    </w:p>
    <w:p>
      <w:pPr>
        <w:pStyle w:val="Indenta"/>
      </w:pPr>
      <w:r>
        <w:tab/>
        <w:t>(b)</w:t>
      </w:r>
      <w:r>
        <w:tab/>
        <w:t xml:space="preserve">an application under the </w:t>
      </w:r>
      <w:r>
        <w:rPr>
          <w:i/>
          <w:iCs/>
        </w:rPr>
        <w:t xml:space="preserve">Prohibited Behaviour Orders Act 2010 </w:t>
      </w:r>
      <w:r>
        <w:t>for a prohibited behaviour order or to vary or cancel a prohibited behaviour order;</w:t>
      </w:r>
    </w:p>
    <w:p>
      <w:pPr>
        <w:pStyle w:val="Indenta"/>
      </w:pPr>
      <w:r>
        <w:tab/>
        <w:t>(c)</w:t>
      </w:r>
      <w:r>
        <w:tab/>
        <w:t xml:space="preserve">civil proceedings under the </w:t>
      </w:r>
      <w:r>
        <w:rPr>
          <w:i/>
        </w:rPr>
        <w:t>Criminal Law (Mental Impairment) Act 2023</w:t>
      </w:r>
      <w:r>
        <w:t>;</w:t>
      </w:r>
    </w:p>
    <w:p>
      <w:pPr>
        <w:pStyle w:val="Indenta"/>
        <w:keepNext/>
      </w:pPr>
      <w:r>
        <w:lastRenderedPageBreak/>
        <w:tab/>
        <w:t>(d)</w:t>
      </w:r>
      <w:r>
        <w:tab/>
        <w:t>a matter if —</w:t>
      </w:r>
    </w:p>
    <w:p>
      <w:pPr>
        <w:pStyle w:val="Indenti"/>
      </w:pPr>
      <w:r>
        <w:tab/>
        <w:t>(i)</w:t>
      </w:r>
      <w:r>
        <w:tab/>
        <w:t>a written law provides that the person is not required to pay a fee in respect of a matter of that type; or</w:t>
      </w:r>
    </w:p>
    <w:p>
      <w:pPr>
        <w:pStyle w:val="Indenti"/>
      </w:pPr>
      <w:r>
        <w:tab/>
        <w:t>(ii)</w:t>
      </w:r>
      <w:r>
        <w:tab/>
        <w:t>the person has not reached 18 years of age on the day the fee would otherwise be payable.</w:t>
      </w:r>
    </w:p>
    <w:p>
      <w:pPr>
        <w:pStyle w:val="Footnotesection"/>
      </w:pPr>
      <w:r>
        <w:tab/>
        <w:t>[Regulation 5 inserted: SL 2024/174 r. 4.]</w:t>
      </w:r>
    </w:p>
    <w:p>
      <w:pPr>
        <w:pStyle w:val="Heading5"/>
        <w:spacing w:before="200"/>
      </w:pPr>
      <w:bookmarkStart w:id="9" w:name="_Toc175733980"/>
      <w:r>
        <w:rPr>
          <w:rStyle w:val="CharSectno"/>
        </w:rPr>
        <w:t>6</w:t>
      </w:r>
      <w:r>
        <w:t>.</w:t>
      </w:r>
      <w:r>
        <w:tab/>
        <w:t>Some fees subject to conditions or must be waived</w:t>
      </w:r>
      <w:bookmarkEnd w:id="9"/>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lastRenderedPageBreak/>
        <w:tab/>
        <w:t>(b)</w:t>
      </w:r>
      <w:r>
        <w:tab/>
        <w:t>the Court has not made a decision in relation to the application that applies to the respondent; and</w:t>
      </w:r>
    </w:p>
    <w:p>
      <w:pPr>
        <w:pStyle w:val="Indenta"/>
        <w:keepNext/>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pPr>
      <w:bookmarkStart w:id="10" w:name="_Toc175733981"/>
      <w:r>
        <w:rPr>
          <w:rStyle w:val="CharSectno"/>
        </w:rPr>
        <w:t>6A</w:t>
      </w:r>
      <w:r>
        <w:t>.</w:t>
      </w:r>
      <w:r>
        <w:tab/>
        <w:t>Certain application fees may be waived</w:t>
      </w:r>
      <w:bookmarkEnd w:id="10"/>
    </w:p>
    <w:p>
      <w:pPr>
        <w:pStyle w:val="Subsection"/>
      </w:pPr>
      <w:r>
        <w:tab/>
      </w:r>
      <w:r>
        <w:tab/>
        <w:t xml:space="preserve">A registrar may waive the fee for an application under the </w:t>
      </w:r>
      <w:r>
        <w:rPr>
          <w:i/>
        </w:rPr>
        <w:t>Criminal Procedure Act 2004</w:t>
      </w:r>
      <w:r>
        <w:t xml:space="preserve"> section 71(2)(a) or (b) for an order to set aside a decision if the registrar is satisfied that the reason for the failure to appear is a clerical error by the Court.</w:t>
      </w:r>
    </w:p>
    <w:p>
      <w:pPr>
        <w:pStyle w:val="Footnotesection"/>
      </w:pPr>
      <w:r>
        <w:tab/>
        <w:t>[Regulation 6A inserted: SL 2022/145 r. 4.]</w:t>
      </w:r>
    </w:p>
    <w:p>
      <w:pPr>
        <w:pStyle w:val="Heading5"/>
        <w:spacing w:before="240"/>
        <w:rPr>
          <w:snapToGrid w:val="0"/>
        </w:rPr>
      </w:pPr>
      <w:bookmarkStart w:id="11" w:name="_Toc175733982"/>
      <w:r>
        <w:rPr>
          <w:rStyle w:val="CharSectno"/>
        </w:rPr>
        <w:t>7</w:t>
      </w:r>
      <w:r>
        <w:t>.</w:t>
      </w:r>
      <w:r>
        <w:tab/>
      </w:r>
      <w:r>
        <w:rPr>
          <w:rStyle w:val="CharSectno"/>
        </w:rPr>
        <w:t>F</w:t>
      </w:r>
      <w:r>
        <w:rPr>
          <w:snapToGrid w:val="0"/>
        </w:rPr>
        <w:t>ees to be paid before documents etc. filed in civil cases</w:t>
      </w:r>
      <w:bookmarkEnd w:id="11"/>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2" w:name="_Toc175733983"/>
      <w:r>
        <w:rPr>
          <w:rStyle w:val="CharSectno"/>
        </w:rPr>
        <w:t>8</w:t>
      </w:r>
      <w:r>
        <w:t>.</w:t>
      </w:r>
      <w:r>
        <w:tab/>
        <w:t>Who is an eligible individual</w:t>
      </w:r>
      <w:bookmarkEnd w:id="12"/>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keepNext/>
      </w:pPr>
      <w:r>
        <w:lastRenderedPageBreak/>
        <w:tab/>
        <w:t>(2)</w:t>
      </w:r>
      <w:r>
        <w:tab/>
        <w:t xml:space="preserve">An eligible individual is — </w:t>
      </w:r>
    </w:p>
    <w:p>
      <w:pPr>
        <w:pStyle w:val="Indenta"/>
        <w:keepNext/>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[Regulation 8 inserted: Gazette 14 Jun 2016 p. 1857</w:t>
      </w:r>
      <w:r>
        <w:noBreakHyphen/>
        <w:t>8; amended: Gazette 20 Jul 2018 p. 2621.]</w:t>
      </w:r>
    </w:p>
    <w:p>
      <w:pPr>
        <w:pStyle w:val="Heading5"/>
      </w:pPr>
      <w:bookmarkStart w:id="13" w:name="_Toc175733984"/>
      <w:r>
        <w:rPr>
          <w:rStyle w:val="CharSectno"/>
        </w:rPr>
        <w:t>9A</w:t>
      </w:r>
      <w:r>
        <w:t>.</w:t>
      </w:r>
      <w:r>
        <w:tab/>
        <w:t>Application to be recognised as eligible individual</w:t>
      </w:r>
      <w:bookmarkEnd w:id="13"/>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lastRenderedPageBreak/>
        <w:tab/>
        <w:t>(2)</w:t>
      </w:r>
      <w:r>
        <w:tab/>
        <w:t>An application is to be in the approved form and is to specify the matter in respect of which the individual is seeking to pay the eligible individual fee.</w:t>
      </w:r>
    </w:p>
    <w:p>
      <w:pPr>
        <w:pStyle w:val="Subsection"/>
        <w:keepNext/>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Gazette 14 Jun 2016 p. 1858</w:t>
      </w:r>
      <w:r>
        <w:noBreakHyphen/>
        <w:t>9; amended: Gazette 20 Jul 2018 p. 2622.]</w:t>
      </w:r>
    </w:p>
    <w:p>
      <w:pPr>
        <w:pStyle w:val="Heading5"/>
        <w:keepNext w:val="0"/>
      </w:pPr>
      <w:bookmarkStart w:id="14" w:name="_Toc175733985"/>
      <w:r>
        <w:rPr>
          <w:rStyle w:val="CharSectno"/>
        </w:rPr>
        <w:t>9B</w:t>
      </w:r>
      <w:r>
        <w:t>.</w:t>
      </w:r>
      <w:r>
        <w:tab/>
        <w:t>Recognition as eligible individual</w:t>
      </w:r>
      <w:bookmarkEnd w:id="14"/>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Gazette 14 Jun 2016 p. 1859; amended: Gazette 20 Jul 2018 p. 2622.]</w:t>
      </w:r>
    </w:p>
    <w:p>
      <w:pPr>
        <w:pStyle w:val="Heading5"/>
      </w:pPr>
      <w:bookmarkStart w:id="15" w:name="_Toc175733986"/>
      <w:r>
        <w:rPr>
          <w:rStyle w:val="CharSectno"/>
        </w:rPr>
        <w:t>9C</w:t>
      </w:r>
      <w:r>
        <w:t>.</w:t>
      </w:r>
      <w:r>
        <w:tab/>
        <w:t>False or misleading statements</w:t>
      </w:r>
      <w:bookmarkEnd w:id="15"/>
    </w:p>
    <w:p>
      <w:pPr>
        <w:pStyle w:val="Subsection"/>
        <w:keepNext/>
      </w:pPr>
      <w:r>
        <w:tab/>
        <w:t>(1)</w:t>
      </w:r>
      <w:r>
        <w:tab/>
        <w:t xml:space="preserve">A person who makes a statement or representation in an application made under these regulations, or provides further information in relation to an application, that the person knows </w:t>
      </w:r>
      <w:r>
        <w:lastRenderedPageBreak/>
        <w:t>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Gazette 14 Jun 2016 p. 1860.]</w:t>
      </w:r>
    </w:p>
    <w:p>
      <w:pPr>
        <w:pStyle w:val="Heading5"/>
      </w:pPr>
      <w:bookmarkStart w:id="16" w:name="_Toc175733987"/>
      <w:r>
        <w:rPr>
          <w:rStyle w:val="CharSectno"/>
        </w:rPr>
        <w:t>9D</w:t>
      </w:r>
      <w:r>
        <w:t>.</w:t>
      </w:r>
      <w:r>
        <w:tab/>
        <w:t>Refunds</w:t>
      </w:r>
      <w:bookmarkEnd w:id="16"/>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Gazette 14 Jun 2016 p. 1860</w:t>
      </w:r>
      <w:r>
        <w:noBreakHyphen/>
        <w:t>1.]</w:t>
      </w:r>
    </w:p>
    <w:p>
      <w:pPr>
        <w:pStyle w:val="Heading5"/>
      </w:pPr>
      <w:bookmarkStart w:id="17" w:name="_Toc175733988"/>
      <w:r>
        <w:rPr>
          <w:rStyle w:val="CharSectno"/>
        </w:rPr>
        <w:lastRenderedPageBreak/>
        <w:t>9</w:t>
      </w:r>
      <w:r>
        <w:t>.</w:t>
      </w:r>
      <w:r>
        <w:tab/>
        <w:t>Waiving fee for copy of document or transcript</w:t>
      </w:r>
      <w:bookmarkEnd w:id="17"/>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Gazette 14 Jun 2016 p. 1861.]</w:t>
      </w:r>
    </w:p>
    <w:p>
      <w:pPr>
        <w:pStyle w:val="Heading5"/>
      </w:pPr>
      <w:bookmarkStart w:id="18" w:name="_Toc175733989"/>
      <w:r>
        <w:rPr>
          <w:rStyle w:val="CharSectno"/>
        </w:rPr>
        <w:t>10</w:t>
      </w:r>
      <w:r>
        <w:t>.</w:t>
      </w:r>
      <w:r>
        <w:tab/>
        <w:t>Disputes as to fees, determination of</w:t>
      </w:r>
      <w:bookmarkEnd w:id="18"/>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Gazette 14 Jun 2016 p. 1861.]</w:t>
      </w:r>
    </w:p>
    <w:p>
      <w:pPr>
        <w:pStyle w:val="Heading5"/>
      </w:pPr>
      <w:bookmarkStart w:id="19" w:name="_Toc175733990"/>
      <w:r>
        <w:rPr>
          <w:rStyle w:val="CharSectno"/>
        </w:rPr>
        <w:t>11</w:t>
      </w:r>
      <w:r>
        <w:t>.</w:t>
      </w:r>
      <w:r>
        <w:tab/>
        <w:t>Unpaid fees, recovery of</w:t>
      </w:r>
      <w:bookmarkEnd w:id="19"/>
    </w:p>
    <w:p>
      <w:pPr>
        <w:pStyle w:val="Subsection"/>
      </w:pPr>
      <w:r>
        <w:tab/>
      </w:r>
      <w:r>
        <w:tab/>
        <w:t>Any unpaid fee is a debt due to the State and may be recovered by action in a court of competent jurisdiction.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0" w:name="_Toc175124054"/>
      <w:bookmarkStart w:id="21" w:name="_Toc175124914"/>
      <w:bookmarkStart w:id="22" w:name="_Toc175733991"/>
      <w:r>
        <w:rPr>
          <w:rStyle w:val="CharSchNo"/>
        </w:rPr>
        <w:lastRenderedPageBreak/>
        <w:t>Schedule 1</w:t>
      </w:r>
      <w:r>
        <w:t> — </w:t>
      </w:r>
      <w:r>
        <w:rPr>
          <w:rStyle w:val="CharSchText"/>
        </w:rPr>
        <w:t>Fees</w:t>
      </w:r>
      <w:bookmarkEnd w:id="20"/>
      <w:bookmarkEnd w:id="21"/>
      <w:bookmarkEnd w:id="22"/>
    </w:p>
    <w:p>
      <w:pPr>
        <w:pStyle w:val="yShoulderClause"/>
      </w:pPr>
      <w:r>
        <w:t>[r. 4]</w:t>
      </w:r>
    </w:p>
    <w:p>
      <w:pPr>
        <w:pStyle w:val="yFootnoteheading"/>
      </w:pPr>
      <w:r>
        <w:tab/>
        <w:t>[Heading inserted: SL 2024/113 r. 6.]</w:t>
      </w:r>
    </w:p>
    <w:p>
      <w:pPr>
        <w:pStyle w:val="yHeading3"/>
      </w:pPr>
      <w:bookmarkStart w:id="23" w:name="_Toc175124055"/>
      <w:bookmarkStart w:id="24" w:name="_Toc175124915"/>
      <w:bookmarkStart w:id="25" w:name="_Toc175733992"/>
      <w:r>
        <w:rPr>
          <w:rStyle w:val="CharSDivNo"/>
        </w:rPr>
        <w:t>Division 1</w:t>
      </w:r>
      <w:r>
        <w:t> — </w:t>
      </w:r>
      <w:r>
        <w:rPr>
          <w:rStyle w:val="CharSDivText"/>
        </w:rPr>
        <w:t>General</w:t>
      </w:r>
      <w:bookmarkEnd w:id="23"/>
      <w:bookmarkEnd w:id="24"/>
      <w:bookmarkEnd w:id="25"/>
    </w:p>
    <w:p>
      <w:pPr>
        <w:pStyle w:val="yFootnoteheading"/>
      </w:pPr>
      <w:r>
        <w:tab/>
        <w:t>[Heading inserted: SL 2024/113 r. 6.]</w:t>
      </w:r>
    </w:p>
    <w:tbl>
      <w:tblPr>
        <w:tblW w:w="6980" w:type="dxa"/>
        <w:tblInd w:w="108" w:type="dxa"/>
        <w:tblLayout w:type="fixed"/>
        <w:tblLook w:val="0000" w:firstRow="0" w:lastRow="0" w:firstColumn="0" w:lastColumn="0" w:noHBand="0" w:noVBand="0"/>
      </w:tblPr>
      <w:tblGrid>
        <w:gridCol w:w="709"/>
        <w:gridCol w:w="3544"/>
        <w:gridCol w:w="1417"/>
        <w:gridCol w:w="1310"/>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3544" w:type="dxa"/>
            <w:tcBorders>
              <w:top w:val="single" w:sz="4" w:space="0" w:color="auto"/>
              <w:bottom w:val="single" w:sz="4" w:space="0" w:color="auto"/>
            </w:tcBorders>
            <w:noWrap/>
          </w:tcPr>
          <w:p>
            <w:pPr>
              <w:pStyle w:val="yTableNAm"/>
              <w:jc w:val="center"/>
              <w:rPr>
                <w:rStyle w:val="DraftersNotes"/>
                <w:b w:val="0"/>
                <w:i w:val="0"/>
                <w:sz w:val="22"/>
              </w:rPr>
            </w:pPr>
            <w:r>
              <w:rPr>
                <w:b/>
              </w:rPr>
              <w:t>Matter</w:t>
            </w:r>
          </w:p>
        </w:tc>
        <w:tc>
          <w:tcPr>
            <w:tcW w:w="1417"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310"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09" w:type="dxa"/>
            <w:tcBorders>
              <w:top w:val="single" w:sz="4" w:space="0" w:color="auto"/>
            </w:tcBorders>
            <w:noWrap/>
          </w:tcPr>
          <w:p>
            <w:pPr>
              <w:pStyle w:val="yTableNAm"/>
            </w:pPr>
            <w:r>
              <w:t>1.</w:t>
            </w:r>
          </w:p>
        </w:tc>
        <w:tc>
          <w:tcPr>
            <w:tcW w:w="3544" w:type="dxa"/>
            <w:tcBorders>
              <w:top w:val="single" w:sz="4" w:space="0" w:color="auto"/>
            </w:tcBorders>
            <w:noWrap/>
          </w:tcPr>
          <w:p>
            <w:pPr>
              <w:pStyle w:val="yTableNAm"/>
              <w:tabs>
                <w:tab w:val="clear" w:pos="567"/>
              </w:tabs>
              <w:ind w:left="491" w:hanging="491"/>
            </w:pPr>
            <w:r>
              <w:t>(a)</w:t>
            </w:r>
            <w:r>
              <w:tab/>
              <w:t>For every order or conviction drawn up in the Court’s criminal jurisdiction</w:t>
            </w:r>
          </w:p>
        </w:tc>
        <w:tc>
          <w:tcPr>
            <w:tcW w:w="1417" w:type="dxa"/>
            <w:tcBorders>
              <w:top w:val="single" w:sz="4" w:space="0" w:color="auto"/>
            </w:tcBorders>
            <w:noWrap/>
            <w:vAlign w:val="bottom"/>
          </w:tcPr>
          <w:p>
            <w:pPr>
              <w:pStyle w:val="yTableNAm"/>
              <w:tabs>
                <w:tab w:val="clear" w:pos="567"/>
              </w:tabs>
              <w:ind w:right="382"/>
              <w:jc w:val="right"/>
            </w:pPr>
            <w:r>
              <w:t>25.40</w:t>
            </w:r>
          </w:p>
        </w:tc>
        <w:tc>
          <w:tcPr>
            <w:tcW w:w="1310" w:type="dxa"/>
            <w:tcBorders>
              <w:top w:val="single" w:sz="4" w:space="0" w:color="auto"/>
            </w:tcBorders>
            <w:noWrap/>
            <w:vAlign w:val="bottom"/>
          </w:tcPr>
          <w:p>
            <w:pPr>
              <w:pStyle w:val="yTableNAm"/>
              <w:tabs>
                <w:tab w:val="clear" w:pos="567"/>
              </w:tabs>
              <w:ind w:right="268"/>
              <w:jc w:val="right"/>
            </w:pPr>
            <w:r>
              <w:t>7.60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Issue of a duplicate document or order</w:t>
            </w:r>
          </w:p>
        </w:tc>
        <w:tc>
          <w:tcPr>
            <w:tcW w:w="1417" w:type="dxa"/>
            <w:noWrap/>
            <w:vAlign w:val="bottom"/>
          </w:tcPr>
          <w:p>
            <w:pPr>
              <w:pStyle w:val="yTableNAm"/>
              <w:tabs>
                <w:tab w:val="clear" w:pos="567"/>
              </w:tabs>
              <w:ind w:right="382"/>
              <w:jc w:val="right"/>
            </w:pPr>
            <w:r>
              <w:t>25.40</w:t>
            </w:r>
          </w:p>
        </w:tc>
        <w:tc>
          <w:tcPr>
            <w:tcW w:w="1310" w:type="dxa"/>
            <w:noWrap/>
            <w:vAlign w:val="bottom"/>
          </w:tcPr>
          <w:p>
            <w:pPr>
              <w:pStyle w:val="yTableNAm"/>
              <w:tabs>
                <w:tab w:val="clear" w:pos="567"/>
              </w:tabs>
              <w:ind w:right="268"/>
              <w:jc w:val="right"/>
            </w:pPr>
            <w:r>
              <w:t>7.60</w:t>
            </w:r>
          </w:p>
        </w:tc>
      </w:tr>
      <w:tr>
        <w:trPr>
          <w:cantSplit/>
        </w:trPr>
        <w:tc>
          <w:tcPr>
            <w:tcW w:w="709" w:type="dxa"/>
            <w:noWrap/>
          </w:tcPr>
          <w:p>
            <w:pPr>
              <w:pStyle w:val="yTableNAm"/>
            </w:pPr>
            <w:r>
              <w:t>2.</w:t>
            </w:r>
          </w:p>
        </w:tc>
        <w:tc>
          <w:tcPr>
            <w:tcW w:w="3544" w:type="dxa"/>
            <w:noWrap/>
          </w:tcPr>
          <w:p>
            <w:pPr>
              <w:pStyle w:val="yTableNAm"/>
            </w:pPr>
            <w:r>
              <w:t>For the service of an application, summons, originating process, notice or order of the Court or another process requiring service</w:t>
            </w:r>
          </w:p>
        </w:tc>
        <w:tc>
          <w:tcPr>
            <w:tcW w:w="1417" w:type="dxa"/>
            <w:noWrap/>
            <w:vAlign w:val="bottom"/>
          </w:tcPr>
          <w:p>
            <w:pPr>
              <w:pStyle w:val="yTableNAm"/>
              <w:tabs>
                <w:tab w:val="clear" w:pos="567"/>
              </w:tabs>
              <w:ind w:right="382"/>
              <w:jc w:val="right"/>
            </w:pPr>
            <w:r>
              <w:t>111.50</w:t>
            </w:r>
          </w:p>
        </w:tc>
        <w:tc>
          <w:tcPr>
            <w:tcW w:w="1310" w:type="dxa"/>
            <w:noWrap/>
            <w:vAlign w:val="bottom"/>
          </w:tcPr>
          <w:p>
            <w:pPr>
              <w:pStyle w:val="yTableNAm"/>
              <w:tabs>
                <w:tab w:val="clear" w:pos="567"/>
              </w:tabs>
              <w:ind w:right="268"/>
              <w:jc w:val="right"/>
            </w:pPr>
            <w:r>
              <w:t>111.50</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noWrap/>
          </w:tcPr>
          <w:p>
            <w:pPr>
              <w:pStyle w:val="yTableNAm"/>
            </w:pPr>
            <w:r>
              <w:t>3.</w:t>
            </w:r>
          </w:p>
        </w:tc>
        <w:tc>
          <w:tcPr>
            <w:tcW w:w="3544" w:type="dxa"/>
            <w:noWrap/>
          </w:tcPr>
          <w:p>
            <w:pPr>
              <w:pStyle w:val="yTableNAm"/>
            </w:pPr>
            <w:r>
              <w:t xml:space="preserve">If it is necessary to travel to execute a warrant or other process, or serve a summons, order of the Court, other process or document, or make an arrest or for all attempts, attendances and inspections, from the enforcement officer’s office or nearest police station — </w:t>
            </w:r>
          </w:p>
        </w:tc>
        <w:tc>
          <w:tcPr>
            <w:tcW w:w="1417" w:type="dxa"/>
            <w:noWrap/>
          </w:tcPr>
          <w:p>
            <w:pPr>
              <w:pStyle w:val="yTableNAm"/>
            </w:pPr>
          </w:p>
        </w:tc>
        <w:tc>
          <w:tcPr>
            <w:tcW w:w="1310" w:type="dxa"/>
            <w:noWrap/>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491" w:hanging="491"/>
            </w:pPr>
            <w:r>
              <w:t>(a)</w:t>
            </w:r>
            <w:r>
              <w:tab/>
              <w:t>for each kilometre travelled (1 way) in a metropolitan area</w:t>
            </w:r>
          </w:p>
        </w:tc>
        <w:tc>
          <w:tcPr>
            <w:tcW w:w="1417" w:type="dxa"/>
            <w:noWrap/>
            <w:vAlign w:val="bottom"/>
          </w:tcPr>
          <w:p>
            <w:pPr>
              <w:pStyle w:val="yTableNAm"/>
              <w:tabs>
                <w:tab w:val="clear" w:pos="567"/>
              </w:tabs>
              <w:ind w:right="382"/>
              <w:jc w:val="right"/>
            </w:pPr>
            <w:r>
              <w:t>2.60</w:t>
            </w:r>
          </w:p>
        </w:tc>
        <w:tc>
          <w:tcPr>
            <w:tcW w:w="1310" w:type="dxa"/>
            <w:noWrap/>
            <w:vAlign w:val="bottom"/>
          </w:tcPr>
          <w:p>
            <w:pPr>
              <w:pStyle w:val="yTableNAm"/>
              <w:tabs>
                <w:tab w:val="clear" w:pos="567"/>
              </w:tabs>
              <w:ind w:right="382"/>
              <w:jc w:val="right"/>
            </w:pPr>
            <w:r>
              <w:t>2.60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for each kilometre travelled (1 way) outside a metropolitan area</w:t>
            </w:r>
          </w:p>
        </w:tc>
        <w:tc>
          <w:tcPr>
            <w:tcW w:w="1417" w:type="dxa"/>
            <w:noWrap/>
            <w:vAlign w:val="bottom"/>
          </w:tcPr>
          <w:p>
            <w:pPr>
              <w:pStyle w:val="yTableNAm"/>
              <w:tabs>
                <w:tab w:val="clear" w:pos="567"/>
              </w:tabs>
              <w:ind w:right="382"/>
              <w:jc w:val="right"/>
            </w:pPr>
            <w:r>
              <w:t>2.90</w:t>
            </w:r>
          </w:p>
        </w:tc>
        <w:tc>
          <w:tcPr>
            <w:tcW w:w="1310" w:type="dxa"/>
            <w:noWrap/>
            <w:vAlign w:val="bottom"/>
          </w:tcPr>
          <w:p>
            <w:pPr>
              <w:pStyle w:val="yTableNAm"/>
              <w:tabs>
                <w:tab w:val="clear" w:pos="567"/>
              </w:tabs>
              <w:ind w:right="382"/>
              <w:jc w:val="right"/>
            </w:pPr>
            <w:r>
              <w:t>2.90</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709" w:type="dxa"/>
            <w:noWrap/>
          </w:tcPr>
          <w:p>
            <w:pPr>
              <w:pStyle w:val="yTableNAm"/>
            </w:pPr>
            <w:r>
              <w:t>4.</w:t>
            </w:r>
          </w:p>
        </w:tc>
        <w:tc>
          <w:tcPr>
            <w:tcW w:w="3544" w:type="dxa"/>
            <w:noWrap/>
          </w:tcPr>
          <w:p>
            <w:pPr>
              <w:pStyle w:val="yTableNAm"/>
              <w:tabs>
                <w:tab w:val="clear" w:pos="567"/>
              </w:tabs>
              <w:ind w:left="491" w:hanging="491"/>
            </w:pPr>
            <w:r>
              <w:t>(a)</w:t>
            </w:r>
            <w:r>
              <w:tab/>
              <w:t>For searching a record or proceeding (other than a search by or on behalf of a party to the proceedings in the Court’s civil jurisdiction)</w:t>
            </w:r>
          </w:p>
        </w:tc>
        <w:tc>
          <w:tcPr>
            <w:tcW w:w="1417" w:type="dxa"/>
            <w:noWrap/>
            <w:vAlign w:val="bottom"/>
          </w:tcPr>
          <w:p>
            <w:pPr>
              <w:pStyle w:val="yTableNAm"/>
              <w:tabs>
                <w:tab w:val="clear" w:pos="567"/>
              </w:tabs>
              <w:ind w:right="382"/>
              <w:jc w:val="right"/>
            </w:pPr>
            <w:r>
              <w:t>64.50</w:t>
            </w:r>
          </w:p>
        </w:tc>
        <w:tc>
          <w:tcPr>
            <w:tcW w:w="1310" w:type="dxa"/>
            <w:noWrap/>
            <w:vAlign w:val="bottom"/>
          </w:tcPr>
          <w:p>
            <w:pPr>
              <w:pStyle w:val="yTableNAm"/>
              <w:tabs>
                <w:tab w:val="clear" w:pos="567"/>
              </w:tabs>
              <w:ind w:right="382"/>
              <w:jc w:val="right"/>
            </w:pPr>
            <w:r>
              <w:t>19.35</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For listening to or viewing an electronic recording that requires supervision by an officer of the Court — </w:t>
            </w:r>
          </w:p>
          <w:p>
            <w:pPr>
              <w:pStyle w:val="yTableNAm"/>
              <w:tabs>
                <w:tab w:val="clear" w:pos="567"/>
              </w:tabs>
              <w:ind w:left="1058" w:hanging="567"/>
            </w:pPr>
            <w:r>
              <w:t>(i)</w:t>
            </w:r>
            <w:r>
              <w:tab/>
              <w:t>a search fee</w:t>
            </w:r>
          </w:p>
        </w:tc>
        <w:tc>
          <w:tcPr>
            <w:tcW w:w="1417" w:type="dxa"/>
            <w:noWrap/>
            <w:vAlign w:val="bottom"/>
          </w:tcPr>
          <w:p>
            <w:pPr>
              <w:pStyle w:val="yTableNAm"/>
              <w:tabs>
                <w:tab w:val="clear" w:pos="567"/>
              </w:tabs>
              <w:ind w:right="382"/>
              <w:jc w:val="right"/>
            </w:pPr>
            <w:r>
              <w:t>64.50</w:t>
            </w:r>
          </w:p>
        </w:tc>
        <w:tc>
          <w:tcPr>
            <w:tcW w:w="1310" w:type="dxa"/>
            <w:noWrap/>
            <w:vAlign w:val="bottom"/>
          </w:tcPr>
          <w:p>
            <w:pPr>
              <w:pStyle w:val="yTableNAm"/>
              <w:tabs>
                <w:tab w:val="clear" w:pos="567"/>
              </w:tabs>
              <w:ind w:right="382"/>
              <w:jc w:val="right"/>
            </w:pPr>
            <w:r>
              <w:t>19.35</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in addition to the search fee, for each hour of the officer’s time</w:t>
            </w:r>
          </w:p>
        </w:tc>
        <w:tc>
          <w:tcPr>
            <w:tcW w:w="1417" w:type="dxa"/>
            <w:noWrap/>
            <w:vAlign w:val="bottom"/>
          </w:tcPr>
          <w:p>
            <w:pPr>
              <w:pStyle w:val="yTableNAm"/>
              <w:tabs>
                <w:tab w:val="clear" w:pos="567"/>
              </w:tabs>
              <w:ind w:right="382"/>
              <w:jc w:val="right"/>
            </w:pPr>
            <w:r>
              <w:t>157.00</w:t>
            </w:r>
          </w:p>
        </w:tc>
        <w:tc>
          <w:tcPr>
            <w:tcW w:w="1310" w:type="dxa"/>
            <w:noWrap/>
            <w:vAlign w:val="bottom"/>
          </w:tcPr>
          <w:p>
            <w:pPr>
              <w:pStyle w:val="yTableNAm"/>
              <w:tabs>
                <w:tab w:val="clear" w:pos="567"/>
              </w:tabs>
              <w:ind w:right="382"/>
              <w:jc w:val="right"/>
            </w:pPr>
            <w:r>
              <w:t>47.10</w:t>
            </w:r>
          </w:p>
        </w:tc>
      </w:tr>
      <w:tr>
        <w:trPr>
          <w:cantSplit/>
        </w:trPr>
        <w:tc>
          <w:tcPr>
            <w:tcW w:w="709" w:type="dxa"/>
            <w:noWrap/>
          </w:tcPr>
          <w:p>
            <w:pPr>
              <w:pStyle w:val="yTableNAm"/>
            </w:pPr>
            <w:r>
              <w:t>5.</w:t>
            </w:r>
          </w:p>
        </w:tc>
        <w:tc>
          <w:tcPr>
            <w:tcW w:w="3544" w:type="dxa"/>
            <w:noWrap/>
          </w:tcPr>
          <w:p>
            <w:pPr>
              <w:pStyle w:val="yTableNAm"/>
              <w:tabs>
                <w:tab w:val="clear" w:pos="567"/>
              </w:tabs>
              <w:ind w:left="491" w:hanging="491"/>
              <w:rPr>
                <w:b/>
                <w:bCs/>
                <w:i/>
                <w:iCs/>
              </w:rPr>
            </w:pPr>
            <w:r>
              <w:t>(a)</w:t>
            </w:r>
            <w:r>
              <w:tab/>
              <w:t>On an application or summons for the production of records or documents that are required to be produced to a court, tribunal, arbitrator or umpire</w:t>
            </w:r>
          </w:p>
        </w:tc>
        <w:tc>
          <w:tcPr>
            <w:tcW w:w="1417" w:type="dxa"/>
            <w:noWrap/>
            <w:vAlign w:val="bottom"/>
          </w:tcPr>
          <w:p>
            <w:pPr>
              <w:pStyle w:val="yTableNAm"/>
              <w:tabs>
                <w:tab w:val="clear" w:pos="567"/>
              </w:tabs>
              <w:ind w:right="382"/>
              <w:jc w:val="right"/>
            </w:pPr>
            <w:r>
              <w:t>94.50</w:t>
            </w:r>
          </w:p>
        </w:tc>
        <w:tc>
          <w:tcPr>
            <w:tcW w:w="1310" w:type="dxa"/>
            <w:noWrap/>
            <w:vAlign w:val="bottom"/>
          </w:tcPr>
          <w:p>
            <w:pPr>
              <w:pStyle w:val="yTableNAm"/>
              <w:tabs>
                <w:tab w:val="clear" w:pos="567"/>
              </w:tabs>
              <w:ind w:right="382"/>
              <w:jc w:val="right"/>
            </w:pPr>
            <w:r>
              <w:t>28.30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If an officer is required to attend at a court or place out of the Court building where the officer is based — </w:t>
            </w:r>
          </w:p>
          <w:p>
            <w:pPr>
              <w:pStyle w:val="yTableNAm"/>
              <w:tabs>
                <w:tab w:val="clear" w:pos="567"/>
              </w:tabs>
              <w:ind w:left="1058" w:hanging="567"/>
            </w:pPr>
            <w:r>
              <w:t>(i)</w:t>
            </w:r>
            <w:r>
              <w:tab/>
              <w:t>the officer’s reasonable expenses approved by the Registrar</w:t>
            </w:r>
          </w:p>
          <w:p>
            <w:pPr>
              <w:pStyle w:val="yTableNAm"/>
              <w:tabs>
                <w:tab w:val="clear" w:pos="567"/>
              </w:tabs>
              <w:ind w:left="1058" w:hanging="567"/>
            </w:pPr>
            <w:r>
              <w:t>(ii)</w:t>
            </w:r>
            <w:r>
              <w:tab/>
              <w:t>in addition, for each hour the officer is necessarily absent from the officer’s office</w:t>
            </w:r>
          </w:p>
        </w:tc>
        <w:tc>
          <w:tcPr>
            <w:tcW w:w="1417" w:type="dxa"/>
            <w:noWrap/>
            <w:vAlign w:val="bottom"/>
          </w:tcPr>
          <w:p>
            <w:pPr>
              <w:pStyle w:val="yTableNAm"/>
              <w:tabs>
                <w:tab w:val="clear" w:pos="567"/>
                <w:tab w:val="left" w:pos="788"/>
              </w:tabs>
              <w:ind w:right="382"/>
              <w:jc w:val="right"/>
            </w:pPr>
            <w:r>
              <w:t>142.50</w:t>
            </w:r>
          </w:p>
        </w:tc>
        <w:tc>
          <w:tcPr>
            <w:tcW w:w="1310" w:type="dxa"/>
            <w:noWrap/>
            <w:vAlign w:val="bottom"/>
          </w:tcPr>
          <w:p>
            <w:pPr>
              <w:pStyle w:val="yTableNAm"/>
              <w:tabs>
                <w:tab w:val="clear" w:pos="567"/>
                <w:tab w:val="left" w:pos="788"/>
              </w:tabs>
              <w:ind w:right="382"/>
              <w:jc w:val="right"/>
            </w:pPr>
            <w:r>
              <w:t>42.80</w:t>
            </w:r>
          </w:p>
        </w:tc>
      </w:tr>
      <w:tr>
        <w:trPr>
          <w:cantSplit/>
        </w:trPr>
        <w:tc>
          <w:tcPr>
            <w:tcW w:w="709" w:type="dxa"/>
            <w:noWrap/>
          </w:tcPr>
          <w:p>
            <w:pPr>
              <w:pStyle w:val="yTableNAm"/>
            </w:pPr>
            <w:r>
              <w:t>6.</w:t>
            </w:r>
          </w:p>
        </w:tc>
        <w:tc>
          <w:tcPr>
            <w:tcW w:w="3544" w:type="dxa"/>
            <w:noWrap/>
          </w:tcPr>
          <w:p>
            <w:pPr>
              <w:pStyle w:val="yTableNAm"/>
              <w:tabs>
                <w:tab w:val="clear" w:pos="567"/>
              </w:tabs>
              <w:ind w:left="491" w:hanging="491"/>
            </w:pPr>
            <w:r>
              <w:t>(a)</w:t>
            </w:r>
            <w:r>
              <w:tab/>
              <w:t>Copies of documents or exhibits, for each page or part of a page</w:t>
            </w:r>
          </w:p>
        </w:tc>
        <w:tc>
          <w:tcPr>
            <w:tcW w:w="1417" w:type="dxa"/>
            <w:noWrap/>
            <w:vAlign w:val="bottom"/>
          </w:tcPr>
          <w:p>
            <w:pPr>
              <w:pStyle w:val="yTableNAm"/>
              <w:tabs>
                <w:tab w:val="clear" w:pos="567"/>
                <w:tab w:val="left" w:pos="788"/>
              </w:tabs>
              <w:ind w:right="382"/>
              <w:jc w:val="right"/>
            </w:pPr>
            <w:r>
              <w:t>2.70</w:t>
            </w:r>
          </w:p>
        </w:tc>
        <w:tc>
          <w:tcPr>
            <w:tcW w:w="1310" w:type="dxa"/>
            <w:noWrap/>
            <w:vAlign w:val="bottom"/>
          </w:tcPr>
          <w:p>
            <w:pPr>
              <w:pStyle w:val="yTableNAm"/>
              <w:tabs>
                <w:tab w:val="clear" w:pos="567"/>
                <w:tab w:val="left" w:pos="788"/>
              </w:tabs>
              <w:ind w:right="382"/>
              <w:jc w:val="right"/>
            </w:pPr>
            <w:r>
              <w:t>0.80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For a copy of reasons for judgment — </w:t>
            </w:r>
          </w:p>
          <w:p>
            <w:pPr>
              <w:pStyle w:val="yTableNAm"/>
              <w:tabs>
                <w:tab w:val="clear" w:pos="567"/>
              </w:tabs>
              <w:ind w:left="1058" w:hanging="567"/>
            </w:pPr>
            <w:r>
              <w:t>(i)</w:t>
            </w:r>
            <w:r>
              <w:tab/>
              <w:t>for each copy issued to a person, other than a party to the proceedings</w:t>
            </w:r>
          </w:p>
        </w:tc>
        <w:tc>
          <w:tcPr>
            <w:tcW w:w="1417" w:type="dxa"/>
            <w:noWrap/>
            <w:vAlign w:val="bottom"/>
          </w:tcPr>
          <w:p>
            <w:pPr>
              <w:pStyle w:val="yTableNAm"/>
              <w:tabs>
                <w:tab w:val="clear" w:pos="567"/>
                <w:tab w:val="left" w:pos="788"/>
              </w:tabs>
              <w:ind w:right="382"/>
              <w:jc w:val="right"/>
            </w:pPr>
            <w:r>
              <w:t>22.40</w:t>
            </w:r>
          </w:p>
        </w:tc>
        <w:tc>
          <w:tcPr>
            <w:tcW w:w="1310" w:type="dxa"/>
            <w:noWrap/>
            <w:vAlign w:val="bottom"/>
          </w:tcPr>
          <w:p>
            <w:pPr>
              <w:pStyle w:val="yTableNAm"/>
              <w:tabs>
                <w:tab w:val="clear" w:pos="567"/>
                <w:tab w:val="left" w:pos="788"/>
              </w:tabs>
              <w:ind w:right="382"/>
              <w:jc w:val="right"/>
            </w:pPr>
            <w:r>
              <w:t>6.70</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for each copy in excess of 1 copy issued to a party to the proceedings</w:t>
            </w:r>
          </w:p>
        </w:tc>
        <w:tc>
          <w:tcPr>
            <w:tcW w:w="1417" w:type="dxa"/>
            <w:noWrap/>
            <w:vAlign w:val="bottom"/>
          </w:tcPr>
          <w:p>
            <w:pPr>
              <w:pStyle w:val="yTableNAm"/>
              <w:tabs>
                <w:tab w:val="clear" w:pos="567"/>
                <w:tab w:val="left" w:pos="788"/>
              </w:tabs>
              <w:ind w:right="382"/>
              <w:jc w:val="right"/>
            </w:pPr>
            <w:r>
              <w:t>22.40</w:t>
            </w:r>
          </w:p>
        </w:tc>
        <w:tc>
          <w:tcPr>
            <w:tcW w:w="1310" w:type="dxa"/>
            <w:noWrap/>
            <w:vAlign w:val="bottom"/>
          </w:tcPr>
          <w:p>
            <w:pPr>
              <w:pStyle w:val="yTableNAm"/>
              <w:tabs>
                <w:tab w:val="clear" w:pos="567"/>
                <w:tab w:val="left" w:pos="788"/>
              </w:tabs>
              <w:ind w:right="382"/>
              <w:jc w:val="right"/>
            </w:pPr>
            <w:r>
              <w:t>6.70</w:t>
            </w:r>
          </w:p>
        </w:tc>
      </w:tr>
      <w:tr>
        <w:trPr>
          <w:cantSplit/>
        </w:trPr>
        <w:tc>
          <w:tcPr>
            <w:tcW w:w="709" w:type="dxa"/>
            <w:noWrap/>
          </w:tcPr>
          <w:p>
            <w:pPr>
              <w:pStyle w:val="yTableNAm"/>
            </w:pPr>
          </w:p>
        </w:tc>
        <w:tc>
          <w:tcPr>
            <w:tcW w:w="3544" w:type="dxa"/>
            <w:noWrap/>
          </w:tcPr>
          <w:p>
            <w:pPr>
              <w:pStyle w:val="yTableNAm"/>
              <w:tabs>
                <w:tab w:val="clear" w:pos="567"/>
              </w:tabs>
              <w:ind w:left="1058" w:hanging="567"/>
              <w:rPr>
                <w:b/>
                <w:bCs/>
                <w:i/>
                <w:iCs/>
              </w:rPr>
            </w:pPr>
            <w:r>
              <w:t>(iii)</w:t>
            </w:r>
            <w:r>
              <w:tab/>
              <w:t xml:space="preserve">for each copy consisting of 10 or more pages, an additional fee per page </w:t>
            </w:r>
          </w:p>
        </w:tc>
        <w:tc>
          <w:tcPr>
            <w:tcW w:w="1417" w:type="dxa"/>
            <w:noWrap/>
            <w:vAlign w:val="bottom"/>
          </w:tcPr>
          <w:p>
            <w:pPr>
              <w:pStyle w:val="yTableNAm"/>
              <w:tabs>
                <w:tab w:val="clear" w:pos="567"/>
                <w:tab w:val="left" w:pos="788"/>
              </w:tabs>
              <w:ind w:right="382"/>
              <w:jc w:val="right"/>
            </w:pPr>
            <w:r>
              <w:t>2.85</w:t>
            </w:r>
          </w:p>
        </w:tc>
        <w:tc>
          <w:tcPr>
            <w:tcW w:w="1310" w:type="dxa"/>
            <w:noWrap/>
            <w:vAlign w:val="bottom"/>
          </w:tcPr>
          <w:p>
            <w:pPr>
              <w:pStyle w:val="yTableNAm"/>
              <w:tabs>
                <w:tab w:val="clear" w:pos="567"/>
                <w:tab w:val="left" w:pos="788"/>
              </w:tabs>
              <w:ind w:right="382"/>
              <w:jc w:val="right"/>
            </w:pPr>
            <w:r>
              <w:t>0.85</w:t>
            </w:r>
          </w:p>
        </w:tc>
      </w:tr>
      <w:tr>
        <w:trPr>
          <w:cantSplit/>
        </w:trPr>
        <w:tc>
          <w:tcPr>
            <w:tcW w:w="709" w:type="dxa"/>
            <w:noWrap/>
          </w:tcPr>
          <w:p>
            <w:pPr>
              <w:pStyle w:val="yTableNAm"/>
            </w:pPr>
          </w:p>
        </w:tc>
        <w:tc>
          <w:tcPr>
            <w:tcW w:w="3544" w:type="dxa"/>
            <w:noWrap/>
          </w:tcPr>
          <w:p>
            <w:pPr>
              <w:pStyle w:val="yTableNAm"/>
              <w:tabs>
                <w:tab w:val="clear" w:pos="567"/>
              </w:tabs>
              <w:ind w:left="491" w:hanging="491"/>
            </w:pPr>
            <w:r>
              <w:t>(c)</w:t>
            </w:r>
            <w:r>
              <w:tab/>
              <w:t>Additional fee for certifying that a document is a true copy</w:t>
            </w:r>
          </w:p>
        </w:tc>
        <w:tc>
          <w:tcPr>
            <w:tcW w:w="1417" w:type="dxa"/>
            <w:noWrap/>
            <w:vAlign w:val="bottom"/>
          </w:tcPr>
          <w:p>
            <w:pPr>
              <w:pStyle w:val="yTableNAm"/>
              <w:tabs>
                <w:tab w:val="clear" w:pos="567"/>
              </w:tabs>
              <w:ind w:right="382"/>
              <w:jc w:val="right"/>
            </w:pPr>
            <w:r>
              <w:t>29.50</w:t>
            </w:r>
          </w:p>
        </w:tc>
        <w:tc>
          <w:tcPr>
            <w:tcW w:w="1310" w:type="dxa"/>
            <w:noWrap/>
            <w:vAlign w:val="bottom"/>
          </w:tcPr>
          <w:p>
            <w:pPr>
              <w:pStyle w:val="yTableNAm"/>
              <w:tabs>
                <w:tab w:val="clear" w:pos="567"/>
              </w:tabs>
              <w:ind w:right="382"/>
              <w:jc w:val="right"/>
            </w:pPr>
            <w:r>
              <w:t>8.85</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The fee under paragraph (a) for a copy of an application is not payable if circumstances under regulation 6(4) exist.</w:t>
            </w:r>
          </w:p>
        </w:tc>
      </w:tr>
      <w:tr>
        <w:trPr>
          <w:cantSplit/>
        </w:trPr>
        <w:tc>
          <w:tcPr>
            <w:tcW w:w="709" w:type="dxa"/>
            <w:noWrap/>
          </w:tcPr>
          <w:p>
            <w:pPr>
              <w:pStyle w:val="yTableNAm"/>
            </w:pPr>
            <w:r>
              <w:t>7.</w:t>
            </w:r>
          </w:p>
        </w:tc>
        <w:tc>
          <w:tcPr>
            <w:tcW w:w="3544" w:type="dxa"/>
            <w:noWrap/>
          </w:tcPr>
          <w:p>
            <w:pPr>
              <w:pStyle w:val="yTableNAm"/>
              <w:tabs>
                <w:tab w:val="clear" w:pos="567"/>
              </w:tabs>
              <w:ind w:left="491" w:hanging="491"/>
            </w:pPr>
            <w:r>
              <w:t>(a)</w:t>
            </w:r>
            <w:r>
              <w:tab/>
              <w:t xml:space="preserve">For providing a transcript, or part of a transcript — </w:t>
            </w:r>
          </w:p>
        </w:tc>
        <w:tc>
          <w:tcPr>
            <w:tcW w:w="1417" w:type="dxa"/>
            <w:noWrap/>
            <w:vAlign w:val="bottom"/>
          </w:tcPr>
          <w:p>
            <w:pPr>
              <w:pStyle w:val="yTableNAm"/>
            </w:pPr>
          </w:p>
        </w:tc>
        <w:tc>
          <w:tcPr>
            <w:tcW w:w="1310" w:type="dxa"/>
            <w:noWrap/>
            <w:vAlign w:val="bottom"/>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1058" w:hanging="567"/>
            </w:pPr>
            <w:r>
              <w:t>(i)</w:t>
            </w:r>
            <w:r>
              <w:tab/>
              <w:t xml:space="preserve">provided within 1 day after the day on which the fee is paid </w:t>
            </w:r>
          </w:p>
        </w:tc>
        <w:tc>
          <w:tcPr>
            <w:tcW w:w="1417" w:type="dxa"/>
            <w:noWrap/>
          </w:tcPr>
          <w:p>
            <w:pPr>
              <w:pStyle w:val="yTableNAm"/>
              <w:ind w:left="209"/>
            </w:pPr>
            <w:r>
              <w:t>29.70 plus</w:t>
            </w:r>
            <w:r>
              <w:br/>
              <w:t>12.25 per page</w:t>
            </w:r>
          </w:p>
        </w:tc>
        <w:tc>
          <w:tcPr>
            <w:tcW w:w="1310" w:type="dxa"/>
            <w:noWrap/>
          </w:tcPr>
          <w:p>
            <w:pPr>
              <w:pStyle w:val="yTableNAm"/>
              <w:ind w:left="209"/>
            </w:pPr>
            <w:r>
              <w:t xml:space="preserve">8.90 plus </w:t>
            </w:r>
            <w:r>
              <w:br/>
              <w:t>3.65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 xml:space="preserve">provided within 2 days after the day on which the fee is paid </w:t>
            </w:r>
          </w:p>
        </w:tc>
        <w:tc>
          <w:tcPr>
            <w:tcW w:w="1417" w:type="dxa"/>
            <w:noWrap/>
          </w:tcPr>
          <w:p>
            <w:pPr>
              <w:pStyle w:val="yTableNAm"/>
              <w:ind w:left="209"/>
            </w:pPr>
            <w:r>
              <w:t>29.70 plus</w:t>
            </w:r>
            <w:r>
              <w:br/>
              <w:t>11.25 per page</w:t>
            </w:r>
          </w:p>
        </w:tc>
        <w:tc>
          <w:tcPr>
            <w:tcW w:w="1310" w:type="dxa"/>
            <w:noWrap/>
          </w:tcPr>
          <w:p>
            <w:pPr>
              <w:pStyle w:val="yTableNAm"/>
              <w:ind w:left="209"/>
            </w:pPr>
            <w:r>
              <w:t xml:space="preserve">8.90 plus </w:t>
            </w:r>
            <w:r>
              <w:br/>
              <w:t>3.40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(iii)</w:t>
            </w:r>
            <w:r>
              <w:tab/>
              <w:t xml:space="preserve">provided within 4 days after the day on which the fee is paid </w:t>
            </w:r>
          </w:p>
        </w:tc>
        <w:tc>
          <w:tcPr>
            <w:tcW w:w="1417" w:type="dxa"/>
            <w:noWrap/>
          </w:tcPr>
          <w:p>
            <w:pPr>
              <w:pStyle w:val="yTableNAm"/>
              <w:ind w:left="209"/>
            </w:pPr>
            <w:r>
              <w:t>29.70 plus</w:t>
            </w:r>
            <w:r>
              <w:br/>
              <w:t>10.60 per page</w:t>
            </w:r>
          </w:p>
        </w:tc>
        <w:tc>
          <w:tcPr>
            <w:tcW w:w="1310" w:type="dxa"/>
            <w:noWrap/>
          </w:tcPr>
          <w:p>
            <w:pPr>
              <w:pStyle w:val="yTableNAm"/>
              <w:ind w:left="209"/>
            </w:pPr>
            <w:r>
              <w:t xml:space="preserve">8.90 plus </w:t>
            </w:r>
            <w:r>
              <w:br/>
              <w:t>3.20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(iv)</w:t>
            </w:r>
            <w:r>
              <w:tab/>
              <w:t xml:space="preserve">provided within 7 days after the day on which the fee is paid </w:t>
            </w:r>
          </w:p>
        </w:tc>
        <w:tc>
          <w:tcPr>
            <w:tcW w:w="1417" w:type="dxa"/>
            <w:noWrap/>
          </w:tcPr>
          <w:p>
            <w:pPr>
              <w:pStyle w:val="yTableNAm"/>
              <w:ind w:left="209"/>
            </w:pPr>
            <w:r>
              <w:t xml:space="preserve">29.70 plus </w:t>
            </w:r>
            <w:r>
              <w:br/>
              <w:t>10.25 per page</w:t>
            </w:r>
          </w:p>
        </w:tc>
        <w:tc>
          <w:tcPr>
            <w:tcW w:w="1310" w:type="dxa"/>
            <w:noWrap/>
          </w:tcPr>
          <w:p>
            <w:pPr>
              <w:pStyle w:val="yTableNAm"/>
              <w:ind w:left="209"/>
            </w:pPr>
            <w:r>
              <w:t xml:space="preserve">8.90 plus </w:t>
            </w:r>
            <w:r>
              <w:br/>
              <w:t>3.05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(v)</w:t>
            </w:r>
            <w:r>
              <w:tab/>
              <w:t>provided within 14 days after the day on which the fee is paid</w:t>
            </w:r>
          </w:p>
        </w:tc>
        <w:tc>
          <w:tcPr>
            <w:tcW w:w="1417" w:type="dxa"/>
            <w:noWrap/>
          </w:tcPr>
          <w:p>
            <w:pPr>
              <w:pStyle w:val="yTableNAm"/>
              <w:ind w:left="209"/>
            </w:pPr>
            <w:r>
              <w:t xml:space="preserve">29.70 plus </w:t>
            </w:r>
            <w:r>
              <w:br/>
              <w:t>8.65 per page</w:t>
            </w:r>
          </w:p>
        </w:tc>
        <w:tc>
          <w:tcPr>
            <w:tcW w:w="1310" w:type="dxa"/>
            <w:noWrap/>
          </w:tcPr>
          <w:p>
            <w:pPr>
              <w:pStyle w:val="yTableNAm"/>
              <w:ind w:left="209"/>
            </w:pPr>
            <w:r>
              <w:t xml:space="preserve">8.90 plus </w:t>
            </w:r>
            <w:r>
              <w:br/>
              <w:t>2.60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(vi)</w:t>
            </w:r>
            <w:r>
              <w:tab/>
              <w:t>provided on a running basis (i.e. periodically throughout or following the day of the proceedings)</w:t>
            </w:r>
          </w:p>
        </w:tc>
        <w:tc>
          <w:tcPr>
            <w:tcW w:w="1417" w:type="dxa"/>
            <w:noWrap/>
          </w:tcPr>
          <w:p>
            <w:pPr>
              <w:pStyle w:val="yTableNAm"/>
              <w:ind w:left="209"/>
            </w:pPr>
            <w:r>
              <w:t xml:space="preserve">29.70 plus </w:t>
            </w:r>
            <w:r>
              <w:br/>
              <w:t>13.00 per page</w:t>
            </w:r>
          </w:p>
        </w:tc>
        <w:tc>
          <w:tcPr>
            <w:tcW w:w="1310" w:type="dxa"/>
            <w:noWrap/>
          </w:tcPr>
          <w:p>
            <w:pPr>
              <w:pStyle w:val="yTableNAm"/>
              <w:ind w:left="209"/>
            </w:pPr>
            <w:r>
              <w:t xml:space="preserve">8.90 plus </w:t>
            </w:r>
            <w:r>
              <w:br/>
              <w:t>3.90 per page</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For providing a copy of a transcript, or part of a transcript, if the transcript or part has been provided to the person requesting the copy —</w:t>
            </w:r>
          </w:p>
        </w:tc>
        <w:tc>
          <w:tcPr>
            <w:tcW w:w="1417" w:type="dxa"/>
            <w:noWrap/>
          </w:tcPr>
          <w:p>
            <w:pPr>
              <w:pStyle w:val="yTableNAm"/>
            </w:pPr>
          </w:p>
        </w:tc>
        <w:tc>
          <w:tcPr>
            <w:tcW w:w="1310" w:type="dxa"/>
            <w:noWrap/>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1058" w:hanging="567"/>
            </w:pPr>
            <w:r>
              <w:t>(i)</w:t>
            </w:r>
            <w:r>
              <w:tab/>
              <w:t>electronic format</w:t>
            </w:r>
          </w:p>
        </w:tc>
        <w:tc>
          <w:tcPr>
            <w:tcW w:w="1417" w:type="dxa"/>
            <w:noWrap/>
          </w:tcPr>
          <w:p>
            <w:pPr>
              <w:pStyle w:val="yTableNAm"/>
              <w:ind w:left="209"/>
            </w:pPr>
            <w:r>
              <w:t>31.00 per copy</w:t>
            </w:r>
          </w:p>
        </w:tc>
        <w:tc>
          <w:tcPr>
            <w:tcW w:w="1310" w:type="dxa"/>
            <w:noWrap/>
          </w:tcPr>
          <w:p>
            <w:pPr>
              <w:pStyle w:val="yTableNAm"/>
              <w:ind w:left="209"/>
            </w:pPr>
            <w:r>
              <w:t>9.30 per copy</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paper copy</w:t>
            </w:r>
          </w:p>
        </w:tc>
        <w:tc>
          <w:tcPr>
            <w:tcW w:w="1417" w:type="dxa"/>
            <w:noWrap/>
          </w:tcPr>
          <w:p>
            <w:pPr>
              <w:pStyle w:val="yTableNAm"/>
              <w:ind w:left="209"/>
            </w:pPr>
            <w:r>
              <w:t>3.10 per page</w:t>
            </w:r>
          </w:p>
        </w:tc>
        <w:tc>
          <w:tcPr>
            <w:tcW w:w="1310" w:type="dxa"/>
            <w:noWrap/>
          </w:tcPr>
          <w:p>
            <w:pPr>
              <w:pStyle w:val="yTableNAm"/>
              <w:ind w:left="209"/>
            </w:pPr>
            <w:r>
              <w:t>0.95 per page</w:t>
            </w:r>
          </w:p>
        </w:tc>
      </w:tr>
      <w:tr>
        <w:trPr>
          <w:cantSplit/>
        </w:trPr>
        <w:tc>
          <w:tcPr>
            <w:tcW w:w="709" w:type="dxa"/>
            <w:tcBorders>
              <w:bottom w:val="single" w:sz="4" w:space="0" w:color="auto"/>
            </w:tcBorders>
            <w:noWrap/>
          </w:tcPr>
          <w:p>
            <w:pPr>
              <w:pStyle w:val="yTableNAm"/>
            </w:pPr>
          </w:p>
        </w:tc>
        <w:tc>
          <w:tcPr>
            <w:tcW w:w="6271" w:type="dxa"/>
            <w:gridSpan w:val="3"/>
            <w:tcBorders>
              <w:bottom w:val="single" w:sz="4" w:space="0" w:color="auto"/>
            </w:tcBorders>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[Division 1 inserted: SL 2024/113 r. 6.</w:t>
      </w:r>
    </w:p>
    <w:p>
      <w:pPr>
        <w:pStyle w:val="yHeading3"/>
      </w:pPr>
      <w:bookmarkStart w:id="26" w:name="_Toc175124056"/>
      <w:bookmarkStart w:id="27" w:name="_Toc175124916"/>
      <w:bookmarkStart w:id="28" w:name="_Toc175733993"/>
      <w:r>
        <w:rPr>
          <w:rStyle w:val="CharSDivNo"/>
        </w:rPr>
        <w:t>Division 2</w:t>
      </w:r>
      <w:r>
        <w:t> — </w:t>
      </w:r>
      <w:r>
        <w:rPr>
          <w:rStyle w:val="CharSDivText"/>
        </w:rPr>
        <w:t>Civil jurisdiction</w:t>
      </w:r>
      <w:bookmarkEnd w:id="26"/>
      <w:bookmarkEnd w:id="27"/>
      <w:bookmarkEnd w:id="28"/>
    </w:p>
    <w:p>
      <w:pPr>
        <w:pStyle w:val="yFootnoteheading"/>
      </w:pPr>
      <w:r>
        <w:tab/>
        <w:t>[Heading inserted: SL 2024/113 r. 6.</w:t>
      </w:r>
    </w:p>
    <w:tbl>
      <w:tblPr>
        <w:tblW w:w="7088" w:type="dxa"/>
        <w:tblLayout w:type="fixed"/>
        <w:tblLook w:val="0000" w:firstRow="0" w:lastRow="0" w:firstColumn="0" w:lastColumn="0" w:noHBand="0" w:noVBand="0"/>
      </w:tblPr>
      <w:tblGrid>
        <w:gridCol w:w="741"/>
        <w:gridCol w:w="3512"/>
        <w:gridCol w:w="1451"/>
        <w:gridCol w:w="1384"/>
      </w:tblGrid>
      <w:tr>
        <w:trPr>
          <w:cantSplit/>
          <w:tblHeader/>
        </w:trPr>
        <w:tc>
          <w:tcPr>
            <w:tcW w:w="741" w:type="dxa"/>
            <w:tcBorders>
              <w:top w:val="single" w:sz="4" w:space="0" w:color="auto"/>
              <w:bottom w:val="single" w:sz="4" w:space="0" w:color="auto"/>
            </w:tcBorders>
            <w:noWrap/>
          </w:tcPr>
          <w:p>
            <w:pPr>
              <w:pStyle w:val="yTableNAm"/>
              <w:jc w:val="center"/>
              <w:rPr>
                <w:b/>
              </w:rPr>
            </w:pPr>
            <w:r>
              <w:rPr>
                <w:b/>
              </w:rPr>
              <w:t>Item</w:t>
            </w:r>
          </w:p>
        </w:tc>
        <w:tc>
          <w:tcPr>
            <w:tcW w:w="3512" w:type="dxa"/>
            <w:tcBorders>
              <w:top w:val="single" w:sz="4" w:space="0" w:color="auto"/>
              <w:bottom w:val="single" w:sz="4" w:space="0" w:color="auto"/>
            </w:tcBorders>
            <w:noWrap/>
          </w:tcPr>
          <w:p>
            <w:pPr>
              <w:pStyle w:val="yTableNAm"/>
              <w:jc w:val="center"/>
              <w:rPr>
                <w:b/>
              </w:rPr>
            </w:pPr>
            <w:r>
              <w:rPr>
                <w:b/>
              </w:rPr>
              <w:t>Matter</w:t>
            </w:r>
          </w:p>
        </w:tc>
        <w:tc>
          <w:tcPr>
            <w:tcW w:w="1451"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384"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41" w:type="dxa"/>
            <w:tcBorders>
              <w:top w:val="single" w:sz="4" w:space="0" w:color="auto"/>
            </w:tcBorders>
            <w:noWrap/>
          </w:tcPr>
          <w:p>
            <w:pPr>
              <w:pStyle w:val="yTableNAm"/>
            </w:pPr>
            <w:r>
              <w:t>1.</w:t>
            </w:r>
          </w:p>
        </w:tc>
        <w:tc>
          <w:tcPr>
            <w:tcW w:w="3512" w:type="dxa"/>
            <w:tcBorders>
              <w:top w:val="single" w:sz="4" w:space="0" w:color="auto"/>
            </w:tcBorders>
            <w:noWrap/>
          </w:tcPr>
          <w:p>
            <w:pPr>
              <w:pStyle w:val="yTableNAm"/>
            </w:pPr>
            <w:r>
              <w:t xml:space="preserve">On filing an application for a misconduct restraining order under the </w:t>
            </w:r>
            <w:r>
              <w:rPr>
                <w:i/>
                <w:iCs/>
              </w:rPr>
              <w:t>Restraining Orders Act 1997</w:t>
            </w:r>
            <w:r>
              <w:t xml:space="preserve"> </w:t>
            </w:r>
          </w:p>
        </w:tc>
        <w:tc>
          <w:tcPr>
            <w:tcW w:w="1451" w:type="dxa"/>
            <w:tcBorders>
              <w:top w:val="single" w:sz="4" w:space="0" w:color="auto"/>
            </w:tcBorders>
            <w:noWrap/>
            <w:vAlign w:val="bottom"/>
          </w:tcPr>
          <w:p>
            <w:pPr>
              <w:pStyle w:val="yTableNAm"/>
              <w:tabs>
                <w:tab w:val="clear" w:pos="567"/>
              </w:tabs>
              <w:ind w:right="352"/>
              <w:jc w:val="right"/>
            </w:pPr>
            <w:r>
              <w:t>185.50</w:t>
            </w:r>
          </w:p>
        </w:tc>
        <w:tc>
          <w:tcPr>
            <w:tcW w:w="1384" w:type="dxa"/>
            <w:tcBorders>
              <w:top w:val="single" w:sz="4" w:space="0" w:color="auto"/>
            </w:tcBorders>
            <w:noWrap/>
            <w:vAlign w:val="bottom"/>
          </w:tcPr>
          <w:p>
            <w:pPr>
              <w:pStyle w:val="yTableNAm"/>
              <w:tabs>
                <w:tab w:val="clear" w:pos="567"/>
              </w:tabs>
              <w:ind w:right="352"/>
              <w:jc w:val="right"/>
            </w:pPr>
            <w:r>
              <w:t>55.50</w:t>
            </w:r>
          </w:p>
        </w:tc>
      </w:tr>
      <w:tr>
        <w:trPr>
          <w:cantSplit/>
        </w:trPr>
        <w:tc>
          <w:tcPr>
            <w:tcW w:w="741" w:type="dxa"/>
            <w:noWrap/>
          </w:tcPr>
          <w:p>
            <w:pPr>
              <w:pStyle w:val="yTableNAm"/>
            </w:pPr>
            <w:r>
              <w:t>2.</w:t>
            </w:r>
          </w:p>
        </w:tc>
        <w:tc>
          <w:tcPr>
            <w:tcW w:w="3512" w:type="dxa"/>
            <w:noWrap/>
          </w:tcPr>
          <w:p>
            <w:pPr>
              <w:pStyle w:val="yTableNAm"/>
            </w:pPr>
            <w:r>
              <w:t xml:space="preserve">On the execution of an arrest warrant of any kind — </w:t>
            </w:r>
          </w:p>
        </w:tc>
        <w:tc>
          <w:tcPr>
            <w:tcW w:w="1451" w:type="dxa"/>
            <w:noWrap/>
            <w:vAlign w:val="bottom"/>
          </w:tcPr>
          <w:p>
            <w:pPr>
              <w:pStyle w:val="yTableNAm"/>
              <w:tabs>
                <w:tab w:val="clear" w:pos="567"/>
              </w:tabs>
              <w:ind w:right="352"/>
              <w:jc w:val="right"/>
            </w:pPr>
          </w:p>
        </w:tc>
        <w:tc>
          <w:tcPr>
            <w:tcW w:w="1384" w:type="dxa"/>
            <w:noWrap/>
            <w:vAlign w:val="bottom"/>
          </w:tcPr>
          <w:p>
            <w:pPr>
              <w:pStyle w:val="yTableNAm"/>
              <w:tabs>
                <w:tab w:val="clear" w:pos="567"/>
              </w:tabs>
              <w:ind w:right="352"/>
              <w:jc w:val="right"/>
            </w:pPr>
          </w:p>
        </w:tc>
      </w:tr>
      <w:tr>
        <w:trPr>
          <w:cantSplit/>
        </w:trPr>
        <w:tc>
          <w:tcPr>
            <w:tcW w:w="741" w:type="dxa"/>
            <w:noWrap/>
          </w:tcPr>
          <w:p>
            <w:pPr>
              <w:pStyle w:val="yTableNAm"/>
            </w:pPr>
          </w:p>
        </w:tc>
        <w:tc>
          <w:tcPr>
            <w:tcW w:w="3512" w:type="dxa"/>
            <w:noWrap/>
          </w:tcPr>
          <w:p>
            <w:pPr>
              <w:pStyle w:val="yTableNAm"/>
              <w:tabs>
                <w:tab w:val="clear" w:pos="567"/>
              </w:tabs>
              <w:ind w:left="566" w:hanging="566"/>
            </w:pPr>
            <w:r>
              <w:t>(a)</w:t>
            </w:r>
            <w:r>
              <w:tab/>
              <w:t>for arresting the person</w:t>
            </w:r>
          </w:p>
        </w:tc>
        <w:tc>
          <w:tcPr>
            <w:tcW w:w="1451" w:type="dxa"/>
            <w:noWrap/>
            <w:vAlign w:val="bottom"/>
          </w:tcPr>
          <w:p>
            <w:pPr>
              <w:pStyle w:val="yTableNAm"/>
              <w:tabs>
                <w:tab w:val="clear" w:pos="567"/>
              </w:tabs>
              <w:ind w:right="352"/>
              <w:jc w:val="right"/>
            </w:pPr>
            <w:r>
              <w:t>205.00</w:t>
            </w:r>
          </w:p>
        </w:tc>
        <w:tc>
          <w:tcPr>
            <w:tcW w:w="1384" w:type="dxa"/>
            <w:noWrap/>
            <w:vAlign w:val="bottom"/>
          </w:tcPr>
          <w:p>
            <w:pPr>
              <w:pStyle w:val="yTableNAm"/>
              <w:tabs>
                <w:tab w:val="clear" w:pos="567"/>
              </w:tabs>
              <w:ind w:right="352"/>
              <w:jc w:val="right"/>
            </w:pPr>
            <w:r>
              <w:t>205.00</w:t>
            </w:r>
          </w:p>
        </w:tc>
      </w:tr>
      <w:tr>
        <w:trPr>
          <w:cantSplit/>
        </w:trPr>
        <w:tc>
          <w:tcPr>
            <w:tcW w:w="741" w:type="dxa"/>
            <w:noWrap/>
          </w:tcPr>
          <w:p>
            <w:pPr>
              <w:pStyle w:val="yTableNAm"/>
            </w:pPr>
          </w:p>
        </w:tc>
        <w:tc>
          <w:tcPr>
            <w:tcW w:w="3512" w:type="dxa"/>
            <w:noWrap/>
          </w:tcPr>
          <w:p>
            <w:pPr>
              <w:pStyle w:val="yTableNAm"/>
              <w:tabs>
                <w:tab w:val="clear" w:pos="567"/>
              </w:tabs>
              <w:ind w:left="566" w:hanging="566"/>
            </w:pPr>
            <w:r>
              <w:t>(b)</w:t>
            </w:r>
            <w:r>
              <w:tab/>
              <w:t>for conveying the person to a court or a custodial place and releasing the person from arrest or custody</w:t>
            </w:r>
          </w:p>
        </w:tc>
        <w:tc>
          <w:tcPr>
            <w:tcW w:w="1451" w:type="dxa"/>
            <w:noWrap/>
            <w:vAlign w:val="bottom"/>
          </w:tcPr>
          <w:p>
            <w:pPr>
              <w:pStyle w:val="yTableNAm"/>
              <w:tabs>
                <w:tab w:val="clear" w:pos="567"/>
              </w:tabs>
              <w:ind w:right="352"/>
              <w:jc w:val="right"/>
            </w:pPr>
            <w:r>
              <w:t>203.00</w:t>
            </w:r>
          </w:p>
        </w:tc>
        <w:tc>
          <w:tcPr>
            <w:tcW w:w="1384" w:type="dxa"/>
            <w:noWrap/>
            <w:vAlign w:val="bottom"/>
          </w:tcPr>
          <w:p>
            <w:pPr>
              <w:pStyle w:val="yTableNAm"/>
              <w:tabs>
                <w:tab w:val="clear" w:pos="567"/>
              </w:tabs>
              <w:ind w:right="352"/>
              <w:jc w:val="right"/>
            </w:pPr>
            <w:r>
              <w:t>203.00</w:t>
            </w:r>
          </w:p>
        </w:tc>
      </w:tr>
      <w:tr>
        <w:trPr>
          <w:cantSplit/>
        </w:trPr>
        <w:tc>
          <w:tcPr>
            <w:tcW w:w="741" w:type="dxa"/>
            <w:noWrap/>
          </w:tcPr>
          <w:p>
            <w:pPr>
              <w:pStyle w:val="yTableNAm"/>
            </w:pPr>
          </w:p>
        </w:tc>
        <w:tc>
          <w:tcPr>
            <w:tcW w:w="3512" w:type="dxa"/>
            <w:noWrap/>
          </w:tcPr>
          <w:p>
            <w:pPr>
              <w:pStyle w:val="yTableNAm"/>
              <w:tabs>
                <w:tab w:val="clear" w:pos="567"/>
              </w:tabs>
              <w:ind w:left="566" w:hanging="566"/>
            </w:pPr>
            <w:r>
              <w:t>(c)</w:t>
            </w:r>
            <w:r>
              <w:tab/>
              <w:t xml:space="preserve">for each 30 minutes after 2 hours and 30 minutes that an enforcement officer is required to keep the person in custody until the person is conveyed to a court or a custodial place </w:t>
            </w:r>
          </w:p>
        </w:tc>
        <w:tc>
          <w:tcPr>
            <w:tcW w:w="1451" w:type="dxa"/>
            <w:noWrap/>
            <w:vAlign w:val="bottom"/>
          </w:tcPr>
          <w:p>
            <w:pPr>
              <w:pStyle w:val="yTableNAm"/>
              <w:tabs>
                <w:tab w:val="clear" w:pos="567"/>
              </w:tabs>
              <w:ind w:right="352"/>
              <w:jc w:val="right"/>
            </w:pPr>
            <w:r>
              <w:t>53.50</w:t>
            </w:r>
          </w:p>
        </w:tc>
        <w:tc>
          <w:tcPr>
            <w:tcW w:w="1384" w:type="dxa"/>
            <w:noWrap/>
            <w:vAlign w:val="bottom"/>
          </w:tcPr>
          <w:p>
            <w:pPr>
              <w:pStyle w:val="yTableNAm"/>
              <w:tabs>
                <w:tab w:val="clear" w:pos="567"/>
              </w:tabs>
              <w:ind w:right="352"/>
              <w:jc w:val="right"/>
            </w:pPr>
            <w:r>
              <w:t>53.50</w:t>
            </w:r>
          </w:p>
        </w:tc>
      </w:tr>
      <w:tr>
        <w:trPr>
          <w:cantSplit/>
          <w:trHeight w:val="1100"/>
        </w:trPr>
        <w:tc>
          <w:tcPr>
            <w:tcW w:w="741" w:type="dxa"/>
            <w:noWrap/>
          </w:tcPr>
          <w:p>
            <w:pPr>
              <w:pStyle w:val="yTableNAm"/>
            </w:pPr>
          </w:p>
        </w:tc>
        <w:tc>
          <w:tcPr>
            <w:tcW w:w="6347" w:type="dxa"/>
            <w:gridSpan w:val="3"/>
            <w:noWrap/>
          </w:tcPr>
          <w:p>
            <w:pPr>
              <w:pStyle w:val="yTableNAm"/>
              <w:rPr>
                <w:rFonts w:ascii="Arial" w:hAnsi="Arial" w:cs="Arial"/>
                <w:sz w:val="18"/>
                <w:szCs w:val="18"/>
              </w:rPr>
            </w:pPr>
            <w:r>
              <w:rPr>
                <w:rFonts w:ascii="Arial" w:hAnsi="Arial" w:cs="Arial"/>
                <w:sz w:val="18"/>
                <w:szCs w:val="18"/>
              </w:rPr>
              <w:t>Notes for this item:</w:t>
            </w:r>
          </w:p>
          <w:p>
            <w:pPr>
              <w:pStyle w:val="yTableNAm"/>
              <w:ind w:left="493" w:hanging="457"/>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417"/>
        </w:trPr>
        <w:tc>
          <w:tcPr>
            <w:tcW w:w="741" w:type="dxa"/>
            <w:noWrap/>
          </w:tcPr>
          <w:p>
            <w:pPr>
              <w:pStyle w:val="yTableNAm"/>
            </w:pPr>
          </w:p>
        </w:tc>
        <w:tc>
          <w:tcPr>
            <w:tcW w:w="6347" w:type="dxa"/>
            <w:gridSpan w:val="3"/>
            <w:noWrap/>
          </w:tcPr>
          <w:p>
            <w:pPr>
              <w:pStyle w:val="yTableNAm"/>
              <w:ind w:left="493" w:hanging="457"/>
              <w:rPr>
                <w:rFonts w:ascii="Arial" w:hAnsi="Arial" w:cs="Arial"/>
                <w:sz w:val="18"/>
                <w:szCs w:val="18"/>
              </w:rPr>
            </w:pPr>
            <w:r>
              <w:rPr>
                <w:rFonts w:ascii="Arial" w:hAnsi="Arial" w:cs="Arial"/>
                <w:sz w:val="18"/>
                <w:szCs w:val="18"/>
              </w:rPr>
              <w:t>2.</w:t>
            </w:r>
            <w:r>
              <w:rPr>
                <w:rFonts w:ascii="Arial" w:hAnsi="Arial" w:cs="Arial"/>
                <w:sz w:val="18"/>
                <w:szCs w:val="18"/>
              </w:rPr>
              <w:tab/>
              <w:t xml:space="preserve">The fee under paragraph (a) includes the costs of — </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noWrap/>
          </w:tcPr>
          <w:p>
            <w:pPr>
              <w:pStyle w:val="yTableNAm"/>
            </w:pPr>
            <w:r>
              <w:t>3.</w:t>
            </w:r>
          </w:p>
        </w:tc>
        <w:tc>
          <w:tcPr>
            <w:tcW w:w="3512" w:type="dxa"/>
            <w:tcBorders>
              <w:bottom w:val="single" w:sz="4" w:space="0" w:color="auto"/>
            </w:tcBorders>
            <w:noWrap/>
          </w:tcPr>
          <w:p>
            <w:pPr>
              <w:pStyle w:val="yTableNAm"/>
            </w:pPr>
            <w:r>
              <w:t xml:space="preserve">On filing an application for an extraordinary licence under the </w:t>
            </w:r>
            <w:r>
              <w:rPr>
                <w:i/>
              </w:rPr>
              <w:t>Road Traffic (Authorisation to Drive) Act 2008</w:t>
            </w:r>
            <w:r>
              <w:rPr>
                <w:iCs/>
              </w:rPr>
              <w:t xml:space="preserve"> section 27</w:t>
            </w:r>
          </w:p>
        </w:tc>
        <w:tc>
          <w:tcPr>
            <w:tcW w:w="1451" w:type="dxa"/>
            <w:tcBorders>
              <w:bottom w:val="single" w:sz="4" w:space="0" w:color="auto"/>
            </w:tcBorders>
            <w:noWrap/>
            <w:vAlign w:val="bottom"/>
          </w:tcPr>
          <w:p>
            <w:pPr>
              <w:pStyle w:val="yTableNAm"/>
              <w:tabs>
                <w:tab w:val="clear" w:pos="567"/>
              </w:tabs>
              <w:ind w:right="352"/>
              <w:jc w:val="right"/>
            </w:pPr>
            <w:r>
              <w:t>255.00</w:t>
            </w:r>
          </w:p>
        </w:tc>
        <w:tc>
          <w:tcPr>
            <w:tcW w:w="1384" w:type="dxa"/>
            <w:tcBorders>
              <w:bottom w:val="single" w:sz="4" w:space="0" w:color="auto"/>
            </w:tcBorders>
            <w:noWrap/>
            <w:vAlign w:val="bottom"/>
          </w:tcPr>
          <w:p>
            <w:pPr>
              <w:pStyle w:val="yTableNAm"/>
              <w:tabs>
                <w:tab w:val="clear" w:pos="567"/>
              </w:tabs>
              <w:ind w:right="352"/>
              <w:jc w:val="right"/>
            </w:pPr>
            <w:r>
              <w:t>76.50</w:t>
            </w:r>
          </w:p>
        </w:tc>
      </w:tr>
    </w:tbl>
    <w:p>
      <w:pPr>
        <w:pStyle w:val="yFootnotesection"/>
      </w:pPr>
      <w:r>
        <w:tab/>
        <w:t>[Division 2 inserted: SL 2024/113 r. 6.</w:t>
      </w:r>
    </w:p>
    <w:p>
      <w:pPr>
        <w:pStyle w:val="yHeading3"/>
      </w:pPr>
      <w:bookmarkStart w:id="29" w:name="_Toc175124057"/>
      <w:bookmarkStart w:id="30" w:name="_Toc175124917"/>
      <w:bookmarkStart w:id="31" w:name="_Toc175733994"/>
      <w:r>
        <w:rPr>
          <w:rStyle w:val="CharSDivNo"/>
        </w:rPr>
        <w:lastRenderedPageBreak/>
        <w:t>Division 3</w:t>
      </w:r>
      <w:r>
        <w:t> — </w:t>
      </w:r>
      <w:r>
        <w:rPr>
          <w:rStyle w:val="CharSDivText"/>
        </w:rPr>
        <w:t>Criminal jurisdiction</w:t>
      </w:r>
      <w:bookmarkEnd w:id="29"/>
      <w:bookmarkEnd w:id="30"/>
      <w:bookmarkEnd w:id="31"/>
    </w:p>
    <w:p>
      <w:pPr>
        <w:pStyle w:val="yFootnoteheading"/>
        <w:keepNext/>
      </w:pPr>
      <w:r>
        <w:tab/>
        <w:t>[Heading inserted: SL 2024/113 r. 6.</w:t>
      </w:r>
    </w:p>
    <w:tbl>
      <w:tblPr>
        <w:tblW w:w="708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noWrap/>
          </w:tcPr>
          <w:p>
            <w:pPr>
              <w:pStyle w:val="yTableNAm"/>
              <w:jc w:val="center"/>
              <w:rPr>
                <w:b/>
              </w:rPr>
            </w:pPr>
            <w:r>
              <w:rPr>
                <w:b/>
              </w:rPr>
              <w:t>Item</w:t>
            </w:r>
          </w:p>
        </w:tc>
        <w:tc>
          <w:tcPr>
            <w:tcW w:w="3455" w:type="dxa"/>
            <w:tcBorders>
              <w:top w:val="single" w:sz="4" w:space="0" w:color="auto"/>
              <w:bottom w:val="single" w:sz="4" w:space="0" w:color="auto"/>
            </w:tcBorders>
            <w:noWrap/>
          </w:tcPr>
          <w:p>
            <w:pPr>
              <w:pStyle w:val="yTableNAm"/>
              <w:jc w:val="center"/>
              <w:rPr>
                <w:b/>
              </w:rPr>
            </w:pPr>
            <w:r>
              <w:rPr>
                <w:b/>
              </w:rPr>
              <w:t>Matter</w:t>
            </w:r>
          </w:p>
        </w:tc>
        <w:tc>
          <w:tcPr>
            <w:tcW w:w="1276"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559"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98" w:type="dxa"/>
            <w:tcBorders>
              <w:top w:val="single" w:sz="4" w:space="0" w:color="auto"/>
            </w:tcBorders>
            <w:noWrap/>
          </w:tcPr>
          <w:p>
            <w:pPr>
              <w:pStyle w:val="yTableNAm"/>
            </w:pPr>
            <w:r>
              <w:t>1.</w:t>
            </w:r>
          </w:p>
        </w:tc>
        <w:tc>
          <w:tcPr>
            <w:tcW w:w="3455" w:type="dxa"/>
            <w:tcBorders>
              <w:top w:val="single" w:sz="4" w:space="0" w:color="auto"/>
            </w:tcBorders>
            <w:noWrap/>
          </w:tcPr>
          <w:p>
            <w:pPr>
              <w:pStyle w:val="yTableNAm"/>
            </w:pPr>
            <w:r>
              <w:t xml:space="preserve">On filing — </w:t>
            </w:r>
          </w:p>
        </w:tc>
        <w:tc>
          <w:tcPr>
            <w:tcW w:w="1276" w:type="dxa"/>
            <w:tcBorders>
              <w:top w:val="single" w:sz="4" w:space="0" w:color="auto"/>
            </w:tcBorders>
            <w:noWrap/>
          </w:tcPr>
          <w:p/>
        </w:tc>
        <w:tc>
          <w:tcPr>
            <w:tcW w:w="1559" w:type="dxa"/>
            <w:tcBorders>
              <w:top w:val="single" w:sz="4" w:space="0" w:color="auto"/>
            </w:tcBorders>
            <w:noWrap/>
          </w:tcPr>
          <w:p/>
        </w:tc>
      </w:tr>
      <w:tr>
        <w:trPr>
          <w:cantSplit/>
        </w:trPr>
        <w:tc>
          <w:tcPr>
            <w:tcW w:w="798" w:type="dxa"/>
            <w:noWrap/>
          </w:tcPr>
          <w:p>
            <w:pPr>
              <w:pStyle w:val="yTableNAm"/>
            </w:pPr>
          </w:p>
        </w:tc>
        <w:tc>
          <w:tcPr>
            <w:tcW w:w="3455" w:type="dxa"/>
            <w:noWrap/>
          </w:tcPr>
          <w:p>
            <w:pPr>
              <w:pStyle w:val="yTableNAm"/>
              <w:tabs>
                <w:tab w:val="clear" w:pos="567"/>
              </w:tabs>
              <w:ind w:left="517" w:hanging="517"/>
            </w:pPr>
            <w:r>
              <w:t>(a)</w:t>
            </w:r>
            <w:r>
              <w:tab/>
              <w:t xml:space="preserve">a prosecution notice </w:t>
            </w:r>
          </w:p>
        </w:tc>
        <w:tc>
          <w:tcPr>
            <w:tcW w:w="1276" w:type="dxa"/>
            <w:noWrap/>
            <w:vAlign w:val="bottom"/>
          </w:tcPr>
          <w:p>
            <w:pPr>
              <w:pStyle w:val="yTableNAm"/>
              <w:tabs>
                <w:tab w:val="clear" w:pos="567"/>
              </w:tabs>
              <w:ind w:right="177"/>
              <w:jc w:val="right"/>
            </w:pPr>
            <w:r>
              <w:t>156.00</w:t>
            </w:r>
          </w:p>
        </w:tc>
        <w:tc>
          <w:tcPr>
            <w:tcW w:w="1559" w:type="dxa"/>
            <w:noWrap/>
            <w:vAlign w:val="bottom"/>
          </w:tcPr>
          <w:p>
            <w:pPr>
              <w:pStyle w:val="yTableNAm"/>
              <w:tabs>
                <w:tab w:val="clear" w:pos="567"/>
              </w:tabs>
              <w:ind w:right="177"/>
              <w:jc w:val="right"/>
            </w:pPr>
            <w:r>
              <w:t>46.80</w:t>
            </w:r>
          </w:p>
        </w:tc>
      </w:tr>
      <w:tr>
        <w:trPr>
          <w:cantSplit/>
        </w:trPr>
        <w:tc>
          <w:tcPr>
            <w:tcW w:w="798" w:type="dxa"/>
            <w:noWrap/>
          </w:tcPr>
          <w:p>
            <w:pPr>
              <w:pStyle w:val="yTableNAm"/>
            </w:pPr>
          </w:p>
        </w:tc>
        <w:tc>
          <w:tcPr>
            <w:tcW w:w="3455" w:type="dxa"/>
            <w:noWrap/>
          </w:tcPr>
          <w:p>
            <w:pPr>
              <w:pStyle w:val="yTableNAm"/>
              <w:tabs>
                <w:tab w:val="clear" w:pos="567"/>
              </w:tabs>
              <w:ind w:left="517" w:hanging="517"/>
            </w:pPr>
            <w:r>
              <w:t>(b)</w:t>
            </w:r>
            <w:r>
              <w:tab/>
              <w:t xml:space="preserve">an application under the </w:t>
            </w:r>
            <w:r>
              <w:rPr>
                <w:i/>
              </w:rPr>
              <w:t>Criminal Procedure Act 2004</w:t>
            </w:r>
            <w:r>
              <w:t xml:space="preserve"> section 71</w:t>
            </w:r>
          </w:p>
        </w:tc>
        <w:tc>
          <w:tcPr>
            <w:tcW w:w="1276" w:type="dxa"/>
            <w:noWrap/>
            <w:vAlign w:val="bottom"/>
          </w:tcPr>
          <w:p>
            <w:pPr>
              <w:pStyle w:val="yTableNAm"/>
              <w:tabs>
                <w:tab w:val="clear" w:pos="567"/>
              </w:tabs>
              <w:ind w:right="177"/>
              <w:jc w:val="right"/>
            </w:pPr>
            <w:r>
              <w:t>156.00</w:t>
            </w:r>
          </w:p>
        </w:tc>
        <w:tc>
          <w:tcPr>
            <w:tcW w:w="1559" w:type="dxa"/>
            <w:noWrap/>
            <w:vAlign w:val="bottom"/>
          </w:tcPr>
          <w:p>
            <w:pPr>
              <w:pStyle w:val="yTableNAm"/>
              <w:tabs>
                <w:tab w:val="clear" w:pos="567"/>
              </w:tabs>
              <w:ind w:right="177"/>
              <w:jc w:val="right"/>
            </w:pPr>
            <w:r>
              <w:t>46.80</w:t>
            </w:r>
          </w:p>
        </w:tc>
      </w:tr>
      <w:tr>
        <w:trPr>
          <w:cantSplit/>
        </w:trPr>
        <w:tc>
          <w:tcPr>
            <w:tcW w:w="798" w:type="dxa"/>
            <w:noWrap/>
          </w:tcPr>
          <w:p>
            <w:pPr>
              <w:pStyle w:val="yTableNAm"/>
            </w:pPr>
            <w:r>
              <w:t>2.</w:t>
            </w:r>
          </w:p>
        </w:tc>
        <w:tc>
          <w:tcPr>
            <w:tcW w:w="3455" w:type="dxa"/>
            <w:noWrap/>
          </w:tcPr>
          <w:p>
            <w:pPr>
              <w:pStyle w:val="yTableNAm"/>
            </w:pPr>
            <w:r>
              <w:t xml:space="preserve">For the issue of a summons or court hearing notice to an accused </w:t>
            </w:r>
          </w:p>
        </w:tc>
        <w:tc>
          <w:tcPr>
            <w:tcW w:w="1276" w:type="dxa"/>
            <w:noWrap/>
            <w:vAlign w:val="bottom"/>
          </w:tcPr>
          <w:p>
            <w:pPr>
              <w:pStyle w:val="yTableNAm"/>
              <w:tabs>
                <w:tab w:val="clear" w:pos="567"/>
              </w:tabs>
              <w:ind w:right="177"/>
              <w:jc w:val="right"/>
            </w:pPr>
            <w:r>
              <w:t>30.00</w:t>
            </w:r>
          </w:p>
        </w:tc>
        <w:tc>
          <w:tcPr>
            <w:tcW w:w="1559" w:type="dxa"/>
            <w:noWrap/>
            <w:vAlign w:val="bottom"/>
          </w:tcPr>
          <w:p>
            <w:pPr>
              <w:pStyle w:val="yTableNAm"/>
              <w:tabs>
                <w:tab w:val="clear" w:pos="567"/>
              </w:tabs>
              <w:ind w:right="177"/>
              <w:jc w:val="right"/>
            </w:pPr>
            <w:r>
              <w:t>9.00</w:t>
            </w:r>
          </w:p>
        </w:tc>
      </w:tr>
      <w:tr>
        <w:trPr>
          <w:cantSplit/>
        </w:trPr>
        <w:tc>
          <w:tcPr>
            <w:tcW w:w="798" w:type="dxa"/>
            <w:noWrap/>
          </w:tcPr>
          <w:p>
            <w:pPr>
              <w:pStyle w:val="yTableNAm"/>
            </w:pPr>
            <w:r>
              <w:t>3.</w:t>
            </w:r>
          </w:p>
        </w:tc>
        <w:tc>
          <w:tcPr>
            <w:tcW w:w="3455" w:type="dxa"/>
            <w:noWrap/>
          </w:tcPr>
          <w:p>
            <w:pPr>
              <w:pStyle w:val="yTableNAm"/>
            </w:pPr>
            <w:r>
              <w:t xml:space="preserve">For a warrant of any kind — </w:t>
            </w:r>
          </w:p>
        </w:tc>
        <w:tc>
          <w:tcPr>
            <w:tcW w:w="1276" w:type="dxa"/>
            <w:noWrap/>
            <w:vAlign w:val="bottom"/>
          </w:tcPr>
          <w:p>
            <w:pPr>
              <w:pStyle w:val="yTableNAm"/>
              <w:tabs>
                <w:tab w:val="clear" w:pos="567"/>
              </w:tabs>
              <w:ind w:right="177"/>
              <w:jc w:val="right"/>
            </w:pPr>
          </w:p>
        </w:tc>
        <w:tc>
          <w:tcPr>
            <w:tcW w:w="1559" w:type="dxa"/>
            <w:noWrap/>
            <w:vAlign w:val="bottom"/>
          </w:tcPr>
          <w:p>
            <w:pPr>
              <w:pStyle w:val="yTableNAm"/>
              <w:tabs>
                <w:tab w:val="clear" w:pos="567"/>
              </w:tabs>
              <w:ind w:right="177"/>
              <w:jc w:val="right"/>
            </w:pPr>
          </w:p>
        </w:tc>
      </w:tr>
      <w:tr>
        <w:trPr>
          <w:cantSplit/>
        </w:trPr>
        <w:tc>
          <w:tcPr>
            <w:tcW w:w="798" w:type="dxa"/>
            <w:noWrap/>
          </w:tcPr>
          <w:p>
            <w:pPr>
              <w:pStyle w:val="yTableNAm"/>
            </w:pPr>
          </w:p>
        </w:tc>
        <w:tc>
          <w:tcPr>
            <w:tcW w:w="3455" w:type="dxa"/>
            <w:noWrap/>
          </w:tcPr>
          <w:p>
            <w:pPr>
              <w:pStyle w:val="yTableNAm"/>
              <w:tabs>
                <w:tab w:val="clear" w:pos="567"/>
              </w:tabs>
              <w:ind w:left="517" w:hanging="517"/>
            </w:pPr>
            <w:r>
              <w:t>(a)</w:t>
            </w:r>
            <w:r>
              <w:tab/>
              <w:t>issue of warrant</w:t>
            </w:r>
          </w:p>
        </w:tc>
        <w:tc>
          <w:tcPr>
            <w:tcW w:w="1276" w:type="dxa"/>
            <w:noWrap/>
            <w:vAlign w:val="bottom"/>
          </w:tcPr>
          <w:p>
            <w:pPr>
              <w:pStyle w:val="yTableNAm"/>
              <w:tabs>
                <w:tab w:val="clear" w:pos="567"/>
              </w:tabs>
              <w:ind w:right="177"/>
              <w:jc w:val="right"/>
            </w:pPr>
            <w:r>
              <w:t>156.00</w:t>
            </w:r>
          </w:p>
        </w:tc>
        <w:tc>
          <w:tcPr>
            <w:tcW w:w="1559" w:type="dxa"/>
            <w:noWrap/>
            <w:vAlign w:val="bottom"/>
          </w:tcPr>
          <w:p>
            <w:pPr>
              <w:pStyle w:val="yTableNAm"/>
              <w:tabs>
                <w:tab w:val="clear" w:pos="567"/>
              </w:tabs>
              <w:ind w:right="177"/>
              <w:jc w:val="right"/>
            </w:pPr>
            <w:r>
              <w:t>46.80</w:t>
            </w:r>
          </w:p>
        </w:tc>
      </w:tr>
      <w:tr>
        <w:trPr>
          <w:cantSplit/>
        </w:trPr>
        <w:tc>
          <w:tcPr>
            <w:tcW w:w="798" w:type="dxa"/>
            <w:noWrap/>
          </w:tcPr>
          <w:p>
            <w:pPr>
              <w:pStyle w:val="yTableNAm"/>
            </w:pPr>
          </w:p>
        </w:tc>
        <w:tc>
          <w:tcPr>
            <w:tcW w:w="3455" w:type="dxa"/>
            <w:noWrap/>
          </w:tcPr>
          <w:p>
            <w:pPr>
              <w:pStyle w:val="yTableNAm"/>
              <w:tabs>
                <w:tab w:val="clear" w:pos="567"/>
              </w:tabs>
              <w:ind w:left="517" w:hanging="517"/>
            </w:pPr>
            <w:r>
              <w:t>(b)</w:t>
            </w:r>
            <w:r>
              <w:tab/>
              <w:t>execution of warrant</w:t>
            </w:r>
          </w:p>
        </w:tc>
        <w:tc>
          <w:tcPr>
            <w:tcW w:w="1276" w:type="dxa"/>
            <w:noWrap/>
            <w:vAlign w:val="bottom"/>
          </w:tcPr>
          <w:p>
            <w:pPr>
              <w:pStyle w:val="yTableNAm"/>
              <w:tabs>
                <w:tab w:val="clear" w:pos="567"/>
              </w:tabs>
              <w:ind w:right="177"/>
              <w:jc w:val="right"/>
            </w:pPr>
            <w:r>
              <w:t>203.00</w:t>
            </w:r>
          </w:p>
        </w:tc>
        <w:tc>
          <w:tcPr>
            <w:tcW w:w="1559" w:type="dxa"/>
            <w:noWrap/>
            <w:vAlign w:val="bottom"/>
          </w:tcPr>
          <w:p>
            <w:pPr>
              <w:pStyle w:val="yTableNAm"/>
              <w:tabs>
                <w:tab w:val="clear" w:pos="567"/>
              </w:tabs>
              <w:ind w:right="177"/>
              <w:jc w:val="right"/>
            </w:pPr>
            <w:r>
              <w:t>203.00</w:t>
            </w:r>
          </w:p>
        </w:tc>
      </w:tr>
    </w:tbl>
    <w:p>
      <w:pPr>
        <w:pStyle w:val="yFootnotesection"/>
      </w:pPr>
      <w:r>
        <w:tab/>
        <w:t>[Division 3 inserted: SL 2024/113 r. 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3" w:name="_Toc175124058"/>
      <w:bookmarkStart w:id="34" w:name="_Toc175124918"/>
      <w:bookmarkStart w:id="35" w:name="_Toc175733995"/>
      <w:r>
        <w:lastRenderedPageBreak/>
        <w:t>Notes</w:t>
      </w:r>
      <w:bookmarkEnd w:id="33"/>
      <w:bookmarkEnd w:id="34"/>
      <w:bookmarkEnd w:id="35"/>
    </w:p>
    <w:p>
      <w:pPr>
        <w:pStyle w:val="nStatement"/>
      </w:pPr>
      <w:r>
        <w:t xml:space="preserve">This is a compilation of the </w:t>
      </w:r>
      <w:r>
        <w:rPr>
          <w:i/>
          <w:noProof/>
        </w:rPr>
        <w:t>Children’s Court (Fees) Regulations 2005</w:t>
      </w:r>
      <w:r>
        <w:t xml:space="preserve"> and includes amendments made by other written laws. For provisions that have come into operation, and for information about any reprints, see the compilation table. </w:t>
      </w:r>
    </w:p>
    <w:p>
      <w:pPr>
        <w:pStyle w:val="nHeading3"/>
      </w:pPr>
      <w:bookmarkStart w:id="36" w:name="_Toc175733996"/>
      <w:r>
        <w:t>Compilation table</w:t>
      </w:r>
      <w:bookmarkEnd w:id="3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2009</w:t>
            </w:r>
          </w:p>
        </w:tc>
        <w:tc>
          <w:tcPr>
            <w:tcW w:w="1276" w:type="dxa"/>
          </w:tcPr>
          <w:p>
            <w:pPr>
              <w:pStyle w:val="nTable"/>
              <w:spacing w:after="40"/>
            </w:pPr>
            <w:r>
              <w:t>9 Jun 2009 p. 1925</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2009</w:t>
            </w:r>
          </w:p>
        </w:tc>
        <w:tc>
          <w:tcPr>
            <w:tcW w:w="1276" w:type="dxa"/>
          </w:tcPr>
          <w:p>
            <w:pPr>
              <w:pStyle w:val="nTable"/>
              <w:spacing w:after="40"/>
            </w:pPr>
            <w:r>
              <w:t>4 Sep 2009 p. 3483-5</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lastRenderedPageBreak/>
              <w:t>Children’s Court (Fees) Amendment Regulations 2011</w:t>
            </w:r>
          </w:p>
        </w:tc>
        <w:tc>
          <w:tcPr>
            <w:tcW w:w="1276" w:type="dxa"/>
          </w:tcPr>
          <w:p>
            <w:pPr>
              <w:pStyle w:val="nTable"/>
              <w:keepNext/>
              <w:spacing w:after="40"/>
            </w:pPr>
            <w:r>
              <w:t>8 Mar 2011 p. 791</w:t>
            </w:r>
            <w:r>
              <w:noBreakHyphen/>
              <w:t>2</w:t>
            </w:r>
          </w:p>
        </w:tc>
        <w:tc>
          <w:tcPr>
            <w:tcW w:w="2693" w:type="dxa"/>
          </w:tcPr>
          <w:p>
            <w:pPr>
              <w:pStyle w:val="nTable"/>
              <w:keepNext/>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t>Children’s Court (Fees) Amendment Regulations (No. 2) 2011</w:t>
            </w:r>
          </w:p>
        </w:tc>
        <w:tc>
          <w:tcPr>
            <w:tcW w:w="1276" w:type="dxa"/>
          </w:tcPr>
          <w:p>
            <w:pPr>
              <w:pStyle w:val="nTable"/>
              <w:keepNext/>
              <w:spacing w:after="40"/>
            </w:pPr>
            <w:r>
              <w:t>20 Dec 2011 p. 5390</w:t>
            </w:r>
            <w:r>
              <w:noBreakHyphen/>
              <w:t>2</w:t>
            </w:r>
          </w:p>
        </w:tc>
        <w:tc>
          <w:tcPr>
            <w:tcW w:w="2693" w:type="dxa"/>
          </w:tcPr>
          <w:p>
            <w:pPr>
              <w:pStyle w:val="nTable"/>
              <w:keepNext/>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2012</w:t>
            </w:r>
          </w:p>
        </w:tc>
        <w:tc>
          <w:tcPr>
            <w:tcW w:w="1276" w:type="dxa"/>
            <w:shd w:val="clear" w:color="auto" w:fill="auto"/>
          </w:tcPr>
          <w:p>
            <w:pPr>
              <w:pStyle w:val="nTable"/>
              <w:spacing w:after="40"/>
            </w:pPr>
            <w:r>
              <w:t>27 Mar 2012 p. 1505</w:t>
            </w:r>
          </w:p>
        </w:tc>
        <w:tc>
          <w:tcPr>
            <w:tcW w:w="2693" w:type="dxa"/>
            <w:shd w:val="clear" w:color="auto" w:fill="auto"/>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snapToGrid w:val="0"/>
              </w:rPr>
              <w:t xml:space="preserve">Reprint 2:  The </w:t>
            </w:r>
            <w:r>
              <w:rPr>
                <w:b/>
                <w:bCs/>
                <w:i/>
              </w:rPr>
              <w:t>Children’s Court (Fees) Regulations 2005</w:t>
            </w:r>
            <w:r>
              <w:rPr>
                <w:b/>
                <w:bCs/>
                <w:snapToGrid w:val="0"/>
              </w:rPr>
              <w:t xml:space="preserve"> as at 15 Jun 2012</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2012</w:t>
            </w:r>
          </w:p>
        </w:tc>
        <w:tc>
          <w:tcPr>
            <w:tcW w:w="1276" w:type="dxa"/>
            <w:shd w:val="clear" w:color="auto" w:fill="auto"/>
          </w:tcPr>
          <w:p>
            <w:pPr>
              <w:pStyle w:val="nTable"/>
              <w:spacing w:after="40"/>
            </w:pPr>
            <w:r>
              <w:t>30 Nov 2012 p. 5794</w:t>
            </w:r>
            <w:r>
              <w:noBreakHyphen/>
              <w:t>5</w:t>
            </w:r>
          </w:p>
        </w:tc>
        <w:tc>
          <w:tcPr>
            <w:tcW w:w="2693" w:type="dxa"/>
            <w:shd w:val="clear" w:color="auto" w:fill="auto"/>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2013</w:t>
            </w:r>
          </w:p>
        </w:tc>
        <w:tc>
          <w:tcPr>
            <w:tcW w:w="1276" w:type="dxa"/>
            <w:shd w:val="clear" w:color="auto" w:fill="auto"/>
          </w:tcPr>
          <w:p>
            <w:pPr>
              <w:pStyle w:val="nTable"/>
              <w:spacing w:after="40"/>
            </w:pPr>
            <w:r>
              <w:t>15 Nov 2013 p. 5250</w:t>
            </w:r>
            <w:r>
              <w:noBreakHyphen/>
              <w:t>2</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2014</w:t>
            </w:r>
          </w:p>
        </w:tc>
        <w:tc>
          <w:tcPr>
            <w:tcW w:w="1276" w:type="dxa"/>
            <w:shd w:val="clear" w:color="auto" w:fill="auto"/>
          </w:tcPr>
          <w:p>
            <w:pPr>
              <w:pStyle w:val="nTable"/>
              <w:spacing w:after="40"/>
            </w:pPr>
            <w:r>
              <w:t>27 Jun 2014 p. 2333-4</w:t>
            </w:r>
          </w:p>
        </w:tc>
        <w:tc>
          <w:tcPr>
            <w:tcW w:w="2693" w:type="dxa"/>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2015</w:t>
            </w:r>
          </w:p>
        </w:tc>
        <w:tc>
          <w:tcPr>
            <w:tcW w:w="1276" w:type="dxa"/>
            <w:shd w:val="clear" w:color="auto" w:fill="auto"/>
          </w:tcPr>
          <w:p>
            <w:pPr>
              <w:pStyle w:val="nTable"/>
              <w:spacing w:after="40"/>
            </w:pPr>
            <w:r>
              <w:t>19 Jun 2015 p. 2114</w:t>
            </w:r>
            <w:r>
              <w:noBreakHyphen/>
              <w:t>15</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Regulations 2016</w:t>
            </w:r>
            <w:r>
              <w:t xml:space="preserve"> Pt. 2</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lastRenderedPageBreak/>
              <w:t>Attorney General Regulations Amendment (Bailiff Fees) Regulations 2018</w:t>
            </w:r>
            <w:r>
              <w:t xml:space="preserve"> Pt. 2</w:t>
            </w:r>
          </w:p>
        </w:tc>
        <w:tc>
          <w:tcPr>
            <w:tcW w:w="1276" w:type="dxa"/>
            <w:shd w:val="clear" w:color="auto" w:fill="auto"/>
          </w:tcPr>
          <w:p>
            <w:pPr>
              <w:pStyle w:val="nTable"/>
              <w:keepNext/>
              <w:spacing w:after="40"/>
            </w:pPr>
            <w:r>
              <w:t>9 Feb 2018 p. 401</w:t>
            </w:r>
            <w:r>
              <w:noBreakHyphen/>
              <w:t>5</w:t>
            </w:r>
          </w:p>
        </w:tc>
        <w:tc>
          <w:tcPr>
            <w:tcW w:w="2693" w:type="dxa"/>
            <w:shd w:val="clear" w:color="auto" w:fill="auto"/>
          </w:tcPr>
          <w:p>
            <w:pPr>
              <w:pStyle w:val="nTable"/>
              <w:keepNext/>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2</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Justice Regulations Amendment (Fee Relief) Regulations 2018</w:t>
            </w:r>
            <w:r>
              <w:t xml:space="preserve"> Pt. 2</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(Transcript Fees) Regulations 2018</w:t>
            </w:r>
            <w:r>
              <w:t xml:space="preserve"> Pt. 2</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2</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rPr>
                <w:bCs/>
                <w:snapToGrid w:val="0"/>
              </w:rPr>
              <w:t>1 Jul 2019 (see r. 2(b))</w:t>
            </w:r>
          </w:p>
        </w:tc>
      </w:tr>
      <w:tr>
        <w:tc>
          <w:tcPr>
            <w:tcW w:w="3118" w:type="dxa"/>
            <w:tcBorders>
              <w:top w:val="nil"/>
              <w:bottom w:val="nil"/>
            </w:tcBorders>
            <w:shd w:val="clear" w:color="auto" w:fill="auto"/>
          </w:tcPr>
          <w:p>
            <w:pPr>
              <w:pStyle w:val="nTable"/>
              <w:spacing w:after="40"/>
            </w:pPr>
            <w:r>
              <w:rPr>
                <w:i/>
              </w:rPr>
              <w:t>Attorney General Regulations Amendment (Fees and Charges) Regulations 2020</w:t>
            </w:r>
            <w:r>
              <w:t xml:space="preserve"> Pt. 2</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rPr>
                <w:bCs/>
                <w:caps/>
                <w:snapToGrid w:val="0"/>
              </w:rPr>
            </w:pPr>
            <w:r>
              <w:rPr>
                <w:bCs/>
                <w:snapToGrid w:val="0"/>
              </w:rPr>
              <w:t>1 Aug 2020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and Charges) Regulations 2021 </w:t>
            </w:r>
            <w:r>
              <w:t>Pt. 3</w:t>
            </w:r>
          </w:p>
        </w:tc>
        <w:tc>
          <w:tcPr>
            <w:tcW w:w="1276" w:type="dxa"/>
            <w:tcBorders>
              <w:top w:val="nil"/>
              <w:bottom w:val="nil"/>
            </w:tcBorders>
            <w:shd w:val="clear" w:color="auto" w:fill="auto"/>
          </w:tcPr>
          <w:p>
            <w:pPr>
              <w:pStyle w:val="nTable"/>
              <w:spacing w:after="40"/>
            </w:pPr>
            <w:r>
              <w:t>SL 2021/101 29 Jun 2021</w:t>
            </w:r>
          </w:p>
        </w:tc>
        <w:tc>
          <w:tcPr>
            <w:tcW w:w="2693" w:type="dxa"/>
            <w:tcBorders>
              <w:top w:val="nil"/>
              <w:bottom w:val="nil"/>
            </w:tcBorders>
            <w:shd w:val="clear" w:color="auto" w:fill="auto"/>
          </w:tcPr>
          <w:p>
            <w:pPr>
              <w:pStyle w:val="nTable"/>
              <w:spacing w:after="40"/>
              <w:rPr>
                <w:bCs/>
                <w:snapToGrid w:val="0"/>
              </w:rPr>
            </w:pPr>
            <w:r>
              <w:t>1 Jul 2021 (see r. 2(b))</w:t>
            </w:r>
          </w:p>
        </w:tc>
      </w:tr>
      <w:tr>
        <w:tc>
          <w:tcPr>
            <w:tcW w:w="3118" w:type="dxa"/>
            <w:tcBorders>
              <w:top w:val="nil"/>
              <w:bottom w:val="nil"/>
            </w:tcBorders>
            <w:shd w:val="clear" w:color="auto" w:fill="auto"/>
          </w:tcPr>
          <w:p>
            <w:pPr>
              <w:pStyle w:val="nTable"/>
              <w:spacing w:after="40"/>
              <w:rPr>
                <w:i/>
              </w:rPr>
            </w:pPr>
            <w:r>
              <w:rPr>
                <w:i/>
              </w:rPr>
              <w:t>Attorney General Regulations Amendment (Fees) Regulations 2021</w:t>
            </w:r>
            <w:r>
              <w:t xml:space="preserve"> Pt. 2</w:t>
            </w:r>
          </w:p>
        </w:tc>
        <w:tc>
          <w:tcPr>
            <w:tcW w:w="1276" w:type="dxa"/>
            <w:tcBorders>
              <w:top w:val="nil"/>
              <w:bottom w:val="nil"/>
            </w:tcBorders>
            <w:shd w:val="clear" w:color="auto" w:fill="auto"/>
          </w:tcPr>
          <w:p>
            <w:pPr>
              <w:pStyle w:val="nTable"/>
              <w:spacing w:after="40"/>
            </w:pPr>
            <w:r>
              <w:t>SL 2021/155 10 Sep 2021</w:t>
            </w:r>
          </w:p>
        </w:tc>
        <w:tc>
          <w:tcPr>
            <w:tcW w:w="2693" w:type="dxa"/>
            <w:tcBorders>
              <w:top w:val="nil"/>
              <w:bottom w:val="nil"/>
            </w:tcBorders>
            <w:shd w:val="clear" w:color="auto" w:fill="auto"/>
          </w:tcPr>
          <w:p>
            <w:pPr>
              <w:pStyle w:val="nTable"/>
              <w:spacing w:after="40"/>
            </w:pPr>
            <w:r>
              <w:t>11 Sep 2021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and Charges) Regulations 2022 </w:t>
            </w:r>
            <w:r>
              <w:t>Pt. 3</w:t>
            </w:r>
          </w:p>
        </w:tc>
        <w:tc>
          <w:tcPr>
            <w:tcW w:w="1276" w:type="dxa"/>
            <w:tcBorders>
              <w:top w:val="nil"/>
              <w:bottom w:val="nil"/>
            </w:tcBorders>
            <w:shd w:val="clear" w:color="auto" w:fill="auto"/>
          </w:tcPr>
          <w:p>
            <w:pPr>
              <w:pStyle w:val="nTable"/>
              <w:spacing w:after="40"/>
            </w:pPr>
            <w:r>
              <w:t>SL 2022/111 30 June 2022</w:t>
            </w:r>
          </w:p>
        </w:tc>
        <w:tc>
          <w:tcPr>
            <w:tcW w:w="2693" w:type="dxa"/>
            <w:tcBorders>
              <w:top w:val="nil"/>
              <w:bottom w:val="nil"/>
            </w:tcBorders>
            <w:shd w:val="clear" w:color="auto" w:fill="auto"/>
          </w:tcPr>
          <w:p>
            <w:pPr>
              <w:pStyle w:val="nTable"/>
              <w:spacing w:after="40"/>
            </w:pPr>
            <w:r>
              <w:t>1 Jul 2022 (see r. 2(b))</w:t>
            </w:r>
          </w:p>
        </w:tc>
      </w:tr>
      <w:tr>
        <w:tc>
          <w:tcPr>
            <w:tcW w:w="3118" w:type="dxa"/>
            <w:tcBorders>
              <w:top w:val="nil"/>
              <w:bottom w:val="nil"/>
            </w:tcBorders>
            <w:shd w:val="clear" w:color="auto" w:fill="auto"/>
          </w:tcPr>
          <w:p>
            <w:pPr>
              <w:pStyle w:val="nTable"/>
              <w:spacing w:after="40"/>
              <w:rPr>
                <w:i/>
              </w:rPr>
            </w:pPr>
            <w:r>
              <w:rPr>
                <w:i/>
              </w:rPr>
              <w:t>Attorney General Regulations Amendment (Fee Waiver) Regulations 2022</w:t>
            </w:r>
            <w:r>
              <w:t xml:space="preserve"> Pt. 2</w:t>
            </w:r>
          </w:p>
        </w:tc>
        <w:tc>
          <w:tcPr>
            <w:tcW w:w="1276" w:type="dxa"/>
            <w:tcBorders>
              <w:top w:val="nil"/>
              <w:bottom w:val="nil"/>
            </w:tcBorders>
            <w:shd w:val="clear" w:color="auto" w:fill="auto"/>
          </w:tcPr>
          <w:p>
            <w:pPr>
              <w:pStyle w:val="nTable"/>
              <w:spacing w:after="40"/>
            </w:pPr>
            <w:r>
              <w:t>SL 2022/145 26 Aug 2022</w:t>
            </w:r>
          </w:p>
        </w:tc>
        <w:tc>
          <w:tcPr>
            <w:tcW w:w="2693" w:type="dxa"/>
            <w:tcBorders>
              <w:top w:val="nil"/>
              <w:bottom w:val="nil"/>
            </w:tcBorders>
            <w:shd w:val="clear" w:color="auto" w:fill="auto"/>
          </w:tcPr>
          <w:p>
            <w:pPr>
              <w:pStyle w:val="nTable"/>
              <w:spacing w:after="40"/>
            </w:pPr>
            <w:r>
              <w:t>27 Aug 2022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3</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8" w:type="dxa"/>
            <w:tcBorders>
              <w:top w:val="nil"/>
              <w:bottom w:val="nil"/>
            </w:tcBorders>
            <w:shd w:val="clear" w:color="auto" w:fill="auto"/>
          </w:tcPr>
          <w:p>
            <w:pPr>
              <w:pStyle w:val="nTable"/>
              <w:keepNext/>
              <w:spacing w:after="40"/>
              <w:rPr>
                <w:iCs/>
              </w:rPr>
            </w:pPr>
            <w:r>
              <w:rPr>
                <w:i/>
              </w:rPr>
              <w:lastRenderedPageBreak/>
              <w:t xml:space="preserve">Attorney General Regulations Amendment (Fees and Charges) Regulations 2024 </w:t>
            </w:r>
            <w:r>
              <w:rPr>
                <w:iCs/>
              </w:rPr>
              <w:t>Pt. 3</w:t>
            </w:r>
          </w:p>
        </w:tc>
        <w:tc>
          <w:tcPr>
            <w:tcW w:w="1276" w:type="dxa"/>
            <w:tcBorders>
              <w:top w:val="nil"/>
              <w:bottom w:val="nil"/>
            </w:tcBorders>
            <w:shd w:val="clear" w:color="auto" w:fill="auto"/>
          </w:tcPr>
          <w:p>
            <w:pPr>
              <w:pStyle w:val="nTable"/>
              <w:keepNext/>
              <w:spacing w:after="40"/>
            </w:pPr>
            <w:r>
              <w:t>SL 2024/113 26 Jun 2024</w:t>
            </w:r>
          </w:p>
        </w:tc>
        <w:tc>
          <w:tcPr>
            <w:tcW w:w="2693" w:type="dxa"/>
            <w:tcBorders>
              <w:top w:val="nil"/>
              <w:bottom w:val="nil"/>
            </w:tcBorders>
            <w:shd w:val="clear" w:color="auto" w:fill="auto"/>
          </w:tcPr>
          <w:p>
            <w:pPr>
              <w:pStyle w:val="nTable"/>
              <w:keepNext/>
              <w:spacing w:after="40"/>
            </w:pPr>
            <w:r>
              <w:t>1 Jul 2024 (see r. 2(b))</w:t>
            </w:r>
          </w:p>
        </w:tc>
      </w:tr>
      <w:tr>
        <w:tc>
          <w:tcPr>
            <w:tcW w:w="3118" w:type="dxa"/>
            <w:tcBorders>
              <w:top w:val="nil"/>
            </w:tcBorders>
            <w:shd w:val="clear" w:color="auto" w:fill="auto"/>
          </w:tcPr>
          <w:p>
            <w:pPr>
              <w:pStyle w:val="nTable"/>
              <w:keepNext/>
              <w:spacing w:after="40"/>
              <w:rPr>
                <w:i/>
              </w:rPr>
            </w:pPr>
            <w:r>
              <w:rPr>
                <w:i/>
                <w:noProof/>
              </w:rPr>
              <w:t xml:space="preserve">Court Fees Regulation Amendment Regulations 2024 </w:t>
            </w:r>
            <w:r>
              <w:rPr>
                <w:iCs/>
                <w:noProof/>
              </w:rPr>
              <w:t>Pt. 2</w:t>
            </w:r>
          </w:p>
        </w:tc>
        <w:tc>
          <w:tcPr>
            <w:tcW w:w="1276" w:type="dxa"/>
            <w:tcBorders>
              <w:top w:val="nil"/>
            </w:tcBorders>
            <w:shd w:val="clear" w:color="auto" w:fill="auto"/>
          </w:tcPr>
          <w:p>
            <w:pPr>
              <w:pStyle w:val="nTable"/>
              <w:keepNext/>
              <w:spacing w:after="40"/>
            </w:pPr>
            <w:r>
              <w:t>SL 2024/174 21 Aug 2024</w:t>
            </w:r>
          </w:p>
        </w:tc>
        <w:tc>
          <w:tcPr>
            <w:tcW w:w="2693" w:type="dxa"/>
            <w:tcBorders>
              <w:top w:val="nil"/>
            </w:tcBorders>
            <w:shd w:val="clear" w:color="auto" w:fill="auto"/>
          </w:tcPr>
          <w:p>
            <w:pPr>
              <w:pStyle w:val="nTable"/>
              <w:keepNext/>
              <w:spacing w:after="40"/>
            </w:pPr>
            <w:r>
              <w:t>1 Sep 2024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8" w:name="_Toc175733997"/>
      <w:r>
        <w:rPr>
          <w:sz w:val="28"/>
        </w:rPr>
        <w:lastRenderedPageBreak/>
        <w:t>Defined terms</w:t>
      </w:r>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w:t>
      </w:r>
    </w:p>
    <w:p>
      <w:pPr>
        <w:pStyle w:val="DefinedTerms"/>
      </w:pPr>
      <w:r>
        <w:t>Centrelink</w:t>
      </w:r>
      <w:r>
        <w:tab/>
        <w:t>8(1)</w:t>
      </w:r>
    </w:p>
    <w:p>
      <w:pPr>
        <w:pStyle w:val="DefinedTerms"/>
      </w:pPr>
      <w:r>
        <w:t>civil jurisdiction</w:t>
      </w:r>
      <w:r>
        <w:tab/>
        <w:t>3</w:t>
      </w:r>
    </w:p>
    <w:p>
      <w:pPr>
        <w:pStyle w:val="DefinedTerms"/>
      </w:pPr>
      <w:r>
        <w:t>criminal jurisdiction</w:t>
      </w:r>
      <w:r>
        <w:tab/>
        <w:t>3</w:t>
      </w:r>
    </w:p>
    <w:p>
      <w:pPr>
        <w:pStyle w:val="DefinedTerms"/>
      </w:pPr>
      <w:r>
        <w:t>deputy registrar</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prosecution notice</w:t>
      </w:r>
      <w:r>
        <w:tab/>
        <w:t>3</w:t>
      </w:r>
    </w:p>
    <w:p>
      <w:pPr>
        <w:pStyle w:val="DefinedTerms"/>
      </w:pPr>
      <w:r>
        <w:t>respondent</w:t>
      </w:r>
      <w:r>
        <w:tab/>
        <w:t>6(2)</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C118BE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A34DB76" w14:textId="73D80883" w:rsidR="00855E7F" w:rsidRDefault="000C2C1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F54A3">
                        <w:rPr>
                          <w:sz w:val="16"/>
                        </w:rPr>
                        <w:t>2024</w:t>
                      </w:r>
                      <w:r>
                        <w:rPr>
                          <w:sz w:val="16"/>
                        </w:rPr>
                        <w:fldChar w:fldCharType="end"/>
                      </w:r>
                      <w:r>
                        <w:rPr>
                          <w:sz w:val="16"/>
                        </w:rPr>
                        <w:t>.</w:t>
                      </w:r>
                    </w:p>
                    <w:p w14:paraId="28D3E6DB" w14:textId="77777777" w:rsidR="00855E7F" w:rsidRDefault="000C2C1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44C20BF" w14:textId="34AC2DF3" w:rsidR="00855E7F" w:rsidRDefault="000C2C1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F54A3">
                        <w:rPr>
                          <w:sz w:val="16"/>
                        </w:rPr>
                        <w:t>2024</w:t>
                      </w:r>
                      <w:r>
                        <w:rPr>
                          <w:sz w:val="16"/>
                        </w:rPr>
                        <w:fldChar w:fldCharType="end"/>
                      </w:r>
                      <w:r>
                        <w:rPr>
                          <w:sz w:val="16"/>
                        </w:rPr>
                        <w:t>.</w:t>
                      </w:r>
                    </w:p>
                    <w:p w14:paraId="57911A46" w14:textId="77777777" w:rsidR="00855E7F" w:rsidRDefault="000C2C1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03-n0-01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03-n0-01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03-n0-01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03-n0-01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03-n0-01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03-n0-01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2" w:name="Schedule"/>
    <w:bookmarkEnd w:id="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9" w:name="DefinedTerms"/>
    <w:bookmarkEnd w:id="3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 w:name="Coversheet"/>
    <w:bookmarkEnd w:id="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372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1091227"/>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 w:name="WAFER_20181206133305" w:val="RemoveTocBookmarks,RemoveUnusedBookmarks,RemoveLanguageTags,UsedStyles,ResetPageSize"/>
    <w:docVar w:name="WAFER_20181206133305_GUID" w:val="163f645e-1654-4922-a744-c71d6a740a09"/>
    <w:docVar w:name="WAFER_20190311131100" w:val="RemoveTocBookmarks,RemoveUnusedBookmarks,RemoveLanguageTags,UpdateStyles,UsedStyles,ResetPageSize"/>
    <w:docVar w:name="WAFER_20190311131100_GUID" w:val="7dad6d96-308d-45e9-8613-a3cfe97c1ce4"/>
    <w:docVar w:name="WAFER_2020073014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45931_GUID" w:val="4465dc96-27ab-4066-9b03-ec87075418cb"/>
    <w:docVar w:name="WAFER_202106251457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746_GUID" w:val="9c8e28a4-3020-4545-8cd2-3ce7855018ca"/>
    <w:docVar w:name="WAFER_20210907120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20538_GUID" w:val="85c49832-fb0a-426b-8c29-26149f1f948c"/>
    <w:docVar w:name="WAFER_202206270840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84023_GUID" w:val="8180ec72-84e7-499e-ab36-de81e204c84c"/>
    <w:docVar w:name="WAFER_202208241110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1018_GUID" w:val="c46d1efd-096f-42ac-baa2-09a85fa5c91d"/>
    <w:docVar w:name="WAFER_202308011614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1439_GUID" w:val="4687cf29-7c9b-438a-9bc7-09b361720fa4"/>
    <w:docVar w:name="WAFER_20231227161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1035_GUID" w:val="2c480b79-1ba9-48d1-b38c-8ed6e61ba10f"/>
    <w:docVar w:name="WAFER_20240621091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1334_GUID" w:val="f1d84e65-a059-42c2-9611-70c00e047d07"/>
    <w:docVar w:name="WAFER_20240815133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5133329_GUID" w:val="60fb8256-2f7b-4daa-8f9d-a83065fea4da"/>
    <w:docVar w:name="WAFER_20240821091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091227_GUID" w:val="ef93e3ad-f349-4bd3-b84f-db17da520a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F6776-62A4-4C96-BB74-8DAA098E1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4184</Words>
  <Characters>19625</Characters>
  <Application>Microsoft Office Word</Application>
  <DocSecurity>0</DocSecurity>
  <Lines>934</Lines>
  <Paragraphs>541</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2005 - 03-n0-01</dc:title>
  <dc:subject/>
  <dc:creator/>
  <cp:keywords/>
  <dc:description/>
  <cp:lastModifiedBy>Master Repository Process</cp:lastModifiedBy>
  <cp:revision>4</cp:revision>
  <cp:lastPrinted>2018-09-04T01:15:00Z</cp:lastPrinted>
  <dcterms:created xsi:type="dcterms:W3CDTF">2025-06-09T02:55:00Z</dcterms:created>
  <dcterms:modified xsi:type="dcterms:W3CDTF">2025-06-09T02:56:00Z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CommencementDate">
    <vt:lpwstr>20240901</vt:lpwstr>
  </property>
  <property fmtid="{D5CDD505-2E9C-101B-9397-08002B2CF9AE}" pid="8" name="CommencementAsAt">
    <vt:filetime>2024-08-31T16:00:00Z</vt:filetime>
  </property>
  <property fmtid="{D5CDD505-2E9C-101B-9397-08002B2CF9AE}" pid="9" name="CommencementYear">
    <vt:lpwstr>2024</vt:lpwstr>
  </property>
  <property fmtid="{D5CDD505-2E9C-101B-9397-08002B2CF9AE}" pid="10" name="AsAtDate">
    <vt:lpwstr>01 Sep 2024</vt:lpwstr>
  </property>
  <property fmtid="{D5CDD505-2E9C-101B-9397-08002B2CF9AE}" pid="11" name="Suffix">
    <vt:lpwstr>03-n0-01</vt:lpwstr>
  </property>
  <property fmtid="{D5CDD505-2E9C-101B-9397-08002B2CF9AE}" pid="12" name="Official">
    <vt:lpwstr/>
  </property>
</Properties>
</file>