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Protection (Offender Reporting)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_Toc175215013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_Toc175215014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_Toc175215015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 (s. 3)</w:t>
      </w:r>
      <w:r>
        <w:tab/>
      </w:r>
      <w:r>
        <w:fldChar w:fldCharType="begin"/>
      </w:r>
      <w:r>
        <w:instrText xml:space="preserve"> PAGEREF _Toc175215016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Acts (s. 3)</w:t>
      </w:r>
      <w:r>
        <w:tab/>
      </w:r>
      <w:r>
        <w:fldChar w:fldCharType="begin"/>
      </w:r>
      <w:r>
        <w:instrText xml:space="preserve"> PAGEREF _Toc175215017 \h </w:instrText>
      </w:r>
      <w:r>
        <w:fldChar w:fldCharType="separate"/>
      </w:r>
      <w:r>
        <w:t>3</w:t>
      </w:r>
      <w:r>
        <w:fldChar w:fldCharType="end"/>
      </w:r>
    </w:p>
    <w:p>
      <w:pPr>
        <w:pStyle w:val="TOC8"/>
        <w:rPr>
          <w:rFonts w:asciiTheme="minorHAnsi" w:eastAsiaTheme="minorEastAsia" w:hAnsiTheme="minorHAnsi" w:cstheme="minorBidi"/>
          <w:szCs w:val="22"/>
        </w:rPr>
      </w:pPr>
      <w:r>
        <w:t>6.</w:t>
      </w:r>
      <w:r>
        <w:tab/>
        <w:t>Corresponding offender reporting orders (s. 3)</w:t>
      </w:r>
      <w:r>
        <w:tab/>
      </w:r>
      <w:r>
        <w:fldChar w:fldCharType="begin"/>
      </w:r>
      <w:r>
        <w:instrText xml:space="preserve"> PAGEREF _Toc175215018 \h </w:instrText>
      </w:r>
      <w:r>
        <w:fldChar w:fldCharType="separate"/>
      </w:r>
      <w:r>
        <w:t>4</w:t>
      </w:r>
      <w:r>
        <w:fldChar w:fldCharType="end"/>
      </w:r>
    </w:p>
    <w:p>
      <w:pPr>
        <w:pStyle w:val="TOC8"/>
        <w:rPr>
          <w:rFonts w:asciiTheme="minorHAnsi" w:eastAsiaTheme="minorEastAsia" w:hAnsiTheme="minorHAnsi" w:cstheme="minorBidi"/>
          <w:szCs w:val="22"/>
        </w:rPr>
      </w:pPr>
      <w:r>
        <w:t>6A.</w:t>
      </w:r>
      <w:r>
        <w:tab/>
        <w:t>Sentences (s. 3)</w:t>
      </w:r>
      <w:r>
        <w:tab/>
      </w:r>
      <w:r>
        <w:fldChar w:fldCharType="begin"/>
      </w:r>
      <w:r>
        <w:instrText xml:space="preserve"> PAGEREF _Toc175215019 \h </w:instrText>
      </w:r>
      <w:r>
        <w:fldChar w:fldCharType="separate"/>
      </w:r>
      <w:r>
        <w:t>5</w:t>
      </w:r>
      <w:r>
        <w:fldChar w:fldCharType="end"/>
      </w:r>
    </w:p>
    <w:p>
      <w:pPr>
        <w:pStyle w:val="TOC8"/>
        <w:rPr>
          <w:rFonts w:asciiTheme="minorHAnsi" w:eastAsiaTheme="minorEastAsia" w:hAnsiTheme="minorHAnsi" w:cstheme="minorBidi"/>
          <w:szCs w:val="22"/>
        </w:rPr>
      </w:pPr>
      <w:r>
        <w:t>7.</w:t>
      </w:r>
      <w:r>
        <w:tab/>
        <w:t>Supervising authorities (s. 3)</w:t>
      </w:r>
      <w:r>
        <w:tab/>
      </w:r>
      <w:r>
        <w:fldChar w:fldCharType="begin"/>
      </w:r>
      <w:r>
        <w:instrText xml:space="preserve"> PAGEREF _Toc175215020 \h </w:instrText>
      </w:r>
      <w:r>
        <w:fldChar w:fldCharType="separate"/>
      </w:r>
      <w:r>
        <w:t>5</w:t>
      </w:r>
      <w:r>
        <w:fldChar w:fldCharType="end"/>
      </w:r>
    </w:p>
    <w:p>
      <w:pPr>
        <w:pStyle w:val="TOC8"/>
        <w:rPr>
          <w:rFonts w:asciiTheme="minorHAnsi" w:eastAsiaTheme="minorEastAsia" w:hAnsiTheme="minorHAnsi" w:cstheme="minorBidi"/>
          <w:szCs w:val="22"/>
        </w:rPr>
      </w:pPr>
      <w:r>
        <w:t>8.</w:t>
      </w:r>
      <w:r>
        <w:tab/>
        <w:t>Offences — relevance if committed by child (s. 6)</w:t>
      </w:r>
      <w:r>
        <w:tab/>
      </w:r>
      <w:r>
        <w:fldChar w:fldCharType="begin"/>
      </w:r>
      <w:r>
        <w:instrText xml:space="preserve"> PAGEREF _Toc175215021 \h </w:instrText>
      </w:r>
      <w:r>
        <w:fldChar w:fldCharType="separate"/>
      </w:r>
      <w:r>
        <w:t>6</w:t>
      </w:r>
      <w:r>
        <w:fldChar w:fldCharType="end"/>
      </w:r>
    </w:p>
    <w:p>
      <w:pPr>
        <w:pStyle w:val="TOC8"/>
        <w:rPr>
          <w:rFonts w:asciiTheme="minorHAnsi" w:eastAsiaTheme="minorEastAsia" w:hAnsiTheme="minorHAnsi" w:cstheme="minorBidi"/>
          <w:szCs w:val="22"/>
        </w:rPr>
      </w:pPr>
      <w:r>
        <w:t>9.</w:t>
      </w:r>
      <w:r>
        <w:tab/>
        <w:t>Foreign witness protection laws (s. 6 and 75)</w:t>
      </w:r>
      <w:r>
        <w:tab/>
      </w:r>
      <w:r>
        <w:fldChar w:fldCharType="begin"/>
      </w:r>
      <w:r>
        <w:instrText xml:space="preserve"> PAGEREF _Toc175215022 \h </w:instrText>
      </w:r>
      <w:r>
        <w:fldChar w:fldCharType="separate"/>
      </w:r>
      <w:r>
        <w:t>7</w:t>
      </w:r>
      <w:r>
        <w:fldChar w:fldCharType="end"/>
      </w:r>
    </w:p>
    <w:p>
      <w:pPr>
        <w:pStyle w:val="TOC8"/>
        <w:rPr>
          <w:rFonts w:asciiTheme="minorHAnsi" w:eastAsiaTheme="minorEastAsia" w:hAnsiTheme="minorHAnsi" w:cstheme="minorBidi"/>
          <w:szCs w:val="22"/>
        </w:rPr>
      </w:pPr>
      <w:r>
        <w:t>10.</w:t>
      </w:r>
      <w:r>
        <w:tab/>
        <w:t>Specified date for determining New South Wales reportable offenders (s. 8)</w:t>
      </w:r>
      <w:r>
        <w:tab/>
      </w:r>
      <w:r>
        <w:fldChar w:fldCharType="begin"/>
      </w:r>
      <w:r>
        <w:instrText xml:space="preserve"> PAGEREF _Toc175215023 \h </w:instrText>
      </w:r>
      <w:r>
        <w:fldChar w:fldCharType="separate"/>
      </w:r>
      <w:r>
        <w:t>7</w:t>
      </w:r>
      <w:r>
        <w:fldChar w:fldCharType="end"/>
      </w:r>
    </w:p>
    <w:p>
      <w:pPr>
        <w:pStyle w:val="TOC8"/>
        <w:rPr>
          <w:rFonts w:asciiTheme="minorHAnsi" w:eastAsiaTheme="minorEastAsia" w:hAnsiTheme="minorHAnsi" w:cstheme="minorBidi"/>
          <w:szCs w:val="22"/>
        </w:rPr>
      </w:pPr>
      <w:r>
        <w:t>11A.</w:t>
      </w:r>
      <w:r>
        <w:tab/>
        <w:t>Class 1 offences (s. 10)</w:t>
      </w:r>
      <w:r>
        <w:tab/>
      </w:r>
      <w:r>
        <w:fldChar w:fldCharType="begin"/>
      </w:r>
      <w:r>
        <w:instrText xml:space="preserve"> PAGEREF _Toc175215024 \h </w:instrText>
      </w:r>
      <w:r>
        <w:fldChar w:fldCharType="separate"/>
      </w:r>
      <w:r>
        <w:t>7</w:t>
      </w:r>
      <w:r>
        <w:fldChar w:fldCharType="end"/>
      </w:r>
    </w:p>
    <w:p>
      <w:pPr>
        <w:pStyle w:val="TOC8"/>
        <w:rPr>
          <w:rFonts w:asciiTheme="minorHAnsi" w:eastAsiaTheme="minorEastAsia" w:hAnsiTheme="minorHAnsi" w:cstheme="minorBidi"/>
          <w:szCs w:val="22"/>
        </w:rPr>
      </w:pPr>
      <w:r>
        <w:t>11.</w:t>
      </w:r>
      <w:r>
        <w:tab/>
        <w:t>Class 2 offences (s. 11)</w:t>
      </w:r>
      <w:r>
        <w:tab/>
      </w:r>
      <w:r>
        <w:fldChar w:fldCharType="begin"/>
      </w:r>
      <w:r>
        <w:instrText xml:space="preserve"> PAGEREF _Toc175215025 \h </w:instrText>
      </w:r>
      <w:r>
        <w:fldChar w:fldCharType="separate"/>
      </w:r>
      <w:r>
        <w:t>8</w:t>
      </w:r>
      <w:r>
        <w:fldChar w:fldCharType="end"/>
      </w:r>
    </w:p>
    <w:p>
      <w:pPr>
        <w:pStyle w:val="TOC8"/>
        <w:rPr>
          <w:rFonts w:asciiTheme="minorHAnsi" w:eastAsiaTheme="minorEastAsia" w:hAnsiTheme="minorHAnsi" w:cstheme="minorBidi"/>
          <w:szCs w:val="22"/>
        </w:rPr>
      </w:pPr>
      <w:r>
        <w:t>12.</w:t>
      </w:r>
      <w:r>
        <w:tab/>
        <w:t>Means of contacting authorised person for certain persons entering Western Australia (s. 27)</w:t>
      </w:r>
      <w:r>
        <w:tab/>
      </w:r>
      <w:r>
        <w:fldChar w:fldCharType="begin"/>
      </w:r>
      <w:r>
        <w:instrText xml:space="preserve"> PAGEREF _Toc175215026 \h </w:instrText>
      </w:r>
      <w:r>
        <w:fldChar w:fldCharType="separate"/>
      </w:r>
      <w:r>
        <w:t>9</w:t>
      </w:r>
      <w:r>
        <w:fldChar w:fldCharType="end"/>
      </w:r>
    </w:p>
    <w:p>
      <w:pPr>
        <w:pStyle w:val="TOC8"/>
        <w:rPr>
          <w:rFonts w:asciiTheme="minorHAnsi" w:eastAsiaTheme="minorEastAsia" w:hAnsiTheme="minorHAnsi" w:cstheme="minorBidi"/>
          <w:szCs w:val="22"/>
        </w:rPr>
      </w:pPr>
      <w:r>
        <w:t>13.</w:t>
      </w:r>
      <w:r>
        <w:tab/>
        <w:t>Manner of reporting change of reportable offender’s travel plans while out of Western Australia (s. 31)</w:t>
      </w:r>
      <w:r>
        <w:tab/>
      </w:r>
      <w:r>
        <w:fldChar w:fldCharType="begin"/>
      </w:r>
      <w:r>
        <w:instrText xml:space="preserve"> PAGEREF _Toc175215027 \h </w:instrText>
      </w:r>
      <w:r>
        <w:fldChar w:fldCharType="separate"/>
      </w:r>
      <w:r>
        <w:t>9</w:t>
      </w:r>
      <w:r>
        <w:fldChar w:fldCharType="end"/>
      </w:r>
    </w:p>
    <w:p>
      <w:pPr>
        <w:pStyle w:val="TOC8"/>
        <w:rPr>
          <w:rFonts w:asciiTheme="minorHAnsi" w:eastAsiaTheme="minorEastAsia" w:hAnsiTheme="minorHAnsi" w:cstheme="minorBidi"/>
          <w:szCs w:val="22"/>
        </w:rPr>
      </w:pPr>
      <w:r>
        <w:t>14.</w:t>
      </w:r>
      <w:r>
        <w:tab/>
        <w:t>Directions as to police station or approved place at which reportable offender must report (s. 34)</w:t>
      </w:r>
      <w:r>
        <w:tab/>
      </w:r>
      <w:r>
        <w:fldChar w:fldCharType="begin"/>
      </w:r>
      <w:r>
        <w:instrText xml:space="preserve"> PAGEREF _Toc175215028 \h </w:instrText>
      </w:r>
      <w:r>
        <w:fldChar w:fldCharType="separate"/>
      </w:r>
      <w:r>
        <w:t>9</w:t>
      </w:r>
      <w:r>
        <w:fldChar w:fldCharType="end"/>
      </w:r>
    </w:p>
    <w:p>
      <w:pPr>
        <w:pStyle w:val="TOC8"/>
        <w:rPr>
          <w:rFonts w:asciiTheme="minorHAnsi" w:eastAsiaTheme="minorEastAsia" w:hAnsiTheme="minorHAnsi" w:cstheme="minorBidi"/>
          <w:szCs w:val="22"/>
        </w:rPr>
      </w:pPr>
      <w:r>
        <w:t>15.</w:t>
      </w:r>
      <w:r>
        <w:tab/>
        <w:t>Prescribed form of identification (s. 38(2A)(a)(iv))</w:t>
      </w:r>
      <w:r>
        <w:tab/>
      </w:r>
      <w:r>
        <w:fldChar w:fldCharType="begin"/>
      </w:r>
      <w:r>
        <w:instrText xml:space="preserve"> PAGEREF _Toc175215029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Prescribed distance — reporting by remote offenders (s. 43)</w:t>
      </w:r>
      <w:r>
        <w:tab/>
      </w:r>
      <w:r>
        <w:fldChar w:fldCharType="begin"/>
      </w:r>
      <w:r>
        <w:instrText xml:space="preserve"> PAGEREF _Toc175215030 \h </w:instrText>
      </w:r>
      <w:r>
        <w:fldChar w:fldCharType="separate"/>
      </w:r>
      <w:r>
        <w:t>10</w:t>
      </w:r>
      <w:r>
        <w:fldChar w:fldCharType="end"/>
      </w:r>
    </w:p>
    <w:p>
      <w:pPr>
        <w:pStyle w:val="TOC8"/>
        <w:rPr>
          <w:rFonts w:asciiTheme="minorHAnsi" w:eastAsiaTheme="minorEastAsia" w:hAnsiTheme="minorHAnsi" w:cstheme="minorBidi"/>
          <w:szCs w:val="22"/>
        </w:rPr>
      </w:pPr>
      <w:r>
        <w:t>17.</w:t>
      </w:r>
      <w:r>
        <w:tab/>
        <w:t>Offences — approval by Commissioner of suspension of reporting obligations (s. 61)</w:t>
      </w:r>
      <w:r>
        <w:tab/>
      </w:r>
      <w:r>
        <w:fldChar w:fldCharType="begin"/>
      </w:r>
      <w:r>
        <w:instrText xml:space="preserve"> PAGEREF _Toc175215031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18.</w:t>
      </w:r>
      <w:r>
        <w:tab/>
        <w:t>Sentences — approval by Commissioner of suspension of reporting obligations (s. 61)</w:t>
      </w:r>
      <w:r>
        <w:tab/>
      </w:r>
      <w:r>
        <w:fldChar w:fldCharType="begin"/>
      </w:r>
      <w:r>
        <w:instrText xml:space="preserve"> PAGEREF _Toc175215032 \h </w:instrText>
      </w:r>
      <w:r>
        <w:fldChar w:fldCharType="separate"/>
      </w:r>
      <w:r>
        <w:t>11</w:t>
      </w:r>
      <w:r>
        <w:fldChar w:fldCharType="end"/>
      </w:r>
    </w:p>
    <w:p>
      <w:pPr>
        <w:pStyle w:val="TOC8"/>
        <w:rPr>
          <w:rFonts w:asciiTheme="minorHAnsi" w:eastAsiaTheme="minorEastAsia" w:hAnsiTheme="minorHAnsi" w:cstheme="minorBidi"/>
          <w:szCs w:val="22"/>
        </w:rPr>
      </w:pPr>
      <w:r>
        <w:t>19.</w:t>
      </w:r>
      <w:r>
        <w:tab/>
        <w:t>Persons required to give notice of reporting obligations etc. to reportable offenders (s. 67)</w:t>
      </w:r>
      <w:r>
        <w:tab/>
      </w:r>
      <w:r>
        <w:fldChar w:fldCharType="begin"/>
      </w:r>
      <w:r>
        <w:instrText xml:space="preserve"> PAGEREF _Toc175215033 \h </w:instrText>
      </w:r>
      <w:r>
        <w:fldChar w:fldCharType="separate"/>
      </w:r>
      <w:r>
        <w:t>12</w:t>
      </w:r>
      <w:r>
        <w:fldChar w:fldCharType="end"/>
      </w:r>
    </w:p>
    <w:p>
      <w:pPr>
        <w:pStyle w:val="TOC8"/>
        <w:rPr>
          <w:rFonts w:asciiTheme="minorHAnsi" w:eastAsiaTheme="minorEastAsia" w:hAnsiTheme="minorHAnsi" w:cstheme="minorBidi"/>
          <w:szCs w:val="22"/>
        </w:rPr>
      </w:pPr>
      <w:r>
        <w:t>20.</w:t>
      </w:r>
      <w:r>
        <w:tab/>
        <w:t>Details to be included in notice given by supervising authority to Commissioner (s. 70)</w:t>
      </w:r>
      <w:r>
        <w:tab/>
      </w:r>
      <w:r>
        <w:fldChar w:fldCharType="begin"/>
      </w:r>
      <w:r>
        <w:instrText xml:space="preserve"> PAGEREF _Toc175215034 \h </w:instrText>
      </w:r>
      <w:r>
        <w:fldChar w:fldCharType="separate"/>
      </w:r>
      <w:r>
        <w:t>13</w:t>
      </w:r>
      <w:r>
        <w:fldChar w:fldCharType="end"/>
      </w:r>
    </w:p>
    <w:p>
      <w:pPr>
        <w:pStyle w:val="TOC8"/>
        <w:rPr>
          <w:rFonts w:asciiTheme="minorHAnsi" w:eastAsiaTheme="minorEastAsia" w:hAnsiTheme="minorHAnsi" w:cstheme="minorBidi"/>
          <w:szCs w:val="22"/>
        </w:rPr>
      </w:pPr>
      <w:r>
        <w:t>21.</w:t>
      </w:r>
      <w:r>
        <w:tab/>
        <w:t>Corresponding protection orders (s. 85)</w:t>
      </w:r>
      <w:r>
        <w:tab/>
      </w:r>
      <w:r>
        <w:fldChar w:fldCharType="begin"/>
      </w:r>
      <w:r>
        <w:instrText xml:space="preserve"> PAGEREF _Toc175215035 \h </w:instrText>
      </w:r>
      <w:r>
        <w:fldChar w:fldCharType="separate"/>
      </w:r>
      <w:r>
        <w:t>14</w:t>
      </w:r>
      <w:r>
        <w:fldChar w:fldCharType="end"/>
      </w:r>
    </w:p>
    <w:p>
      <w:pPr>
        <w:pStyle w:val="TOC8"/>
        <w:rPr>
          <w:rFonts w:asciiTheme="minorHAnsi" w:eastAsiaTheme="minorEastAsia" w:hAnsiTheme="minorHAnsi" w:cstheme="minorBidi"/>
          <w:szCs w:val="22"/>
        </w:rPr>
      </w:pPr>
      <w:r>
        <w:t>22.</w:t>
      </w:r>
      <w:r>
        <w:tab/>
        <w:t>Application for recognition of corresponding protection orders (s. 108(2)(a))</w:t>
      </w:r>
      <w:r>
        <w:tab/>
      </w:r>
      <w:r>
        <w:fldChar w:fldCharType="begin"/>
      </w:r>
      <w:r>
        <w:instrText xml:space="preserve"> PAGEREF _Toc175215036 \h </w:instrText>
      </w:r>
      <w:r>
        <w:fldChar w:fldCharType="separate"/>
      </w:r>
      <w:r>
        <w:t>15</w:t>
      </w:r>
      <w:r>
        <w:fldChar w:fldCharType="end"/>
      </w:r>
    </w:p>
    <w:p>
      <w:pPr>
        <w:pStyle w:val="TOC8"/>
        <w:rPr>
          <w:rFonts w:asciiTheme="minorHAnsi" w:eastAsiaTheme="minorEastAsia" w:hAnsiTheme="minorHAnsi" w:cstheme="minorBidi"/>
          <w:szCs w:val="22"/>
        </w:rPr>
      </w:pPr>
      <w:r>
        <w:t>23.</w:t>
      </w:r>
      <w:r>
        <w:tab/>
        <w:t>Recognition of corresponding protection orders (s. 108(2)(b))</w:t>
      </w:r>
      <w:r>
        <w:tab/>
      </w:r>
      <w:r>
        <w:fldChar w:fldCharType="begin"/>
      </w:r>
      <w:r>
        <w:instrText xml:space="preserve"> PAGEREF _Toc175215037 \h </w:instrText>
      </w:r>
      <w:r>
        <w:fldChar w:fldCharType="separate"/>
      </w:r>
      <w:r>
        <w:t>15</w:t>
      </w:r>
      <w:r>
        <w:fldChar w:fldCharType="end"/>
      </w:r>
    </w:p>
    <w:p>
      <w:pPr>
        <w:pStyle w:val="TOC8"/>
        <w:rPr>
          <w:rFonts w:asciiTheme="minorHAnsi" w:eastAsiaTheme="minorEastAsia" w:hAnsiTheme="minorHAnsi" w:cstheme="minorBidi"/>
          <w:szCs w:val="22"/>
        </w:rPr>
      </w:pPr>
      <w:r>
        <w:t>24.</w:t>
      </w:r>
      <w:r>
        <w:tab/>
        <w:t>Effect of recognition of corresponding protection orders (s. 108(2)(d))</w:t>
      </w:r>
      <w:r>
        <w:tab/>
      </w:r>
      <w:r>
        <w:fldChar w:fldCharType="begin"/>
      </w:r>
      <w:r>
        <w:instrText xml:space="preserve"> PAGEREF _Toc175215038 \h </w:instrText>
      </w:r>
      <w:r>
        <w:fldChar w:fldCharType="separate"/>
      </w:r>
      <w:r>
        <w:t>16</w:t>
      </w:r>
      <w:r>
        <w:fldChar w:fldCharType="end"/>
      </w:r>
    </w:p>
    <w:p>
      <w:pPr>
        <w:pStyle w:val="TOC8"/>
        <w:rPr>
          <w:rFonts w:asciiTheme="minorHAnsi" w:eastAsiaTheme="minorEastAsia" w:hAnsiTheme="minorHAnsi" w:cstheme="minorBidi"/>
          <w:szCs w:val="22"/>
        </w:rPr>
      </w:pPr>
      <w:r>
        <w:t>25.</w:t>
      </w:r>
      <w:r>
        <w:tab/>
        <w:t>Variation or revocation of recognised order in a foreign jurisdiction</w:t>
      </w:r>
      <w:r>
        <w:tab/>
      </w:r>
      <w:r>
        <w:fldChar w:fldCharType="begin"/>
      </w:r>
      <w:r>
        <w:instrText xml:space="preserve"> PAGEREF _Toc175215039 \h </w:instrText>
      </w:r>
      <w:r>
        <w:fldChar w:fldCharType="separate"/>
      </w:r>
      <w:r>
        <w:t>17</w:t>
      </w:r>
      <w:r>
        <w:fldChar w:fldCharType="end"/>
      </w:r>
    </w:p>
    <w:p>
      <w:pPr>
        <w:pStyle w:val="TOC8"/>
        <w:rPr>
          <w:rFonts w:asciiTheme="minorHAnsi" w:eastAsiaTheme="minorEastAsia" w:hAnsiTheme="minorHAnsi" w:cstheme="minorBidi"/>
          <w:szCs w:val="22"/>
        </w:rPr>
      </w:pPr>
      <w:r>
        <w:t>26A.</w:t>
      </w:r>
      <w:r>
        <w:tab/>
        <w:t>Authorisation of absences from assessment or treatment (s. 94A(5)(a))</w:t>
      </w:r>
      <w:r>
        <w:tab/>
      </w:r>
      <w:r>
        <w:fldChar w:fldCharType="begin"/>
      </w:r>
      <w:r>
        <w:instrText xml:space="preserve"> PAGEREF _Toc175215040 \h </w:instrText>
      </w:r>
      <w:r>
        <w:fldChar w:fldCharType="separate"/>
      </w:r>
      <w:r>
        <w:t>17</w:t>
      </w:r>
      <w:r>
        <w:fldChar w:fldCharType="end"/>
      </w:r>
    </w:p>
    <w:p>
      <w:pPr>
        <w:pStyle w:val="TOC8"/>
        <w:rPr>
          <w:rFonts w:asciiTheme="minorHAnsi" w:eastAsiaTheme="minorEastAsia" w:hAnsiTheme="minorHAnsi" w:cstheme="minorBidi"/>
          <w:szCs w:val="22"/>
        </w:rPr>
      </w:pPr>
      <w:r>
        <w:t>26B.</w:t>
      </w:r>
      <w:r>
        <w:tab/>
        <w:t>Reports by persons providing assessment or administering treatment (s. 94A(5)(c))</w:t>
      </w:r>
      <w:r>
        <w:tab/>
      </w:r>
      <w:r>
        <w:fldChar w:fldCharType="begin"/>
      </w:r>
      <w:r>
        <w:instrText xml:space="preserve"> PAGEREF _Toc175215041 \h </w:instrText>
      </w:r>
      <w:r>
        <w:fldChar w:fldCharType="separate"/>
      </w:r>
      <w:r>
        <w:t>19</w:t>
      </w:r>
      <w:r>
        <w:fldChar w:fldCharType="end"/>
      </w:r>
    </w:p>
    <w:p>
      <w:pPr>
        <w:pStyle w:val="TOC8"/>
        <w:rPr>
          <w:rFonts w:asciiTheme="minorHAnsi" w:eastAsiaTheme="minorEastAsia" w:hAnsiTheme="minorHAnsi" w:cstheme="minorBidi"/>
          <w:szCs w:val="22"/>
        </w:rPr>
      </w:pPr>
      <w:r>
        <w:t>26C.</w:t>
      </w:r>
      <w:r>
        <w:tab/>
        <w:t>Manner of making requirement to give a sample (s. 94B(8)(a))</w:t>
      </w:r>
      <w:r>
        <w:tab/>
      </w:r>
      <w:r>
        <w:fldChar w:fldCharType="begin"/>
      </w:r>
      <w:r>
        <w:instrText xml:space="preserve"> PAGEREF _Toc175215042 \h </w:instrText>
      </w:r>
      <w:r>
        <w:fldChar w:fldCharType="separate"/>
      </w:r>
      <w:r>
        <w:t>20</w:t>
      </w:r>
      <w:r>
        <w:fldChar w:fldCharType="end"/>
      </w:r>
    </w:p>
    <w:p>
      <w:pPr>
        <w:pStyle w:val="TOC8"/>
        <w:rPr>
          <w:rFonts w:asciiTheme="minorHAnsi" w:eastAsiaTheme="minorEastAsia" w:hAnsiTheme="minorHAnsi" w:cstheme="minorBidi"/>
          <w:szCs w:val="22"/>
        </w:rPr>
      </w:pPr>
      <w:r>
        <w:t>26D.</w:t>
      </w:r>
      <w:r>
        <w:tab/>
        <w:t>Manner of conducting breath test (s. 94B(8)(b))</w:t>
      </w:r>
      <w:r>
        <w:tab/>
      </w:r>
      <w:r>
        <w:fldChar w:fldCharType="begin"/>
      </w:r>
      <w:r>
        <w:instrText xml:space="preserve"> PAGEREF _Toc175215043 \h </w:instrText>
      </w:r>
      <w:r>
        <w:fldChar w:fldCharType="separate"/>
      </w:r>
      <w:r>
        <w:t>20</w:t>
      </w:r>
      <w:r>
        <w:fldChar w:fldCharType="end"/>
      </w:r>
    </w:p>
    <w:p>
      <w:pPr>
        <w:pStyle w:val="TOC8"/>
        <w:rPr>
          <w:rFonts w:asciiTheme="minorHAnsi" w:eastAsiaTheme="minorEastAsia" w:hAnsiTheme="minorHAnsi" w:cstheme="minorBidi"/>
          <w:szCs w:val="22"/>
        </w:rPr>
      </w:pPr>
      <w:r>
        <w:t>26E.</w:t>
      </w:r>
      <w:r>
        <w:tab/>
        <w:t>Authorised sample collectors to take or collect samples (s. 94B(8)(b))</w:t>
      </w:r>
      <w:r>
        <w:tab/>
      </w:r>
      <w:r>
        <w:fldChar w:fldCharType="begin"/>
      </w:r>
      <w:r>
        <w:instrText xml:space="preserve"> PAGEREF _Toc175215044 \h </w:instrText>
      </w:r>
      <w:r>
        <w:fldChar w:fldCharType="separate"/>
      </w:r>
      <w:r>
        <w:t>21</w:t>
      </w:r>
      <w:r>
        <w:fldChar w:fldCharType="end"/>
      </w:r>
    </w:p>
    <w:p>
      <w:pPr>
        <w:pStyle w:val="TOC8"/>
        <w:rPr>
          <w:rFonts w:asciiTheme="minorHAnsi" w:eastAsiaTheme="minorEastAsia" w:hAnsiTheme="minorHAnsi" w:cstheme="minorBidi"/>
          <w:szCs w:val="22"/>
        </w:rPr>
      </w:pPr>
      <w:r>
        <w:t>26F.</w:t>
      </w:r>
      <w:r>
        <w:tab/>
        <w:t>Manner of taking sample of blood or collecting sample of urine (s. 94B(8)(b))</w:t>
      </w:r>
      <w:r>
        <w:tab/>
      </w:r>
      <w:r>
        <w:fldChar w:fldCharType="begin"/>
      </w:r>
      <w:r>
        <w:instrText xml:space="preserve"> PAGEREF _Toc175215045 \h </w:instrText>
      </w:r>
      <w:r>
        <w:fldChar w:fldCharType="separate"/>
      </w:r>
      <w:r>
        <w:t>21</w:t>
      </w:r>
      <w:r>
        <w:fldChar w:fldCharType="end"/>
      </w:r>
    </w:p>
    <w:p>
      <w:pPr>
        <w:pStyle w:val="TOC8"/>
        <w:rPr>
          <w:rFonts w:asciiTheme="minorHAnsi" w:eastAsiaTheme="minorEastAsia" w:hAnsiTheme="minorHAnsi" w:cstheme="minorBidi"/>
          <w:szCs w:val="22"/>
        </w:rPr>
      </w:pPr>
      <w:r>
        <w:t>26G.</w:t>
      </w:r>
      <w:r>
        <w:tab/>
        <w:t>Collection of samples (s. 94B(8)(e))</w:t>
      </w:r>
      <w:r>
        <w:tab/>
      </w:r>
      <w:r>
        <w:fldChar w:fldCharType="begin"/>
      </w:r>
      <w:r>
        <w:instrText xml:space="preserve"> PAGEREF _Toc175215046 \h </w:instrText>
      </w:r>
      <w:r>
        <w:fldChar w:fldCharType="separate"/>
      </w:r>
      <w:r>
        <w:t>23</w:t>
      </w:r>
      <w:r>
        <w:fldChar w:fldCharType="end"/>
      </w:r>
    </w:p>
    <w:p>
      <w:pPr>
        <w:pStyle w:val="TOC8"/>
        <w:rPr>
          <w:rFonts w:asciiTheme="minorHAnsi" w:eastAsiaTheme="minorEastAsia" w:hAnsiTheme="minorHAnsi" w:cstheme="minorBidi"/>
          <w:szCs w:val="22"/>
        </w:rPr>
      </w:pPr>
      <w:r>
        <w:t>26H.</w:t>
      </w:r>
      <w:r>
        <w:tab/>
        <w:t>Authorisation of persons as analysts (s. 94B(8)(c))</w:t>
      </w:r>
      <w:r>
        <w:tab/>
      </w:r>
      <w:r>
        <w:fldChar w:fldCharType="begin"/>
      </w:r>
      <w:r>
        <w:instrText xml:space="preserve"> PAGEREF _Toc175215047 \h </w:instrText>
      </w:r>
      <w:r>
        <w:fldChar w:fldCharType="separate"/>
      </w:r>
      <w:r>
        <w:t>24</w:t>
      </w:r>
      <w:r>
        <w:fldChar w:fldCharType="end"/>
      </w:r>
    </w:p>
    <w:p>
      <w:pPr>
        <w:pStyle w:val="TOC8"/>
        <w:rPr>
          <w:rFonts w:asciiTheme="minorHAnsi" w:eastAsiaTheme="minorEastAsia" w:hAnsiTheme="minorHAnsi" w:cstheme="minorBidi"/>
          <w:szCs w:val="22"/>
        </w:rPr>
      </w:pPr>
      <w:r>
        <w:t>26I.</w:t>
      </w:r>
      <w:r>
        <w:tab/>
        <w:t>Reporting results of analysis (s. 94B(8)(d))</w:t>
      </w:r>
      <w:r>
        <w:tab/>
      </w:r>
      <w:r>
        <w:fldChar w:fldCharType="begin"/>
      </w:r>
      <w:r>
        <w:instrText xml:space="preserve"> PAGEREF _Toc175215048 \h </w:instrText>
      </w:r>
      <w:r>
        <w:fldChar w:fldCharType="separate"/>
      </w:r>
      <w:r>
        <w:t>25</w:t>
      </w:r>
      <w:r>
        <w:fldChar w:fldCharType="end"/>
      </w:r>
    </w:p>
    <w:p>
      <w:pPr>
        <w:pStyle w:val="TOC8"/>
        <w:rPr>
          <w:rFonts w:asciiTheme="minorHAnsi" w:eastAsiaTheme="minorEastAsia" w:hAnsiTheme="minorHAnsi" w:cstheme="minorBidi"/>
          <w:szCs w:val="22"/>
        </w:rPr>
      </w:pPr>
      <w:r>
        <w:t>26K.</w:t>
      </w:r>
      <w:r>
        <w:tab/>
        <w:t>Certificate evidence (s. 94B(8)(i))</w:t>
      </w:r>
      <w:r>
        <w:tab/>
      </w:r>
      <w:r>
        <w:fldChar w:fldCharType="begin"/>
      </w:r>
      <w:r>
        <w:instrText xml:space="preserve"> PAGEREF _Toc175215049 \h </w:instrText>
      </w:r>
      <w:r>
        <w:fldChar w:fldCharType="separate"/>
      </w:r>
      <w:r>
        <w:t>25</w:t>
      </w:r>
      <w:r>
        <w:fldChar w:fldCharType="end"/>
      </w:r>
    </w:p>
    <w:p>
      <w:pPr>
        <w:pStyle w:val="TOC8"/>
        <w:rPr>
          <w:rFonts w:asciiTheme="minorHAnsi" w:eastAsiaTheme="minorEastAsia" w:hAnsiTheme="minorHAnsi" w:cstheme="minorBidi"/>
          <w:szCs w:val="22"/>
        </w:rPr>
      </w:pPr>
      <w:r>
        <w:t>26.</w:t>
      </w:r>
      <w:r>
        <w:tab/>
        <w:t>Forms</w:t>
      </w:r>
      <w:r>
        <w:tab/>
      </w:r>
      <w:r>
        <w:fldChar w:fldCharType="begin"/>
      </w:r>
      <w:r>
        <w:instrText xml:space="preserve"> PAGEREF _Toc175215050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Summons: Application for order</w:t>
      </w:r>
      <w:r>
        <w:tab/>
      </w:r>
      <w:r>
        <w:fldChar w:fldCharType="begin"/>
      </w:r>
      <w:r>
        <w:instrText xml:space="preserve"> PAGEREF _Toc175215052 \h </w:instrText>
      </w:r>
      <w:r>
        <w:fldChar w:fldCharType="separate"/>
      </w:r>
      <w:r>
        <w:t>27</w:t>
      </w:r>
      <w:r>
        <w:fldChar w:fldCharType="end"/>
      </w:r>
    </w:p>
    <w:p>
      <w:pPr>
        <w:pStyle w:val="TOC8"/>
        <w:rPr>
          <w:rFonts w:asciiTheme="minorHAnsi" w:eastAsiaTheme="minorEastAsia" w:hAnsiTheme="minorHAnsi" w:cstheme="minorBidi"/>
          <w:szCs w:val="22"/>
        </w:rPr>
      </w:pPr>
      <w:r>
        <w:t>2.</w:t>
      </w:r>
      <w:r>
        <w:tab/>
        <w:t>Summons: Further hearing after interim order</w:t>
      </w:r>
      <w:r>
        <w:tab/>
      </w:r>
      <w:r>
        <w:fldChar w:fldCharType="begin"/>
      </w:r>
      <w:r>
        <w:instrText xml:space="preserve"> PAGEREF _Toc175215053 \h </w:instrText>
      </w:r>
      <w:r>
        <w:fldChar w:fldCharType="separate"/>
      </w:r>
      <w:r>
        <w:t>29</w:t>
      </w:r>
      <w:r>
        <w:fldChar w:fldCharType="end"/>
      </w:r>
    </w:p>
    <w:p>
      <w:pPr>
        <w:pStyle w:val="TOC8"/>
        <w:rPr>
          <w:rFonts w:asciiTheme="minorHAnsi" w:eastAsiaTheme="minorEastAsia" w:hAnsiTheme="minorHAnsi" w:cstheme="minorBidi"/>
          <w:szCs w:val="22"/>
        </w:rPr>
      </w:pPr>
      <w:r>
        <w:t>3.</w:t>
      </w:r>
      <w:r>
        <w:tab/>
        <w:t>Summons: Application to vary or revoke child protection order</w:t>
      </w:r>
      <w:r>
        <w:tab/>
      </w:r>
      <w:r>
        <w:fldChar w:fldCharType="begin"/>
      </w:r>
      <w:r>
        <w:instrText xml:space="preserve"> PAGEREF _Toc175215054 \h </w:instrText>
      </w:r>
      <w:r>
        <w:fldChar w:fldCharType="separate"/>
      </w:r>
      <w:r>
        <w:t>31</w:t>
      </w:r>
      <w:r>
        <w:fldChar w:fldCharType="end"/>
      </w:r>
    </w:p>
    <w:p>
      <w:pPr>
        <w:pStyle w:val="TOC8"/>
        <w:rPr>
          <w:rFonts w:asciiTheme="minorHAnsi" w:eastAsiaTheme="minorEastAsia" w:hAnsiTheme="minorHAnsi" w:cstheme="minorBidi"/>
          <w:szCs w:val="22"/>
        </w:rPr>
      </w:pPr>
      <w:r>
        <w:t>5.</w:t>
      </w:r>
      <w:r>
        <w:tab/>
        <w:t>Request to take sample of blood or urine (r. 26F(2))</w:t>
      </w:r>
      <w:r>
        <w:tab/>
      </w:r>
      <w:r>
        <w:fldChar w:fldCharType="begin"/>
      </w:r>
      <w:r>
        <w:instrText xml:space="preserve"> PAGEREF _Toc175215055 \h </w:instrText>
      </w:r>
      <w:r>
        <w:fldChar w:fldCharType="separate"/>
      </w:r>
      <w:r>
        <w:t>33</w:t>
      </w:r>
      <w:r>
        <w:fldChar w:fldCharType="end"/>
      </w:r>
    </w:p>
    <w:p>
      <w:pPr>
        <w:pStyle w:val="TOC8"/>
        <w:rPr>
          <w:rFonts w:asciiTheme="minorHAnsi" w:eastAsiaTheme="minorEastAsia" w:hAnsiTheme="minorHAnsi" w:cstheme="minorBidi"/>
          <w:szCs w:val="22"/>
        </w:rPr>
      </w:pPr>
      <w:r>
        <w:lastRenderedPageBreak/>
        <w:t>6.</w:t>
      </w:r>
      <w:r>
        <w:tab/>
        <w:t>Certificate of authorised sample collector (r. 26G(5))</w:t>
      </w:r>
      <w:r>
        <w:tab/>
      </w:r>
      <w:r>
        <w:fldChar w:fldCharType="begin"/>
      </w:r>
      <w:r>
        <w:instrText xml:space="preserve"> PAGEREF _Toc175215056 \h </w:instrText>
      </w:r>
      <w:r>
        <w:fldChar w:fldCharType="separate"/>
      </w:r>
      <w:r>
        <w:t>35</w:t>
      </w:r>
      <w:r>
        <w:fldChar w:fldCharType="end"/>
      </w:r>
    </w:p>
    <w:p>
      <w:pPr>
        <w:pStyle w:val="TOC8"/>
        <w:rPr>
          <w:rFonts w:asciiTheme="minorHAnsi" w:eastAsiaTheme="minorEastAsia" w:hAnsiTheme="minorHAnsi" w:cstheme="minorBidi"/>
          <w:szCs w:val="22"/>
        </w:rPr>
      </w:pPr>
      <w:r>
        <w:t>7.</w:t>
      </w:r>
      <w:r>
        <w:tab/>
        <w:t>Certificate of analyst (r. 26I(3))</w:t>
      </w:r>
      <w:r>
        <w:tab/>
      </w:r>
      <w:r>
        <w:fldChar w:fldCharType="begin"/>
      </w:r>
      <w:r>
        <w:instrText xml:space="preserve"> PAGEREF _Toc175215057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_Toc175215059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Community Protection (Offender Reporting) Act 2004</w:t>
      </w:r>
    </w:p>
    <w:p>
      <w:pPr>
        <w:pStyle w:val="NameofActReg"/>
      </w:pPr>
      <w:r>
        <w:t>Community Protection (Offender Reporting) Regulations 2004</w:t>
      </w:r>
    </w:p>
    <w:p>
      <w:pPr>
        <w:pStyle w:val="Heading5"/>
        <w:spacing w:before="240"/>
      </w:pPr>
      <w:bookmarkStart w:id="2" w:name="_Toc175215013"/>
      <w:r>
        <w:rPr>
          <w:rStyle w:val="CharSectno"/>
        </w:rPr>
        <w:t>1</w:t>
      </w:r>
      <w:r>
        <w:t>.</w:t>
      </w:r>
      <w:r>
        <w:tab/>
        <w:t>Citation</w:t>
      </w:r>
      <w:bookmarkEnd w:id="2"/>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3" w:name="_Toc175215014"/>
      <w:r>
        <w:rPr>
          <w:rStyle w:val="CharSectno"/>
        </w:rPr>
        <w:t>2</w:t>
      </w:r>
      <w:r>
        <w:rPr>
          <w:spacing w:val="-2"/>
        </w:rPr>
        <w:t>.</w:t>
      </w:r>
      <w:r>
        <w:rPr>
          <w:spacing w:val="-2"/>
        </w:rPr>
        <w:tab/>
        <w:t>Commencement</w:t>
      </w:r>
      <w:bookmarkEnd w:id="3"/>
    </w:p>
    <w:p>
      <w:pPr>
        <w:pStyle w:val="Subsection"/>
      </w:pPr>
      <w:r>
        <w:tab/>
      </w:r>
      <w:r>
        <w:tab/>
        <w:t>These regulations come into operation on 1 February 2005.</w:t>
      </w:r>
    </w:p>
    <w:p>
      <w:pPr>
        <w:pStyle w:val="Heading5"/>
        <w:spacing w:before="240"/>
      </w:pPr>
      <w:bookmarkStart w:id="4" w:name="_Toc175215015"/>
      <w:r>
        <w:rPr>
          <w:rStyle w:val="CharSectno"/>
        </w:rPr>
        <w:t>3</w:t>
      </w:r>
      <w:r>
        <w:t>.</w:t>
      </w:r>
      <w:r>
        <w:tab/>
        <w:t>Terms used</w:t>
      </w:r>
      <w:bookmarkEnd w:id="4"/>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lastRenderedPageBreak/>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Gazette 1 Jun 2007 p. 2525</w:t>
      </w:r>
      <w:r>
        <w:noBreakHyphen/>
        <w:t>6; amended: Gazette 8 Nov 2013 p.</w:t>
      </w:r>
      <w:r>
        <w:rPr>
          <w:sz w:val="19"/>
        </w:rPr>
        <w:t> </w:t>
      </w:r>
      <w:r>
        <w:t>4995-7; 13 Nov 2018 p. 4433; SL 2021/57 r. 4.]</w:t>
      </w:r>
    </w:p>
    <w:p>
      <w:pPr>
        <w:pStyle w:val="Heading5"/>
      </w:pPr>
      <w:bookmarkStart w:id="5" w:name="_Toc175215016"/>
      <w:r>
        <w:rPr>
          <w:rStyle w:val="CharSectno"/>
        </w:rPr>
        <w:lastRenderedPageBreak/>
        <w:t>4</w:t>
      </w:r>
      <w:r>
        <w:t>.</w:t>
      </w:r>
      <w:r>
        <w:tab/>
        <w:t>Authorised persons (s. 3)</w:t>
      </w:r>
      <w:bookmarkEnd w:id="5"/>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6" w:name="_Toc175215017"/>
      <w:r>
        <w:rPr>
          <w:rStyle w:val="CharSectno"/>
        </w:rPr>
        <w:t>5</w:t>
      </w:r>
      <w:r>
        <w:t>.</w:t>
      </w:r>
      <w:r>
        <w:tab/>
        <w:t>Corresponding Acts (s. 3)</w:t>
      </w:r>
      <w:bookmarkEnd w:id="6"/>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pPr>
      <w:r>
        <w:tab/>
        <w:t>(c)</w:t>
      </w:r>
      <w:r>
        <w:tab/>
        <w:t xml:space="preserve">the </w:t>
      </w:r>
      <w:r>
        <w:rPr>
          <w:i/>
        </w:rPr>
        <w:t xml:space="preserve">Child Protection (Offender Reporting and Offender Prohibition Order) Act 2004 </w:t>
      </w:r>
      <w:r>
        <w:t>(Queensland);</w:t>
      </w:r>
    </w:p>
    <w:p>
      <w:pPr>
        <w:pStyle w:val="Indenta"/>
        <w:spacing w:before="60"/>
      </w:pPr>
      <w:r>
        <w:tab/>
        <w:t>(d)</w:t>
      </w:r>
      <w:r>
        <w:tab/>
        <w:t xml:space="preserve">the </w:t>
      </w:r>
      <w:r>
        <w:rPr>
          <w:i/>
          <w:iCs/>
        </w:rPr>
        <w:t xml:space="preserve">Child Protection (Offender Reporting and Registration) Act 2004 </w:t>
      </w:r>
      <w:r>
        <w:t>of the Northern Territory;</w:t>
      </w:r>
    </w:p>
    <w:p>
      <w:pPr>
        <w:pStyle w:val="Indenta"/>
        <w:spacing w:before="60"/>
      </w:pPr>
      <w:r>
        <w:tab/>
        <w:t>(e)</w:t>
      </w:r>
      <w:r>
        <w:tab/>
        <w:t xml:space="preserve">the </w:t>
      </w:r>
      <w:r>
        <w:rPr>
          <w:i/>
          <w:iCs/>
        </w:rPr>
        <w:t>Crimes (Child Sex Offenders) Act 2005</w:t>
      </w:r>
      <w:r>
        <w:t xml:space="preserve"> of the Australian Capital Territory;</w:t>
      </w:r>
    </w:p>
    <w:p>
      <w:pPr>
        <w:pStyle w:val="Indenta"/>
        <w:spacing w:before="60"/>
      </w:pPr>
      <w:r>
        <w:tab/>
        <w:t>(f)</w:t>
      </w:r>
      <w:r>
        <w:tab/>
        <w:t xml:space="preserve">the </w:t>
      </w:r>
      <w:r>
        <w:rPr>
          <w:i/>
          <w:iCs/>
        </w:rPr>
        <w:t>Community Protection (Offender Reporting) Act 2005</w:t>
      </w:r>
      <w:r>
        <w:t xml:space="preserve"> of Tasmania;</w:t>
      </w:r>
    </w:p>
    <w:p>
      <w:pPr>
        <w:pStyle w:val="Indenta"/>
        <w:spacing w:before="60"/>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p>
    <w:p>
      <w:pPr>
        <w:pStyle w:val="Indenta"/>
      </w:pPr>
      <w:r>
        <w:tab/>
        <w:t>(j)</w:t>
      </w:r>
      <w:r>
        <w:tab/>
        <w:t xml:space="preserve">the </w:t>
      </w:r>
      <w:r>
        <w:rPr>
          <w:i/>
        </w:rPr>
        <w:t>Child Protection (Child Sex Offender Government Agency Registration) Act 2016</w:t>
      </w:r>
      <w:r>
        <w:t xml:space="preserve"> (New Zealand).</w:t>
      </w:r>
    </w:p>
    <w:p>
      <w:pPr>
        <w:pStyle w:val="Footnotesection"/>
      </w:pPr>
      <w:r>
        <w:lastRenderedPageBreak/>
        <w:tab/>
        <w:t>[Regulation 5 amended: Gazette 8 Sep 2006 p. 3641; 22 Jun 2007 p. 2862; 28 Mar 2008 p. 914; 25 Nov 2008 p. 4990; 20 Feb 2009 p. 354; SL 2021/192 r. 4.]</w:t>
      </w:r>
    </w:p>
    <w:p>
      <w:pPr>
        <w:pStyle w:val="Heading5"/>
      </w:pPr>
      <w:bookmarkStart w:id="7" w:name="_Toc175215018"/>
      <w:r>
        <w:rPr>
          <w:rStyle w:val="CharSectno"/>
        </w:rPr>
        <w:t>6</w:t>
      </w:r>
      <w:r>
        <w:t>.</w:t>
      </w:r>
      <w:r>
        <w:tab/>
        <w:t>Corresponding offender reporting orders (s. 3)</w:t>
      </w:r>
      <w:bookmarkEnd w:id="7"/>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rPr>
        <w:t xml:space="preserve">Child Protection (Offender Reporting and Offender Prohibition Order) Act 2004 </w:t>
      </w:r>
      <w:r>
        <w:t>(Queensland) section 13;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Indenta"/>
      </w:pPr>
      <w:r>
        <w:tab/>
        <w:t>(h)</w:t>
      </w:r>
      <w:r>
        <w:tab/>
        <w:t xml:space="preserve">a registration order made under the </w:t>
      </w:r>
      <w:r>
        <w:rPr>
          <w:i/>
        </w:rPr>
        <w:t>Child Protection (Child Sex Offender Government Agency Registration) Act 2016</w:t>
      </w:r>
      <w:r>
        <w:t xml:space="preserve"> (New Zealand) section 9.</w:t>
      </w:r>
    </w:p>
    <w:p>
      <w:pPr>
        <w:pStyle w:val="Footnotesection"/>
      </w:pPr>
      <w:r>
        <w:tab/>
        <w:t>[Regulation 6 amended: Gazette 8 Sep 2006 p. 3642; 22 Jun 2007 p. 2862; 28 Mar 2008 p. 914; SL 2021/192 r. 5.]</w:t>
      </w:r>
    </w:p>
    <w:p>
      <w:pPr>
        <w:pStyle w:val="Heading5"/>
      </w:pPr>
      <w:bookmarkStart w:id="8" w:name="_Toc174616426"/>
      <w:bookmarkStart w:id="9" w:name="_Toc175043469"/>
      <w:bookmarkStart w:id="10" w:name="_Toc175215019"/>
      <w:r>
        <w:rPr>
          <w:rStyle w:val="CharSectno"/>
        </w:rPr>
        <w:lastRenderedPageBreak/>
        <w:t>6A</w:t>
      </w:r>
      <w:r>
        <w:t>.</w:t>
      </w:r>
      <w:r>
        <w:tab/>
        <w:t>Sentences (s. 3)</w:t>
      </w:r>
      <w:bookmarkEnd w:id="8"/>
      <w:bookmarkEnd w:id="9"/>
      <w:bookmarkEnd w:id="10"/>
    </w:p>
    <w:p>
      <w:pPr>
        <w:pStyle w:val="Subsection"/>
        <w:rPr>
          <w:rStyle w:val="DraftersNotes"/>
          <w:b w:val="0"/>
          <w:i w:val="0"/>
        </w:rPr>
      </w:pPr>
      <w:r>
        <w:tab/>
      </w:r>
      <w:r>
        <w:tab/>
        <w:t xml:space="preserve">Each of the following is a sentence for the purposes of the definition of that term in section 3 of the Act — </w:t>
      </w:r>
    </w:p>
    <w:p>
      <w:pPr>
        <w:pStyle w:val="Indenta"/>
      </w:pPr>
      <w:r>
        <w:tab/>
        <w:t>(a)</w:t>
      </w:r>
      <w:r>
        <w:tab/>
        <w:t>a pre</w:t>
      </w:r>
      <w:r>
        <w:noBreakHyphen/>
        <w:t xml:space="preserve">sentence order under the </w:t>
      </w:r>
      <w:r>
        <w:rPr>
          <w:i/>
          <w:iCs/>
        </w:rPr>
        <w:t xml:space="preserve">Sentencing Act 1995 </w:t>
      </w:r>
      <w:r>
        <w:t>Part 3A in force on or after 1 June 2007;</w:t>
      </w:r>
    </w:p>
    <w:p>
      <w:pPr>
        <w:pStyle w:val="Indenta"/>
      </w:pPr>
      <w:r>
        <w:tab/>
        <w:t>(b)</w:t>
      </w:r>
      <w:r>
        <w:tab/>
        <w:t xml:space="preserve">a community supervision order or an interim or extended community supervision order under the </w:t>
      </w:r>
      <w:r>
        <w:rPr>
          <w:i/>
          <w:iCs/>
        </w:rPr>
        <w:t>Criminal Law (Mental Impairment) Act 2023</w:t>
      </w:r>
      <w:r>
        <w:t>, or an interim disposition under section 205(1)(b) of that Act.</w:t>
      </w:r>
    </w:p>
    <w:p>
      <w:pPr>
        <w:pStyle w:val="Footnotesection"/>
      </w:pPr>
      <w:r>
        <w:tab/>
        <w:t>[Regulation 6A inserted: SL 2024/172 r. 4.]</w:t>
      </w:r>
    </w:p>
    <w:p>
      <w:pPr>
        <w:pStyle w:val="Heading5"/>
      </w:pPr>
      <w:bookmarkStart w:id="11" w:name="_Toc175215020"/>
      <w:r>
        <w:rPr>
          <w:rStyle w:val="CharSectno"/>
        </w:rPr>
        <w:t>7</w:t>
      </w:r>
      <w:r>
        <w:t>.</w:t>
      </w:r>
      <w:r>
        <w:tab/>
        <w:t>Supervising authorities (s. 3)</w:t>
      </w:r>
      <w:bookmarkEnd w:id="11"/>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a detainee under the CLMI Act unless the offender — </w:t>
      </w:r>
    </w:p>
    <w:p>
      <w:pPr>
        <w:pStyle w:val="Indenta"/>
      </w:pPr>
      <w:r>
        <w:tab/>
        <w:t>(a)</w:t>
      </w:r>
      <w:r>
        <w:tab/>
        <w:t>is detained in a prison or detention centre; or</w:t>
      </w:r>
    </w:p>
    <w:p>
      <w:pPr>
        <w:pStyle w:val="Indenta"/>
      </w:pPr>
      <w:r>
        <w:tab/>
        <w:t>(ba)</w:t>
      </w:r>
      <w:r>
        <w:tab/>
        <w:t xml:space="preserve">is a resident as defined in the </w:t>
      </w:r>
      <w:r>
        <w:rPr>
          <w:i/>
          <w:iCs/>
        </w:rPr>
        <w:t>Declared Places (Mental Impairment) Act 2015</w:t>
      </w:r>
      <w:r>
        <w:t xml:space="preserve"> section 3; or</w:t>
      </w:r>
    </w:p>
    <w:p>
      <w:pPr>
        <w:pStyle w:val="Indenta"/>
      </w:pPr>
      <w:r>
        <w:lastRenderedPageBreak/>
        <w:tab/>
        <w:t>(b)</w:t>
      </w:r>
      <w:r>
        <w:tab/>
        <w:t>as a condition of being released under a leave of absence order, is subject to supervision by an officer of the Department of Corrective Services.</w:t>
      </w:r>
    </w:p>
    <w:p>
      <w:pPr>
        <w:pStyle w:val="Subsection"/>
        <w:keepNext/>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tab/>
      </w:r>
      <w:r>
        <w:rPr>
          <w:rStyle w:val="CharDefText"/>
        </w:rPr>
        <w:t>leave of absence order</w:t>
      </w:r>
      <w:r>
        <w:t xml:space="preserve"> has the meaning given in the </w:t>
      </w:r>
      <w:r>
        <w:rPr>
          <w:i/>
          <w:iCs/>
        </w:rPr>
        <w:t>Criminal Law (Mental Impairment) Act 2023</w:t>
      </w:r>
      <w:r>
        <w:t xml:space="preserve"> section 77(1);</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iCs/>
        </w:rPr>
        <w:t>Declared Places (Mental Impairment) Act 2015</w:t>
      </w:r>
      <w:r>
        <w:t xml:space="preserve"> section 3.</w:t>
      </w:r>
    </w:p>
    <w:p>
      <w:pPr>
        <w:pStyle w:val="Footnotesection"/>
      </w:pPr>
      <w:r>
        <w:tab/>
        <w:t>[Regulation 7 amended: Gazette 1 Jun 2007 p. 2528; 16 Jun 2015 p. 2077</w:t>
      </w:r>
      <w:r>
        <w:noBreakHyphen/>
        <w:t>8; 10 Jan 2017 p. 222; SL 2024/172 r. 5.]</w:t>
      </w:r>
    </w:p>
    <w:p>
      <w:pPr>
        <w:pStyle w:val="Heading5"/>
      </w:pPr>
      <w:bookmarkStart w:id="12" w:name="_Toc175215021"/>
      <w:r>
        <w:rPr>
          <w:rStyle w:val="CharSectno"/>
        </w:rPr>
        <w:t>8</w:t>
      </w:r>
      <w:r>
        <w:t>.</w:t>
      </w:r>
      <w:r>
        <w:tab/>
        <w:t>Offences — relevance if committed by child (s. 6)</w:t>
      </w:r>
      <w:bookmarkEnd w:id="12"/>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lastRenderedPageBreak/>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Gazette 1 Jul 2011 p. 2746</w:t>
      </w:r>
      <w:r>
        <w:noBreakHyphen/>
        <w:t>7.]</w:t>
      </w:r>
    </w:p>
    <w:p>
      <w:pPr>
        <w:pStyle w:val="Heading5"/>
      </w:pPr>
      <w:bookmarkStart w:id="13" w:name="_Toc175215022"/>
      <w:r>
        <w:rPr>
          <w:rStyle w:val="CharSectno"/>
        </w:rPr>
        <w:t>9</w:t>
      </w:r>
      <w:r>
        <w:t>.</w:t>
      </w:r>
      <w:r>
        <w:tab/>
        <w:t>Foreign witness protection laws (s. 6 and 75)</w:t>
      </w:r>
      <w:bookmarkEnd w:id="13"/>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14" w:name="_Toc175215023"/>
      <w:r>
        <w:rPr>
          <w:rStyle w:val="CharSectno"/>
        </w:rPr>
        <w:t>10</w:t>
      </w:r>
      <w:r>
        <w:t>.</w:t>
      </w:r>
      <w:r>
        <w:tab/>
        <w:t>Specified date for determining New South Wales reportable offenders (s. 8)</w:t>
      </w:r>
      <w:bookmarkEnd w:id="14"/>
    </w:p>
    <w:p>
      <w:pPr>
        <w:pStyle w:val="Subsection"/>
      </w:pPr>
      <w:r>
        <w:tab/>
      </w:r>
      <w:r>
        <w:tab/>
        <w:t>For the purposes of section 8 of the Act, 1 February 2005 is specified.</w:t>
      </w:r>
    </w:p>
    <w:p>
      <w:pPr>
        <w:pStyle w:val="Heading5"/>
      </w:pPr>
      <w:bookmarkStart w:id="15" w:name="_Toc175215024"/>
      <w:r>
        <w:rPr>
          <w:rStyle w:val="CharSectno"/>
        </w:rPr>
        <w:t>11A</w:t>
      </w:r>
      <w:r>
        <w:t>.</w:t>
      </w:r>
      <w:r>
        <w:tab/>
        <w:t>Class 1 offences (s. 10)</w:t>
      </w:r>
      <w:bookmarkEnd w:id="15"/>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lastRenderedPageBreak/>
        <w:t>Table</w:t>
      </w:r>
    </w:p>
    <w:tbl>
      <w:tblPr>
        <w:tblW w:w="0" w:type="auto"/>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1843"/>
      </w:tblGrid>
      <w:tr>
        <w:tc>
          <w:tcPr>
            <w:tcW w:w="1842" w:type="dxa"/>
          </w:tcPr>
          <w:p>
            <w:pPr>
              <w:pStyle w:val="TableNAm"/>
            </w:pPr>
            <w:r>
              <w:t>s. 272.8</w:t>
            </w:r>
          </w:p>
        </w:tc>
        <w:tc>
          <w:tcPr>
            <w:tcW w:w="1843" w:type="dxa"/>
          </w:tcPr>
          <w:p>
            <w:pPr>
              <w:pStyle w:val="TableNAm"/>
            </w:pPr>
            <w:r>
              <w:t>s. 272.10</w:t>
            </w:r>
          </w:p>
        </w:tc>
      </w:tr>
      <w:tr>
        <w:tc>
          <w:tcPr>
            <w:tcW w:w="1842" w:type="dxa"/>
          </w:tcPr>
          <w:p>
            <w:pPr>
              <w:pStyle w:val="TableNAm"/>
            </w:pPr>
            <w:r>
              <w:t>s. 272.11</w:t>
            </w:r>
          </w:p>
        </w:tc>
        <w:tc>
          <w:tcPr>
            <w:tcW w:w="1843" w:type="dxa"/>
          </w:tcPr>
          <w:p>
            <w:pPr>
              <w:pStyle w:val="TableNAm"/>
            </w:pPr>
            <w:r>
              <w:t>s. 272.12</w:t>
            </w:r>
          </w:p>
        </w:tc>
      </w:tr>
    </w:tbl>
    <w:p>
      <w:pPr>
        <w:pStyle w:val="Footnotesection"/>
      </w:pPr>
      <w:r>
        <w:tab/>
        <w:t>[Regulation 11A inserted: Gazette 21 Jan 2011 p. 158; amended: SL 2021/125 r. 4.]</w:t>
      </w:r>
    </w:p>
    <w:p>
      <w:pPr>
        <w:pStyle w:val="Heading5"/>
      </w:pPr>
      <w:bookmarkStart w:id="16" w:name="_Toc175215025"/>
      <w:r>
        <w:rPr>
          <w:rStyle w:val="CharSectno"/>
        </w:rPr>
        <w:t>11</w:t>
      </w:r>
      <w:r>
        <w:t>.</w:t>
      </w:r>
      <w:r>
        <w:tab/>
        <w:t>Class 2 offences (s. 11)</w:t>
      </w:r>
      <w:bookmarkEnd w:id="16"/>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rPr>
          <w:cantSplit/>
        </w:trPr>
        <w:tc>
          <w:tcPr>
            <w:tcW w:w="1795" w:type="dxa"/>
            <w:noWrap/>
          </w:tcPr>
          <w:p>
            <w:pPr>
              <w:pStyle w:val="TableNAm"/>
            </w:pPr>
            <w:r>
              <w:t>s. 271.4</w:t>
            </w:r>
          </w:p>
        </w:tc>
        <w:tc>
          <w:tcPr>
            <w:tcW w:w="1795" w:type="dxa"/>
            <w:noWrap/>
          </w:tcPr>
          <w:p>
            <w:pPr>
              <w:pStyle w:val="TableNAm"/>
            </w:pPr>
            <w:r>
              <w:t>s. 271.7</w:t>
            </w:r>
          </w:p>
        </w:tc>
        <w:tc>
          <w:tcPr>
            <w:tcW w:w="1796" w:type="dxa"/>
            <w:noWrap/>
          </w:tcPr>
          <w:p>
            <w:pPr>
              <w:pStyle w:val="TableNAm"/>
            </w:pPr>
            <w:r>
              <w:t>s. 272.9</w:t>
            </w:r>
          </w:p>
        </w:tc>
      </w:tr>
      <w:tr>
        <w:trPr>
          <w:cantSplit/>
        </w:trPr>
        <w:tc>
          <w:tcPr>
            <w:tcW w:w="1795" w:type="dxa"/>
            <w:noWrap/>
          </w:tcPr>
          <w:p>
            <w:pPr>
              <w:pStyle w:val="TableNAm"/>
            </w:pPr>
            <w:r>
              <w:t>s. 272.13</w:t>
            </w:r>
          </w:p>
        </w:tc>
        <w:tc>
          <w:tcPr>
            <w:tcW w:w="1795" w:type="dxa"/>
            <w:noWrap/>
          </w:tcPr>
          <w:p>
            <w:pPr>
              <w:pStyle w:val="TableNAm"/>
            </w:pPr>
            <w:r>
              <w:t>s. 272.14</w:t>
            </w:r>
          </w:p>
        </w:tc>
        <w:tc>
          <w:tcPr>
            <w:tcW w:w="1796" w:type="dxa"/>
            <w:noWrap/>
          </w:tcPr>
          <w:p>
            <w:pPr>
              <w:pStyle w:val="TableNAm"/>
            </w:pPr>
            <w:r>
              <w:t>s. 272.15</w:t>
            </w:r>
          </w:p>
        </w:tc>
      </w:tr>
      <w:tr>
        <w:trPr>
          <w:cantSplit/>
        </w:trPr>
        <w:tc>
          <w:tcPr>
            <w:tcW w:w="1795" w:type="dxa"/>
            <w:noWrap/>
          </w:tcPr>
          <w:p>
            <w:pPr>
              <w:pStyle w:val="TableNAm"/>
            </w:pPr>
            <w:r>
              <w:t>s. 272.15A</w:t>
            </w:r>
          </w:p>
        </w:tc>
        <w:tc>
          <w:tcPr>
            <w:tcW w:w="1795" w:type="dxa"/>
            <w:noWrap/>
          </w:tcPr>
          <w:p>
            <w:pPr>
              <w:pStyle w:val="TableNAm"/>
            </w:pPr>
            <w:r>
              <w:t>s. 272.18</w:t>
            </w:r>
          </w:p>
        </w:tc>
        <w:tc>
          <w:tcPr>
            <w:tcW w:w="1796" w:type="dxa"/>
            <w:noWrap/>
          </w:tcPr>
          <w:p>
            <w:pPr>
              <w:pStyle w:val="TableNAm"/>
            </w:pPr>
            <w:r>
              <w:t>s. 272.19</w:t>
            </w:r>
          </w:p>
        </w:tc>
      </w:tr>
      <w:tr>
        <w:trPr>
          <w:cantSplit/>
        </w:trPr>
        <w:tc>
          <w:tcPr>
            <w:tcW w:w="1795" w:type="dxa"/>
            <w:noWrap/>
          </w:tcPr>
          <w:p>
            <w:pPr>
              <w:pStyle w:val="TableNAm"/>
            </w:pPr>
            <w:r>
              <w:t>s. 272.20</w:t>
            </w:r>
          </w:p>
        </w:tc>
        <w:tc>
          <w:tcPr>
            <w:tcW w:w="1795" w:type="dxa"/>
            <w:noWrap/>
          </w:tcPr>
          <w:p>
            <w:pPr>
              <w:pStyle w:val="TableNAm"/>
            </w:pPr>
            <w:r>
              <w:t>s. 273.5</w:t>
            </w:r>
          </w:p>
        </w:tc>
        <w:tc>
          <w:tcPr>
            <w:tcW w:w="1796" w:type="dxa"/>
            <w:noWrap/>
          </w:tcPr>
          <w:p>
            <w:pPr>
              <w:pStyle w:val="TableNAm"/>
            </w:pPr>
            <w:r>
              <w:t>s. 273.6</w:t>
            </w:r>
          </w:p>
        </w:tc>
      </w:tr>
      <w:tr>
        <w:trPr>
          <w:cantSplit/>
        </w:trPr>
        <w:tc>
          <w:tcPr>
            <w:tcW w:w="1795" w:type="dxa"/>
            <w:noWrap/>
          </w:tcPr>
          <w:p>
            <w:pPr>
              <w:pStyle w:val="TableNAm"/>
            </w:pPr>
            <w:r>
              <w:t>s. 273.7</w:t>
            </w:r>
          </w:p>
        </w:tc>
        <w:tc>
          <w:tcPr>
            <w:tcW w:w="1795" w:type="dxa"/>
            <w:noWrap/>
          </w:tcPr>
          <w:p>
            <w:pPr>
              <w:pStyle w:val="TableNAm"/>
            </w:pPr>
            <w:r>
              <w:t>s. 273A.1</w:t>
            </w:r>
          </w:p>
        </w:tc>
        <w:tc>
          <w:tcPr>
            <w:tcW w:w="1796" w:type="dxa"/>
            <w:noWrap/>
          </w:tcPr>
          <w:p>
            <w:pPr>
              <w:pStyle w:val="TableNAm"/>
            </w:pPr>
            <w:r>
              <w:t>s. 471.16</w:t>
            </w:r>
          </w:p>
        </w:tc>
      </w:tr>
      <w:tr>
        <w:trPr>
          <w:cantSplit/>
        </w:trPr>
        <w:tc>
          <w:tcPr>
            <w:tcW w:w="1795" w:type="dxa"/>
            <w:noWrap/>
          </w:tcPr>
          <w:p>
            <w:pPr>
              <w:pStyle w:val="TableNAm"/>
            </w:pPr>
            <w:r>
              <w:t>s. 471.17</w:t>
            </w:r>
          </w:p>
        </w:tc>
        <w:tc>
          <w:tcPr>
            <w:tcW w:w="1795" w:type="dxa"/>
            <w:noWrap/>
          </w:tcPr>
          <w:p>
            <w:pPr>
              <w:pStyle w:val="TableNAm"/>
            </w:pPr>
            <w:r>
              <w:t>s. 471.19</w:t>
            </w:r>
          </w:p>
        </w:tc>
        <w:tc>
          <w:tcPr>
            <w:tcW w:w="1796" w:type="dxa"/>
            <w:noWrap/>
          </w:tcPr>
          <w:p>
            <w:pPr>
              <w:pStyle w:val="TableNAm"/>
            </w:pPr>
            <w:r>
              <w:t>s. 471.20</w:t>
            </w:r>
          </w:p>
        </w:tc>
      </w:tr>
      <w:tr>
        <w:trPr>
          <w:cantSplit/>
        </w:trPr>
        <w:tc>
          <w:tcPr>
            <w:tcW w:w="1795" w:type="dxa"/>
            <w:noWrap/>
          </w:tcPr>
          <w:p>
            <w:pPr>
              <w:pStyle w:val="TableNAm"/>
            </w:pPr>
            <w:r>
              <w:t>s. 471.22</w:t>
            </w:r>
          </w:p>
        </w:tc>
        <w:tc>
          <w:tcPr>
            <w:tcW w:w="1795" w:type="dxa"/>
            <w:noWrap/>
          </w:tcPr>
          <w:p>
            <w:pPr>
              <w:pStyle w:val="TableNAm"/>
            </w:pPr>
            <w:r>
              <w:t>s. 471.24</w:t>
            </w:r>
          </w:p>
        </w:tc>
        <w:tc>
          <w:tcPr>
            <w:tcW w:w="1796" w:type="dxa"/>
            <w:noWrap/>
          </w:tcPr>
          <w:p>
            <w:pPr>
              <w:pStyle w:val="TableNAm"/>
            </w:pPr>
            <w:r>
              <w:t>s. 471.25</w:t>
            </w:r>
          </w:p>
        </w:tc>
      </w:tr>
      <w:tr>
        <w:trPr>
          <w:cantSplit/>
        </w:trPr>
        <w:tc>
          <w:tcPr>
            <w:tcW w:w="1795" w:type="dxa"/>
            <w:noWrap/>
          </w:tcPr>
          <w:p>
            <w:pPr>
              <w:pStyle w:val="TableNAm"/>
            </w:pPr>
            <w:r>
              <w:t>s. 471.25A</w:t>
            </w:r>
          </w:p>
        </w:tc>
        <w:tc>
          <w:tcPr>
            <w:tcW w:w="1795" w:type="dxa"/>
            <w:noWrap/>
          </w:tcPr>
          <w:p>
            <w:pPr>
              <w:pStyle w:val="TableNAm"/>
            </w:pPr>
            <w:r>
              <w:t>s. 471.26</w:t>
            </w:r>
          </w:p>
        </w:tc>
        <w:tc>
          <w:tcPr>
            <w:tcW w:w="1796" w:type="dxa"/>
            <w:noWrap/>
          </w:tcPr>
          <w:p>
            <w:pPr>
              <w:pStyle w:val="TableNAm"/>
            </w:pPr>
            <w:r>
              <w:t>s. 474.19</w:t>
            </w:r>
          </w:p>
        </w:tc>
      </w:tr>
      <w:tr>
        <w:trPr>
          <w:cantSplit/>
        </w:trPr>
        <w:tc>
          <w:tcPr>
            <w:tcW w:w="1795" w:type="dxa"/>
            <w:noWrap/>
          </w:tcPr>
          <w:p>
            <w:pPr>
              <w:pStyle w:val="TableNAm"/>
            </w:pPr>
            <w:r>
              <w:t>s. 474.20</w:t>
            </w:r>
          </w:p>
        </w:tc>
        <w:tc>
          <w:tcPr>
            <w:tcW w:w="1795" w:type="dxa"/>
            <w:noWrap/>
          </w:tcPr>
          <w:p>
            <w:pPr>
              <w:pStyle w:val="TableNAm"/>
            </w:pPr>
            <w:r>
              <w:t>s. 474.22</w:t>
            </w:r>
          </w:p>
        </w:tc>
        <w:tc>
          <w:tcPr>
            <w:tcW w:w="1796" w:type="dxa"/>
            <w:noWrap/>
          </w:tcPr>
          <w:p>
            <w:pPr>
              <w:pStyle w:val="TableNAm"/>
            </w:pPr>
            <w:r>
              <w:t>s. 474.22A</w:t>
            </w:r>
          </w:p>
        </w:tc>
      </w:tr>
      <w:tr>
        <w:trPr>
          <w:cantSplit/>
        </w:trPr>
        <w:tc>
          <w:tcPr>
            <w:tcW w:w="1795" w:type="dxa"/>
            <w:noWrap/>
          </w:tcPr>
          <w:p>
            <w:pPr>
              <w:pStyle w:val="TableNAm"/>
            </w:pPr>
            <w:r>
              <w:t>s. 474.23</w:t>
            </w:r>
          </w:p>
        </w:tc>
        <w:tc>
          <w:tcPr>
            <w:tcW w:w="1795" w:type="dxa"/>
            <w:noWrap/>
          </w:tcPr>
          <w:p>
            <w:pPr>
              <w:pStyle w:val="TableNAm"/>
            </w:pPr>
            <w:r>
              <w:t>s. 474.23A</w:t>
            </w:r>
          </w:p>
        </w:tc>
        <w:tc>
          <w:tcPr>
            <w:tcW w:w="1796" w:type="dxa"/>
            <w:noWrap/>
          </w:tcPr>
          <w:p>
            <w:pPr>
              <w:pStyle w:val="TableNAm"/>
            </w:pPr>
            <w:r>
              <w:t>s. 474.24A</w:t>
            </w:r>
          </w:p>
        </w:tc>
      </w:tr>
      <w:tr>
        <w:trPr>
          <w:cantSplit/>
        </w:trPr>
        <w:tc>
          <w:tcPr>
            <w:tcW w:w="1795" w:type="dxa"/>
            <w:noWrap/>
          </w:tcPr>
          <w:p>
            <w:pPr>
              <w:pStyle w:val="TableNAm"/>
            </w:pPr>
            <w:r>
              <w:t>s. 474.25A</w:t>
            </w:r>
          </w:p>
        </w:tc>
        <w:tc>
          <w:tcPr>
            <w:tcW w:w="1795" w:type="dxa"/>
            <w:noWrap/>
          </w:tcPr>
          <w:p>
            <w:pPr>
              <w:pStyle w:val="TableNAm"/>
            </w:pPr>
            <w:r>
              <w:t>s. 474.25B</w:t>
            </w:r>
          </w:p>
        </w:tc>
        <w:tc>
          <w:tcPr>
            <w:tcW w:w="1796" w:type="dxa"/>
            <w:noWrap/>
          </w:tcPr>
          <w:p>
            <w:pPr>
              <w:pStyle w:val="TableNAm"/>
            </w:pPr>
            <w:r>
              <w:t>s. 474.26</w:t>
            </w:r>
          </w:p>
        </w:tc>
      </w:tr>
      <w:tr>
        <w:trPr>
          <w:cantSplit/>
        </w:trPr>
        <w:tc>
          <w:tcPr>
            <w:tcW w:w="1795" w:type="dxa"/>
            <w:noWrap/>
          </w:tcPr>
          <w:p>
            <w:pPr>
              <w:pStyle w:val="TableNAm"/>
            </w:pPr>
            <w:r>
              <w:t>s. 474.27</w:t>
            </w:r>
          </w:p>
        </w:tc>
        <w:tc>
          <w:tcPr>
            <w:tcW w:w="1795" w:type="dxa"/>
            <w:noWrap/>
          </w:tcPr>
          <w:p>
            <w:pPr>
              <w:pStyle w:val="TableNAm"/>
            </w:pPr>
            <w:r>
              <w:t>s. 474.27AA</w:t>
            </w:r>
          </w:p>
        </w:tc>
        <w:tc>
          <w:tcPr>
            <w:tcW w:w="1796" w:type="dxa"/>
            <w:noWrap/>
          </w:tcPr>
          <w:p>
            <w:pPr>
              <w:pStyle w:val="TableNAm"/>
            </w:pPr>
            <w:r>
              <w:t>s. 474.27A</w:t>
            </w:r>
          </w:p>
        </w:tc>
      </w:tr>
    </w:tbl>
    <w:p>
      <w:pPr>
        <w:pStyle w:val="Footnotesection"/>
      </w:pPr>
      <w:r>
        <w:lastRenderedPageBreak/>
        <w:tab/>
        <w:t>[Regulation 11 inserted: Gazette 21 Jan 2011 p. 158; amended: SL 2021/125 r. 5.]</w:t>
      </w:r>
    </w:p>
    <w:p>
      <w:pPr>
        <w:pStyle w:val="Heading5"/>
      </w:pPr>
      <w:bookmarkStart w:id="17" w:name="_Toc175215026"/>
      <w:r>
        <w:rPr>
          <w:rStyle w:val="CharSectno"/>
        </w:rPr>
        <w:t>12</w:t>
      </w:r>
      <w:r>
        <w:t>.</w:t>
      </w:r>
      <w:r>
        <w:tab/>
        <w:t>Means of contacting authorised person for certain persons entering Western Australia (s. 27)</w:t>
      </w:r>
      <w:bookmarkEnd w:id="17"/>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18" w:name="_Toc175215027"/>
      <w:r>
        <w:rPr>
          <w:rStyle w:val="CharSectno"/>
        </w:rPr>
        <w:t>13</w:t>
      </w:r>
      <w:r>
        <w:t>.</w:t>
      </w:r>
      <w:r>
        <w:tab/>
        <w:t>Manner of reporting change of reportable offender’s travel plans while out of Western Australia (s. 31)</w:t>
      </w:r>
      <w:bookmarkEnd w:id="18"/>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19" w:name="_Toc175215028"/>
      <w:r>
        <w:rPr>
          <w:rStyle w:val="CharSectno"/>
        </w:rPr>
        <w:t>14</w:t>
      </w:r>
      <w:r>
        <w:t>.</w:t>
      </w:r>
      <w:r>
        <w:tab/>
        <w:t>Directions as to police station or approved place at which reportable offender must report (s. 34)</w:t>
      </w:r>
      <w:bookmarkEnd w:id="19"/>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20" w:name="_Toc175215029"/>
      <w:r>
        <w:rPr>
          <w:rStyle w:val="CharSectno"/>
        </w:rPr>
        <w:t>15</w:t>
      </w:r>
      <w:r>
        <w:t>.</w:t>
      </w:r>
      <w:r>
        <w:tab/>
        <w:t>Prescribed form of identification (s. 38(2A)(a)(iv))</w:t>
      </w:r>
      <w:bookmarkEnd w:id="20"/>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Gazette 5 Aug 2014 p. 2830.]</w:t>
      </w:r>
    </w:p>
    <w:p>
      <w:pPr>
        <w:pStyle w:val="Heading5"/>
      </w:pPr>
      <w:bookmarkStart w:id="21" w:name="_Toc175215030"/>
      <w:r>
        <w:rPr>
          <w:rStyle w:val="CharSectno"/>
        </w:rPr>
        <w:lastRenderedPageBreak/>
        <w:t>16</w:t>
      </w:r>
      <w:r>
        <w:t>.</w:t>
      </w:r>
      <w:r>
        <w:tab/>
        <w:t>Prescribed distance — reporting by remote offenders (s. 43)</w:t>
      </w:r>
      <w:bookmarkEnd w:id="21"/>
    </w:p>
    <w:p>
      <w:pPr>
        <w:pStyle w:val="Subsection"/>
      </w:pPr>
      <w:r>
        <w:tab/>
      </w:r>
      <w:r>
        <w:tab/>
        <w:t>For the purposes of section 43(1) of the Act, the prescribed distance is 100 km.</w:t>
      </w:r>
    </w:p>
    <w:p>
      <w:pPr>
        <w:pStyle w:val="Heading5"/>
      </w:pPr>
      <w:bookmarkStart w:id="22" w:name="_Toc175215031"/>
      <w:r>
        <w:rPr>
          <w:rStyle w:val="CharSectno"/>
        </w:rPr>
        <w:t>17</w:t>
      </w:r>
      <w:r>
        <w:t>.</w:t>
      </w:r>
      <w:r>
        <w:tab/>
        <w:t>Offences — approval by Commissioner of suspension of reporting obligations (s. 61)</w:t>
      </w:r>
      <w:bookmarkEnd w:id="22"/>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lastRenderedPageBreak/>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Gazette 1 Jul 2011 p. 2747; 8 Nov 2013 p.</w:t>
      </w:r>
      <w:r>
        <w:rPr>
          <w:sz w:val="19"/>
        </w:rPr>
        <w:t> </w:t>
      </w:r>
      <w:r>
        <w:t>4997.]</w:t>
      </w:r>
    </w:p>
    <w:p>
      <w:pPr>
        <w:pStyle w:val="Heading5"/>
      </w:pPr>
      <w:bookmarkStart w:id="23" w:name="_Toc175215032"/>
      <w:r>
        <w:rPr>
          <w:rStyle w:val="CharSectno"/>
        </w:rPr>
        <w:t>18</w:t>
      </w:r>
      <w:r>
        <w:t>.</w:t>
      </w:r>
      <w:r>
        <w:tab/>
        <w:t>Sentences — approval by Commissioner of suspension of reporting obligations (s. 61)</w:t>
      </w:r>
      <w:bookmarkEnd w:id="23"/>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 xml:space="preserve">Part 7 Division 7 that is made </w:t>
      </w:r>
      <w:r>
        <w:lastRenderedPageBreak/>
        <w:t>without imposing on the offender a sentence of detention;</w:t>
      </w:r>
    </w:p>
    <w:p>
      <w:pPr>
        <w:pStyle w:val="Indenta"/>
      </w:pPr>
      <w:r>
        <w:tab/>
        <w:t>(i)</w:t>
      </w:r>
      <w:r>
        <w:tab/>
        <w:t xml:space="preserve">a community supervision order or an interim or extended community supervision order under the </w:t>
      </w:r>
      <w:r>
        <w:rPr>
          <w:i/>
          <w:iCs/>
        </w:rPr>
        <w:t>Criminal Law (Mental Impairment) Act 2023</w:t>
      </w:r>
      <w:r>
        <w:t>, or an interim disposition under section 205(1)(b) of that Act.</w:t>
      </w:r>
    </w:p>
    <w:p>
      <w:pPr>
        <w:pStyle w:val="Footnotesection"/>
      </w:pPr>
      <w:r>
        <w:tab/>
        <w:t>[Regulation 18 amended: Gazette 8 Nov 2013 p.</w:t>
      </w:r>
      <w:r>
        <w:rPr>
          <w:sz w:val="19"/>
        </w:rPr>
        <w:t> </w:t>
      </w:r>
      <w:r>
        <w:t>4998; SL 2024/172 r. 6.]</w:t>
      </w:r>
    </w:p>
    <w:p>
      <w:pPr>
        <w:pStyle w:val="Heading5"/>
      </w:pPr>
      <w:bookmarkStart w:id="24" w:name="_Toc175215033"/>
      <w:r>
        <w:rPr>
          <w:rStyle w:val="CharSectno"/>
        </w:rPr>
        <w:t>19</w:t>
      </w:r>
      <w:r>
        <w:t>.</w:t>
      </w:r>
      <w:r>
        <w:tab/>
        <w:t>Persons required to give notice of reporting obligations etc. to reportable offenders (s. 67)</w:t>
      </w:r>
      <w:bookmarkEnd w:id="24"/>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lastRenderedPageBreak/>
        <w:tab/>
        <w:t>(i)</w:t>
      </w:r>
      <w:r>
        <w:tab/>
        <w:t xml:space="preserve">in the case of a reportable offender who is, or was before his or her release, a resident as defined in the </w:t>
      </w:r>
      <w:r>
        <w:rPr>
          <w:i/>
          <w:iCs/>
        </w:rPr>
        <w:t>Declared Places (Mental Impairment)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r>
        <w:tab/>
        <w:t>[Regulation 19 amended: Gazette 1 Jun 2007 p. 2528; 16 Jun 2015 p. 2078; SL 2024/172 r. 7.]</w:t>
      </w:r>
    </w:p>
    <w:p>
      <w:pPr>
        <w:pStyle w:val="Heading5"/>
      </w:pPr>
      <w:bookmarkStart w:id="25" w:name="_Toc175215034"/>
      <w:r>
        <w:rPr>
          <w:rStyle w:val="CharSectno"/>
        </w:rPr>
        <w:t>20</w:t>
      </w:r>
      <w:r>
        <w:t>.</w:t>
      </w:r>
      <w:r>
        <w:tab/>
        <w:t>Details to be included in notice given by supervising authority to Commissioner (s. 70)</w:t>
      </w:r>
      <w:bookmarkEnd w:id="25"/>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26" w:name="_Toc175215035"/>
      <w:r>
        <w:rPr>
          <w:rStyle w:val="CharSectno"/>
        </w:rPr>
        <w:lastRenderedPageBreak/>
        <w:t>21</w:t>
      </w:r>
      <w:r>
        <w:t>.</w:t>
      </w:r>
      <w:r>
        <w:tab/>
        <w:t>Corresponding protection orders (s. 85)</w:t>
      </w:r>
      <w:bookmarkEnd w:id="26"/>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(Australian Capital Territory)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 prohibition order made under the </w:t>
      </w:r>
      <w:r>
        <w:rPr>
          <w:i/>
        </w:rPr>
        <w:t xml:space="preserve">Child Protection (Offender Reporting and Offender Prohibition Order) Act 2004 </w:t>
      </w:r>
      <w:r>
        <w:t>(Queensland) section 13C;</w:t>
      </w:r>
    </w:p>
    <w:p>
      <w:pPr>
        <w:pStyle w:val="Indenta"/>
      </w:pPr>
      <w:r>
        <w:tab/>
        <w:t>(ca)</w:t>
      </w:r>
      <w:r>
        <w:tab/>
        <w:t xml:space="preserve">a temporary order made under the </w:t>
      </w:r>
      <w:r>
        <w:rPr>
          <w:i/>
        </w:rPr>
        <w:t xml:space="preserve">Child Protection (Offender Reporting and Offender Prohibition Order) Act 2004 </w:t>
      </w:r>
      <w:r>
        <w:t>(Queensland) section 13J or 13K;</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rPr>
        <w:t>Summary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p>
    <w:p>
      <w:pPr>
        <w:pStyle w:val="Indenta"/>
      </w:pPr>
      <w:r>
        <w:tab/>
        <w:t>(h)</w:t>
      </w:r>
      <w:r>
        <w:tab/>
        <w:t xml:space="preserve">a community protection order made under the </w:t>
      </w:r>
      <w:r>
        <w:rPr>
          <w:i/>
        </w:rPr>
        <w:t>Community Protection (Offender Reporting) Act 2005</w:t>
      </w:r>
      <w:r>
        <w:t xml:space="preserve"> (Tasmania) section 10A;</w:t>
      </w:r>
    </w:p>
    <w:p>
      <w:pPr>
        <w:pStyle w:val="Indenta"/>
      </w:pPr>
      <w:r>
        <w:lastRenderedPageBreak/>
        <w:tab/>
        <w:t>(i)</w:t>
      </w:r>
      <w:r>
        <w:tab/>
        <w:t xml:space="preserve">an interim community protection order made under the </w:t>
      </w:r>
      <w:r>
        <w:rPr>
          <w:i/>
        </w:rPr>
        <w:t>Community Protection (Offender Reporting) Act 2005</w:t>
      </w:r>
      <w:r>
        <w:t xml:space="preserve"> (Tasmania) section 10B.</w:t>
      </w:r>
    </w:p>
    <w:p>
      <w:pPr>
        <w:pStyle w:val="Footnotesection"/>
      </w:pPr>
      <w:r>
        <w:tab/>
        <w:t>[Regulation 21 amended: Gazette 14 Nov 2008 p. 4878; 25 Nov 2008 p. 4990; 30 Nov 2012 p. 5802; 8 Nov 2013 p.</w:t>
      </w:r>
      <w:r>
        <w:rPr>
          <w:sz w:val="19"/>
        </w:rPr>
        <w:t> </w:t>
      </w:r>
      <w:r>
        <w:t>4998; 13 Jan 2017 p. 360; SL 2021/192 r. 6.]</w:t>
      </w:r>
    </w:p>
    <w:p>
      <w:pPr>
        <w:pStyle w:val="Heading5"/>
      </w:pPr>
      <w:bookmarkStart w:id="27" w:name="_Toc175215036"/>
      <w:r>
        <w:rPr>
          <w:rStyle w:val="CharSectno"/>
        </w:rPr>
        <w:t>22</w:t>
      </w:r>
      <w:r>
        <w:t>.</w:t>
      </w:r>
      <w:r>
        <w:tab/>
        <w:t>Application for recognition of corresponding protection orders (s. 108(2)(a))</w:t>
      </w:r>
      <w:bookmarkEnd w:id="27"/>
    </w:p>
    <w:p>
      <w:pPr>
        <w:pStyle w:val="Subsection"/>
      </w:pPr>
      <w:r>
        <w:tab/>
        <w:t>(1)</w:t>
      </w:r>
      <w:r>
        <w:tab/>
        <w:t>A police officer may, on behalf of the Commissioner, apply to the relevant court for the recognition in Western Australia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Gazette 1 Jun 2007 p. 2526; amended: Gazette 8 Nov 2013 p.</w:t>
      </w:r>
      <w:r>
        <w:rPr>
          <w:sz w:val="19"/>
        </w:rPr>
        <w:t> </w:t>
      </w:r>
      <w:r>
        <w:t>4998.]</w:t>
      </w:r>
    </w:p>
    <w:p>
      <w:pPr>
        <w:pStyle w:val="Heading5"/>
      </w:pPr>
      <w:bookmarkStart w:id="28" w:name="_Toc175215037"/>
      <w:r>
        <w:rPr>
          <w:rStyle w:val="CharSectno"/>
        </w:rPr>
        <w:t>23</w:t>
      </w:r>
      <w:r>
        <w:t>.</w:t>
      </w:r>
      <w:r>
        <w:tab/>
        <w:t>Recognition of corresponding protection orders (s. 108(2)(b))</w:t>
      </w:r>
      <w:bookmarkEnd w:id="28"/>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keepNext/>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lastRenderedPageBreak/>
        <w:tab/>
        <w:t>[Regulation 23 inserted: Gazette 1 Jun 2007 p. 2526</w:t>
      </w:r>
      <w:r>
        <w:noBreakHyphen/>
        <w:t>7; amended: Gazette 8 Nov 2013 p.</w:t>
      </w:r>
      <w:r>
        <w:rPr>
          <w:sz w:val="19"/>
        </w:rPr>
        <w:t> </w:t>
      </w:r>
      <w:r>
        <w:t>4999.]</w:t>
      </w:r>
    </w:p>
    <w:p>
      <w:pPr>
        <w:pStyle w:val="Heading5"/>
      </w:pPr>
      <w:bookmarkStart w:id="29" w:name="_Toc175215038"/>
      <w:r>
        <w:rPr>
          <w:rStyle w:val="CharSectno"/>
        </w:rPr>
        <w:t>24</w:t>
      </w:r>
      <w:r>
        <w:t>.</w:t>
      </w:r>
      <w:r>
        <w:tab/>
        <w:t>Effect of recognition of corresponding protection orders (s. 108(2)(d))</w:t>
      </w:r>
      <w:bookmarkEnd w:id="29"/>
    </w:p>
    <w:p>
      <w:pPr>
        <w:pStyle w:val="Subsection"/>
        <w:keepNext/>
      </w:pPr>
      <w:r>
        <w:tab/>
        <w:t>(1)</w:t>
      </w:r>
      <w:r>
        <w:tab/>
        <w:t xml:space="preserve">A recognised order operates in Western Australia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Gazette 1 Jun 2007 p. 2527; amended: Gazette 8 Nov 2013 p. 4999.]</w:t>
      </w:r>
    </w:p>
    <w:p>
      <w:pPr>
        <w:pStyle w:val="Heading5"/>
      </w:pPr>
      <w:bookmarkStart w:id="30" w:name="_Toc175215039"/>
      <w:r>
        <w:rPr>
          <w:rStyle w:val="CharSectno"/>
        </w:rPr>
        <w:lastRenderedPageBreak/>
        <w:t>25</w:t>
      </w:r>
      <w:r>
        <w:t>.</w:t>
      </w:r>
      <w:r>
        <w:tab/>
        <w:t>Variation or revocation of recognised order in a foreign jurisdiction</w:t>
      </w:r>
      <w:bookmarkEnd w:id="30"/>
    </w:p>
    <w:p>
      <w:pPr>
        <w:pStyle w:val="Subsection"/>
        <w:keepNext/>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Gazette 1 Jun 2007 p. 2527</w:t>
      </w:r>
      <w:r>
        <w:noBreakHyphen/>
        <w:t>8.]</w:t>
      </w:r>
    </w:p>
    <w:p>
      <w:pPr>
        <w:pStyle w:val="Heading5"/>
      </w:pPr>
      <w:bookmarkStart w:id="31" w:name="_Toc175215040"/>
      <w:r>
        <w:rPr>
          <w:rStyle w:val="CharSectno"/>
        </w:rPr>
        <w:t>26A</w:t>
      </w:r>
      <w:r>
        <w:t>.</w:t>
      </w:r>
      <w:r>
        <w:tab/>
        <w:t>Authorisation of absences from assessment or treatment (s. 94A(5)(a))</w:t>
      </w:r>
      <w:bookmarkEnd w:id="31"/>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lastRenderedPageBreak/>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lastRenderedPageBreak/>
        <w:tab/>
        <w:t>(7)</w:t>
      </w:r>
      <w:r>
        <w:tab/>
        <w:t>The Commissioner may, by written notice given to the reportable offender, withdraw an authorisation given under subregulation (2) or (3).</w:t>
      </w:r>
    </w:p>
    <w:p>
      <w:pPr>
        <w:pStyle w:val="Footnotesection"/>
      </w:pPr>
      <w:r>
        <w:tab/>
        <w:t>[Regulation 26A inserted: Gazette 8 Nov 2013 p.</w:t>
      </w:r>
      <w:r>
        <w:rPr>
          <w:sz w:val="19"/>
        </w:rPr>
        <w:t> </w:t>
      </w:r>
      <w:r>
        <w:t>4999</w:t>
      </w:r>
      <w:r>
        <w:noBreakHyphen/>
        <w:t>5001.]</w:t>
      </w:r>
    </w:p>
    <w:p>
      <w:pPr>
        <w:pStyle w:val="Heading5"/>
      </w:pPr>
      <w:bookmarkStart w:id="32" w:name="_Toc175215041"/>
      <w:r>
        <w:rPr>
          <w:rStyle w:val="CharSectno"/>
        </w:rPr>
        <w:t>26B</w:t>
      </w:r>
      <w:r>
        <w:t>.</w:t>
      </w:r>
      <w:r>
        <w:tab/>
        <w:t>Reports by persons providing assessment or administering treatment (s. 94A(5)(c))</w:t>
      </w:r>
      <w:bookmarkEnd w:id="32"/>
    </w:p>
    <w:p>
      <w:pPr>
        <w:pStyle w:val="Subsection"/>
        <w:keepNext/>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keepNext/>
      </w:pPr>
      <w:r>
        <w:lastRenderedPageBreak/>
        <w:tab/>
        <w:t>(5)</w:t>
      </w:r>
      <w:r>
        <w:tab/>
        <w:t>A report provided under this regulation must be in writing.</w:t>
      </w:r>
    </w:p>
    <w:p>
      <w:pPr>
        <w:pStyle w:val="Footnotesection"/>
        <w:keepNext/>
      </w:pPr>
      <w:r>
        <w:tab/>
        <w:t>[Regulation 26B inserted: Gazette 8 Nov 2013 p.</w:t>
      </w:r>
      <w:r>
        <w:rPr>
          <w:sz w:val="19"/>
        </w:rPr>
        <w:t> </w:t>
      </w:r>
      <w:r>
        <w:t>5001.]</w:t>
      </w:r>
    </w:p>
    <w:p>
      <w:pPr>
        <w:pStyle w:val="Heading5"/>
      </w:pPr>
      <w:bookmarkStart w:id="33" w:name="_Toc175215042"/>
      <w:r>
        <w:rPr>
          <w:rStyle w:val="CharSectno"/>
        </w:rPr>
        <w:t>26C</w:t>
      </w:r>
      <w:r>
        <w:t>.</w:t>
      </w:r>
      <w:r>
        <w:tab/>
        <w:t>Manner of making requirement to give a sample (s. 94B(8)(a))</w:t>
      </w:r>
      <w:bookmarkEnd w:id="33"/>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Gazette 8 Nov 2013 p.</w:t>
      </w:r>
      <w:r>
        <w:rPr>
          <w:sz w:val="19"/>
        </w:rPr>
        <w:t> </w:t>
      </w:r>
      <w:r>
        <w:t>5002.]</w:t>
      </w:r>
    </w:p>
    <w:p>
      <w:pPr>
        <w:pStyle w:val="Heading5"/>
      </w:pPr>
      <w:bookmarkStart w:id="34" w:name="_Toc175215043"/>
      <w:r>
        <w:rPr>
          <w:rStyle w:val="CharSectno"/>
        </w:rPr>
        <w:t>26D</w:t>
      </w:r>
      <w:r>
        <w:t>.</w:t>
      </w:r>
      <w:r>
        <w:tab/>
        <w:t>Manner of conducting breath test (s. 94B(8)(b))</w:t>
      </w:r>
      <w:bookmarkEnd w:id="34"/>
    </w:p>
    <w:p>
      <w:pPr>
        <w:pStyle w:val="Subsection"/>
      </w:pPr>
      <w:r>
        <w:tab/>
        <w:t>(1)</w:t>
      </w:r>
      <w:r>
        <w:tab/>
        <w:t xml:space="preserve">In this regulation — </w:t>
      </w:r>
    </w:p>
    <w:p>
      <w:pPr>
        <w:pStyle w:val="Defstart"/>
      </w:pPr>
      <w:r>
        <w:tab/>
      </w:r>
      <w:r>
        <w:rPr>
          <w:rStyle w:val="CharDefText"/>
        </w:rPr>
        <w:t>authorised breath tester</w:t>
      </w:r>
      <w:r>
        <w:t xml:space="preserve"> means an authorised person as defined in the </w:t>
      </w:r>
      <w:r>
        <w:rPr>
          <w:i/>
        </w:rPr>
        <w:t>Road Traffic Act 1974</w:t>
      </w:r>
      <w:r>
        <w:t xml:space="preserve"> section 65. </w:t>
      </w:r>
    </w:p>
    <w:p>
      <w:pPr>
        <w:pStyle w:val="Subsection"/>
        <w:spacing w:before="120"/>
      </w:pPr>
      <w:r>
        <w:tab/>
        <w:t>(2)</w:t>
      </w:r>
      <w:r>
        <w:tab/>
        <w:t>A breath test may be conducted only by an authorised breath tester in the presence of an authorised police officer.</w:t>
      </w:r>
    </w:p>
    <w:p>
      <w:pPr>
        <w:pStyle w:val="Subsection"/>
      </w:pPr>
      <w:r>
        <w:tab/>
        <w:t>(3)</w:t>
      </w:r>
      <w:r>
        <w:tab/>
        <w:t>A sample of a reportable offender’s breath may only be tested for the purposes of a breath test by breath testing equipment that is operated in accordance with the instructions set out in the Breath Analysis Regulations Schedule 2.</w:t>
      </w:r>
    </w:p>
    <w:p>
      <w:pPr>
        <w:pStyle w:val="Subsection"/>
        <w:spacing w:before="120"/>
      </w:pPr>
      <w:r>
        <w:lastRenderedPageBreak/>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Ednotesubsection"/>
      </w:pPr>
      <w:r>
        <w:tab/>
        <w:t>[(6)</w:t>
      </w:r>
      <w:r>
        <w:noBreakHyphen/>
        <w:t>(8)</w:t>
      </w:r>
      <w:r>
        <w:tab/>
        <w:t>deleted]</w:t>
      </w:r>
    </w:p>
    <w:p>
      <w:pPr>
        <w:pStyle w:val="Footnotesection"/>
      </w:pPr>
      <w:r>
        <w:tab/>
        <w:t>[Regulation 26D inserted: Gazette 8 Nov 2013 p.</w:t>
      </w:r>
      <w:r>
        <w:rPr>
          <w:sz w:val="19"/>
        </w:rPr>
        <w:t> </w:t>
      </w:r>
      <w:r>
        <w:t>5002</w:t>
      </w:r>
      <w:r>
        <w:noBreakHyphen/>
        <w:t>3; amended: SL 2021/57 r. 5.]</w:t>
      </w:r>
    </w:p>
    <w:p>
      <w:pPr>
        <w:pStyle w:val="Heading5"/>
      </w:pPr>
      <w:bookmarkStart w:id="35" w:name="_Toc175215044"/>
      <w:r>
        <w:rPr>
          <w:rStyle w:val="CharSectno"/>
        </w:rPr>
        <w:t>26E</w:t>
      </w:r>
      <w:r>
        <w:t>.</w:t>
      </w:r>
      <w:r>
        <w:tab/>
        <w:t>Authorised sample collectors to take or collect samples (s. 94B(8)(b))</w:t>
      </w:r>
      <w:bookmarkEnd w:id="35"/>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Gazette 8 Nov 2013 p.</w:t>
      </w:r>
      <w:r>
        <w:rPr>
          <w:sz w:val="19"/>
        </w:rPr>
        <w:t> </w:t>
      </w:r>
      <w:r>
        <w:t>5003</w:t>
      </w:r>
      <w:r>
        <w:noBreakHyphen/>
        <w:t>4.]</w:t>
      </w:r>
    </w:p>
    <w:p>
      <w:pPr>
        <w:pStyle w:val="Heading5"/>
      </w:pPr>
      <w:bookmarkStart w:id="36" w:name="_Toc175215045"/>
      <w:r>
        <w:rPr>
          <w:rStyle w:val="CharSectno"/>
        </w:rPr>
        <w:t>26F</w:t>
      </w:r>
      <w:r>
        <w:t>.</w:t>
      </w:r>
      <w:r>
        <w:tab/>
        <w:t>Manner of taking sample of blood or collecting sample of urine (s. 94B(8)(b))</w:t>
      </w:r>
      <w:bookmarkEnd w:id="36"/>
    </w:p>
    <w:p>
      <w:pPr>
        <w:pStyle w:val="Subsection"/>
        <w:keepNext/>
      </w:pPr>
      <w:r>
        <w:tab/>
        <w:t>(1)</w:t>
      </w:r>
      <w:r>
        <w:tab/>
        <w:t xml:space="preserve">In this regulation — </w:t>
      </w:r>
    </w:p>
    <w:p>
      <w:pPr>
        <w:pStyle w:val="Defstart"/>
        <w:keepNex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lastRenderedPageBreak/>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keepNext/>
      </w:pPr>
      <w:r>
        <w:lastRenderedPageBreak/>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Gazette 8 Nov 2013 p.</w:t>
      </w:r>
      <w:r>
        <w:rPr>
          <w:sz w:val="19"/>
        </w:rPr>
        <w:t> </w:t>
      </w:r>
      <w:r>
        <w:t>5004</w:t>
      </w:r>
      <w:r>
        <w:noBreakHyphen/>
        <w:t>6.]</w:t>
      </w:r>
    </w:p>
    <w:p>
      <w:pPr>
        <w:pStyle w:val="Heading5"/>
      </w:pPr>
      <w:bookmarkStart w:id="37" w:name="_Toc175215046"/>
      <w:r>
        <w:rPr>
          <w:rStyle w:val="CharSectno"/>
        </w:rPr>
        <w:t>26G</w:t>
      </w:r>
      <w:r>
        <w:t>.</w:t>
      </w:r>
      <w:r>
        <w:tab/>
        <w:t>Collection of samples (s. 94B(8)(e))</w:t>
      </w:r>
      <w:bookmarkEnd w:id="37"/>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keepNext/>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keepNext/>
      </w:pPr>
      <w:r>
        <w:lastRenderedPageBreak/>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Gazette 8 Nov 2013 p.</w:t>
      </w:r>
      <w:r>
        <w:rPr>
          <w:sz w:val="19"/>
        </w:rPr>
        <w:t> </w:t>
      </w:r>
      <w:r>
        <w:t>5006</w:t>
      </w:r>
      <w:r>
        <w:noBreakHyphen/>
        <w:t>7.]</w:t>
      </w:r>
    </w:p>
    <w:p>
      <w:pPr>
        <w:pStyle w:val="Heading5"/>
      </w:pPr>
      <w:bookmarkStart w:id="38" w:name="_Toc175215047"/>
      <w:r>
        <w:rPr>
          <w:rStyle w:val="CharSectno"/>
        </w:rPr>
        <w:t>26H</w:t>
      </w:r>
      <w:r>
        <w:t>.</w:t>
      </w:r>
      <w:r>
        <w:tab/>
        <w:t>Authorisation of persons as analysts (s. 94B(8)(c))</w:t>
      </w:r>
      <w:bookmarkEnd w:id="38"/>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Gazette 8 Nov 2013 p.</w:t>
      </w:r>
      <w:r>
        <w:rPr>
          <w:sz w:val="19"/>
        </w:rPr>
        <w:t> </w:t>
      </w:r>
      <w:r>
        <w:t>5007.]</w:t>
      </w:r>
    </w:p>
    <w:p>
      <w:pPr>
        <w:pStyle w:val="Heading5"/>
      </w:pPr>
      <w:bookmarkStart w:id="39" w:name="_Toc175215048"/>
      <w:r>
        <w:rPr>
          <w:rStyle w:val="CharSectno"/>
        </w:rPr>
        <w:lastRenderedPageBreak/>
        <w:t>26I</w:t>
      </w:r>
      <w:r>
        <w:t>.</w:t>
      </w:r>
      <w:r>
        <w:tab/>
        <w:t>Reporting results of analysis (s. 94B(8)(d))</w:t>
      </w:r>
      <w:bookmarkEnd w:id="39"/>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Gazette 8 Nov 2013 p.</w:t>
      </w:r>
      <w:r>
        <w:rPr>
          <w:sz w:val="19"/>
        </w:rPr>
        <w:t> </w:t>
      </w:r>
      <w:r>
        <w:t>5007</w:t>
      </w:r>
      <w:r>
        <w:noBreakHyphen/>
        <w:t>8.]</w:t>
      </w:r>
    </w:p>
    <w:p>
      <w:pPr>
        <w:pStyle w:val="Ednotesection"/>
      </w:pPr>
      <w:r>
        <w:t>[</w:t>
      </w:r>
      <w:r>
        <w:rPr>
          <w:b/>
        </w:rPr>
        <w:t>26J.</w:t>
      </w:r>
      <w:r>
        <w:tab/>
        <w:t>Deleted: SL 2021/57 r. 6.]</w:t>
      </w:r>
    </w:p>
    <w:p>
      <w:pPr>
        <w:pStyle w:val="Heading5"/>
      </w:pPr>
      <w:bookmarkStart w:id="40" w:name="_Toc175215049"/>
      <w:r>
        <w:rPr>
          <w:rStyle w:val="CharSectno"/>
        </w:rPr>
        <w:t>26K</w:t>
      </w:r>
      <w:r>
        <w:t>.</w:t>
      </w:r>
      <w:r>
        <w:tab/>
        <w:t>Certificate evidence (s. 94B(8)(i))</w:t>
      </w:r>
      <w:bookmarkEnd w:id="40"/>
    </w:p>
    <w:p>
      <w:pPr>
        <w:pStyle w:val="Subsection"/>
        <w:keepNext/>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lastRenderedPageBreak/>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keepNext/>
      </w:pPr>
      <w:r>
        <w:tab/>
        <w:t>(e)</w:t>
      </w:r>
      <w:r>
        <w:tab/>
        <w:t xml:space="preserve">a certificate purporting to be signed by an analyst certifying — </w:t>
      </w:r>
    </w:p>
    <w:p>
      <w:pPr>
        <w:pStyle w:val="Indenti"/>
        <w:keepNext/>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Gazette 8 Nov 2013 p.</w:t>
      </w:r>
      <w:r>
        <w:rPr>
          <w:sz w:val="19"/>
        </w:rPr>
        <w:t> </w:t>
      </w:r>
      <w:r>
        <w:t>5008</w:t>
      </w:r>
      <w:r>
        <w:noBreakHyphen/>
        <w:t>9.]</w:t>
      </w:r>
    </w:p>
    <w:p>
      <w:pPr>
        <w:pStyle w:val="Heading5"/>
      </w:pPr>
      <w:bookmarkStart w:id="41" w:name="_Toc175215050"/>
      <w:r>
        <w:rPr>
          <w:rStyle w:val="CharSectno"/>
        </w:rPr>
        <w:t>26</w:t>
      </w:r>
      <w:r>
        <w:t>.</w:t>
      </w:r>
      <w:r>
        <w:tab/>
        <w:t>Forms</w:t>
      </w:r>
      <w:bookmarkEnd w:id="41"/>
    </w:p>
    <w:p>
      <w:pPr>
        <w:pStyle w:val="Subsection"/>
      </w:pPr>
      <w:r>
        <w:tab/>
      </w:r>
      <w:r>
        <w:tab/>
        <w:t>The forms set out in Schedule 1 are prescribed in relation to the matters specified in those forms.</w:t>
      </w:r>
    </w:p>
    <w:p>
      <w:pPr>
        <w:pStyle w:val="Footnotesection"/>
      </w:pPr>
      <w:r>
        <w:tab/>
        <w:t>[Regulation 26 inserted: Gazette 1 Jun 2007 p. 2528.]</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2" w:name="_Toc175208483"/>
      <w:bookmarkStart w:id="43" w:name="_Toc175209555"/>
      <w:bookmarkStart w:id="44" w:name="_Toc175215051"/>
      <w:r>
        <w:rPr>
          <w:rStyle w:val="CharSchNo"/>
        </w:rPr>
        <w:lastRenderedPageBreak/>
        <w:t>Schedule 1</w:t>
      </w:r>
      <w:r>
        <w:rPr>
          <w:rStyle w:val="CharSDivNo"/>
        </w:rPr>
        <w:t> </w:t>
      </w:r>
      <w:r>
        <w:t>—</w:t>
      </w:r>
      <w:r>
        <w:rPr>
          <w:rStyle w:val="CharSDivText"/>
        </w:rPr>
        <w:t> </w:t>
      </w:r>
      <w:r>
        <w:rPr>
          <w:rStyle w:val="CharSchText"/>
        </w:rPr>
        <w:t>Forms</w:t>
      </w:r>
      <w:bookmarkEnd w:id="42"/>
      <w:bookmarkEnd w:id="43"/>
      <w:bookmarkEnd w:id="44"/>
    </w:p>
    <w:p>
      <w:pPr>
        <w:pStyle w:val="yShoulderClause"/>
      </w:pPr>
      <w:r>
        <w:t>[r. 26]</w:t>
      </w:r>
    </w:p>
    <w:p>
      <w:pPr>
        <w:pStyle w:val="yFootnotesection"/>
      </w:pPr>
      <w:r>
        <w:tab/>
        <w:t>[Heading inserted: Gazette 9 Dec 2005 p. 5888; amended: Gazette 1 Jun 2007 p. 2528.]</w:t>
      </w:r>
    </w:p>
    <w:p>
      <w:pPr>
        <w:pStyle w:val="yHeading5"/>
        <w:spacing w:after="80"/>
      </w:pPr>
      <w:bookmarkStart w:id="45" w:name="_Toc175215052"/>
      <w:r>
        <w:rPr>
          <w:rStyle w:val="CharSClsNo"/>
        </w:rPr>
        <w:t>1</w:t>
      </w:r>
      <w:r>
        <w:t>.</w:t>
      </w:r>
      <w:r>
        <w:tab/>
        <w:t>Summons: Application for order</w:t>
      </w:r>
      <w:bookmarkEnd w:id="4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lastRenderedPageBreak/>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Gazette 9 Dec 2005 p. 5888</w:t>
      </w:r>
      <w:r>
        <w:noBreakHyphen/>
        <w:t>9; amended: Gazette 8 Nov 2013 p. 5010.]</w:t>
      </w:r>
    </w:p>
    <w:p>
      <w:pPr>
        <w:pStyle w:val="yHeading5"/>
        <w:pageBreakBefore/>
        <w:spacing w:after="80"/>
      </w:pPr>
      <w:bookmarkStart w:id="46" w:name="_Toc175215053"/>
      <w:r>
        <w:rPr>
          <w:rStyle w:val="CharSClsNo"/>
        </w:rPr>
        <w:lastRenderedPageBreak/>
        <w:t>2</w:t>
      </w:r>
      <w:r>
        <w:t>.</w:t>
      </w:r>
      <w:r>
        <w:tab/>
        <w:t>Summons: Further hearing after interim order</w:t>
      </w:r>
      <w:bookmarkEnd w:id="46"/>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lastRenderedPageBreak/>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Gazette 9 Dec 2005 p. 5889</w:t>
      </w:r>
      <w:r>
        <w:noBreakHyphen/>
        <w:t xml:space="preserve">90; amended: Gazette </w:t>
      </w:r>
      <w:r>
        <w:rPr>
          <w:szCs w:val="22"/>
        </w:rPr>
        <w:t>8 Nov 2013 p. </w:t>
      </w:r>
      <w:r>
        <w:t>5010.]</w:t>
      </w:r>
    </w:p>
    <w:p>
      <w:pPr>
        <w:pStyle w:val="yHeading5"/>
        <w:pageBreakBefore/>
        <w:spacing w:after="80"/>
      </w:pPr>
      <w:bookmarkStart w:id="47" w:name="_Toc175215054"/>
      <w:r>
        <w:rPr>
          <w:rStyle w:val="CharSClsNo"/>
        </w:rPr>
        <w:lastRenderedPageBreak/>
        <w:t>3</w:t>
      </w:r>
      <w:r>
        <w:t>.</w:t>
      </w:r>
      <w:r>
        <w:tab/>
        <w:t>Summons: Application to vary or revoke child protection order</w:t>
      </w:r>
      <w:bookmarkEnd w:id="47"/>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18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gridSpan w:val="2"/>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gridSpan w:val="2"/>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gridSpan w:val="2"/>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4"/>
            <w:tcBorders>
              <w:left w:val="nil"/>
              <w:bottom w:val="nil"/>
              <w:right w:val="nil"/>
            </w:tcBorders>
            <w:tcMar>
              <w:top w:w="0" w:type="dxa"/>
              <w:bottom w:w="0" w:type="dxa"/>
            </w:tcMar>
          </w:tcPr>
          <w:p>
            <w:pPr>
              <w:pStyle w:val="yTableNAm"/>
              <w:tabs>
                <w:tab w:val="left" w:pos="2994"/>
              </w:tabs>
              <w:spacing w:before="0"/>
              <w:rPr>
                <w:sz w:val="20"/>
              </w:rPr>
            </w:pPr>
          </w:p>
        </w:tc>
      </w:tr>
      <w:tr>
        <w:trPr>
          <w:cantSplit/>
        </w:trPr>
        <w:tc>
          <w:tcPr>
            <w:tcW w:w="7080" w:type="dxa"/>
            <w:gridSpan w:val="4"/>
            <w:tcBorders>
              <w:top w:val="single" w:sz="4" w:space="0" w:color="auto"/>
            </w:tcBorders>
            <w:shd w:val="clear" w:color="auto" w:fill="E6E6E6"/>
          </w:tcPr>
          <w:p>
            <w:pPr>
              <w:pStyle w:val="yTableNAm"/>
              <w:keepNext/>
              <w:tabs>
                <w:tab w:val="left" w:pos="2994"/>
              </w:tabs>
              <w:spacing w:before="0"/>
              <w:jc w:val="center"/>
              <w:rPr>
                <w:sz w:val="20"/>
              </w:rPr>
            </w:pPr>
            <w:r>
              <w:rPr>
                <w:b/>
                <w:bCs/>
                <w:sz w:val="20"/>
              </w:rPr>
              <w:lastRenderedPageBreak/>
              <w:t>Service certificate</w:t>
            </w:r>
          </w:p>
        </w:tc>
      </w:tr>
      <w:tr>
        <w:trPr>
          <w:cantSplit/>
        </w:trPr>
        <w:tc>
          <w:tcPr>
            <w:tcW w:w="1320" w:type="dxa"/>
            <w:vMerge w:val="restart"/>
            <w:shd w:val="clear" w:color="auto" w:fill="E6E6E6"/>
          </w:tcPr>
          <w:p>
            <w:pPr>
              <w:pStyle w:val="yTableNAm"/>
              <w:keepNext/>
              <w:spacing w:before="60"/>
              <w:rPr>
                <w:sz w:val="20"/>
              </w:rPr>
            </w:pPr>
            <w:r>
              <w:rPr>
                <w:b/>
                <w:bCs/>
                <w:sz w:val="20"/>
              </w:rPr>
              <w:t>Person serving summons</w:t>
            </w:r>
          </w:p>
        </w:tc>
        <w:tc>
          <w:tcPr>
            <w:tcW w:w="5760" w:type="dxa"/>
            <w:gridSpan w:val="3"/>
          </w:tcPr>
          <w:p>
            <w:pPr>
              <w:pStyle w:val="yTableNAm"/>
              <w:keepNext/>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gridSpan w:val="3"/>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gridSpan w:val="3"/>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gridSpan w:val="3"/>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Gazette 9 Dec 2005 p. 5890</w:t>
      </w:r>
      <w:r>
        <w:noBreakHyphen/>
        <w:t xml:space="preserve">1; amended: Gazette </w:t>
      </w:r>
      <w:r>
        <w:rPr>
          <w:szCs w:val="22"/>
        </w:rPr>
        <w:t>8 Nov 2013 p</w:t>
      </w:r>
      <w:r>
        <w:rPr>
          <w:sz w:val="24"/>
        </w:rPr>
        <w:t>.</w:t>
      </w:r>
      <w:r>
        <w:rPr>
          <w:sz w:val="19"/>
        </w:rPr>
        <w:t> </w:t>
      </w:r>
      <w:r>
        <w:t>5010.]</w:t>
      </w:r>
    </w:p>
    <w:p>
      <w:pPr>
        <w:pStyle w:val="yEdnotesection"/>
      </w:pPr>
      <w:r>
        <w:t>[Form 4</w:t>
      </w:r>
      <w:r>
        <w:tab/>
        <w:t>Deleted: SL 2021/57 r. 7.]</w:t>
      </w:r>
    </w:p>
    <w:p>
      <w:pPr>
        <w:pStyle w:val="yHeading5"/>
        <w:spacing w:after="80"/>
      </w:pPr>
      <w:bookmarkStart w:id="48" w:name="_Toc175215055"/>
      <w:r>
        <w:rPr>
          <w:rStyle w:val="CharSClsNo"/>
        </w:rPr>
        <w:lastRenderedPageBreak/>
        <w:t>5</w:t>
      </w:r>
      <w:r>
        <w:t>.</w:t>
      </w:r>
      <w:r>
        <w:tab/>
        <w:t>Request to take sample of blood or urine (r. 26F(2))</w:t>
      </w:r>
      <w:bookmarkEnd w:id="48"/>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keepNext/>
              <w:spacing w:before="60"/>
              <w:jc w:val="center"/>
            </w:pPr>
            <w:r>
              <w:rPr>
                <w:i/>
              </w:rPr>
              <w:t>Community Protection (Offender Reporting) Act 2004</w:t>
            </w:r>
          </w:p>
          <w:p>
            <w:pPr>
              <w:pStyle w:val="yTableNAm"/>
              <w:keepNext/>
              <w:widowControl w:val="0"/>
              <w:jc w:val="center"/>
            </w:pPr>
            <w:r>
              <w:rPr>
                <w:b/>
                <w:bCs/>
                <w:sz w:val="28"/>
              </w:rPr>
              <w:t>Request to take sample of blood or urine</w:t>
            </w:r>
          </w:p>
        </w:tc>
      </w:tr>
      <w:tr>
        <w:trPr>
          <w:trHeight w:val="807"/>
        </w:trPr>
        <w:tc>
          <w:tcPr>
            <w:tcW w:w="1509" w:type="dxa"/>
            <w:shd w:val="clear" w:color="auto" w:fill="E6E6E6"/>
          </w:tcPr>
          <w:p>
            <w:pPr>
              <w:pStyle w:val="yTableNAm"/>
              <w:keepNext/>
            </w:pPr>
            <w:r>
              <w:rPr>
                <w:b/>
                <w:bCs/>
              </w:rPr>
              <w:t xml:space="preserve">To </w:t>
            </w:r>
          </w:p>
        </w:tc>
        <w:tc>
          <w:tcPr>
            <w:tcW w:w="5579" w:type="dxa"/>
          </w:tcPr>
          <w:p>
            <w:pPr>
              <w:pStyle w:val="yTableNAm"/>
              <w:keepNext/>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keepNext/>
            </w:pPr>
            <w:r>
              <w:rPr>
                <w:b/>
                <w:bCs/>
              </w:rPr>
              <w:t>Place where sample is to be taken</w:t>
            </w:r>
          </w:p>
        </w:tc>
        <w:tc>
          <w:tcPr>
            <w:tcW w:w="5579" w:type="dxa"/>
          </w:tcPr>
          <w:p>
            <w:pPr>
              <w:pStyle w:val="yTableNAm"/>
              <w:keepNext/>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keepNext/>
              <w:rPr>
                <w:b/>
                <w:bCs/>
              </w:rPr>
            </w:pPr>
            <w:r>
              <w:rPr>
                <w:b/>
                <w:bCs/>
              </w:rPr>
              <w:t>Date and time sample is to be taken</w:t>
            </w:r>
          </w:p>
        </w:tc>
        <w:tc>
          <w:tcPr>
            <w:tcW w:w="5579" w:type="dxa"/>
          </w:tcPr>
          <w:p>
            <w:pPr>
              <w:pStyle w:val="yTableNAm"/>
              <w:keepNext/>
              <w:rPr>
                <w:snapToGrid w:val="0"/>
              </w:rPr>
            </w:pPr>
          </w:p>
        </w:tc>
      </w:tr>
      <w:tr>
        <w:tc>
          <w:tcPr>
            <w:tcW w:w="1509" w:type="dxa"/>
            <w:shd w:val="clear" w:color="auto" w:fill="E6E6E6"/>
          </w:tcPr>
          <w:p>
            <w:pPr>
              <w:pStyle w:val="yTableNAm"/>
              <w:keepNext/>
              <w:widowControl w:val="0"/>
            </w:pPr>
            <w:r>
              <w:rPr>
                <w:b/>
                <w:bCs/>
              </w:rPr>
              <w:t>Request for sample to be taken</w:t>
            </w:r>
          </w:p>
        </w:tc>
        <w:tc>
          <w:tcPr>
            <w:tcW w:w="5579" w:type="dxa"/>
          </w:tcPr>
          <w:p>
            <w:pPr>
              <w:pStyle w:val="yTableNAm"/>
              <w:keepNext/>
            </w:pPr>
            <w:r>
              <w:rPr>
                <w:snapToGrid w:val="0"/>
              </w:rPr>
              <w:t xml:space="preserve">Under the </w:t>
            </w:r>
            <w:r>
              <w:rPr>
                <w:i/>
              </w:rPr>
              <w:t>Community Protection (Offender Reporting) Regulations 2004</w:t>
            </w:r>
            <w:r>
              <w:t xml:space="preserve"> regulation 26F(2), I request you, a </w:t>
            </w:r>
          </w:p>
          <w:p>
            <w:pPr>
              <w:pStyle w:val="yTableNAm"/>
              <w:keepNext/>
              <w:rPr>
                <w:snapToGrid w:val="0"/>
              </w:rPr>
            </w:pPr>
            <w:r>
              <w:rPr>
                <w:snapToGrid w:val="0"/>
              </w:rPr>
              <w:t>...................................................................................................</w:t>
            </w:r>
          </w:p>
          <w:p>
            <w:pPr>
              <w:pStyle w:val="yTableNAm"/>
              <w:keepNext/>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keepNext/>
              <w:rPr>
                <w:snapToGrid w:val="0"/>
              </w:rPr>
            </w:pPr>
            <w:r>
              <w:rPr>
                <w:snapToGrid w:val="0"/>
              </w:rPr>
              <w:t xml:space="preserve">to take — </w:t>
            </w:r>
          </w:p>
          <w:p>
            <w:pPr>
              <w:pStyle w:val="yTableNAm"/>
              <w:keepNext/>
              <w:rPr>
                <w:snapToGrid w:val="0"/>
              </w:rPr>
            </w:pPr>
            <w:r>
              <w:rPr>
                <w:snapToGrid w:val="0"/>
              </w:rPr>
              <w:t>(a)</w:t>
            </w:r>
            <w:r>
              <w:rPr>
                <w:snapToGrid w:val="0"/>
              </w:rPr>
              <w:tab/>
              <w:t>a blood sample*;</w:t>
            </w:r>
          </w:p>
          <w:p>
            <w:pPr>
              <w:pStyle w:val="yTableNAm"/>
              <w:keepNext/>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keepNext/>
              <w:rPr>
                <w:snapToGrid w:val="0"/>
              </w:rPr>
            </w:pPr>
            <w:r>
              <w:rPr>
                <w:snapToGrid w:val="0"/>
              </w:rPr>
              <w:t xml:space="preserve">from — </w:t>
            </w:r>
          </w:p>
          <w:p>
            <w:pPr>
              <w:pStyle w:val="yTableNAm"/>
              <w:keepNext/>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keepNext/>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lastRenderedPageBreak/>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Gazette </w:t>
      </w:r>
      <w:r>
        <w:rPr>
          <w:szCs w:val="22"/>
        </w:rPr>
        <w:t>8 Nov 2013 p</w:t>
      </w:r>
      <w:r>
        <w:t>. 5011</w:t>
      </w:r>
      <w:r>
        <w:noBreakHyphen/>
        <w:t>12.]</w:t>
      </w:r>
    </w:p>
    <w:p>
      <w:pPr>
        <w:pStyle w:val="yHeading5"/>
        <w:pageBreakBefore/>
        <w:rPr>
          <w:bCs/>
        </w:rPr>
      </w:pPr>
      <w:bookmarkStart w:id="49" w:name="_Toc175215056"/>
      <w:r>
        <w:rPr>
          <w:rStyle w:val="CharSClsNo"/>
        </w:rPr>
        <w:lastRenderedPageBreak/>
        <w:t>6</w:t>
      </w:r>
      <w:r>
        <w:t>.</w:t>
      </w:r>
      <w:r>
        <w:tab/>
        <w:t>Certificate of authorised sample collector (r. 26G(5))</w:t>
      </w:r>
      <w:bookmarkEnd w:id="49"/>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lastRenderedPageBreak/>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Gazette </w:t>
      </w:r>
      <w:r>
        <w:rPr>
          <w:szCs w:val="22"/>
        </w:rPr>
        <w:t>8 Nov 2013 p</w:t>
      </w:r>
      <w:r>
        <w:t>. 5013</w:t>
      </w:r>
      <w:r>
        <w:noBreakHyphen/>
        <w:t>14.]</w:t>
      </w:r>
    </w:p>
    <w:p>
      <w:pPr>
        <w:pStyle w:val="yHeading5"/>
        <w:pageBreakBefore/>
      </w:pPr>
      <w:bookmarkStart w:id="50" w:name="_Toc175215057"/>
      <w:r>
        <w:rPr>
          <w:rStyle w:val="CharSClsNo"/>
        </w:rPr>
        <w:lastRenderedPageBreak/>
        <w:t>7</w:t>
      </w:r>
      <w:r>
        <w:t>.</w:t>
      </w:r>
      <w:r>
        <w:tab/>
        <w:t>Certificate of analyst (r. 26I(3))</w:t>
      </w:r>
      <w:bookmarkEnd w:id="50"/>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Perth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lastRenderedPageBreak/>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5"/>
          <w:headerReference w:type="default" r:id="rId26"/>
          <w:headerReference w:type="first" r:id="rId27"/>
          <w:endnotePr>
            <w:numFmt w:val="decimal"/>
          </w:endnotePr>
          <w:pgSz w:w="11907" w:h="16840" w:code="9"/>
          <w:pgMar w:top="2376" w:right="2404" w:bottom="3544" w:left="2404" w:header="709" w:footer="3544" w:gutter="0"/>
          <w:cols w:space="720"/>
          <w:noEndnote/>
          <w:docGrid w:linePitch="326"/>
        </w:sectPr>
      </w:pPr>
    </w:p>
    <w:p>
      <w:pPr>
        <w:pStyle w:val="nHeading2"/>
      </w:pPr>
      <w:bookmarkStart w:id="52" w:name="_Toc175208490"/>
      <w:bookmarkStart w:id="53" w:name="_Toc175209562"/>
      <w:bookmarkStart w:id="54" w:name="_Toc175215058"/>
      <w:r>
        <w:lastRenderedPageBreak/>
        <w:t>Notes</w:t>
      </w:r>
      <w:bookmarkEnd w:id="52"/>
      <w:bookmarkEnd w:id="53"/>
      <w:bookmarkEnd w:id="54"/>
    </w:p>
    <w:p>
      <w:pPr>
        <w:pStyle w:val="nStatement"/>
      </w:pPr>
      <w:r>
        <w:t xml:space="preserve">This is a compilation of the </w:t>
      </w:r>
      <w:r>
        <w:rPr>
          <w:i/>
          <w:noProof/>
        </w:rPr>
        <w:t>Community Protection (Offender Reporting) Regulations 2004</w:t>
      </w:r>
      <w:r>
        <w:t xml:space="preserve"> and includes amendments made by other written laws. For provisions that have come into operation, and for information about any reprints, see the compilation table. </w:t>
      </w:r>
    </w:p>
    <w:p>
      <w:pPr>
        <w:pStyle w:val="nHeading3"/>
      </w:pPr>
      <w:bookmarkStart w:id="55" w:name="_Toc175215059"/>
      <w:r>
        <w:t>Compilation table</w:t>
      </w:r>
      <w:bookmarkEnd w:id="55"/>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347"/>
        <w:gridCol w:w="2622"/>
      </w:tblGrid>
      <w:tr>
        <w:trPr>
          <w:tblHeader/>
        </w:trPr>
        <w:tc>
          <w:tcPr>
            <w:tcW w:w="3119" w:type="dxa"/>
          </w:tcPr>
          <w:p>
            <w:pPr>
              <w:pStyle w:val="nTable"/>
              <w:spacing w:after="40"/>
              <w:rPr>
                <w:b/>
              </w:rPr>
            </w:pPr>
            <w:r>
              <w:rPr>
                <w:b/>
              </w:rPr>
              <w:t>Citation</w:t>
            </w:r>
          </w:p>
        </w:tc>
        <w:tc>
          <w:tcPr>
            <w:tcW w:w="1347" w:type="dxa"/>
          </w:tcPr>
          <w:p>
            <w:pPr>
              <w:pStyle w:val="nTable"/>
              <w:spacing w:after="40"/>
              <w:rPr>
                <w:b/>
              </w:rPr>
            </w:pPr>
            <w:r>
              <w:rPr>
                <w:b/>
              </w:rPr>
              <w:t>Published</w:t>
            </w:r>
          </w:p>
        </w:tc>
        <w:tc>
          <w:tcPr>
            <w:tcW w:w="26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Community Protection (Offender Reporting) Regulations 2004</w:t>
            </w:r>
          </w:p>
        </w:tc>
        <w:tc>
          <w:tcPr>
            <w:tcW w:w="1347" w:type="dxa"/>
            <w:tcBorders>
              <w:top w:val="single" w:sz="8" w:space="0" w:color="auto"/>
            </w:tcBorders>
          </w:tcPr>
          <w:p>
            <w:pPr>
              <w:pStyle w:val="nTable"/>
              <w:spacing w:after="40"/>
            </w:pPr>
            <w:r>
              <w:t>31 Dec 2004 p. 7025</w:t>
            </w:r>
            <w:r>
              <w:noBreakHyphen/>
              <w:t>39</w:t>
            </w:r>
          </w:p>
        </w:tc>
        <w:tc>
          <w:tcPr>
            <w:tcW w:w="2622" w:type="dxa"/>
            <w:tcBorders>
              <w:top w:val="single" w:sz="8" w:space="0" w:color="auto"/>
            </w:tcBorders>
          </w:tcPr>
          <w:p>
            <w:pPr>
              <w:pStyle w:val="nTable"/>
              <w:spacing w:after="40"/>
            </w:pPr>
            <w:r>
              <w:t>1 Feb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2005</w:t>
            </w:r>
          </w:p>
        </w:tc>
        <w:tc>
          <w:tcPr>
            <w:tcW w:w="1347" w:type="dxa"/>
          </w:tcPr>
          <w:p>
            <w:pPr>
              <w:pStyle w:val="nTable"/>
              <w:spacing w:after="40"/>
            </w:pPr>
            <w:r>
              <w:t>9 Dec 2005 p. 5886</w:t>
            </w:r>
            <w:r>
              <w:noBreakHyphen/>
              <w:t>7</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2005</w:t>
            </w:r>
          </w:p>
        </w:tc>
        <w:tc>
          <w:tcPr>
            <w:tcW w:w="1347" w:type="dxa"/>
          </w:tcPr>
          <w:p>
            <w:pPr>
              <w:pStyle w:val="nTable"/>
              <w:spacing w:after="40"/>
            </w:pPr>
            <w:r>
              <w:t>9 Dec 2005 p. 5887</w:t>
            </w:r>
            <w:r>
              <w:noBreakHyphen/>
              <w:t>91</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2006</w:t>
            </w:r>
          </w:p>
        </w:tc>
        <w:tc>
          <w:tcPr>
            <w:tcW w:w="1347" w:type="dxa"/>
          </w:tcPr>
          <w:p>
            <w:pPr>
              <w:pStyle w:val="nTable"/>
              <w:spacing w:after="40"/>
            </w:pPr>
            <w:r>
              <w:t>8 Sep 2006 p. 3641</w:t>
            </w:r>
            <w:r>
              <w:noBreakHyphen/>
              <w:t>2</w:t>
            </w:r>
          </w:p>
        </w:tc>
        <w:tc>
          <w:tcPr>
            <w:tcW w:w="2622" w:type="dxa"/>
          </w:tcPr>
          <w:p>
            <w:pPr>
              <w:pStyle w:val="nTable"/>
              <w:spacing w:after="40"/>
            </w:pPr>
            <w:r>
              <w:t>8 Sep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2007</w:t>
            </w:r>
          </w:p>
        </w:tc>
        <w:tc>
          <w:tcPr>
            <w:tcW w:w="1347" w:type="dxa"/>
          </w:tcPr>
          <w:p>
            <w:pPr>
              <w:pStyle w:val="nTable"/>
              <w:spacing w:after="40"/>
            </w:pPr>
            <w:r>
              <w:t>1 Jun 2007 p. 2525</w:t>
            </w:r>
            <w:r>
              <w:noBreakHyphen/>
              <w:t>8</w:t>
            </w:r>
          </w:p>
        </w:tc>
        <w:tc>
          <w:tcPr>
            <w:tcW w:w="2622" w:type="dxa"/>
          </w:tcPr>
          <w:p>
            <w:pPr>
              <w:pStyle w:val="nTable"/>
              <w:spacing w:after="40"/>
            </w:pPr>
            <w:r>
              <w:t>1 Jun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2007</w:t>
            </w:r>
          </w:p>
        </w:tc>
        <w:tc>
          <w:tcPr>
            <w:tcW w:w="1347" w:type="dxa"/>
          </w:tcPr>
          <w:p>
            <w:pPr>
              <w:pStyle w:val="nTable"/>
              <w:spacing w:after="40"/>
            </w:pPr>
            <w:r>
              <w:t>22 Jun 2007 p. 2862</w:t>
            </w:r>
          </w:p>
        </w:tc>
        <w:tc>
          <w:tcPr>
            <w:tcW w:w="2622"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2008</w:t>
            </w:r>
          </w:p>
        </w:tc>
        <w:tc>
          <w:tcPr>
            <w:tcW w:w="1347" w:type="dxa"/>
          </w:tcPr>
          <w:p>
            <w:pPr>
              <w:pStyle w:val="nTable"/>
              <w:spacing w:after="40"/>
            </w:pPr>
            <w:r>
              <w:t>28 Mar 2008 p. 913-14</w:t>
            </w:r>
          </w:p>
        </w:tc>
        <w:tc>
          <w:tcPr>
            <w:tcW w:w="2622"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2008</w:t>
            </w:r>
          </w:p>
        </w:tc>
        <w:tc>
          <w:tcPr>
            <w:tcW w:w="1347" w:type="dxa"/>
          </w:tcPr>
          <w:p>
            <w:pPr>
              <w:pStyle w:val="nTable"/>
              <w:spacing w:after="40"/>
            </w:pPr>
            <w:r>
              <w:t>14 Nov 2008 p. 4878</w:t>
            </w:r>
          </w:p>
        </w:tc>
        <w:tc>
          <w:tcPr>
            <w:tcW w:w="2622" w:type="dxa"/>
          </w:tcPr>
          <w:p>
            <w:pPr>
              <w:pStyle w:val="nTable"/>
              <w:spacing w:after="40"/>
            </w:pPr>
            <w:r>
              <w:t>r. 1 and 2: 14 Nov 2008 (see r. 2(a));</w:t>
            </w:r>
            <w:r>
              <w:br/>
              <w:t>Regulations other than r. 1 and 2: 15 Nov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3) 2008</w:t>
            </w:r>
          </w:p>
        </w:tc>
        <w:tc>
          <w:tcPr>
            <w:tcW w:w="1347" w:type="dxa"/>
          </w:tcPr>
          <w:p>
            <w:pPr>
              <w:pStyle w:val="nTable"/>
              <w:spacing w:after="40"/>
            </w:pPr>
            <w:r>
              <w:t>25 Nov 2008 p. 4989-90</w:t>
            </w:r>
          </w:p>
        </w:tc>
        <w:tc>
          <w:tcPr>
            <w:tcW w:w="2622" w:type="dxa"/>
          </w:tcPr>
          <w:p>
            <w:pPr>
              <w:pStyle w:val="nTable"/>
              <w:spacing w:after="40"/>
            </w:pPr>
            <w:r>
              <w:t>r. 1 and 2: 25 Nov 2008 (see r. 2(a));</w:t>
            </w:r>
            <w:r>
              <w:br/>
              <w:t>Regulations other than r. 1 and 2: 26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lastRenderedPageBreak/>
              <w:t>Community Protection (Offender Reporting) Amendment Regulations 2009</w:t>
            </w:r>
          </w:p>
        </w:tc>
        <w:tc>
          <w:tcPr>
            <w:tcW w:w="1347" w:type="dxa"/>
          </w:tcPr>
          <w:p>
            <w:pPr>
              <w:pStyle w:val="nTable"/>
              <w:spacing w:after="40"/>
            </w:pPr>
            <w:r>
              <w:t>20 Feb 2009 p. 353-4</w:t>
            </w:r>
          </w:p>
        </w:tc>
        <w:tc>
          <w:tcPr>
            <w:tcW w:w="2622" w:type="dxa"/>
          </w:tcPr>
          <w:p>
            <w:pPr>
              <w:pStyle w:val="nTable"/>
              <w:spacing w:after="40"/>
            </w:pPr>
            <w:r>
              <w:t>r. 1 and 2: 20 Feb 2009 (see r. 2(a));</w:t>
            </w:r>
            <w:r>
              <w:br/>
              <w:t>Regulations other than r. 1 and 2: 21 Feb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2010</w:t>
            </w:r>
          </w:p>
        </w:tc>
        <w:tc>
          <w:tcPr>
            <w:tcW w:w="1347" w:type="dxa"/>
          </w:tcPr>
          <w:p>
            <w:pPr>
              <w:pStyle w:val="nTable"/>
              <w:spacing w:after="40"/>
            </w:pPr>
            <w:r>
              <w:t>21 Jan 2011 p. 157-8</w:t>
            </w:r>
          </w:p>
        </w:tc>
        <w:tc>
          <w:tcPr>
            <w:tcW w:w="2622" w:type="dxa"/>
          </w:tcPr>
          <w:p>
            <w:pPr>
              <w:pStyle w:val="nTable"/>
              <w:spacing w:after="40"/>
            </w:pPr>
            <w:r>
              <w:t>r. 1 and 2: 21 Jan 2011 (see r. 2(a));</w:t>
            </w:r>
            <w:r>
              <w:br/>
              <w:t>Regulations other than r. 1 and 2: 22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noProof/>
                <w:snapToGrid w:val="0"/>
              </w:rPr>
            </w:pPr>
            <w:r>
              <w:rPr>
                <w:i/>
                <w:noProof/>
                <w:snapToGrid w:val="0"/>
              </w:rPr>
              <w:t>Community Protection (Offender Reporting) Amendment Regulations 2011</w:t>
            </w:r>
            <w:r>
              <w:rPr>
                <w:noProof/>
                <w:snapToGrid w:val="0"/>
              </w:rPr>
              <w:t xml:space="preserve"> </w:t>
            </w:r>
          </w:p>
        </w:tc>
        <w:tc>
          <w:tcPr>
            <w:tcW w:w="1347" w:type="dxa"/>
          </w:tcPr>
          <w:p>
            <w:pPr>
              <w:pStyle w:val="nTable"/>
              <w:spacing w:after="40"/>
            </w:pPr>
            <w:r>
              <w:t>1 Jul 2011 p. 2746</w:t>
            </w:r>
            <w:r>
              <w:noBreakHyphen/>
              <w:t xml:space="preserve">7 </w:t>
            </w:r>
          </w:p>
        </w:tc>
        <w:tc>
          <w:tcPr>
            <w:tcW w:w="2622" w:type="dxa"/>
          </w:tcPr>
          <w:p>
            <w:pPr>
              <w:pStyle w:val="nTable"/>
              <w:spacing w:after="40"/>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 xml:space="preserve">Community Protection (Offender Reporting) Amendment Regulations 2012 </w:t>
            </w:r>
          </w:p>
        </w:tc>
        <w:tc>
          <w:tcPr>
            <w:tcW w:w="1347" w:type="dxa"/>
          </w:tcPr>
          <w:p>
            <w:pPr>
              <w:pStyle w:val="nTable"/>
              <w:spacing w:after="40"/>
            </w:pPr>
            <w:r>
              <w:t>30 Nov 2012 p. 5802</w:t>
            </w:r>
          </w:p>
        </w:tc>
        <w:tc>
          <w:tcPr>
            <w:tcW w:w="2622"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2013</w:t>
            </w:r>
          </w:p>
        </w:tc>
        <w:tc>
          <w:tcPr>
            <w:tcW w:w="1347" w:type="dxa"/>
            <w:shd w:val="clear" w:color="auto" w:fill="auto"/>
          </w:tcPr>
          <w:p>
            <w:pPr>
              <w:pStyle w:val="nTable"/>
              <w:spacing w:after="40"/>
            </w:pPr>
            <w:r>
              <w:t>8 Nov 2013 p. 4995</w:t>
            </w:r>
            <w:r>
              <w:noBreakHyphen/>
              <w:t>5015</w:t>
            </w:r>
          </w:p>
        </w:tc>
        <w:tc>
          <w:tcPr>
            <w:tcW w:w="2622" w:type="dxa"/>
            <w:shd w:val="clear" w:color="auto" w:fill="auto"/>
          </w:tcPr>
          <w:p>
            <w:pPr>
              <w:pStyle w:val="nTable"/>
              <w:spacing w:after="40"/>
              <w:rPr>
                <w:snapToGrid w:val="0"/>
              </w:rPr>
            </w:pPr>
            <w:r>
              <w:rPr>
                <w:snapToGrid w:val="0"/>
              </w:rPr>
              <w:t>r. 1 and 2: 8 Nov 2013 (see r. 2(a));</w:t>
            </w:r>
            <w:r>
              <w:rPr>
                <w:snapToGrid w:val="0"/>
              </w:rPr>
              <w:br/>
              <w:t xml:space="preserve">Regulations other than r. 1 and 2: 9 Nov 2013 (see r. 2(b) and </w:t>
            </w:r>
            <w:r>
              <w:rPr>
                <w:i/>
                <w:snapToGrid w:val="0"/>
              </w:rPr>
              <w:t xml:space="preserve">Gazette </w:t>
            </w:r>
            <w:r>
              <w:rPr>
                <w:snapToGrid w:val="0"/>
              </w:rPr>
              <w:t>8 Nov 2013 p. 4969)</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2014</w:t>
            </w:r>
          </w:p>
        </w:tc>
        <w:tc>
          <w:tcPr>
            <w:tcW w:w="1347" w:type="dxa"/>
            <w:shd w:val="clear" w:color="auto" w:fill="auto"/>
          </w:tcPr>
          <w:p>
            <w:pPr>
              <w:pStyle w:val="nTable"/>
              <w:spacing w:after="40"/>
            </w:pPr>
            <w:r>
              <w:t>5 Aug 2014 p. 2830</w:t>
            </w:r>
          </w:p>
        </w:tc>
        <w:tc>
          <w:tcPr>
            <w:tcW w:w="2622" w:type="dxa"/>
            <w:shd w:val="clear" w:color="auto" w:fill="auto"/>
          </w:tcPr>
          <w:p>
            <w:pPr>
              <w:pStyle w:val="nTable"/>
              <w:spacing w:after="40"/>
              <w:rPr>
                <w:snapToGrid w:val="0"/>
              </w:rPr>
            </w:pPr>
            <w:r>
              <w:rPr>
                <w:snapToGrid w:val="0"/>
              </w:rPr>
              <w:t>r. 1 and 2: 5 Aug 2014 (see r. 2(a));</w:t>
            </w:r>
            <w:r>
              <w:rPr>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Community Protection (Offender Reporting) Amendment Regulations 2015</w:t>
            </w:r>
          </w:p>
        </w:tc>
        <w:tc>
          <w:tcPr>
            <w:tcW w:w="1347" w:type="dxa"/>
            <w:shd w:val="clear" w:color="auto" w:fill="auto"/>
          </w:tcPr>
          <w:p>
            <w:pPr>
              <w:pStyle w:val="nTable"/>
              <w:spacing w:after="40"/>
            </w:pPr>
            <w:r>
              <w:t>16 Jun 2015 p. 2077</w:t>
            </w:r>
            <w:r>
              <w:noBreakHyphen/>
              <w:t>8</w:t>
            </w:r>
          </w:p>
        </w:tc>
        <w:tc>
          <w:tcPr>
            <w:tcW w:w="2622" w:type="dxa"/>
            <w:shd w:val="clear" w:color="auto" w:fill="auto"/>
          </w:tcPr>
          <w:p>
            <w:pPr>
              <w:pStyle w:val="nTable"/>
              <w:spacing w:after="40"/>
              <w:rPr>
                <w:snapToGrid w:val="0"/>
              </w:rPr>
            </w:pPr>
            <w:r>
              <w:rPr>
                <w:snapToGrid w:val="0"/>
              </w:rPr>
              <w:t>r. 1 and 2: 16 Jun 2015 (see r. 2(a));</w:t>
            </w:r>
            <w:r>
              <w:rPr>
                <w:snapToGrid w:val="0"/>
              </w:rPr>
              <w:br/>
              <w:t xml:space="preserve">Regulations other than r. 1 and 2: 17 Jun 2015 (see r.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Police Service Regulations Amendment (Public Health) Regulations 2016 </w:t>
            </w:r>
            <w:r>
              <w:t>Pt. 2 </w:t>
            </w:r>
          </w:p>
        </w:tc>
        <w:tc>
          <w:tcPr>
            <w:tcW w:w="1347" w:type="dxa"/>
            <w:shd w:val="clear" w:color="auto" w:fill="auto"/>
          </w:tcPr>
          <w:p>
            <w:pPr>
              <w:pStyle w:val="nTable"/>
              <w:spacing w:after="40"/>
            </w:pPr>
            <w:r>
              <w:t>10 Jan 2017 p. 221-4</w:t>
            </w:r>
          </w:p>
        </w:tc>
        <w:tc>
          <w:tcPr>
            <w:tcW w:w="2622"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Community Protection (Offender Reporting) Amendment Regulations 2017</w:t>
            </w:r>
          </w:p>
        </w:tc>
        <w:tc>
          <w:tcPr>
            <w:tcW w:w="1347" w:type="dxa"/>
            <w:shd w:val="clear" w:color="auto" w:fill="auto"/>
          </w:tcPr>
          <w:p>
            <w:pPr>
              <w:pStyle w:val="nTable"/>
              <w:spacing w:after="40"/>
            </w:pPr>
            <w:r>
              <w:t>13 Jan 2017 p. 359</w:t>
            </w:r>
            <w:r>
              <w:noBreakHyphen/>
              <w:t>60</w:t>
            </w:r>
          </w:p>
        </w:tc>
        <w:tc>
          <w:tcPr>
            <w:tcW w:w="2622" w:type="dxa"/>
            <w:shd w:val="clear" w:color="auto" w:fill="auto"/>
          </w:tcPr>
          <w:p>
            <w:pPr>
              <w:pStyle w:val="nTable"/>
              <w:spacing w:after="40"/>
              <w:rPr>
                <w:snapToGrid w:val="0"/>
              </w:rPr>
            </w:pPr>
            <w:r>
              <w:rPr>
                <w:snapToGrid w:val="0"/>
              </w:rPr>
              <w:t xml:space="preserve">r. 1 and 2: </w:t>
            </w:r>
            <w:r>
              <w:t>13 Jan 2017</w:t>
            </w:r>
            <w:r>
              <w:rPr>
                <w:snapToGrid w:val="0"/>
              </w:rPr>
              <w:t xml:space="preserve"> (see r. 2(a));</w:t>
            </w:r>
            <w:r>
              <w:rPr>
                <w:snapToGrid w:val="0"/>
              </w:rPr>
              <w:br/>
              <w:t xml:space="preserve">Regulations other than r. 1, 2 and 4(2): </w:t>
            </w:r>
            <w:r>
              <w:t>14 Jan 2017</w:t>
            </w:r>
            <w:r>
              <w:rPr>
                <w:snapToGrid w:val="0"/>
              </w:rPr>
              <w:t xml:space="preserve"> (see r. 2(c));</w:t>
            </w:r>
            <w:r>
              <w:rPr>
                <w:snapToGrid w:val="0"/>
              </w:rPr>
              <w:br/>
              <w:t>r. 4(2): 2 Feb 2017 (see r. 2(b) and s. 2(2) of 2016/021 (Vic))</w:t>
            </w:r>
          </w:p>
        </w:tc>
      </w:tr>
      <w:tr>
        <w:trPr>
          <w:cantSplit/>
        </w:trPr>
        <w:tc>
          <w:tcPr>
            <w:tcW w:w="3119" w:type="dxa"/>
            <w:tcBorders>
              <w:top w:val="nil"/>
              <w:bottom w:val="nil"/>
            </w:tcBorders>
            <w:shd w:val="clear" w:color="auto" w:fill="auto"/>
          </w:tcPr>
          <w:p>
            <w:pPr>
              <w:pStyle w:val="nTable"/>
              <w:spacing w:after="40"/>
              <w:rPr>
                <w:i/>
              </w:rPr>
            </w:pPr>
            <w:r>
              <w:rPr>
                <w:i/>
              </w:rPr>
              <w:t>Community Protection (Offender Reporting) Amendment Regulations 2018</w:t>
            </w:r>
          </w:p>
        </w:tc>
        <w:tc>
          <w:tcPr>
            <w:tcW w:w="1347" w:type="dxa"/>
            <w:tcBorders>
              <w:top w:val="nil"/>
              <w:bottom w:val="nil"/>
            </w:tcBorders>
            <w:shd w:val="clear" w:color="auto" w:fill="auto"/>
          </w:tcPr>
          <w:p>
            <w:pPr>
              <w:pStyle w:val="nTable"/>
              <w:spacing w:after="40"/>
            </w:pPr>
            <w:r>
              <w:t>13 Nov 2018 p. 4432-3</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trPr>
          <w:cantSplit/>
        </w:trPr>
        <w:tc>
          <w:tcPr>
            <w:tcW w:w="3119" w:type="dxa"/>
            <w:tcBorders>
              <w:top w:val="nil"/>
              <w:bottom w:val="nil"/>
            </w:tcBorders>
            <w:shd w:val="clear" w:color="auto" w:fill="auto"/>
          </w:tcPr>
          <w:p>
            <w:pPr>
              <w:pStyle w:val="nTable"/>
              <w:spacing w:after="40"/>
            </w:pPr>
            <w:r>
              <w:rPr>
                <w:i/>
              </w:rPr>
              <w:t>Community Protection (Offender Reporting) Amendment Regulations 2021</w:t>
            </w:r>
          </w:p>
        </w:tc>
        <w:tc>
          <w:tcPr>
            <w:tcW w:w="1347" w:type="dxa"/>
            <w:tcBorders>
              <w:top w:val="nil"/>
              <w:bottom w:val="nil"/>
            </w:tcBorders>
            <w:shd w:val="clear" w:color="auto" w:fill="auto"/>
          </w:tcPr>
          <w:p>
            <w:pPr>
              <w:pStyle w:val="nTable"/>
              <w:spacing w:after="40"/>
            </w:pPr>
            <w:r>
              <w:t>SL 2021/57 21 May 2021</w:t>
            </w:r>
          </w:p>
        </w:tc>
        <w:tc>
          <w:tcPr>
            <w:tcW w:w="2622" w:type="dxa"/>
            <w:tcBorders>
              <w:top w:val="nil"/>
              <w:bottom w:val="nil"/>
            </w:tcBorders>
            <w:shd w:val="clear" w:color="auto" w:fill="auto"/>
          </w:tcPr>
          <w:p>
            <w:pPr>
              <w:pStyle w:val="nTable"/>
              <w:spacing w:after="40"/>
              <w:rPr>
                <w:snapToGrid w:val="0"/>
              </w:rPr>
            </w:pPr>
            <w:r>
              <w:rPr>
                <w:snapToGrid w:val="0"/>
              </w:rPr>
              <w:t>r. 1 and 2: 21 May 2021 (see r. 2(a));</w:t>
            </w:r>
            <w:r>
              <w:rPr>
                <w:snapToGrid w:val="0"/>
              </w:rPr>
              <w:br/>
              <w:t>r. 3 and 5(1): 22 May 2021 (see r. 2(b));</w:t>
            </w:r>
            <w:r>
              <w:rPr>
                <w:snapToGrid w:val="0"/>
              </w:rPr>
              <w:br/>
            </w:r>
            <w:r>
              <w:t>r. 4, 5(2) and (3), 6 and 7: 1 Jul 2021 (see r. 2(c) and SL 2021/54 cl. 2(c))</w:t>
            </w:r>
          </w:p>
        </w:tc>
      </w:tr>
      <w:tr>
        <w:trPr>
          <w:cantSplit/>
        </w:trPr>
        <w:tc>
          <w:tcPr>
            <w:tcW w:w="3119" w:type="dxa"/>
            <w:tcBorders>
              <w:top w:val="nil"/>
              <w:bottom w:val="nil"/>
            </w:tcBorders>
            <w:shd w:val="clear" w:color="auto" w:fill="auto"/>
          </w:tcPr>
          <w:p>
            <w:pPr>
              <w:pStyle w:val="nTable"/>
              <w:spacing w:after="40"/>
              <w:rPr>
                <w:i/>
              </w:rPr>
            </w:pPr>
            <w:r>
              <w:rPr>
                <w:i/>
                <w:noProof/>
                <w:snapToGrid w:val="0"/>
              </w:rPr>
              <w:t>Community Protection (Offender Reporting) Amendment Regulations (No. 2) 2021</w:t>
            </w:r>
          </w:p>
        </w:tc>
        <w:tc>
          <w:tcPr>
            <w:tcW w:w="1347" w:type="dxa"/>
            <w:tcBorders>
              <w:top w:val="nil"/>
              <w:bottom w:val="nil"/>
            </w:tcBorders>
            <w:shd w:val="clear" w:color="auto" w:fill="auto"/>
          </w:tcPr>
          <w:p>
            <w:pPr>
              <w:pStyle w:val="nTable"/>
              <w:spacing w:after="40"/>
            </w:pPr>
            <w:r>
              <w:t>SL 2021/125 16 Jul 2021</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16 Jul 2021</w:t>
            </w:r>
            <w:r>
              <w:rPr>
                <w:snapToGrid w:val="0"/>
              </w:rPr>
              <w:t xml:space="preserve"> (see r. 2(a));</w:t>
            </w:r>
            <w:r>
              <w:rPr>
                <w:snapToGrid w:val="0"/>
              </w:rPr>
              <w:br/>
              <w:t xml:space="preserve">Regulations other than r. 1 and 2: </w:t>
            </w:r>
            <w:r>
              <w:t>17 Jul 2021</w:t>
            </w:r>
            <w:r>
              <w:rPr>
                <w:noProof/>
              </w:rPr>
              <w:t xml:space="preserve"> (see r. 2(b))</w:t>
            </w:r>
          </w:p>
        </w:tc>
      </w:tr>
      <w:tr>
        <w:trPr>
          <w:cantSplit/>
        </w:trPr>
        <w:tc>
          <w:tcPr>
            <w:tcW w:w="3119" w:type="dxa"/>
            <w:tcBorders>
              <w:top w:val="nil"/>
              <w:bottom w:val="nil"/>
            </w:tcBorders>
            <w:shd w:val="clear" w:color="auto" w:fill="auto"/>
          </w:tcPr>
          <w:p>
            <w:pPr>
              <w:pStyle w:val="nTable"/>
              <w:spacing w:after="40"/>
              <w:rPr>
                <w:i/>
                <w:noProof/>
                <w:snapToGrid w:val="0"/>
              </w:rPr>
            </w:pPr>
            <w:r>
              <w:rPr>
                <w:i/>
                <w:noProof/>
                <w:snapToGrid w:val="0"/>
              </w:rPr>
              <w:t>Community Protection (Offender Reporting) Amendment Regulations (No. 3) 2021</w:t>
            </w:r>
          </w:p>
        </w:tc>
        <w:tc>
          <w:tcPr>
            <w:tcW w:w="1347" w:type="dxa"/>
            <w:tcBorders>
              <w:top w:val="nil"/>
              <w:bottom w:val="nil"/>
            </w:tcBorders>
            <w:shd w:val="clear" w:color="auto" w:fill="auto"/>
          </w:tcPr>
          <w:p>
            <w:pPr>
              <w:pStyle w:val="nTable"/>
              <w:spacing w:after="40"/>
            </w:pPr>
            <w:r>
              <w:t>SL 2021/192 19 Nov 2021</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cantSplit/>
        </w:trPr>
        <w:tc>
          <w:tcPr>
            <w:tcW w:w="3119" w:type="dxa"/>
            <w:tcBorders>
              <w:top w:val="nil"/>
              <w:bottom w:val="single" w:sz="4" w:space="0" w:color="auto"/>
            </w:tcBorders>
            <w:shd w:val="clear" w:color="auto" w:fill="auto"/>
          </w:tcPr>
          <w:p>
            <w:pPr>
              <w:pStyle w:val="nTable"/>
              <w:spacing w:after="40"/>
              <w:rPr>
                <w:i/>
                <w:noProof/>
                <w:snapToGrid w:val="0"/>
              </w:rPr>
            </w:pPr>
            <w:r>
              <w:rPr>
                <w:i/>
              </w:rPr>
              <w:t xml:space="preserve">Police Regulations Amendment (Criminal Law Mental Impairment) Regulations 2024 </w:t>
            </w:r>
            <w:r>
              <w:rPr>
                <w:iCs/>
              </w:rPr>
              <w:t>Pt. 2</w:t>
            </w:r>
          </w:p>
        </w:tc>
        <w:tc>
          <w:tcPr>
            <w:tcW w:w="1347" w:type="dxa"/>
            <w:tcBorders>
              <w:top w:val="nil"/>
              <w:bottom w:val="single" w:sz="4" w:space="0" w:color="auto"/>
            </w:tcBorders>
            <w:shd w:val="clear" w:color="auto" w:fill="auto"/>
          </w:tcPr>
          <w:p>
            <w:pPr>
              <w:pStyle w:val="nTable"/>
              <w:spacing w:after="40"/>
            </w:pPr>
            <w:r>
              <w:t>SL 2024/172 21 Aug 2024</w:t>
            </w:r>
          </w:p>
        </w:tc>
        <w:tc>
          <w:tcPr>
            <w:tcW w:w="2622" w:type="dxa"/>
            <w:tcBorders>
              <w:top w:val="nil"/>
              <w:bottom w:val="single" w:sz="4" w:space="0" w:color="auto"/>
            </w:tcBorders>
            <w:shd w:val="clear" w:color="auto" w:fill="auto"/>
          </w:tcPr>
          <w:p>
            <w:pPr>
              <w:pStyle w:val="nTable"/>
              <w:spacing w:after="40"/>
              <w:rPr>
                <w:snapToGrid w:val="0"/>
              </w:rPr>
            </w:pPr>
            <w:r>
              <w:t>1 Sep 2024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57" w:name="_Toc175215060"/>
      <w:r>
        <w:rPr>
          <w:sz w:val="28"/>
        </w:rPr>
        <w:lastRenderedPageBreak/>
        <w:t>Defined terms</w:t>
      </w:r>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form</w:t>
      </w:r>
      <w:r>
        <w:tab/>
        <w:t>26C(1)</w:t>
      </w:r>
    </w:p>
    <w:p>
      <w:pPr>
        <w:pStyle w:val="DefinedTerms"/>
      </w:pPr>
      <w:r>
        <w:t>authorised breath tester</w:t>
      </w:r>
      <w:r>
        <w:tab/>
        <w:t>3, 26D(1)</w:t>
      </w:r>
    </w:p>
    <w:p>
      <w:pPr>
        <w:pStyle w:val="DefinedTerms"/>
      </w:pPr>
      <w:r>
        <w:t>authorised sample collector</w:t>
      </w:r>
      <w:r>
        <w:tab/>
        <w:t>3</w:t>
      </w:r>
    </w:p>
    <w:p>
      <w:pPr>
        <w:pStyle w:val="DefinedTerms"/>
      </w:pPr>
      <w:r>
        <w:t>blood alcohol content</w:t>
      </w:r>
      <w:r>
        <w:tab/>
        <w:t>3</w:t>
      </w:r>
    </w:p>
    <w:p>
      <w:pPr>
        <w:pStyle w:val="DefinedTerms"/>
      </w:pPr>
      <w:r>
        <w:t>blood sampling equipment</w:t>
      </w:r>
      <w:r>
        <w:tab/>
        <w:t>3, 26F(1)</w:t>
      </w:r>
    </w:p>
    <w:p>
      <w:pPr>
        <w:pStyle w:val="DefinedTerms"/>
      </w:pPr>
      <w:r>
        <w:t>Breath Analysis Regulations</w:t>
      </w:r>
      <w:r>
        <w:tab/>
        <w:t>3</w:t>
      </w:r>
    </w:p>
    <w:p>
      <w:pPr>
        <w:pStyle w:val="DefinedTerms"/>
      </w:pPr>
      <w:r>
        <w:t>breath test</w:t>
      </w:r>
      <w:r>
        <w:tab/>
        <w:t>3</w:t>
      </w:r>
    </w:p>
    <w:p>
      <w:pPr>
        <w:pStyle w:val="DefinedTerms"/>
      </w:pPr>
      <w:r>
        <w:t>breath testing equipment</w:t>
      </w:r>
      <w:r>
        <w:tab/>
        <w:t>3</w:t>
      </w:r>
    </w:p>
    <w:p>
      <w:pPr>
        <w:pStyle w:val="DefinedTerms"/>
      </w:pPr>
      <w:r>
        <w:t>Commission</w:t>
      </w:r>
      <w:r>
        <w:tab/>
        <w:t>7(5)</w:t>
      </w:r>
    </w:p>
    <w:p>
      <w:pPr>
        <w:pStyle w:val="DefinedTerms"/>
      </w:pPr>
      <w:r>
        <w:t>Department of Corrective Services</w:t>
      </w:r>
      <w:r>
        <w:tab/>
        <w:t>3</w:t>
      </w:r>
    </w:p>
    <w:p>
      <w:pPr>
        <w:pStyle w:val="DefinedTerms"/>
      </w:pPr>
      <w:r>
        <w:t>Department of Health</w:t>
      </w:r>
      <w:r>
        <w:tab/>
        <w:t>7(3)</w:t>
      </w:r>
    </w:p>
    <w:p>
      <w:pPr>
        <w:pStyle w:val="DefinedTerms"/>
      </w:pPr>
      <w:r>
        <w:t>detention centre</w:t>
      </w:r>
      <w:r>
        <w:tab/>
        <w:t>7(3)</w:t>
      </w:r>
    </w:p>
    <w:p>
      <w:pPr>
        <w:pStyle w:val="DefinedTerms"/>
      </w:pPr>
      <w:r>
        <w:t>foreign court</w:t>
      </w:r>
      <w:r>
        <w:tab/>
        <w:t>3</w:t>
      </w:r>
    </w:p>
    <w:p>
      <w:pPr>
        <w:pStyle w:val="DefinedTerms"/>
      </w:pPr>
      <w:r>
        <w:t>leave of absence order</w:t>
      </w:r>
      <w:r>
        <w:tab/>
        <w:t>7(3)</w:t>
      </w:r>
    </w:p>
    <w:p>
      <w:pPr>
        <w:pStyle w:val="DefinedTerms"/>
      </w:pPr>
      <w:r>
        <w:t>medical practitioner</w:t>
      </w:r>
      <w:r>
        <w:tab/>
        <w:t>3</w:t>
      </w:r>
    </w:p>
    <w:p>
      <w:pPr>
        <w:pStyle w:val="DefinedTerms"/>
      </w:pPr>
      <w:r>
        <w:t>phlebotomist</w:t>
      </w:r>
      <w:r>
        <w:tab/>
        <w:t>3</w:t>
      </w:r>
    </w:p>
    <w:p>
      <w:pPr>
        <w:pStyle w:val="DefinedTerms"/>
      </w:pPr>
      <w:r>
        <w:t>prison</w:t>
      </w:r>
      <w:r>
        <w:tab/>
        <w:t>7(3)</w:t>
      </w:r>
    </w:p>
    <w:p>
      <w:pPr>
        <w:pStyle w:val="DefinedTerms"/>
      </w:pPr>
      <w:r>
        <w:t>recognised order</w:t>
      </w:r>
      <w:r>
        <w:tab/>
        <w:t>3</w:t>
      </w:r>
    </w:p>
    <w:p>
      <w:pPr>
        <w:pStyle w:val="DefinedTerms"/>
      </w:pPr>
      <w:r>
        <w:t>registered nurse</w:t>
      </w:r>
      <w:r>
        <w:tab/>
        <w:t>3</w:t>
      </w:r>
    </w:p>
    <w:p>
      <w:pPr>
        <w:pStyle w:val="DefinedTerms"/>
      </w:pPr>
      <w:r>
        <w:t>registrar</w:t>
      </w:r>
      <w:r>
        <w:tab/>
        <w:t>3</w:t>
      </w:r>
    </w:p>
    <w:p>
      <w:pPr>
        <w:pStyle w:val="DefinedTerms"/>
      </w:pPr>
      <w:r>
        <w:t>relevant court</w:t>
      </w:r>
      <w:r>
        <w:tab/>
        <w:t>3</w:t>
      </w:r>
    </w:p>
    <w:p>
      <w:pPr>
        <w:pStyle w:val="DefinedTerms"/>
      </w:pPr>
      <w:r>
        <w:t>resident</w:t>
      </w:r>
      <w:r>
        <w:tab/>
        <w:t>7(5)</w:t>
      </w:r>
    </w:p>
    <w:p>
      <w:pPr>
        <w:pStyle w:val="DefinedTerms"/>
      </w:pPr>
      <w:r>
        <w:t>sample</w:t>
      </w:r>
      <w:r>
        <w:tab/>
        <w:t>26F(1)</w:t>
      </w:r>
    </w:p>
    <w:p>
      <w:pPr>
        <w:pStyle w:val="DefinedTerms"/>
      </w:pPr>
      <w:r>
        <w:t>urine sampling equipment</w:t>
      </w:r>
      <w:r>
        <w:tab/>
        <w:t>3, 26F(1)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2154D2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38752AD" w14:textId="3786FF4B" w:rsidR="00822662" w:rsidRDefault="00D91B2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82BB8">
                        <w:rPr>
                          <w:sz w:val="16"/>
                        </w:rPr>
                        <w:t>2024</w:t>
                      </w:r>
                      <w:r>
                        <w:rPr>
                          <w:sz w:val="16"/>
                        </w:rPr>
                        <w:fldChar w:fldCharType="end"/>
                      </w:r>
                      <w:r>
                        <w:rPr>
                          <w:sz w:val="16"/>
                        </w:rPr>
                        <w:t>.</w:t>
                      </w:r>
                    </w:p>
                    <w:p w14:paraId="197B8094" w14:textId="77777777" w:rsidR="00822662" w:rsidRDefault="00D91B2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007D6A" w14:textId="09FD355C" w:rsidR="00822662" w:rsidRDefault="00D91B2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82BB8">
                        <w:rPr>
                          <w:sz w:val="16"/>
                        </w:rPr>
                        <w:t>2024</w:t>
                      </w:r>
                      <w:r>
                        <w:rPr>
                          <w:sz w:val="16"/>
                        </w:rPr>
                        <w:fldChar w:fldCharType="end"/>
                      </w:r>
                      <w:r>
                        <w:rPr>
                          <w:sz w:val="16"/>
                        </w:rPr>
                        <w:t>.</w:t>
                      </w:r>
                    </w:p>
                    <w:p w14:paraId="57D82891" w14:textId="77777777" w:rsidR="00822662" w:rsidRDefault="00D91B2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8" w:name="DefinedTerms"/>
    <w:bookmarkEnd w:id="5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64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083904"/>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 w:name="WAFER_20181128114809" w:val="RemoveTocBookmarks,RemoveUnusedBookmarks,RemoveLanguageTags,UsedStyles,ResetPageSize"/>
    <w:docVar w:name="WAFER_20181128114809_GUID" w:val="ba0f61d1-e8ad-4c09-9537-4ed0fde15adb"/>
    <w:docVar w:name="WAFER_2021052010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05851_GUID" w:val="95979394-537c-40d1-af24-9e0a8f9cc548"/>
    <w:docVar w:name="WAFER_20210625085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85232_GUID" w:val="c1c0c5f7-f582-4119-a184-2b88c0be89ad"/>
    <w:docVar w:name="WAFER_20210714085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85419_GUID" w:val="0fa4e0e7-633b-4f63-9af0-16efa8efedad"/>
    <w:docVar w:name="WAFER_202111161212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21239_GUID" w:val="cf8ff2ba-24a0-45b9-baa0-a10bba474a5e"/>
    <w:docVar w:name="WAFER_2024082208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2083904_GUID" w:val="c6fc65b6-0fc1-4921-8a54-a4884b5cfc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71C3B9F0-DB2C-4555-B26B-D7AA678DA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E8488-1B0E-4B5E-A162-DE17370D3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8794</Words>
  <Characters>47929</Characters>
  <Application>Microsoft Office Word</Application>
  <DocSecurity>0</DocSecurity>
  <Lines>1546</Lines>
  <Paragraphs>977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2004 - 03-o0-00</dc:title>
  <dc:subject/>
  <dc:creator/>
  <cp:keywords/>
  <dc:description/>
  <cp:lastModifiedBy>Master Repository Process</cp:lastModifiedBy>
  <cp:revision>4</cp:revision>
  <cp:lastPrinted>2014-04-04T05:23:00Z</cp:lastPrinted>
  <dcterms:created xsi:type="dcterms:W3CDTF">2025-06-26T03:19:00Z</dcterms:created>
  <dcterms:modified xsi:type="dcterms:W3CDTF">2025-06-26T03:19:00Z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AsAtDate">
    <vt:lpwstr>01 Sep 2024</vt:lpwstr>
  </property>
  <property fmtid="{D5CDD505-2E9C-101B-9397-08002B2CF9AE}" pid="11" name="Suffix">
    <vt:lpwstr>03-o0-00</vt:lpwstr>
  </property>
  <property fmtid="{D5CDD505-2E9C-101B-9397-08002B2CF9AE}" pid="12" name="Official">
    <vt:lpwstr/>
  </property>
</Properties>
</file>