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_Toc174976076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_Toc174976077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_Toc174976078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_Toc174976081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_Toc174976082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_Toc174976083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_Toc174976084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_Toc174976085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_Toc174976086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_Toc174976087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_Toc174976089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_Toc174976090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_Toc174976091 \h </w:instrText>
      </w:r>
      <w:r>
        <w:fldChar w:fldCharType="separate"/>
      </w:r>
      <w:r>
        <w:t>21</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_Toc174976092 \h </w:instrText>
      </w:r>
      <w:r>
        <w:fldChar w:fldCharType="separate"/>
      </w:r>
      <w:r>
        <w:t>25</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_Toc174976093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_Toc174976094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_Toc174976095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_Toc174976097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16AA.</w:t>
      </w:r>
      <w:r>
        <w:tab/>
        <w:t>Approval of noise management plan: motor sport venue</w:t>
      </w:r>
      <w:r>
        <w:tab/>
      </w:r>
      <w:r>
        <w:fldChar w:fldCharType="begin"/>
      </w:r>
      <w:r>
        <w:instrText xml:space="preserve"> PAGEREF _Toc174976098 \h </w:instrText>
      </w:r>
      <w:r>
        <w:fldChar w:fldCharType="separate"/>
      </w:r>
      <w:r>
        <w:t>34</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_Toc174976099 \h </w:instrText>
      </w:r>
      <w:r>
        <w:fldChar w:fldCharType="separate"/>
      </w:r>
      <w:r>
        <w:t>37</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_Toc174976100 \h </w:instrText>
      </w:r>
      <w:r>
        <w:fldChar w:fldCharType="separate"/>
      </w:r>
      <w:r>
        <w:t>37</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_Toc174976101 \h </w:instrText>
      </w:r>
      <w:r>
        <w:fldChar w:fldCharType="separate"/>
      </w:r>
      <w:r>
        <w:t>38</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_Toc174976102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_Toc174976104 \h </w:instrText>
      </w:r>
      <w:r>
        <w:fldChar w:fldCharType="separate"/>
      </w:r>
      <w:r>
        <w:t>40</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_Toc174976105 \h </w:instrText>
      </w:r>
      <w:r>
        <w:fldChar w:fldCharType="separate"/>
      </w:r>
      <w:r>
        <w:t>40</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_Toc174976106 \h </w:instrText>
      </w:r>
      <w:r>
        <w:fldChar w:fldCharType="separate"/>
      </w:r>
      <w:r>
        <w:t>43</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_Toc174976107 \h </w:instrText>
      </w:r>
      <w:r>
        <w:fldChar w:fldCharType="separate"/>
      </w:r>
      <w:r>
        <w:t>44</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_Toc174976108 \h </w:instrText>
      </w:r>
      <w:r>
        <w:fldChar w:fldCharType="separate"/>
      </w:r>
      <w:r>
        <w:t>45</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_Toc174976109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_Toc174976111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_Toc174976113 \h </w:instrText>
      </w:r>
      <w:r>
        <w:fldChar w:fldCharType="separate"/>
      </w:r>
      <w:r>
        <w:t>50</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_Toc174976114 \h </w:instrText>
      </w:r>
      <w:r>
        <w:fldChar w:fldCharType="separate"/>
      </w:r>
      <w:r>
        <w:t>51</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_Toc174976115 \h </w:instrText>
      </w:r>
      <w:r>
        <w:fldChar w:fldCharType="separate"/>
      </w:r>
      <w:r>
        <w:t>53</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_Toc174976116 \h </w:instrText>
      </w:r>
      <w:r>
        <w:fldChar w:fldCharType="separate"/>
      </w:r>
      <w:r>
        <w:t>53</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_Toc174976117 \h </w:instrText>
      </w:r>
      <w:r>
        <w:fldChar w:fldCharType="separate"/>
      </w:r>
      <w:r>
        <w:t>53</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_Toc174976118 \h </w:instrText>
      </w:r>
      <w:r>
        <w:fldChar w:fldCharType="separate"/>
      </w:r>
      <w:r>
        <w:t>54</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_Toc174976119 \h </w:instrText>
      </w:r>
      <w:r>
        <w:fldChar w:fldCharType="separate"/>
      </w:r>
      <w:r>
        <w:t>54</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_Toc174976120 \h </w:instrText>
      </w:r>
      <w:r>
        <w:fldChar w:fldCharType="separate"/>
      </w:r>
      <w:r>
        <w:t>55</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_Toc174976121 \h </w:instrText>
      </w:r>
      <w:r>
        <w:fldChar w:fldCharType="separate"/>
      </w:r>
      <w:r>
        <w:t>55</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_Toc174976122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_Toc174976124 \h </w:instrText>
      </w:r>
      <w:r>
        <w:fldChar w:fldCharType="separate"/>
      </w:r>
      <w:r>
        <w:t>58</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_Toc174976125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19A.</w:t>
      </w:r>
      <w:r>
        <w:tab/>
        <w:t>Ancillary conditions: approved events</w:t>
      </w:r>
      <w:r>
        <w:tab/>
      </w:r>
      <w:r>
        <w:fldChar w:fldCharType="begin"/>
      </w:r>
      <w:r>
        <w:instrText xml:space="preserve"> PAGEREF _Toc174976126 \h </w:instrText>
      </w:r>
      <w:r>
        <w:fldChar w:fldCharType="separate"/>
      </w:r>
      <w:r>
        <w:t>62</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_Toc174976127 \h </w:instrText>
      </w:r>
      <w:r>
        <w:fldChar w:fldCharType="separate"/>
      </w:r>
      <w:r>
        <w:t>62</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_Toc174976128 \h </w:instrText>
      </w:r>
      <w:r>
        <w:fldChar w:fldCharType="separate"/>
      </w:r>
      <w:r>
        <w:t>66</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_Toc174976129 \h </w:instrText>
      </w:r>
      <w:r>
        <w:fldChar w:fldCharType="separate"/>
      </w:r>
      <w:r>
        <w:t>66</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_Toc174976130 \h </w:instrText>
      </w:r>
      <w:r>
        <w:fldChar w:fldCharType="separate"/>
      </w:r>
      <w:r>
        <w:t>68</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_Toc174976131 \h </w:instrText>
      </w:r>
      <w:r>
        <w:fldChar w:fldCharType="separate"/>
      </w:r>
      <w:r>
        <w:t>69</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_Toc174976132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_Toc174976134 \h </w:instrText>
      </w:r>
      <w:r>
        <w:fldChar w:fldCharType="separate"/>
      </w:r>
      <w:r>
        <w:t>72</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_Toc174976135 \h </w:instrText>
      </w:r>
      <w:r>
        <w:fldChar w:fldCharType="separate"/>
      </w:r>
      <w:r>
        <w:t>73</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_Toc174976136 \h </w:instrText>
      </w:r>
      <w:r>
        <w:fldChar w:fldCharType="separate"/>
      </w:r>
      <w:r>
        <w:t>73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_Toc174976137 \h </w:instrText>
      </w:r>
      <w:r>
        <w:fldChar w:fldCharType="separate"/>
      </w:r>
      <w:r>
        <w:t>74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_Toc174976138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_Toc174976142 \h </w:instrText>
      </w:r>
      <w:r>
        <w:fldChar w:fldCharType="separate"/>
      </w:r>
      <w:r>
        <w:t>80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_Toc174976143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_Toc174976145 \h </w:instrText>
      </w:r>
      <w:r>
        <w:fldChar w:fldCharType="separate"/>
      </w:r>
      <w:r>
        <w:t>85</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_Toc174976146 \h </w:instrText>
      </w:r>
      <w:r>
        <w:fldChar w:fldCharType="separate"/>
      </w:r>
      <w:r>
        <w:t>85</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_Toc174976147 \h </w:instrText>
      </w:r>
      <w:r>
        <w:fldChar w:fldCharType="separate"/>
      </w:r>
      <w:r>
        <w:t>87</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_Toc174976148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_Toc174976150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2" w:name="_Toc174968883"/>
      <w:bookmarkStart w:id="3" w:name="_Toc174969798"/>
      <w:bookmarkStart w:id="4" w:name="_Toc174976075"/>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240"/>
        <w:rPr>
          <w:snapToGrid w:val="0"/>
        </w:rPr>
      </w:pPr>
      <w:bookmarkStart w:id="5" w:name="_Toc174976076"/>
      <w:r>
        <w:rPr>
          <w:rStyle w:val="CharSectno"/>
        </w:rPr>
        <w:t>1</w:t>
      </w:r>
      <w:r>
        <w:rPr>
          <w:snapToGrid w:val="0"/>
        </w:rPr>
        <w:t xml:space="preserve">. </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6" w:name="_Toc174976077"/>
      <w:r>
        <w:rPr>
          <w:rStyle w:val="CharSectno"/>
        </w:rPr>
        <w:t>2</w:t>
      </w:r>
      <w:r>
        <w:rPr>
          <w:snapToGrid w:val="0"/>
        </w:rPr>
        <w:t xml:space="preserve">. </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w:t>
      </w:r>
      <w:r>
        <w:rPr>
          <w:snapToGrid w:val="0"/>
        </w:rPr>
        <w:lastRenderedPageBreak/>
        <w:t>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7" w:name="_Toc174976078"/>
      <w:r>
        <w:rPr>
          <w:rStyle w:val="CharSectno"/>
        </w:rPr>
        <w:t>3</w:t>
      </w:r>
      <w:r>
        <w:t>.</w:t>
      </w:r>
      <w:r>
        <w:tab/>
        <w:t>Regulations do not apply to certain noise emissions</w:t>
      </w:r>
      <w:bookmarkEnd w:id="7"/>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lastRenderedPageBreak/>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8" w:name="_Toc174968887"/>
      <w:bookmarkStart w:id="9" w:name="_Toc174969802"/>
      <w:bookmarkStart w:id="10" w:name="_Toc174976079"/>
      <w:r>
        <w:rPr>
          <w:rStyle w:val="CharPartNo"/>
        </w:rPr>
        <w:lastRenderedPageBreak/>
        <w:t>Part 2</w:t>
      </w:r>
      <w:r>
        <w:t> — </w:t>
      </w:r>
      <w:r>
        <w:rPr>
          <w:rStyle w:val="CharPartText"/>
        </w:rPr>
        <w:t>Allowable noise emissions</w:t>
      </w:r>
      <w:bookmarkEnd w:id="8"/>
      <w:bookmarkEnd w:id="9"/>
      <w:bookmarkEnd w:id="10"/>
      <w:r>
        <w:rPr>
          <w:rStyle w:val="CharPartText"/>
        </w:rPr>
        <w:t xml:space="preserve"> </w:t>
      </w:r>
    </w:p>
    <w:p>
      <w:pPr>
        <w:pStyle w:val="Heading3"/>
      </w:pPr>
      <w:bookmarkStart w:id="11" w:name="_Toc174968888"/>
      <w:bookmarkStart w:id="12" w:name="_Toc174969803"/>
      <w:bookmarkStart w:id="13" w:name="_Toc174976080"/>
      <w:r>
        <w:rPr>
          <w:rStyle w:val="CharDivNo"/>
        </w:rPr>
        <w:t>Division 1</w:t>
      </w:r>
      <w:r>
        <w:t> — </w:t>
      </w:r>
      <w:r>
        <w:rPr>
          <w:rStyle w:val="CharDivText"/>
        </w:rPr>
        <w:t>General provisions</w:t>
      </w:r>
      <w:bookmarkEnd w:id="11"/>
      <w:bookmarkEnd w:id="12"/>
      <w:bookmarkEnd w:id="13"/>
    </w:p>
    <w:p>
      <w:pPr>
        <w:pStyle w:val="Footnoteheading"/>
      </w:pPr>
      <w:r>
        <w:tab/>
        <w:t>[Heading inserted: Gazette 5 Dec 2013 p. 5651.]</w:t>
      </w:r>
    </w:p>
    <w:p>
      <w:pPr>
        <w:pStyle w:val="Heading5"/>
        <w:rPr>
          <w:snapToGrid w:val="0"/>
        </w:rPr>
      </w:pPr>
      <w:bookmarkStart w:id="14" w:name="_Toc174976081"/>
      <w:r>
        <w:rPr>
          <w:rStyle w:val="CharSectno"/>
        </w:rPr>
        <w:t>4</w:t>
      </w:r>
      <w:r>
        <w:rPr>
          <w:snapToGrid w:val="0"/>
        </w:rPr>
        <w:t xml:space="preserve">. </w:t>
      </w:r>
      <w:r>
        <w:rPr>
          <w:snapToGrid w:val="0"/>
        </w:rPr>
        <w:tab/>
        <w:t>General effect of this Part</w:t>
      </w:r>
      <w:bookmarkEnd w:id="14"/>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15" w:name="_Toc174976082"/>
      <w:r>
        <w:rPr>
          <w:rStyle w:val="CharSectno"/>
        </w:rPr>
        <w:t>5</w:t>
      </w:r>
      <w:r>
        <w:t>.</w:t>
      </w:r>
      <w:r>
        <w:tab/>
        <w:t>Unreasonable noise</w:t>
      </w:r>
      <w:bookmarkEnd w:id="15"/>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lastRenderedPageBreak/>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16" w:name="_Toc174976083"/>
      <w:r>
        <w:rPr>
          <w:rStyle w:val="CharSectno"/>
        </w:rPr>
        <w:t>6</w:t>
      </w:r>
      <w:r>
        <w:rPr>
          <w:snapToGrid w:val="0"/>
        </w:rPr>
        <w:t xml:space="preserve">. </w:t>
      </w:r>
      <w:r>
        <w:rPr>
          <w:snapToGrid w:val="0"/>
        </w:rPr>
        <w:tab/>
        <w:t>Regulation of noise from public places</w:t>
      </w:r>
      <w:bookmarkEnd w:id="16"/>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17" w:name="_Toc174976084"/>
      <w:r>
        <w:rPr>
          <w:rStyle w:val="CharSectno"/>
        </w:rPr>
        <w:t>7</w:t>
      </w:r>
      <w:r>
        <w:rPr>
          <w:snapToGrid w:val="0"/>
        </w:rPr>
        <w:t xml:space="preserve">. </w:t>
      </w:r>
      <w:r>
        <w:rPr>
          <w:snapToGrid w:val="0"/>
        </w:rPr>
        <w:tab/>
        <w:t>Prescribed standard for noise emissions</w:t>
      </w:r>
      <w:bookmarkEnd w:id="17"/>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lastRenderedPageBreak/>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18" w:name="_Toc174976085"/>
      <w:r>
        <w:rPr>
          <w:rStyle w:val="CharSectno"/>
        </w:rPr>
        <w:t>8</w:t>
      </w:r>
      <w:r>
        <w:t>.</w:t>
      </w:r>
      <w:r>
        <w:tab/>
        <w:t>Assigned levels</w:t>
      </w:r>
      <w:bookmarkEnd w:id="18"/>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11A, 11B or 12(2),</w:t>
      </w:r>
    </w:p>
    <w:p>
      <w:pPr>
        <w:pStyle w:val="Defstart"/>
      </w:pPr>
      <w:r>
        <w:tab/>
        <w:t>but does not include a veranda, patio, pergola, balcony or other similar outdoor area;</w:t>
      </w:r>
    </w:p>
    <w:p>
      <w:pPr>
        <w:pStyle w:val="Defstart"/>
        <w:keepNext/>
      </w:pPr>
      <w:r>
        <w:lastRenderedPageBreak/>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lastRenderedPageBreak/>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lastRenderedPageBreak/>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 SL 2024/159 r. 4.]</w:t>
      </w:r>
    </w:p>
    <w:p>
      <w:pPr>
        <w:pStyle w:val="Heading5"/>
        <w:rPr>
          <w:snapToGrid w:val="0"/>
        </w:rPr>
      </w:pPr>
      <w:bookmarkStart w:id="19" w:name="_Toc174976086"/>
      <w:r>
        <w:rPr>
          <w:rStyle w:val="CharSectno"/>
        </w:rPr>
        <w:t>9</w:t>
      </w:r>
      <w:r>
        <w:rPr>
          <w:snapToGrid w:val="0"/>
        </w:rPr>
        <w:t xml:space="preserve">. </w:t>
      </w:r>
      <w:r>
        <w:rPr>
          <w:snapToGrid w:val="0"/>
        </w:rPr>
        <w:tab/>
        <w:t>Intrusive or dominant noise characteristics</w:t>
      </w:r>
      <w:bookmarkEnd w:id="19"/>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lastRenderedPageBreak/>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lastRenderedPageBreak/>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20" w:name="_Toc174976087"/>
      <w:r>
        <w:rPr>
          <w:rStyle w:val="CharSectno"/>
        </w:rPr>
        <w:t>10</w:t>
      </w:r>
      <w:r>
        <w:rPr>
          <w:snapToGrid w:val="0"/>
        </w:rPr>
        <w:t xml:space="preserve">. </w:t>
      </w:r>
      <w:r>
        <w:rPr>
          <w:snapToGrid w:val="0"/>
        </w:rPr>
        <w:tab/>
        <w:t>Non</w:t>
      </w:r>
      <w:r>
        <w:rPr>
          <w:snapToGrid w:val="0"/>
        </w:rPr>
        <w:noBreakHyphen/>
        <w:t>conforming uses and changes of zoning</w:t>
      </w:r>
      <w:bookmarkEnd w:id="20"/>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lastRenderedPageBreak/>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lastRenderedPageBreak/>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lastRenderedPageBreak/>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21" w:name="_Toc174968896"/>
      <w:bookmarkStart w:id="22" w:name="_Toc174969811"/>
      <w:bookmarkStart w:id="23" w:name="_Toc174976088"/>
      <w:r>
        <w:rPr>
          <w:rStyle w:val="CharDivNo"/>
        </w:rPr>
        <w:t>Division 2</w:t>
      </w:r>
      <w:r>
        <w:t> — </w:t>
      </w:r>
      <w:r>
        <w:rPr>
          <w:rStyle w:val="CharDivText"/>
        </w:rPr>
        <w:t>Various premises and activities</w:t>
      </w:r>
      <w:bookmarkEnd w:id="21"/>
      <w:bookmarkEnd w:id="22"/>
      <w:bookmarkEnd w:id="23"/>
    </w:p>
    <w:p>
      <w:pPr>
        <w:pStyle w:val="Footnoteheading"/>
        <w:rPr>
          <w:snapToGrid w:val="0"/>
        </w:rPr>
      </w:pPr>
      <w:r>
        <w:tab/>
        <w:t>[Heading inserted: Gazette 5 Dec 2013 p. 5659.]</w:t>
      </w:r>
    </w:p>
    <w:p>
      <w:pPr>
        <w:pStyle w:val="Heading5"/>
      </w:pPr>
      <w:bookmarkStart w:id="24" w:name="_Toc174976089"/>
      <w:r>
        <w:rPr>
          <w:rStyle w:val="CharSectno"/>
        </w:rPr>
        <w:t>11</w:t>
      </w:r>
      <w:r>
        <w:t>.</w:t>
      </w:r>
      <w:r>
        <w:tab/>
        <w:t>Airblast levels due to blasting</w:t>
      </w:r>
      <w:bookmarkEnd w:id="24"/>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keepNext/>
      </w:pPr>
      <w:r>
        <w:lastRenderedPageBreak/>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keepNext/>
      </w:pPr>
      <w:r>
        <w:tab/>
        <w:t>(4)</w:t>
      </w:r>
      <w:r>
        <w:tab/>
        <w:t xml:space="preserve">Subject to subregulation (5), no airblast level resulting from blasting on any premises or public place, when received at any </w:t>
      </w:r>
      <w:r>
        <w:lastRenderedPageBreak/>
        <w:t xml:space="preserve">other premises between </w:t>
      </w:r>
      <w:r>
        <w:rPr>
          <w:snapToGrid w:val="0"/>
        </w:rPr>
        <w:t>0700 hours and 1800 hours on any day</w:t>
      </w:r>
      <w:r>
        <w:t xml:space="preserve">, may exceed — </w:t>
      </w:r>
    </w:p>
    <w:p>
      <w:pPr>
        <w:pStyle w:val="Indenta"/>
        <w:keepNext/>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 xml:space="preserve">For the purposes of subregulation (6), an airblast level for a blast that would, but for this subregulation, exceed a level specified in subregulation (6)(a)(i) or (ii) or (b) is taken not to exceed that level when received at premises, or a part of </w:t>
      </w:r>
      <w:r>
        <w:lastRenderedPageBreak/>
        <w:t>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keepNext/>
      </w:pPr>
      <w:r>
        <w:tab/>
        <w:t>(b)</w:t>
      </w:r>
      <w:r>
        <w:tab/>
        <w:t xml:space="preserve">calculation of the airblast level at its point of reception based on measurement of the airblast level at a reference point determined by the inspector or authorised person to be a point where the relationship between the airblast </w:t>
      </w:r>
      <w:r>
        <w:lastRenderedPageBreak/>
        <w:t>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25" w:name="_Toc174976090"/>
      <w:r>
        <w:rPr>
          <w:rStyle w:val="CharSectno"/>
        </w:rPr>
        <w:t>12</w:t>
      </w:r>
      <w:r>
        <w:rPr>
          <w:snapToGrid w:val="0"/>
        </w:rPr>
        <w:t xml:space="preserve">. </w:t>
      </w:r>
      <w:r>
        <w:rPr>
          <w:snapToGrid w:val="0"/>
        </w:rPr>
        <w:tab/>
        <w:t>Rural premises</w:t>
      </w:r>
      <w:bookmarkEnd w:id="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keepNext/>
        <w:rPr>
          <w:snapToGrid w:val="0"/>
        </w:rPr>
      </w:pPr>
      <w:r>
        <w:rPr>
          <w:snapToGrid w:val="0"/>
        </w:rPr>
        <w:tab/>
        <w:t>(5)</w:t>
      </w:r>
      <w:r>
        <w:rPr>
          <w:snapToGrid w:val="0"/>
        </w:rPr>
        <w:tab/>
        <w:t xml:space="preserve">A farming vehicle complies with this subregulation if the occupier of the premises shows that the vehicle, including its </w:t>
      </w:r>
      <w:r>
        <w:rPr>
          <w:snapToGrid w:val="0"/>
        </w:rPr>
        <w:lastRenderedPageBreak/>
        <w:t>noise reduction system, has been maintained to a reasonable standard.</w:t>
      </w:r>
    </w:p>
    <w:p>
      <w:pPr>
        <w:pStyle w:val="Footnotesection"/>
      </w:pPr>
      <w:r>
        <w:tab/>
        <w:t>[Regulation 12 amended: Gazette 5 Dec 2013 p. 5663.]</w:t>
      </w:r>
    </w:p>
    <w:p>
      <w:pPr>
        <w:pStyle w:val="Heading5"/>
        <w:rPr>
          <w:snapToGrid w:val="0"/>
        </w:rPr>
      </w:pPr>
      <w:bookmarkStart w:id="26" w:name="_Toc174976091"/>
      <w:r>
        <w:rPr>
          <w:rStyle w:val="CharSectno"/>
        </w:rPr>
        <w:t>13</w:t>
      </w:r>
      <w:r>
        <w:rPr>
          <w:snapToGrid w:val="0"/>
        </w:rPr>
        <w:t xml:space="preserve">. </w:t>
      </w:r>
      <w:r>
        <w:rPr>
          <w:snapToGrid w:val="0"/>
        </w:rPr>
        <w:tab/>
        <w:t>Construction sites</w:t>
      </w:r>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lastRenderedPageBreak/>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keepNext/>
        <w:rPr>
          <w:snapToGrid w:val="0"/>
        </w:rPr>
      </w:pPr>
      <w:r>
        <w:rPr>
          <w:snapToGrid w:val="0"/>
        </w:rPr>
        <w:tab/>
        <w:t>(3)</w:t>
      </w:r>
      <w:r>
        <w:rPr>
          <w:snapToGrid w:val="0"/>
        </w:rPr>
        <w:tab/>
        <w:t xml:space="preserve">Regulation 7 does not apply to noise emitted from a construction site as a result of construction work carried out </w:t>
      </w:r>
      <w:r>
        <w:rPr>
          <w:snapToGrid w:val="0"/>
        </w:rPr>
        <w:lastRenderedPageBreak/>
        <w:t>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lastRenderedPageBreak/>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27" w:name="_Toc174976092"/>
      <w:r>
        <w:rPr>
          <w:rStyle w:val="CharSectno"/>
        </w:rPr>
        <w:lastRenderedPageBreak/>
        <w:t>14A</w:t>
      </w:r>
      <w:r>
        <w:t>.</w:t>
      </w:r>
      <w:r>
        <w:tab/>
        <w:t>Waste collection and other works</w:t>
      </w:r>
      <w:bookmarkEnd w:id="27"/>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lastRenderedPageBreak/>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lastRenderedPageBreak/>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keepNext/>
      </w:pPr>
      <w:r>
        <w:lastRenderedPageBreak/>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keepNext/>
      </w:pPr>
      <w:r>
        <w:lastRenderedPageBreak/>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28" w:name="_Toc174976093"/>
      <w:r>
        <w:rPr>
          <w:rStyle w:val="CharSectno"/>
        </w:rPr>
        <w:t>14B</w:t>
      </w:r>
      <w:r>
        <w:t>.</w:t>
      </w:r>
      <w:r>
        <w:tab/>
        <w:t>Ancillary measures: waste collection and other works</w:t>
      </w:r>
      <w:bookmarkEnd w:id="28"/>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29" w:name="_Toc174976094"/>
      <w:r>
        <w:rPr>
          <w:rStyle w:val="CharSectno"/>
        </w:rPr>
        <w:t>14</w:t>
      </w:r>
      <w:r>
        <w:rPr>
          <w:snapToGrid w:val="0"/>
        </w:rPr>
        <w:t xml:space="preserve">. </w:t>
      </w:r>
      <w:r>
        <w:rPr>
          <w:snapToGrid w:val="0"/>
        </w:rPr>
        <w:tab/>
        <w:t>Equipment used on residential premises</w:t>
      </w:r>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keepNext/>
        <w:rPr>
          <w:snapToGrid w:val="0"/>
        </w:rPr>
      </w:pPr>
      <w:r>
        <w:rPr>
          <w:snapToGrid w:val="0"/>
        </w:rPr>
        <w:lastRenderedPageBreak/>
        <w:tab/>
        <w:t>(ii)</w:t>
      </w:r>
      <w:r>
        <w:rPr>
          <w:snapToGrid w:val="0"/>
        </w:rPr>
        <w:tab/>
        <w:t>in the case of a musical instrument, for more than one hour since the beginning of the relevant day;</w:t>
      </w:r>
    </w:p>
    <w:p>
      <w:pPr>
        <w:pStyle w:val="Indenta"/>
        <w:keepNext/>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0" w:name="_Toc174976095"/>
      <w:r>
        <w:rPr>
          <w:rStyle w:val="CharSectno"/>
        </w:rPr>
        <w:t>15</w:t>
      </w:r>
      <w:r>
        <w:rPr>
          <w:snapToGrid w:val="0"/>
        </w:rPr>
        <w:t xml:space="preserve">. </w:t>
      </w:r>
      <w:r>
        <w:rPr>
          <w:snapToGrid w:val="0"/>
        </w:rPr>
        <w:tab/>
        <w:t>Bellringing and calls to worship</w:t>
      </w:r>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lastRenderedPageBreak/>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lastRenderedPageBreak/>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31" w:name="_Toc174968904"/>
      <w:bookmarkStart w:id="32" w:name="_Toc174969819"/>
      <w:bookmarkStart w:id="33" w:name="_Toc174976096"/>
      <w:r>
        <w:rPr>
          <w:rStyle w:val="CharDivNo"/>
        </w:rPr>
        <w:lastRenderedPageBreak/>
        <w:t>Division 3</w:t>
      </w:r>
      <w:r>
        <w:t> — </w:t>
      </w:r>
      <w:r>
        <w:rPr>
          <w:rStyle w:val="CharDivText"/>
        </w:rPr>
        <w:t>Motor sport venues</w:t>
      </w:r>
      <w:bookmarkEnd w:id="31"/>
      <w:bookmarkEnd w:id="32"/>
      <w:bookmarkEnd w:id="33"/>
    </w:p>
    <w:p>
      <w:pPr>
        <w:pStyle w:val="Footnoteheading"/>
        <w:keepNext/>
        <w:rPr>
          <w:snapToGrid w:val="0"/>
        </w:rPr>
      </w:pPr>
      <w:r>
        <w:tab/>
        <w:t>[Heading inserted: Gazette 5 Dec 2013 p. 5673.]</w:t>
      </w:r>
    </w:p>
    <w:p>
      <w:pPr>
        <w:pStyle w:val="Heading5"/>
      </w:pPr>
      <w:bookmarkStart w:id="34" w:name="_Toc174976097"/>
      <w:r>
        <w:rPr>
          <w:rStyle w:val="CharSectno"/>
        </w:rPr>
        <w:t>16A</w:t>
      </w:r>
      <w:r>
        <w:t>.</w:t>
      </w:r>
      <w:r>
        <w:tab/>
        <w:t>Terms used</w:t>
      </w:r>
      <w:bookmarkEnd w:id="34"/>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35" w:name="_Toc174976098"/>
      <w:r>
        <w:rPr>
          <w:rStyle w:val="CharSectno"/>
        </w:rPr>
        <w:lastRenderedPageBreak/>
        <w:t>16AA</w:t>
      </w:r>
      <w:r>
        <w:t>.</w:t>
      </w:r>
      <w:r>
        <w:tab/>
        <w:t>Approval of noise management plan: motor sport venue</w:t>
      </w:r>
      <w:bookmarkEnd w:id="35"/>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lastRenderedPageBreak/>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 xml:space="preserve">contains a map (current at the time of the application) showing the motor sport venue, including the area where </w:t>
      </w:r>
      <w:r>
        <w:lastRenderedPageBreak/>
        <w:t>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36" w:name="_Toc174976099"/>
      <w:r>
        <w:rPr>
          <w:rStyle w:val="CharSectno"/>
        </w:rPr>
        <w:lastRenderedPageBreak/>
        <w:t>16AB</w:t>
      </w:r>
      <w:r>
        <w:t>.</w:t>
      </w:r>
      <w:r>
        <w:tab/>
        <w:t>Ancillary measures: motor sport venue</w:t>
      </w:r>
      <w:bookmarkEnd w:id="36"/>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37" w:name="_Toc174976100"/>
      <w:r>
        <w:rPr>
          <w:rStyle w:val="CharSectno"/>
        </w:rPr>
        <w:t>16AC</w:t>
      </w:r>
      <w:r>
        <w:t>.</w:t>
      </w:r>
      <w:r>
        <w:tab/>
        <w:t>Revocation of noise management plan for motor sport venue</w:t>
      </w:r>
      <w:bookmarkEnd w:id="37"/>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lastRenderedPageBreak/>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38" w:name="_Toc174976101"/>
      <w:r>
        <w:rPr>
          <w:rStyle w:val="CharSectno"/>
        </w:rPr>
        <w:t>16AD</w:t>
      </w:r>
      <w:r>
        <w:t>.</w:t>
      </w:r>
      <w:r>
        <w:tab/>
        <w:t>Notice of appellable decision</w:t>
      </w:r>
      <w:bookmarkEnd w:id="3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39" w:name="_Toc174976102"/>
      <w:r>
        <w:rPr>
          <w:rStyle w:val="CharSectno"/>
        </w:rPr>
        <w:lastRenderedPageBreak/>
        <w:t>16AE</w:t>
      </w:r>
      <w:r>
        <w:t>.</w:t>
      </w:r>
      <w:r>
        <w:tab/>
        <w:t>Appeals against decisions in respect of noise management plan for motor sport venue</w:t>
      </w:r>
      <w:bookmarkEnd w:id="3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rPr>
          <w:snapToGrid w:val="0"/>
        </w:rPr>
      </w:pPr>
      <w:r>
        <w:rPr>
          <w:snapToGrid w:val="0"/>
        </w:rPr>
        <w:lastRenderedPageBreak/>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40" w:name="_Toc174968911"/>
      <w:bookmarkStart w:id="41" w:name="_Toc174969826"/>
      <w:bookmarkStart w:id="42" w:name="_Toc174976103"/>
      <w:r>
        <w:rPr>
          <w:rStyle w:val="CharDivNo"/>
        </w:rPr>
        <w:t>Division 4</w:t>
      </w:r>
      <w:r>
        <w:t> — </w:t>
      </w:r>
      <w:r>
        <w:rPr>
          <w:rStyle w:val="CharDivText"/>
        </w:rPr>
        <w:t>Shooting venues</w:t>
      </w:r>
      <w:bookmarkEnd w:id="40"/>
      <w:bookmarkEnd w:id="41"/>
      <w:bookmarkEnd w:id="42"/>
    </w:p>
    <w:p>
      <w:pPr>
        <w:pStyle w:val="Footnoteheading"/>
        <w:rPr>
          <w:snapToGrid w:val="0"/>
        </w:rPr>
      </w:pPr>
      <w:r>
        <w:tab/>
        <w:t>[Heading inserted: Gazette 5 Dec 2013 p. 5681.]</w:t>
      </w:r>
    </w:p>
    <w:p>
      <w:pPr>
        <w:pStyle w:val="Heading5"/>
      </w:pPr>
      <w:bookmarkStart w:id="43" w:name="_Toc174976104"/>
      <w:r>
        <w:rPr>
          <w:rStyle w:val="CharSectno"/>
        </w:rPr>
        <w:t>16B</w:t>
      </w:r>
      <w:r>
        <w:t>.</w:t>
      </w:r>
      <w:r>
        <w:tab/>
        <w:t>Terms used</w:t>
      </w:r>
      <w:bookmarkEnd w:id="43"/>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44" w:name="_Toc174976105"/>
      <w:r>
        <w:rPr>
          <w:rStyle w:val="CharSectno"/>
        </w:rPr>
        <w:t>16BA</w:t>
      </w:r>
      <w:r>
        <w:t>.</w:t>
      </w:r>
      <w:r>
        <w:tab/>
        <w:t>Approval of noise management plan: shooting venue</w:t>
      </w:r>
      <w:bookmarkEnd w:id="44"/>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keepNext/>
      </w:pPr>
      <w:r>
        <w:lastRenderedPageBreak/>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w:t>
      </w:r>
      <w:r>
        <w:lastRenderedPageBreak/>
        <w:t xml:space="preserve">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lastRenderedPageBreak/>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45" w:name="_Toc174976106"/>
      <w:r>
        <w:rPr>
          <w:rStyle w:val="CharSectno"/>
        </w:rPr>
        <w:t>16BB</w:t>
      </w:r>
      <w:r>
        <w:t>.</w:t>
      </w:r>
      <w:r>
        <w:tab/>
        <w:t>Ancillary measures: shooting venue</w:t>
      </w:r>
      <w:bookmarkEnd w:id="45"/>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46" w:name="_Toc174976107"/>
      <w:r>
        <w:rPr>
          <w:rStyle w:val="CharSectno"/>
        </w:rPr>
        <w:lastRenderedPageBreak/>
        <w:t>16BC</w:t>
      </w:r>
      <w:r>
        <w:t>.</w:t>
      </w:r>
      <w:r>
        <w:tab/>
        <w:t>Revocation of noise management plan for shooting venue</w:t>
      </w:r>
      <w:bookmarkEnd w:id="46"/>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keepNext/>
      </w:pPr>
      <w:r>
        <w:tab/>
        <w:t>(5)</w:t>
      </w:r>
      <w:r>
        <w:tab/>
        <w:t xml:space="preserve">An opportunity is not a reasonable opportunity for the purposes of subregulation (4) unless the relevant person is informed of the right to show cause or make a submission under that </w:t>
      </w:r>
      <w:r>
        <w:lastRenderedPageBreak/>
        <w:t>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Pr>
      <w:bookmarkStart w:id="47" w:name="_Toc174976108"/>
      <w:r>
        <w:rPr>
          <w:rStyle w:val="CharSectno"/>
        </w:rPr>
        <w:t>16BD</w:t>
      </w:r>
      <w:r>
        <w:t>.</w:t>
      </w:r>
      <w:r>
        <w:tab/>
        <w:t>Notice of appellable decision</w:t>
      </w:r>
      <w:bookmarkEnd w:id="47"/>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48" w:name="_Toc174976109"/>
      <w:r>
        <w:rPr>
          <w:rStyle w:val="CharSectno"/>
        </w:rPr>
        <w:t>16BE</w:t>
      </w:r>
      <w:r>
        <w:t>.</w:t>
      </w:r>
      <w:r>
        <w:tab/>
        <w:t>Appeals against decisions in respect of noise management plan for shooting venue</w:t>
      </w:r>
      <w:bookmarkEnd w:id="4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lastRenderedPageBreak/>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49" w:name="_Toc174968918"/>
      <w:bookmarkStart w:id="50" w:name="_Toc174969833"/>
      <w:bookmarkStart w:id="51" w:name="_Toc174976110"/>
      <w:r>
        <w:rPr>
          <w:rStyle w:val="CharDivNo"/>
        </w:rPr>
        <w:t>Division 5</w:t>
      </w:r>
      <w:r>
        <w:t> — </w:t>
      </w:r>
      <w:r>
        <w:rPr>
          <w:rStyle w:val="CharDivText"/>
        </w:rPr>
        <w:t>Community activities</w:t>
      </w:r>
      <w:bookmarkEnd w:id="49"/>
      <w:bookmarkEnd w:id="50"/>
      <w:bookmarkEnd w:id="51"/>
    </w:p>
    <w:p>
      <w:pPr>
        <w:pStyle w:val="Footnoteheading"/>
        <w:rPr>
          <w:snapToGrid w:val="0"/>
        </w:rPr>
      </w:pPr>
      <w:r>
        <w:tab/>
        <w:t>[Heading inserted: Gazette 5 Dec 2013 p. 5688.]</w:t>
      </w:r>
    </w:p>
    <w:p>
      <w:pPr>
        <w:pStyle w:val="Heading5"/>
        <w:rPr>
          <w:snapToGrid w:val="0"/>
        </w:rPr>
      </w:pPr>
      <w:bookmarkStart w:id="52" w:name="_Toc174976111"/>
      <w:r>
        <w:rPr>
          <w:rStyle w:val="CharSectno"/>
        </w:rPr>
        <w:t>16</w:t>
      </w:r>
      <w:r>
        <w:rPr>
          <w:snapToGrid w:val="0"/>
        </w:rPr>
        <w:t xml:space="preserve">. </w:t>
      </w:r>
      <w:r>
        <w:rPr>
          <w:snapToGrid w:val="0"/>
        </w:rPr>
        <w:tab/>
        <w:t>Community noise</w:t>
      </w:r>
      <w:bookmarkEnd w:id="52"/>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lastRenderedPageBreak/>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lastRenderedPageBreak/>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lastRenderedPageBreak/>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53" w:name="_Toc174968920"/>
      <w:bookmarkStart w:id="54" w:name="_Toc174969835"/>
      <w:bookmarkStart w:id="55" w:name="_Toc174976112"/>
      <w:r>
        <w:rPr>
          <w:rStyle w:val="CharDivNo"/>
        </w:rPr>
        <w:lastRenderedPageBreak/>
        <w:t>Division 6</w:t>
      </w:r>
      <w:r>
        <w:t> — </w:t>
      </w:r>
      <w:r>
        <w:rPr>
          <w:rStyle w:val="CharDivText"/>
        </w:rPr>
        <w:t>Where standard cannot reasonably be met</w:t>
      </w:r>
      <w:bookmarkEnd w:id="53"/>
      <w:bookmarkEnd w:id="54"/>
      <w:bookmarkEnd w:id="55"/>
    </w:p>
    <w:p>
      <w:pPr>
        <w:pStyle w:val="Footnoteheading"/>
        <w:keepNext/>
        <w:rPr>
          <w:snapToGrid w:val="0"/>
        </w:rPr>
      </w:pPr>
      <w:r>
        <w:tab/>
        <w:t>[Heading inserted: Gazette 5 Dec 2013 p. 5691.]</w:t>
      </w:r>
    </w:p>
    <w:p>
      <w:pPr>
        <w:pStyle w:val="Heading5"/>
        <w:spacing w:before="180"/>
      </w:pPr>
      <w:bookmarkStart w:id="56" w:name="_Toc174976113"/>
      <w:r>
        <w:rPr>
          <w:rStyle w:val="CharSectno"/>
        </w:rPr>
        <w:t>17</w:t>
      </w:r>
      <w:r>
        <w:t>.</w:t>
      </w:r>
      <w:r>
        <w:tab/>
        <w:t>Approval to allow emission of noise to exceed or vary from standard: application and referral</w:t>
      </w:r>
      <w:bookmarkEnd w:id="56"/>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lastRenderedPageBreak/>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57" w:name="_Toc174976114"/>
      <w:r>
        <w:rPr>
          <w:rStyle w:val="CharSectno"/>
        </w:rPr>
        <w:t>18A</w:t>
      </w:r>
      <w:r>
        <w:t>.</w:t>
      </w:r>
      <w:r>
        <w:tab/>
        <w:t>Assessment by CEO</w:t>
      </w:r>
      <w:bookmarkEnd w:id="57"/>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w:t>
      </w:r>
      <w:r>
        <w:lastRenderedPageBreak/>
        <w:t xml:space="preserve">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lastRenderedPageBreak/>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Pr>
      <w:bookmarkStart w:id="58" w:name="_Toc174976115"/>
      <w:r>
        <w:rPr>
          <w:rStyle w:val="CharSectno"/>
        </w:rPr>
        <w:t>18B</w:t>
      </w:r>
      <w:r>
        <w:t>.</w:t>
      </w:r>
      <w:r>
        <w:tab/>
        <w:t>Decision by Minister</w:t>
      </w:r>
      <w:bookmarkEnd w:id="58"/>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59" w:name="_Toc174976116"/>
      <w:r>
        <w:rPr>
          <w:rStyle w:val="CharSectno"/>
        </w:rPr>
        <w:t>18C</w:t>
      </w:r>
      <w:r>
        <w:t>.</w:t>
      </w:r>
      <w:r>
        <w:tab/>
        <w:t>Notification of approval, amendment or revocation</w:t>
      </w:r>
      <w:bookmarkEnd w:id="59"/>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60" w:name="_Toc174976117"/>
      <w:r>
        <w:rPr>
          <w:rStyle w:val="CharSectno"/>
        </w:rPr>
        <w:t>18D</w:t>
      </w:r>
      <w:r>
        <w:t>.</w:t>
      </w:r>
      <w:r>
        <w:tab/>
        <w:t>Ancillary conditions</w:t>
      </w:r>
      <w:bookmarkEnd w:id="60"/>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lastRenderedPageBreak/>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61" w:name="_Toc174976118"/>
      <w:r>
        <w:rPr>
          <w:rStyle w:val="CharSectno"/>
        </w:rPr>
        <w:t>18E</w:t>
      </w:r>
      <w:r>
        <w:t>.</w:t>
      </w:r>
      <w:r>
        <w:tab/>
        <w:t>Amendment or revocation of approval</w:t>
      </w:r>
      <w:bookmarkEnd w:id="6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62" w:name="_Toc174976119"/>
      <w:r>
        <w:rPr>
          <w:rStyle w:val="CharSectno"/>
        </w:rPr>
        <w:t>18F</w:t>
      </w:r>
      <w:r>
        <w:t>.</w:t>
      </w:r>
      <w:r>
        <w:tab/>
        <w:t>Effect of breach of condition or revocation of approval</w:t>
      </w:r>
      <w:bookmarkEnd w:id="62"/>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lastRenderedPageBreak/>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63" w:name="_Toc174976120"/>
      <w:r>
        <w:rPr>
          <w:rStyle w:val="CharSectno"/>
        </w:rPr>
        <w:t>18G</w:t>
      </w:r>
      <w:r>
        <w:t>.</w:t>
      </w:r>
      <w:r>
        <w:tab/>
        <w:t>Noise monitoring fees</w:t>
      </w:r>
      <w:bookmarkEnd w:id="63"/>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64" w:name="_Toc174976121"/>
      <w:r>
        <w:rPr>
          <w:rStyle w:val="CharSectno"/>
        </w:rPr>
        <w:t>18H</w:t>
      </w:r>
      <w:r>
        <w:t>.</w:t>
      </w:r>
      <w:r>
        <w:tab/>
        <w:t>Appeals against decisions under this Division</w:t>
      </w:r>
      <w:bookmarkEnd w:id="64"/>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lastRenderedPageBreak/>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lastRenderedPageBreak/>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widowControl w:val="0"/>
      </w:pPr>
      <w:bookmarkStart w:id="65" w:name="_Toc174976122"/>
      <w:r>
        <w:rPr>
          <w:rStyle w:val="CharSectno"/>
        </w:rPr>
        <w:t>18I</w:t>
      </w:r>
      <w:r>
        <w:t>.</w:t>
      </w:r>
      <w:r>
        <w:tab/>
        <w:t>Transitional provisions</w:t>
      </w:r>
      <w:bookmarkEnd w:id="65"/>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66" w:name="_Toc174968931"/>
      <w:bookmarkStart w:id="67" w:name="_Toc174969846"/>
      <w:bookmarkStart w:id="68" w:name="_Toc174976123"/>
      <w:r>
        <w:rPr>
          <w:rStyle w:val="CharDivNo"/>
        </w:rPr>
        <w:lastRenderedPageBreak/>
        <w:t>Division 7</w:t>
      </w:r>
      <w:r>
        <w:t> — </w:t>
      </w:r>
      <w:r>
        <w:rPr>
          <w:rStyle w:val="CharDivText"/>
        </w:rPr>
        <w:t>Sporting, cultural and entertainment events</w:t>
      </w:r>
      <w:bookmarkEnd w:id="66"/>
      <w:bookmarkEnd w:id="67"/>
      <w:bookmarkEnd w:id="68"/>
    </w:p>
    <w:p>
      <w:pPr>
        <w:pStyle w:val="Footnoteheading"/>
        <w:keepNext/>
        <w:rPr>
          <w:snapToGrid w:val="0"/>
        </w:rPr>
      </w:pPr>
      <w:r>
        <w:tab/>
        <w:t>[Heading inserted: Gazette 5 Dec 2013 p. 5700.]</w:t>
      </w:r>
    </w:p>
    <w:p>
      <w:pPr>
        <w:pStyle w:val="Heading5"/>
      </w:pPr>
      <w:bookmarkStart w:id="69" w:name="_Toc174976124"/>
      <w:r>
        <w:rPr>
          <w:rStyle w:val="CharSectno"/>
        </w:rPr>
        <w:t>18J</w:t>
      </w:r>
      <w:r>
        <w:t>.</w:t>
      </w:r>
      <w:r>
        <w:tab/>
        <w:t>Terms used</w:t>
      </w:r>
      <w:bookmarkEnd w:id="69"/>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70" w:name="_Toc174976125"/>
      <w:r>
        <w:rPr>
          <w:rStyle w:val="CharSectno"/>
        </w:rPr>
        <w:t>18</w:t>
      </w:r>
      <w:r>
        <w:rPr>
          <w:snapToGrid w:val="0"/>
        </w:rPr>
        <w:t xml:space="preserve">. </w:t>
      </w:r>
      <w:r>
        <w:rPr>
          <w:snapToGrid w:val="0"/>
        </w:rPr>
        <w:tab/>
        <w:t>Approved sporting, cultural and entertainment events</w:t>
      </w:r>
      <w:bookmarkEnd w:id="70"/>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keepNext/>
        <w:rPr>
          <w:snapToGrid w:val="0"/>
        </w:rPr>
      </w:pPr>
      <w:r>
        <w:rPr>
          <w:snapToGrid w:val="0"/>
        </w:rPr>
        <w:lastRenderedPageBreak/>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keepNext/>
        <w:rPr>
          <w:snapToGrid w:val="0"/>
        </w:rPr>
      </w:pPr>
      <w:r>
        <w:rPr>
          <w:snapToGrid w:val="0"/>
        </w:rPr>
        <w:lastRenderedPageBreak/>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lastRenderedPageBreak/>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lastRenderedPageBreak/>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71" w:name="_Toc174976126"/>
      <w:r>
        <w:rPr>
          <w:rStyle w:val="CharSectno"/>
        </w:rPr>
        <w:t>19A</w:t>
      </w:r>
      <w:r>
        <w:t>.</w:t>
      </w:r>
      <w:r>
        <w:tab/>
        <w:t>Ancillary conditions: approved events</w:t>
      </w:r>
      <w:bookmarkEnd w:id="71"/>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72" w:name="_Toc174976127"/>
      <w:r>
        <w:rPr>
          <w:rStyle w:val="CharSectno"/>
        </w:rPr>
        <w:t>19B</w:t>
      </w:r>
      <w:r>
        <w:t>.</w:t>
      </w:r>
      <w:r>
        <w:tab/>
        <w:t>Approved venues for sporting, cultural or entertainment events</w:t>
      </w:r>
      <w:bookmarkEnd w:id="72"/>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lastRenderedPageBreak/>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keepNext/>
      </w:pPr>
      <w:r>
        <w:lastRenderedPageBreak/>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keepNext/>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lastRenderedPageBreak/>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lastRenderedPageBreak/>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73" w:name="_Toc174976128"/>
      <w:r>
        <w:rPr>
          <w:rStyle w:val="CharSectno"/>
        </w:rPr>
        <w:t>19C</w:t>
      </w:r>
      <w:r>
        <w:t>.</w:t>
      </w:r>
      <w:r>
        <w:tab/>
        <w:t>Ancillary conditions: venue approval</w:t>
      </w:r>
      <w:bookmarkEnd w:id="73"/>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74" w:name="_Toc174976129"/>
      <w:r>
        <w:rPr>
          <w:rStyle w:val="CharSectno"/>
        </w:rPr>
        <w:t>19D</w:t>
      </w:r>
      <w:r>
        <w:t>.</w:t>
      </w:r>
      <w:r>
        <w:tab/>
        <w:t>Notifiable event at approved venue</w:t>
      </w:r>
      <w:bookmarkEnd w:id="74"/>
    </w:p>
    <w:p>
      <w:pPr>
        <w:pStyle w:val="Subsection"/>
        <w:keepNext/>
      </w:pPr>
      <w:r>
        <w:tab/>
        <w:t>(1)</w:t>
      </w:r>
      <w:r>
        <w:tab/>
        <w:t xml:space="preserve">A person who proposes to hold an event at an approved venue that is a notifiable event of a type specified in the conditions of </w:t>
      </w:r>
      <w:r>
        <w:lastRenderedPageBreak/>
        <w:t>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lastRenderedPageBreak/>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75" w:name="_Toc174976130"/>
      <w:r>
        <w:rPr>
          <w:rStyle w:val="CharSectno"/>
        </w:rPr>
        <w:t>19E</w:t>
      </w:r>
      <w:r>
        <w:t>.</w:t>
      </w:r>
      <w:r>
        <w:tab/>
        <w:t>Amendment or revocation of venue approval</w:t>
      </w:r>
      <w:bookmarkEnd w:id="75"/>
    </w:p>
    <w:p>
      <w:pPr>
        <w:pStyle w:val="Subsection"/>
        <w:spacing w:before="200"/>
      </w:pPr>
      <w:r>
        <w:tab/>
        <w:t>(1)</w:t>
      </w:r>
      <w:r>
        <w:tab/>
        <w:t>The CEO may, on his or her own initiative, amend a venue approval if the CEO is satisfied that there is reasonable cause for the amendment.</w:t>
      </w:r>
    </w:p>
    <w:p>
      <w:pPr>
        <w:pStyle w:val="Subsection"/>
        <w:keepNext/>
        <w:spacing w:before="200"/>
      </w:pPr>
      <w:r>
        <w:lastRenderedPageBreak/>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76" w:name="_Toc174976131"/>
      <w:r>
        <w:rPr>
          <w:rStyle w:val="CharSectno"/>
        </w:rPr>
        <w:t>19F</w:t>
      </w:r>
      <w:r>
        <w:t>.</w:t>
      </w:r>
      <w:r>
        <w:tab/>
        <w:t>Notice of appellable decision</w:t>
      </w:r>
      <w:bookmarkEnd w:id="76"/>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lastRenderedPageBreak/>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77" w:name="_Toc174976132"/>
      <w:r>
        <w:rPr>
          <w:rStyle w:val="CharSectno"/>
        </w:rPr>
        <w:t>19G</w:t>
      </w:r>
      <w:r>
        <w:t>.</w:t>
      </w:r>
      <w:r>
        <w:tab/>
        <w:t>Appeals against decisions under this Division</w:t>
      </w:r>
      <w:bookmarkEnd w:id="7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lastRenderedPageBreak/>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78" w:name="_Toc174968941"/>
      <w:bookmarkStart w:id="79" w:name="_Toc174969856"/>
      <w:bookmarkStart w:id="80" w:name="_Toc174976133"/>
      <w:r>
        <w:rPr>
          <w:rStyle w:val="CharPartNo"/>
        </w:rPr>
        <w:lastRenderedPageBreak/>
        <w:t>Part 3</w:t>
      </w:r>
      <w:r>
        <w:rPr>
          <w:rStyle w:val="CharDivNo"/>
        </w:rPr>
        <w:t> </w:t>
      </w:r>
      <w:r>
        <w:t>—</w:t>
      </w:r>
      <w:r>
        <w:rPr>
          <w:rStyle w:val="CharDivText"/>
        </w:rPr>
        <w:t> </w:t>
      </w:r>
      <w:r>
        <w:rPr>
          <w:rStyle w:val="CharPartText"/>
        </w:rPr>
        <w:t>Noise measurement</w:t>
      </w:r>
      <w:bookmarkEnd w:id="78"/>
      <w:bookmarkEnd w:id="79"/>
      <w:bookmarkEnd w:id="80"/>
      <w:r>
        <w:rPr>
          <w:rStyle w:val="CharPartText"/>
        </w:rPr>
        <w:t xml:space="preserve"> </w:t>
      </w:r>
    </w:p>
    <w:p>
      <w:pPr>
        <w:pStyle w:val="Heading5"/>
        <w:rPr>
          <w:snapToGrid w:val="0"/>
        </w:rPr>
      </w:pPr>
      <w:bookmarkStart w:id="81" w:name="_Toc174976134"/>
      <w:r>
        <w:rPr>
          <w:rStyle w:val="CharSectno"/>
        </w:rPr>
        <w:t>19</w:t>
      </w:r>
      <w:r>
        <w:rPr>
          <w:snapToGrid w:val="0"/>
        </w:rPr>
        <w:t xml:space="preserve">. </w:t>
      </w:r>
      <w:r>
        <w:rPr>
          <w:snapToGrid w:val="0"/>
        </w:rPr>
        <w:tab/>
        <w:t>Place of measurement of noise</w:t>
      </w:r>
      <w:bookmarkEnd w:id="8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lastRenderedPageBreak/>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82" w:name="_Toc174976135"/>
      <w:r>
        <w:rPr>
          <w:rStyle w:val="CharSectno"/>
        </w:rPr>
        <w:t>20</w:t>
      </w:r>
      <w:r>
        <w:rPr>
          <w:snapToGrid w:val="0"/>
        </w:rPr>
        <w:t xml:space="preserve">. </w:t>
      </w:r>
      <w:r>
        <w:rPr>
          <w:snapToGrid w:val="0"/>
        </w:rPr>
        <w:tab/>
        <w:t>Measurement of noise at premises</w:t>
      </w:r>
      <w:bookmarkEnd w:id="82"/>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83" w:name="_Toc174976136"/>
      <w:r>
        <w:rPr>
          <w:rStyle w:val="CharSectno"/>
        </w:rPr>
        <w:t>21</w:t>
      </w:r>
      <w:r>
        <w:rPr>
          <w:snapToGrid w:val="0"/>
        </w:rPr>
        <w:t xml:space="preserve">. </w:t>
      </w:r>
      <w:r>
        <w:rPr>
          <w:snapToGrid w:val="0"/>
        </w:rPr>
        <w:tab/>
        <w:t>Measurement of airblast levels</w:t>
      </w:r>
      <w:bookmarkEnd w:id="83"/>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lastRenderedPageBreak/>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84" w:name="_Toc174976137"/>
      <w:r>
        <w:rPr>
          <w:rStyle w:val="CharSectno"/>
        </w:rPr>
        <w:t>22</w:t>
      </w:r>
      <w:r>
        <w:rPr>
          <w:snapToGrid w:val="0"/>
        </w:rPr>
        <w:t>.</w:t>
      </w:r>
      <w:r>
        <w:rPr>
          <w:snapToGrid w:val="0"/>
        </w:rPr>
        <w:tab/>
        <w:t>Sound measuring equipment must comply with Schedule 4</w:t>
      </w:r>
      <w:bookmarkEnd w:id="84"/>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85" w:name="_Toc174976138"/>
      <w:r>
        <w:rPr>
          <w:rStyle w:val="CharSectno"/>
        </w:rPr>
        <w:t>23</w:t>
      </w:r>
      <w:r>
        <w:rPr>
          <w:snapToGrid w:val="0"/>
        </w:rPr>
        <w:t xml:space="preserve">. </w:t>
      </w:r>
      <w:r>
        <w:rPr>
          <w:snapToGrid w:val="0"/>
        </w:rPr>
        <w:tab/>
        <w:t>Calibration results to be available</w:t>
      </w:r>
      <w:bookmarkEnd w:id="85"/>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6" w:name="_Toc174968947"/>
      <w:bookmarkStart w:id="87" w:name="_Toc174969862"/>
      <w:bookmarkStart w:id="88" w:name="_Toc174976139"/>
      <w:r>
        <w:rPr>
          <w:rStyle w:val="CharSchNo"/>
        </w:rPr>
        <w:lastRenderedPageBreak/>
        <w:t>Schedule 1</w:t>
      </w:r>
      <w:r>
        <w:t> — </w:t>
      </w:r>
      <w:r>
        <w:rPr>
          <w:rStyle w:val="CharSchText"/>
        </w:rPr>
        <w:t>Classification of premises</w:t>
      </w:r>
      <w:bookmarkEnd w:id="86"/>
      <w:bookmarkEnd w:id="87"/>
      <w:bookmarkEnd w:id="88"/>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 xml:space="preserve">Grounds, administrative premises, and premises or parts of premises used for the personal comfort, convenience or enjoyment of leisure of employees, or persons otherwise engaged in the conduct of an industry </w:t>
      </w:r>
      <w:r>
        <w:rPr>
          <w:snapToGrid w:val="0"/>
        </w:rPr>
        <w:lastRenderedPageBreak/>
        <w:t>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lastRenderedPageBreak/>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lastRenderedPageBreak/>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89" w:name="_Toc174968948"/>
      <w:bookmarkStart w:id="90" w:name="_Toc174969863"/>
      <w:bookmarkStart w:id="91" w:name="_Toc174976140"/>
      <w:r>
        <w:rPr>
          <w:rStyle w:val="CharSchNo"/>
        </w:rPr>
        <w:lastRenderedPageBreak/>
        <w:t>Schedule 2</w:t>
      </w:r>
      <w:r>
        <w:rPr>
          <w:rStyle w:val="CharSDivNo"/>
        </w:rPr>
        <w:t> </w:t>
      </w:r>
      <w:r>
        <w:t>—</w:t>
      </w:r>
      <w:r>
        <w:rPr>
          <w:rStyle w:val="CharSDivText"/>
        </w:rPr>
        <w:t> </w:t>
      </w:r>
      <w:r>
        <w:rPr>
          <w:rStyle w:val="CharSchText"/>
        </w:rPr>
        <w:t>Community noise</w:t>
      </w:r>
      <w:bookmarkEnd w:id="89"/>
      <w:bookmarkEnd w:id="90"/>
      <w:bookmarkEnd w:id="91"/>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93" w:name="_Toc174968949"/>
      <w:bookmarkStart w:id="94" w:name="_Toc174969864"/>
      <w:bookmarkStart w:id="95" w:name="_Toc174976141"/>
      <w:r>
        <w:rPr>
          <w:rStyle w:val="CharSchNo"/>
        </w:rPr>
        <w:lastRenderedPageBreak/>
        <w:t>Schedule 3</w:t>
      </w:r>
      <w:r>
        <w:t> — </w:t>
      </w:r>
      <w:r>
        <w:rPr>
          <w:rStyle w:val="CharSchText"/>
        </w:rPr>
        <w:t>Determination of influencing factor on noise sensitive premises</w:t>
      </w:r>
      <w:bookmarkEnd w:id="93"/>
      <w:bookmarkEnd w:id="94"/>
      <w:bookmarkEnd w:id="95"/>
    </w:p>
    <w:p>
      <w:pPr>
        <w:pStyle w:val="yShoulderClause"/>
      </w:pPr>
      <w:r>
        <w:t>[r. 8]</w:t>
      </w:r>
    </w:p>
    <w:p>
      <w:pPr>
        <w:pStyle w:val="yFootnoteheading"/>
      </w:pPr>
      <w:r>
        <w:tab/>
        <w:t>[Heading inserted: Gazette 5 Dec 2013 p. 5716</w:t>
      </w:r>
      <w:r>
        <w:noBreakHyphen/>
        <w:t>17.]</w:t>
      </w:r>
    </w:p>
    <w:p>
      <w:pPr>
        <w:pStyle w:val="yHeading5"/>
        <w:spacing w:before="240"/>
        <w:outlineLvl w:val="9"/>
        <w:rPr>
          <w:snapToGrid w:val="0"/>
        </w:rPr>
      </w:pPr>
      <w:bookmarkStart w:id="96" w:name="_Toc174976142"/>
      <w:r>
        <w:rPr>
          <w:rStyle w:val="CharSClsNo"/>
        </w:rPr>
        <w:t>1</w:t>
      </w:r>
      <w:r>
        <w:rPr>
          <w:snapToGrid w:val="0"/>
        </w:rPr>
        <w:t xml:space="preserve">. </w:t>
      </w:r>
      <w:r>
        <w:rPr>
          <w:snapToGrid w:val="0"/>
        </w:rPr>
        <w:tab/>
        <w:t>Terms used</w:t>
      </w:r>
      <w:bookmarkEnd w:id="96"/>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lastRenderedPageBreak/>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outlineLvl w:val="9"/>
        <w:rPr>
          <w:snapToGrid w:val="0"/>
        </w:rPr>
      </w:pPr>
      <w:bookmarkStart w:id="97" w:name="_Toc174976143"/>
      <w:r>
        <w:rPr>
          <w:rStyle w:val="CharSClsNo"/>
        </w:rPr>
        <w:t>2</w:t>
      </w:r>
      <w:r>
        <w:rPr>
          <w:snapToGrid w:val="0"/>
        </w:rPr>
        <w:t xml:space="preserve">. </w:t>
      </w:r>
      <w:r>
        <w:rPr>
          <w:snapToGrid w:val="0"/>
        </w:rPr>
        <w:tab/>
        <w:t>Influencing factor</w:t>
      </w:r>
      <w:bookmarkEnd w:id="97"/>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keepLines/>
        <w:tabs>
          <w:tab w:val="clear" w:pos="1616"/>
          <w:tab w:val="left" w:pos="1985"/>
        </w:tabs>
        <w:spacing w:before="100"/>
        <w:rPr>
          <w:snapToGrid w:val="0"/>
        </w:rPr>
      </w:pPr>
      <w:r>
        <w:rPr>
          <w:snapToGrid w:val="0"/>
        </w:rPr>
        <w:lastRenderedPageBreak/>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keepNext/>
      </w:pPr>
      <w:r>
        <w:lastRenderedPageBreak/>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lastRenderedPageBreak/>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98" w:name="_Toc174968952"/>
      <w:bookmarkStart w:id="99" w:name="_Toc174969867"/>
      <w:bookmarkStart w:id="100" w:name="_Toc174976144"/>
      <w:r>
        <w:rPr>
          <w:rStyle w:val="CharSchNo"/>
        </w:rPr>
        <w:lastRenderedPageBreak/>
        <w:t>Schedule 4</w:t>
      </w:r>
      <w:r>
        <w:t> — </w:t>
      </w:r>
      <w:r>
        <w:rPr>
          <w:rStyle w:val="CharSchText"/>
        </w:rPr>
        <w:t>Rules for sound measuring equipment</w:t>
      </w:r>
      <w:bookmarkEnd w:id="98"/>
      <w:bookmarkEnd w:id="99"/>
      <w:bookmarkEnd w:id="100"/>
    </w:p>
    <w:p>
      <w:pPr>
        <w:pStyle w:val="yShoulderClause"/>
      </w:pPr>
      <w:r>
        <w:t>[r. 22]</w:t>
      </w:r>
    </w:p>
    <w:p>
      <w:pPr>
        <w:pStyle w:val="yFootnoteheading"/>
      </w:pPr>
      <w:r>
        <w:tab/>
        <w:t>[Heading inserted: Gazette 5 Dec 2013 p. 5720.]</w:t>
      </w:r>
    </w:p>
    <w:p>
      <w:pPr>
        <w:pStyle w:val="yHeading5"/>
        <w:spacing w:before="180"/>
      </w:pPr>
      <w:bookmarkStart w:id="101" w:name="_Toc174976145"/>
      <w:r>
        <w:rPr>
          <w:rStyle w:val="CharSClsNo"/>
        </w:rPr>
        <w:t>1</w:t>
      </w:r>
      <w:r>
        <w:t>.</w:t>
      </w:r>
      <w:r>
        <w:tab/>
        <w:t>Sound measuring equipment</w:t>
      </w:r>
      <w:bookmarkEnd w:id="101"/>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102" w:name="_Toc174976146"/>
      <w:r>
        <w:rPr>
          <w:rStyle w:val="CharSClsNo"/>
        </w:rPr>
        <w:t>2</w:t>
      </w:r>
      <w:r>
        <w:t>.</w:t>
      </w:r>
      <w:r>
        <w:tab/>
        <w:t>Calibration of sound measuring equipment</w:t>
      </w:r>
      <w:bookmarkEnd w:id="102"/>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lastRenderedPageBreak/>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lastRenderedPageBreak/>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103" w:name="_Toc174976147"/>
      <w:r>
        <w:rPr>
          <w:rStyle w:val="CharSClsNo"/>
        </w:rPr>
        <w:t>3</w:t>
      </w:r>
      <w:r>
        <w:t>.</w:t>
      </w:r>
      <w:r>
        <w:tab/>
        <w:t>Field performance checks</w:t>
      </w:r>
      <w:bookmarkEnd w:id="103"/>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104" w:name="_Toc174976148"/>
      <w:r>
        <w:rPr>
          <w:rStyle w:val="CharSClsNo"/>
        </w:rPr>
        <w:t>4</w:t>
      </w:r>
      <w:r>
        <w:t>.</w:t>
      </w:r>
      <w:r>
        <w:tab/>
        <w:t>Equipment</w:t>
      </w:r>
      <w:r>
        <w:rPr>
          <w:snapToGrid w:val="0"/>
        </w:rPr>
        <w:t xml:space="preserve"> used for measurement of airblast levels</w:t>
      </w:r>
      <w:bookmarkEnd w:id="104"/>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keepNext/>
      </w:pPr>
      <w:r>
        <w:lastRenderedPageBreak/>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105" w:name="_Toc174968957"/>
      <w:bookmarkStart w:id="106" w:name="_Toc174969872"/>
      <w:bookmarkStart w:id="107" w:name="_Toc174976149"/>
      <w:r>
        <w:lastRenderedPageBreak/>
        <w:t>Notes</w:t>
      </w:r>
      <w:bookmarkEnd w:id="105"/>
      <w:bookmarkEnd w:id="106"/>
      <w:bookmarkEnd w:id="107"/>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w:t>
      </w:r>
    </w:p>
    <w:p>
      <w:pPr>
        <w:pStyle w:val="nHeading3"/>
      </w:pPr>
      <w:bookmarkStart w:id="108" w:name="_Toc174976150"/>
      <w:r>
        <w:t>Compilation table</w:t>
      </w:r>
      <w:bookmarkEnd w:id="1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nil"/>
            </w:tcBorders>
          </w:tcPr>
          <w:p>
            <w:pPr>
              <w:pStyle w:val="nTable"/>
              <w:spacing w:after="40"/>
            </w:pPr>
            <w:r>
              <w:t>SL 2022/25 11 Mar 2022</w:t>
            </w:r>
          </w:p>
        </w:tc>
        <w:tc>
          <w:tcPr>
            <w:tcW w:w="2693" w:type="dxa"/>
            <w:tcBorders>
              <w:top w:val="nil"/>
              <w:bottom w:val="nil"/>
            </w:tcBorders>
          </w:tcPr>
          <w:p>
            <w:pPr>
              <w:pStyle w:val="nTable"/>
              <w:spacing w:after="40"/>
            </w:pPr>
            <w:r>
              <w:t>31 Mar 2022 (see r. 2(b) and SL 2022/18 cl. 2)</w:t>
            </w:r>
          </w:p>
        </w:tc>
      </w:tr>
      <w:tr>
        <w:tc>
          <w:tcPr>
            <w:tcW w:w="3118" w:type="dxa"/>
            <w:tcBorders>
              <w:top w:val="nil"/>
              <w:bottom w:val="single" w:sz="4" w:space="0" w:color="auto"/>
            </w:tcBorders>
          </w:tcPr>
          <w:p>
            <w:pPr>
              <w:pStyle w:val="nTable"/>
              <w:spacing w:after="40"/>
              <w:rPr>
                <w:i/>
              </w:rPr>
            </w:pPr>
            <w:r>
              <w:rPr>
                <w:i/>
              </w:rPr>
              <w:t>Environmental Protection (Noise) Amendment Regulations (No. 2) 2024</w:t>
            </w:r>
          </w:p>
        </w:tc>
        <w:tc>
          <w:tcPr>
            <w:tcW w:w="1276" w:type="dxa"/>
            <w:tcBorders>
              <w:top w:val="nil"/>
              <w:bottom w:val="single" w:sz="4" w:space="0" w:color="auto"/>
            </w:tcBorders>
          </w:tcPr>
          <w:p>
            <w:pPr>
              <w:pStyle w:val="nTable"/>
              <w:spacing w:after="40"/>
            </w:pPr>
            <w:r>
              <w:t>SL 2024/159 7 Aug 2024</w:t>
            </w:r>
          </w:p>
        </w:tc>
        <w:tc>
          <w:tcPr>
            <w:tcW w:w="2693" w:type="dxa"/>
            <w:tcBorders>
              <w:top w:val="nil"/>
              <w:bottom w:val="single" w:sz="4" w:space="0" w:color="auto"/>
            </w:tcBorders>
          </w:tcPr>
          <w:p>
            <w:pPr>
              <w:pStyle w:val="nTable"/>
              <w:spacing w:after="40"/>
            </w:pPr>
            <w:r>
              <w:t>r. 1 and 2: 7 Aug 2024 (see r. 2(a));</w:t>
            </w:r>
            <w:r>
              <w:br/>
              <w:t>Regulations other than r. 1 and 2: 1 Sep 2024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10" w:name="_Toc174968960"/>
      <w:bookmarkStart w:id="111" w:name="_Toc174969874"/>
      <w:bookmarkStart w:id="112" w:name="_Toc174976151"/>
      <w:r>
        <w:rPr>
          <w:sz w:val="28"/>
        </w:rPr>
        <w:lastRenderedPageBreak/>
        <w:t>Defined terms</w:t>
      </w:r>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amusement structure</w:t>
      </w:r>
      <w:r>
        <w:tab/>
        <w:t>2(1)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lastRenderedPageBreak/>
        <w:t>LA 10 assigned level</w:t>
      </w:r>
      <w:r>
        <w:tab/>
        <w:t>8(1)</w:t>
      </w:r>
    </w:p>
    <w:p>
      <w:pPr>
        <w:pStyle w:val="DefinedTerms"/>
      </w:pPr>
      <w:r>
        <w:t>LA 1 assigned level</w:t>
      </w:r>
      <w:r>
        <w:tab/>
        <w:t>8(1)</w:t>
      </w:r>
    </w:p>
    <w:p>
      <w:pPr>
        <w:pStyle w:val="DefinedTerms"/>
      </w:pPr>
      <w:r>
        <w:t>LAeqT</w:t>
      </w:r>
      <w:r>
        <w:tab/>
        <w:t>9(2)</w:t>
      </w:r>
    </w:p>
    <w:p>
      <w:pPr>
        <w:pStyle w:val="DefinedTerms"/>
      </w:pPr>
      <w:r>
        <w:t>LA Fast</w:t>
      </w:r>
      <w:r>
        <w:tab/>
        <w:t>9(2)</w:t>
      </w:r>
    </w:p>
    <w:p>
      <w:pPr>
        <w:pStyle w:val="DefinedTerms"/>
      </w:pPr>
      <w:r>
        <w:t>LA max assigned level</w:t>
      </w:r>
      <w:r>
        <w:tab/>
        <w:t>8(1)</w:t>
      </w:r>
    </w:p>
    <w:p>
      <w:pPr>
        <w:pStyle w:val="DefinedTerms"/>
      </w:pPr>
      <w:r>
        <w:t>land use map</w:t>
      </w:r>
      <w:r>
        <w:tab/>
        <w:t>Sch. 3 cl. 1(1)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mine operator</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non-conforming use</w:t>
      </w:r>
      <w:r>
        <w:tab/>
        <w:t>10(1)</w:t>
      </w:r>
    </w:p>
    <w:p>
      <w:pPr>
        <w:pStyle w:val="DefinedTerms"/>
      </w:pPr>
      <w:r>
        <w:t>notifiable event</w:t>
      </w:r>
      <w:r>
        <w:tab/>
        <w:t>19B(1)</w:t>
      </w:r>
    </w:p>
    <w:p>
      <w:pPr>
        <w:pStyle w:val="DefinedTerms"/>
      </w:pPr>
      <w:r>
        <w:t>one-third octave band</w:t>
      </w:r>
      <w:r>
        <w:tab/>
        <w:t>8(2)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surface mining operations</w:t>
      </w:r>
      <w:r>
        <w:tab/>
        <w:t>2(1)</w:t>
      </w:r>
    </w:p>
    <w:p>
      <w:pPr>
        <w:pStyle w:val="DefinedTerms"/>
      </w:pPr>
      <w:r>
        <w:t>tonality</w:t>
      </w:r>
      <w:r>
        <w:tab/>
        <w:t>9(1)</w:t>
      </w:r>
    </w:p>
    <w:p>
      <w:pPr>
        <w:pStyle w:val="DefinedTerms"/>
      </w:pPr>
      <w:r>
        <w:lastRenderedPageBreak/>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6E32E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D7DEBC" w14:textId="36129EAF" w:rsidR="00966446" w:rsidRDefault="007F0F8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60C57">
                        <w:rPr>
                          <w:sz w:val="16"/>
                        </w:rPr>
                        <w:t>2024</w:t>
                      </w:r>
                      <w:r>
                        <w:rPr>
                          <w:sz w:val="16"/>
                        </w:rPr>
                        <w:fldChar w:fldCharType="end"/>
                      </w:r>
                      <w:r>
                        <w:rPr>
                          <w:sz w:val="16"/>
                        </w:rPr>
                        <w:t>.</w:t>
                      </w:r>
                    </w:p>
                    <w:p w14:paraId="36889296" w14:textId="77777777" w:rsidR="00966446" w:rsidRDefault="007F0F8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6C587D" w14:textId="4327A2C8" w:rsidR="00966446" w:rsidRDefault="007F0F8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60C57">
                        <w:rPr>
                          <w:sz w:val="16"/>
                        </w:rPr>
                        <w:t>2024</w:t>
                      </w:r>
                      <w:r>
                        <w:rPr>
                          <w:sz w:val="16"/>
                        </w:rPr>
                        <w:fldChar w:fldCharType="end"/>
                      </w:r>
                      <w:r>
                        <w:rPr>
                          <w:sz w:val="16"/>
                        </w:rPr>
                        <w:t>.</w:t>
                      </w:r>
                    </w:p>
                    <w:p w14:paraId="478B7EA3" w14:textId="77777777" w:rsidR="00966446" w:rsidRDefault="007F0F8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9140317"/>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 w:name="WAFER_2024081914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0317_GUID" w:val="630d515d-1612-45a5-a2c7-a4a5831d8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22524</Words>
  <Characters>110597</Characters>
  <Application>Microsoft Office Word</Application>
  <DocSecurity>0</DocSecurity>
  <Lines>3072</Lines>
  <Paragraphs>1706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1997 - 02-g0-00</dc:title>
  <dc:subject/>
  <dc:creator/>
  <cp:keywords/>
  <dc:description/>
  <cp:lastModifiedBy>Master Repository Process</cp:lastModifiedBy>
  <cp:revision>4</cp:revision>
  <cp:lastPrinted>2022-03-18T06:43:00Z</cp:lastPrinted>
  <dcterms:created xsi:type="dcterms:W3CDTF">2025-05-29T03:20:00Z</dcterms:created>
  <dcterms:modified xsi:type="dcterms:W3CDTF">2025-05-29T03:21:00Z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AsAtDate">
    <vt:lpwstr>01 Sep 2024</vt:lpwstr>
  </property>
  <property fmtid="{D5CDD505-2E9C-101B-9397-08002B2CF9AE}" pid="8" name="Suffix">
    <vt:lpwstr>02-g0-00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