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_Toc175226761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_Toc175226762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_Toc175226763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Legal Practice Board</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4.</w:t>
      </w:r>
      <w:r>
        <w:tab/>
        <w:t>Delegation of Board’s functions under Uniform Law (s. 37(b))</w:t>
      </w:r>
      <w:r>
        <w:tab/>
      </w:r>
      <w:r>
        <w:fldChar w:fldCharType="begin"/>
      </w:r>
      <w:r>
        <w:instrText xml:space="preserve"> PAGEREF _Toc175226766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Election of members</w:t>
      </w:r>
    </w:p>
    <w:p>
      <w:pPr>
        <w:pStyle w:val="TOC8"/>
        <w:rPr>
          <w:rFonts w:asciiTheme="minorHAnsi" w:eastAsiaTheme="minorEastAsia" w:hAnsiTheme="minorHAnsi" w:cstheme="minorBidi"/>
          <w:szCs w:val="22"/>
        </w:rPr>
      </w:pPr>
      <w:r>
        <w:t>5.</w:t>
      </w:r>
      <w:r>
        <w:tab/>
        <w:t>Annual election date</w:t>
      </w:r>
      <w:r>
        <w:tab/>
      </w:r>
      <w:r>
        <w:fldChar w:fldCharType="begin"/>
      </w:r>
      <w:r>
        <w:instrText xml:space="preserve"> PAGEREF _Toc175226768 \h </w:instrText>
      </w:r>
      <w:r>
        <w:fldChar w:fldCharType="separate"/>
      </w:r>
      <w:r>
        <w:t>3</w:t>
      </w:r>
      <w:r>
        <w:fldChar w:fldCharType="end"/>
      </w:r>
    </w:p>
    <w:p>
      <w:pPr>
        <w:pStyle w:val="TOC8"/>
        <w:rPr>
          <w:rFonts w:asciiTheme="minorHAnsi" w:eastAsiaTheme="minorEastAsia" w:hAnsiTheme="minorHAnsi" w:cstheme="minorBidi"/>
          <w:szCs w:val="22"/>
        </w:rPr>
      </w:pPr>
      <w:r>
        <w:t>6.</w:t>
      </w:r>
      <w:r>
        <w:tab/>
        <w:t>Returning officers</w:t>
      </w:r>
      <w:r>
        <w:tab/>
      </w:r>
      <w:r>
        <w:fldChar w:fldCharType="begin"/>
      </w:r>
      <w:r>
        <w:instrText xml:space="preserve"> PAGEREF _Toc175226769 \h </w:instrText>
      </w:r>
      <w:r>
        <w:fldChar w:fldCharType="separate"/>
      </w:r>
      <w:r>
        <w:t>3</w:t>
      </w:r>
      <w:r>
        <w:fldChar w:fldCharType="end"/>
      </w:r>
    </w:p>
    <w:p>
      <w:pPr>
        <w:pStyle w:val="TOC8"/>
        <w:rPr>
          <w:rFonts w:asciiTheme="minorHAnsi" w:eastAsiaTheme="minorEastAsia" w:hAnsiTheme="minorHAnsi" w:cstheme="minorBidi"/>
          <w:szCs w:val="22"/>
        </w:rPr>
      </w:pPr>
      <w:r>
        <w:t>7.</w:t>
      </w:r>
      <w:r>
        <w:tab/>
        <w:t>Nomination of candidates</w:t>
      </w:r>
      <w:r>
        <w:tab/>
      </w:r>
      <w:r>
        <w:fldChar w:fldCharType="begin"/>
      </w:r>
      <w:r>
        <w:instrText xml:space="preserve"> PAGEREF _Toc175226770 \h </w:instrText>
      </w:r>
      <w:r>
        <w:fldChar w:fldCharType="separate"/>
      </w:r>
      <w:r>
        <w:t>3</w:t>
      </w:r>
      <w:r>
        <w:fldChar w:fldCharType="end"/>
      </w:r>
    </w:p>
    <w:p>
      <w:pPr>
        <w:pStyle w:val="TOC8"/>
        <w:rPr>
          <w:rFonts w:asciiTheme="minorHAnsi" w:eastAsiaTheme="minorEastAsia" w:hAnsiTheme="minorHAnsi" w:cstheme="minorBidi"/>
          <w:szCs w:val="22"/>
        </w:rPr>
      </w:pPr>
      <w:r>
        <w:t>8.</w:t>
      </w:r>
      <w:r>
        <w:tab/>
        <w:t>Candidates elected when nominations equal vacancies</w:t>
      </w:r>
      <w:r>
        <w:tab/>
      </w:r>
      <w:r>
        <w:fldChar w:fldCharType="begin"/>
      </w:r>
      <w:r>
        <w:instrText xml:space="preserve"> PAGEREF _Toc175226771 \h </w:instrText>
      </w:r>
      <w:r>
        <w:fldChar w:fldCharType="separate"/>
      </w:r>
      <w:r>
        <w:t>4</w:t>
      </w:r>
      <w:r>
        <w:fldChar w:fldCharType="end"/>
      </w:r>
    </w:p>
    <w:p>
      <w:pPr>
        <w:pStyle w:val="TOC8"/>
        <w:rPr>
          <w:rFonts w:asciiTheme="minorHAnsi" w:eastAsiaTheme="minorEastAsia" w:hAnsiTheme="minorHAnsi" w:cstheme="minorBidi"/>
          <w:szCs w:val="22"/>
        </w:rPr>
      </w:pPr>
      <w:r>
        <w:t>9.</w:t>
      </w:r>
      <w:r>
        <w:tab/>
        <w:t>Board may approve online voting system for election</w:t>
      </w:r>
      <w:r>
        <w:tab/>
      </w:r>
      <w:r>
        <w:fldChar w:fldCharType="begin"/>
      </w:r>
      <w:r>
        <w:instrText xml:space="preserve"> PAGEREF _Toc175226772 \h </w:instrText>
      </w:r>
      <w:r>
        <w:fldChar w:fldCharType="separate"/>
      </w:r>
      <w:r>
        <w:t>4</w:t>
      </w:r>
      <w:r>
        <w:fldChar w:fldCharType="end"/>
      </w:r>
    </w:p>
    <w:p>
      <w:pPr>
        <w:pStyle w:val="TOC8"/>
        <w:rPr>
          <w:rFonts w:asciiTheme="minorHAnsi" w:eastAsiaTheme="minorEastAsia" w:hAnsiTheme="minorHAnsi" w:cstheme="minorBidi"/>
          <w:szCs w:val="22"/>
        </w:rPr>
      </w:pPr>
      <w:r>
        <w:t>10.</w:t>
      </w:r>
      <w:r>
        <w:tab/>
        <w:t>Notice of election to be given to local legal practitioners</w:t>
      </w:r>
      <w:r>
        <w:tab/>
      </w:r>
      <w:r>
        <w:fldChar w:fldCharType="begin"/>
      </w:r>
      <w:r>
        <w:instrText xml:space="preserve"> PAGEREF _Toc175226773 \h </w:instrText>
      </w:r>
      <w:r>
        <w:fldChar w:fldCharType="separate"/>
      </w:r>
      <w:r>
        <w:t>4</w:t>
      </w:r>
      <w:r>
        <w:fldChar w:fldCharType="end"/>
      </w:r>
    </w:p>
    <w:p>
      <w:pPr>
        <w:pStyle w:val="TOC8"/>
        <w:rPr>
          <w:rFonts w:asciiTheme="minorHAnsi" w:eastAsiaTheme="minorEastAsia" w:hAnsiTheme="minorHAnsi" w:cstheme="minorBidi"/>
          <w:szCs w:val="22"/>
        </w:rPr>
      </w:pPr>
      <w:r>
        <w:t>11.</w:t>
      </w:r>
      <w:r>
        <w:tab/>
        <w:t>Listing of candidates on ballot paper or online voting system</w:t>
      </w:r>
      <w:r>
        <w:tab/>
      </w:r>
      <w:r>
        <w:fldChar w:fldCharType="begin"/>
      </w:r>
      <w:r>
        <w:instrText xml:space="preserve"> PAGEREF _Toc175226774 \h </w:instrText>
      </w:r>
      <w:r>
        <w:fldChar w:fldCharType="separate"/>
      </w:r>
      <w:r>
        <w:t>5</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_Toc175226775 \h </w:instrText>
      </w:r>
      <w:r>
        <w:fldChar w:fldCharType="separate"/>
      </w:r>
      <w:r>
        <w:t>5</w:t>
      </w:r>
      <w:r>
        <w:fldChar w:fldCharType="end"/>
      </w:r>
    </w:p>
    <w:p>
      <w:pPr>
        <w:pStyle w:val="TOC8"/>
        <w:rPr>
          <w:rFonts w:asciiTheme="minorHAnsi" w:eastAsiaTheme="minorEastAsia" w:hAnsiTheme="minorHAnsi" w:cstheme="minorBidi"/>
          <w:szCs w:val="22"/>
        </w:rPr>
      </w:pPr>
      <w:r>
        <w:t>13.</w:t>
      </w:r>
      <w:r>
        <w:tab/>
        <w:t>Counting of votes</w:t>
      </w:r>
      <w:r>
        <w:tab/>
      </w:r>
      <w:r>
        <w:fldChar w:fldCharType="begin"/>
      </w:r>
      <w:r>
        <w:instrText xml:space="preserve"> PAGEREF _Toc175226776 \h </w:instrText>
      </w:r>
      <w:r>
        <w:fldChar w:fldCharType="separate"/>
      </w:r>
      <w:r>
        <w:t>6</w:t>
      </w:r>
      <w:r>
        <w:fldChar w:fldCharType="end"/>
      </w:r>
    </w:p>
    <w:p>
      <w:pPr>
        <w:pStyle w:val="TOC8"/>
        <w:rPr>
          <w:rFonts w:asciiTheme="minorHAnsi" w:eastAsiaTheme="minorEastAsia" w:hAnsiTheme="minorHAnsi" w:cstheme="minorBidi"/>
          <w:szCs w:val="22"/>
        </w:rPr>
      </w:pPr>
      <w:r>
        <w:t>14.</w:t>
      </w:r>
      <w:r>
        <w:tab/>
        <w:t>Election of members</w:t>
      </w:r>
      <w:r>
        <w:tab/>
      </w:r>
      <w:r>
        <w:fldChar w:fldCharType="begin"/>
      </w:r>
      <w:r>
        <w:instrText xml:space="preserve"> PAGEREF _Toc175226777 \h </w:instrText>
      </w:r>
      <w:r>
        <w:fldChar w:fldCharType="separate"/>
      </w:r>
      <w:r>
        <w:t>7</w:t>
      </w:r>
      <w:r>
        <w:fldChar w:fldCharType="end"/>
      </w:r>
    </w:p>
    <w:p>
      <w:pPr>
        <w:pStyle w:val="TOC8"/>
        <w:rPr>
          <w:rFonts w:asciiTheme="minorHAnsi" w:eastAsiaTheme="minorEastAsia" w:hAnsiTheme="minorHAnsi" w:cstheme="minorBidi"/>
          <w:szCs w:val="22"/>
        </w:rPr>
      </w:pPr>
      <w:r>
        <w:t>15.</w:t>
      </w:r>
      <w:r>
        <w:tab/>
        <w:t>Commencement of term of office</w:t>
      </w:r>
      <w:r>
        <w:tab/>
      </w:r>
      <w:r>
        <w:fldChar w:fldCharType="begin"/>
      </w:r>
      <w:r>
        <w:instrText xml:space="preserve"> PAGEREF _Toc175226778 \h </w:instrText>
      </w:r>
      <w:r>
        <w:fldChar w:fldCharType="separate"/>
      </w:r>
      <w:r>
        <w:t>8</w:t>
      </w:r>
      <w:r>
        <w:fldChar w:fldCharType="end"/>
      </w:r>
    </w:p>
    <w:p>
      <w:pPr>
        <w:pStyle w:val="TOC8"/>
        <w:rPr>
          <w:rFonts w:asciiTheme="minorHAnsi" w:eastAsiaTheme="minorEastAsia" w:hAnsiTheme="minorHAnsi" w:cstheme="minorBidi"/>
          <w:szCs w:val="22"/>
        </w:rPr>
      </w:pPr>
      <w:r>
        <w:t>16.</w:t>
      </w:r>
      <w:r>
        <w:tab/>
        <w:t xml:space="preserve">Results to be published in </w:t>
      </w:r>
      <w:r>
        <w:rPr>
          <w:i/>
        </w:rPr>
        <w:t>Gazette</w:t>
      </w:r>
      <w:r>
        <w:tab/>
      </w:r>
      <w:r>
        <w:fldChar w:fldCharType="begin"/>
      </w:r>
      <w:r>
        <w:instrText xml:space="preserve"> PAGEREF _Toc175226779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Non</w:t>
      </w:r>
      <w:r>
        <w:noBreakHyphen/>
        <w:t>receipt of notices</w:t>
      </w:r>
      <w:r>
        <w:tab/>
      </w:r>
      <w:r>
        <w:fldChar w:fldCharType="begin"/>
      </w:r>
      <w:r>
        <w:instrText xml:space="preserve"> PAGEREF _Toc175226780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Election of chairperson and deputy chairperson</w:t>
      </w:r>
    </w:p>
    <w:p>
      <w:pPr>
        <w:pStyle w:val="TOC8"/>
        <w:rPr>
          <w:rFonts w:asciiTheme="minorHAnsi" w:eastAsiaTheme="minorEastAsia" w:hAnsiTheme="minorHAnsi" w:cstheme="minorBidi"/>
          <w:szCs w:val="22"/>
        </w:rPr>
      </w:pPr>
      <w:r>
        <w:t>18.</w:t>
      </w:r>
      <w:r>
        <w:tab/>
        <w:t>Conduct of chairperson election or deputy chairperson election</w:t>
      </w:r>
      <w:r>
        <w:tab/>
      </w:r>
      <w:r>
        <w:fldChar w:fldCharType="begin"/>
      </w:r>
      <w:r>
        <w:instrText xml:space="preserve"> PAGEREF _Toc175226782 \h </w:instrText>
      </w:r>
      <w:r>
        <w:fldChar w:fldCharType="separate"/>
      </w:r>
      <w:r>
        <w:t>8</w:t>
      </w:r>
      <w:r>
        <w:fldChar w:fldCharType="end"/>
      </w:r>
    </w:p>
    <w:p>
      <w:pPr>
        <w:pStyle w:val="TOC8"/>
        <w:rPr>
          <w:rFonts w:asciiTheme="minorHAnsi" w:eastAsiaTheme="minorEastAsia" w:hAnsiTheme="minorHAnsi" w:cstheme="minorBidi"/>
          <w:szCs w:val="22"/>
        </w:rPr>
      </w:pPr>
      <w:r>
        <w:t>19.</w:t>
      </w:r>
      <w:r>
        <w:tab/>
        <w:t>Commencement of term of office of chairperson or deputy chairperson</w:t>
      </w:r>
      <w:r>
        <w:tab/>
      </w:r>
      <w:r>
        <w:fldChar w:fldCharType="begin"/>
      </w:r>
      <w:r>
        <w:instrText xml:space="preserve"> PAGEREF _Toc175226783 \h </w:instrText>
      </w:r>
      <w:r>
        <w:fldChar w:fldCharType="separate"/>
      </w:r>
      <w:r>
        <w:t>10</w:t>
      </w:r>
      <w:r>
        <w:fldChar w:fldCharType="end"/>
      </w:r>
    </w:p>
    <w:p>
      <w:pPr>
        <w:pStyle w:val="TOC8"/>
        <w:rPr>
          <w:rFonts w:asciiTheme="minorHAnsi" w:eastAsiaTheme="minorEastAsia" w:hAnsiTheme="minorHAnsi" w:cstheme="minorBidi"/>
          <w:szCs w:val="22"/>
        </w:rPr>
      </w:pPr>
      <w:r>
        <w:t>20.</w:t>
      </w:r>
      <w:r>
        <w:tab/>
        <w:t xml:space="preserve">Results to be published in </w:t>
      </w:r>
      <w:r>
        <w:rPr>
          <w:i/>
        </w:rPr>
        <w:t>Gazette</w:t>
      </w:r>
      <w:r>
        <w:tab/>
      </w:r>
      <w:r>
        <w:fldChar w:fldCharType="begin"/>
      </w:r>
      <w:r>
        <w:instrText xml:space="preserve"> PAGEREF _Toc175226784 \h </w:instrText>
      </w:r>
      <w:r>
        <w:fldChar w:fldCharType="separate"/>
      </w:r>
      <w:r>
        <w:t>10</w:t>
      </w:r>
      <w:r>
        <w:fldChar w:fldCharType="end"/>
      </w:r>
    </w:p>
    <w:p>
      <w:pPr>
        <w:pStyle w:val="TOC8"/>
        <w:rPr>
          <w:rFonts w:asciiTheme="minorHAnsi" w:eastAsiaTheme="minorEastAsia" w:hAnsiTheme="minorHAnsi" w:cstheme="minorBidi"/>
          <w:szCs w:val="22"/>
        </w:rPr>
      </w:pPr>
      <w:r>
        <w:t>21.</w:t>
      </w:r>
      <w:r>
        <w:tab/>
        <w:t>Non</w:t>
      </w:r>
      <w:r>
        <w:noBreakHyphen/>
        <w:t>receipt of notices</w:t>
      </w:r>
      <w:r>
        <w:tab/>
      </w:r>
      <w:r>
        <w:fldChar w:fldCharType="begin"/>
      </w:r>
      <w:r>
        <w:instrText xml:space="preserve"> PAGEREF _Toc175226785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Meetings and proceedings of Board</w:t>
      </w:r>
    </w:p>
    <w:p>
      <w:pPr>
        <w:pStyle w:val="TOC8"/>
        <w:rPr>
          <w:rFonts w:asciiTheme="minorHAnsi" w:eastAsiaTheme="minorEastAsia" w:hAnsiTheme="minorHAnsi" w:cstheme="minorBidi"/>
          <w:szCs w:val="22"/>
        </w:rPr>
      </w:pPr>
      <w:r>
        <w:t>22.</w:t>
      </w:r>
      <w:r>
        <w:tab/>
        <w:t>Notice of Board meeting</w:t>
      </w:r>
      <w:r>
        <w:tab/>
      </w:r>
      <w:r>
        <w:fldChar w:fldCharType="begin"/>
      </w:r>
      <w:r>
        <w:instrText xml:space="preserve"> PAGEREF _Toc175226787 \h </w:instrText>
      </w:r>
      <w:r>
        <w:fldChar w:fldCharType="separate"/>
      </w:r>
      <w:r>
        <w:t>10</w:t>
      </w:r>
      <w:r>
        <w:fldChar w:fldCharType="end"/>
      </w:r>
    </w:p>
    <w:p>
      <w:pPr>
        <w:pStyle w:val="TOC8"/>
        <w:rPr>
          <w:rFonts w:asciiTheme="minorHAnsi" w:eastAsiaTheme="minorEastAsia" w:hAnsiTheme="minorHAnsi" w:cstheme="minorBidi"/>
          <w:szCs w:val="22"/>
        </w:rPr>
      </w:pPr>
      <w:r>
        <w:t>23.</w:t>
      </w:r>
      <w:r>
        <w:tab/>
        <w:t>Urgent meeting</w:t>
      </w:r>
      <w:r>
        <w:tab/>
      </w:r>
      <w:r>
        <w:fldChar w:fldCharType="begin"/>
      </w:r>
      <w:r>
        <w:instrText xml:space="preserve"> PAGEREF _Toc175226788 \h </w:instrText>
      </w:r>
      <w:r>
        <w:fldChar w:fldCharType="separate"/>
      </w:r>
      <w:r>
        <w:t>11</w:t>
      </w:r>
      <w:r>
        <w:fldChar w:fldCharType="end"/>
      </w:r>
    </w:p>
    <w:p>
      <w:pPr>
        <w:pStyle w:val="TOC8"/>
        <w:rPr>
          <w:rFonts w:asciiTheme="minorHAnsi" w:eastAsiaTheme="minorEastAsia" w:hAnsiTheme="minorHAnsi" w:cstheme="minorBidi"/>
          <w:szCs w:val="22"/>
        </w:rPr>
      </w:pPr>
      <w:r>
        <w:t>24.</w:t>
      </w:r>
      <w:r>
        <w:tab/>
        <w:t>Resolution without meeting</w:t>
      </w:r>
      <w:r>
        <w:tab/>
      </w:r>
      <w:r>
        <w:fldChar w:fldCharType="begin"/>
      </w:r>
      <w:r>
        <w:instrText xml:space="preserve"> PAGEREF _Toc175226789 \h </w:instrText>
      </w:r>
      <w:r>
        <w:fldChar w:fldCharType="separate"/>
      </w:r>
      <w:r>
        <w:t>11</w:t>
      </w:r>
      <w:r>
        <w:fldChar w:fldCharType="end"/>
      </w:r>
    </w:p>
    <w:p>
      <w:pPr>
        <w:pStyle w:val="TOC8"/>
        <w:rPr>
          <w:rFonts w:asciiTheme="minorHAnsi" w:eastAsiaTheme="minorEastAsia" w:hAnsiTheme="minorHAnsi" w:cstheme="minorBidi"/>
          <w:szCs w:val="22"/>
        </w:rPr>
      </w:pPr>
      <w:r>
        <w:t>25.</w:t>
      </w:r>
      <w:r>
        <w:tab/>
        <w:t>Rescission or amendment of resolution</w:t>
      </w:r>
      <w:r>
        <w:tab/>
      </w:r>
      <w:r>
        <w:fldChar w:fldCharType="begin"/>
      </w:r>
      <w:r>
        <w:instrText xml:space="preserve"> PAGEREF _Toc175226790 \h </w:instrText>
      </w:r>
      <w:r>
        <w:fldChar w:fldCharType="separate"/>
      </w:r>
      <w:r>
        <w:t>12</w:t>
      </w:r>
      <w:r>
        <w:fldChar w:fldCharType="end"/>
      </w:r>
    </w:p>
    <w:p>
      <w:pPr>
        <w:pStyle w:val="TOC8"/>
        <w:rPr>
          <w:rFonts w:asciiTheme="minorHAnsi" w:eastAsiaTheme="minorEastAsia" w:hAnsiTheme="minorHAnsi" w:cstheme="minorBidi"/>
          <w:szCs w:val="22"/>
        </w:rPr>
      </w:pPr>
      <w:r>
        <w:t>26.</w:t>
      </w:r>
      <w:r>
        <w:tab/>
        <w:t>Minutes of Board meeting prima facie evidence of matters</w:t>
      </w:r>
      <w:r>
        <w:tab/>
      </w:r>
      <w:r>
        <w:fldChar w:fldCharType="begin"/>
      </w:r>
      <w:r>
        <w:instrText xml:space="preserve"> PAGEREF _Toc175226791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Committees</w:t>
      </w:r>
    </w:p>
    <w:p>
      <w:pPr>
        <w:pStyle w:val="TOC8"/>
        <w:rPr>
          <w:rFonts w:asciiTheme="minorHAnsi" w:eastAsiaTheme="minorEastAsia" w:hAnsiTheme="minorHAnsi" w:cstheme="minorBidi"/>
          <w:szCs w:val="22"/>
        </w:rPr>
      </w:pPr>
      <w:r>
        <w:t>27.</w:t>
      </w:r>
      <w:r>
        <w:tab/>
        <w:t>Convenor and deputy convenor</w:t>
      </w:r>
      <w:r>
        <w:tab/>
      </w:r>
      <w:r>
        <w:fldChar w:fldCharType="begin"/>
      </w:r>
      <w:r>
        <w:instrText xml:space="preserve"> PAGEREF _Toc175226793 \h </w:instrText>
      </w:r>
      <w:r>
        <w:fldChar w:fldCharType="separate"/>
      </w:r>
      <w:r>
        <w:t>12</w:t>
      </w:r>
      <w:r>
        <w:fldChar w:fldCharType="end"/>
      </w:r>
    </w:p>
    <w:p>
      <w:pPr>
        <w:pStyle w:val="TOC8"/>
        <w:rPr>
          <w:rFonts w:asciiTheme="minorHAnsi" w:eastAsiaTheme="minorEastAsia" w:hAnsiTheme="minorHAnsi" w:cstheme="minorBidi"/>
          <w:szCs w:val="22"/>
        </w:rPr>
      </w:pPr>
      <w:r>
        <w:t>28.</w:t>
      </w:r>
      <w:r>
        <w:tab/>
        <w:t>Committee meetings</w:t>
      </w:r>
      <w:r>
        <w:tab/>
      </w:r>
      <w:r>
        <w:fldChar w:fldCharType="begin"/>
      </w:r>
      <w:r>
        <w:instrText xml:space="preserve"> PAGEREF _Toc175226794 \h </w:instrText>
      </w:r>
      <w:r>
        <w:fldChar w:fldCharType="separate"/>
      </w:r>
      <w:r>
        <w:t>13</w:t>
      </w:r>
      <w:r>
        <w:fldChar w:fldCharType="end"/>
      </w:r>
    </w:p>
    <w:p>
      <w:pPr>
        <w:pStyle w:val="TOC8"/>
        <w:rPr>
          <w:rFonts w:asciiTheme="minorHAnsi" w:eastAsiaTheme="minorEastAsia" w:hAnsiTheme="minorHAnsi" w:cstheme="minorBidi"/>
          <w:szCs w:val="22"/>
        </w:rPr>
      </w:pPr>
      <w:r>
        <w:t>29.</w:t>
      </w:r>
      <w:r>
        <w:tab/>
        <w:t>Modification of applied provisions</w:t>
      </w:r>
      <w:r>
        <w:tab/>
      </w:r>
      <w:r>
        <w:fldChar w:fldCharType="begin"/>
      </w:r>
      <w:r>
        <w:instrText xml:space="preserve"> PAGEREF _Toc175226795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6 — Giving certain notices electronically</w:t>
      </w:r>
    </w:p>
    <w:p>
      <w:pPr>
        <w:pStyle w:val="TOC8"/>
        <w:rPr>
          <w:rFonts w:asciiTheme="minorHAnsi" w:eastAsiaTheme="minorEastAsia" w:hAnsiTheme="minorHAnsi" w:cstheme="minorBidi"/>
          <w:szCs w:val="22"/>
        </w:rPr>
      </w:pPr>
      <w:r>
        <w:t>30.</w:t>
      </w:r>
      <w:r>
        <w:tab/>
        <w:t>Notices under this Part may be given electronically</w:t>
      </w:r>
      <w:r>
        <w:tab/>
      </w:r>
      <w:r>
        <w:fldChar w:fldCharType="begin"/>
      </w:r>
      <w:r>
        <w:instrText xml:space="preserve"> PAGEREF _Toc175226797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w:t>
      </w:r>
    </w:p>
    <w:p>
      <w:pPr>
        <w:pStyle w:val="TOC8"/>
        <w:rPr>
          <w:rFonts w:asciiTheme="minorHAnsi" w:eastAsiaTheme="minorEastAsia" w:hAnsiTheme="minorHAnsi" w:cstheme="minorBidi"/>
          <w:szCs w:val="22"/>
        </w:rPr>
      </w:pPr>
      <w:r>
        <w:t>31.</w:t>
      </w:r>
      <w:r>
        <w:tab/>
        <w:t>Applications required for certain matters relating to admission</w:t>
      </w:r>
      <w:r>
        <w:tab/>
      </w:r>
      <w:r>
        <w:fldChar w:fldCharType="begin"/>
      </w:r>
      <w:r>
        <w:instrText xml:space="preserve"> PAGEREF _Toc175226799 \h </w:instrText>
      </w:r>
      <w:r>
        <w:fldChar w:fldCharType="separate"/>
      </w:r>
      <w:r>
        <w:t>15</w:t>
      </w:r>
      <w:r>
        <w:fldChar w:fldCharType="end"/>
      </w:r>
    </w:p>
    <w:p>
      <w:pPr>
        <w:pStyle w:val="TOC8"/>
        <w:rPr>
          <w:rFonts w:asciiTheme="minorHAnsi" w:eastAsiaTheme="minorEastAsia" w:hAnsiTheme="minorHAnsi" w:cstheme="minorBidi"/>
          <w:szCs w:val="22"/>
        </w:rPr>
      </w:pPr>
      <w:r>
        <w:t>32.</w:t>
      </w:r>
      <w:r>
        <w:tab/>
        <w:t>Application for compliance certificate must be made within 2 days after applying for admission</w:t>
      </w:r>
      <w:r>
        <w:tab/>
      </w:r>
      <w:r>
        <w:fldChar w:fldCharType="begin"/>
      </w:r>
      <w:r>
        <w:instrText xml:space="preserve"> PAGEREF _Toc175226800 \h </w:instrText>
      </w:r>
      <w:r>
        <w:fldChar w:fldCharType="separate"/>
      </w:r>
      <w:r>
        <w:t>15</w:t>
      </w:r>
      <w:r>
        <w:fldChar w:fldCharType="end"/>
      </w:r>
    </w:p>
    <w:p>
      <w:pPr>
        <w:pStyle w:val="TOC8"/>
        <w:rPr>
          <w:rFonts w:asciiTheme="minorHAnsi" w:eastAsiaTheme="minorEastAsia" w:hAnsiTheme="minorHAnsi" w:cstheme="minorBidi"/>
          <w:szCs w:val="22"/>
        </w:rPr>
      </w:pPr>
      <w:r>
        <w:t>33.</w:t>
      </w:r>
      <w:r>
        <w:tab/>
        <w:t>Fees for applications for admission by Supreme Court (s. 113(b))</w:t>
      </w:r>
      <w:r>
        <w:tab/>
      </w:r>
      <w:r>
        <w:fldChar w:fldCharType="begin"/>
      </w:r>
      <w:r>
        <w:instrText xml:space="preserve"> PAGEREF _Toc175226801 \h </w:instrText>
      </w:r>
      <w:r>
        <w:fldChar w:fldCharType="separate"/>
      </w:r>
      <w:r>
        <w:t>16</w:t>
      </w:r>
      <w:r>
        <w:fldChar w:fldCharType="end"/>
      </w:r>
    </w:p>
    <w:p>
      <w:pPr>
        <w:pStyle w:val="TOC8"/>
        <w:rPr>
          <w:rFonts w:asciiTheme="minorHAnsi" w:eastAsiaTheme="minorEastAsia" w:hAnsiTheme="minorHAnsi" w:cstheme="minorBidi"/>
          <w:szCs w:val="22"/>
        </w:rPr>
      </w:pPr>
      <w:r>
        <w:t>34.</w:t>
      </w:r>
      <w:r>
        <w:tab/>
        <w:t>Fees for other applications relating to admission</w:t>
      </w:r>
      <w:r>
        <w:tab/>
      </w:r>
      <w:r>
        <w:fldChar w:fldCharType="begin"/>
      </w:r>
      <w:r>
        <w:instrText xml:space="preserve"> PAGEREF _Toc175226802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Practising certificates and registration certificates</w:t>
      </w:r>
    </w:p>
    <w:p>
      <w:pPr>
        <w:pStyle w:val="TOC8"/>
        <w:rPr>
          <w:rFonts w:asciiTheme="minorHAnsi" w:eastAsiaTheme="minorEastAsia" w:hAnsiTheme="minorHAnsi" w:cstheme="minorBidi"/>
          <w:szCs w:val="22"/>
        </w:rPr>
      </w:pPr>
      <w:r>
        <w:t>35.</w:t>
      </w:r>
      <w:r>
        <w:tab/>
        <w:t>Fees for applications for Australian practising certificates and Australian registration certificates (s. 116(1)(c) and 120(1)(c))</w:t>
      </w:r>
      <w:r>
        <w:tab/>
      </w:r>
      <w:r>
        <w:fldChar w:fldCharType="begin"/>
      </w:r>
      <w:r>
        <w:instrText xml:space="preserve"> PAGEREF _Toc175226804 \h </w:instrText>
      </w:r>
      <w:r>
        <w:fldChar w:fldCharType="separate"/>
      </w:r>
      <w:r>
        <w:t>17</w:t>
      </w:r>
      <w:r>
        <w:fldChar w:fldCharType="end"/>
      </w:r>
    </w:p>
    <w:p>
      <w:pPr>
        <w:pStyle w:val="TOC8"/>
        <w:rPr>
          <w:rFonts w:asciiTheme="minorHAnsi" w:eastAsiaTheme="minorEastAsia" w:hAnsiTheme="minorHAnsi" w:cstheme="minorBidi"/>
          <w:szCs w:val="22"/>
        </w:rPr>
      </w:pPr>
      <w:r>
        <w:t>36.</w:t>
      </w:r>
      <w:r>
        <w:tab/>
        <w:t>Contribution to cost of funding Legal Profession Uniform Framework (s. 116(1)(e))</w:t>
      </w:r>
      <w:r>
        <w:tab/>
      </w:r>
      <w:r>
        <w:fldChar w:fldCharType="begin"/>
      </w:r>
      <w:r>
        <w:instrText xml:space="preserve"> PAGEREF _Toc175226805 \h </w:instrText>
      </w:r>
      <w:r>
        <w:fldChar w:fldCharType="separate"/>
      </w:r>
      <w:r>
        <w:t>19</w:t>
      </w:r>
      <w:r>
        <w:fldChar w:fldCharType="end"/>
      </w:r>
    </w:p>
    <w:p>
      <w:pPr>
        <w:pStyle w:val="TOC8"/>
        <w:rPr>
          <w:rFonts w:asciiTheme="minorHAnsi" w:eastAsiaTheme="minorEastAsia" w:hAnsiTheme="minorHAnsi" w:cstheme="minorBidi"/>
          <w:szCs w:val="22"/>
        </w:rPr>
      </w:pPr>
      <w:r>
        <w:t>37.</w:t>
      </w:r>
      <w:r>
        <w:tab/>
        <w:t>Standard renewal period and late fee period (s. 117(1)(a) and (b) and 121(1)(a) and (b))</w:t>
      </w:r>
      <w:r>
        <w:tab/>
      </w:r>
      <w:r>
        <w:fldChar w:fldCharType="begin"/>
      </w:r>
      <w:r>
        <w:instrText xml:space="preserve"> PAGEREF _Toc175226806 \h </w:instrText>
      </w:r>
      <w:r>
        <w:fldChar w:fldCharType="separate"/>
      </w:r>
      <w:r>
        <w:t>20</w:t>
      </w:r>
      <w:r>
        <w:fldChar w:fldCharType="end"/>
      </w:r>
    </w:p>
    <w:p>
      <w:pPr>
        <w:pStyle w:val="TOC8"/>
        <w:rPr>
          <w:rFonts w:asciiTheme="minorHAnsi" w:eastAsiaTheme="minorEastAsia" w:hAnsiTheme="minorHAnsi" w:cstheme="minorBidi"/>
          <w:szCs w:val="22"/>
        </w:rPr>
      </w:pPr>
      <w:r>
        <w:t>38.</w:t>
      </w:r>
      <w:r>
        <w:tab/>
        <w:t>Contribution to fidelity fund</w:t>
      </w:r>
      <w:r>
        <w:tab/>
      </w:r>
      <w:r>
        <w:fldChar w:fldCharType="begin"/>
      </w:r>
      <w:r>
        <w:instrText xml:space="preserve"> PAGEREF _Toc175226807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Continuing professional development</w:t>
      </w:r>
    </w:p>
    <w:p>
      <w:pPr>
        <w:pStyle w:val="TOC8"/>
        <w:rPr>
          <w:rFonts w:asciiTheme="minorHAnsi" w:eastAsiaTheme="minorEastAsia" w:hAnsiTheme="minorHAnsi" w:cstheme="minorBidi"/>
          <w:szCs w:val="22"/>
        </w:rPr>
      </w:pPr>
      <w:r>
        <w:t>39.</w:t>
      </w:r>
      <w:r>
        <w:tab/>
        <w:t>Excluded activities (s. 125(1))</w:t>
      </w:r>
      <w:r>
        <w:tab/>
      </w:r>
      <w:r>
        <w:fldChar w:fldCharType="begin"/>
      </w:r>
      <w:r>
        <w:instrText xml:space="preserve"> PAGEREF _Toc175226809 \h </w:instrText>
      </w:r>
      <w:r>
        <w:fldChar w:fldCharType="separate"/>
      </w:r>
      <w:r>
        <w:t>22</w:t>
      </w:r>
      <w:r>
        <w:fldChar w:fldCharType="end"/>
      </w:r>
    </w:p>
    <w:p>
      <w:pPr>
        <w:pStyle w:val="TOC8"/>
        <w:rPr>
          <w:rFonts w:asciiTheme="minorHAnsi" w:eastAsiaTheme="minorEastAsia" w:hAnsiTheme="minorHAnsi" w:cstheme="minorBidi"/>
          <w:szCs w:val="22"/>
        </w:rPr>
      </w:pPr>
      <w:r>
        <w:t>40.</w:t>
      </w:r>
      <w:r>
        <w:tab/>
        <w:t>Exemption from requirement for accreditation under Board Rules (s. 125(6))</w:t>
      </w:r>
      <w:r>
        <w:tab/>
      </w:r>
      <w:r>
        <w:fldChar w:fldCharType="begin"/>
      </w:r>
      <w:r>
        <w:instrText xml:space="preserve"> PAGEREF _Toc175226810 \h </w:instrText>
      </w:r>
      <w:r>
        <w:fldChar w:fldCharType="separate"/>
      </w:r>
      <w:r>
        <w:t>23</w:t>
      </w:r>
      <w:r>
        <w:fldChar w:fldCharType="end"/>
      </w:r>
    </w:p>
    <w:p>
      <w:pPr>
        <w:pStyle w:val="TOC8"/>
        <w:rPr>
          <w:rFonts w:asciiTheme="minorHAnsi" w:eastAsiaTheme="minorEastAsia" w:hAnsiTheme="minorHAnsi" w:cstheme="minorBidi"/>
          <w:szCs w:val="22"/>
        </w:rPr>
      </w:pPr>
      <w:r>
        <w:t>41.</w:t>
      </w:r>
      <w:r>
        <w:tab/>
        <w:t>Determination of whether certain activities meet requirements of Continuing Professional Development Rules</w:t>
      </w:r>
      <w:r>
        <w:tab/>
      </w:r>
      <w:r>
        <w:fldChar w:fldCharType="begin"/>
      </w:r>
      <w:r>
        <w:instrText xml:space="preserve"> PAGEREF _Toc175226811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lawyers</w:t>
      </w:r>
    </w:p>
    <w:p>
      <w:pPr>
        <w:pStyle w:val="TOC8"/>
        <w:rPr>
          <w:rFonts w:asciiTheme="minorHAnsi" w:eastAsiaTheme="minorEastAsia" w:hAnsiTheme="minorHAnsi" w:cstheme="minorBidi"/>
          <w:szCs w:val="22"/>
        </w:rPr>
      </w:pPr>
      <w:r>
        <w:t>42.</w:t>
      </w:r>
      <w:r>
        <w:tab/>
        <w:t>Contract legislative drafters (s. 126(2))</w:t>
      </w:r>
      <w:r>
        <w:tab/>
      </w:r>
      <w:r>
        <w:fldChar w:fldCharType="begin"/>
      </w:r>
      <w:r>
        <w:instrText xml:space="preserve"> PAGEREF _Toc175226813 \h </w:instrText>
      </w:r>
      <w:r>
        <w:fldChar w:fldCharType="separate"/>
      </w:r>
      <w:r>
        <w:t>25</w:t>
      </w:r>
      <w:r>
        <w:fldChar w:fldCharType="end"/>
      </w:r>
    </w:p>
    <w:p>
      <w:pPr>
        <w:pStyle w:val="TOC8"/>
        <w:rPr>
          <w:rFonts w:asciiTheme="minorHAnsi" w:eastAsiaTheme="minorEastAsia" w:hAnsiTheme="minorHAnsi" w:cstheme="minorBidi"/>
          <w:szCs w:val="22"/>
        </w:rPr>
      </w:pPr>
      <w:r>
        <w:t>42A.</w:t>
      </w:r>
      <w:r>
        <w:tab/>
        <w:t>Exemption from requirement to hold Australian practising certificate for certain contract legislative drafters (s. 127(1)(a) and (b))</w:t>
      </w:r>
      <w:r>
        <w:tab/>
      </w:r>
      <w:r>
        <w:fldChar w:fldCharType="begin"/>
      </w:r>
      <w:r>
        <w:instrText xml:space="preserve"> PAGEREF _Toc175226814 \h </w:instrText>
      </w:r>
      <w:r>
        <w:fldChar w:fldCharType="separate"/>
      </w:r>
      <w:r>
        <w:t>25</w:t>
      </w:r>
      <w:r>
        <w:fldChar w:fldCharType="end"/>
      </w:r>
    </w:p>
    <w:p>
      <w:pPr>
        <w:pStyle w:val="TOC8"/>
        <w:rPr>
          <w:rFonts w:asciiTheme="minorHAnsi" w:eastAsiaTheme="minorEastAsia" w:hAnsiTheme="minorHAnsi" w:cstheme="minorBidi"/>
          <w:szCs w:val="22"/>
        </w:rPr>
      </w:pPr>
      <w:r>
        <w:t>43.</w:t>
      </w:r>
      <w:r>
        <w:tab/>
        <w:t>Foreign legislative drafters employed in Parliamentary Counsel’s Office (s. 127(1)(b))</w:t>
      </w:r>
      <w:r>
        <w:tab/>
      </w:r>
      <w:r>
        <w:fldChar w:fldCharType="begin"/>
      </w:r>
      <w:r>
        <w:instrText xml:space="preserve"> PAGEREF _Toc175226815 \h </w:instrText>
      </w:r>
      <w:r>
        <w:fldChar w:fldCharType="separate"/>
      </w:r>
      <w:r>
        <w:t>26</w:t>
      </w:r>
      <w:r>
        <w:fldChar w:fldCharType="end"/>
      </w:r>
    </w:p>
    <w:p>
      <w:pPr>
        <w:pStyle w:val="TOC8"/>
        <w:rPr>
          <w:rFonts w:asciiTheme="minorHAnsi" w:eastAsiaTheme="minorEastAsia" w:hAnsiTheme="minorHAnsi" w:cstheme="minorBidi"/>
          <w:szCs w:val="22"/>
        </w:rPr>
      </w:pPr>
      <w:r>
        <w:t>44.</w:t>
      </w:r>
      <w:r>
        <w:tab/>
        <w:t>Supervised legal practice in Parliamentary Counsel’s Office or other legislative drafting office (s. 127(1)(b))</w:t>
      </w:r>
      <w:r>
        <w:tab/>
      </w:r>
      <w:r>
        <w:fldChar w:fldCharType="begin"/>
      </w:r>
      <w:r>
        <w:instrText xml:space="preserve"> PAGEREF _Toc175226816 \h </w:instrText>
      </w:r>
      <w:r>
        <w:fldChar w:fldCharType="separate"/>
      </w:r>
      <w:r>
        <w:t>27</w:t>
      </w:r>
      <w:r>
        <w:fldChar w:fldCharType="end"/>
      </w:r>
    </w:p>
    <w:p>
      <w:pPr>
        <w:pStyle w:val="TOC8"/>
        <w:rPr>
          <w:rFonts w:asciiTheme="minorHAnsi" w:eastAsiaTheme="minorEastAsia" w:hAnsiTheme="minorHAnsi" w:cstheme="minorBidi"/>
          <w:szCs w:val="22"/>
        </w:rPr>
      </w:pPr>
      <w:r>
        <w:t>45.</w:t>
      </w:r>
      <w:r>
        <w:tab/>
        <w:t>Calculation of periods for r. 42A, 43 and 44</w:t>
      </w:r>
      <w:r>
        <w:tab/>
      </w:r>
      <w:r>
        <w:fldChar w:fldCharType="begin"/>
      </w:r>
      <w:r>
        <w:instrText xml:space="preserve"> PAGEREF _Toc175226817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Legal costs</w:t>
      </w:r>
    </w:p>
    <w:p>
      <w:pPr>
        <w:pStyle w:val="TOC8"/>
        <w:rPr>
          <w:rFonts w:asciiTheme="minorHAnsi" w:eastAsiaTheme="minorEastAsia" w:hAnsiTheme="minorHAnsi" w:cstheme="minorBidi"/>
          <w:szCs w:val="22"/>
        </w:rPr>
      </w:pPr>
      <w:r>
        <w:t>46.</w:t>
      </w:r>
      <w:r>
        <w:tab/>
        <w:t>Costs assessment for purpose of investigating complaint (s. 152)</w:t>
      </w:r>
      <w:r>
        <w:tab/>
      </w:r>
      <w:r>
        <w:fldChar w:fldCharType="begin"/>
      </w:r>
      <w:r>
        <w:instrText xml:space="preserve"> PAGEREF _Toc175226819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Professional indemnity insurance</w:t>
      </w:r>
    </w:p>
    <w:p>
      <w:pPr>
        <w:pStyle w:val="TOC8"/>
        <w:rPr>
          <w:rFonts w:asciiTheme="minorHAnsi" w:eastAsiaTheme="minorEastAsia" w:hAnsiTheme="minorHAnsi" w:cstheme="minorBidi"/>
          <w:szCs w:val="22"/>
        </w:rPr>
      </w:pPr>
      <w:r>
        <w:t>47.</w:t>
      </w:r>
      <w:r>
        <w:tab/>
        <w:t>Late fee (s. 158(3)(b))</w:t>
      </w:r>
      <w:r>
        <w:tab/>
      </w:r>
      <w:r>
        <w:fldChar w:fldCharType="begin"/>
      </w:r>
      <w:r>
        <w:instrText xml:space="preserve"> PAGEREF _Toc175226821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48.</w:t>
      </w:r>
      <w:r>
        <w:tab/>
        <w:t>PII schemes (s. 162)</w:t>
      </w:r>
      <w:r>
        <w:tab/>
      </w:r>
      <w:r>
        <w:fldChar w:fldCharType="begin"/>
      </w:r>
      <w:r>
        <w:instrText xml:space="preserve"> PAGEREF _Toc175226822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Fidelity cover</w:t>
      </w:r>
    </w:p>
    <w:p>
      <w:pPr>
        <w:pStyle w:val="TOC8"/>
        <w:rPr>
          <w:rFonts w:asciiTheme="minorHAnsi" w:eastAsiaTheme="minorEastAsia" w:hAnsiTheme="minorHAnsi" w:cstheme="minorBidi"/>
          <w:szCs w:val="22"/>
        </w:rPr>
      </w:pPr>
      <w:r>
        <w:t>49.</w:t>
      </w:r>
      <w:r>
        <w:tab/>
        <w:t>Maximum amounts payable from Guarantee Fund</w:t>
      </w:r>
      <w:r>
        <w:tab/>
      </w:r>
      <w:r>
        <w:fldChar w:fldCharType="begin"/>
      </w:r>
      <w:r>
        <w:instrText xml:space="preserve"> PAGEREF _Toc175226824 \h </w:instrText>
      </w:r>
      <w:r>
        <w:fldChar w:fldCharType="separate"/>
      </w:r>
      <w:r>
        <w:t>32</w:t>
      </w:r>
      <w:r>
        <w:fldChar w:fldCharType="end"/>
      </w:r>
    </w:p>
    <w:p>
      <w:pPr>
        <w:pStyle w:val="TOC8"/>
        <w:rPr>
          <w:rFonts w:asciiTheme="minorHAnsi" w:eastAsiaTheme="minorEastAsia" w:hAnsiTheme="minorHAnsi" w:cstheme="minorBidi"/>
          <w:szCs w:val="22"/>
        </w:rPr>
      </w:pPr>
      <w:r>
        <w:t>50.</w:t>
      </w:r>
      <w:r>
        <w:tab/>
        <w:t>Minimum agreed amount for Guarantee Fund (s. 201(1))</w:t>
      </w:r>
      <w:r>
        <w:tab/>
      </w:r>
      <w:r>
        <w:fldChar w:fldCharType="begin"/>
      </w:r>
      <w:r>
        <w:instrText xml:space="preserve"> PAGEREF _Toc175226825 \h </w:instrText>
      </w:r>
      <w:r>
        <w:fldChar w:fldCharType="separate"/>
      </w:r>
      <w:r>
        <w:t>32</w:t>
      </w:r>
      <w:r>
        <w:fldChar w:fldCharType="end"/>
      </w:r>
    </w:p>
    <w:p>
      <w:pPr>
        <w:pStyle w:val="TOC8"/>
        <w:rPr>
          <w:rFonts w:asciiTheme="minorHAnsi" w:eastAsiaTheme="minorEastAsia" w:hAnsiTheme="minorHAnsi" w:cstheme="minorBidi"/>
          <w:szCs w:val="22"/>
        </w:rPr>
      </w:pPr>
      <w:r>
        <w:t>51.</w:t>
      </w:r>
      <w:r>
        <w:tab/>
        <w:t>Community legal services and peak organisations that may receive money from Trust Interest Account (s. 201(4)(b)(iv) and (v))</w:t>
      </w:r>
      <w:r>
        <w:tab/>
      </w:r>
      <w:r>
        <w:fldChar w:fldCharType="begin"/>
      </w:r>
      <w:r>
        <w:instrText xml:space="preserve"> PAGEREF _Toc175226826 \h </w:instrText>
      </w:r>
      <w:r>
        <w:fldChar w:fldCharType="separate"/>
      </w:r>
      <w:r>
        <w:t>32</w:t>
      </w:r>
      <w:r>
        <w:fldChar w:fldCharType="end"/>
      </w:r>
    </w:p>
    <w:p>
      <w:pPr>
        <w:pStyle w:val="TOC8"/>
        <w:rPr>
          <w:rFonts w:asciiTheme="minorHAnsi" w:eastAsiaTheme="minorEastAsia" w:hAnsiTheme="minorHAnsi" w:cstheme="minorBidi"/>
          <w:szCs w:val="22"/>
        </w:rPr>
      </w:pPr>
      <w:r>
        <w:t>52.</w:t>
      </w:r>
      <w:r>
        <w:tab/>
        <w:t>Fees and allowances for trustees of Legal Contribution Trust (s. 201(6))</w:t>
      </w:r>
      <w:r>
        <w:tab/>
      </w:r>
      <w:r>
        <w:fldChar w:fldCharType="begin"/>
      </w:r>
      <w:r>
        <w:instrText xml:space="preserve"> PAGEREF _Toc175226827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8"/>
        <w:rPr>
          <w:rFonts w:asciiTheme="minorHAnsi" w:eastAsiaTheme="minorEastAsia" w:hAnsiTheme="minorHAnsi" w:cstheme="minorBidi"/>
          <w:szCs w:val="22"/>
        </w:rPr>
      </w:pPr>
      <w:r>
        <w:t>53.</w:t>
      </w:r>
      <w:r>
        <w:tab/>
        <w:t>Particulars to be included in register of Australian practising certificates (s. 217(2)(b))</w:t>
      </w:r>
      <w:r>
        <w:tab/>
      </w:r>
      <w:r>
        <w:fldChar w:fldCharType="begin"/>
      </w:r>
      <w:r>
        <w:instrText xml:space="preserve"> PAGEREF _Toc175226829 \h </w:instrText>
      </w:r>
      <w:r>
        <w:fldChar w:fldCharType="separate"/>
      </w:r>
      <w:r>
        <w:t>34</w:t>
      </w:r>
      <w:r>
        <w:fldChar w:fldCharType="end"/>
      </w:r>
    </w:p>
    <w:p>
      <w:pPr>
        <w:pStyle w:val="TOC8"/>
        <w:rPr>
          <w:rFonts w:asciiTheme="minorHAnsi" w:eastAsiaTheme="minorEastAsia" w:hAnsiTheme="minorHAnsi" w:cstheme="minorBidi"/>
          <w:szCs w:val="22"/>
        </w:rPr>
      </w:pPr>
      <w:r>
        <w:t>54.</w:t>
      </w:r>
      <w:r>
        <w:tab/>
        <w:t>Particulars to be included in register of Australian registration certificates (s. 218(2)(b))</w:t>
      </w:r>
      <w:r>
        <w:tab/>
      </w:r>
      <w:r>
        <w:fldChar w:fldCharType="begin"/>
      </w:r>
      <w:r>
        <w:instrText xml:space="preserve"> PAGEREF _Toc175226830 \h </w:instrText>
      </w:r>
      <w:r>
        <w:fldChar w:fldCharType="separate"/>
      </w:r>
      <w:r>
        <w:t>35</w:t>
      </w:r>
      <w:r>
        <w:fldChar w:fldCharType="end"/>
      </w:r>
    </w:p>
    <w:p>
      <w:pPr>
        <w:pStyle w:val="TOC8"/>
        <w:rPr>
          <w:rFonts w:asciiTheme="minorHAnsi" w:eastAsiaTheme="minorEastAsia" w:hAnsiTheme="minorHAnsi" w:cstheme="minorBidi"/>
          <w:szCs w:val="22"/>
        </w:rPr>
      </w:pPr>
      <w:r>
        <w:t>55.</w:t>
      </w:r>
      <w:r>
        <w:tab/>
        <w:t>Contact details of offices to be included in registers</w:t>
      </w:r>
      <w:r>
        <w:tab/>
      </w:r>
      <w:r>
        <w:fldChar w:fldCharType="begin"/>
      </w:r>
      <w:r>
        <w:instrText xml:space="preserve"> PAGEREF _Toc175226831 \h </w:instrText>
      </w:r>
      <w:r>
        <w:fldChar w:fldCharType="separate"/>
      </w:r>
      <w:r>
        <w:t>36</w:t>
      </w:r>
      <w:r>
        <w:fldChar w:fldCharType="end"/>
      </w:r>
    </w:p>
    <w:p>
      <w:pPr>
        <w:pStyle w:val="TOC8"/>
        <w:rPr>
          <w:rFonts w:asciiTheme="minorHAnsi" w:eastAsiaTheme="minorEastAsia" w:hAnsiTheme="minorHAnsi" w:cstheme="minorBidi"/>
          <w:szCs w:val="22"/>
        </w:rPr>
      </w:pPr>
      <w:r>
        <w:t>56.</w:t>
      </w:r>
      <w:r>
        <w:tab/>
        <w:t>Person may request that particulars not be included in register</w:t>
      </w:r>
      <w:r>
        <w:tab/>
      </w:r>
      <w:r>
        <w:fldChar w:fldCharType="begin"/>
      </w:r>
      <w:r>
        <w:instrText xml:space="preserve"> PAGEREF _Toc175226832 \h </w:instrText>
      </w:r>
      <w:r>
        <w:fldChar w:fldCharType="separate"/>
      </w:r>
      <w:r>
        <w:t>36</w:t>
      </w:r>
      <w:r>
        <w:fldChar w:fldCharType="end"/>
      </w:r>
    </w:p>
    <w:p>
      <w:pPr>
        <w:pStyle w:val="TOC8"/>
        <w:rPr>
          <w:rFonts w:asciiTheme="minorHAnsi" w:eastAsiaTheme="minorEastAsia" w:hAnsiTheme="minorHAnsi" w:cstheme="minorBidi"/>
          <w:szCs w:val="22"/>
        </w:rPr>
      </w:pPr>
      <w:r>
        <w:t>57.</w:t>
      </w:r>
      <w:r>
        <w:tab/>
        <w:t>Particulars to be included in register of disciplinary action (s. 220(4)(e))</w:t>
      </w:r>
      <w:r>
        <w:tab/>
      </w:r>
      <w:r>
        <w:fldChar w:fldCharType="begin"/>
      </w:r>
      <w:r>
        <w:instrText xml:space="preserve"> PAGEREF _Toc175226833 \h </w:instrText>
      </w:r>
      <w:r>
        <w:fldChar w:fldCharType="separate"/>
      </w:r>
      <w:r>
        <w:t>37</w:t>
      </w:r>
      <w:r>
        <w:fldChar w:fldCharType="end"/>
      </w:r>
    </w:p>
    <w:p>
      <w:pPr>
        <w:pStyle w:val="TOC8"/>
        <w:rPr>
          <w:rFonts w:asciiTheme="minorHAnsi" w:eastAsiaTheme="minorEastAsia" w:hAnsiTheme="minorHAnsi" w:cstheme="minorBidi"/>
          <w:szCs w:val="22"/>
        </w:rPr>
      </w:pPr>
      <w:r>
        <w:t>58.</w:t>
      </w:r>
      <w:r>
        <w:tab/>
        <w:t>Board to be notified before and on making of order prohibiting disciplinary action from being publicised</w:t>
      </w:r>
      <w:r>
        <w:tab/>
      </w:r>
      <w:r>
        <w:fldChar w:fldCharType="begin"/>
      </w:r>
      <w:r>
        <w:instrText xml:space="preserve"> PAGEREF _Toc175226834 \h </w:instrText>
      </w:r>
      <w:r>
        <w:fldChar w:fldCharType="separate"/>
      </w:r>
      <w:r>
        <w:t>37</w:t>
      </w:r>
      <w:r>
        <w:fldChar w:fldCharType="end"/>
      </w:r>
    </w:p>
    <w:p>
      <w:pPr>
        <w:pStyle w:val="TOC8"/>
        <w:rPr>
          <w:rFonts w:asciiTheme="minorHAnsi" w:eastAsiaTheme="minorEastAsia" w:hAnsiTheme="minorHAnsi" w:cstheme="minorBidi"/>
          <w:szCs w:val="22"/>
        </w:rPr>
      </w:pPr>
      <w:r>
        <w:t>59.</w:t>
      </w:r>
      <w:r>
        <w:tab/>
        <w:t>Information to be included in disqualification orders and approvals register (s. 227(2)(a))</w:t>
      </w:r>
      <w:r>
        <w:tab/>
      </w:r>
      <w:r>
        <w:fldChar w:fldCharType="begin"/>
      </w:r>
      <w:r>
        <w:instrText xml:space="preserve"> PAGEREF _Toc175226835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11 — Law library</w:t>
      </w:r>
    </w:p>
    <w:p>
      <w:pPr>
        <w:pStyle w:val="TOC8"/>
        <w:rPr>
          <w:rFonts w:asciiTheme="minorHAnsi" w:eastAsiaTheme="minorEastAsia" w:hAnsiTheme="minorHAnsi" w:cstheme="minorBidi"/>
          <w:szCs w:val="22"/>
        </w:rPr>
      </w:pPr>
      <w:r>
        <w:t>60.</w:t>
      </w:r>
      <w:r>
        <w:tab/>
        <w:t>Board’s contribution to costs of law library (s. 245)</w:t>
      </w:r>
      <w:r>
        <w:tab/>
      </w:r>
      <w:r>
        <w:fldChar w:fldCharType="begin"/>
      </w:r>
      <w:r>
        <w:instrText xml:space="preserve"> PAGEREF _Toc175226837 \h </w:instrText>
      </w:r>
      <w:r>
        <w:fldChar w:fldCharType="separate"/>
      </w:r>
      <w:r>
        <w:t>39</w:t>
      </w:r>
      <w:r>
        <w:fldChar w:fldCharType="end"/>
      </w:r>
    </w:p>
    <w:p>
      <w:pPr>
        <w:pStyle w:val="TOC8"/>
        <w:rPr>
          <w:rFonts w:asciiTheme="minorHAnsi" w:eastAsiaTheme="minorEastAsia" w:hAnsiTheme="minorHAnsi" w:cstheme="minorBidi"/>
          <w:szCs w:val="22"/>
        </w:rPr>
      </w:pPr>
      <w:r>
        <w:t>61.</w:t>
      </w:r>
      <w:r>
        <w:tab/>
        <w:t>Committee to advise on management of law library</w:t>
      </w:r>
      <w:r>
        <w:tab/>
      </w:r>
      <w:r>
        <w:fldChar w:fldCharType="begin"/>
      </w:r>
      <w:r>
        <w:instrText xml:space="preserve"> PAGEREF _Toc175226838 \h </w:instrText>
      </w:r>
      <w:r>
        <w:fldChar w:fldCharType="separate"/>
      </w:r>
      <w:r>
        <w:t>39</w:t>
      </w:r>
      <w:r>
        <w:fldChar w:fldCharType="end"/>
      </w:r>
    </w:p>
    <w:p>
      <w:pPr>
        <w:pStyle w:val="TOC8"/>
        <w:rPr>
          <w:rFonts w:asciiTheme="minorHAnsi" w:eastAsiaTheme="minorEastAsia" w:hAnsiTheme="minorHAnsi" w:cstheme="minorBidi"/>
          <w:szCs w:val="22"/>
        </w:rPr>
      </w:pPr>
      <w:r>
        <w:t>62.</w:t>
      </w:r>
      <w:r>
        <w:tab/>
        <w:t>People entitled to use law library (s. 244(1)(c))</w:t>
      </w:r>
      <w:r>
        <w:tab/>
      </w:r>
      <w:r>
        <w:fldChar w:fldCharType="begin"/>
      </w:r>
      <w:r>
        <w:instrText xml:space="preserve"> PAGEREF _Toc175226839 \h </w:instrText>
      </w:r>
      <w:r>
        <w:fldChar w:fldCharType="separate"/>
      </w:r>
      <w:r>
        <w:t>40</w:t>
      </w:r>
      <w:r>
        <w:fldChar w:fldCharType="end"/>
      </w:r>
    </w:p>
    <w:p>
      <w:pPr>
        <w:pStyle w:val="TOC8"/>
        <w:rPr>
          <w:rFonts w:asciiTheme="minorHAnsi" w:eastAsiaTheme="minorEastAsia" w:hAnsiTheme="minorHAnsi" w:cstheme="minorBidi"/>
          <w:szCs w:val="22"/>
        </w:rPr>
      </w:pPr>
      <w:r>
        <w:t>63.</w:t>
      </w:r>
      <w:r>
        <w:tab/>
        <w:t>Librarian may suspend or restrict entitlement to use law library</w:t>
      </w:r>
      <w:r>
        <w:tab/>
      </w:r>
      <w:r>
        <w:fldChar w:fldCharType="begin"/>
      </w:r>
      <w:r>
        <w:instrText xml:space="preserve"> PAGEREF _Toc175226840 \h </w:instrText>
      </w:r>
      <w:r>
        <w:fldChar w:fldCharType="separate"/>
      </w:r>
      <w:r>
        <w:t>41</w:t>
      </w:r>
      <w:r>
        <w:fldChar w:fldCharType="end"/>
      </w:r>
    </w:p>
    <w:p>
      <w:pPr>
        <w:pStyle w:val="TOC8"/>
        <w:rPr>
          <w:rFonts w:asciiTheme="minorHAnsi" w:eastAsiaTheme="minorEastAsia" w:hAnsiTheme="minorHAnsi" w:cstheme="minorBidi"/>
          <w:szCs w:val="22"/>
        </w:rPr>
      </w:pPr>
      <w:r>
        <w:t>64.</w:t>
      </w:r>
      <w:r>
        <w:tab/>
        <w:t>CEO may suspend or restrict entitlement to use law library</w:t>
      </w:r>
      <w:r>
        <w:tab/>
      </w:r>
      <w:r>
        <w:fldChar w:fldCharType="begin"/>
      </w:r>
      <w:r>
        <w:instrText xml:space="preserve"> PAGEREF _Toc175226841 \h </w:instrText>
      </w:r>
      <w:r>
        <w:fldChar w:fldCharType="separate"/>
      </w:r>
      <w:r>
        <w:t>42</w:t>
      </w:r>
      <w:r>
        <w:fldChar w:fldCharType="end"/>
      </w:r>
    </w:p>
    <w:p>
      <w:pPr>
        <w:pStyle w:val="TOC8"/>
        <w:rPr>
          <w:rFonts w:asciiTheme="minorHAnsi" w:eastAsiaTheme="minorEastAsia" w:hAnsiTheme="minorHAnsi" w:cstheme="minorBidi"/>
          <w:szCs w:val="22"/>
        </w:rPr>
      </w:pPr>
      <w:r>
        <w:t>65.</w:t>
      </w:r>
      <w:r>
        <w:tab/>
        <w:t>Use of law library and books</w:t>
      </w:r>
      <w:r>
        <w:tab/>
      </w:r>
      <w:r>
        <w:fldChar w:fldCharType="begin"/>
      </w:r>
      <w:r>
        <w:instrText xml:space="preserve"> PAGEREF _Toc175226842 \h </w:instrText>
      </w:r>
      <w:r>
        <w:fldChar w:fldCharType="separate"/>
      </w:r>
      <w:r>
        <w:t>42</w:t>
      </w:r>
      <w:r>
        <w:fldChar w:fldCharType="end"/>
      </w:r>
    </w:p>
    <w:p>
      <w:pPr>
        <w:pStyle w:val="TOC8"/>
        <w:rPr>
          <w:rFonts w:asciiTheme="minorHAnsi" w:eastAsiaTheme="minorEastAsia" w:hAnsiTheme="minorHAnsi" w:cstheme="minorBidi"/>
          <w:szCs w:val="22"/>
        </w:rPr>
      </w:pPr>
      <w:r>
        <w:t>66.</w:t>
      </w:r>
      <w:r>
        <w:tab/>
        <w:t>Borrowing books</w:t>
      </w:r>
      <w:r>
        <w:tab/>
      </w:r>
      <w:r>
        <w:fldChar w:fldCharType="begin"/>
      </w:r>
      <w:r>
        <w:instrText xml:space="preserve"> PAGEREF _Toc175226843 \h </w:instrText>
      </w:r>
      <w:r>
        <w:fldChar w:fldCharType="separate"/>
      </w:r>
      <w:r>
        <w:t>42</w:t>
      </w:r>
      <w:r>
        <w:fldChar w:fldCharType="end"/>
      </w:r>
    </w:p>
    <w:p>
      <w:pPr>
        <w:pStyle w:val="TOC8"/>
        <w:rPr>
          <w:rFonts w:asciiTheme="minorHAnsi" w:eastAsiaTheme="minorEastAsia" w:hAnsiTheme="minorHAnsi" w:cstheme="minorBidi"/>
          <w:szCs w:val="22"/>
        </w:rPr>
      </w:pPr>
      <w:r>
        <w:t>67.</w:t>
      </w:r>
      <w:r>
        <w:tab/>
        <w:t>Removal of unauthorised people and retrieval of books</w:t>
      </w:r>
      <w:r>
        <w:tab/>
      </w:r>
      <w:r>
        <w:fldChar w:fldCharType="begin"/>
      </w:r>
      <w:r>
        <w:instrText xml:space="preserve"> PAGEREF _Toc175226844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68.</w:t>
      </w:r>
      <w:r>
        <w:tab/>
        <w:t>Library rules</w:t>
      </w:r>
      <w:r>
        <w:tab/>
      </w:r>
      <w:r>
        <w:fldChar w:fldCharType="begin"/>
      </w:r>
      <w:r>
        <w:instrText xml:space="preserve"> PAGEREF _Toc175226845 \h </w:instrText>
      </w:r>
      <w:r>
        <w:fldChar w:fldCharType="separate"/>
      </w:r>
      <w:r>
        <w:t>44</w:t>
      </w:r>
      <w:r>
        <w:fldChar w:fldCharType="end"/>
      </w:r>
    </w:p>
    <w:p>
      <w:pPr>
        <w:pStyle w:val="TOC8"/>
        <w:rPr>
          <w:rFonts w:asciiTheme="minorHAnsi" w:eastAsiaTheme="minorEastAsia" w:hAnsiTheme="minorHAnsi" w:cstheme="minorBidi"/>
          <w:szCs w:val="22"/>
        </w:rPr>
      </w:pPr>
      <w:r>
        <w:t>69.</w:t>
      </w:r>
      <w:r>
        <w:tab/>
        <w:t>Fees for library services</w:t>
      </w:r>
      <w:r>
        <w:tab/>
      </w:r>
      <w:r>
        <w:fldChar w:fldCharType="begin"/>
      </w:r>
      <w:r>
        <w:instrText xml:space="preserve"> PAGEREF _Toc175226846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70.</w:t>
      </w:r>
      <w:r>
        <w:tab/>
        <w:t>Modification of Legal Profession Conduct Rules for barristers (s. 119)</w:t>
      </w:r>
      <w:r>
        <w:tab/>
      </w:r>
      <w:r>
        <w:fldChar w:fldCharType="begin"/>
      </w:r>
      <w:r>
        <w:instrText xml:space="preserve"> PAGEREF _Toc175226848 \h </w:instrText>
      </w:r>
      <w:r>
        <w:fldChar w:fldCharType="separate"/>
      </w:r>
      <w:r>
        <w:t>46</w:t>
      </w:r>
      <w:r>
        <w:fldChar w:fldCharType="end"/>
      </w:r>
    </w:p>
    <w:p>
      <w:pPr>
        <w:pStyle w:val="TOC8"/>
        <w:rPr>
          <w:rFonts w:asciiTheme="minorHAnsi" w:eastAsiaTheme="minorEastAsia" w:hAnsiTheme="minorHAnsi" w:cstheme="minorBidi"/>
          <w:szCs w:val="22"/>
        </w:rPr>
      </w:pPr>
      <w:r>
        <w:t>71.</w:t>
      </w:r>
      <w:r>
        <w:tab/>
        <w:t>Information sharing (s. 247)</w:t>
      </w:r>
      <w:r>
        <w:tab/>
      </w:r>
      <w:r>
        <w:fldChar w:fldCharType="begin"/>
      </w:r>
      <w:r>
        <w:instrText xml:space="preserve"> PAGEREF _Toc175226849 \h </w:instrText>
      </w:r>
      <w:r>
        <w:fldChar w:fldCharType="separate"/>
      </w:r>
      <w:r>
        <w:t>47</w:t>
      </w:r>
      <w:r>
        <w:fldChar w:fldCharType="end"/>
      </w:r>
    </w:p>
    <w:p>
      <w:pPr>
        <w:pStyle w:val="TOC8"/>
        <w:rPr>
          <w:rFonts w:asciiTheme="minorHAnsi" w:eastAsiaTheme="minorEastAsia" w:hAnsiTheme="minorHAnsi" w:cstheme="minorBidi"/>
          <w:szCs w:val="22"/>
        </w:rPr>
      </w:pPr>
      <w:r>
        <w:t>72.</w:t>
      </w:r>
      <w:r>
        <w:tab/>
        <w:t>Local legal practitioner to correct information previously given to Board</w:t>
      </w:r>
      <w:r>
        <w:tab/>
      </w:r>
      <w:r>
        <w:fldChar w:fldCharType="begin"/>
      </w:r>
      <w:r>
        <w:instrText xml:space="preserve"> PAGEREF _Toc175226850 \h </w:instrText>
      </w:r>
      <w:r>
        <w:fldChar w:fldCharType="separate"/>
      </w:r>
      <w:r>
        <w:t>47</w:t>
      </w:r>
      <w:r>
        <w:fldChar w:fldCharType="end"/>
      </w:r>
    </w:p>
    <w:p>
      <w:pPr>
        <w:pStyle w:val="TOC8"/>
        <w:rPr>
          <w:rFonts w:asciiTheme="minorHAnsi" w:eastAsiaTheme="minorEastAsia" w:hAnsiTheme="minorHAnsi" w:cstheme="minorBidi"/>
          <w:szCs w:val="22"/>
        </w:rPr>
      </w:pPr>
      <w:r>
        <w:t>73.</w:t>
      </w:r>
      <w:r>
        <w:tab/>
        <w:t>Local approved forms (s. 253(2))</w:t>
      </w:r>
      <w:r>
        <w:tab/>
      </w:r>
      <w:r>
        <w:fldChar w:fldCharType="begin"/>
      </w:r>
      <w:r>
        <w:instrText xml:space="preserve"> PAGEREF _Toc175226851 \h </w:instrText>
      </w:r>
      <w:r>
        <w:fldChar w:fldCharType="separate"/>
      </w:r>
      <w:r>
        <w:t>48</w:t>
      </w:r>
      <w:r>
        <w:fldChar w:fldCharType="end"/>
      </w:r>
    </w:p>
    <w:p>
      <w:pPr>
        <w:pStyle w:val="TOC8"/>
        <w:rPr>
          <w:rFonts w:asciiTheme="minorHAnsi" w:eastAsiaTheme="minorEastAsia" w:hAnsiTheme="minorHAnsi" w:cstheme="minorBidi"/>
          <w:szCs w:val="22"/>
        </w:rPr>
      </w:pPr>
      <w:r>
        <w:t>74.</w:t>
      </w:r>
      <w:r>
        <w:tab/>
        <w:t>Fees for applications relating to trust money and insurance exemptions</w:t>
      </w:r>
      <w:r>
        <w:tab/>
      </w:r>
      <w:r>
        <w:fldChar w:fldCharType="begin"/>
      </w:r>
      <w:r>
        <w:instrText xml:space="preserve"> PAGEREF _Toc175226852 \h </w:instrText>
      </w:r>
      <w:r>
        <w:fldChar w:fldCharType="separate"/>
      </w:r>
      <w:r>
        <w:t>48</w:t>
      </w:r>
      <w:r>
        <w:fldChar w:fldCharType="end"/>
      </w:r>
    </w:p>
    <w:p>
      <w:pPr>
        <w:pStyle w:val="TOC8"/>
        <w:rPr>
          <w:rFonts w:asciiTheme="minorHAnsi" w:eastAsiaTheme="minorEastAsia" w:hAnsiTheme="minorHAnsi" w:cstheme="minorBidi"/>
          <w:szCs w:val="22"/>
        </w:rPr>
      </w:pPr>
      <w:r>
        <w:t>75.</w:t>
      </w:r>
      <w:r>
        <w:tab/>
        <w:t>Fees for functions of Supreme Court</w:t>
      </w:r>
      <w:r>
        <w:tab/>
      </w:r>
      <w:r>
        <w:fldChar w:fldCharType="begin"/>
      </w:r>
      <w:r>
        <w:instrText xml:space="preserve"> PAGEREF _Toc175226853 \h </w:instrText>
      </w:r>
      <w:r>
        <w:fldChar w:fldCharType="separate"/>
      </w:r>
      <w:r>
        <w:t>48</w:t>
      </w:r>
      <w:r>
        <w:fldChar w:fldCharType="end"/>
      </w:r>
    </w:p>
    <w:p>
      <w:pPr>
        <w:pStyle w:val="TOC8"/>
        <w:rPr>
          <w:rFonts w:asciiTheme="minorHAnsi" w:eastAsiaTheme="minorEastAsia" w:hAnsiTheme="minorHAnsi" w:cstheme="minorBidi"/>
          <w:szCs w:val="22"/>
        </w:rPr>
      </w:pPr>
      <w:r>
        <w:t>76.</w:t>
      </w:r>
      <w:r>
        <w:tab/>
        <w:t>Fees for functions of State Administrative Tribunal</w:t>
      </w:r>
      <w:r>
        <w:tab/>
      </w:r>
      <w:r>
        <w:fldChar w:fldCharType="begin"/>
      </w:r>
      <w:r>
        <w:instrText xml:space="preserve"> PAGEREF _Toc175226854 \h </w:instrText>
      </w:r>
      <w:r>
        <w:fldChar w:fldCharType="separate"/>
      </w:r>
      <w:r>
        <w:t>48</w:t>
      </w:r>
      <w:r>
        <w:fldChar w:fldCharType="end"/>
      </w:r>
    </w:p>
    <w:p>
      <w:pPr>
        <w:pStyle w:val="TOC8"/>
        <w:rPr>
          <w:rFonts w:asciiTheme="minorHAnsi" w:eastAsiaTheme="minorEastAsia" w:hAnsiTheme="minorHAnsi" w:cstheme="minorBidi"/>
          <w:szCs w:val="22"/>
        </w:rPr>
      </w:pPr>
      <w:r>
        <w:t>77.</w:t>
      </w:r>
      <w:r>
        <w:tab/>
        <w:t>Waiver of fees and charges payable in respect of functions of Board</w:t>
      </w:r>
      <w:r>
        <w:tab/>
      </w:r>
      <w:r>
        <w:fldChar w:fldCharType="begin"/>
      </w:r>
      <w:r>
        <w:instrText xml:space="preserve"> PAGEREF _Toc175226855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78.</w:t>
      </w:r>
      <w:r>
        <w:tab/>
        <w:t>Application for approval of insurance scheme before commencement day</w:t>
      </w:r>
      <w:r>
        <w:tab/>
      </w:r>
      <w:r>
        <w:fldChar w:fldCharType="begin"/>
      </w:r>
      <w:r>
        <w:instrText xml:space="preserve"> PAGEREF _Toc175226858 \h </w:instrText>
      </w:r>
      <w:r>
        <w:fldChar w:fldCharType="separate"/>
      </w:r>
      <w:r>
        <w:t>50</w:t>
      </w:r>
      <w:r>
        <w:fldChar w:fldCharType="end"/>
      </w:r>
    </w:p>
    <w:p>
      <w:pPr>
        <w:pStyle w:val="TOC8"/>
        <w:rPr>
          <w:rFonts w:asciiTheme="minorHAnsi" w:eastAsiaTheme="minorEastAsia" w:hAnsiTheme="minorHAnsi" w:cstheme="minorBidi"/>
          <w:szCs w:val="22"/>
        </w:rPr>
      </w:pPr>
      <w:r>
        <w:t>79.</w:t>
      </w:r>
      <w:r>
        <w:tab/>
        <w:t>Arrangements for services and facilities for Legal Costs Committee made before commencement day</w:t>
      </w:r>
      <w:r>
        <w:tab/>
      </w:r>
      <w:r>
        <w:fldChar w:fldCharType="begin"/>
      </w:r>
      <w:r>
        <w:instrText xml:space="preserve"> PAGEREF _Toc175226859 \h </w:instrText>
      </w:r>
      <w:r>
        <w:fldChar w:fldCharType="separate"/>
      </w:r>
      <w:r>
        <w:t>50</w:t>
      </w:r>
      <w:r>
        <w:fldChar w:fldCharType="end"/>
      </w:r>
    </w:p>
    <w:p>
      <w:pPr>
        <w:pStyle w:val="TOC8"/>
        <w:rPr>
          <w:rFonts w:asciiTheme="minorHAnsi" w:eastAsiaTheme="minorEastAsia" w:hAnsiTheme="minorHAnsi" w:cstheme="minorBidi"/>
          <w:szCs w:val="22"/>
        </w:rPr>
      </w:pPr>
      <w:r>
        <w:t>80.</w:t>
      </w:r>
      <w:r>
        <w:tab/>
        <w:t>Continuation of Law Library Fund</w:t>
      </w:r>
      <w:r>
        <w:tab/>
      </w:r>
      <w:r>
        <w:fldChar w:fldCharType="begin"/>
      </w:r>
      <w:r>
        <w:instrText xml:space="preserve"> PAGEREF _Toc175226860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_Toc175226862 \h </w:instrText>
      </w:r>
      <w:r>
        <w:fldChar w:fldCharType="separate"/>
      </w:r>
      <w:r>
        <w:t>51</w:t>
      </w:r>
      <w:r>
        <w:fldChar w:fldCharType="end"/>
      </w:r>
    </w:p>
    <w:p>
      <w:pPr>
        <w:pStyle w:val="TOC8"/>
        <w:rPr>
          <w:rFonts w:asciiTheme="minorHAnsi" w:eastAsiaTheme="minorEastAsia" w:hAnsiTheme="minorHAnsi" w:cstheme="minorBidi"/>
          <w:szCs w:val="22"/>
        </w:rPr>
      </w:pPr>
      <w:r>
        <w:t>82.</w:t>
      </w:r>
      <w:r>
        <w:tab/>
        <w:t>CPD points earned before commencement day</w:t>
      </w:r>
      <w:r>
        <w:tab/>
      </w:r>
      <w:r>
        <w:fldChar w:fldCharType="begin"/>
      </w:r>
      <w:r>
        <w:instrText xml:space="preserve"> PAGEREF _Toc175226863 \h </w:instrText>
      </w:r>
      <w:r>
        <w:fldChar w:fldCharType="separate"/>
      </w:r>
      <w:r>
        <w:t>52</w:t>
      </w:r>
      <w:r>
        <w:fldChar w:fldCharType="end"/>
      </w:r>
    </w:p>
    <w:p>
      <w:pPr>
        <w:pStyle w:val="TOC8"/>
        <w:rPr>
          <w:rFonts w:asciiTheme="minorHAnsi" w:eastAsiaTheme="minorEastAsia" w:hAnsiTheme="minorHAnsi" w:cstheme="minorBidi"/>
          <w:szCs w:val="22"/>
        </w:rPr>
      </w:pPr>
      <w:r>
        <w:t>83.</w:t>
      </w:r>
      <w:r>
        <w:tab/>
        <w:t>Persons compliant with all applicable CPD requirements for 2022</w:t>
      </w:r>
      <w:r>
        <w:noBreakHyphen/>
        <w:t>23 year before commencement day</w:t>
      </w:r>
      <w:r>
        <w:tab/>
      </w:r>
      <w:r>
        <w:fldChar w:fldCharType="begin"/>
      </w:r>
      <w:r>
        <w:instrText xml:space="preserve"> PAGEREF _Toc175226864 \h </w:instrText>
      </w:r>
      <w:r>
        <w:fldChar w:fldCharType="separate"/>
      </w:r>
      <w:r>
        <w:t>55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Applications relating to admission</w:t>
      </w:r>
    </w:p>
    <w:p>
      <w:pPr>
        <w:pStyle w:val="TOC4"/>
        <w:keepNext w:val="0"/>
        <w:tabs>
          <w:tab w:val="right" w:leader="dot" w:pos="7077"/>
        </w:tabs>
        <w:rPr>
          <w:rFonts w:asciiTheme="minorHAnsi" w:eastAsiaTheme="minorEastAsia" w:hAnsiTheme="minorHAnsi" w:cstheme="minorBidi"/>
          <w:b w:val="0"/>
          <w:szCs w:val="22"/>
        </w:rPr>
      </w:pPr>
      <w:r>
        <w:t>Division 2 — Applications for Australian practising certificates and Australian registration certificates</w:t>
      </w:r>
    </w:p>
    <w:p>
      <w:pPr>
        <w:pStyle w:val="TOC4"/>
        <w:keepNext w:val="0"/>
        <w:tabs>
          <w:tab w:val="right" w:leader="dot" w:pos="7077"/>
        </w:tabs>
        <w:rPr>
          <w:rFonts w:asciiTheme="minorHAnsi" w:eastAsiaTheme="minorEastAsia" w:hAnsiTheme="minorHAnsi" w:cstheme="minorBidi"/>
          <w:b w:val="0"/>
          <w:szCs w:val="22"/>
        </w:rPr>
      </w:pPr>
      <w:r>
        <w:t>Division 3 — Applications relating to trust money and insurance exemptions</w:t>
      </w:r>
    </w:p>
    <w:p>
      <w:pPr>
        <w:pStyle w:val="TOC2"/>
        <w:tabs>
          <w:tab w:val="right" w:leader="dot" w:pos="7077"/>
        </w:tabs>
        <w:rPr>
          <w:rFonts w:asciiTheme="minorHAnsi" w:eastAsiaTheme="minorEastAsia" w:hAnsiTheme="minorHAnsi" w:cstheme="minorBidi"/>
          <w:b w:val="0"/>
          <w:sz w:val="22"/>
          <w:szCs w:val="22"/>
        </w:rPr>
      </w:pPr>
      <w:r>
        <w:lastRenderedPageBreak/>
        <w:t>Schedule 2 — Community legal services and peak organisations that may receive money from Trust Interest Account</w:t>
      </w:r>
    </w:p>
    <w:p>
      <w:pPr>
        <w:pStyle w:val="TOC4"/>
        <w:tabs>
          <w:tab w:val="right" w:leader="dot" w:pos="7077"/>
        </w:tabs>
        <w:rPr>
          <w:rFonts w:asciiTheme="minorHAnsi" w:eastAsiaTheme="minorEastAsia" w:hAnsiTheme="minorHAnsi" w:cstheme="minorBidi"/>
          <w:b w:val="0"/>
          <w:szCs w:val="22"/>
        </w:rPr>
      </w:pPr>
      <w:r>
        <w:t>Division 1 — Community legal services</w:t>
      </w:r>
    </w:p>
    <w:p>
      <w:pPr>
        <w:pStyle w:val="TOC4"/>
        <w:tabs>
          <w:tab w:val="right" w:leader="dot" w:pos="7077"/>
        </w:tabs>
        <w:rPr>
          <w:rFonts w:asciiTheme="minorHAnsi" w:eastAsiaTheme="minorEastAsia" w:hAnsiTheme="minorHAnsi" w:cstheme="minorBidi"/>
          <w:b w:val="0"/>
          <w:szCs w:val="22"/>
        </w:rPr>
      </w:pPr>
      <w:r>
        <w:t>Division 2 — Peak organisation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_Toc175226873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2" w:name="_Toc175215795"/>
      <w:bookmarkStart w:id="3" w:name="_Toc175216239"/>
      <w:bookmarkStart w:id="4" w:name="_Toc17522676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5226761"/>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7" w:name="_Toc175226762"/>
      <w:r>
        <w:rPr>
          <w:rStyle w:val="CharSectno"/>
        </w:rPr>
        <w:t>2</w:t>
      </w:r>
      <w:r>
        <w:rPr>
          <w:spacing w:val="-2"/>
        </w:rPr>
        <w:t>.</w:t>
      </w:r>
      <w:r>
        <w:rPr>
          <w:spacing w:val="-2"/>
        </w:rPr>
        <w:tab/>
        <w:t>Commencement</w:t>
      </w:r>
      <w:bookmarkEnd w:id="7"/>
    </w:p>
    <w:p>
      <w:pPr>
        <w:pStyle w:val="Subsection"/>
      </w:pPr>
      <w:r>
        <w:tab/>
      </w:r>
      <w:r>
        <w:tab/>
        <w:t xml:space="preserve">These </w:t>
      </w:r>
      <w:r>
        <w:rPr>
          <w:spacing w:val="-2"/>
        </w:rPr>
        <w:t>regulations come</w:t>
      </w:r>
      <w:r>
        <w:t xml:space="preserve"> into operation on 1 July 2022.</w:t>
      </w:r>
    </w:p>
    <w:p>
      <w:pPr>
        <w:pStyle w:val="Heading5"/>
      </w:pPr>
      <w:bookmarkStart w:id="8" w:name="_Toc175226763"/>
      <w:r>
        <w:rPr>
          <w:rStyle w:val="CharSectno"/>
        </w:rPr>
        <w:t>3</w:t>
      </w:r>
      <w:r>
        <w:t>.</w:t>
      </w:r>
      <w:r>
        <w:tab/>
        <w:t>Terms used</w:t>
      </w:r>
      <w:bookmarkEnd w:id="8"/>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9" w:name="_Toc175215799"/>
      <w:bookmarkStart w:id="10" w:name="_Toc175216243"/>
      <w:bookmarkStart w:id="11" w:name="_Toc175226764"/>
      <w:r>
        <w:rPr>
          <w:rStyle w:val="CharPartNo"/>
        </w:rPr>
        <w:lastRenderedPageBreak/>
        <w:t>Part 2</w:t>
      </w:r>
      <w:r>
        <w:t> — </w:t>
      </w:r>
      <w:r>
        <w:rPr>
          <w:rStyle w:val="CharPartText"/>
        </w:rPr>
        <w:t>Legal Practice Board</w:t>
      </w:r>
      <w:bookmarkEnd w:id="9"/>
      <w:bookmarkEnd w:id="10"/>
      <w:bookmarkEnd w:id="11"/>
    </w:p>
    <w:p>
      <w:pPr>
        <w:pStyle w:val="Heading3"/>
      </w:pPr>
      <w:bookmarkStart w:id="12" w:name="_Toc175215800"/>
      <w:bookmarkStart w:id="13" w:name="_Toc175216244"/>
      <w:bookmarkStart w:id="14" w:name="_Toc175226765"/>
      <w:r>
        <w:rPr>
          <w:rStyle w:val="CharDivNo"/>
        </w:rPr>
        <w:t>Division 1</w:t>
      </w:r>
      <w:r>
        <w:t> — </w:t>
      </w:r>
      <w:r>
        <w:rPr>
          <w:rStyle w:val="CharDivText"/>
        </w:rPr>
        <w:t>Delegation</w:t>
      </w:r>
      <w:bookmarkEnd w:id="12"/>
      <w:bookmarkEnd w:id="13"/>
      <w:bookmarkEnd w:id="14"/>
    </w:p>
    <w:p>
      <w:pPr>
        <w:pStyle w:val="Heading5"/>
      </w:pPr>
      <w:bookmarkStart w:id="15" w:name="_Toc175226766"/>
      <w:r>
        <w:rPr>
          <w:rStyle w:val="CharSectno"/>
        </w:rPr>
        <w:t>4</w:t>
      </w:r>
      <w:r>
        <w:t>.</w:t>
      </w:r>
      <w:r>
        <w:tab/>
        <w:t>Delegation of Board’s functions under Uniform Law (s. 37(b))</w:t>
      </w:r>
      <w:bookmarkEnd w:id="15"/>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16" w:name="_Toc175215802"/>
      <w:bookmarkStart w:id="17" w:name="_Toc175216246"/>
      <w:bookmarkStart w:id="18" w:name="_Toc175226767"/>
      <w:r>
        <w:rPr>
          <w:rStyle w:val="CharDivNo"/>
        </w:rPr>
        <w:t>Division 2</w:t>
      </w:r>
      <w:r>
        <w:t> — </w:t>
      </w:r>
      <w:r>
        <w:rPr>
          <w:rStyle w:val="CharDivText"/>
        </w:rPr>
        <w:t>Election of members</w:t>
      </w:r>
      <w:bookmarkEnd w:id="16"/>
      <w:bookmarkEnd w:id="17"/>
      <w:bookmarkEnd w:id="18"/>
    </w:p>
    <w:p>
      <w:pPr>
        <w:pStyle w:val="Heading5"/>
      </w:pPr>
      <w:bookmarkStart w:id="19" w:name="_Toc175226768"/>
      <w:r>
        <w:rPr>
          <w:rStyle w:val="CharSectno"/>
        </w:rPr>
        <w:t>5</w:t>
      </w:r>
      <w:r>
        <w:t>.</w:t>
      </w:r>
      <w:r>
        <w:tab/>
        <w:t>Annual election date</w:t>
      </w:r>
      <w:bookmarkEnd w:id="19"/>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20" w:name="_Toc175226769"/>
      <w:r>
        <w:rPr>
          <w:rStyle w:val="CharSectno"/>
        </w:rPr>
        <w:t>6</w:t>
      </w:r>
      <w:r>
        <w:t>.</w:t>
      </w:r>
      <w:r>
        <w:tab/>
        <w:t>Returning officers</w:t>
      </w:r>
      <w:bookmarkEnd w:id="20"/>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21" w:name="_Toc175226770"/>
      <w:r>
        <w:rPr>
          <w:rStyle w:val="CharSectno"/>
        </w:rPr>
        <w:t>7</w:t>
      </w:r>
      <w:r>
        <w:t>.</w:t>
      </w:r>
      <w:r>
        <w:tab/>
        <w:t>Nomination of candidates</w:t>
      </w:r>
      <w:bookmarkEnd w:id="21"/>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lastRenderedPageBreak/>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22" w:name="_Toc175226771"/>
      <w:r>
        <w:rPr>
          <w:rStyle w:val="CharSectno"/>
        </w:rPr>
        <w:t>8</w:t>
      </w:r>
      <w:r>
        <w:t>.</w:t>
      </w:r>
      <w:r>
        <w:tab/>
        <w:t>Candidates elected when nominations equal vacancies</w:t>
      </w:r>
      <w:bookmarkEnd w:id="22"/>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23" w:name="_Toc175226772"/>
      <w:r>
        <w:rPr>
          <w:rStyle w:val="CharSectno"/>
        </w:rPr>
        <w:t>9</w:t>
      </w:r>
      <w:r>
        <w:t>.</w:t>
      </w:r>
      <w:r>
        <w:tab/>
        <w:t>Board may approve online voting system for election</w:t>
      </w:r>
      <w:bookmarkEnd w:id="23"/>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24" w:name="_Toc175226773"/>
      <w:r>
        <w:rPr>
          <w:rStyle w:val="CharSectno"/>
        </w:rPr>
        <w:t>10</w:t>
      </w:r>
      <w:r>
        <w:t>.</w:t>
      </w:r>
      <w:r>
        <w:tab/>
        <w:t>Notice of election to be given to local legal practitioners</w:t>
      </w:r>
      <w:bookmarkEnd w:id="24"/>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lastRenderedPageBreak/>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25" w:name="_Toc175226774"/>
      <w:r>
        <w:rPr>
          <w:rStyle w:val="CharSectno"/>
        </w:rPr>
        <w:t>11</w:t>
      </w:r>
      <w:r>
        <w:t>.</w:t>
      </w:r>
      <w:r>
        <w:tab/>
        <w:t>Listing of candidates on ballot paper or online voting system</w:t>
      </w:r>
      <w:bookmarkEnd w:id="25"/>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26" w:name="_Toc175226775"/>
      <w:r>
        <w:rPr>
          <w:rStyle w:val="CharSectno"/>
        </w:rPr>
        <w:t>12</w:t>
      </w:r>
      <w:r>
        <w:t>.</w:t>
      </w:r>
      <w:r>
        <w:tab/>
        <w:t>Voting</w:t>
      </w:r>
      <w:bookmarkEnd w:id="26"/>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lastRenderedPageBreak/>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27" w:name="_Toc175226776"/>
      <w:r>
        <w:rPr>
          <w:rStyle w:val="CharSectno"/>
        </w:rPr>
        <w:t>13</w:t>
      </w:r>
      <w:r>
        <w:t>.</w:t>
      </w:r>
      <w:r>
        <w:tab/>
        <w:t>Counting of votes</w:t>
      </w:r>
      <w:bookmarkEnd w:id="27"/>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lastRenderedPageBreak/>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28" w:name="_Toc175226777"/>
      <w:r>
        <w:rPr>
          <w:rStyle w:val="CharSectno"/>
        </w:rPr>
        <w:t>14</w:t>
      </w:r>
      <w:r>
        <w:t>.</w:t>
      </w:r>
      <w:r>
        <w:tab/>
        <w:t>Election of members</w:t>
      </w:r>
      <w:bookmarkEnd w:id="28"/>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29" w:name="_Toc175226778"/>
      <w:r>
        <w:rPr>
          <w:rStyle w:val="CharSectno"/>
        </w:rPr>
        <w:lastRenderedPageBreak/>
        <w:t>15</w:t>
      </w:r>
      <w:r>
        <w:t>.</w:t>
      </w:r>
      <w:r>
        <w:tab/>
        <w:t>Commencement of term of office</w:t>
      </w:r>
      <w:bookmarkEnd w:id="29"/>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30" w:name="_Toc175226779"/>
      <w:r>
        <w:rPr>
          <w:rStyle w:val="CharSectno"/>
        </w:rPr>
        <w:t>16</w:t>
      </w:r>
      <w:r>
        <w:t>.</w:t>
      </w:r>
      <w:r>
        <w:tab/>
        <w:t xml:space="preserve">Results to be published in </w:t>
      </w:r>
      <w:r>
        <w:rPr>
          <w:i/>
        </w:rPr>
        <w:t>Gazette</w:t>
      </w:r>
      <w:bookmarkEnd w:id="30"/>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31" w:name="_Toc175226780"/>
      <w:r>
        <w:rPr>
          <w:rStyle w:val="CharSectno"/>
        </w:rPr>
        <w:t>17</w:t>
      </w:r>
      <w:r>
        <w:t>.</w:t>
      </w:r>
      <w:r>
        <w:tab/>
        <w:t>Non</w:t>
      </w:r>
      <w:r>
        <w:noBreakHyphen/>
        <w:t>receipt of notices</w:t>
      </w:r>
      <w:bookmarkEnd w:id="31"/>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32" w:name="_Toc175215816"/>
      <w:bookmarkStart w:id="33" w:name="_Toc175216260"/>
      <w:bookmarkStart w:id="34" w:name="_Toc175226781"/>
      <w:r>
        <w:rPr>
          <w:rStyle w:val="CharDivNo"/>
        </w:rPr>
        <w:t>Division 3</w:t>
      </w:r>
      <w:r>
        <w:t> — </w:t>
      </w:r>
      <w:r>
        <w:rPr>
          <w:rStyle w:val="CharDivText"/>
        </w:rPr>
        <w:t>Election of chairperson and deputy chairperson</w:t>
      </w:r>
      <w:bookmarkEnd w:id="32"/>
      <w:bookmarkEnd w:id="33"/>
      <w:bookmarkEnd w:id="34"/>
    </w:p>
    <w:p>
      <w:pPr>
        <w:pStyle w:val="Heading5"/>
      </w:pPr>
      <w:bookmarkStart w:id="35" w:name="_Toc175226782"/>
      <w:r>
        <w:rPr>
          <w:rStyle w:val="CharSectno"/>
        </w:rPr>
        <w:t>18</w:t>
      </w:r>
      <w:r>
        <w:t>.</w:t>
      </w:r>
      <w:r>
        <w:tab/>
        <w:t>Conduct of chairperson election or deputy chairperson election</w:t>
      </w:r>
      <w:bookmarkEnd w:id="35"/>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lastRenderedPageBreak/>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36" w:name="_Toc175226783"/>
      <w:r>
        <w:rPr>
          <w:rStyle w:val="CharSectno"/>
        </w:rPr>
        <w:lastRenderedPageBreak/>
        <w:t>19</w:t>
      </w:r>
      <w:r>
        <w:t>.</w:t>
      </w:r>
      <w:r>
        <w:tab/>
        <w:t>Commencement of term of office of chairperson or deputy chairperson</w:t>
      </w:r>
      <w:bookmarkEnd w:id="36"/>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37" w:name="_Toc175226784"/>
      <w:r>
        <w:rPr>
          <w:rStyle w:val="CharSectno"/>
        </w:rPr>
        <w:t>20</w:t>
      </w:r>
      <w:r>
        <w:t>.</w:t>
      </w:r>
      <w:r>
        <w:tab/>
        <w:t xml:space="preserve">Results to be published in </w:t>
      </w:r>
      <w:r>
        <w:rPr>
          <w:i/>
        </w:rPr>
        <w:t>Gazette</w:t>
      </w:r>
      <w:bookmarkEnd w:id="37"/>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38" w:name="_Toc175226785"/>
      <w:r>
        <w:rPr>
          <w:rStyle w:val="CharSectno"/>
        </w:rPr>
        <w:t>21</w:t>
      </w:r>
      <w:r>
        <w:t>.</w:t>
      </w:r>
      <w:r>
        <w:tab/>
        <w:t>Non</w:t>
      </w:r>
      <w:r>
        <w:noBreakHyphen/>
        <w:t>receipt of notices</w:t>
      </w:r>
      <w:bookmarkEnd w:id="38"/>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39" w:name="_Toc175215821"/>
      <w:bookmarkStart w:id="40" w:name="_Toc175216265"/>
      <w:bookmarkStart w:id="41" w:name="_Toc175226786"/>
      <w:r>
        <w:rPr>
          <w:rStyle w:val="CharDivNo"/>
        </w:rPr>
        <w:t>Division 4</w:t>
      </w:r>
      <w:r>
        <w:t> — </w:t>
      </w:r>
      <w:r>
        <w:rPr>
          <w:rStyle w:val="CharDivText"/>
        </w:rPr>
        <w:t>Meetings and proceedings of Board</w:t>
      </w:r>
      <w:bookmarkEnd w:id="39"/>
      <w:bookmarkEnd w:id="40"/>
      <w:bookmarkEnd w:id="41"/>
    </w:p>
    <w:p>
      <w:pPr>
        <w:pStyle w:val="Heading5"/>
      </w:pPr>
      <w:bookmarkStart w:id="42" w:name="_Toc175226787"/>
      <w:r>
        <w:rPr>
          <w:rStyle w:val="CharSectno"/>
        </w:rPr>
        <w:t>22</w:t>
      </w:r>
      <w:r>
        <w:t>.</w:t>
      </w:r>
      <w:r>
        <w:tab/>
        <w:t>Notice of Board meeting</w:t>
      </w:r>
      <w:bookmarkEnd w:id="42"/>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lastRenderedPageBreak/>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43" w:name="_Toc175226788"/>
      <w:r>
        <w:rPr>
          <w:rStyle w:val="CharSectno"/>
        </w:rPr>
        <w:t>23</w:t>
      </w:r>
      <w:r>
        <w:t>.</w:t>
      </w:r>
      <w:r>
        <w:tab/>
        <w:t>Urgent meeting</w:t>
      </w:r>
      <w:bookmarkEnd w:id="43"/>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44" w:name="_Toc175226789"/>
      <w:r>
        <w:rPr>
          <w:rStyle w:val="CharSectno"/>
        </w:rPr>
        <w:t>24</w:t>
      </w:r>
      <w:r>
        <w:t>.</w:t>
      </w:r>
      <w:r>
        <w:tab/>
        <w:t>Resolution without meeting</w:t>
      </w:r>
      <w:bookmarkEnd w:id="44"/>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w:t>
      </w:r>
      <w:r>
        <w:lastRenderedPageBreak/>
        <w:t xml:space="preserve">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45" w:name="_Toc175226790"/>
      <w:r>
        <w:rPr>
          <w:rStyle w:val="CharSectno"/>
        </w:rPr>
        <w:t>25</w:t>
      </w:r>
      <w:r>
        <w:t>.</w:t>
      </w:r>
      <w:r>
        <w:tab/>
        <w:t>Rescission or amendment of resolution</w:t>
      </w:r>
      <w:bookmarkEnd w:id="45"/>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46" w:name="_Toc175226791"/>
      <w:r>
        <w:rPr>
          <w:rStyle w:val="CharSectno"/>
        </w:rPr>
        <w:t>26</w:t>
      </w:r>
      <w:r>
        <w:t>.</w:t>
      </w:r>
      <w:r>
        <w:tab/>
        <w:t>Minutes of Board meeting prima facie evidence of matters</w:t>
      </w:r>
      <w:bookmarkEnd w:id="46"/>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47" w:name="_Toc175215827"/>
      <w:bookmarkStart w:id="48" w:name="_Toc175216271"/>
      <w:bookmarkStart w:id="49" w:name="_Toc175226792"/>
      <w:r>
        <w:rPr>
          <w:rStyle w:val="CharDivNo"/>
        </w:rPr>
        <w:t>Division 5</w:t>
      </w:r>
      <w:r>
        <w:t> — </w:t>
      </w:r>
      <w:r>
        <w:rPr>
          <w:rStyle w:val="CharDivText"/>
        </w:rPr>
        <w:t>Committees</w:t>
      </w:r>
      <w:bookmarkEnd w:id="47"/>
      <w:bookmarkEnd w:id="48"/>
      <w:bookmarkEnd w:id="49"/>
    </w:p>
    <w:p>
      <w:pPr>
        <w:pStyle w:val="Heading5"/>
      </w:pPr>
      <w:bookmarkStart w:id="50" w:name="_Toc175226793"/>
      <w:r>
        <w:rPr>
          <w:rStyle w:val="CharSectno"/>
        </w:rPr>
        <w:t>27</w:t>
      </w:r>
      <w:r>
        <w:t>.</w:t>
      </w:r>
      <w:r>
        <w:tab/>
        <w:t>Convenor and deputy convenor</w:t>
      </w:r>
      <w:bookmarkEnd w:id="50"/>
    </w:p>
    <w:p>
      <w:pPr>
        <w:pStyle w:val="Subsection"/>
      </w:pPr>
      <w:r>
        <w:tab/>
        <w:t>(1)</w:t>
      </w:r>
      <w:r>
        <w:tab/>
        <w:t>The Board must appoint a convenor and deputy convenor for each Board committee.</w:t>
      </w:r>
    </w:p>
    <w:p>
      <w:pPr>
        <w:pStyle w:val="Subsection"/>
      </w:pPr>
      <w:r>
        <w:lastRenderedPageBreak/>
        <w:tab/>
        <w:t>(2)</w:t>
      </w:r>
      <w:r>
        <w:tab/>
        <w:t>Section 42(2), (4), (5) and (6) of the Act apply to a convenor and deputy convenor of a Board committee.</w:t>
      </w:r>
    </w:p>
    <w:p>
      <w:pPr>
        <w:pStyle w:val="Heading5"/>
      </w:pPr>
      <w:bookmarkStart w:id="51" w:name="_Toc175226794"/>
      <w:r>
        <w:rPr>
          <w:rStyle w:val="CharSectno"/>
        </w:rPr>
        <w:t>28</w:t>
      </w:r>
      <w:r>
        <w:t>.</w:t>
      </w:r>
      <w:r>
        <w:tab/>
        <w:t>Committee meetings</w:t>
      </w:r>
      <w:bookmarkEnd w:id="51"/>
    </w:p>
    <w:p>
      <w:pPr>
        <w:pStyle w:val="Subsection"/>
      </w:pPr>
      <w:r>
        <w:tab/>
      </w:r>
      <w:r>
        <w:tab/>
        <w:t>Sections 44, 45, 46 and 47(1) of the Act and regulations 22 and 24 to 26 apply to a meeting of a Board committee.</w:t>
      </w:r>
    </w:p>
    <w:p>
      <w:pPr>
        <w:pStyle w:val="Heading5"/>
      </w:pPr>
      <w:bookmarkStart w:id="52" w:name="_Toc175226795"/>
      <w:r>
        <w:rPr>
          <w:rStyle w:val="CharSectno"/>
        </w:rPr>
        <w:t>29</w:t>
      </w:r>
      <w:r>
        <w:t>.</w:t>
      </w:r>
      <w:r>
        <w:tab/>
        <w:t>Modification of applied provisions</w:t>
      </w:r>
      <w:bookmarkEnd w:id="52"/>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53" w:name="_Toc175215831"/>
      <w:bookmarkStart w:id="54" w:name="_Toc175216275"/>
      <w:bookmarkStart w:id="55" w:name="_Toc175226796"/>
      <w:r>
        <w:rPr>
          <w:rStyle w:val="CharDivNo"/>
        </w:rPr>
        <w:t>Division 6</w:t>
      </w:r>
      <w:r>
        <w:t> — </w:t>
      </w:r>
      <w:r>
        <w:rPr>
          <w:rStyle w:val="CharDivText"/>
        </w:rPr>
        <w:t>Giving certain notices electronically</w:t>
      </w:r>
      <w:bookmarkEnd w:id="53"/>
      <w:bookmarkEnd w:id="54"/>
      <w:bookmarkEnd w:id="55"/>
    </w:p>
    <w:p>
      <w:pPr>
        <w:pStyle w:val="Heading5"/>
      </w:pPr>
      <w:bookmarkStart w:id="56" w:name="_Toc175226797"/>
      <w:r>
        <w:rPr>
          <w:rStyle w:val="CharSectno"/>
        </w:rPr>
        <w:t>30</w:t>
      </w:r>
      <w:r>
        <w:t>.</w:t>
      </w:r>
      <w:r>
        <w:tab/>
        <w:t>Notices under this Part may be given electronically</w:t>
      </w:r>
      <w:bookmarkEnd w:id="56"/>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lastRenderedPageBreak/>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57" w:name="_Toc175215833"/>
      <w:bookmarkStart w:id="58" w:name="_Toc175216277"/>
      <w:bookmarkStart w:id="59" w:name="_Toc175226798"/>
      <w:r>
        <w:rPr>
          <w:rStyle w:val="CharPartNo"/>
        </w:rPr>
        <w:lastRenderedPageBreak/>
        <w:t>Part 3</w:t>
      </w:r>
      <w:r>
        <w:rPr>
          <w:rStyle w:val="CharDivNo"/>
        </w:rPr>
        <w:t> </w:t>
      </w:r>
      <w:r>
        <w:t>—</w:t>
      </w:r>
      <w:r>
        <w:rPr>
          <w:rStyle w:val="CharDivText"/>
        </w:rPr>
        <w:t> </w:t>
      </w:r>
      <w:r>
        <w:rPr>
          <w:rStyle w:val="CharPartText"/>
        </w:rPr>
        <w:t>Admission</w:t>
      </w:r>
      <w:bookmarkEnd w:id="57"/>
      <w:bookmarkEnd w:id="58"/>
      <w:bookmarkEnd w:id="59"/>
    </w:p>
    <w:p>
      <w:pPr>
        <w:pStyle w:val="Heading5"/>
      </w:pPr>
      <w:bookmarkStart w:id="60" w:name="_Toc175226799"/>
      <w:r>
        <w:rPr>
          <w:rStyle w:val="CharSectno"/>
        </w:rPr>
        <w:t>31</w:t>
      </w:r>
      <w:r>
        <w:t>.</w:t>
      </w:r>
      <w:r>
        <w:tab/>
        <w:t>Applications required for certain matters relating to admission</w:t>
      </w:r>
      <w:bookmarkEnd w:id="60"/>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61" w:name="_Toc175226800"/>
      <w:r>
        <w:rPr>
          <w:rStyle w:val="CharSectno"/>
        </w:rPr>
        <w:t>32</w:t>
      </w:r>
      <w:r>
        <w:t>.</w:t>
      </w:r>
      <w:r>
        <w:tab/>
        <w:t>Application for compliance certificate must be made within 2 days after applying for admission</w:t>
      </w:r>
      <w:bookmarkEnd w:id="61"/>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62" w:name="_Toc175226801"/>
      <w:r>
        <w:rPr>
          <w:rStyle w:val="CharSectno"/>
        </w:rPr>
        <w:lastRenderedPageBreak/>
        <w:t>33</w:t>
      </w:r>
      <w:r>
        <w:t>.</w:t>
      </w:r>
      <w:r>
        <w:tab/>
        <w:t>Fees for applications for admission by Supreme Court (s. 113(b))</w:t>
      </w:r>
      <w:bookmarkEnd w:id="62"/>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63" w:name="_Toc175226802"/>
      <w:r>
        <w:rPr>
          <w:rStyle w:val="CharSectno"/>
        </w:rPr>
        <w:t>34</w:t>
      </w:r>
      <w:r>
        <w:t>.</w:t>
      </w:r>
      <w:r>
        <w:tab/>
        <w:t>Fees for other applications relating to admission</w:t>
      </w:r>
      <w:bookmarkEnd w:id="63"/>
    </w:p>
    <w:p>
      <w:pPr>
        <w:pStyle w:val="Subsection"/>
      </w:pPr>
      <w:r>
        <w:tab/>
      </w:r>
      <w:r>
        <w:tab/>
        <w:t>The fees specified in Schedule 1 Division 1 are payable in respect of the applications specified in that Division.</w:t>
      </w:r>
    </w:p>
    <w:p>
      <w:pPr>
        <w:pStyle w:val="Heading2"/>
      </w:pPr>
      <w:bookmarkStart w:id="64" w:name="_Toc175215838"/>
      <w:bookmarkStart w:id="65" w:name="_Toc175216282"/>
      <w:bookmarkStart w:id="66" w:name="_Toc175226803"/>
      <w:r>
        <w:rPr>
          <w:rStyle w:val="CharPartNo"/>
        </w:rPr>
        <w:lastRenderedPageBreak/>
        <w:t>Part 4</w:t>
      </w:r>
      <w:r>
        <w:rPr>
          <w:rStyle w:val="CharDivNo"/>
        </w:rPr>
        <w:t> </w:t>
      </w:r>
      <w:r>
        <w:t>—</w:t>
      </w:r>
      <w:r>
        <w:rPr>
          <w:rStyle w:val="CharDivText"/>
        </w:rPr>
        <w:t> </w:t>
      </w:r>
      <w:r>
        <w:rPr>
          <w:rStyle w:val="CharPartText"/>
        </w:rPr>
        <w:t>Practising certificates and registration certificates</w:t>
      </w:r>
      <w:bookmarkEnd w:id="64"/>
      <w:bookmarkEnd w:id="65"/>
      <w:bookmarkEnd w:id="66"/>
    </w:p>
    <w:p>
      <w:pPr>
        <w:pStyle w:val="Heading5"/>
      </w:pPr>
      <w:bookmarkStart w:id="67" w:name="_Toc175226804"/>
      <w:r>
        <w:rPr>
          <w:rStyle w:val="CharSectno"/>
        </w:rPr>
        <w:t>35</w:t>
      </w:r>
      <w:r>
        <w:t>.</w:t>
      </w:r>
      <w:r>
        <w:tab/>
        <w:t>Fees for applications for Australian practising certificates and Australian registration certificates (s. 116(1)(c) and 120(1)(c))</w:t>
      </w:r>
      <w:bookmarkEnd w:id="67"/>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lastRenderedPageBreak/>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 Impairment Review Tribunal established by the </w:t>
      </w:r>
      <w:r>
        <w:rPr>
          <w:i/>
          <w:iCs/>
        </w:rPr>
        <w:t>Criminal Law (Mental Impairment) Act 2023</w:t>
      </w:r>
      <w:r>
        <w:t xml:space="preserve">; </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lastRenderedPageBreak/>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established by the </w:t>
      </w:r>
      <w:r>
        <w:rPr>
          <w:i/>
        </w:rPr>
        <w:t>Freedom of Information Act 1992</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Footnotesection"/>
      </w:pPr>
      <w:r>
        <w:tab/>
        <w:t>[Section 35 amended: SL 2024/173 r. 6.]</w:t>
      </w:r>
    </w:p>
    <w:p>
      <w:pPr>
        <w:pStyle w:val="Heading5"/>
      </w:pPr>
      <w:bookmarkStart w:id="68" w:name="_Toc175226805"/>
      <w:r>
        <w:rPr>
          <w:rStyle w:val="CharSectno"/>
        </w:rPr>
        <w:t>36</w:t>
      </w:r>
      <w:r>
        <w:t>.</w:t>
      </w:r>
      <w:r>
        <w:tab/>
        <w:t>Contribution to cost of funding Legal Profession Uniform Framework (s. 116(1)(e))</w:t>
      </w:r>
      <w:bookmarkEnd w:id="68"/>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lastRenderedPageBreak/>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69" w:name="_Toc175226806"/>
      <w:r>
        <w:rPr>
          <w:rStyle w:val="CharSectno"/>
        </w:rPr>
        <w:t>37</w:t>
      </w:r>
      <w:r>
        <w:t>.</w:t>
      </w:r>
      <w:r>
        <w:tab/>
        <w:t>Standard renewal period and late fee period (s. 117(1)(a) and (b) and 121(1)(a) and (b))</w:t>
      </w:r>
      <w:bookmarkEnd w:id="69"/>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70" w:name="_Toc175226807"/>
      <w:r>
        <w:rPr>
          <w:rStyle w:val="CharSectno"/>
        </w:rPr>
        <w:lastRenderedPageBreak/>
        <w:t>38</w:t>
      </w:r>
      <w:r>
        <w:t>.</w:t>
      </w:r>
      <w:r>
        <w:tab/>
        <w:t>Contribution to fidelity fund</w:t>
      </w:r>
      <w:bookmarkEnd w:id="70"/>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71" w:name="_Toc175215843"/>
      <w:bookmarkStart w:id="72" w:name="_Toc175216287"/>
      <w:bookmarkStart w:id="73" w:name="_Toc175226808"/>
      <w:r>
        <w:rPr>
          <w:rStyle w:val="CharPartNo"/>
        </w:rPr>
        <w:lastRenderedPageBreak/>
        <w:t>Part 5</w:t>
      </w:r>
      <w:r>
        <w:rPr>
          <w:rStyle w:val="CharDivNo"/>
        </w:rPr>
        <w:t> </w:t>
      </w:r>
      <w:r>
        <w:t>—</w:t>
      </w:r>
      <w:r>
        <w:rPr>
          <w:rStyle w:val="CharDivText"/>
        </w:rPr>
        <w:t> </w:t>
      </w:r>
      <w:r>
        <w:rPr>
          <w:rStyle w:val="CharPartText"/>
        </w:rPr>
        <w:t>Continuing professional development</w:t>
      </w:r>
      <w:bookmarkEnd w:id="71"/>
      <w:bookmarkEnd w:id="72"/>
      <w:bookmarkEnd w:id="73"/>
    </w:p>
    <w:p>
      <w:pPr>
        <w:pStyle w:val="Heading5"/>
      </w:pPr>
      <w:bookmarkStart w:id="74" w:name="_Toc175226809"/>
      <w:r>
        <w:rPr>
          <w:rStyle w:val="CharSectno"/>
        </w:rPr>
        <w:t>39</w:t>
      </w:r>
      <w:r>
        <w:t>.</w:t>
      </w:r>
      <w:r>
        <w:tab/>
        <w:t>Excluded activities (s. 125(1))</w:t>
      </w:r>
      <w:bookmarkEnd w:id="74"/>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75" w:name="_Toc175226810"/>
      <w:r>
        <w:rPr>
          <w:rStyle w:val="CharSectno"/>
        </w:rPr>
        <w:lastRenderedPageBreak/>
        <w:t>40</w:t>
      </w:r>
      <w:r>
        <w:t>.</w:t>
      </w:r>
      <w:r>
        <w:tab/>
        <w:t>Exemption from requirement for accreditation under Board Rules (s. 125(6))</w:t>
      </w:r>
      <w:bookmarkEnd w:id="75"/>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lastRenderedPageBreak/>
        <w:tab/>
        <w:t>(q)</w:t>
      </w:r>
      <w:r>
        <w:tab/>
        <w:t>the Solicitor</w:t>
      </w:r>
      <w:r>
        <w:noBreakHyphen/>
        <w:t>General;</w:t>
      </w:r>
    </w:p>
    <w:p>
      <w:pPr>
        <w:pStyle w:val="Indenta"/>
      </w:pPr>
      <w:r>
        <w:tab/>
        <w:t>(r)</w:t>
      </w:r>
      <w:r>
        <w:tab/>
        <w:t>the Constitutional Centre of Western Australia;</w:t>
      </w:r>
    </w:p>
    <w:p>
      <w:pPr>
        <w:pStyle w:val="Indenta"/>
      </w:pPr>
      <w:r>
        <w:tab/>
        <w:t>(s)</w:t>
      </w:r>
      <w:r>
        <w:tab/>
        <w:t xml:space="preserve">the Mental Health Tribunal established by the </w:t>
      </w:r>
      <w:r>
        <w:rPr>
          <w:i/>
        </w:rPr>
        <w:t>Mental Health Act 2014</w:t>
      </w:r>
      <w:r>
        <w:t>.</w:t>
      </w:r>
    </w:p>
    <w:p>
      <w:pPr>
        <w:pStyle w:val="Footnotesection"/>
      </w:pPr>
      <w:r>
        <w:tab/>
        <w:t>[Regulation 40 amended: SL 2023/145 r. 4.]</w:t>
      </w:r>
    </w:p>
    <w:p>
      <w:pPr>
        <w:pStyle w:val="Heading5"/>
      </w:pPr>
      <w:bookmarkStart w:id="76" w:name="_Toc175226811"/>
      <w:r>
        <w:rPr>
          <w:rStyle w:val="CharSectno"/>
        </w:rPr>
        <w:t>41</w:t>
      </w:r>
      <w:r>
        <w:t>.</w:t>
      </w:r>
      <w:r>
        <w:tab/>
        <w:t>Determination of whether certain activities meet requirements of Continuing Professional Development Rules</w:t>
      </w:r>
      <w:bookmarkEnd w:id="76"/>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77" w:name="_Toc175215847"/>
      <w:bookmarkStart w:id="78" w:name="_Toc175216291"/>
      <w:bookmarkStart w:id="79" w:name="_Toc175226812"/>
      <w:r>
        <w:rPr>
          <w:rStyle w:val="CharPartNo"/>
        </w:rPr>
        <w:lastRenderedPageBreak/>
        <w:t>Part 6</w:t>
      </w:r>
      <w:r>
        <w:rPr>
          <w:rStyle w:val="CharDivNo"/>
        </w:rPr>
        <w:t> </w:t>
      </w:r>
      <w:r>
        <w:t>—</w:t>
      </w:r>
      <w:r>
        <w:rPr>
          <w:rStyle w:val="CharDivText"/>
        </w:rPr>
        <w:t> </w:t>
      </w:r>
      <w:r>
        <w:rPr>
          <w:rStyle w:val="CharPartText"/>
        </w:rPr>
        <w:t>Government lawyers</w:t>
      </w:r>
      <w:bookmarkEnd w:id="77"/>
      <w:bookmarkEnd w:id="78"/>
      <w:bookmarkEnd w:id="79"/>
    </w:p>
    <w:p>
      <w:pPr>
        <w:pStyle w:val="Heading5"/>
      </w:pPr>
      <w:bookmarkStart w:id="80" w:name="_Toc175226813"/>
      <w:r>
        <w:rPr>
          <w:rStyle w:val="CharSectno"/>
        </w:rPr>
        <w:t>42</w:t>
      </w:r>
      <w:r>
        <w:t>.</w:t>
      </w:r>
      <w:r>
        <w:tab/>
        <w:t>Contract legislative drafters (s. 126(2))</w:t>
      </w:r>
      <w:bookmarkEnd w:id="80"/>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81" w:name="_Toc175226814"/>
      <w:r>
        <w:rPr>
          <w:rStyle w:val="CharSectno"/>
        </w:rPr>
        <w:t>42A</w:t>
      </w:r>
      <w:r>
        <w:t>.</w:t>
      </w:r>
      <w:r>
        <w:tab/>
        <w:t>Exemption from requirement to hold Australian practising certificate for certain contract legislative drafters (s. 127(1)(a) and (b))</w:t>
      </w:r>
      <w:bookmarkEnd w:id="81"/>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w:t>
      </w:r>
      <w:r>
        <w:lastRenderedPageBreak/>
        <w:t>legislative drafter in relation to legal practice referred to in that subregulation.</w:t>
      </w:r>
    </w:p>
    <w:p>
      <w:pPr>
        <w:pStyle w:val="Footnotesection"/>
      </w:pPr>
      <w:r>
        <w:tab/>
        <w:t>[Regulation 42A inserted: SL 2022/208 r. 4.]</w:t>
      </w:r>
    </w:p>
    <w:p>
      <w:pPr>
        <w:pStyle w:val="Heading5"/>
      </w:pPr>
      <w:bookmarkStart w:id="82" w:name="_Toc175226815"/>
      <w:r>
        <w:rPr>
          <w:rStyle w:val="CharSectno"/>
        </w:rPr>
        <w:t>43</w:t>
      </w:r>
      <w:r>
        <w:t>.</w:t>
      </w:r>
      <w:r>
        <w:tab/>
        <w:t>Foreign legislative drafters employed in Parliamentary Counsel’s Office (s. 127(1)(b))</w:t>
      </w:r>
      <w:bookmarkEnd w:id="82"/>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w:t>
      </w:r>
      <w:r>
        <w:lastRenderedPageBreak/>
        <w:t xml:space="preserve">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83" w:name="_Toc175226816"/>
      <w:r>
        <w:rPr>
          <w:rStyle w:val="CharSectno"/>
        </w:rPr>
        <w:t>44</w:t>
      </w:r>
      <w:r>
        <w:t>.</w:t>
      </w:r>
      <w:r>
        <w:tab/>
        <w:t>Supervised legal practice in Parliamentary Counsel’s Office or other legislative drafting office (s. 127(1)(b))</w:t>
      </w:r>
      <w:bookmarkEnd w:id="83"/>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w:t>
      </w:r>
      <w:r>
        <w:lastRenderedPageBreak/>
        <w:t xml:space="preserve">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84" w:name="_Toc175226817"/>
      <w:r>
        <w:rPr>
          <w:rStyle w:val="CharSectno"/>
        </w:rPr>
        <w:t>45</w:t>
      </w:r>
      <w:r>
        <w:t>.</w:t>
      </w:r>
      <w:r>
        <w:tab/>
        <w:t>Calculation of periods for r. 42A, 43 and 44</w:t>
      </w:r>
      <w:bookmarkEnd w:id="84"/>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85" w:name="_Toc175215853"/>
      <w:bookmarkStart w:id="86" w:name="_Toc175216297"/>
      <w:bookmarkStart w:id="87" w:name="_Toc175226818"/>
      <w:r>
        <w:rPr>
          <w:rStyle w:val="CharPartNo"/>
        </w:rPr>
        <w:lastRenderedPageBreak/>
        <w:t>Part 7</w:t>
      </w:r>
      <w:r>
        <w:rPr>
          <w:rStyle w:val="CharDivNo"/>
        </w:rPr>
        <w:t> </w:t>
      </w:r>
      <w:r>
        <w:t>—</w:t>
      </w:r>
      <w:r>
        <w:rPr>
          <w:rStyle w:val="CharDivText"/>
        </w:rPr>
        <w:t> </w:t>
      </w:r>
      <w:r>
        <w:rPr>
          <w:rStyle w:val="CharPartText"/>
        </w:rPr>
        <w:t>Legal costs</w:t>
      </w:r>
      <w:bookmarkEnd w:id="85"/>
      <w:bookmarkEnd w:id="86"/>
      <w:bookmarkEnd w:id="87"/>
    </w:p>
    <w:p>
      <w:pPr>
        <w:pStyle w:val="Heading5"/>
      </w:pPr>
      <w:bookmarkStart w:id="88" w:name="_Toc175226819"/>
      <w:r>
        <w:rPr>
          <w:rStyle w:val="CharSectno"/>
        </w:rPr>
        <w:t>46</w:t>
      </w:r>
      <w:r>
        <w:t>.</w:t>
      </w:r>
      <w:r>
        <w:tab/>
        <w:t>Costs assessment for purpose of investigating complaint (s. 152)</w:t>
      </w:r>
      <w:bookmarkEnd w:id="88"/>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89" w:name="_Toc175215855"/>
      <w:bookmarkStart w:id="90" w:name="_Toc175216299"/>
      <w:bookmarkStart w:id="91" w:name="_Toc175226820"/>
      <w:r>
        <w:rPr>
          <w:rStyle w:val="CharPartNo"/>
        </w:rPr>
        <w:lastRenderedPageBreak/>
        <w:t>Part 8</w:t>
      </w:r>
      <w:r>
        <w:rPr>
          <w:rStyle w:val="CharDivNo"/>
        </w:rPr>
        <w:t> </w:t>
      </w:r>
      <w:r>
        <w:t>—</w:t>
      </w:r>
      <w:r>
        <w:rPr>
          <w:rStyle w:val="CharDivText"/>
        </w:rPr>
        <w:t> </w:t>
      </w:r>
      <w:r>
        <w:rPr>
          <w:rStyle w:val="CharPartText"/>
        </w:rPr>
        <w:t>Professional indemnity insurance</w:t>
      </w:r>
      <w:bookmarkEnd w:id="89"/>
      <w:bookmarkEnd w:id="90"/>
      <w:bookmarkEnd w:id="91"/>
    </w:p>
    <w:p>
      <w:pPr>
        <w:pStyle w:val="Heading5"/>
      </w:pPr>
      <w:bookmarkStart w:id="92" w:name="_Toc175226821"/>
      <w:r>
        <w:rPr>
          <w:rStyle w:val="CharSectno"/>
        </w:rPr>
        <w:t>47</w:t>
      </w:r>
      <w:r>
        <w:t>.</w:t>
      </w:r>
      <w:r>
        <w:tab/>
        <w:t>Late fee (s. 158(3)(b))</w:t>
      </w:r>
      <w:bookmarkEnd w:id="92"/>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93" w:name="_Toc175226822"/>
      <w:r>
        <w:rPr>
          <w:rStyle w:val="CharSectno"/>
        </w:rPr>
        <w:t>48</w:t>
      </w:r>
      <w:r>
        <w:t>.</w:t>
      </w:r>
      <w:r>
        <w:tab/>
        <w:t>PII schemes (s. 162)</w:t>
      </w:r>
      <w:bookmarkEnd w:id="93"/>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lastRenderedPageBreak/>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94" w:name="_Toc175215858"/>
      <w:bookmarkStart w:id="95" w:name="_Toc175216302"/>
      <w:bookmarkStart w:id="96" w:name="_Toc175226823"/>
      <w:r>
        <w:rPr>
          <w:rStyle w:val="CharPartNo"/>
        </w:rPr>
        <w:lastRenderedPageBreak/>
        <w:t>Part 9</w:t>
      </w:r>
      <w:r>
        <w:rPr>
          <w:rStyle w:val="CharDivNo"/>
        </w:rPr>
        <w:t> </w:t>
      </w:r>
      <w:r>
        <w:t>—</w:t>
      </w:r>
      <w:r>
        <w:rPr>
          <w:rStyle w:val="CharDivText"/>
        </w:rPr>
        <w:t> </w:t>
      </w:r>
      <w:r>
        <w:rPr>
          <w:rStyle w:val="CharPartText"/>
        </w:rPr>
        <w:t>Fidelity cover</w:t>
      </w:r>
      <w:bookmarkEnd w:id="94"/>
      <w:bookmarkEnd w:id="95"/>
      <w:bookmarkEnd w:id="96"/>
    </w:p>
    <w:p>
      <w:pPr>
        <w:pStyle w:val="Heading5"/>
      </w:pPr>
      <w:bookmarkStart w:id="97" w:name="_Toc175226824"/>
      <w:r>
        <w:rPr>
          <w:rStyle w:val="CharSectno"/>
        </w:rPr>
        <w:t>49</w:t>
      </w:r>
      <w:r>
        <w:t>.</w:t>
      </w:r>
      <w:r>
        <w:tab/>
        <w:t>Maximum amounts payable from Guarantee Fund</w:t>
      </w:r>
      <w:bookmarkEnd w:id="97"/>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98" w:name="_Toc175226825"/>
      <w:r>
        <w:rPr>
          <w:rStyle w:val="CharSectno"/>
        </w:rPr>
        <w:t>50</w:t>
      </w:r>
      <w:r>
        <w:t>.</w:t>
      </w:r>
      <w:r>
        <w:tab/>
        <w:t>Minimum agreed amount for Guarantee Fund (s. 201(1))</w:t>
      </w:r>
      <w:bookmarkEnd w:id="98"/>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99" w:name="_Toc175226826"/>
      <w:r>
        <w:rPr>
          <w:rStyle w:val="CharSectno"/>
        </w:rPr>
        <w:t>51</w:t>
      </w:r>
      <w:r>
        <w:t>.</w:t>
      </w:r>
      <w:r>
        <w:tab/>
        <w:t>Community legal services and peak organisations that may receive money from Trust Interest Account (s. 201(4)(b)(iv) and (v))</w:t>
      </w:r>
      <w:bookmarkEnd w:id="99"/>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100" w:name="_Toc175226827"/>
      <w:r>
        <w:rPr>
          <w:rStyle w:val="CharSectno"/>
        </w:rPr>
        <w:t>52</w:t>
      </w:r>
      <w:r>
        <w:t>.</w:t>
      </w:r>
      <w:r>
        <w:tab/>
        <w:t>Fees and allowances for trustees of Legal Contribution Trust (s. 201(6))</w:t>
      </w:r>
      <w:bookmarkEnd w:id="100"/>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lastRenderedPageBreak/>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101" w:name="_Toc175215863"/>
      <w:bookmarkStart w:id="102" w:name="_Toc175216307"/>
      <w:bookmarkStart w:id="103" w:name="_Toc175226828"/>
      <w:r>
        <w:rPr>
          <w:rStyle w:val="CharPartNo"/>
        </w:rPr>
        <w:lastRenderedPageBreak/>
        <w:t>Part 10</w:t>
      </w:r>
      <w:r>
        <w:rPr>
          <w:rStyle w:val="CharDivNo"/>
        </w:rPr>
        <w:t> </w:t>
      </w:r>
      <w:r>
        <w:t>—</w:t>
      </w:r>
      <w:r>
        <w:rPr>
          <w:rStyle w:val="CharDivText"/>
        </w:rPr>
        <w:t> </w:t>
      </w:r>
      <w:r>
        <w:rPr>
          <w:rStyle w:val="CharPartText"/>
        </w:rPr>
        <w:t>Registers</w:t>
      </w:r>
      <w:bookmarkEnd w:id="101"/>
      <w:bookmarkEnd w:id="102"/>
      <w:bookmarkEnd w:id="103"/>
    </w:p>
    <w:p>
      <w:pPr>
        <w:pStyle w:val="Heading5"/>
      </w:pPr>
      <w:bookmarkStart w:id="104" w:name="_Toc175226829"/>
      <w:r>
        <w:rPr>
          <w:rStyle w:val="CharSectno"/>
        </w:rPr>
        <w:t>53</w:t>
      </w:r>
      <w:r>
        <w:t>.</w:t>
      </w:r>
      <w:r>
        <w:tab/>
        <w:t>Particulars to be included in register of Australian practising certificates (s. 217(2)(b))</w:t>
      </w:r>
      <w:bookmarkEnd w:id="104"/>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lastRenderedPageBreak/>
        <w:tab/>
        <w:t>(e)</w:t>
      </w:r>
      <w:r>
        <w:tab/>
        <w:t>any other particulars about the Australian lawyer, or the relevant law practice or entity, that the Board considers should be included.</w:t>
      </w:r>
    </w:p>
    <w:p>
      <w:pPr>
        <w:pStyle w:val="Heading5"/>
      </w:pPr>
      <w:bookmarkStart w:id="105" w:name="_Toc175226830"/>
      <w:r>
        <w:rPr>
          <w:rStyle w:val="CharSectno"/>
        </w:rPr>
        <w:t>54</w:t>
      </w:r>
      <w:r>
        <w:t>.</w:t>
      </w:r>
      <w:r>
        <w:tab/>
        <w:t>Particulars to be included in register of Australian registration certificates (s. 218(2)(b))</w:t>
      </w:r>
      <w:bookmarkEnd w:id="105"/>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106" w:name="_Toc175226831"/>
      <w:r>
        <w:rPr>
          <w:rStyle w:val="CharSectno"/>
        </w:rPr>
        <w:lastRenderedPageBreak/>
        <w:t>55</w:t>
      </w:r>
      <w:r>
        <w:t>.</w:t>
      </w:r>
      <w:r>
        <w:tab/>
        <w:t>Contact details of offices to be included in registers</w:t>
      </w:r>
      <w:bookmarkEnd w:id="106"/>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107" w:name="_Toc175226832"/>
      <w:r>
        <w:rPr>
          <w:rStyle w:val="CharSectno"/>
        </w:rPr>
        <w:t>56</w:t>
      </w:r>
      <w:r>
        <w:t>.</w:t>
      </w:r>
      <w:r>
        <w:tab/>
        <w:t>Person may request that particulars not be included in register</w:t>
      </w:r>
      <w:bookmarkEnd w:id="107"/>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lastRenderedPageBreak/>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108" w:name="_Toc175226833"/>
      <w:r>
        <w:rPr>
          <w:rStyle w:val="CharSectno"/>
        </w:rPr>
        <w:t>57</w:t>
      </w:r>
      <w:r>
        <w:t>.</w:t>
      </w:r>
      <w:r>
        <w:tab/>
        <w:t>Particulars to be included in register of disciplinary action (s. 220(4)(e))</w:t>
      </w:r>
      <w:bookmarkEnd w:id="108"/>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109" w:name="_Toc175226834"/>
      <w:r>
        <w:rPr>
          <w:rStyle w:val="CharSectno"/>
        </w:rPr>
        <w:t>58</w:t>
      </w:r>
      <w:r>
        <w:t>.</w:t>
      </w:r>
      <w:r>
        <w:tab/>
        <w:t>Board to be notified before and on making of order prohibiting disciplinary action from being publicised</w:t>
      </w:r>
      <w:bookmarkEnd w:id="109"/>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110" w:name="_Toc175226835"/>
      <w:r>
        <w:rPr>
          <w:rStyle w:val="CharSectno"/>
        </w:rPr>
        <w:lastRenderedPageBreak/>
        <w:t>59</w:t>
      </w:r>
      <w:r>
        <w:t>.</w:t>
      </w:r>
      <w:r>
        <w:tab/>
        <w:t>Information to be included in disqualification orders and approvals register (s. 227(2)(a))</w:t>
      </w:r>
      <w:bookmarkEnd w:id="110"/>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111" w:name="_Toc175215871"/>
      <w:bookmarkStart w:id="112" w:name="_Toc175216315"/>
      <w:bookmarkStart w:id="113" w:name="_Toc175226836"/>
      <w:r>
        <w:rPr>
          <w:rStyle w:val="CharPartNo"/>
        </w:rPr>
        <w:lastRenderedPageBreak/>
        <w:t>Part 11</w:t>
      </w:r>
      <w:r>
        <w:rPr>
          <w:rStyle w:val="CharDivNo"/>
        </w:rPr>
        <w:t> </w:t>
      </w:r>
      <w:r>
        <w:t>—</w:t>
      </w:r>
      <w:r>
        <w:rPr>
          <w:rStyle w:val="CharDivText"/>
        </w:rPr>
        <w:t> </w:t>
      </w:r>
      <w:r>
        <w:rPr>
          <w:rStyle w:val="CharPartText"/>
        </w:rPr>
        <w:t>Law library</w:t>
      </w:r>
      <w:bookmarkEnd w:id="111"/>
      <w:bookmarkEnd w:id="112"/>
      <w:bookmarkEnd w:id="113"/>
    </w:p>
    <w:p>
      <w:pPr>
        <w:pStyle w:val="Heading5"/>
      </w:pPr>
      <w:bookmarkStart w:id="114" w:name="_Toc175226837"/>
      <w:r>
        <w:rPr>
          <w:rStyle w:val="CharSectno"/>
        </w:rPr>
        <w:t>60</w:t>
      </w:r>
      <w:r>
        <w:t>.</w:t>
      </w:r>
      <w:r>
        <w:tab/>
        <w:t>Board’s contribution to costs of law library (s. 245)</w:t>
      </w:r>
      <w:bookmarkEnd w:id="114"/>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115" w:name="_Toc175226838"/>
      <w:r>
        <w:rPr>
          <w:rStyle w:val="CharSectno"/>
        </w:rPr>
        <w:t>61</w:t>
      </w:r>
      <w:r>
        <w:t>.</w:t>
      </w:r>
      <w:r>
        <w:tab/>
        <w:t>Committee to advise on management of law library</w:t>
      </w:r>
      <w:bookmarkEnd w:id="115"/>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lastRenderedPageBreak/>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116" w:name="_Toc175226839"/>
      <w:r>
        <w:rPr>
          <w:rStyle w:val="CharSectno"/>
        </w:rPr>
        <w:t>62</w:t>
      </w:r>
      <w:r>
        <w:t>.</w:t>
      </w:r>
      <w:r>
        <w:tab/>
        <w:t>People entitled to use law library (s. 244(1)(c))</w:t>
      </w:r>
      <w:bookmarkEnd w:id="116"/>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lastRenderedPageBreak/>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117" w:name="_Toc175226840"/>
      <w:r>
        <w:rPr>
          <w:rStyle w:val="CharSectno"/>
        </w:rPr>
        <w:t>63</w:t>
      </w:r>
      <w:r>
        <w:t>.</w:t>
      </w:r>
      <w:r>
        <w:tab/>
        <w:t>Librarian may suspend or restrict entitlement to use law library</w:t>
      </w:r>
      <w:bookmarkEnd w:id="117"/>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lastRenderedPageBreak/>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118" w:name="_Toc175226841"/>
      <w:r>
        <w:rPr>
          <w:rStyle w:val="CharSectno"/>
        </w:rPr>
        <w:t>64</w:t>
      </w:r>
      <w:r>
        <w:t>.</w:t>
      </w:r>
      <w:r>
        <w:tab/>
        <w:t>CEO may suspend or restrict entitlement to use law library</w:t>
      </w:r>
      <w:bookmarkEnd w:id="118"/>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119" w:name="_Toc175226842"/>
      <w:r>
        <w:rPr>
          <w:rStyle w:val="CharSectno"/>
        </w:rPr>
        <w:t>65</w:t>
      </w:r>
      <w:r>
        <w:t>.</w:t>
      </w:r>
      <w:r>
        <w:tab/>
        <w:t>Use of law library and books</w:t>
      </w:r>
      <w:bookmarkEnd w:id="119"/>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120" w:name="_Toc175226843"/>
      <w:r>
        <w:rPr>
          <w:rStyle w:val="CharSectno"/>
        </w:rPr>
        <w:t>66</w:t>
      </w:r>
      <w:r>
        <w:t>.</w:t>
      </w:r>
      <w:r>
        <w:tab/>
        <w:t>Borrowing books</w:t>
      </w:r>
      <w:bookmarkEnd w:id="120"/>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lastRenderedPageBreak/>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121" w:name="_Toc175226844"/>
      <w:r>
        <w:rPr>
          <w:rStyle w:val="CharSectno"/>
        </w:rPr>
        <w:t>67</w:t>
      </w:r>
      <w:r>
        <w:t>.</w:t>
      </w:r>
      <w:r>
        <w:tab/>
        <w:t>Removal of unauthorised people and retrieval of books</w:t>
      </w:r>
      <w:bookmarkEnd w:id="121"/>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lastRenderedPageBreak/>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122" w:name="_Toc175226845"/>
      <w:r>
        <w:rPr>
          <w:rStyle w:val="CharSectno"/>
        </w:rPr>
        <w:t>68</w:t>
      </w:r>
      <w:r>
        <w:t>.</w:t>
      </w:r>
      <w:r>
        <w:tab/>
        <w:t>Library rules</w:t>
      </w:r>
      <w:bookmarkEnd w:id="122"/>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123" w:name="_Toc175226846"/>
      <w:r>
        <w:rPr>
          <w:rStyle w:val="CharSectno"/>
        </w:rPr>
        <w:t>69</w:t>
      </w:r>
      <w:r>
        <w:t>.</w:t>
      </w:r>
      <w:r>
        <w:tab/>
        <w:t>Fees for library services</w:t>
      </w:r>
      <w:bookmarkEnd w:id="123"/>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lastRenderedPageBreak/>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124" w:name="_Toc175215882"/>
      <w:bookmarkStart w:id="125" w:name="_Toc175216326"/>
      <w:bookmarkStart w:id="126" w:name="_Toc175226847"/>
      <w:r>
        <w:rPr>
          <w:rStyle w:val="CharPartNo"/>
        </w:rPr>
        <w:lastRenderedPageBreak/>
        <w:t>Part 12</w:t>
      </w:r>
      <w:r>
        <w:rPr>
          <w:rStyle w:val="CharDivNo"/>
        </w:rPr>
        <w:t> </w:t>
      </w:r>
      <w:r>
        <w:t>—</w:t>
      </w:r>
      <w:r>
        <w:rPr>
          <w:rStyle w:val="CharDivText"/>
        </w:rPr>
        <w:t> </w:t>
      </w:r>
      <w:r>
        <w:rPr>
          <w:rStyle w:val="CharPartText"/>
        </w:rPr>
        <w:t>Miscellaneous</w:t>
      </w:r>
      <w:bookmarkEnd w:id="124"/>
      <w:bookmarkEnd w:id="125"/>
      <w:bookmarkEnd w:id="126"/>
    </w:p>
    <w:p>
      <w:pPr>
        <w:pStyle w:val="Heading5"/>
      </w:pPr>
      <w:bookmarkStart w:id="127" w:name="_Toc175226848"/>
      <w:r>
        <w:rPr>
          <w:rStyle w:val="CharSectno"/>
        </w:rPr>
        <w:t>70</w:t>
      </w:r>
      <w:r>
        <w:t>.</w:t>
      </w:r>
      <w:r>
        <w:tab/>
        <w:t>Modification of Legal Profession Conduct Rules for barristers (s. 119)</w:t>
      </w:r>
      <w:bookmarkEnd w:id="127"/>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lastRenderedPageBreak/>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128" w:name="_Toc175226849"/>
      <w:r>
        <w:rPr>
          <w:rStyle w:val="CharSectno"/>
        </w:rPr>
        <w:t>71</w:t>
      </w:r>
      <w:r>
        <w:t>.</w:t>
      </w:r>
      <w:r>
        <w:tab/>
        <w:t>Information sharing (s. 247)</w:t>
      </w:r>
      <w:bookmarkEnd w:id="128"/>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129" w:name="_Toc175226850"/>
      <w:r>
        <w:rPr>
          <w:rStyle w:val="CharSectno"/>
        </w:rPr>
        <w:t>72</w:t>
      </w:r>
      <w:r>
        <w:t>.</w:t>
      </w:r>
      <w:r>
        <w:tab/>
        <w:t>Local legal practitioner to correct information previously given to Board</w:t>
      </w:r>
      <w:bookmarkEnd w:id="129"/>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lastRenderedPageBreak/>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130" w:name="_Toc175226851"/>
      <w:r>
        <w:rPr>
          <w:rStyle w:val="CharSectno"/>
        </w:rPr>
        <w:t>73</w:t>
      </w:r>
      <w:r>
        <w:t>.</w:t>
      </w:r>
      <w:r>
        <w:tab/>
        <w:t>Local approved forms (s. 253(2))</w:t>
      </w:r>
      <w:bookmarkEnd w:id="130"/>
    </w:p>
    <w:p>
      <w:pPr>
        <w:pStyle w:val="Subsection"/>
      </w:pPr>
      <w:r>
        <w:tab/>
      </w:r>
      <w:r>
        <w:tab/>
        <w:t>A local approved form may include a requirement that a document or other information specified in the form must be provided with the form.</w:t>
      </w:r>
    </w:p>
    <w:p>
      <w:pPr>
        <w:pStyle w:val="Heading5"/>
      </w:pPr>
      <w:bookmarkStart w:id="131" w:name="_Toc175226852"/>
      <w:r>
        <w:rPr>
          <w:rStyle w:val="CharSectno"/>
        </w:rPr>
        <w:t>74</w:t>
      </w:r>
      <w:r>
        <w:t>.</w:t>
      </w:r>
      <w:r>
        <w:tab/>
        <w:t>Fees for applications relating to trust money and insurance exemptions</w:t>
      </w:r>
      <w:bookmarkEnd w:id="131"/>
    </w:p>
    <w:p>
      <w:pPr>
        <w:pStyle w:val="Subsection"/>
      </w:pPr>
      <w:r>
        <w:tab/>
      </w:r>
      <w:r>
        <w:tab/>
        <w:t>The fees specified in Schedule 1 Division 3 are payable in respect of the applications specified in that Division.</w:t>
      </w:r>
    </w:p>
    <w:p>
      <w:pPr>
        <w:pStyle w:val="Heading5"/>
      </w:pPr>
      <w:bookmarkStart w:id="132" w:name="_Toc175226853"/>
      <w:r>
        <w:rPr>
          <w:rStyle w:val="CharSectno"/>
        </w:rPr>
        <w:t>75</w:t>
      </w:r>
      <w:r>
        <w:t>.</w:t>
      </w:r>
      <w:r>
        <w:tab/>
        <w:t>Fees for functions of Supreme Court</w:t>
      </w:r>
      <w:bookmarkEnd w:id="132"/>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133" w:name="_Toc175226854"/>
      <w:r>
        <w:rPr>
          <w:rStyle w:val="CharSectno"/>
        </w:rPr>
        <w:t>76</w:t>
      </w:r>
      <w:r>
        <w:t>.</w:t>
      </w:r>
      <w:r>
        <w:tab/>
        <w:t>Fees for functions of State Administrative Tribunal</w:t>
      </w:r>
      <w:bookmarkEnd w:id="133"/>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lastRenderedPageBreak/>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134" w:name="_Toc175226855"/>
      <w:r>
        <w:rPr>
          <w:rStyle w:val="CharSectno"/>
        </w:rPr>
        <w:t>77</w:t>
      </w:r>
      <w:r>
        <w:t>.</w:t>
      </w:r>
      <w:r>
        <w:tab/>
        <w:t>Waiver of fees and charges payable in respect of functions of Board</w:t>
      </w:r>
      <w:bookmarkEnd w:id="134"/>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135" w:name="_Toc175215891"/>
      <w:bookmarkStart w:id="136" w:name="_Toc175216335"/>
      <w:bookmarkStart w:id="137" w:name="_Toc175226856"/>
      <w:r>
        <w:rPr>
          <w:rStyle w:val="CharPartNo"/>
        </w:rPr>
        <w:lastRenderedPageBreak/>
        <w:t>Part 13</w:t>
      </w:r>
      <w:r>
        <w:t> — </w:t>
      </w:r>
      <w:r>
        <w:rPr>
          <w:rStyle w:val="CharPartText"/>
        </w:rPr>
        <w:t>Transitional provisions</w:t>
      </w:r>
      <w:bookmarkEnd w:id="135"/>
      <w:bookmarkEnd w:id="136"/>
      <w:bookmarkEnd w:id="137"/>
    </w:p>
    <w:p>
      <w:pPr>
        <w:pStyle w:val="Heading3"/>
      </w:pPr>
      <w:bookmarkStart w:id="138" w:name="_Toc175215892"/>
      <w:bookmarkStart w:id="139" w:name="_Toc175216336"/>
      <w:bookmarkStart w:id="140" w:name="_Toc175226857"/>
      <w:r>
        <w:rPr>
          <w:rStyle w:val="CharDivNo"/>
        </w:rPr>
        <w:t>Division 1</w:t>
      </w:r>
      <w:r>
        <w:t> — </w:t>
      </w:r>
      <w:r>
        <w:rPr>
          <w:rStyle w:val="CharDivText"/>
        </w:rPr>
        <w:t>General</w:t>
      </w:r>
      <w:bookmarkEnd w:id="138"/>
      <w:bookmarkEnd w:id="139"/>
      <w:bookmarkEnd w:id="140"/>
    </w:p>
    <w:p>
      <w:pPr>
        <w:pStyle w:val="Heading5"/>
      </w:pPr>
      <w:bookmarkStart w:id="141" w:name="_Toc175226858"/>
      <w:r>
        <w:rPr>
          <w:rStyle w:val="CharSectno"/>
        </w:rPr>
        <w:t>78</w:t>
      </w:r>
      <w:r>
        <w:t>.</w:t>
      </w:r>
      <w:r>
        <w:tab/>
        <w:t>Application for approval of insurance scheme before commencement day</w:t>
      </w:r>
      <w:bookmarkEnd w:id="141"/>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142" w:name="_Toc175226859"/>
      <w:r>
        <w:rPr>
          <w:rStyle w:val="CharSectno"/>
        </w:rPr>
        <w:t>79</w:t>
      </w:r>
      <w:r>
        <w:t>.</w:t>
      </w:r>
      <w:r>
        <w:tab/>
        <w:t>Arrangements for services and facilities for Legal Costs Committee made before commencement day</w:t>
      </w:r>
      <w:bookmarkEnd w:id="142"/>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lastRenderedPageBreak/>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143" w:name="_Toc175226860"/>
      <w:r>
        <w:rPr>
          <w:rStyle w:val="CharSectno"/>
        </w:rPr>
        <w:t>80</w:t>
      </w:r>
      <w:r>
        <w:t>.</w:t>
      </w:r>
      <w:r>
        <w:tab/>
        <w:t>Continuation of Law Library Fund</w:t>
      </w:r>
      <w:bookmarkEnd w:id="143"/>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144" w:name="_Toc175215896"/>
      <w:bookmarkStart w:id="145" w:name="_Toc175216340"/>
      <w:bookmarkStart w:id="146" w:name="_Toc175226861"/>
      <w:r>
        <w:rPr>
          <w:rStyle w:val="CharDivNo"/>
        </w:rPr>
        <w:t>Division 2</w:t>
      </w:r>
      <w:r>
        <w:t> — </w:t>
      </w:r>
      <w:r>
        <w:rPr>
          <w:rStyle w:val="CharDivText"/>
        </w:rPr>
        <w:t>Continuing professional development</w:t>
      </w:r>
      <w:bookmarkEnd w:id="144"/>
      <w:bookmarkEnd w:id="145"/>
      <w:bookmarkEnd w:id="146"/>
    </w:p>
    <w:p>
      <w:pPr>
        <w:pStyle w:val="Heading5"/>
      </w:pPr>
      <w:bookmarkStart w:id="147" w:name="_Toc175226862"/>
      <w:r>
        <w:rPr>
          <w:rStyle w:val="CharSectno"/>
        </w:rPr>
        <w:t>81</w:t>
      </w:r>
      <w:r>
        <w:t>.</w:t>
      </w:r>
      <w:r>
        <w:tab/>
        <w:t>Terms used</w:t>
      </w:r>
      <w:bookmarkEnd w:id="147"/>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lastRenderedPageBreak/>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148" w:name="_Toc175226863"/>
      <w:r>
        <w:rPr>
          <w:rStyle w:val="CharSectno"/>
        </w:rPr>
        <w:t>82</w:t>
      </w:r>
      <w:r>
        <w:t>.</w:t>
      </w:r>
      <w:r>
        <w:tab/>
        <w:t>CPD points earned before commencement day</w:t>
      </w:r>
      <w:bookmarkEnd w:id="148"/>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 xml:space="preserve">if the person is a barrister — to have earned, for the purposes of the Uniform CPD (Barristers) Rules, a CPD point in the category specified in column 2 of the Table </w:t>
      </w:r>
      <w:r>
        <w:lastRenderedPageBreak/>
        <w:t>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w:t>
      </w:r>
      <w:r>
        <w:lastRenderedPageBreak/>
        <w:t xml:space="preserve">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149" w:name="_Toc175226864"/>
      <w:r>
        <w:rPr>
          <w:rStyle w:val="CharSectno"/>
        </w:rPr>
        <w:lastRenderedPageBreak/>
        <w:t>83</w:t>
      </w:r>
      <w:r>
        <w:t>.</w:t>
      </w:r>
      <w:r>
        <w:tab/>
        <w:t>Persons compliant with all applicable CPD requirements for 2022</w:t>
      </w:r>
      <w:r>
        <w:noBreakHyphen/>
        <w:t>23 year before commencement day</w:t>
      </w:r>
      <w:bookmarkEnd w:id="149"/>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50" w:name="_Toc175215900"/>
      <w:bookmarkStart w:id="151" w:name="_Toc175216344"/>
      <w:bookmarkStart w:id="152" w:name="_Toc175226865"/>
      <w:r>
        <w:rPr>
          <w:rStyle w:val="CharSchNo"/>
        </w:rPr>
        <w:lastRenderedPageBreak/>
        <w:t>Schedule 1</w:t>
      </w:r>
      <w:r>
        <w:t> — </w:t>
      </w:r>
      <w:r>
        <w:rPr>
          <w:rStyle w:val="CharSchText"/>
        </w:rPr>
        <w:t>Fees</w:t>
      </w:r>
      <w:bookmarkEnd w:id="150"/>
      <w:bookmarkEnd w:id="151"/>
      <w:bookmarkEnd w:id="152"/>
    </w:p>
    <w:p>
      <w:pPr>
        <w:pStyle w:val="yShoulderClause"/>
      </w:pPr>
      <w:r>
        <w:t>[r. 34, 35 and 74]</w:t>
      </w:r>
    </w:p>
    <w:p>
      <w:pPr>
        <w:pStyle w:val="yHeading3"/>
        <w:spacing w:after="120"/>
      </w:pPr>
      <w:bookmarkStart w:id="153" w:name="_Toc175215901"/>
      <w:bookmarkStart w:id="154" w:name="_Toc175216345"/>
      <w:bookmarkStart w:id="155" w:name="_Toc175226866"/>
      <w:r>
        <w:rPr>
          <w:rStyle w:val="CharSDivNo"/>
        </w:rPr>
        <w:t>Division 1</w:t>
      </w:r>
      <w:r>
        <w:t> — </w:t>
      </w:r>
      <w:r>
        <w:rPr>
          <w:rStyle w:val="CharSDivText"/>
        </w:rPr>
        <w:t>Applications relating to admission</w:t>
      </w:r>
      <w:bookmarkEnd w:id="153"/>
      <w:bookmarkEnd w:id="154"/>
      <w:bookmarkEnd w:id="15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Application under Uniform Admission Rules r. 11(1) for direction about additional academic qualifications</w:t>
            </w:r>
          </w:p>
        </w:tc>
        <w:tc>
          <w:tcPr>
            <w:tcW w:w="963" w:type="dxa"/>
            <w:vAlign w:val="bottom"/>
          </w:tcPr>
          <w:p>
            <w:pPr>
              <w:pStyle w:val="yTableNAm"/>
              <w:jc w:val="right"/>
            </w:pPr>
            <w:r>
              <w:t>$320.00</w:t>
            </w:r>
          </w:p>
        </w:tc>
      </w:tr>
      <w:tr>
        <w:tc>
          <w:tcPr>
            <w:tcW w:w="738" w:type="dxa"/>
          </w:tcPr>
          <w:p>
            <w:pPr>
              <w:pStyle w:val="yTableNAm"/>
            </w:pPr>
            <w:r>
              <w:t xml:space="preserve">6. </w:t>
            </w:r>
          </w:p>
        </w:tc>
        <w:tc>
          <w:tcPr>
            <w:tcW w:w="5103" w:type="dxa"/>
          </w:tcPr>
          <w:p>
            <w:pPr>
              <w:pStyle w:val="yTableNAm"/>
            </w:pPr>
            <w:r>
              <w:t xml:space="preserve">Application under Uniform Admission Rules r. 11(2) for direction about additional practical legal training understanding and competence </w:t>
            </w:r>
          </w:p>
        </w:tc>
        <w:tc>
          <w:tcPr>
            <w:tcW w:w="963" w:type="dxa"/>
            <w:vAlign w:val="bottom"/>
          </w:tcPr>
          <w:p>
            <w:pPr>
              <w:pStyle w:val="yTableNAm"/>
              <w:jc w:val="right"/>
            </w:pPr>
            <w:r>
              <w:t>$320.00</w:t>
            </w:r>
          </w:p>
        </w:tc>
      </w:tr>
    </w:tbl>
    <w:p>
      <w:pPr>
        <w:pStyle w:val="yHeading3"/>
        <w:spacing w:after="120"/>
      </w:pPr>
      <w:bookmarkStart w:id="156" w:name="_Toc175215902"/>
      <w:bookmarkStart w:id="157" w:name="_Toc175216346"/>
      <w:bookmarkStart w:id="158" w:name="_Toc175226867"/>
      <w:r>
        <w:rPr>
          <w:rStyle w:val="CharSDivNo"/>
        </w:rPr>
        <w:lastRenderedPageBreak/>
        <w:t>Division 2</w:t>
      </w:r>
      <w:r>
        <w:t> — </w:t>
      </w:r>
      <w:r>
        <w:rPr>
          <w:rStyle w:val="CharSDivText"/>
        </w:rPr>
        <w:t>Applications for Australian practising certificates and Australian registration certificates</w:t>
      </w:r>
      <w:bookmarkEnd w:id="156"/>
      <w:bookmarkEnd w:id="157"/>
      <w:bookmarkEnd w:id="15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159" w:name="_Toc175215903"/>
      <w:bookmarkStart w:id="160" w:name="_Toc175216347"/>
      <w:bookmarkStart w:id="161" w:name="_Toc175226868"/>
      <w:r>
        <w:rPr>
          <w:rStyle w:val="CharSDivNo"/>
        </w:rPr>
        <w:t>Division 3</w:t>
      </w:r>
      <w:r>
        <w:t> — </w:t>
      </w:r>
      <w:r>
        <w:rPr>
          <w:rStyle w:val="CharSDivText"/>
        </w:rPr>
        <w:t>Applications relating to trust money and insurance exemptions</w:t>
      </w:r>
      <w:bookmarkEnd w:id="159"/>
      <w:bookmarkEnd w:id="160"/>
      <w:bookmarkEnd w:id="16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162" w:name="_Toc175215904"/>
      <w:bookmarkStart w:id="163" w:name="_Toc175216348"/>
      <w:bookmarkStart w:id="164" w:name="_Toc175226869"/>
      <w:r>
        <w:rPr>
          <w:rStyle w:val="CharSchNo"/>
        </w:rPr>
        <w:lastRenderedPageBreak/>
        <w:t>Schedule 2</w:t>
      </w:r>
      <w:r>
        <w:t> — </w:t>
      </w:r>
      <w:r>
        <w:rPr>
          <w:rStyle w:val="CharSchText"/>
        </w:rPr>
        <w:t>Community legal services and peak organisations that may receive money from Trust Interest Account</w:t>
      </w:r>
      <w:bookmarkEnd w:id="162"/>
      <w:bookmarkEnd w:id="163"/>
      <w:bookmarkEnd w:id="164"/>
    </w:p>
    <w:p>
      <w:pPr>
        <w:pStyle w:val="yShoulderClause"/>
      </w:pPr>
      <w:r>
        <w:t>[r. 51]</w:t>
      </w:r>
    </w:p>
    <w:p>
      <w:pPr>
        <w:pStyle w:val="yHeading3"/>
        <w:spacing w:after="120"/>
        <w:rPr>
          <w:rStyle w:val="DraftersNotes"/>
          <w:b/>
          <w:i w:val="0"/>
          <w:sz w:val="24"/>
        </w:rPr>
      </w:pPr>
      <w:bookmarkStart w:id="165" w:name="_Toc175215905"/>
      <w:bookmarkStart w:id="166" w:name="_Toc175216349"/>
      <w:bookmarkStart w:id="167" w:name="_Toc175226870"/>
      <w:r>
        <w:rPr>
          <w:rStyle w:val="CharSDivNo"/>
        </w:rPr>
        <w:t>Division 1</w:t>
      </w:r>
      <w:r>
        <w:t> — </w:t>
      </w:r>
      <w:r>
        <w:rPr>
          <w:rStyle w:val="CharSDivText"/>
        </w:rPr>
        <w:t>Community legal services</w:t>
      </w:r>
      <w:bookmarkEnd w:id="165"/>
      <w:bookmarkEnd w:id="166"/>
      <w:bookmarkEnd w:id="167"/>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lastRenderedPageBreak/>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168" w:name="_Toc175215906"/>
      <w:bookmarkStart w:id="169" w:name="_Toc175216350"/>
      <w:bookmarkStart w:id="170" w:name="_Toc175226871"/>
      <w:r>
        <w:rPr>
          <w:rStyle w:val="CharSDivNo"/>
        </w:rPr>
        <w:t>Division 2</w:t>
      </w:r>
      <w:r>
        <w:t> — </w:t>
      </w:r>
      <w:r>
        <w:rPr>
          <w:rStyle w:val="CharSDivText"/>
        </w:rPr>
        <w:t>Peak organisation</w:t>
      </w:r>
      <w:bookmarkEnd w:id="168"/>
      <w:bookmarkEnd w:id="169"/>
      <w:bookmarkEnd w:id="170"/>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2" w:name="_Toc175215907"/>
      <w:bookmarkStart w:id="173" w:name="_Toc175216351"/>
      <w:bookmarkStart w:id="174" w:name="_Toc175226872"/>
      <w:r>
        <w:lastRenderedPageBreak/>
        <w:t>Notes</w:t>
      </w:r>
      <w:bookmarkEnd w:id="172"/>
      <w:bookmarkEnd w:id="173"/>
      <w:bookmarkEnd w:id="174"/>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 </w:t>
      </w:r>
    </w:p>
    <w:p>
      <w:pPr>
        <w:pStyle w:val="nHeading3"/>
      </w:pPr>
      <w:bookmarkStart w:id="175" w:name="_Toc175226873"/>
      <w:r>
        <w:t>Compilation table</w:t>
      </w:r>
      <w:bookmarkEnd w:id="1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 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r>
        <w:tc>
          <w:tcPr>
            <w:tcW w:w="3118" w:type="dxa"/>
            <w:tcBorders>
              <w:top w:val="nil"/>
              <w:bottom w:val="nil"/>
            </w:tcBorders>
          </w:tcPr>
          <w:p>
            <w:pPr>
              <w:pStyle w:val="nTable"/>
              <w:spacing w:after="40"/>
              <w:rPr>
                <w:i/>
              </w:rPr>
            </w:pPr>
            <w:r>
              <w:rPr>
                <w:i/>
              </w:rPr>
              <w:t>Legal Profession Uniform Law Application Amendment Regulations 2023</w:t>
            </w:r>
          </w:p>
        </w:tc>
        <w:tc>
          <w:tcPr>
            <w:tcW w:w="1276" w:type="dxa"/>
            <w:tcBorders>
              <w:top w:val="nil"/>
              <w:bottom w:val="nil"/>
            </w:tcBorders>
          </w:tcPr>
          <w:p>
            <w:pPr>
              <w:pStyle w:val="nTable"/>
              <w:spacing w:after="40"/>
            </w:pPr>
            <w:r>
              <w:t>SL 2023/145 20 Sep 2023</w:t>
            </w:r>
          </w:p>
        </w:tc>
        <w:tc>
          <w:tcPr>
            <w:tcW w:w="2693" w:type="dxa"/>
            <w:tcBorders>
              <w:top w:val="nil"/>
              <w:bottom w:val="nil"/>
            </w:tcBorders>
          </w:tcPr>
          <w:p>
            <w:pPr>
              <w:pStyle w:val="nTable"/>
              <w:spacing w:after="40"/>
            </w:pPr>
            <w:r>
              <w:t>r. 1 and 2: 20 Sep 2023 (see r. 2(a));</w:t>
            </w:r>
            <w:r>
              <w:br/>
              <w:t>Regulations other than r. 1 and 2: 21 Sep 2023 (see r. 2(b))</w:t>
            </w:r>
          </w:p>
        </w:tc>
      </w:tr>
      <w:tr>
        <w:tc>
          <w:tcPr>
            <w:tcW w:w="3118" w:type="dxa"/>
            <w:tcBorders>
              <w:top w:val="nil"/>
              <w:bottom w:val="single" w:sz="4" w:space="0" w:color="auto"/>
            </w:tcBorders>
          </w:tcPr>
          <w:p>
            <w:pPr>
              <w:pStyle w:val="nTable"/>
              <w:spacing w:after="40"/>
              <w:rPr>
                <w:i/>
              </w:rPr>
            </w:pPr>
            <w:r>
              <w:rPr>
                <w:i/>
              </w:rPr>
              <w:t xml:space="preserve">Attorney General Regulations Amendment (Criminal Law Mental Impairment) Regulations 2024 </w:t>
            </w:r>
            <w:r>
              <w:rPr>
                <w:iCs/>
              </w:rPr>
              <w:t>Pt. 3</w:t>
            </w:r>
          </w:p>
        </w:tc>
        <w:tc>
          <w:tcPr>
            <w:tcW w:w="1276" w:type="dxa"/>
            <w:tcBorders>
              <w:top w:val="nil"/>
              <w:bottom w:val="single" w:sz="4" w:space="0" w:color="auto"/>
            </w:tcBorders>
          </w:tcPr>
          <w:p>
            <w:pPr>
              <w:pStyle w:val="nTable"/>
              <w:spacing w:after="40"/>
            </w:pPr>
            <w:r>
              <w:t>SL 2024/173 21 Aug 2024</w:t>
            </w:r>
          </w:p>
        </w:tc>
        <w:tc>
          <w:tcPr>
            <w:tcW w:w="2693" w:type="dxa"/>
            <w:tcBorders>
              <w:top w:val="nil"/>
              <w:bottom w:val="single" w:sz="4" w:space="0" w:color="auto"/>
            </w:tcBorders>
          </w:tcPr>
          <w:p>
            <w:pPr>
              <w:pStyle w:val="nTable"/>
              <w:spacing w:after="40"/>
            </w:pPr>
            <w:r>
              <w:t>1 Sep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77" w:name="_Toc175215910"/>
      <w:bookmarkStart w:id="178" w:name="_Toc175216353"/>
      <w:bookmarkStart w:id="179" w:name="_Toc175226874"/>
      <w:r>
        <w:rPr>
          <w:sz w:val="28"/>
        </w:rPr>
        <w:lastRenderedPageBreak/>
        <w:t>Defined terms</w:t>
      </w:r>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CPD arrangements</w:t>
      </w:r>
      <w:r>
        <w:tab/>
        <w:t>81</w:t>
      </w:r>
    </w:p>
    <w:p>
      <w:pPr>
        <w:pStyle w:val="DefinedTerms"/>
      </w:pPr>
      <w:r>
        <w:t>Board committee</w:t>
      </w:r>
      <w:r>
        <w:tab/>
        <w:t>3</w:t>
      </w:r>
    </w:p>
    <w:p>
      <w:pPr>
        <w:pStyle w:val="DefinedTerms"/>
      </w:pPr>
      <w:r>
        <w:t>Board rules</w:t>
      </w:r>
      <w:r>
        <w:tab/>
        <w:t>40(1)</w:t>
      </w:r>
    </w:p>
    <w:p>
      <w:pPr>
        <w:pStyle w:val="DefinedTerms"/>
      </w:pPr>
      <w:r>
        <w:t>book</w:t>
      </w:r>
      <w:r>
        <w:tab/>
        <w:t>3</w:t>
      </w:r>
    </w:p>
    <w:p>
      <w:pPr>
        <w:pStyle w:val="DefinedTerms"/>
      </w:pPr>
      <w:r>
        <w:t>CEO</w:t>
      </w:r>
      <w:r>
        <w:tab/>
        <w:t>3</w:t>
      </w:r>
    </w:p>
    <w:p>
      <w:pPr>
        <w:pStyle w:val="DefinedTerms"/>
      </w:pPr>
      <w:r>
        <w:t>chairperson election</w:t>
      </w:r>
      <w:r>
        <w:tab/>
        <w:t>3</w:t>
      </w:r>
    </w:p>
    <w:p>
      <w:pPr>
        <w:pStyle w:val="DefinedTerms"/>
      </w:pPr>
      <w:r>
        <w:t>commencement day</w:t>
      </w:r>
      <w:r>
        <w:tab/>
        <w:t>3</w:t>
      </w:r>
    </w:p>
    <w:p>
      <w:pPr>
        <w:pStyle w:val="DefinedTerms"/>
      </w:pPr>
      <w:r>
        <w:t>continuing professional development activity</w:t>
      </w:r>
      <w:r>
        <w:tab/>
        <w:t>40(1)</w:t>
      </w:r>
    </w:p>
    <w:p>
      <w:pPr>
        <w:pStyle w:val="DefinedTerms"/>
      </w:pPr>
      <w:r>
        <w:t>contract legislative drafter</w:t>
      </w:r>
      <w:r>
        <w:tab/>
        <w:t>3</w:t>
      </w:r>
    </w:p>
    <w:p>
      <w:pPr>
        <w:pStyle w:val="DefinedTerms"/>
      </w:pPr>
      <w:r>
        <w:t>CPD point</w:t>
      </w:r>
      <w:r>
        <w:tab/>
        <w:t>81</w:t>
      </w:r>
    </w:p>
    <w:p>
      <w:pPr>
        <w:pStyle w:val="DefinedTerms"/>
      </w:pPr>
      <w:r>
        <w:t>CPD year</w:t>
      </w:r>
      <w:r>
        <w:tab/>
        <w:t>81</w:t>
      </w:r>
    </w:p>
    <w:p>
      <w:pPr>
        <w:pStyle w:val="DefinedTerms"/>
      </w:pPr>
      <w:r>
        <w:t>deputy chairperson election</w:t>
      </w:r>
      <w:r>
        <w:tab/>
        <w:t>3</w:t>
      </w:r>
    </w:p>
    <w:p>
      <w:pPr>
        <w:pStyle w:val="DefinedTerms"/>
      </w:pPr>
      <w:r>
        <w:t>excluded activity</w:t>
      </w:r>
      <w:r>
        <w:tab/>
        <w:t>40(1)</w:t>
      </w:r>
    </w:p>
    <w:p>
      <w:pPr>
        <w:pStyle w:val="DefinedTerms"/>
      </w:pPr>
      <w:r>
        <w:t>expiry day</w:t>
      </w:r>
      <w:r>
        <w:tab/>
        <w:t>37(1)</w:t>
      </w:r>
    </w:p>
    <w:p>
      <w:pPr>
        <w:pStyle w:val="DefinedTerms"/>
      </w:pPr>
      <w:r>
        <w:t>fee-paying user</w:t>
      </w:r>
      <w:r>
        <w:tab/>
        <w:t>69(1)</w:t>
      </w:r>
    </w:p>
    <w:p>
      <w:pPr>
        <w:pStyle w:val="DefinedTerms"/>
      </w:pPr>
      <w:r>
        <w:t>foreign legislative drafter</w:t>
      </w:r>
      <w:r>
        <w:tab/>
        <w:t>43(1)</w:t>
      </w:r>
    </w:p>
    <w:p>
      <w:pPr>
        <w:pStyle w:val="DefinedTerms"/>
      </w:pPr>
      <w:r>
        <w:t>interlibrary loan</w:t>
      </w:r>
      <w:r>
        <w:tab/>
        <w:t>69(1)</w:t>
      </w:r>
    </w:p>
    <w:p>
      <w:pPr>
        <w:pStyle w:val="DefinedTerms"/>
      </w:pPr>
      <w:r>
        <w:t>Law Library Advisory Committee</w:t>
      </w:r>
      <w:r>
        <w:tab/>
        <w:t>3, 61(1)</w:t>
      </w:r>
    </w:p>
    <w:p>
      <w:pPr>
        <w:pStyle w:val="DefinedTerms"/>
      </w:pPr>
      <w:r>
        <w:t>librarian</w:t>
      </w:r>
      <w:r>
        <w:tab/>
        <w:t>3</w:t>
      </w:r>
    </w:p>
    <w:p>
      <w:pPr>
        <w:pStyle w:val="DefinedTerms"/>
      </w:pPr>
      <w:r>
        <w:t>library officer</w:t>
      </w:r>
      <w:r>
        <w:tab/>
        <w:t>3</w:t>
      </w:r>
    </w:p>
    <w:p>
      <w:pPr>
        <w:pStyle w:val="DefinedTerms"/>
      </w:pPr>
      <w:r>
        <w:t>library rules</w:t>
      </w:r>
      <w:r>
        <w:tab/>
        <w:t>3, 68(1)</w:t>
      </w:r>
    </w:p>
    <w:p>
      <w:pPr>
        <w:pStyle w:val="DefinedTerms"/>
      </w:pPr>
      <w:r>
        <w:t>old rules</w:t>
      </w:r>
      <w:r>
        <w:tab/>
        <w:t>81</w:t>
      </w:r>
    </w:p>
    <w:p>
      <w:pPr>
        <w:pStyle w:val="DefinedTerms"/>
      </w:pPr>
      <w:r>
        <w:t>PCO lawyer</w:t>
      </w:r>
      <w:r>
        <w:tab/>
        <w:t>44(1)</w:t>
      </w:r>
    </w:p>
    <w:p>
      <w:pPr>
        <w:pStyle w:val="DefinedTerms"/>
      </w:pPr>
      <w:r>
        <w:t>publication, committee or postgraduate studies activity</w:t>
      </w:r>
      <w:r>
        <w:tab/>
        <w:t>41(1)</w:t>
      </w:r>
    </w:p>
    <w:p>
      <w:pPr>
        <w:pStyle w:val="DefinedTerms"/>
      </w:pPr>
      <w:r>
        <w:t>relevant activity type</w:t>
      </w:r>
      <w:r>
        <w:tab/>
        <w:t>81</w:t>
      </w:r>
    </w:p>
    <w:p>
      <w:pPr>
        <w:pStyle w:val="DefinedTerms"/>
      </w:pPr>
      <w:r>
        <w:t>relevant competency area</w:t>
      </w:r>
      <w:r>
        <w:tab/>
        <w:t>81</w:t>
      </w:r>
    </w:p>
    <w:p>
      <w:pPr>
        <w:pStyle w:val="DefinedTerms"/>
      </w:pPr>
      <w:r>
        <w:t>relevant law practice or entity</w:t>
      </w:r>
      <w:r>
        <w:tab/>
        <w:t>53(2), 54(2)</w:t>
      </w:r>
    </w:p>
    <w:p>
      <w:pPr>
        <w:pStyle w:val="DefinedTerms"/>
      </w:pPr>
      <w:r>
        <w:t>relevant year</w:t>
      </w:r>
      <w:r>
        <w:tab/>
        <w:t>Sch. 1</w:t>
      </w:r>
    </w:p>
    <w:p>
      <w:pPr>
        <w:pStyle w:val="DefinedTerms"/>
      </w:pPr>
      <w:r>
        <w:t>response time</w:t>
      </w:r>
      <w:r>
        <w:tab/>
        <w:t>24(2)</w:t>
      </w:r>
    </w:p>
    <w:p>
      <w:pPr>
        <w:pStyle w:val="DefinedTerms"/>
      </w:pPr>
      <w:r>
        <w:t>secretary</w:t>
      </w:r>
      <w:r>
        <w:tab/>
        <w:t>3</w:t>
      </w:r>
    </w:p>
    <w:p>
      <w:pPr>
        <w:pStyle w:val="DefinedTerms"/>
      </w:pPr>
      <w:r>
        <w:t>tied candidates</w:t>
      </w:r>
      <w:r>
        <w:tab/>
        <w:t>14(2), 18(5)</w:t>
      </w:r>
    </w:p>
    <w:p>
      <w:pPr>
        <w:pStyle w:val="DefinedTerms"/>
      </w:pPr>
      <w:r>
        <w:t>Uniform Admission Rules</w:t>
      </w:r>
      <w:r>
        <w:tab/>
        <w:t>3</w:t>
      </w:r>
    </w:p>
    <w:p>
      <w:pPr>
        <w:pStyle w:val="DefinedTerms"/>
      </w:pPr>
      <w:r>
        <w:t>Uniform Conduct (Barristers) Rules</w:t>
      </w:r>
      <w:r>
        <w:tab/>
        <w:t>70(1)</w:t>
      </w:r>
    </w:p>
    <w:p>
      <w:pPr>
        <w:pStyle w:val="DefinedTerms"/>
      </w:pPr>
      <w:r>
        <w:t>Uniform CPD (Barristers) Rules</w:t>
      </w:r>
      <w:r>
        <w:tab/>
        <w:t>3</w:t>
      </w:r>
    </w:p>
    <w:p>
      <w:pPr>
        <w:pStyle w:val="DefinedTerms"/>
      </w:pPr>
      <w:r>
        <w:t>Uniform CPD (Solicitors) Rules</w:t>
      </w:r>
      <w:r>
        <w:tab/>
        <w:t>3</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550CC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62589A" w14:textId="22563347" w:rsidR="00CA4D62" w:rsidRDefault="00AD6C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11759">
                        <w:rPr>
                          <w:sz w:val="16"/>
                        </w:rPr>
                        <w:t>2024</w:t>
                      </w:r>
                      <w:r>
                        <w:rPr>
                          <w:sz w:val="16"/>
                        </w:rPr>
                        <w:fldChar w:fldCharType="end"/>
                      </w:r>
                      <w:r>
                        <w:rPr>
                          <w:sz w:val="16"/>
                        </w:rPr>
                        <w:t>.</w:t>
                      </w:r>
                    </w:p>
                    <w:p w14:paraId="1EEE0076" w14:textId="77777777" w:rsidR="00CA4D62" w:rsidRDefault="00AD6C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9473BA" w14:textId="2E5019AD" w:rsidR="00CA4D62" w:rsidRDefault="00AD6C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11759">
                        <w:rPr>
                          <w:sz w:val="16"/>
                        </w:rPr>
                        <w:t>2024</w:t>
                      </w:r>
                      <w:r>
                        <w:rPr>
                          <w:sz w:val="16"/>
                        </w:rPr>
                        <w:fldChar w:fldCharType="end"/>
                      </w:r>
                      <w:r>
                        <w:rPr>
                          <w:sz w:val="16"/>
                        </w:rPr>
                        <w:t>.</w:t>
                      </w:r>
                    </w:p>
                    <w:p w14:paraId="79287DA2" w14:textId="77777777" w:rsidR="00CA4D62" w:rsidRDefault="00AD6C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0" w:name="DefinedTerms"/>
    <w:bookmarkEnd w:id="1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56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21040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 w:name="WAFER_2024082210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047_GUID" w:val="bd6801b9-efb8-4287-8500-17cf20ba62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13792</Words>
  <Characters>69931</Characters>
  <Application>Microsoft Office Word</Application>
  <DocSecurity>0</DocSecurity>
  <Lines>2056</Lines>
  <Paragraphs>1179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2022 - 00-e0-00</dc:title>
  <dc:subject/>
  <dc:creator/>
  <cp:keywords/>
  <dc:description/>
  <cp:lastModifiedBy>Master Repository Process</cp:lastModifiedBy>
  <cp:revision>4</cp:revision>
  <cp:lastPrinted>2022-06-08T06:41:00Z</cp:lastPrinted>
  <dcterms:created xsi:type="dcterms:W3CDTF">2025-06-23T03:59:00Z</dcterms:created>
  <dcterms:modified xsi:type="dcterms:W3CDTF">2025-06-23T03:59:00Z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CommencementDate">
    <vt:lpwstr>20240901</vt:lpwstr>
  </property>
  <property fmtid="{D5CDD505-2E9C-101B-9397-08002B2CF9AE}" pid="5" name="CommencementAsAt">
    <vt:filetime>2024-08-31T16:00:00Z</vt:filetime>
  </property>
  <property fmtid="{D5CDD505-2E9C-101B-9397-08002B2CF9AE}" pid="6" name="CommencementYear">
    <vt:lpwstr>2024</vt:lpwstr>
  </property>
  <property fmtid="{D5CDD505-2E9C-101B-9397-08002B2CF9AE}" pid="7" name="AsAtDate">
    <vt:lpwstr>01 Sep 2024</vt:lpwstr>
  </property>
  <property fmtid="{D5CDD505-2E9C-101B-9397-08002B2CF9AE}" pid="8" name="Suffix">
    <vt:lpwstr>00-e0-00</vt:lpwstr>
  </property>
  <property fmtid="{D5CDD505-2E9C-101B-9397-08002B2CF9AE}" pid="9" name="Official">
    <vt:lpwstr/>
  </property>
</Properties>
</file>