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pStyle w:val="Subsection"/>
      </w:pPr>
      <w:r>
        <w:tab/>
      </w:r>
      <w:r>
        <w:tab/>
        <w:t xml:space="preserve">These regulations were repealed by the </w:t>
      </w:r>
      <w:r>
        <w:rPr>
          <w:i/>
        </w:rPr>
        <w:t xml:space="preserve">Local Government (Long Service Leave) Regulations 2024 </w:t>
      </w:r>
      <w:r>
        <w:rPr>
          <w:iCs/>
        </w:rPr>
        <w:t>r. 27</w:t>
      </w:r>
      <w:r>
        <w:rPr>
          <w:i/>
        </w:rPr>
        <w:t xml:space="preserve"> </w:t>
      </w:r>
      <w:r>
        <w:rPr>
          <w:iCs/>
        </w:rPr>
        <w:t>(SL 2024/51) on 1 Sep 2024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_Toc174977705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_Toc174977706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and saving provisions</w:t>
      </w:r>
      <w:r>
        <w:tab/>
      </w:r>
      <w:r>
        <w:fldChar w:fldCharType="begin"/>
      </w:r>
      <w:r>
        <w:instrText xml:space="preserve"> PAGEREF _Toc174977707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w:t>
      </w:r>
      <w:r>
        <w:tab/>
      </w:r>
      <w:r>
        <w:fldChar w:fldCharType="begin"/>
      </w:r>
      <w:r>
        <w:instrText xml:space="preserve"> PAGEREF _Toc174977708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Continuity of service</w:t>
      </w:r>
      <w:r>
        <w:tab/>
      </w:r>
      <w:r>
        <w:fldChar w:fldCharType="begin"/>
      </w:r>
      <w:r>
        <w:instrText xml:space="preserve"> PAGEREF _Toc174977709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Entitlement to leave</w:t>
      </w:r>
      <w:r>
        <w:tab/>
      </w:r>
      <w:r>
        <w:fldChar w:fldCharType="begin"/>
      </w:r>
      <w:r>
        <w:instrText xml:space="preserve"> PAGEREF _Toc174977710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Leave on half pay</w:t>
      </w:r>
      <w:r>
        <w:tab/>
      </w:r>
      <w:r>
        <w:fldChar w:fldCharType="begin"/>
      </w:r>
      <w:r>
        <w:instrText xml:space="preserve"> PAGEREF _Toc174977711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Leave on double pay</w:t>
      </w:r>
      <w:r>
        <w:tab/>
      </w:r>
      <w:r>
        <w:fldChar w:fldCharType="begin"/>
      </w:r>
      <w:r>
        <w:instrText xml:space="preserve"> PAGEREF _Toc174977712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Taking leave</w:t>
      </w:r>
      <w:r>
        <w:tab/>
      </w:r>
      <w:r>
        <w:fldChar w:fldCharType="begin"/>
      </w:r>
      <w:r>
        <w:instrText xml:space="preserve"> PAGEREF _Toc174977713 \h </w:instrText>
      </w:r>
      <w:r>
        <w:fldChar w:fldCharType="separate"/>
      </w:r>
      <w:r>
        <w:t>8</w:t>
      </w:r>
      <w:r>
        <w:fldChar w:fldCharType="end"/>
      </w:r>
    </w:p>
    <w:p>
      <w:pPr>
        <w:pStyle w:val="TOC8"/>
        <w:rPr>
          <w:rFonts w:asciiTheme="minorHAnsi" w:eastAsiaTheme="minorEastAsia" w:hAnsiTheme="minorHAnsi" w:cstheme="minorBidi"/>
          <w:szCs w:val="22"/>
        </w:rPr>
      </w:pPr>
      <w:r>
        <w:t>7A.</w:t>
      </w:r>
      <w:r>
        <w:tab/>
        <w:t>Taking advance leave</w:t>
      </w:r>
      <w:r>
        <w:tab/>
      </w:r>
      <w:r>
        <w:fldChar w:fldCharType="begin"/>
      </w:r>
      <w:r>
        <w:instrText xml:space="preserve"> PAGEREF _Toc174977714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or in lieu of leave</w:t>
      </w:r>
      <w:r>
        <w:tab/>
      </w:r>
      <w:r>
        <w:fldChar w:fldCharType="begin"/>
      </w:r>
      <w:r>
        <w:instrText xml:space="preserve"> PAGEREF _Toc174977715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Contribution towards cost of benefit</w:t>
      </w:r>
      <w:r>
        <w:tab/>
      </w:r>
      <w:r>
        <w:fldChar w:fldCharType="begin"/>
      </w:r>
      <w:r>
        <w:instrText xml:space="preserve"> PAGEREF _Toc174977716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to be employed during leave</w:t>
      </w:r>
      <w:r>
        <w:tab/>
      </w:r>
      <w:r>
        <w:fldChar w:fldCharType="begin"/>
      </w:r>
      <w:r>
        <w:instrText xml:space="preserve"> PAGEREF _Toc174977717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employers</w:t>
      </w:r>
      <w:r>
        <w:tab/>
      </w:r>
      <w:r>
        <w:fldChar w:fldCharType="begin"/>
      </w:r>
      <w:r>
        <w:instrText xml:space="preserve"> PAGEREF _Toc174977718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of Board of Reference</w:t>
      </w:r>
      <w:r>
        <w:tab/>
      </w:r>
      <w:r>
        <w:fldChar w:fldCharType="begin"/>
      </w:r>
      <w:r>
        <w:instrText xml:space="preserve"> PAGEREF _Toc174977719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_Toc174977720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hold inquiries</w:t>
      </w:r>
      <w:r>
        <w:tab/>
      </w:r>
      <w:r>
        <w:fldChar w:fldCharType="begin"/>
      </w:r>
      <w:r>
        <w:instrText xml:space="preserve"> PAGEREF _Toc174977721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 notification and appeal</w:t>
      </w:r>
      <w:r>
        <w:tab/>
      </w:r>
      <w:r>
        <w:fldChar w:fldCharType="begin"/>
      </w:r>
      <w:r>
        <w:instrText xml:space="preserve"> PAGEREF _Toc174977722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_Toc174977723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_Toc174977725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_Toc174977726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_Toc174977727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2" w:name="_Toc174971944"/>
      <w:bookmarkStart w:id="3" w:name="_Toc174977705"/>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4" w:name="_Toc174971945"/>
      <w:bookmarkStart w:id="5" w:name="_Toc174977706"/>
      <w:r>
        <w:rPr>
          <w:rStyle w:val="CharSectno"/>
        </w:rPr>
        <w:t>2</w:t>
      </w:r>
      <w:r>
        <w:rPr>
          <w:snapToGrid w:val="0"/>
        </w:rPr>
        <w:t>.</w:t>
      </w:r>
      <w:r>
        <w:rPr>
          <w:snapToGrid w:val="0"/>
        </w:rPr>
        <w:tab/>
        <w:t>Definitions</w:t>
      </w:r>
      <w:bookmarkEnd w:id="4"/>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keepNext/>
      </w:pPr>
      <w:r>
        <w:rPr>
          <w:b/>
        </w:rPr>
        <w:lastRenderedPageBreak/>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6" w:name="_Toc174971946"/>
      <w:bookmarkStart w:id="7" w:name="_Toc174977707"/>
      <w:r>
        <w:rPr>
          <w:rStyle w:val="CharSectno"/>
        </w:rPr>
        <w:t>3</w:t>
      </w:r>
      <w:r>
        <w:rPr>
          <w:snapToGrid w:val="0"/>
        </w:rPr>
        <w:t>.</w:t>
      </w:r>
      <w:r>
        <w:rPr>
          <w:snapToGrid w:val="0"/>
        </w:rPr>
        <w:tab/>
        <w:t>Transitional and saving provisions</w:t>
      </w:r>
      <w:bookmarkEnd w:id="6"/>
      <w:bookmarkEnd w:id="7"/>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keepNext/>
        <w:rPr>
          <w:snapToGrid w:val="0"/>
        </w:rPr>
      </w:pPr>
      <w:r>
        <w:rPr>
          <w:snapToGrid w:val="0"/>
        </w:rPr>
        <w:lastRenderedPageBreak/>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8" w:name="_Toc174971947"/>
      <w:bookmarkStart w:id="9" w:name="_Toc174977708"/>
      <w:r>
        <w:rPr>
          <w:rStyle w:val="CharSectno"/>
        </w:rPr>
        <w:lastRenderedPageBreak/>
        <w:t>4</w:t>
      </w:r>
      <w:r>
        <w:rPr>
          <w:snapToGrid w:val="0"/>
        </w:rPr>
        <w:t>.</w:t>
      </w:r>
      <w:r>
        <w:rPr>
          <w:snapToGrid w:val="0"/>
        </w:rPr>
        <w:tab/>
        <w:t>Service</w:t>
      </w:r>
      <w:bookmarkEnd w:id="8"/>
      <w:bookmarkEnd w:id="9"/>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pPr>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p>
    <w:p>
      <w:pPr>
        <w:pStyle w:val="Indenta"/>
        <w:rPr>
          <w:snapToGrid w:val="0"/>
        </w:rPr>
      </w:pPr>
      <w:r>
        <w:rPr>
          <w:snapToGrid w:val="0"/>
        </w:rPr>
        <w:tab/>
        <w:t>(e)</w:t>
      </w:r>
      <w:r>
        <w:rPr>
          <w:snapToGrid w:val="0"/>
        </w:rPr>
        <w:tab/>
        <w:t xml:space="preserve">any period during which the service of the worker was or is interrupted by national service but only if the worker as soon as reasonably practicable after the </w:t>
      </w:r>
      <w:r>
        <w:rPr>
          <w:snapToGrid w:val="0"/>
        </w:rPr>
        <w:lastRenderedPageBreak/>
        <w:t>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10; SL 2022/177 r. 17.]</w:t>
      </w:r>
    </w:p>
    <w:p>
      <w:pPr>
        <w:pStyle w:val="Heading5"/>
        <w:rPr>
          <w:snapToGrid w:val="0"/>
        </w:rPr>
      </w:pPr>
      <w:bookmarkStart w:id="10" w:name="_Toc174971948"/>
      <w:bookmarkStart w:id="11" w:name="_Toc174977709"/>
      <w:r>
        <w:rPr>
          <w:rStyle w:val="CharSectno"/>
        </w:rPr>
        <w:t>5</w:t>
      </w:r>
      <w:r>
        <w:rPr>
          <w:snapToGrid w:val="0"/>
        </w:rPr>
        <w:t>.</w:t>
      </w:r>
      <w:r>
        <w:rPr>
          <w:snapToGrid w:val="0"/>
        </w:rPr>
        <w:tab/>
        <w:t>Continuity of service</w:t>
      </w:r>
      <w:bookmarkEnd w:id="10"/>
      <w:bookmarkEnd w:id="11"/>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12" w:name="_Toc174971949"/>
      <w:bookmarkStart w:id="13" w:name="_Toc174977710"/>
      <w:r>
        <w:rPr>
          <w:rStyle w:val="CharSectno"/>
        </w:rPr>
        <w:lastRenderedPageBreak/>
        <w:t>6</w:t>
      </w:r>
      <w:r>
        <w:rPr>
          <w:snapToGrid w:val="0"/>
        </w:rPr>
        <w:t>.</w:t>
      </w:r>
      <w:r>
        <w:rPr>
          <w:snapToGrid w:val="0"/>
        </w:rPr>
        <w:tab/>
        <w:t>Entitlement to leave</w:t>
      </w:r>
      <w:bookmarkEnd w:id="12"/>
      <w:bookmarkEnd w:id="13"/>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lastRenderedPageBreak/>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14" w:name="_Toc174971950"/>
      <w:bookmarkStart w:id="15" w:name="_Toc174977711"/>
      <w:r>
        <w:rPr>
          <w:rStyle w:val="CharSectno"/>
        </w:rPr>
        <w:t>6A</w:t>
      </w:r>
      <w:r>
        <w:rPr>
          <w:snapToGrid w:val="0"/>
        </w:rPr>
        <w:t>.</w:t>
      </w:r>
      <w:r>
        <w:rPr>
          <w:snapToGrid w:val="0"/>
        </w:rPr>
        <w:tab/>
        <w:t>Leave on half pay</w:t>
      </w:r>
      <w:bookmarkEnd w:id="14"/>
      <w:bookmarkEnd w:id="15"/>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16" w:name="_Toc174971951"/>
      <w:bookmarkStart w:id="17" w:name="_Toc174977712"/>
      <w:r>
        <w:rPr>
          <w:rStyle w:val="CharSectno"/>
        </w:rPr>
        <w:t>6B</w:t>
      </w:r>
      <w:r>
        <w:rPr>
          <w:snapToGrid w:val="0"/>
        </w:rPr>
        <w:t>.</w:t>
      </w:r>
      <w:r>
        <w:rPr>
          <w:snapToGrid w:val="0"/>
        </w:rPr>
        <w:tab/>
        <w:t>Leave on double pay</w:t>
      </w:r>
      <w:bookmarkEnd w:id="16"/>
      <w:bookmarkEnd w:id="17"/>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8" w:name="_Toc174971952"/>
      <w:bookmarkStart w:id="19" w:name="_Toc174977713"/>
      <w:r>
        <w:rPr>
          <w:rStyle w:val="CharSectno"/>
        </w:rPr>
        <w:lastRenderedPageBreak/>
        <w:t>7</w:t>
      </w:r>
      <w:r>
        <w:rPr>
          <w:snapToGrid w:val="0"/>
        </w:rPr>
        <w:t>.</w:t>
      </w:r>
      <w:r>
        <w:rPr>
          <w:snapToGrid w:val="0"/>
        </w:rPr>
        <w:tab/>
        <w:t>Taking leave</w:t>
      </w:r>
      <w:bookmarkEnd w:id="18"/>
      <w:bookmarkEnd w:id="19"/>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20" w:name="_Toc174971953"/>
      <w:bookmarkStart w:id="21" w:name="_Toc174977714"/>
      <w:r>
        <w:rPr>
          <w:rStyle w:val="CharSectno"/>
        </w:rPr>
        <w:t>7A</w:t>
      </w:r>
      <w:r>
        <w:t>.</w:t>
      </w:r>
      <w:r>
        <w:tab/>
        <w:t>Taking advance leave</w:t>
      </w:r>
      <w:bookmarkEnd w:id="20"/>
      <w:bookmarkEnd w:id="21"/>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 xml:space="preserve">the worker has not completed the whole of the accrual period in respect of an entitlement to long service leave, </w:t>
      </w:r>
      <w:r>
        <w:lastRenderedPageBreak/>
        <w:t>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or a COVID</w:t>
      </w:r>
      <w:r>
        <w:noBreakHyphen/>
        <w:t>19 declaration under section 77C of that Act,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 amended: SL 2022/177 r. 18.]</w:t>
      </w:r>
    </w:p>
    <w:p>
      <w:pPr>
        <w:pStyle w:val="Heading5"/>
        <w:rPr>
          <w:snapToGrid w:val="0"/>
        </w:rPr>
      </w:pPr>
      <w:bookmarkStart w:id="22" w:name="_Toc174971954"/>
      <w:bookmarkStart w:id="23" w:name="_Toc174977715"/>
      <w:r>
        <w:rPr>
          <w:rStyle w:val="CharSectno"/>
        </w:rPr>
        <w:t>8</w:t>
      </w:r>
      <w:r>
        <w:rPr>
          <w:snapToGrid w:val="0"/>
        </w:rPr>
        <w:t>.</w:t>
      </w:r>
      <w:r>
        <w:rPr>
          <w:snapToGrid w:val="0"/>
        </w:rPr>
        <w:tab/>
        <w:t>Payment for or in lieu of leave</w:t>
      </w:r>
      <w:bookmarkEnd w:id="22"/>
      <w:bookmarkEnd w:id="23"/>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lastRenderedPageBreak/>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24" w:name="_Toc174971955"/>
      <w:bookmarkStart w:id="25" w:name="_Toc174977716"/>
      <w:r>
        <w:rPr>
          <w:rStyle w:val="CharSectno"/>
        </w:rPr>
        <w:lastRenderedPageBreak/>
        <w:t>9</w:t>
      </w:r>
      <w:r>
        <w:rPr>
          <w:snapToGrid w:val="0"/>
        </w:rPr>
        <w:t>.</w:t>
      </w:r>
      <w:r>
        <w:rPr>
          <w:snapToGrid w:val="0"/>
        </w:rPr>
        <w:tab/>
        <w:t>Contribution towards cost of benefit</w:t>
      </w:r>
      <w:bookmarkEnd w:id="24"/>
      <w:bookmarkEnd w:id="25"/>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pPr>
      <w:r>
        <w:rPr>
          <w:position w:val="-24"/>
        </w:rPr>
        <w:object w:dxaOrig="1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31.5pt" o:ole="">
            <v:imagedata r:id="rId21" o:title=""/>
          </v:shape>
          <o:OLEObject Type="Embed" ProgID="Equation.3" ShapeID="_x0000_i1025" DrawAspect="Content" ObjectID="_1811924691" r:id="rId22"/>
        </w:object>
      </w:r>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lastRenderedPageBreak/>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26" w:name="_Toc174971956"/>
      <w:bookmarkStart w:id="27" w:name="_Toc174977717"/>
      <w:r>
        <w:rPr>
          <w:rStyle w:val="CharSectno"/>
        </w:rPr>
        <w:t>10</w:t>
      </w:r>
      <w:r>
        <w:rPr>
          <w:snapToGrid w:val="0"/>
        </w:rPr>
        <w:t>.</w:t>
      </w:r>
      <w:r>
        <w:rPr>
          <w:snapToGrid w:val="0"/>
        </w:rPr>
        <w:tab/>
        <w:t>Worker not to be employed during leave</w:t>
      </w:r>
      <w:bookmarkEnd w:id="26"/>
      <w:bookmarkEnd w:id="27"/>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 xml:space="preserve">Where pursuant to subregulation (2) an employer reclaims any payments made in respect of a period of long service leave it shall make an appropriate refund to the council of any </w:t>
      </w:r>
      <w:r>
        <w:rPr>
          <w:snapToGrid w:val="0"/>
        </w:rPr>
        <w:lastRenderedPageBreak/>
        <w:t>municipality that has contributed towards those payments under regulation 9.</w:t>
      </w:r>
    </w:p>
    <w:p>
      <w:pPr>
        <w:pStyle w:val="Heading5"/>
        <w:rPr>
          <w:snapToGrid w:val="0"/>
        </w:rPr>
      </w:pPr>
      <w:bookmarkStart w:id="28" w:name="_Toc174971957"/>
      <w:bookmarkStart w:id="29" w:name="_Toc174977718"/>
      <w:r>
        <w:rPr>
          <w:rStyle w:val="CharSectno"/>
        </w:rPr>
        <w:t>11</w:t>
      </w:r>
      <w:r>
        <w:rPr>
          <w:snapToGrid w:val="0"/>
        </w:rPr>
        <w:t>.</w:t>
      </w:r>
      <w:r>
        <w:rPr>
          <w:snapToGrid w:val="0"/>
        </w:rPr>
        <w:tab/>
        <w:t>Records to be kept by employers</w:t>
      </w:r>
      <w:bookmarkEnd w:id="28"/>
      <w:bookmarkEnd w:id="29"/>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30" w:name="_Toc174971958"/>
      <w:bookmarkStart w:id="31" w:name="_Toc174977719"/>
      <w:r>
        <w:rPr>
          <w:rStyle w:val="CharSectno"/>
        </w:rPr>
        <w:t>12</w:t>
      </w:r>
      <w:r>
        <w:rPr>
          <w:snapToGrid w:val="0"/>
        </w:rPr>
        <w:t>.</w:t>
      </w:r>
      <w:r>
        <w:rPr>
          <w:snapToGrid w:val="0"/>
        </w:rPr>
        <w:tab/>
        <w:t>Constitution of Board of Reference</w:t>
      </w:r>
      <w:bookmarkEnd w:id="30"/>
      <w:bookmarkEnd w:id="31"/>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lastRenderedPageBreak/>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 xml:space="preserve">A person who is or has been a member or deputy member of the Board is not personally liable for anything done or omitted in good faith in, or in connection with, the exercise or purported </w:t>
      </w:r>
      <w:r>
        <w:rPr>
          <w:snapToGrid w:val="0"/>
        </w:rPr>
        <w:lastRenderedPageBreak/>
        <w:t>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32" w:name="_Toc174971959"/>
      <w:bookmarkStart w:id="33" w:name="_Toc174977720"/>
      <w:r>
        <w:rPr>
          <w:rStyle w:val="CharSectno"/>
        </w:rPr>
        <w:t>13</w:t>
      </w:r>
      <w:r>
        <w:rPr>
          <w:snapToGrid w:val="0"/>
        </w:rPr>
        <w:t>.</w:t>
      </w:r>
      <w:r>
        <w:rPr>
          <w:snapToGrid w:val="0"/>
        </w:rPr>
        <w:tab/>
        <w:t>Functions of Board</w:t>
      </w:r>
      <w:bookmarkEnd w:id="32"/>
      <w:bookmarkEnd w:id="33"/>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34" w:name="_Toc174971960"/>
      <w:bookmarkStart w:id="35" w:name="_Toc174977721"/>
      <w:r>
        <w:rPr>
          <w:rStyle w:val="CharSectno"/>
        </w:rPr>
        <w:t>14</w:t>
      </w:r>
      <w:r>
        <w:rPr>
          <w:snapToGrid w:val="0"/>
        </w:rPr>
        <w:t>.</w:t>
      </w:r>
      <w:r>
        <w:rPr>
          <w:snapToGrid w:val="0"/>
        </w:rPr>
        <w:tab/>
        <w:t>Power to hold inquiries</w:t>
      </w:r>
      <w:bookmarkEnd w:id="34"/>
      <w:bookmarkEnd w:id="35"/>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lastRenderedPageBreak/>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36" w:name="_Toc174971961"/>
      <w:bookmarkStart w:id="37" w:name="_Toc174977722"/>
      <w:r>
        <w:rPr>
          <w:rStyle w:val="CharSectno"/>
        </w:rPr>
        <w:t>15</w:t>
      </w:r>
      <w:r>
        <w:rPr>
          <w:snapToGrid w:val="0"/>
        </w:rPr>
        <w:t>.</w:t>
      </w:r>
      <w:r>
        <w:rPr>
          <w:snapToGrid w:val="0"/>
        </w:rPr>
        <w:tab/>
        <w:t>Determination, notification and appeal</w:t>
      </w:r>
      <w:bookmarkEnd w:id="36"/>
      <w:bookmarkEnd w:id="37"/>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38" w:name="_Toc174971962"/>
      <w:bookmarkStart w:id="39" w:name="_Toc174977723"/>
      <w:r>
        <w:rPr>
          <w:rStyle w:val="CharSectno"/>
        </w:rPr>
        <w:lastRenderedPageBreak/>
        <w:t>16</w:t>
      </w:r>
      <w:r>
        <w:rPr>
          <w:snapToGrid w:val="0"/>
        </w:rPr>
        <w:t>.</w:t>
      </w:r>
      <w:r>
        <w:rPr>
          <w:snapToGrid w:val="0"/>
        </w:rPr>
        <w:tab/>
        <w:t>Enforcement</w:t>
      </w:r>
      <w:bookmarkEnd w:id="38"/>
      <w:bookmarkEnd w:id="39"/>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24"/>
          <w:headerReference w:type="default" r:id="rId25"/>
          <w:headerReference w:type="first" r:id="rId26"/>
          <w:pgSz w:w="11907" w:h="16840" w:code="9"/>
          <w:pgMar w:top="2381" w:right="2409" w:bottom="3543" w:left="2409" w:header="720" w:footer="3544" w:gutter="0"/>
          <w:pgNumType w:start="1"/>
          <w:cols w:space="720"/>
          <w:noEndnote/>
          <w:titlePg/>
          <w:docGrid w:linePitch="326"/>
        </w:sectPr>
      </w:pPr>
    </w:p>
    <w:p>
      <w:pPr>
        <w:pStyle w:val="nHeading2"/>
      </w:pPr>
      <w:bookmarkStart w:id="40" w:name="_Toc174971174"/>
      <w:bookmarkStart w:id="41" w:name="_Toc174971963"/>
      <w:bookmarkStart w:id="42" w:name="_Toc174972050"/>
      <w:bookmarkStart w:id="43" w:name="_Toc174974706"/>
      <w:bookmarkStart w:id="44" w:name="_Toc174977724"/>
      <w:r>
        <w:lastRenderedPageBreak/>
        <w:t>Notes</w:t>
      </w:r>
      <w:bookmarkEnd w:id="40"/>
      <w:bookmarkEnd w:id="41"/>
      <w:bookmarkEnd w:id="42"/>
      <w:bookmarkEnd w:id="43"/>
      <w:bookmarkEnd w:id="44"/>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 w:name="_Toc174971964"/>
      <w:bookmarkStart w:id="46" w:name="_Toc174977725"/>
      <w:r>
        <w:t>Compilation table</w:t>
      </w:r>
      <w:bookmarkEnd w:id="45"/>
      <w:bookmarkEnd w:id="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c>
          <w:tcPr>
            <w:tcW w:w="3090" w:type="dxa"/>
            <w:tcBorders>
              <w:top w:val="nil"/>
              <w:bottom w:val="nil"/>
            </w:tcBorders>
          </w:tcPr>
          <w:p>
            <w:pPr>
              <w:pStyle w:val="nTable"/>
              <w:spacing w:after="40"/>
              <w:rPr>
                <w:i/>
              </w:rPr>
            </w:pPr>
            <w:r>
              <w:rPr>
                <w:i/>
              </w:rPr>
              <w:t>Local Government Regulations Amendment Regulations 2022</w:t>
            </w:r>
            <w:r>
              <w:t xml:space="preserve"> Pt. 5 (other than Div. 3)</w:t>
            </w:r>
          </w:p>
        </w:tc>
        <w:tc>
          <w:tcPr>
            <w:tcW w:w="1305" w:type="dxa"/>
            <w:gridSpan w:val="2"/>
            <w:tcBorders>
              <w:top w:val="nil"/>
              <w:bottom w:val="nil"/>
            </w:tcBorders>
          </w:tcPr>
          <w:p>
            <w:pPr>
              <w:pStyle w:val="nTable"/>
              <w:spacing w:after="40"/>
            </w:pPr>
            <w:r>
              <w:t>SL 2022/177 2 Nov 2022</w:t>
            </w:r>
          </w:p>
        </w:tc>
        <w:tc>
          <w:tcPr>
            <w:tcW w:w="2693" w:type="dxa"/>
            <w:tcBorders>
              <w:top w:val="nil"/>
              <w:bottom w:val="nil"/>
            </w:tcBorders>
          </w:tcPr>
          <w:p>
            <w:pPr>
              <w:pStyle w:val="nTable"/>
              <w:spacing w:after="40"/>
            </w:pPr>
            <w:r>
              <w:t>3 Nov 2022 (see r. 2(b) and SL 2022/175 cl. 2)</w:t>
            </w:r>
          </w:p>
        </w:tc>
      </w:tr>
      <w:tr>
        <w:tc>
          <w:tcPr>
            <w:tcW w:w="7088" w:type="dxa"/>
            <w:gridSpan w:val="4"/>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color w:val="FF0000"/>
              </w:rPr>
              <w:t xml:space="preserve">Local Government (Long Service Leave) Regulations 2024 </w:t>
            </w:r>
            <w:r>
              <w:rPr>
                <w:b/>
                <w:bCs/>
                <w:iCs/>
                <w:color w:val="FF0000"/>
              </w:rPr>
              <w:t>r. 27</w:t>
            </w:r>
            <w:r>
              <w:rPr>
                <w:b/>
                <w:bCs/>
                <w:i/>
                <w:color w:val="FF0000"/>
              </w:rPr>
              <w:t xml:space="preserve"> </w:t>
            </w:r>
            <w:r>
              <w:rPr>
                <w:b/>
                <w:bCs/>
                <w:iCs/>
                <w:color w:val="FF0000"/>
              </w:rPr>
              <w:t>(SL 2024/51) on 1 Sep 2024 (see r. 2(b))</w:t>
            </w:r>
          </w:p>
        </w:tc>
      </w:tr>
    </w:tbl>
    <w:p>
      <w:pPr>
        <w:pStyle w:val="nHeading3"/>
      </w:pPr>
      <w:bookmarkStart w:id="47" w:name="_Toc174971965"/>
      <w:bookmarkStart w:id="48" w:name="_Toc174977726"/>
      <w:r>
        <w:lastRenderedPageBreak/>
        <w:t>Uncommenced provisions table</w:t>
      </w:r>
      <w:bookmarkEnd w:id="47"/>
      <w:bookmarkEnd w:id="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5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bl>
    <w:p>
      <w:pPr>
        <w:pStyle w:val="nHeading3"/>
      </w:pPr>
      <w:bookmarkStart w:id="49" w:name="_Toc174971966"/>
      <w:bookmarkStart w:id="50" w:name="_Toc174977727"/>
      <w:r>
        <w:t>Other notes</w:t>
      </w:r>
      <w:bookmarkEnd w:id="49"/>
      <w:bookmarkEnd w:id="50"/>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2" w:name="_Toc174971178"/>
      <w:bookmarkStart w:id="53" w:name="_Toc174971967"/>
      <w:bookmarkStart w:id="54" w:name="_Toc174972054"/>
      <w:bookmarkStart w:id="55" w:name="_Toc174974710"/>
      <w:bookmarkStart w:id="56" w:name="_Toc174977728"/>
      <w:r>
        <w:rPr>
          <w:sz w:val="28"/>
        </w:rPr>
        <w:lastRenderedPageBreak/>
        <w:t>Defined terms</w:t>
      </w:r>
      <w:bookmarkEnd w:id="52"/>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7A(1)</w:t>
      </w:r>
    </w:p>
    <w:p>
      <w:pPr>
        <w:pStyle w:val="DefinedTerms"/>
      </w:pPr>
      <w:r>
        <w:t>advance leave</w:t>
      </w:r>
      <w:r>
        <w:tab/>
        <w:t>7A(1)</w:t>
      </w:r>
    </w:p>
    <w:p>
      <w:pPr>
        <w:pStyle w:val="DefinedTerms"/>
      </w:pPr>
      <w:r>
        <w:t>Commission in Court Session</w:t>
      </w:r>
      <w:r>
        <w:tab/>
        <w:t>2</w:t>
      </w:r>
    </w:p>
    <w:p>
      <w:pPr>
        <w:pStyle w:val="DefinedTerms"/>
      </w:pPr>
      <w:r>
        <w:t>cost</w:t>
      </w:r>
      <w:r>
        <w:tab/>
        <w:t>9(1)</w:t>
      </w:r>
    </w:p>
    <w:p>
      <w:pPr>
        <w:pStyle w:val="DefinedTerms"/>
      </w:pPr>
      <w:r>
        <w:t>effective date</w:t>
      </w:r>
      <w:r>
        <w:tab/>
        <w:t>2</w:t>
      </w:r>
    </w:p>
    <w:p>
      <w:pPr>
        <w:pStyle w:val="DefinedTerms"/>
      </w:pPr>
      <w:r>
        <w:t>employer</w:t>
      </w:r>
      <w:r>
        <w:tab/>
        <w:t>2</w:t>
      </w:r>
    </w:p>
    <w:p>
      <w:pPr>
        <w:pStyle w:val="DefinedTerms"/>
      </w:pPr>
      <w:r>
        <w:t>long service benefit</w:t>
      </w:r>
      <w:r>
        <w:tab/>
        <w:t>2</w:t>
      </w:r>
    </w:p>
    <w:p>
      <w:pPr>
        <w:pStyle w:val="DefinedTerms"/>
      </w:pPr>
      <w:r>
        <w:t>Minister</w:t>
      </w:r>
      <w:r>
        <w:tab/>
        <w:t>2</w:t>
      </w:r>
    </w:p>
    <w:p>
      <w:pPr>
        <w:pStyle w:val="DefinedTerms"/>
      </w:pPr>
      <w:r>
        <w:t>municipality</w:t>
      </w:r>
      <w:r>
        <w:tab/>
        <w:t>2</w:t>
      </w:r>
    </w:p>
    <w:p>
      <w:pPr>
        <w:pStyle w:val="DefinedTerms"/>
      </w:pPr>
      <w:r>
        <w:t>national service</w:t>
      </w:r>
      <w:r>
        <w:tab/>
        <w:t>2</w:t>
      </w:r>
    </w:p>
    <w:p>
      <w:pPr>
        <w:pStyle w:val="DefinedTerms"/>
      </w:pPr>
      <w:r>
        <w:t>Registrar</w:t>
      </w:r>
      <w:r>
        <w:tab/>
        <w:t>2</w:t>
      </w:r>
    </w:p>
    <w:p>
      <w:pPr>
        <w:pStyle w:val="DefinedTerms"/>
      </w:pPr>
      <w:r>
        <w:t>superseded long service benefits scheme</w:t>
      </w:r>
      <w:r>
        <w:tab/>
        <w:t>2</w:t>
      </w:r>
    </w:p>
    <w:p>
      <w:pPr>
        <w:pStyle w:val="DefinedTerms"/>
      </w:pPr>
      <w:r>
        <w:t>the Board</w:t>
      </w:r>
      <w:r>
        <w:tab/>
        <w:t>2</w:t>
      </w:r>
    </w:p>
    <w:p>
      <w:pPr>
        <w:pStyle w:val="DefinedTerms"/>
      </w:pPr>
      <w:r>
        <w:t>worker</w:t>
      </w:r>
      <w:r>
        <w:tab/>
        <w:t>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84E6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4C2EB4A" w14:textId="693FF3F4" w:rsidR="00652C3D" w:rsidRDefault="005D51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4839">
                        <w:rPr>
                          <w:sz w:val="16"/>
                        </w:rPr>
                        <w:t>2024</w:t>
                      </w:r>
                      <w:r>
                        <w:rPr>
                          <w:sz w:val="16"/>
                        </w:rPr>
                        <w:fldChar w:fldCharType="end"/>
                      </w:r>
                      <w:r>
                        <w:rPr>
                          <w:sz w:val="16"/>
                        </w:rPr>
                        <w:t>.</w:t>
                      </w:r>
                    </w:p>
                    <w:p w14:paraId="64C92CBA" w14:textId="77777777" w:rsidR="00652C3D" w:rsidRDefault="005D51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C5DA47" w14:textId="519E988E" w:rsidR="00652C3D" w:rsidRDefault="005D51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4839">
                        <w:rPr>
                          <w:sz w:val="16"/>
                        </w:rPr>
                        <w:t>2024</w:t>
                      </w:r>
                      <w:r>
                        <w:rPr>
                          <w:sz w:val="16"/>
                        </w:rPr>
                        <w:fldChar w:fldCharType="end"/>
                      </w:r>
                      <w:r>
                        <w:rPr>
                          <w:sz w:val="16"/>
                        </w:rPr>
                        <w:t>.</w:t>
                      </w:r>
                    </w:p>
                    <w:p w14:paraId="05538F31" w14:textId="77777777" w:rsidR="00652C3D" w:rsidRDefault="005D51F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44335"/>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 w:name="WAFER_2024041210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12105914_GUID" w:val="d6f60ede-47bf-4578-98f8-474f4d4bdb08"/>
    <w:docVar w:name="WAFER_20240819144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4335_GUID" w:val="fd26d8cc-48a9-41d3-af5d-87b0198d8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1D5A-0C58-4A75-BE3A-5360F400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5230</Words>
  <Characters>25053</Characters>
  <Application>Microsoft Office Word</Application>
  <DocSecurity>0</DocSecurity>
  <Lines>677</Lines>
  <Paragraphs>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- 01-e0-00</dc:title>
  <dc:subject/>
  <dc:creator/>
  <cp:keywords/>
  <dc:description/>
  <cp:lastModifiedBy>Master Repository Process</cp:lastModifiedBy>
  <cp:revision>4</cp:revision>
  <cp:lastPrinted>2001-06-19T03:35:00Z</cp:lastPrinted>
  <dcterms:created xsi:type="dcterms:W3CDTF">2025-06-20T03:38:00Z</dcterms:created>
  <dcterms:modified xsi:type="dcterms:W3CDTF">2025-06-20T03:38:00Z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AsAtDate">
    <vt:lpwstr>01 Sep 2024</vt:lpwstr>
  </property>
  <property fmtid="{D5CDD505-2E9C-101B-9397-08002B2CF9AE}" pid="5" name="Suffix">
    <vt:lpwstr>01-e0-00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