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_Toc175049900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_Toc175049901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_Toc175049902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_Toc175049903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_Toc175049904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_Toc175049907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_Toc175049909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_Toc175049911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_Toc175049912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_Toc175049914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_Toc175049915 \h </w:instrText>
      </w:r>
      <w:r>
        <w:fldChar w:fldCharType="separate"/>
      </w:r>
      <w:r>
        <w:t>9</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_Toc175049916 \h </w:instrText>
      </w:r>
      <w:r>
        <w:fldChar w:fldCharType="separate"/>
      </w:r>
      <w:r>
        <w:t>10</w:t>
      </w:r>
      <w:r>
        <w:fldChar w:fldCharType="end"/>
      </w:r>
    </w:p>
    <w:p>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_Toc175049917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Reviewing decisions by a registrar</w:t>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_Toc175049919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Dealing with the application</w:t>
      </w:r>
      <w:r>
        <w:tab/>
      </w:r>
      <w:r>
        <w:fldChar w:fldCharType="begin"/>
      </w:r>
      <w:r>
        <w:instrText xml:space="preserve"> PAGEREF _Toc175049920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Consequences of non</w:t>
      </w:r>
      <w:r>
        <w:noBreakHyphen/>
        <w:t>attendance by party</w:t>
      </w:r>
      <w:r>
        <w:tab/>
      </w:r>
      <w:r>
        <w:fldChar w:fldCharType="begin"/>
      </w:r>
      <w:r>
        <w:instrText xml:space="preserve"> PAGEREF _Toc175049922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Decisions made in absence of party</w:t>
      </w:r>
      <w:r>
        <w:tab/>
      </w:r>
      <w:r>
        <w:fldChar w:fldCharType="begin"/>
      </w:r>
      <w:r>
        <w:instrText xml:space="preserve"> PAGEREF _Toc175049923 \h </w:instrText>
      </w:r>
      <w:r>
        <w:fldChar w:fldCharType="separate"/>
      </w:r>
      <w:r>
        <w:t>12</w:t>
      </w:r>
      <w:r>
        <w:fldChar w:fldCharType="end"/>
      </w:r>
    </w:p>
    <w:p>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_Toc175049924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Completion of forms</w:t>
      </w:r>
      <w:r>
        <w:tab/>
      </w:r>
      <w:r>
        <w:fldChar w:fldCharType="begin"/>
      </w:r>
      <w:r>
        <w:instrText xml:space="preserve"> PAGEREF _Toc175049926 \h </w:instrText>
      </w:r>
      <w:r>
        <w:fldChar w:fldCharType="separate"/>
      </w:r>
      <w:r>
        <w:t>15</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_Toc175049927 \h </w:instrText>
      </w:r>
      <w:r>
        <w:fldChar w:fldCharType="separate"/>
      </w:r>
      <w:r>
        <w:t>16</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_Toc175049928 \h </w:instrText>
      </w:r>
      <w:r>
        <w:fldChar w:fldCharType="separate"/>
      </w:r>
      <w:r>
        <w:t>17</w:t>
      </w:r>
      <w:r>
        <w:fldChar w:fldCharType="end"/>
      </w:r>
    </w:p>
    <w:p>
      <w:pPr>
        <w:pStyle w:val="TOC8"/>
        <w:rPr>
          <w:rFonts w:asciiTheme="minorHAnsi" w:eastAsiaTheme="minorEastAsia" w:hAnsiTheme="minorHAnsi" w:cstheme="minorBidi"/>
          <w:szCs w:val="22"/>
        </w:rPr>
      </w:pPr>
      <w:r>
        <w:t>22A.</w:t>
      </w:r>
      <w:r>
        <w:tab/>
        <w:t>Service of documents</w:t>
      </w:r>
      <w:r>
        <w:tab/>
      </w:r>
      <w:r>
        <w:fldChar w:fldCharType="begin"/>
      </w:r>
      <w:r>
        <w:instrText xml:space="preserve"> PAGEREF _Toc175049929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legal practitioners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_Toc175049931 \h </w:instrText>
      </w:r>
      <w:r>
        <w:fldChar w:fldCharType="separate"/>
      </w:r>
      <w:r>
        <w:t>19</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_Toc175049932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_Toc175049935 \h </w:instrText>
      </w:r>
      <w:r>
        <w:fldChar w:fldCharType="separate"/>
      </w:r>
      <w:r>
        <w:t>21</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_Toc175049936 \h </w:instrText>
      </w:r>
      <w:r>
        <w:fldChar w:fldCharType="separate"/>
      </w:r>
      <w:r>
        <w:t>21</w:t>
      </w:r>
      <w:r>
        <w:fldChar w:fldCharType="end"/>
      </w:r>
    </w:p>
    <w:p>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_Toc175049937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26B.</w:t>
      </w:r>
      <w:r>
        <w:tab/>
        <w:t>Term used: alleged evidence</w:t>
      </w:r>
      <w:r>
        <w:tab/>
      </w:r>
      <w:r>
        <w:fldChar w:fldCharType="begin"/>
      </w:r>
      <w:r>
        <w:instrText xml:space="preserve"> PAGEREF _Toc175049939 \h </w:instrText>
      </w:r>
      <w:r>
        <w:fldChar w:fldCharType="separate"/>
      </w:r>
      <w:r>
        <w:t>22</w:t>
      </w:r>
      <w:r>
        <w:fldChar w:fldCharType="end"/>
      </w:r>
    </w:p>
    <w:p>
      <w:pPr>
        <w:pStyle w:val="TOC8"/>
        <w:rPr>
          <w:rFonts w:asciiTheme="minorHAnsi" w:eastAsiaTheme="minorEastAsia" w:hAnsiTheme="minorHAnsi" w:cstheme="minorBidi"/>
          <w:szCs w:val="22"/>
        </w:rPr>
      </w:pPr>
      <w:r>
        <w:t>27.</w:t>
      </w:r>
      <w:r>
        <w:tab/>
        <w:t>When appeal is commenced</w:t>
      </w:r>
      <w:r>
        <w:tab/>
      </w:r>
      <w:r>
        <w:fldChar w:fldCharType="begin"/>
      </w:r>
      <w:r>
        <w:instrText xml:space="preserve"> PAGEREF _Toc175049940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Commencing appeal under </w:t>
      </w:r>
      <w:r>
        <w:rPr>
          <w:i/>
        </w:rPr>
        <w:t>Criminal Appeals Act 2004</w:t>
      </w:r>
      <w:r>
        <w:t xml:space="preserve"> Part 2 Division 3 or Part 3</w:t>
      </w:r>
      <w:r>
        <w:tab/>
      </w:r>
      <w:r>
        <w:fldChar w:fldCharType="begin"/>
      </w:r>
      <w:r>
        <w:instrText xml:space="preserve"> PAGEREF _Toc175049941 \h </w:instrText>
      </w:r>
      <w:r>
        <w:fldChar w:fldCharType="separate"/>
      </w:r>
      <w:r>
        <w:t>22</w:t>
      </w:r>
      <w:r>
        <w:fldChar w:fldCharType="end"/>
      </w:r>
    </w:p>
    <w:p>
      <w:pPr>
        <w:pStyle w:val="TOC8"/>
        <w:rPr>
          <w:rFonts w:asciiTheme="minorHAnsi" w:eastAsiaTheme="minorEastAsia" w:hAnsiTheme="minorHAnsi" w:cstheme="minorBidi"/>
          <w:szCs w:val="22"/>
        </w:rPr>
      </w:pPr>
      <w:r>
        <w:t>28A.</w:t>
      </w:r>
      <w:r>
        <w:tab/>
        <w:t xml:space="preserve">Commencing appeal under </w:t>
      </w:r>
      <w:r>
        <w:rPr>
          <w:i/>
        </w:rPr>
        <w:t>Criminal Appeals Act 2004</w:t>
      </w:r>
      <w:r>
        <w:t xml:space="preserve"> Part 3A</w:t>
      </w:r>
      <w:r>
        <w:tab/>
      </w:r>
      <w:r>
        <w:fldChar w:fldCharType="begin"/>
      </w:r>
      <w:r>
        <w:instrText xml:space="preserve"> PAGEREF _Toc175049942 \h </w:instrText>
      </w:r>
      <w:r>
        <w:fldChar w:fldCharType="separate"/>
      </w:r>
      <w:r>
        <w:t>23</w:t>
      </w:r>
      <w:r>
        <w:fldChar w:fldCharType="end"/>
      </w:r>
    </w:p>
    <w:p>
      <w:pPr>
        <w:pStyle w:val="TOC8"/>
        <w:rPr>
          <w:rFonts w:asciiTheme="minorHAnsi" w:eastAsiaTheme="minorEastAsia" w:hAnsiTheme="minorHAnsi" w:cstheme="minorBidi"/>
          <w:szCs w:val="22"/>
        </w:rPr>
      </w:pPr>
      <w:r>
        <w:t>29.</w:t>
      </w:r>
      <w:r>
        <w:tab/>
        <w:t>Commencing civil appeal</w:t>
      </w:r>
      <w:r>
        <w:tab/>
      </w:r>
      <w:r>
        <w:fldChar w:fldCharType="begin"/>
      </w:r>
      <w:r>
        <w:instrText xml:space="preserve"> PAGEREF _Toc175049943 \h </w:instrText>
      </w:r>
      <w:r>
        <w:fldChar w:fldCharType="separate"/>
      </w:r>
      <w:r>
        <w:t>24</w:t>
      </w:r>
      <w:r>
        <w:fldChar w:fldCharType="end"/>
      </w:r>
    </w:p>
    <w:p>
      <w:pPr>
        <w:pStyle w:val="TOC8"/>
        <w:rPr>
          <w:rFonts w:asciiTheme="minorHAnsi" w:eastAsiaTheme="minorEastAsia" w:hAnsiTheme="minorHAnsi" w:cstheme="minorBidi"/>
          <w:szCs w:val="22"/>
        </w:rPr>
      </w:pPr>
      <w:r>
        <w:t>29A.</w:t>
      </w:r>
      <w:r>
        <w:tab/>
        <w:t>Service of appeal documents</w:t>
      </w:r>
      <w:r>
        <w:tab/>
      </w:r>
      <w:r>
        <w:fldChar w:fldCharType="begin"/>
      </w:r>
      <w:r>
        <w:instrText xml:space="preserve"> PAGEREF _Toc175049944 \h </w:instrText>
      </w:r>
      <w:r>
        <w:fldChar w:fldCharType="separate"/>
      </w:r>
      <w:r>
        <w:t>25</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_Toc175049945 \h </w:instrText>
      </w:r>
      <w:r>
        <w:fldChar w:fldCharType="separate"/>
      </w:r>
      <w:r>
        <w:t>25</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_Toc175049946 \h </w:instrText>
      </w:r>
      <w:r>
        <w:fldChar w:fldCharType="separate"/>
      </w:r>
      <w:r>
        <w:t>26</w:t>
      </w:r>
      <w:r>
        <w:fldChar w:fldCharType="end"/>
      </w:r>
    </w:p>
    <w:p>
      <w:pPr>
        <w:pStyle w:val="TOC8"/>
        <w:rPr>
          <w:rFonts w:asciiTheme="minorHAnsi" w:eastAsiaTheme="minorEastAsia" w:hAnsiTheme="minorHAnsi" w:cstheme="minorBidi"/>
          <w:szCs w:val="22"/>
        </w:rPr>
      </w:pPr>
      <w:r>
        <w:t>31A.</w:t>
      </w:r>
      <w:r>
        <w:tab/>
        <w:t>Cross appeals</w:t>
      </w:r>
      <w:r>
        <w:tab/>
      </w:r>
      <w:r>
        <w:fldChar w:fldCharType="begin"/>
      </w:r>
      <w:r>
        <w:instrText xml:space="preserve"> PAGEREF _Toc175049947 \h </w:instrText>
      </w:r>
      <w:r>
        <w:fldChar w:fldCharType="separate"/>
      </w:r>
      <w:r>
        <w:t>27</w:t>
      </w:r>
      <w:r>
        <w:fldChar w:fldCharType="end"/>
      </w:r>
    </w:p>
    <w:p>
      <w:pPr>
        <w:pStyle w:val="TOC8"/>
        <w:rPr>
          <w:rFonts w:asciiTheme="minorHAnsi" w:eastAsiaTheme="minorEastAsia" w:hAnsiTheme="minorHAnsi" w:cstheme="minorBidi"/>
          <w:szCs w:val="22"/>
        </w:rPr>
      </w:pPr>
      <w:r>
        <w:t>31B.</w:t>
      </w:r>
      <w:r>
        <w:tab/>
        <w:t>Time within which to file “Appellant’s case”</w:t>
      </w:r>
      <w:r>
        <w:tab/>
      </w:r>
      <w:r>
        <w:fldChar w:fldCharType="begin"/>
      </w:r>
      <w:r>
        <w:instrText xml:space="preserve"> PAGEREF _Toc175049948 \h </w:instrText>
      </w:r>
      <w:r>
        <w:fldChar w:fldCharType="separate"/>
      </w:r>
      <w:r>
        <w:t>27</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_Toc175049949 \h </w:instrText>
      </w:r>
      <w:r>
        <w:fldChar w:fldCharType="separate"/>
      </w:r>
      <w:r>
        <w:t>28</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_Toc175049950 \h </w:instrText>
      </w:r>
      <w:r>
        <w:fldChar w:fldCharType="separate"/>
      </w:r>
      <w:r>
        <w:t>32</w:t>
      </w:r>
      <w:r>
        <w:fldChar w:fldCharType="end"/>
      </w:r>
    </w:p>
    <w:p>
      <w:pPr>
        <w:pStyle w:val="TOC8"/>
        <w:rPr>
          <w:rFonts w:asciiTheme="minorHAnsi" w:eastAsiaTheme="minorEastAsia" w:hAnsiTheme="minorHAnsi" w:cstheme="minorBidi"/>
          <w:szCs w:val="22"/>
        </w:rPr>
      </w:pPr>
      <w:r>
        <w:t>34.</w:t>
      </w:r>
      <w:r>
        <w:tab/>
        <w:t>When “Appellant’s reply to respondent’s notice of contention” is required</w:t>
      </w:r>
      <w:r>
        <w:tab/>
      </w:r>
      <w:r>
        <w:fldChar w:fldCharType="begin"/>
      </w:r>
      <w:r>
        <w:instrText xml:space="preserve"> PAGEREF _Toc175049951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_Toc175049953 \h </w:instrText>
      </w:r>
      <w:r>
        <w:fldChar w:fldCharType="separate"/>
      </w:r>
      <w:r>
        <w:t>36</w:t>
      </w:r>
      <w:r>
        <w:fldChar w:fldCharType="end"/>
      </w:r>
    </w:p>
    <w:p>
      <w:pPr>
        <w:pStyle w:val="TOC8"/>
        <w:rPr>
          <w:rFonts w:asciiTheme="minorHAnsi" w:eastAsiaTheme="minorEastAsia" w:hAnsiTheme="minorHAnsi" w:cstheme="minorBidi"/>
          <w:szCs w:val="22"/>
        </w:rPr>
      </w:pPr>
      <w:r>
        <w:t>36.</w:t>
      </w:r>
      <w:r>
        <w:tab/>
        <w:t>Settling of indexes</w:t>
      </w:r>
      <w:r>
        <w:tab/>
      </w:r>
      <w:r>
        <w:fldChar w:fldCharType="begin"/>
      </w:r>
      <w:r>
        <w:instrText xml:space="preserve"> PAGEREF _Toc175049954 \h </w:instrText>
      </w:r>
      <w:r>
        <w:fldChar w:fldCharType="separate"/>
      </w:r>
      <w:r>
        <w:t>37</w:t>
      </w:r>
      <w:r>
        <w:fldChar w:fldCharType="end"/>
      </w:r>
    </w:p>
    <w:p>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_Toc175049955 \h </w:instrText>
      </w:r>
      <w:r>
        <w:fldChar w:fldCharType="separate"/>
      </w:r>
      <w:r>
        <w:t>38</w:t>
      </w:r>
      <w:r>
        <w:fldChar w:fldCharType="end"/>
      </w:r>
    </w:p>
    <w:p>
      <w:pPr>
        <w:pStyle w:val="TOC8"/>
        <w:rPr>
          <w:rFonts w:asciiTheme="minorHAnsi" w:eastAsiaTheme="minorEastAsia" w:hAnsiTheme="minorHAnsi" w:cstheme="minorBidi"/>
          <w:szCs w:val="22"/>
        </w:rPr>
      </w:pPr>
      <w:r>
        <w:t>38.</w:t>
      </w:r>
      <w:r>
        <w:tab/>
        <w:t>Contents of appeal book</w:t>
      </w:r>
      <w:r>
        <w:tab/>
      </w:r>
      <w:r>
        <w:fldChar w:fldCharType="begin"/>
      </w:r>
      <w:r>
        <w:instrText xml:space="preserve"> PAGEREF _Toc175049956 \h </w:instrText>
      </w:r>
      <w:r>
        <w:fldChar w:fldCharType="separate"/>
      </w:r>
      <w:r>
        <w:t>38</w:t>
      </w:r>
      <w:r>
        <w:fldChar w:fldCharType="end"/>
      </w:r>
    </w:p>
    <w:p>
      <w:pPr>
        <w:pStyle w:val="TOC8"/>
        <w:rPr>
          <w:rFonts w:asciiTheme="minorHAnsi" w:eastAsiaTheme="minorEastAsia" w:hAnsiTheme="minorHAnsi" w:cstheme="minorBidi"/>
          <w:szCs w:val="22"/>
        </w:rPr>
      </w:pPr>
      <w:r>
        <w:t>39.</w:t>
      </w:r>
      <w:r>
        <w:tab/>
        <w:t>Technical requirements for appeal books</w:t>
      </w:r>
      <w:r>
        <w:tab/>
      </w:r>
      <w:r>
        <w:fldChar w:fldCharType="begin"/>
      </w:r>
      <w:r>
        <w:instrText xml:space="preserve"> PAGEREF _Toc175049957 \h </w:instrText>
      </w:r>
      <w:r>
        <w:fldChar w:fldCharType="separate"/>
      </w:r>
      <w:r>
        <w:t>42</w:t>
      </w:r>
      <w:r>
        <w:fldChar w:fldCharType="end"/>
      </w:r>
    </w:p>
    <w:p>
      <w:pPr>
        <w:pStyle w:val="TOC8"/>
        <w:rPr>
          <w:rFonts w:asciiTheme="minorHAnsi" w:eastAsiaTheme="minorEastAsia" w:hAnsiTheme="minorHAnsi" w:cstheme="minorBidi"/>
          <w:szCs w:val="22"/>
        </w:rPr>
      </w:pPr>
      <w:r>
        <w:t>40.</w:t>
      </w:r>
      <w:r>
        <w:tab/>
        <w:t>Sentence appeal, appeal book for</w:t>
      </w:r>
      <w:r>
        <w:tab/>
      </w:r>
      <w:r>
        <w:fldChar w:fldCharType="begin"/>
      </w:r>
      <w:r>
        <w:instrText xml:space="preserve"> PAGEREF _Toc175049958 \h </w:instrText>
      </w:r>
      <w:r>
        <w:fldChar w:fldCharType="separate"/>
      </w:r>
      <w:r>
        <w:t>44</w:t>
      </w:r>
      <w:r>
        <w:fldChar w:fldCharType="end"/>
      </w:r>
    </w:p>
    <w:p>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_Toc175049959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Matters prior to the hearing of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_Toc175049961 \h </w:instrText>
      </w:r>
      <w:r>
        <w:fldChar w:fldCharType="separate"/>
      </w:r>
      <w:r>
        <w:t>45</w:t>
      </w:r>
      <w:r>
        <w:fldChar w:fldCharType="end"/>
      </w:r>
    </w:p>
    <w:p>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_Toc175049962 \h </w:instrText>
      </w:r>
      <w:r>
        <w:fldChar w:fldCharType="separate"/>
      </w:r>
      <w:r>
        <w:t>45</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_Toc175049963 \h </w:instrText>
      </w:r>
      <w:r>
        <w:fldChar w:fldCharType="separate"/>
      </w:r>
      <w:r>
        <w:t>45</w:t>
      </w:r>
      <w:r>
        <w:fldChar w:fldCharType="end"/>
      </w:r>
    </w:p>
    <w:p>
      <w:pPr>
        <w:pStyle w:val="TOC8"/>
        <w:rPr>
          <w:rFonts w:asciiTheme="minorHAnsi" w:eastAsiaTheme="minorEastAsia" w:hAnsiTheme="minorHAnsi" w:cstheme="minorBidi"/>
          <w:szCs w:val="22"/>
        </w:rPr>
      </w:pPr>
      <w:r>
        <w:t>44.</w:t>
      </w:r>
      <w:r>
        <w:tab/>
        <w:t>Applying for interim order</w:t>
      </w:r>
      <w:r>
        <w:tab/>
      </w:r>
      <w:r>
        <w:fldChar w:fldCharType="begin"/>
      </w:r>
      <w:r>
        <w:instrText xml:space="preserve"> PAGEREF _Toc175049964 \h </w:instrText>
      </w:r>
      <w:r>
        <w:fldChar w:fldCharType="separate"/>
      </w:r>
      <w:r>
        <w:t>47</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_Toc175049965 \h </w:instrText>
      </w:r>
      <w:r>
        <w:fldChar w:fldCharType="separate"/>
      </w:r>
      <w:r>
        <w:t>48</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_Toc175049966 \h </w:instrText>
      </w:r>
      <w:r>
        <w:fldChar w:fldCharType="separate"/>
      </w:r>
      <w:r>
        <w:t>48</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_Toc175049967 \h </w:instrText>
      </w:r>
      <w:r>
        <w:fldChar w:fldCharType="separate"/>
      </w:r>
      <w:r>
        <w:t>49</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_Toc175049968 \h </w:instrText>
      </w:r>
      <w:r>
        <w:fldChar w:fldCharType="separate"/>
      </w:r>
      <w:r>
        <w:t>50</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_Toc175049969 \h </w:instrText>
      </w:r>
      <w:r>
        <w:fldChar w:fldCharType="separate"/>
      </w:r>
      <w:r>
        <w:t>50</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_Toc175049970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_Toc175049972 \h </w:instrText>
      </w:r>
      <w:r>
        <w:fldChar w:fldCharType="separate"/>
      </w:r>
      <w:r>
        <w:t>51</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_Toc175049973 \h </w:instrText>
      </w:r>
      <w:r>
        <w:fldChar w:fldCharType="separate"/>
      </w:r>
      <w:r>
        <w:t>51</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_Toc175049974 \h </w:instrText>
      </w:r>
      <w:r>
        <w:fldChar w:fldCharType="separate"/>
      </w:r>
      <w:r>
        <w:t>51</w:t>
      </w:r>
      <w:r>
        <w:fldChar w:fldCharType="end"/>
      </w:r>
    </w:p>
    <w:p>
      <w:pPr>
        <w:pStyle w:val="TOC8"/>
        <w:rPr>
          <w:rFonts w:asciiTheme="minorHAnsi" w:eastAsiaTheme="minorEastAsia" w:hAnsiTheme="minorHAnsi" w:cstheme="minorBidi"/>
          <w:szCs w:val="22"/>
        </w:rPr>
      </w:pPr>
      <w:r>
        <w:t>54.</w:t>
      </w:r>
      <w:r>
        <w:tab/>
        <w:t xml:space="preserve">Orders made under </w:t>
      </w:r>
      <w:r>
        <w:rPr>
          <w:i/>
        </w:rPr>
        <w:t>Criminal Appeals Act 2004</w:t>
      </w:r>
      <w:r>
        <w:tab/>
      </w:r>
      <w:r>
        <w:fldChar w:fldCharType="begin"/>
      </w:r>
      <w:r>
        <w:instrText xml:space="preserve"> PAGEREF _Toc175049975 \h </w:instrText>
      </w:r>
      <w:r>
        <w:fldChar w:fldCharType="separate"/>
      </w:r>
      <w:r>
        <w:t>51</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_Toc175049976 \h </w:instrText>
      </w:r>
      <w:r>
        <w:fldChar w:fldCharType="separate"/>
      </w:r>
      <w:r>
        <w:t>52</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_Toc175049977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_Toc175049979 \h </w:instrText>
      </w:r>
      <w:r>
        <w:fldChar w:fldCharType="separate"/>
      </w:r>
      <w:r>
        <w:t>54</w:t>
      </w:r>
      <w:r>
        <w:fldChar w:fldCharType="end"/>
      </w:r>
    </w:p>
    <w:p>
      <w:pPr>
        <w:pStyle w:val="TOC8"/>
        <w:rPr>
          <w:rFonts w:asciiTheme="minorHAnsi" w:eastAsiaTheme="minorEastAsia" w:hAnsiTheme="minorHAnsi" w:cstheme="minorBidi"/>
          <w:szCs w:val="22"/>
        </w:rPr>
      </w:pPr>
      <w:r>
        <w:t>58.</w:t>
      </w:r>
      <w:r>
        <w:tab/>
        <w:t>Hearings by audio link or video link</w:t>
      </w:r>
      <w:r>
        <w:tab/>
      </w:r>
      <w:r>
        <w:fldChar w:fldCharType="begin"/>
      </w:r>
      <w:r>
        <w:instrText xml:space="preserve"> PAGEREF _Toc175049980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_Toc175049982 \h </w:instrText>
      </w:r>
      <w:r>
        <w:fldChar w:fldCharType="separate"/>
      </w:r>
      <w:r>
        <w:t>55</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_Toc175049983 \h </w:instrText>
      </w:r>
      <w:r>
        <w:fldChar w:fldCharType="separate"/>
      </w:r>
      <w:r>
        <w:t>56</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_Toc175049984 \h </w:instrText>
      </w:r>
      <w:r>
        <w:fldChar w:fldCharType="separate"/>
      </w:r>
      <w:r>
        <w:t>56</w:t>
      </w:r>
      <w:r>
        <w:fldChar w:fldCharType="end"/>
      </w:r>
    </w:p>
    <w:p>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_Toc175049985 \h </w:instrText>
      </w:r>
      <w:r>
        <w:fldChar w:fldCharType="separate"/>
      </w:r>
      <w:r>
        <w:t>56</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_Toc175049986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64.</w:t>
      </w:r>
      <w:r>
        <w:tab/>
        <w:t>Return of records and things</w:t>
      </w:r>
      <w:r>
        <w:tab/>
      </w:r>
      <w:r>
        <w:fldChar w:fldCharType="begin"/>
      </w:r>
      <w:r>
        <w:instrText xml:space="preserve"> PAGEREF _Toc175049987 \h </w:instrText>
      </w:r>
      <w:r>
        <w:fldChar w:fldCharType="separate"/>
      </w:r>
      <w:r>
        <w:t>58</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_Toc175049988 \h </w:instrText>
      </w:r>
      <w:r>
        <w:fldChar w:fldCharType="separate"/>
      </w:r>
      <w:r>
        <w:t>59</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_Toc175049989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_Toc175049991 \h </w:instrText>
      </w:r>
      <w:r>
        <w:fldChar w:fldCharType="separate"/>
      </w:r>
      <w:r>
        <w:t>61</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_Toc175049992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_Toc175049994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w:t>
      </w:r>
      <w:r>
        <w:rPr>
          <w:i/>
        </w:rPr>
        <w:t>Criminal Appeals Act 2004</w:t>
      </w:r>
      <w:r>
        <w:t xml:space="preserve"> Pt. 2 Div. 3 and Pt. 3) (r. 28)</w:t>
      </w:r>
      <w:r>
        <w:tab/>
      </w:r>
      <w:r>
        <w:fldChar w:fldCharType="begin"/>
      </w:r>
      <w:r>
        <w:instrText xml:space="preserve"> PAGEREF _Toc175049996 \h </w:instrText>
      </w:r>
      <w:r>
        <w:fldChar w:fldCharType="separate"/>
      </w:r>
      <w:r>
        <w:t>65</w:t>
      </w:r>
      <w:r>
        <w:fldChar w:fldCharType="end"/>
      </w:r>
    </w:p>
    <w:p>
      <w:pPr>
        <w:pStyle w:val="TOC8"/>
        <w:rPr>
          <w:rFonts w:asciiTheme="minorHAnsi" w:eastAsiaTheme="minorEastAsia" w:hAnsiTheme="minorHAnsi" w:cstheme="minorBidi"/>
          <w:szCs w:val="22"/>
        </w:rPr>
      </w:pPr>
      <w:r>
        <w:t>1A.</w:t>
      </w:r>
      <w:r>
        <w:tab/>
        <w:t>Appeal notice (</w:t>
      </w:r>
      <w:r>
        <w:rPr>
          <w:i/>
        </w:rPr>
        <w:t>Criminal Appeals Act 2004</w:t>
      </w:r>
      <w:r>
        <w:t xml:space="preserve"> Pt. 3A) (r. 28A)</w:t>
      </w:r>
      <w:r>
        <w:tab/>
      </w:r>
      <w:r>
        <w:fldChar w:fldCharType="begin"/>
      </w:r>
      <w:r>
        <w:instrText xml:space="preserve"> PAGEREF _Toc175049997 \h </w:instrText>
      </w:r>
      <w:r>
        <w:fldChar w:fldCharType="separate"/>
      </w:r>
      <w:r>
        <w:t>66</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_Toc175049998 \h </w:instrText>
      </w:r>
      <w:r>
        <w:fldChar w:fldCharType="separate"/>
      </w:r>
      <w:r>
        <w:t>68</w:t>
      </w:r>
      <w:r>
        <w:fldChar w:fldCharType="end"/>
      </w:r>
    </w:p>
    <w:p>
      <w:pPr>
        <w:pStyle w:val="TOC8"/>
        <w:rPr>
          <w:rFonts w:asciiTheme="minorHAnsi" w:eastAsiaTheme="minorEastAsia" w:hAnsiTheme="minorHAnsi" w:cstheme="minorBidi"/>
          <w:szCs w:val="22"/>
        </w:rPr>
      </w:pPr>
      <w:r>
        <w:t>3.</w:t>
      </w:r>
      <w:r>
        <w:tab/>
        <w:t>Service certificate (r. 29A(2))</w:t>
      </w:r>
      <w:r>
        <w:tab/>
      </w:r>
      <w:r>
        <w:fldChar w:fldCharType="begin"/>
      </w:r>
      <w:r>
        <w:instrText xml:space="preserve"> PAGEREF _Toc175049999 \h </w:instrText>
      </w:r>
      <w:r>
        <w:fldChar w:fldCharType="separate"/>
      </w:r>
      <w:r>
        <w:t>69</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_Toc175050000 \h </w:instrText>
      </w:r>
      <w:r>
        <w:fldChar w:fldCharType="separate"/>
      </w:r>
      <w:r>
        <w:t>70</w:t>
      </w:r>
      <w:r>
        <w:fldChar w:fldCharType="end"/>
      </w:r>
    </w:p>
    <w:p>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_Toc175050001 \h </w:instrText>
      </w:r>
      <w:r>
        <w:fldChar w:fldCharType="separate"/>
      </w:r>
      <w:r>
        <w:t>70</w:t>
      </w:r>
      <w:r>
        <w:fldChar w:fldCharType="end"/>
      </w:r>
    </w:p>
    <w:p>
      <w:pPr>
        <w:pStyle w:val="TOC8"/>
        <w:rPr>
          <w:rFonts w:asciiTheme="minorHAnsi" w:eastAsiaTheme="minorEastAsia" w:hAnsiTheme="minorHAnsi" w:cstheme="minorBidi"/>
          <w:szCs w:val="22"/>
        </w:rPr>
      </w:pPr>
      <w:r>
        <w:t>5.</w:t>
      </w:r>
      <w:r>
        <w:tab/>
        <w:t>Legal practitioner’s notice of acting (Part 4)</w:t>
      </w:r>
      <w:r>
        <w:tab/>
      </w:r>
      <w:r>
        <w:fldChar w:fldCharType="begin"/>
      </w:r>
      <w:r>
        <w:instrText xml:space="preserve"> PAGEREF _Toc175050002 \h </w:instrText>
      </w:r>
      <w:r>
        <w:fldChar w:fldCharType="separate"/>
      </w:r>
      <w:r>
        <w:t>71</w:t>
      </w:r>
      <w:r>
        <w:fldChar w:fldCharType="end"/>
      </w:r>
    </w:p>
    <w:p>
      <w:pPr>
        <w:pStyle w:val="TOC8"/>
        <w:rPr>
          <w:rFonts w:asciiTheme="minorHAnsi" w:eastAsiaTheme="minorEastAsia" w:hAnsiTheme="minorHAnsi" w:cstheme="minorBidi"/>
          <w:szCs w:val="22"/>
        </w:rPr>
      </w:pPr>
      <w:r>
        <w:t>5A.</w:t>
      </w:r>
      <w:r>
        <w:tab/>
        <w:t>Service certificate by legal practitioner ceasing to act (r. 24(3))</w:t>
      </w:r>
      <w:r>
        <w:tab/>
      </w:r>
      <w:r>
        <w:fldChar w:fldCharType="begin"/>
      </w:r>
      <w:r>
        <w:instrText xml:space="preserve"> PAGEREF _Toc175050003 \h </w:instrText>
      </w:r>
      <w:r>
        <w:fldChar w:fldCharType="separate"/>
      </w:r>
      <w:r>
        <w:t>71</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_Toc175050004 \h </w:instrText>
      </w:r>
      <w:r>
        <w:fldChar w:fldCharType="separate"/>
      </w:r>
      <w:r>
        <w:t>72</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_Toc175050005 \h </w:instrText>
      </w:r>
      <w:r>
        <w:fldChar w:fldCharType="separate"/>
      </w:r>
      <w:r>
        <w:t>73</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_Toc175050006 \h </w:instrText>
      </w:r>
      <w:r>
        <w:fldChar w:fldCharType="separate"/>
      </w:r>
      <w:r>
        <w:t>74</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_Toc175050007 \h </w:instrText>
      </w:r>
      <w:r>
        <w:fldChar w:fldCharType="separate"/>
      </w:r>
      <w:r>
        <w:t>74</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_Toc175050008 \h </w:instrText>
      </w:r>
      <w:r>
        <w:fldChar w:fldCharType="separate"/>
      </w:r>
      <w:r>
        <w:t>75</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_Toc175050009 \h </w:instrText>
      </w:r>
      <w:r>
        <w:fldChar w:fldCharType="separate"/>
      </w:r>
      <w:r>
        <w:t>76</w:t>
      </w:r>
      <w:r>
        <w:fldChar w:fldCharType="end"/>
      </w:r>
    </w:p>
    <w:p>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_Toc175050010 \h </w:instrText>
      </w:r>
      <w:r>
        <w:fldChar w:fldCharType="separate"/>
      </w:r>
      <w:r>
        <w:t>76</w:t>
      </w:r>
      <w:r>
        <w:fldChar w:fldCharType="end"/>
      </w:r>
    </w:p>
    <w:p>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_Toc175050011 \h </w:instrText>
      </w:r>
      <w:r>
        <w:fldChar w:fldCharType="separate"/>
      </w:r>
      <w:r>
        <w:t>77</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_Toc175050012 \h </w:instrText>
      </w:r>
      <w:r>
        <w:fldChar w:fldCharType="separate"/>
      </w:r>
      <w:r>
        <w:t>77</w:t>
      </w:r>
      <w:r>
        <w:fldChar w:fldCharType="end"/>
      </w:r>
    </w:p>
    <w:p>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_Toc175050013 \h </w:instrText>
      </w:r>
      <w:r>
        <w:fldChar w:fldCharType="separate"/>
      </w:r>
      <w:r>
        <w:t>78</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_Toc175050014 \h </w:instrText>
      </w:r>
      <w:r>
        <w:fldChar w:fldCharType="separate"/>
      </w:r>
      <w:r>
        <w:t>79</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_Toc175050015 \h </w:instrText>
      </w:r>
      <w:r>
        <w:fldChar w:fldCharType="separate"/>
      </w:r>
      <w:r>
        <w:t>79</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_Toc175050016 \h </w:instrText>
      </w:r>
      <w:r>
        <w:fldChar w:fldCharType="separate"/>
      </w:r>
      <w:r>
        <w:t>80</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_Toc175050017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_Toc175050019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2" w:name="_Toc175044993"/>
      <w:bookmarkStart w:id="3" w:name="_Toc175045887"/>
      <w:bookmarkStart w:id="4" w:name="_Toc175046009"/>
      <w:bookmarkStart w:id="5" w:name="_Toc1750498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5049900"/>
      <w:r>
        <w:rPr>
          <w:rStyle w:val="CharSectno"/>
        </w:rPr>
        <w:t>1</w:t>
      </w:r>
      <w:r>
        <w:t>.</w:t>
      </w:r>
      <w:r>
        <w:tab/>
        <w:t>Citation</w:t>
      </w:r>
      <w:bookmarkEnd w:id="6"/>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7" w:name="_Toc175049901"/>
      <w:r>
        <w:rPr>
          <w:rStyle w:val="CharSectno"/>
        </w:rPr>
        <w:t>2</w:t>
      </w:r>
      <w:r>
        <w:rPr>
          <w:spacing w:val="-2"/>
        </w:rPr>
        <w:t>.</w:t>
      </w:r>
      <w:r>
        <w:rPr>
          <w:spacing w:val="-2"/>
        </w:rPr>
        <w:tab/>
        <w:t>Commencement</w:t>
      </w:r>
      <w:bookmarkEnd w:id="7"/>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8" w:name="_Toc175049902"/>
      <w:r>
        <w:rPr>
          <w:rStyle w:val="CharSectno"/>
        </w:rPr>
        <w:t>3</w:t>
      </w:r>
      <w:r>
        <w:t>.</w:t>
      </w:r>
      <w:r>
        <w:tab/>
        <w:t>Interpretation</w:t>
      </w:r>
      <w:bookmarkEnd w:id="8"/>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1A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lastRenderedPageBreak/>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Part 3 or 3A;</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lastRenderedPageBreak/>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 SL 2022/74 r. 17; SL 2022/209 r. 4.]</w:t>
      </w:r>
    </w:p>
    <w:p>
      <w:pPr>
        <w:pStyle w:val="Heading5"/>
      </w:pPr>
      <w:bookmarkStart w:id="9" w:name="_Toc175049903"/>
      <w:r>
        <w:rPr>
          <w:rStyle w:val="CharSectno"/>
        </w:rPr>
        <w:t>4</w:t>
      </w:r>
      <w:r>
        <w:t>.</w:t>
      </w:r>
      <w:r>
        <w:tab/>
        <w:t>Application of these rules</w:t>
      </w:r>
      <w:bookmarkEnd w:id="9"/>
    </w:p>
    <w:p>
      <w:pPr>
        <w:pStyle w:val="Subsection"/>
      </w:pPr>
      <w:r>
        <w:tab/>
        <w:t>(1)</w:t>
      </w:r>
      <w:r>
        <w:tab/>
        <w:t>These rules apply to and in respect of any CA matter.</w:t>
      </w:r>
    </w:p>
    <w:p>
      <w:pPr>
        <w:pStyle w:val="Ednotesubsection"/>
      </w:pPr>
      <w:r>
        <w:tab/>
        <w:t>[(2)</w:t>
      </w:r>
      <w:r>
        <w:tab/>
        <w:t>deleted]</w:t>
      </w:r>
    </w:p>
    <w:p>
      <w:pPr>
        <w:pStyle w:val="Subsection"/>
        <w:keepNext/>
      </w:pPr>
      <w:r>
        <w:lastRenderedPageBreak/>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10" w:name="_Toc175049904"/>
      <w:r>
        <w:rPr>
          <w:rStyle w:val="CharSectno"/>
        </w:rPr>
        <w:t>5</w:t>
      </w:r>
      <w:r>
        <w:t>.</w:t>
      </w:r>
      <w:r>
        <w:tab/>
        <w:t xml:space="preserve">Application of the </w:t>
      </w:r>
      <w:r>
        <w:rPr>
          <w:i/>
        </w:rPr>
        <w:t>Rules of the Supreme Court 1971</w:t>
      </w:r>
      <w:bookmarkEnd w:id="10"/>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1" w:name="_Toc175044999"/>
      <w:bookmarkStart w:id="12" w:name="_Toc175045893"/>
      <w:bookmarkStart w:id="13" w:name="_Toc175046015"/>
      <w:bookmarkStart w:id="14" w:name="_Toc175049905"/>
      <w:r>
        <w:rPr>
          <w:rStyle w:val="CharPartNo"/>
        </w:rPr>
        <w:lastRenderedPageBreak/>
        <w:t>Part 2</w:t>
      </w:r>
      <w:r>
        <w:t> — </w:t>
      </w:r>
      <w:r>
        <w:rPr>
          <w:rStyle w:val="CharPartText"/>
        </w:rPr>
        <w:t>Delegated jurisdiction</w:t>
      </w:r>
      <w:bookmarkEnd w:id="11"/>
      <w:bookmarkEnd w:id="12"/>
      <w:bookmarkEnd w:id="13"/>
      <w:bookmarkEnd w:id="14"/>
    </w:p>
    <w:p>
      <w:pPr>
        <w:pStyle w:val="Heading3"/>
      </w:pPr>
      <w:bookmarkStart w:id="15" w:name="_Toc175045000"/>
      <w:bookmarkStart w:id="16" w:name="_Toc175045894"/>
      <w:bookmarkStart w:id="17" w:name="_Toc175046016"/>
      <w:bookmarkStart w:id="18" w:name="_Toc175049906"/>
      <w:r>
        <w:rPr>
          <w:rStyle w:val="CharDivNo"/>
        </w:rPr>
        <w:t>Division 1</w:t>
      </w:r>
      <w:r>
        <w:t> — </w:t>
      </w:r>
      <w:r>
        <w:rPr>
          <w:rStyle w:val="CharDivText"/>
        </w:rPr>
        <w:t>General</w:t>
      </w:r>
      <w:bookmarkEnd w:id="15"/>
      <w:bookmarkEnd w:id="16"/>
      <w:bookmarkEnd w:id="17"/>
      <w:bookmarkEnd w:id="18"/>
    </w:p>
    <w:p>
      <w:pPr>
        <w:pStyle w:val="Heading5"/>
      </w:pPr>
      <w:bookmarkStart w:id="19" w:name="_Toc175049907"/>
      <w:r>
        <w:rPr>
          <w:rStyle w:val="CharSectno"/>
        </w:rPr>
        <w:t>5A</w:t>
      </w:r>
      <w:r>
        <w:t>.</w:t>
      </w:r>
      <w:r>
        <w:tab/>
        <w:t>Delegated jurisdiction may be exercised by Court of Appeal</w:t>
      </w:r>
      <w:bookmarkEnd w:id="19"/>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20" w:name="_Toc175045002"/>
      <w:bookmarkStart w:id="21" w:name="_Toc175045896"/>
      <w:bookmarkStart w:id="22" w:name="_Toc175046018"/>
      <w:bookmarkStart w:id="23" w:name="_Toc175049908"/>
      <w:r>
        <w:rPr>
          <w:rStyle w:val="CharDivNo"/>
        </w:rPr>
        <w:t>Division 2</w:t>
      </w:r>
      <w:r>
        <w:t> — </w:t>
      </w:r>
      <w:r>
        <w:rPr>
          <w:rStyle w:val="CharDivText"/>
        </w:rPr>
        <w:t>Single judge’s jurisdiction</w:t>
      </w:r>
      <w:bookmarkEnd w:id="20"/>
      <w:bookmarkEnd w:id="21"/>
      <w:bookmarkEnd w:id="22"/>
      <w:bookmarkEnd w:id="23"/>
    </w:p>
    <w:p>
      <w:pPr>
        <w:pStyle w:val="Heading5"/>
      </w:pPr>
      <w:bookmarkStart w:id="24" w:name="_Toc175049909"/>
      <w:r>
        <w:rPr>
          <w:rStyle w:val="CharSectno"/>
        </w:rPr>
        <w:t>7</w:t>
      </w:r>
      <w:r>
        <w:t>.</w:t>
      </w:r>
      <w:r>
        <w:tab/>
        <w:t>General jurisdiction</w:t>
      </w:r>
      <w:bookmarkEnd w:id="24"/>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lastRenderedPageBreak/>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in the exercise of jurisdiction under subrule (1)(b) or (c),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 SL 2022/209 r. 5.]</w:t>
      </w:r>
    </w:p>
    <w:p>
      <w:pPr>
        <w:pStyle w:val="Heading3"/>
      </w:pPr>
      <w:bookmarkStart w:id="25" w:name="_Toc175045004"/>
      <w:bookmarkStart w:id="26" w:name="_Toc175045898"/>
      <w:bookmarkStart w:id="27" w:name="_Toc175046020"/>
      <w:bookmarkStart w:id="28" w:name="_Toc175049910"/>
      <w:r>
        <w:rPr>
          <w:rStyle w:val="CharDivNo"/>
        </w:rPr>
        <w:t>Division 3</w:t>
      </w:r>
      <w:r>
        <w:t> — </w:t>
      </w:r>
      <w:r>
        <w:rPr>
          <w:rStyle w:val="CharDivText"/>
        </w:rPr>
        <w:t>Reviewing decisions by a single judge</w:t>
      </w:r>
      <w:bookmarkEnd w:id="25"/>
      <w:bookmarkEnd w:id="26"/>
      <w:bookmarkEnd w:id="27"/>
      <w:bookmarkEnd w:id="28"/>
    </w:p>
    <w:p>
      <w:pPr>
        <w:pStyle w:val="Heading5"/>
      </w:pPr>
      <w:bookmarkStart w:id="29" w:name="_Toc175049911"/>
      <w:r>
        <w:rPr>
          <w:rStyle w:val="CharSectno"/>
        </w:rPr>
        <w:t>8</w:t>
      </w:r>
      <w:r>
        <w:t>.</w:t>
      </w:r>
      <w:r>
        <w:tab/>
        <w:t>Application for review by Court of Appeal</w:t>
      </w:r>
      <w:bookmarkEnd w:id="29"/>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lastRenderedPageBreak/>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30" w:name="_Toc175049912"/>
      <w:r>
        <w:rPr>
          <w:rStyle w:val="CharSectno"/>
        </w:rPr>
        <w:t>9</w:t>
      </w:r>
      <w:r>
        <w:t>.</w:t>
      </w:r>
      <w:r>
        <w:tab/>
        <w:t>Dealing with the application</w:t>
      </w:r>
      <w:bookmarkEnd w:id="30"/>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31" w:name="_Toc175045007"/>
      <w:bookmarkStart w:id="32" w:name="_Toc175045901"/>
      <w:bookmarkStart w:id="33" w:name="_Toc175046023"/>
      <w:bookmarkStart w:id="34" w:name="_Toc175049913"/>
      <w:r>
        <w:rPr>
          <w:rStyle w:val="CharDivNo"/>
        </w:rPr>
        <w:t>Division 4</w:t>
      </w:r>
      <w:r>
        <w:t> — </w:t>
      </w:r>
      <w:r>
        <w:rPr>
          <w:rStyle w:val="CharDivText"/>
        </w:rPr>
        <w:t>Registrar’s jurisdiction</w:t>
      </w:r>
      <w:bookmarkEnd w:id="31"/>
      <w:bookmarkEnd w:id="32"/>
      <w:bookmarkEnd w:id="33"/>
      <w:bookmarkEnd w:id="34"/>
    </w:p>
    <w:p>
      <w:pPr>
        <w:pStyle w:val="Heading5"/>
      </w:pPr>
      <w:bookmarkStart w:id="35" w:name="_Toc175049914"/>
      <w:r>
        <w:rPr>
          <w:rStyle w:val="CharSectno"/>
        </w:rPr>
        <w:t>10</w:t>
      </w:r>
      <w:r>
        <w:t>.</w:t>
      </w:r>
      <w:r>
        <w:tab/>
        <w:t>General jurisdiction</w:t>
      </w:r>
      <w:bookmarkEnd w:id="35"/>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lastRenderedPageBreak/>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36" w:name="_Toc175049915"/>
      <w:r>
        <w:rPr>
          <w:rStyle w:val="CharSectno"/>
        </w:rPr>
        <w:t>11</w:t>
      </w:r>
      <w:r>
        <w:t>.</w:t>
      </w:r>
      <w:r>
        <w:tab/>
        <w:t>Registrar may refer questions to single judge or Court of Appeal</w:t>
      </w:r>
      <w:bookmarkEnd w:id="36"/>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lastRenderedPageBreak/>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37" w:name="_Toc175049916"/>
      <w:r>
        <w:rPr>
          <w:rStyle w:val="CharSectno"/>
        </w:rPr>
        <w:t>12</w:t>
      </w:r>
      <w:r>
        <w:t>.</w:t>
      </w:r>
      <w:r>
        <w:tab/>
        <w:t>Hearing before single judge or registrar, parties to be notified</w:t>
      </w:r>
      <w:bookmarkEnd w:id="37"/>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38" w:name="_Toc175049917"/>
      <w:r>
        <w:rPr>
          <w:rStyle w:val="CharSectno"/>
        </w:rPr>
        <w:t>13</w:t>
      </w:r>
      <w:r>
        <w:t>.</w:t>
      </w:r>
      <w:r>
        <w:tab/>
        <w:t>Written order by registrar, issue and service of</w:t>
      </w:r>
      <w:bookmarkEnd w:id="38"/>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lastRenderedPageBreak/>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39" w:name="_Toc175045012"/>
      <w:bookmarkStart w:id="40" w:name="_Toc175045906"/>
      <w:bookmarkStart w:id="41" w:name="_Toc175046028"/>
      <w:bookmarkStart w:id="42" w:name="_Toc175049918"/>
      <w:r>
        <w:rPr>
          <w:rStyle w:val="CharDivNo"/>
        </w:rPr>
        <w:t>Division 5</w:t>
      </w:r>
      <w:r>
        <w:t> — </w:t>
      </w:r>
      <w:r>
        <w:rPr>
          <w:rStyle w:val="CharDivText"/>
        </w:rPr>
        <w:t>Reviewing decisions by a registrar</w:t>
      </w:r>
      <w:bookmarkEnd w:id="39"/>
      <w:bookmarkEnd w:id="40"/>
      <w:bookmarkEnd w:id="41"/>
      <w:bookmarkEnd w:id="42"/>
    </w:p>
    <w:p>
      <w:pPr>
        <w:pStyle w:val="Footnoteheading"/>
      </w:pPr>
      <w:r>
        <w:tab/>
        <w:t>[Heading amended: Gazette 22 Aug 2017 p. 4544.]</w:t>
      </w:r>
    </w:p>
    <w:p>
      <w:pPr>
        <w:pStyle w:val="Ednotesection"/>
      </w:pPr>
      <w:r>
        <w:t>[</w:t>
      </w:r>
      <w:r>
        <w:rPr>
          <w:b/>
        </w:rPr>
        <w:t>14.</w:t>
      </w:r>
      <w:r>
        <w:tab/>
        <w:t>Deleted: SL 2022/60 r. 9.]</w:t>
      </w:r>
    </w:p>
    <w:p>
      <w:pPr>
        <w:pStyle w:val="Heading5"/>
      </w:pPr>
      <w:bookmarkStart w:id="43" w:name="_Toc175049919"/>
      <w:r>
        <w:rPr>
          <w:rStyle w:val="CharSectno"/>
        </w:rPr>
        <w:t>15</w:t>
      </w:r>
      <w:r>
        <w:t>.</w:t>
      </w:r>
      <w:r>
        <w:tab/>
        <w:t>Application for review by single judge</w:t>
      </w:r>
      <w:bookmarkEnd w:id="43"/>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lastRenderedPageBreak/>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44" w:name="_Toc175049920"/>
      <w:r>
        <w:rPr>
          <w:rStyle w:val="CharSectno"/>
        </w:rPr>
        <w:t>16</w:t>
      </w:r>
      <w:r>
        <w:t>.</w:t>
      </w:r>
      <w:r>
        <w:tab/>
        <w:t>Dealing with the application</w:t>
      </w:r>
      <w:bookmarkEnd w:id="44"/>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45" w:name="_Toc175045015"/>
      <w:bookmarkStart w:id="46" w:name="_Toc175045909"/>
      <w:bookmarkStart w:id="47" w:name="_Toc175046031"/>
      <w:bookmarkStart w:id="48" w:name="_Toc175049921"/>
      <w:r>
        <w:rPr>
          <w:rStyle w:val="CharDivNo"/>
        </w:rPr>
        <w:t>Division 6</w:t>
      </w:r>
      <w:r>
        <w:t> — </w:t>
      </w:r>
      <w:r>
        <w:rPr>
          <w:rStyle w:val="CharDivText"/>
        </w:rPr>
        <w:t>Miscellaneous</w:t>
      </w:r>
      <w:bookmarkEnd w:id="45"/>
      <w:bookmarkEnd w:id="46"/>
      <w:bookmarkEnd w:id="47"/>
      <w:bookmarkEnd w:id="48"/>
    </w:p>
    <w:p>
      <w:pPr>
        <w:pStyle w:val="Heading5"/>
      </w:pPr>
      <w:bookmarkStart w:id="49" w:name="_Toc175049922"/>
      <w:r>
        <w:rPr>
          <w:rStyle w:val="CharSectno"/>
        </w:rPr>
        <w:t>17</w:t>
      </w:r>
      <w:r>
        <w:t>.</w:t>
      </w:r>
      <w:r>
        <w:tab/>
        <w:t>Consequences of non</w:t>
      </w:r>
      <w:r>
        <w:noBreakHyphen/>
        <w:t>attendance by party</w:t>
      </w:r>
      <w:bookmarkEnd w:id="49"/>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legal practitioner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 SL 2022/74 r. 18.]</w:t>
      </w:r>
    </w:p>
    <w:p>
      <w:pPr>
        <w:pStyle w:val="Heading5"/>
      </w:pPr>
      <w:bookmarkStart w:id="50" w:name="_Toc175049923"/>
      <w:r>
        <w:rPr>
          <w:rStyle w:val="CharSectno"/>
        </w:rPr>
        <w:t>18</w:t>
      </w:r>
      <w:r>
        <w:t>.</w:t>
      </w:r>
      <w:r>
        <w:tab/>
        <w:t>Decisions made in absence of party</w:t>
      </w:r>
      <w:bookmarkEnd w:id="50"/>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lastRenderedPageBreak/>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51" w:name="_Toc175049924"/>
      <w:r>
        <w:rPr>
          <w:rStyle w:val="CharSectno"/>
        </w:rPr>
        <w:t>19</w:t>
      </w:r>
      <w:r>
        <w:t>.</w:t>
      </w:r>
      <w:r>
        <w:tab/>
        <w:t>Decisions made on the papers</w:t>
      </w:r>
      <w:bookmarkEnd w:id="51"/>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 xml:space="preserve">Any right to appeal against, or to make an application as a result of or in respect of, a final decision on a matter cannot be </w:t>
      </w:r>
      <w:r>
        <w:lastRenderedPageBreak/>
        <w:t>exercised in relation to a provisional decision until it becomes a final decision.</w:t>
      </w:r>
    </w:p>
    <w:p>
      <w:pPr>
        <w:pStyle w:val="Footnotesection"/>
      </w:pPr>
      <w:r>
        <w:tab/>
        <w:t>[Rule 19 amended: Gazette 22 Aug 2017 p. 4543; SL 2022/60 r. 13.]</w:t>
      </w:r>
    </w:p>
    <w:p>
      <w:pPr>
        <w:pStyle w:val="Heading2"/>
      </w:pPr>
      <w:bookmarkStart w:id="52" w:name="_Toc175045019"/>
      <w:bookmarkStart w:id="53" w:name="_Toc175045913"/>
      <w:bookmarkStart w:id="54" w:name="_Toc175046035"/>
      <w:bookmarkStart w:id="55" w:name="_Toc175049925"/>
      <w:r>
        <w:rPr>
          <w:rStyle w:val="CharPartNo"/>
        </w:rPr>
        <w:lastRenderedPageBreak/>
        <w:t>Part 3</w:t>
      </w:r>
      <w:r>
        <w:t> — </w:t>
      </w:r>
      <w:r>
        <w:rPr>
          <w:rStyle w:val="CharPartText"/>
        </w:rPr>
        <w:t>Administrative matters</w:t>
      </w:r>
      <w:bookmarkEnd w:id="52"/>
      <w:bookmarkEnd w:id="53"/>
      <w:bookmarkEnd w:id="54"/>
      <w:bookmarkEnd w:id="55"/>
    </w:p>
    <w:p>
      <w:pPr>
        <w:pStyle w:val="Heading5"/>
      </w:pPr>
      <w:bookmarkStart w:id="56" w:name="_Toc175049926"/>
      <w:r>
        <w:rPr>
          <w:rStyle w:val="CharSectno"/>
        </w:rPr>
        <w:t>20</w:t>
      </w:r>
      <w:r>
        <w:t>.</w:t>
      </w:r>
      <w:r>
        <w:tab/>
        <w:t>Completion of forms</w:t>
      </w:r>
      <w:bookmarkEnd w:id="56"/>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lastRenderedPageBreak/>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57" w:name="_Toc175049927"/>
      <w:r>
        <w:rPr>
          <w:rStyle w:val="CharSectno"/>
        </w:rPr>
        <w:t>21</w:t>
      </w:r>
      <w:r>
        <w:t>.</w:t>
      </w:r>
      <w:r>
        <w:tab/>
        <w:t>Filed documents, technical requirements</w:t>
      </w:r>
      <w:bookmarkEnd w:id="57"/>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lastRenderedPageBreak/>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58" w:name="_Toc175049928"/>
      <w:r>
        <w:rPr>
          <w:rStyle w:val="CharSectno"/>
        </w:rPr>
        <w:t>22</w:t>
      </w:r>
      <w:r>
        <w:t>.</w:t>
      </w:r>
      <w:r>
        <w:tab/>
        <w:t>Filed documents to be served</w:t>
      </w:r>
      <w:bookmarkEnd w:id="58"/>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59" w:name="_Toc175049929"/>
      <w:r>
        <w:rPr>
          <w:rStyle w:val="CharSectno"/>
        </w:rPr>
        <w:t>22A</w:t>
      </w:r>
      <w:r>
        <w:t>.</w:t>
      </w:r>
      <w:r>
        <w:tab/>
        <w:t>Service of documents</w:t>
      </w:r>
      <w:bookmarkEnd w:id="59"/>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 xml:space="preserve">if the person has given an email address for service or the court has an email address — by sending the </w:t>
      </w:r>
      <w:r>
        <w:lastRenderedPageBreak/>
        <w:t>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60" w:name="_Toc175045024"/>
      <w:bookmarkStart w:id="61" w:name="_Toc175045918"/>
      <w:bookmarkStart w:id="62" w:name="_Toc175046040"/>
      <w:bookmarkStart w:id="63" w:name="_Toc175049930"/>
      <w:r>
        <w:rPr>
          <w:rStyle w:val="CharPartNo"/>
        </w:rPr>
        <w:lastRenderedPageBreak/>
        <w:t>Part 4</w:t>
      </w:r>
      <w:r>
        <w:rPr>
          <w:rStyle w:val="CharDivNo"/>
        </w:rPr>
        <w:t> </w:t>
      </w:r>
      <w:r>
        <w:t>—</w:t>
      </w:r>
      <w:r>
        <w:rPr>
          <w:rStyle w:val="CharDivText"/>
        </w:rPr>
        <w:t> </w:t>
      </w:r>
      <w:r>
        <w:rPr>
          <w:rStyle w:val="CharPartText"/>
        </w:rPr>
        <w:t>Duties of legal practitioners who act for parties</w:t>
      </w:r>
      <w:bookmarkEnd w:id="60"/>
      <w:bookmarkEnd w:id="61"/>
      <w:bookmarkEnd w:id="62"/>
      <w:bookmarkEnd w:id="63"/>
    </w:p>
    <w:p>
      <w:pPr>
        <w:pStyle w:val="Footnoteheading"/>
      </w:pPr>
      <w:r>
        <w:tab/>
        <w:t>[Heading amended: SL 2022/74 r. 18.]</w:t>
      </w:r>
    </w:p>
    <w:p>
      <w:pPr>
        <w:pStyle w:val="Heading5"/>
      </w:pPr>
      <w:bookmarkStart w:id="64" w:name="_Toc175049931"/>
      <w:r>
        <w:rPr>
          <w:rStyle w:val="CharSectno"/>
        </w:rPr>
        <w:t>23</w:t>
      </w:r>
      <w:r>
        <w:t>.</w:t>
      </w:r>
      <w:r>
        <w:tab/>
        <w:t>Duty to notify when acting for a party</w:t>
      </w:r>
      <w:bookmarkEnd w:id="64"/>
    </w:p>
    <w:p>
      <w:pPr>
        <w:pStyle w:val="Subsection"/>
      </w:pPr>
      <w:r>
        <w:tab/>
        <w:t>(1)</w:t>
      </w:r>
      <w:r>
        <w:tab/>
        <w:t>On being instructed to act for a party to an appeal as a solicitor, whether or not also as counsel, a legal practitioner must file a Form 5 as soon as practicable.</w:t>
      </w:r>
    </w:p>
    <w:p>
      <w:pPr>
        <w:pStyle w:val="Subsection"/>
      </w:pPr>
      <w:r>
        <w:tab/>
        <w:t>(2)</w:t>
      </w:r>
      <w:r>
        <w:tab/>
        <w:t>Subrule (1) does not apply to a legal practitioner whose name and address for service is on a Form 1, 1A, 2 or 4 that has been filed.</w:t>
      </w:r>
    </w:p>
    <w:p>
      <w:pPr>
        <w:pStyle w:val="Footnotesection"/>
      </w:pPr>
      <w:r>
        <w:tab/>
        <w:t>[Rule 23 amended: SL 2022/74 r. 18; SL 2022/209 r. 6.]</w:t>
      </w:r>
    </w:p>
    <w:p>
      <w:pPr>
        <w:pStyle w:val="Heading5"/>
      </w:pPr>
      <w:bookmarkStart w:id="65" w:name="_Toc175049932"/>
      <w:r>
        <w:rPr>
          <w:rStyle w:val="CharSectno"/>
        </w:rPr>
        <w:t>24</w:t>
      </w:r>
      <w:r>
        <w:t>.</w:t>
      </w:r>
      <w:r>
        <w:tab/>
        <w:t>Presumptions as to who is acting for a party</w:t>
      </w:r>
      <w:bookmarkEnd w:id="65"/>
    </w:p>
    <w:p>
      <w:pPr>
        <w:pStyle w:val="Subsection"/>
      </w:pPr>
      <w:r>
        <w:tab/>
        <w:t>(1)</w:t>
      </w:r>
      <w:r>
        <w:tab/>
        <w:t xml:space="preserve">A legal practitioner who is said to be acting for a party by reason of a Form 1, 1A, 2, 4 or 5 that has been filed is to be taken to be acting for the party until — </w:t>
      </w:r>
    </w:p>
    <w:p>
      <w:pPr>
        <w:pStyle w:val="Indenta"/>
      </w:pPr>
      <w:r>
        <w:tab/>
        <w:t>(a)</w:t>
      </w:r>
      <w:r>
        <w:tab/>
        <w:t xml:space="preserve">another legal practitioner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legal practitioner to cease to act.</w:t>
      </w:r>
    </w:p>
    <w:p>
      <w:pPr>
        <w:pStyle w:val="Subsection"/>
      </w:pPr>
      <w:r>
        <w:tab/>
        <w:t>(2)</w:t>
      </w:r>
      <w:r>
        <w:tab/>
        <w:t>If the Court of Appeal gives leave for a legal practitioner to cease to act for a party, the legal practitioner is taken to be continuing to act for the party until the legal practitioner has complied with subrule (3).</w:t>
      </w:r>
    </w:p>
    <w:p>
      <w:pPr>
        <w:pStyle w:val="Subsection"/>
        <w:keepNext/>
      </w:pPr>
      <w:r>
        <w:tab/>
        <w:t>(3)</w:t>
      </w:r>
      <w:r>
        <w:tab/>
        <w:t>The legal practitioner must —</w:t>
      </w:r>
    </w:p>
    <w:p>
      <w:pPr>
        <w:pStyle w:val="Indenta"/>
      </w:pPr>
      <w:r>
        <w:tab/>
        <w:t>(a)</w:t>
      </w:r>
      <w:r>
        <w:tab/>
        <w:t>serve the order giving leave on the party; and</w:t>
      </w:r>
    </w:p>
    <w:p>
      <w:pPr>
        <w:pStyle w:val="Indenta"/>
        <w:keepNext/>
      </w:pPr>
      <w:r>
        <w:tab/>
        <w:t>(b)</w:t>
      </w:r>
      <w:r>
        <w:tab/>
        <w:t>file a Form 5A (Service certificate by legal practitioner ceasing to act) that —</w:t>
      </w:r>
    </w:p>
    <w:p>
      <w:pPr>
        <w:pStyle w:val="Indenti"/>
      </w:pPr>
      <w:r>
        <w:tab/>
        <w:t>(i)</w:t>
      </w:r>
      <w:r>
        <w:tab/>
        <w:t>certifies the party has been served; and</w:t>
      </w:r>
    </w:p>
    <w:p>
      <w:pPr>
        <w:pStyle w:val="Indenti"/>
      </w:pPr>
      <w:r>
        <w:lastRenderedPageBreak/>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legal practitioner files a Form 5 under rule 23 giving notice that the legal practitioner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Subrule (5) does not apply if, within the period referred to in subrule (5), a legal practitioner files a Form 5 under rule 23 giving notice that the legal practitioner is acting for the party.</w:t>
      </w:r>
    </w:p>
    <w:p>
      <w:pPr>
        <w:pStyle w:val="Footnotesection"/>
      </w:pPr>
      <w:r>
        <w:tab/>
        <w:t>[Rule 24 amended: Gazette 22 Aug 2017 p. 4522</w:t>
      </w:r>
      <w:r>
        <w:noBreakHyphen/>
        <w:t>3; SL 2022/60 r. 15; SL 2022/74 r. 18; SL 2022/209 r. 7.]</w:t>
      </w:r>
    </w:p>
    <w:p>
      <w:pPr>
        <w:pStyle w:val="Heading2"/>
      </w:pPr>
      <w:bookmarkStart w:id="66" w:name="_Toc175045027"/>
      <w:bookmarkStart w:id="67" w:name="_Toc175045921"/>
      <w:bookmarkStart w:id="68" w:name="_Toc175046043"/>
      <w:bookmarkStart w:id="69" w:name="_Toc175049933"/>
      <w:r>
        <w:rPr>
          <w:rStyle w:val="CharPartNo"/>
        </w:rPr>
        <w:lastRenderedPageBreak/>
        <w:t>Part 5</w:t>
      </w:r>
      <w:r>
        <w:t> — </w:t>
      </w:r>
      <w:r>
        <w:rPr>
          <w:rStyle w:val="CharPartText"/>
        </w:rPr>
        <w:t>Procedure for appeals</w:t>
      </w:r>
      <w:bookmarkEnd w:id="66"/>
      <w:bookmarkEnd w:id="67"/>
      <w:bookmarkEnd w:id="68"/>
      <w:bookmarkEnd w:id="69"/>
    </w:p>
    <w:p>
      <w:pPr>
        <w:pStyle w:val="Heading3"/>
      </w:pPr>
      <w:bookmarkStart w:id="70" w:name="_Toc175045028"/>
      <w:bookmarkStart w:id="71" w:name="_Toc175045922"/>
      <w:bookmarkStart w:id="72" w:name="_Toc175046044"/>
      <w:bookmarkStart w:id="73" w:name="_Toc175049934"/>
      <w:r>
        <w:rPr>
          <w:rStyle w:val="CharDivNo"/>
        </w:rPr>
        <w:t>Division 1</w:t>
      </w:r>
      <w:r>
        <w:t> — </w:t>
      </w:r>
      <w:r>
        <w:rPr>
          <w:rStyle w:val="CharDivText"/>
        </w:rPr>
        <w:t>General</w:t>
      </w:r>
      <w:bookmarkEnd w:id="70"/>
      <w:bookmarkEnd w:id="71"/>
      <w:bookmarkEnd w:id="72"/>
      <w:bookmarkEnd w:id="73"/>
    </w:p>
    <w:p>
      <w:pPr>
        <w:pStyle w:val="Heading5"/>
      </w:pPr>
      <w:bookmarkStart w:id="74" w:name="_Toc175049935"/>
      <w:r>
        <w:rPr>
          <w:rStyle w:val="CharSectno"/>
        </w:rPr>
        <w:t>25</w:t>
      </w:r>
      <w:r>
        <w:t>.</w:t>
      </w:r>
      <w:r>
        <w:tab/>
        <w:t>Nature of appeals</w:t>
      </w:r>
      <w:bookmarkEnd w:id="74"/>
    </w:p>
    <w:p>
      <w:pPr>
        <w:pStyle w:val="Subsection"/>
      </w:pPr>
      <w:r>
        <w:tab/>
      </w:r>
      <w:r>
        <w:tab/>
        <w:t>An appeal to the Court of Appeal will be by way of a rehearing unless another written law provides otherwise.</w:t>
      </w:r>
    </w:p>
    <w:p>
      <w:pPr>
        <w:pStyle w:val="Heading5"/>
      </w:pPr>
      <w:bookmarkStart w:id="75" w:name="_Toc175049936"/>
      <w:r>
        <w:rPr>
          <w:rStyle w:val="CharSectno"/>
        </w:rPr>
        <w:t>26</w:t>
      </w:r>
      <w:r>
        <w:t>.</w:t>
      </w:r>
      <w:r>
        <w:tab/>
        <w:t>Time for appealing</w:t>
      </w:r>
      <w:bookmarkEnd w:id="75"/>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76" w:name="_Toc175049937"/>
      <w:r>
        <w:rPr>
          <w:rStyle w:val="CharSectno"/>
        </w:rPr>
        <w:t>26A</w:t>
      </w:r>
      <w:r>
        <w:t>.</w:t>
      </w:r>
      <w:r>
        <w:tab/>
        <w:t>Parties to appeals</w:t>
      </w:r>
      <w:bookmarkEnd w:id="76"/>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77" w:name="_Toc175045032"/>
      <w:bookmarkStart w:id="78" w:name="_Toc175045926"/>
      <w:bookmarkStart w:id="79" w:name="_Toc175046048"/>
      <w:bookmarkStart w:id="80" w:name="_Toc175049938"/>
      <w:r>
        <w:rPr>
          <w:rStyle w:val="CharDivNo"/>
        </w:rPr>
        <w:lastRenderedPageBreak/>
        <w:t>Division 2</w:t>
      </w:r>
      <w:r>
        <w:t> — </w:t>
      </w:r>
      <w:r>
        <w:rPr>
          <w:rStyle w:val="CharDivText"/>
        </w:rPr>
        <w:t>Commencing an appeal</w:t>
      </w:r>
      <w:bookmarkEnd w:id="77"/>
      <w:bookmarkEnd w:id="78"/>
      <w:bookmarkEnd w:id="79"/>
      <w:bookmarkEnd w:id="80"/>
    </w:p>
    <w:p>
      <w:pPr>
        <w:pStyle w:val="Heading5"/>
      </w:pPr>
      <w:bookmarkStart w:id="81" w:name="_Toc175049939"/>
      <w:r>
        <w:rPr>
          <w:rStyle w:val="CharSectno"/>
        </w:rPr>
        <w:t>26B</w:t>
      </w:r>
      <w:r>
        <w:t>.</w:t>
      </w:r>
      <w:r>
        <w:tab/>
        <w:t>Term used: alleged evidence</w:t>
      </w:r>
      <w:bookmarkEnd w:id="81"/>
    </w:p>
    <w:p>
      <w:pPr>
        <w:pStyle w:val="Subsection"/>
        <w:keepNext/>
      </w:pPr>
      <w:r>
        <w:tab/>
      </w:r>
      <w:r>
        <w:tab/>
        <w:t xml:space="preserve">In this Division — </w:t>
      </w:r>
    </w:p>
    <w:p>
      <w:pPr>
        <w:pStyle w:val="Defstart"/>
        <w:keepNext/>
      </w:pPr>
      <w:r>
        <w:tab/>
      </w:r>
      <w:r>
        <w:rPr>
          <w:rStyle w:val="CharDefText"/>
        </w:rPr>
        <w:t>alleged evidence</w:t>
      </w:r>
      <w:r>
        <w:t xml:space="preserve"> means evidence that is alleged to be — </w:t>
      </w:r>
    </w:p>
    <w:p>
      <w:pPr>
        <w:pStyle w:val="Defpara"/>
      </w:pPr>
      <w:r>
        <w:tab/>
        <w:t>(a)</w:t>
      </w:r>
      <w:r>
        <w:tab/>
        <w:t>fresh and compelling; or</w:t>
      </w:r>
    </w:p>
    <w:p>
      <w:pPr>
        <w:pStyle w:val="Defpara"/>
      </w:pPr>
      <w:r>
        <w:tab/>
        <w:t>(b)</w:t>
      </w:r>
      <w:r>
        <w:tab/>
        <w:t>new and compelling.</w:t>
      </w:r>
    </w:p>
    <w:p>
      <w:pPr>
        <w:pStyle w:val="Footnotesection"/>
      </w:pPr>
      <w:r>
        <w:tab/>
        <w:t>[Rule 26B inserted: SL 2022/209 r. 8.]</w:t>
      </w:r>
    </w:p>
    <w:p>
      <w:pPr>
        <w:pStyle w:val="Heading5"/>
      </w:pPr>
      <w:bookmarkStart w:id="82" w:name="_Toc175049940"/>
      <w:r>
        <w:rPr>
          <w:rStyle w:val="CharSectno"/>
        </w:rPr>
        <w:t>27</w:t>
      </w:r>
      <w:r>
        <w:t>.</w:t>
      </w:r>
      <w:r>
        <w:tab/>
        <w:t>When appeal is commenced</w:t>
      </w:r>
      <w:bookmarkEnd w:id="82"/>
    </w:p>
    <w:p>
      <w:pPr>
        <w:pStyle w:val="Subsection"/>
      </w:pPr>
      <w:r>
        <w:tab/>
      </w:r>
      <w:r>
        <w:tab/>
        <w:t xml:space="preserve">An appeal is not commenced until an appeal notice (with any other document required by rule 28, 28A or 29) has been — </w:t>
      </w:r>
    </w:p>
    <w:p>
      <w:pPr>
        <w:pStyle w:val="Indenta"/>
      </w:pPr>
      <w:r>
        <w:tab/>
        <w:t>(a)</w:t>
      </w:r>
      <w:r>
        <w:tab/>
        <w:t>filed in accordance with rule 28, 28A or 29, as the case requires; and</w:t>
      </w:r>
    </w:p>
    <w:p>
      <w:pPr>
        <w:pStyle w:val="Indenta"/>
      </w:pPr>
      <w:r>
        <w:tab/>
        <w:t>(b)</w:t>
      </w:r>
      <w:r>
        <w:tab/>
        <w:t>served in accordance with rule 29A.</w:t>
      </w:r>
    </w:p>
    <w:p>
      <w:pPr>
        <w:pStyle w:val="Footnotesection"/>
      </w:pPr>
      <w:r>
        <w:tab/>
        <w:t>[Rule 27 inserted: SL 2022/209 r. 9.]</w:t>
      </w:r>
    </w:p>
    <w:p>
      <w:pPr>
        <w:pStyle w:val="Heading5"/>
      </w:pPr>
      <w:bookmarkStart w:id="83" w:name="_Toc175049941"/>
      <w:r>
        <w:rPr>
          <w:rStyle w:val="CharSectno"/>
        </w:rPr>
        <w:t>28</w:t>
      </w:r>
      <w:r>
        <w:t>.</w:t>
      </w:r>
      <w:r>
        <w:tab/>
        <w:t xml:space="preserve">Commencing appeal under </w:t>
      </w:r>
      <w:r>
        <w:rPr>
          <w:i/>
        </w:rPr>
        <w:t>Criminal Appeals Act 2004</w:t>
      </w:r>
      <w:r>
        <w:t xml:space="preserve"> Part 2 Division 3 or Part 3</w:t>
      </w:r>
      <w:bookmarkEnd w:id="83"/>
    </w:p>
    <w:p>
      <w:pPr>
        <w:pStyle w:val="Subsection"/>
      </w:pPr>
      <w:r>
        <w:tab/>
        <w:t>(1)</w:t>
      </w:r>
      <w:r>
        <w:tab/>
        <w:t xml:space="preserve">To commence an appeal, or to apply for an extension of time within which to commence an appeal, under the </w:t>
      </w:r>
      <w:r>
        <w:rPr>
          <w:i/>
        </w:rPr>
        <w:t xml:space="preserve">Criminal Appeals Act 2004 </w:t>
      </w:r>
      <w:r>
        <w:t>Part 2 Division 3 or Part 3 the appellant must file —</w:t>
      </w:r>
    </w:p>
    <w:p>
      <w:pPr>
        <w:pStyle w:val="Indenta"/>
      </w:pPr>
      <w:r>
        <w:tab/>
        <w:t>(a)</w:t>
      </w:r>
      <w:r>
        <w:tab/>
        <w:t>a Form 1; and</w:t>
      </w:r>
    </w:p>
    <w:p>
      <w:pPr>
        <w:pStyle w:val="Indenta"/>
      </w:pPr>
      <w:r>
        <w:tab/>
        <w:t>(b)</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lastRenderedPageBreak/>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When preparing the grounds of appeal for the “Appellant’s case” under rule 32, the appellant may amend or omit any of the draft grounds of appeal in the appellant’s Form 1, and may include additional grounds of appeal.</w:t>
      </w:r>
    </w:p>
    <w:p>
      <w:pPr>
        <w:pStyle w:val="Ednotesubsection"/>
      </w:pPr>
      <w:r>
        <w:tab/>
        <w:t>[(6), (7) deleted]</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16; SL 2022/74 r. 18; SL 2022/209 r. 10.]</w:t>
      </w:r>
    </w:p>
    <w:p>
      <w:pPr>
        <w:pStyle w:val="Heading5"/>
      </w:pPr>
      <w:bookmarkStart w:id="84" w:name="_Toc175049942"/>
      <w:r>
        <w:rPr>
          <w:rStyle w:val="CharSectno"/>
        </w:rPr>
        <w:t>28A</w:t>
      </w:r>
      <w:r>
        <w:t>.</w:t>
      </w:r>
      <w:r>
        <w:tab/>
        <w:t xml:space="preserve">Commencing appeal under </w:t>
      </w:r>
      <w:r>
        <w:rPr>
          <w:i/>
        </w:rPr>
        <w:t>Criminal Appeals Act 2004</w:t>
      </w:r>
      <w:r>
        <w:t xml:space="preserve"> Part 3A</w:t>
      </w:r>
      <w:bookmarkEnd w:id="84"/>
    </w:p>
    <w:p>
      <w:pPr>
        <w:pStyle w:val="Subsection"/>
      </w:pPr>
      <w:r>
        <w:tab/>
        <w:t>(1)</w:t>
      </w:r>
      <w:r>
        <w:tab/>
        <w:t xml:space="preserve">To commence an appeal under the </w:t>
      </w:r>
      <w:r>
        <w:rPr>
          <w:i/>
        </w:rPr>
        <w:t xml:space="preserve">Criminal Appeals Act 2004 </w:t>
      </w:r>
      <w:r>
        <w:t>Part 3A the appellant must file —</w:t>
      </w:r>
    </w:p>
    <w:p>
      <w:pPr>
        <w:pStyle w:val="Indenta"/>
      </w:pPr>
      <w:r>
        <w:tab/>
        <w:t>(a)</w:t>
      </w:r>
      <w:r>
        <w:tab/>
        <w:t>a Form 1A; and</w:t>
      </w:r>
    </w:p>
    <w:p>
      <w:pPr>
        <w:pStyle w:val="Indenta"/>
      </w:pPr>
      <w:r>
        <w:tab/>
        <w:t>(b)</w:t>
      </w:r>
      <w:r>
        <w:tab/>
        <w:t>an affidavit containing the information set out in subrule (2); and</w:t>
      </w:r>
    </w:p>
    <w:p>
      <w:pPr>
        <w:pStyle w:val="Indenta"/>
      </w:pPr>
      <w:r>
        <w:tab/>
        <w:t>(c)</w:t>
      </w:r>
      <w:r>
        <w:tab/>
        <w:t>the “Appellant’s case” in accordance with rule 32.</w:t>
      </w:r>
    </w:p>
    <w:p>
      <w:pPr>
        <w:pStyle w:val="Subsection"/>
      </w:pPr>
      <w:r>
        <w:tab/>
        <w:t>(2)</w:t>
      </w:r>
      <w:r>
        <w:tab/>
        <w:t xml:space="preserve">For the purposes of subrule (1)(b), the information is as follows — </w:t>
      </w:r>
    </w:p>
    <w:p>
      <w:pPr>
        <w:pStyle w:val="Indenta"/>
      </w:pPr>
      <w:r>
        <w:tab/>
        <w:t>(a)</w:t>
      </w:r>
      <w:r>
        <w:tab/>
        <w:t>details of all previous appeals against the conviction;</w:t>
      </w:r>
    </w:p>
    <w:p>
      <w:pPr>
        <w:pStyle w:val="Indenta"/>
      </w:pPr>
      <w:r>
        <w:tab/>
        <w:t>(b)</w:t>
      </w:r>
      <w:r>
        <w:tab/>
        <w:t>a statement of the issues in dispute at the trial, with reference to that part of the trial transcript which shows those issues to be in dispute;</w:t>
      </w:r>
    </w:p>
    <w:p>
      <w:pPr>
        <w:pStyle w:val="Indenta"/>
      </w:pPr>
      <w:r>
        <w:tab/>
        <w:t>(c)</w:t>
      </w:r>
      <w:r>
        <w:tab/>
        <w:t>the alleged evidence relating to the offence the subject of the conviction that is to be relied on in the appeal;</w:t>
      </w:r>
    </w:p>
    <w:p>
      <w:pPr>
        <w:pStyle w:val="Indenta"/>
      </w:pPr>
      <w:r>
        <w:lastRenderedPageBreak/>
        <w:tab/>
        <w:t>(d)</w:t>
      </w:r>
      <w:r>
        <w:tab/>
        <w:t>whether the evidence set out in accordance with paragraph (c) is alleged to be fresh and compelling, or new and compelling;</w:t>
      </w:r>
    </w:p>
    <w:p>
      <w:pPr>
        <w:pStyle w:val="Indenta"/>
      </w:pPr>
      <w:r>
        <w:tab/>
        <w:t>(e)</w:t>
      </w:r>
      <w:r>
        <w:tab/>
        <w:t>an explanation as to why the alleged evidence that is to be relied on in the appeal was not tendered during the trial or during any previous appeal;</w:t>
      </w:r>
    </w:p>
    <w:p>
      <w:pPr>
        <w:pStyle w:val="Indenta"/>
      </w:pPr>
      <w:r>
        <w:tab/>
        <w:t>(f)</w:t>
      </w:r>
      <w:r>
        <w:tab/>
        <w:t>when the appellant, and any legal practitioner representing the appellant, became aware of the alleged evidence that is to be relied on in the appeal;</w:t>
      </w:r>
    </w:p>
    <w:p>
      <w:pPr>
        <w:pStyle w:val="Indenta"/>
      </w:pPr>
      <w:r>
        <w:tab/>
        <w:t>(g)</w:t>
      </w:r>
      <w:r>
        <w:tab/>
        <w:t>if the evidence is alleged to be fresh and compelling — details, if any, of alleged negligence or incompetence of the legal practitioner representing the appellant at the trial;</w:t>
      </w:r>
    </w:p>
    <w:p>
      <w:pPr>
        <w:pStyle w:val="Indenta"/>
      </w:pPr>
      <w:r>
        <w:tab/>
        <w:t>(h)</w:t>
      </w:r>
      <w:r>
        <w:tab/>
        <w:t>a statement of information or belief as to whether, with the exercise of reasonable diligence, the alleged evidence could have been tendered at the trial.</w:t>
      </w:r>
    </w:p>
    <w:p>
      <w:pPr>
        <w:pStyle w:val="Subsection"/>
      </w:pPr>
      <w:r>
        <w:tab/>
        <w:t>(3)</w:t>
      </w:r>
      <w:r>
        <w:tab/>
        <w:t xml:space="preserve">A Form 1A may be filed together with an application, made in accordance with rule 44, for an interim order. </w:t>
      </w:r>
    </w:p>
    <w:p>
      <w:pPr>
        <w:pStyle w:val="Subsection"/>
      </w:pPr>
      <w:r>
        <w:tab/>
        <w:t>(4)</w:t>
      </w:r>
      <w:r>
        <w:tab/>
        <w:t xml:space="preserve">For the purposes of the </w:t>
      </w:r>
      <w:r>
        <w:rPr>
          <w:i/>
        </w:rPr>
        <w:t>Criminal Appeals Act 2004</w:t>
      </w:r>
      <w:r>
        <w:t xml:space="preserve"> section 35G(2), a Form 1A filed in accordance with this rule is taken to be an application for leave to appeal.</w:t>
      </w:r>
    </w:p>
    <w:p>
      <w:pPr>
        <w:pStyle w:val="Footnotesection"/>
      </w:pPr>
      <w:r>
        <w:tab/>
        <w:t>[Rule 28A inserted: SL 2022/209 r. 11.]</w:t>
      </w:r>
    </w:p>
    <w:p>
      <w:pPr>
        <w:pStyle w:val="Heading5"/>
      </w:pPr>
      <w:bookmarkStart w:id="85" w:name="_Toc175049943"/>
      <w:r>
        <w:rPr>
          <w:rStyle w:val="CharSectno"/>
        </w:rPr>
        <w:t>29</w:t>
      </w:r>
      <w:r>
        <w:t>.</w:t>
      </w:r>
      <w:r>
        <w:tab/>
        <w:t>Commencing civil appeal</w:t>
      </w:r>
      <w:bookmarkEnd w:id="85"/>
    </w:p>
    <w:p>
      <w:pPr>
        <w:pStyle w:val="Subsection"/>
      </w:pPr>
      <w:r>
        <w:tab/>
        <w:t>(1)</w:t>
      </w:r>
      <w:r>
        <w:tab/>
        <w:t>To commence a civil appeal, or to apply for an extension of time within which to commence a civil appeal, the appellant must file —</w:t>
      </w:r>
    </w:p>
    <w:p>
      <w:pPr>
        <w:pStyle w:val="Indenta"/>
      </w:pPr>
      <w:r>
        <w:tab/>
        <w:t>(a)</w:t>
      </w:r>
      <w:r>
        <w:tab/>
        <w:t>a Form 2; and</w:t>
      </w:r>
    </w:p>
    <w:p>
      <w:pPr>
        <w:pStyle w:val="Indenta"/>
      </w:pPr>
      <w:r>
        <w:tab/>
        <w:t>(b)</w:t>
      </w:r>
      <w:r>
        <w:tab/>
        <w:t>any document required by subrule (2); and</w:t>
      </w:r>
    </w:p>
    <w:p>
      <w:pPr>
        <w:pStyle w:val="Indenta"/>
      </w:pPr>
      <w:r>
        <w:tab/>
        <w:t>(c)</w:t>
      </w:r>
      <w:r>
        <w:tab/>
        <w:t xml:space="preserve">if the civil appeal is an appeal under the </w:t>
      </w:r>
      <w:r>
        <w:rPr>
          <w:i/>
        </w:rPr>
        <w:t>Criminal Law (Mental Impairment) Act 2023</w:t>
      </w:r>
      <w:r>
        <w:t xml:space="preserve"> Part 12 — a document that sets out the grounds of appeal.</w:t>
      </w:r>
    </w:p>
    <w:p>
      <w:pPr>
        <w:pStyle w:val="Subsection"/>
      </w:pPr>
      <w:r>
        <w:lastRenderedPageBreak/>
        <w:tab/>
        <w:t>(2)</w:t>
      </w:r>
      <w:r>
        <w:tab/>
        <w:t>If the Form 2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 xml:space="preserve">For the purposes of the </w:t>
      </w:r>
      <w:r>
        <w:rPr>
          <w:i/>
        </w:rPr>
        <w:t>Criminal Law (Mental Impairment) Act </w:t>
      </w:r>
      <w:r>
        <w:rPr>
          <w:i/>
          <w:iCs/>
        </w:rPr>
        <w:t>2023</w:t>
      </w:r>
      <w:r>
        <w:t xml:space="preserve"> section 214(4), a Form 2 filed in accordance with this rule, accompanied by a document that sets out the grounds of appeal, is taken to be an application for leave to appeal that sets out the grounds of the appeal.</w:t>
      </w:r>
    </w:p>
    <w:p>
      <w:pPr>
        <w:pStyle w:val="Ednotesubsection"/>
      </w:pPr>
      <w:r>
        <w:tab/>
        <w:t>[(4), (5) deleted]</w:t>
      </w:r>
    </w:p>
    <w:p>
      <w:pPr>
        <w:pStyle w:val="Footnotesection"/>
      </w:pPr>
      <w:r>
        <w:tab/>
        <w:t>[Rule 29 amended: Gazette 22 Aug 2017 p. 4523; SL 2022/74 r. 18; SL 2022/209 r. 12; SL 2024/166 r. 4.]</w:t>
      </w:r>
    </w:p>
    <w:p>
      <w:pPr>
        <w:pStyle w:val="Heading5"/>
      </w:pPr>
      <w:bookmarkStart w:id="86" w:name="_Toc175049944"/>
      <w:r>
        <w:rPr>
          <w:rStyle w:val="CharSectno"/>
        </w:rPr>
        <w:t>29A</w:t>
      </w:r>
      <w:r>
        <w:t>.</w:t>
      </w:r>
      <w:r>
        <w:tab/>
        <w:t>Service of appeal documents</w:t>
      </w:r>
      <w:bookmarkEnd w:id="86"/>
      <w:r>
        <w:t xml:space="preserve"> </w:t>
      </w:r>
    </w:p>
    <w:p>
      <w:pPr>
        <w:pStyle w:val="Subsection"/>
      </w:pPr>
      <w:r>
        <w:tab/>
        <w:t>(1)</w:t>
      </w:r>
      <w:r>
        <w:tab/>
        <w:t xml:space="preserve">Any document filed under rule 28, 28A or 29 — </w:t>
      </w:r>
    </w:p>
    <w:p>
      <w:pPr>
        <w:pStyle w:val="Indenta"/>
      </w:pPr>
      <w:r>
        <w:tab/>
        <w:t>(a)</w:t>
      </w:r>
      <w:r>
        <w:tab/>
        <w:t>must be served on the respondent personally; or</w:t>
      </w:r>
    </w:p>
    <w:p>
      <w:pPr>
        <w:pStyle w:val="Indenta"/>
      </w:pPr>
      <w:r>
        <w:tab/>
        <w:t>(b)</w:t>
      </w:r>
      <w:r>
        <w:tab/>
        <w:t>if the appellant is in custody — may be served on the respondent by post, fax or email.</w:t>
      </w:r>
    </w:p>
    <w:p>
      <w:pPr>
        <w:pStyle w:val="Subsection"/>
      </w:pPr>
      <w:r>
        <w:tab/>
        <w:t>(2)</w:t>
      </w:r>
      <w:r>
        <w:tab/>
        <w:t>As soon as practicable after serving the respondent the appellant must file a Form 3 (Service certificate).</w:t>
      </w:r>
    </w:p>
    <w:p>
      <w:pPr>
        <w:pStyle w:val="Footnotesection"/>
      </w:pPr>
      <w:r>
        <w:tab/>
        <w:t>[Rule 29A inserted: SL 2022/209 r. 13.]</w:t>
      </w:r>
    </w:p>
    <w:p>
      <w:pPr>
        <w:pStyle w:val="Heading5"/>
      </w:pPr>
      <w:bookmarkStart w:id="87" w:name="_Toc175049945"/>
      <w:r>
        <w:rPr>
          <w:rStyle w:val="CharSectno"/>
        </w:rPr>
        <w:t>30</w:t>
      </w:r>
      <w:r>
        <w:t>.</w:t>
      </w:r>
      <w:r>
        <w:tab/>
        <w:t>Primary court to be notified and to supply records</w:t>
      </w:r>
      <w:bookmarkEnd w:id="87"/>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lastRenderedPageBreak/>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88" w:name="_Toc175049946"/>
      <w:r>
        <w:rPr>
          <w:rStyle w:val="CharSectno"/>
        </w:rPr>
        <w:t>31</w:t>
      </w:r>
      <w:r>
        <w:t>.</w:t>
      </w:r>
      <w:r>
        <w:tab/>
        <w:t>Respondent’s options</w:t>
      </w:r>
      <w:bookmarkEnd w:id="88"/>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89" w:name="_Toc175049947"/>
      <w:r>
        <w:rPr>
          <w:rStyle w:val="CharSectno"/>
        </w:rPr>
        <w:lastRenderedPageBreak/>
        <w:t>31A</w:t>
      </w:r>
      <w:r>
        <w:t>.</w:t>
      </w:r>
      <w:r>
        <w:tab/>
        <w:t>Cross appeals</w:t>
      </w:r>
      <w:bookmarkEnd w:id="89"/>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90" w:name="_Toc175049948"/>
      <w:r>
        <w:rPr>
          <w:rStyle w:val="CharSectno"/>
        </w:rPr>
        <w:t>31B</w:t>
      </w:r>
      <w:r>
        <w:t>.</w:t>
      </w:r>
      <w:r>
        <w:tab/>
        <w:t>Time within which to file “Appellant’s case”</w:t>
      </w:r>
      <w:bookmarkEnd w:id="90"/>
    </w:p>
    <w:p>
      <w:pPr>
        <w:pStyle w:val="Subsection"/>
      </w:pPr>
      <w:r>
        <w:tab/>
        <w:t>(1)</w:t>
      </w:r>
      <w:r>
        <w:tab/>
        <w:t>This rule applies to an appeal commenced under rule 28 or 29.</w:t>
      </w:r>
    </w:p>
    <w:p>
      <w:pPr>
        <w:pStyle w:val="Subsection"/>
      </w:pPr>
      <w:r>
        <w:tab/>
        <w:t>(2)</w:t>
      </w:r>
      <w:r>
        <w:tab/>
        <w:t xml:space="preserve">After an appeal notice is filed, the appellant must file the “Appellant’s case” in accordance with rule 32 within a period of — </w:t>
      </w:r>
    </w:p>
    <w:p>
      <w:pPr>
        <w:pStyle w:val="Indenta"/>
      </w:pPr>
      <w:r>
        <w:tab/>
        <w:t>(a)</w:t>
      </w:r>
      <w:r>
        <w:tab/>
        <w:t xml:space="preserve">in the case of an appeal under the </w:t>
      </w:r>
      <w:r>
        <w:rPr>
          <w:i/>
        </w:rPr>
        <w:t xml:space="preserve">Criminal Appeals Act 2004 </w:t>
      </w:r>
      <w:r>
        <w:t>Part 2 Division 3 or Part 3 — 56 days after the day on which the appeal notice is filed, unless a single judge or registrar orders otherwise; or</w:t>
      </w:r>
    </w:p>
    <w:p>
      <w:pPr>
        <w:pStyle w:val="Indenta"/>
      </w:pPr>
      <w:r>
        <w:tab/>
        <w:t>(b)</w:t>
      </w:r>
      <w:r>
        <w:tab/>
        <w:t xml:space="preserve">in the case of a civil appeal, unless a single judge or registrar orders otherwise — </w:t>
      </w:r>
    </w:p>
    <w:p>
      <w:pPr>
        <w:pStyle w:val="Indenti"/>
      </w:pPr>
      <w:r>
        <w:lastRenderedPageBreak/>
        <w:tab/>
        <w:t>(i)</w:t>
      </w:r>
      <w:r>
        <w:tab/>
        <w:t>35 days after the day on which the appeal notice is filed; or</w:t>
      </w:r>
    </w:p>
    <w:p>
      <w:pPr>
        <w:pStyle w:val="Indenti"/>
      </w:pPr>
      <w:r>
        <w:tab/>
        <w:t>(ii)</w:t>
      </w:r>
      <w:r>
        <w:tab/>
        <w:t>if the appeal is an interlocutory civil appeal — 14 days after the day on which the appeal notice is filed.</w:t>
      </w:r>
    </w:p>
    <w:p>
      <w:pPr>
        <w:pStyle w:val="Footnotesection"/>
      </w:pPr>
      <w:r>
        <w:tab/>
        <w:t>[Rule 31B inserted: SL 2022/209 r. 14.]</w:t>
      </w:r>
    </w:p>
    <w:p>
      <w:pPr>
        <w:pStyle w:val="Heading5"/>
      </w:pPr>
      <w:bookmarkStart w:id="91" w:name="_Toc175049949"/>
      <w:r>
        <w:rPr>
          <w:rStyle w:val="CharSectno"/>
        </w:rPr>
        <w:t>32</w:t>
      </w:r>
      <w:r>
        <w:t>.</w:t>
      </w:r>
      <w:r>
        <w:tab/>
        <w:t>“Appellant’s case” to be filed</w:t>
      </w:r>
      <w:bookmarkEnd w:id="91"/>
    </w:p>
    <w:p>
      <w:pPr>
        <w:pStyle w:val="Ednotesubsection"/>
      </w:pPr>
      <w:r>
        <w:tab/>
        <w:t>[(1), (2) deleted]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lastRenderedPageBreak/>
        <w:tab/>
        <w:t>(b)</w:t>
      </w:r>
      <w:r>
        <w:tab/>
        <w:t>must state the grounds, and concise particulars of them, succinctly in numbered paragraphs; and</w:t>
      </w:r>
    </w:p>
    <w:p>
      <w:pPr>
        <w:pStyle w:val="Indenta"/>
        <w:keepNext/>
      </w:pPr>
      <w:r>
        <w:tab/>
        <w:t>(c)</w:t>
      </w:r>
      <w:r>
        <w:tab/>
        <w:t xml:space="preserve">must, for any ground that alleges an error by the primary court, state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for any ground that alleges an error by the primary court,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 and</w:t>
      </w:r>
    </w:p>
    <w:p>
      <w:pPr>
        <w:pStyle w:val="Indenta"/>
      </w:pPr>
      <w:r>
        <w:tab/>
        <w:t>(f)</w:t>
      </w:r>
      <w:r>
        <w:tab/>
        <w:t>must, for any ground that alleges a miscarriage of justice, state the basis on which the miscarriage of justice is alleged to arise; and</w:t>
      </w:r>
    </w:p>
    <w:p>
      <w:pPr>
        <w:pStyle w:val="Indenta"/>
      </w:pPr>
      <w:r>
        <w:tab/>
        <w:t>(g)</w:t>
      </w:r>
      <w:r>
        <w:tab/>
        <w:t>must, for any ground that alleges the primary court acted without or in excess of jurisdiction, state the basis for the allegation.</w:t>
      </w:r>
    </w:p>
    <w:p>
      <w:pPr>
        <w:pStyle w:val="Subsection"/>
      </w:pPr>
      <w:r>
        <w:tab/>
        <w:t>(4A)</w:t>
      </w:r>
      <w:r>
        <w:tab/>
        <w:t xml:space="preserve">For the purposes of subrule (4)(b), the grounds and their particulars must not merely allege — </w:t>
      </w:r>
    </w:p>
    <w:p>
      <w:pPr>
        <w:pStyle w:val="Indenta"/>
      </w:pPr>
      <w:r>
        <w:tab/>
        <w:t>(a)</w:t>
      </w:r>
      <w:r>
        <w:tab/>
        <w:t>that the primary court erred in fact or in law; or</w:t>
      </w:r>
    </w:p>
    <w:p>
      <w:pPr>
        <w:pStyle w:val="Indenta"/>
      </w:pPr>
      <w:r>
        <w:tab/>
        <w:t>(b)</w:t>
      </w:r>
      <w:r>
        <w:tab/>
        <w:t xml:space="preserve">that the decision of the primary court — </w:t>
      </w:r>
    </w:p>
    <w:p>
      <w:pPr>
        <w:pStyle w:val="Indenti"/>
      </w:pPr>
      <w:r>
        <w:tab/>
        <w:t>(i)</w:t>
      </w:r>
      <w:r>
        <w:tab/>
        <w:t xml:space="preserve">is against the evidence or the weight of evidence; or </w:t>
      </w:r>
    </w:p>
    <w:p>
      <w:pPr>
        <w:pStyle w:val="Indenti"/>
      </w:pPr>
      <w:r>
        <w:tab/>
        <w:t>(ii)</w:t>
      </w:r>
      <w:r>
        <w:tab/>
        <w:t>is unreasonable and cannot be supported having regard to the evidence; or</w:t>
      </w:r>
    </w:p>
    <w:p>
      <w:pPr>
        <w:pStyle w:val="Indenti"/>
      </w:pPr>
      <w:r>
        <w:tab/>
        <w:t>(iii)</w:t>
      </w:r>
      <w:r>
        <w:tab/>
        <w:t xml:space="preserve">is unsafe or unsatisfactory; </w:t>
      </w:r>
    </w:p>
    <w:p>
      <w:pPr>
        <w:pStyle w:val="Indenta"/>
      </w:pPr>
      <w:r>
        <w:tab/>
      </w:r>
      <w:r>
        <w:tab/>
        <w:t>or</w:t>
      </w:r>
    </w:p>
    <w:p>
      <w:pPr>
        <w:pStyle w:val="Indenta"/>
      </w:pPr>
      <w:r>
        <w:lastRenderedPageBreak/>
        <w:tab/>
        <w:t>(c)</w:t>
      </w:r>
      <w:r>
        <w:tab/>
        <w:t>in the case of an appeal against a sentence — that the sentence is excessive or inadequate; or</w:t>
      </w:r>
    </w:p>
    <w:p>
      <w:pPr>
        <w:pStyle w:val="Indenta"/>
      </w:pPr>
      <w:r>
        <w:tab/>
        <w:t>(d)</w:t>
      </w:r>
      <w:r>
        <w:tab/>
        <w:t xml:space="preserve">in the case of an appeal against conviction — </w:t>
      </w:r>
    </w:p>
    <w:p>
      <w:pPr>
        <w:pStyle w:val="Indenti"/>
      </w:pPr>
      <w:r>
        <w:tab/>
        <w:t>(i)</w:t>
      </w:r>
      <w:r>
        <w:tab/>
        <w:t>that the verdict of guilty for which the conviction is based is unreasonable and cannot be supported having regard to the evidence; or</w:t>
      </w:r>
    </w:p>
    <w:p>
      <w:pPr>
        <w:pStyle w:val="Indenti"/>
      </w:pPr>
      <w:r>
        <w:tab/>
        <w:t>(ii)</w:t>
      </w:r>
      <w:r>
        <w:tab/>
        <w:t>that the judge made the wrong decision on a question of law; or</w:t>
      </w:r>
    </w:p>
    <w:p>
      <w:pPr>
        <w:pStyle w:val="Indenti"/>
      </w:pPr>
      <w:r>
        <w:tab/>
        <w:t>(iii)</w:t>
      </w:r>
      <w:r>
        <w:tab/>
        <w:t>that there was a miscarriage of justice.</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 and</w:t>
      </w:r>
    </w:p>
    <w:p>
      <w:pPr>
        <w:pStyle w:val="Indenti"/>
      </w:pPr>
      <w:r>
        <w:tab/>
        <w:t>(iv)</w:t>
      </w:r>
      <w:r>
        <w:tab/>
        <w:t xml:space="preserve">in the case of an appeal under the </w:t>
      </w:r>
      <w:r>
        <w:rPr>
          <w:i/>
        </w:rPr>
        <w:t>Criminal Appeals Act 2004</w:t>
      </w:r>
      <w:r>
        <w:t xml:space="preserve"> Part 3A — each passage in the alleged evidence on which the appellant relies in support of the ground;</w:t>
      </w:r>
    </w:p>
    <w:p>
      <w:pPr>
        <w:pStyle w:val="Indenta"/>
      </w:pPr>
      <w:r>
        <w:tab/>
      </w:r>
      <w:r>
        <w:tab/>
        <w:t>and</w:t>
      </w:r>
    </w:p>
    <w:p>
      <w:pPr>
        <w:pStyle w:val="Indenta"/>
      </w:pPr>
      <w:r>
        <w:tab/>
        <w:t>(d)</w:t>
      </w:r>
      <w:r>
        <w:tab/>
        <w:t>must not be more than 20 pages long; and</w:t>
      </w:r>
    </w:p>
    <w:p>
      <w:pPr>
        <w:pStyle w:val="Indenta"/>
      </w:pPr>
      <w:r>
        <w:lastRenderedPageBreak/>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lastRenderedPageBreak/>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 SL 2022/209 r. 15; SL 2024/166 r. 5.]</w:t>
      </w:r>
    </w:p>
    <w:p>
      <w:pPr>
        <w:pStyle w:val="Heading5"/>
      </w:pPr>
      <w:bookmarkStart w:id="92" w:name="_Toc175049950"/>
      <w:r>
        <w:rPr>
          <w:rStyle w:val="CharSectno"/>
        </w:rPr>
        <w:t>33</w:t>
      </w:r>
      <w:r>
        <w:t>.</w:t>
      </w:r>
      <w:r>
        <w:tab/>
        <w:t>“Respondent’s answer” to be filed</w:t>
      </w:r>
      <w:bookmarkEnd w:id="92"/>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lastRenderedPageBreak/>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lastRenderedPageBreak/>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 and</w:t>
      </w:r>
    </w:p>
    <w:p>
      <w:pPr>
        <w:pStyle w:val="Indenti"/>
      </w:pPr>
      <w:r>
        <w:tab/>
        <w:t>(iv)</w:t>
      </w:r>
      <w:r>
        <w:tab/>
        <w:t xml:space="preserve">in the case of an appeal under the </w:t>
      </w:r>
      <w:r>
        <w:rPr>
          <w:i/>
        </w:rPr>
        <w:t>Criminal Appeals Act 2004</w:t>
      </w:r>
      <w:r>
        <w:t xml:space="preserve"> Part 3A — each passage in the appellant’s alleged evidence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lastRenderedPageBreak/>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 SL 2022/209 r. 16.]</w:t>
      </w:r>
    </w:p>
    <w:p>
      <w:pPr>
        <w:pStyle w:val="Heading5"/>
      </w:pPr>
      <w:bookmarkStart w:id="93" w:name="_Toc175049951"/>
      <w:r>
        <w:rPr>
          <w:rStyle w:val="CharSectno"/>
        </w:rPr>
        <w:lastRenderedPageBreak/>
        <w:t>34</w:t>
      </w:r>
      <w:r>
        <w:t>.</w:t>
      </w:r>
      <w:r>
        <w:tab/>
        <w:t>When “Appellant’s reply to respondent’s notice of contention” is required</w:t>
      </w:r>
      <w:bookmarkEnd w:id="93"/>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 SL 2022/209 r. 17.]</w:t>
      </w:r>
    </w:p>
    <w:p>
      <w:pPr>
        <w:pStyle w:val="Heading3"/>
      </w:pPr>
      <w:bookmarkStart w:id="94" w:name="_Toc175045046"/>
      <w:bookmarkStart w:id="95" w:name="_Toc175045940"/>
      <w:bookmarkStart w:id="96" w:name="_Toc175046062"/>
      <w:bookmarkStart w:id="97" w:name="_Toc175049952"/>
      <w:r>
        <w:rPr>
          <w:rStyle w:val="CharDivNo"/>
        </w:rPr>
        <w:t>Division 3</w:t>
      </w:r>
      <w:r>
        <w:t> — </w:t>
      </w:r>
      <w:r>
        <w:rPr>
          <w:rStyle w:val="CharDivText"/>
        </w:rPr>
        <w:t>Appeal books</w:t>
      </w:r>
      <w:bookmarkEnd w:id="94"/>
      <w:bookmarkEnd w:id="95"/>
      <w:bookmarkEnd w:id="96"/>
      <w:bookmarkEnd w:id="97"/>
    </w:p>
    <w:p>
      <w:pPr>
        <w:pStyle w:val="Heading5"/>
      </w:pPr>
      <w:bookmarkStart w:id="98" w:name="_Toc175049953"/>
      <w:r>
        <w:rPr>
          <w:rStyle w:val="CharSectno"/>
        </w:rPr>
        <w:t>35</w:t>
      </w:r>
      <w:r>
        <w:t>.</w:t>
      </w:r>
      <w:r>
        <w:tab/>
        <w:t>Appeal book, when required</w:t>
      </w:r>
      <w:bookmarkEnd w:id="98"/>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lastRenderedPageBreak/>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99" w:name="_Toc175049954"/>
      <w:r>
        <w:rPr>
          <w:rStyle w:val="CharSectno"/>
        </w:rPr>
        <w:t>36</w:t>
      </w:r>
      <w:r>
        <w:t>.</w:t>
      </w:r>
      <w:r>
        <w:tab/>
        <w:t>Settling of indexes</w:t>
      </w:r>
      <w:bookmarkEnd w:id="99"/>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lastRenderedPageBreak/>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 SL 2022/209 r. 18.]</w:t>
      </w:r>
    </w:p>
    <w:p>
      <w:pPr>
        <w:pStyle w:val="Heading5"/>
      </w:pPr>
      <w:bookmarkStart w:id="100" w:name="_Toc175049955"/>
      <w:r>
        <w:rPr>
          <w:rStyle w:val="CharSectno"/>
        </w:rPr>
        <w:t>37</w:t>
      </w:r>
      <w:r>
        <w:t>.</w:t>
      </w:r>
      <w:r>
        <w:tab/>
        <w:t>Appeal book, general provisions</w:t>
      </w:r>
      <w:bookmarkEnd w:id="100"/>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101" w:name="_Toc175049956"/>
      <w:r>
        <w:rPr>
          <w:rStyle w:val="CharSectno"/>
        </w:rPr>
        <w:t>38</w:t>
      </w:r>
      <w:r>
        <w:t>.</w:t>
      </w:r>
      <w:r>
        <w:tab/>
        <w:t>Contents of appeal book</w:t>
      </w:r>
      <w:bookmarkEnd w:id="101"/>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lastRenderedPageBreak/>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in accordance with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lastRenderedPageBreak/>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(ja)</w:t>
      </w:r>
      <w:r>
        <w:tab/>
        <w:t>any affidavits filed with the appeal notice;</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Indenta"/>
      </w:pPr>
      <w:r>
        <w:tab/>
        <w:t>(i)</w:t>
      </w:r>
      <w:r>
        <w:tab/>
        <w:t xml:space="preserve">in the case of an appeal under the </w:t>
      </w:r>
      <w:r>
        <w:rPr>
          <w:i/>
        </w:rPr>
        <w:t xml:space="preserve">Criminal Appeals Act 2004 </w:t>
      </w:r>
      <w:r>
        <w:t xml:space="preserve">Part 3A — </w:t>
      </w:r>
    </w:p>
    <w:p>
      <w:pPr>
        <w:pStyle w:val="Indenti"/>
      </w:pPr>
      <w:r>
        <w:lastRenderedPageBreak/>
        <w:tab/>
        <w:t>(i)</w:t>
      </w:r>
      <w:r>
        <w:tab/>
        <w:t>the Court of Appeal’s formal decision in each previous appeal; and</w:t>
      </w:r>
    </w:p>
    <w:p>
      <w:pPr>
        <w:pStyle w:val="Indenti"/>
      </w:pPr>
      <w:r>
        <w:tab/>
        <w:t>(ii)</w:t>
      </w:r>
      <w:r>
        <w:tab/>
        <w:t>the Court of Appeal’s written reasons for its decision in each previous appeal; and</w:t>
      </w:r>
    </w:p>
    <w:p>
      <w:pPr>
        <w:pStyle w:val="Indenti"/>
      </w:pPr>
      <w:r>
        <w:tab/>
        <w:t>(iii)</w:t>
      </w:r>
      <w:r>
        <w:tab/>
        <w:t>any document filed in a previous appeal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(ca)</w:t>
      </w:r>
      <w:r>
        <w:tab/>
        <w:t xml:space="preserve">in the case of an appeal under the </w:t>
      </w:r>
      <w:r>
        <w:rPr>
          <w:i/>
        </w:rPr>
        <w:t xml:space="preserve">Criminal Appeals Act 2004 </w:t>
      </w:r>
      <w:r>
        <w:t>Part 3A — an electronic version of each appeal hearing transcript;</w:t>
      </w:r>
    </w:p>
    <w:p>
      <w:pPr>
        <w:pStyle w:val="Indenta"/>
      </w:pPr>
      <w:r>
        <w:tab/>
        <w:t>(d)</w:t>
      </w:r>
      <w:r>
        <w:tab/>
        <w:t>a copy of those documentary exhibits in the primary court and, if applicable, the Court of Appeal,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and, if applicable, the Court of Appeal, when making its decision that a registrar orders to be included.</w:t>
      </w:r>
    </w:p>
    <w:p>
      <w:pPr>
        <w:pStyle w:val="Subsection"/>
      </w:pPr>
      <w:r>
        <w:tab/>
        <w:t>(4A)</w:t>
      </w:r>
      <w:r>
        <w:tab/>
        <w:t>In the Green Appeal Book, the documents referred to in subrule (4)(c), (ca)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lastRenderedPageBreak/>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must be arranged in the Green Appeal Book in the order in which they are lettered or numbered as exhibits in the primary court or the Court of Appeal, as the case may be,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 SL 2022/209 r. 19.]</w:t>
      </w:r>
    </w:p>
    <w:p>
      <w:pPr>
        <w:pStyle w:val="Heading5"/>
      </w:pPr>
      <w:bookmarkStart w:id="102" w:name="_Toc175049957"/>
      <w:r>
        <w:rPr>
          <w:rStyle w:val="CharSectno"/>
        </w:rPr>
        <w:t>39</w:t>
      </w:r>
      <w:r>
        <w:t>.</w:t>
      </w:r>
      <w:r>
        <w:tab/>
        <w:t>Technical requirements for appeal books</w:t>
      </w:r>
      <w:bookmarkEnd w:id="102"/>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lastRenderedPageBreak/>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lastRenderedPageBreak/>
        <w:tab/>
        <w:t>[Rule 39 amended: Gazette 22 Aug 2017 p. 4532</w:t>
      </w:r>
      <w:r>
        <w:noBreakHyphen/>
        <w:t>3; SL 2021/34 r. 11; SL 2022/60 r. 20.]</w:t>
      </w:r>
    </w:p>
    <w:p>
      <w:pPr>
        <w:pStyle w:val="Heading5"/>
      </w:pPr>
      <w:bookmarkStart w:id="103" w:name="_Toc175049958"/>
      <w:r>
        <w:rPr>
          <w:rStyle w:val="CharSectno"/>
        </w:rPr>
        <w:t>40</w:t>
      </w:r>
      <w:r>
        <w:t>.</w:t>
      </w:r>
      <w:r>
        <w:tab/>
        <w:t>Sentence appeal, appeal book for</w:t>
      </w:r>
      <w:bookmarkEnd w:id="103"/>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104" w:name="_Toc175049959"/>
      <w:r>
        <w:rPr>
          <w:rStyle w:val="CharSectno"/>
        </w:rPr>
        <w:t>41</w:t>
      </w:r>
      <w:r>
        <w:t>.</w:t>
      </w:r>
      <w:r>
        <w:tab/>
        <w:t>Appeal book to be prepared by appellant</w:t>
      </w:r>
      <w:bookmarkEnd w:id="104"/>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legal practitioner, checks it and signs a Form 14A (Certificate of correctness of appeal book); and</w:t>
      </w:r>
    </w:p>
    <w:p>
      <w:pPr>
        <w:pStyle w:val="Indenta"/>
      </w:pPr>
      <w:r>
        <w:lastRenderedPageBreak/>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SL 2022/74 r. 18.] </w:t>
      </w:r>
    </w:p>
    <w:p>
      <w:pPr>
        <w:pStyle w:val="Heading3"/>
      </w:pPr>
      <w:bookmarkStart w:id="105" w:name="_Toc175045054"/>
      <w:bookmarkStart w:id="106" w:name="_Toc175045948"/>
      <w:bookmarkStart w:id="107" w:name="_Toc175046070"/>
      <w:bookmarkStart w:id="108" w:name="_Toc175049960"/>
      <w:r>
        <w:rPr>
          <w:rStyle w:val="CharDivNo"/>
        </w:rPr>
        <w:t>Division 4</w:t>
      </w:r>
      <w:r>
        <w:t> — </w:t>
      </w:r>
      <w:r>
        <w:rPr>
          <w:rStyle w:val="CharDivText"/>
        </w:rPr>
        <w:t>Matters prior to the hearing of any appeal</w:t>
      </w:r>
      <w:bookmarkEnd w:id="105"/>
      <w:bookmarkEnd w:id="106"/>
      <w:bookmarkEnd w:id="107"/>
      <w:bookmarkEnd w:id="108"/>
    </w:p>
    <w:p>
      <w:pPr>
        <w:pStyle w:val="Heading5"/>
      </w:pPr>
      <w:bookmarkStart w:id="109" w:name="_Toc175049961"/>
      <w:r>
        <w:rPr>
          <w:rStyle w:val="CharSectno"/>
        </w:rPr>
        <w:t>42</w:t>
      </w:r>
      <w:r>
        <w:t>.</w:t>
      </w:r>
      <w:r>
        <w:tab/>
        <w:t>Application of Division</w:t>
      </w:r>
      <w:bookmarkEnd w:id="109"/>
    </w:p>
    <w:p>
      <w:pPr>
        <w:pStyle w:val="Subsection"/>
      </w:pPr>
      <w:r>
        <w:tab/>
      </w:r>
      <w:r>
        <w:tab/>
        <w:t>This Division applies to any appeal, civil or criminal, unless the contrary intention appears.</w:t>
      </w:r>
    </w:p>
    <w:p>
      <w:pPr>
        <w:pStyle w:val="Heading5"/>
      </w:pPr>
      <w:bookmarkStart w:id="110" w:name="_Toc175049962"/>
      <w:r>
        <w:rPr>
          <w:rStyle w:val="CharSectno"/>
        </w:rPr>
        <w:t>42A</w:t>
      </w:r>
      <w:r>
        <w:t>.</w:t>
      </w:r>
      <w:r>
        <w:tab/>
        <w:t>Matters requiring leave</w:t>
      </w:r>
      <w:bookmarkEnd w:id="110"/>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in the case of a civil appeal — the issue of a subpoena that would require a person to give oral evidence or produce anything to the Court of Appeal.</w:t>
      </w:r>
    </w:p>
    <w:p>
      <w:pPr>
        <w:pStyle w:val="Footnotesection"/>
      </w:pPr>
      <w:r>
        <w:tab/>
        <w:t>[Rule 42A inserted: Gazette 22 Aug 2017 p. 4534; amended: SL 2022/209 r. 20.]</w:t>
      </w:r>
    </w:p>
    <w:p>
      <w:pPr>
        <w:pStyle w:val="Heading5"/>
      </w:pPr>
      <w:bookmarkStart w:id="111" w:name="_Toc175049963"/>
      <w:r>
        <w:rPr>
          <w:rStyle w:val="CharSectno"/>
        </w:rPr>
        <w:t>43</w:t>
      </w:r>
      <w:r>
        <w:t>.</w:t>
      </w:r>
      <w:r>
        <w:tab/>
        <w:t>Single judge’s jurisdiction</w:t>
      </w:r>
      <w:bookmarkEnd w:id="111"/>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lastRenderedPageBreak/>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(ia)</w:t>
      </w:r>
      <w:r>
        <w:tab/>
        <w:t>the appellant has not filed the required documents under rule 28, 28A or 29, as the case may be; or</w:t>
      </w:r>
    </w:p>
    <w:p>
      <w:pPr>
        <w:pStyle w:val="Indenti"/>
      </w:pPr>
      <w:r>
        <w:tab/>
        <w:t>(ii)</w:t>
      </w:r>
      <w:r>
        <w:tab/>
        <w:t>a Form 3 (Service certificate) is not filed within 7 days after the last date on which the appeal could have been commenced;</w:t>
      </w:r>
    </w:p>
    <w:p>
      <w:pPr>
        <w:pStyle w:val="Indenta"/>
        <w:keepNext/>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lastRenderedPageBreak/>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 SL 2022/209 r. 21.]</w:t>
      </w:r>
    </w:p>
    <w:p>
      <w:pPr>
        <w:pStyle w:val="Heading5"/>
      </w:pPr>
      <w:bookmarkStart w:id="112" w:name="_Toc175049964"/>
      <w:r>
        <w:rPr>
          <w:rStyle w:val="CharSectno"/>
        </w:rPr>
        <w:t>44</w:t>
      </w:r>
      <w:r>
        <w:t>.</w:t>
      </w:r>
      <w:r>
        <w:tab/>
        <w:t>Applying for interim order</w:t>
      </w:r>
      <w:bookmarkEnd w:id="112"/>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legal practitioner or both stating why the interim order is wanted,</w:t>
      </w:r>
    </w:p>
    <w:p>
      <w:pPr>
        <w:pStyle w:val="Subsection"/>
      </w:pPr>
      <w:r>
        <w:lastRenderedPageBreak/>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 SL 2022/74 r. 18.]</w:t>
      </w:r>
    </w:p>
    <w:p>
      <w:pPr>
        <w:pStyle w:val="Heading5"/>
      </w:pPr>
      <w:bookmarkStart w:id="113" w:name="_Toc175049965"/>
      <w:r>
        <w:rPr>
          <w:rStyle w:val="CharSectno"/>
        </w:rPr>
        <w:t>45</w:t>
      </w:r>
      <w:r>
        <w:t>.</w:t>
      </w:r>
      <w:r>
        <w:tab/>
        <w:t>Consenting to orders</w:t>
      </w:r>
      <w:bookmarkEnd w:id="113"/>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keepNext/>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114" w:name="_Toc175049966"/>
      <w:r>
        <w:rPr>
          <w:rStyle w:val="CharSectno"/>
        </w:rPr>
        <w:t>46</w:t>
      </w:r>
      <w:r>
        <w:t>.</w:t>
      </w:r>
      <w:r>
        <w:tab/>
        <w:t>Urgent appeal order, nature of</w:t>
      </w:r>
      <w:bookmarkEnd w:id="11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115" w:name="_Toc175049967"/>
      <w:r>
        <w:rPr>
          <w:rStyle w:val="CharSectno"/>
        </w:rPr>
        <w:lastRenderedPageBreak/>
        <w:t>47</w:t>
      </w:r>
      <w:r>
        <w:t>.</w:t>
      </w:r>
      <w:r>
        <w:tab/>
        <w:t>Case management</w:t>
      </w:r>
      <w:bookmarkEnd w:id="115"/>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lastRenderedPageBreak/>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116" w:name="_Toc175049968"/>
      <w:r>
        <w:rPr>
          <w:rStyle w:val="CharSectno"/>
        </w:rPr>
        <w:t>48</w:t>
      </w:r>
      <w:r>
        <w:t>.</w:t>
      </w:r>
      <w:r>
        <w:tab/>
        <w:t>Applications for adjournments to be made promptly</w:t>
      </w:r>
      <w:bookmarkEnd w:id="116"/>
    </w:p>
    <w:p>
      <w:pPr>
        <w:pStyle w:val="Subsection"/>
      </w:pPr>
      <w:r>
        <w:tab/>
      </w:r>
      <w:r>
        <w:tab/>
        <w:t>An application for an adjournment of the hearing of an appeal must be made immediately it is known that an adjournment is wanted.</w:t>
      </w:r>
    </w:p>
    <w:p>
      <w:pPr>
        <w:pStyle w:val="Heading5"/>
      </w:pPr>
      <w:bookmarkStart w:id="117" w:name="_Toc175049969"/>
      <w:r>
        <w:rPr>
          <w:rStyle w:val="CharSectno"/>
        </w:rPr>
        <w:t>49</w:t>
      </w:r>
      <w:r>
        <w:t>.</w:t>
      </w:r>
      <w:r>
        <w:tab/>
        <w:t>Offers of compromise</w:t>
      </w:r>
      <w:bookmarkEnd w:id="117"/>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lastRenderedPageBreak/>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118" w:name="_Toc175049970"/>
      <w:r>
        <w:rPr>
          <w:rStyle w:val="CharSectno"/>
        </w:rPr>
        <w:t>50</w:t>
      </w:r>
      <w:r>
        <w:t>.</w:t>
      </w:r>
      <w:r>
        <w:tab/>
        <w:t>Court to be advised immediately of settlement etc.</w:t>
      </w:r>
      <w:bookmarkEnd w:id="118"/>
    </w:p>
    <w:p>
      <w:pPr>
        <w:pStyle w:val="Subsection"/>
      </w:pPr>
      <w:r>
        <w:tab/>
      </w:r>
      <w:r>
        <w:tab/>
        <w:t>If the parties to an appeal agree to settle the whole or any part of an appeal, they must notify the Court of Appeal Office immediately.</w:t>
      </w:r>
    </w:p>
    <w:p>
      <w:pPr>
        <w:pStyle w:val="Heading3"/>
      </w:pPr>
      <w:bookmarkStart w:id="119" w:name="_Toc175045065"/>
      <w:bookmarkStart w:id="120" w:name="_Toc175045959"/>
      <w:bookmarkStart w:id="121" w:name="_Toc175046081"/>
      <w:bookmarkStart w:id="122" w:name="_Toc175049971"/>
      <w:r>
        <w:rPr>
          <w:rStyle w:val="CharDivNo"/>
        </w:rPr>
        <w:t>Division 5</w:t>
      </w:r>
      <w:r>
        <w:t> — </w:t>
      </w:r>
      <w:r>
        <w:rPr>
          <w:rStyle w:val="CharDivText"/>
        </w:rPr>
        <w:t>Matters prior to the hearing of a criminal appeal</w:t>
      </w:r>
      <w:bookmarkEnd w:id="119"/>
      <w:bookmarkEnd w:id="120"/>
      <w:bookmarkEnd w:id="121"/>
      <w:bookmarkEnd w:id="122"/>
    </w:p>
    <w:p>
      <w:pPr>
        <w:pStyle w:val="Heading5"/>
      </w:pPr>
      <w:bookmarkStart w:id="123" w:name="_Toc175049972"/>
      <w:r>
        <w:rPr>
          <w:rStyle w:val="CharSectno"/>
        </w:rPr>
        <w:t>51</w:t>
      </w:r>
      <w:r>
        <w:t>.</w:t>
      </w:r>
      <w:r>
        <w:tab/>
        <w:t>Application of Division</w:t>
      </w:r>
      <w:bookmarkEnd w:id="123"/>
    </w:p>
    <w:p>
      <w:pPr>
        <w:pStyle w:val="Subsection"/>
      </w:pPr>
      <w:r>
        <w:tab/>
      </w:r>
      <w:r>
        <w:tab/>
        <w:t>This Division applies to criminal appeals.</w:t>
      </w:r>
    </w:p>
    <w:p>
      <w:pPr>
        <w:pStyle w:val="Heading5"/>
      </w:pPr>
      <w:bookmarkStart w:id="124" w:name="_Toc175049973"/>
      <w:r>
        <w:rPr>
          <w:rStyle w:val="CharSectno"/>
        </w:rPr>
        <w:t>52</w:t>
      </w:r>
      <w:r>
        <w:t>.</w:t>
      </w:r>
      <w:r>
        <w:tab/>
        <w:t>Applications for certain orders under CAA s. 40(1)</w:t>
      </w:r>
      <w:bookmarkEnd w:id="124"/>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125" w:name="_Toc175049974"/>
      <w:r>
        <w:rPr>
          <w:rStyle w:val="CharSectno"/>
        </w:rPr>
        <w:t>53</w:t>
      </w:r>
      <w:r>
        <w:t>.</w:t>
      </w:r>
      <w:r>
        <w:tab/>
        <w:t>Single judge’s jurisdiction</w:t>
      </w:r>
      <w:bookmarkEnd w:id="125"/>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126" w:name="_Toc175049975"/>
      <w:r>
        <w:rPr>
          <w:rStyle w:val="CharSectno"/>
        </w:rPr>
        <w:t>54</w:t>
      </w:r>
      <w:r>
        <w:t>.</w:t>
      </w:r>
      <w:r>
        <w:tab/>
        <w:t xml:space="preserve">Orders made under </w:t>
      </w:r>
      <w:r>
        <w:rPr>
          <w:i/>
        </w:rPr>
        <w:t>Criminal Appeals Act 2004</w:t>
      </w:r>
      <w:bookmarkEnd w:id="126"/>
    </w:p>
    <w:p>
      <w:pPr>
        <w:pStyle w:val="Subsection"/>
      </w:pPr>
      <w:r>
        <w:tab/>
        <w:t>(1)</w:t>
      </w:r>
      <w:r>
        <w:tab/>
        <w:t xml:space="preserve">In an appeal under the </w:t>
      </w:r>
      <w:r>
        <w:rPr>
          <w:i/>
        </w:rPr>
        <w:t xml:space="preserve">Criminal Appeals Act 2004 </w:t>
      </w:r>
      <w:r>
        <w:t xml:space="preserve">Part 3A the Court of Appeal may refuse to make an order under section 40(1) of that Act that may result in the production of evidence if the Court of Appeal is not satisfied that making the order will result in the production of evidence that — </w:t>
      </w:r>
    </w:p>
    <w:p>
      <w:pPr>
        <w:pStyle w:val="Indenta"/>
      </w:pPr>
      <w:r>
        <w:tab/>
        <w:t>(a)</w:t>
      </w:r>
      <w:r>
        <w:tab/>
        <w:t>is likely to be relevant and probative; and</w:t>
      </w:r>
    </w:p>
    <w:p>
      <w:pPr>
        <w:pStyle w:val="Indenta"/>
      </w:pPr>
      <w:r>
        <w:lastRenderedPageBreak/>
        <w:tab/>
        <w:t>(b)</w:t>
      </w:r>
      <w:r>
        <w:tab/>
        <w:t>may assist the Court of Appeal to determine the issue of whether to give leave to appeal.</w:t>
      </w:r>
    </w:p>
    <w:p>
      <w:pPr>
        <w:pStyle w:val="Subsection"/>
      </w:pPr>
      <w:r>
        <w:tab/>
        <w:t>(2)</w:t>
      </w:r>
      <w:r>
        <w:tab/>
        <w:t xml:space="preserve">The </w:t>
      </w:r>
      <w:r>
        <w:rPr>
          <w:i/>
        </w:rPr>
        <w:t>Criminal Procedure Act 2004</w:t>
      </w:r>
      <w:r>
        <w:t xml:space="preserve"> Part 5 Division 7 and Schedule 4, and the </w:t>
      </w:r>
      <w:r>
        <w:rPr>
          <w:i/>
        </w:rPr>
        <w:t>Criminal Procedure Rules 2005</w:t>
      </w:r>
      <w:r>
        <w:t xml:space="preserve">, apply for the purposes of an order made by the Court of Appeal under the </w:t>
      </w:r>
      <w:r>
        <w:rPr>
          <w:i/>
        </w:rPr>
        <w:t>Criminal Appeals Act 2004</w:t>
      </w:r>
      <w:r>
        <w:t xml:space="preserve"> section 40(1) requiring — </w:t>
      </w:r>
    </w:p>
    <w:p>
      <w:pPr>
        <w:pStyle w:val="Indenta"/>
      </w:pPr>
      <w:r>
        <w:tab/>
        <w:t>(a)</w:t>
      </w:r>
      <w:r>
        <w:tab/>
        <w:t>a person to produce to the Court of Appeal any record or thing; or</w:t>
      </w:r>
    </w:p>
    <w:p>
      <w:pPr>
        <w:pStyle w:val="Indenta"/>
      </w:pPr>
      <w:r>
        <w:tab/>
        <w:t>(b)</w:t>
      </w:r>
      <w:r>
        <w:tab/>
        <w:t>a witness to attend before the Court of Appeal or before an examiner appointed by the Court of Appeal.</w:t>
      </w:r>
    </w:p>
    <w:p>
      <w:pPr>
        <w:pStyle w:val="Subsection"/>
      </w:pPr>
      <w:r>
        <w:tab/>
        <w:t>(3)</w:t>
      </w:r>
      <w:r>
        <w:tab/>
        <w:t xml:space="preserve">Unless the Court of Appeal orders otherwise, a witness summons issued for the purposes of the </w:t>
      </w:r>
      <w:r>
        <w:rPr>
          <w:i/>
        </w:rPr>
        <w:t>Criminal Appeals Act 2004</w:t>
      </w:r>
      <w:r>
        <w:t xml:space="preserve"> section 40(1) must be served — </w:t>
      </w:r>
    </w:p>
    <w:p>
      <w:pPr>
        <w:pStyle w:val="Indenta"/>
      </w:pPr>
      <w:r>
        <w:tab/>
        <w:t>(a)</w:t>
      </w:r>
      <w:r>
        <w:tab/>
        <w:t>by the party that applied for the order under section 40(1) of that Act; and</w:t>
      </w:r>
    </w:p>
    <w:p>
      <w:pPr>
        <w:pStyle w:val="Indenta"/>
      </w:pPr>
      <w:r>
        <w:tab/>
        <w:t>(b)</w:t>
      </w:r>
      <w:r>
        <w:tab/>
        <w:t xml:space="preserve">in accordance with the </w:t>
      </w:r>
      <w:r>
        <w:rPr>
          <w:i/>
        </w:rPr>
        <w:t>Criminal Procedure Act 2004</w:t>
      </w:r>
      <w:r>
        <w:t xml:space="preserve"> section 162.</w:t>
      </w:r>
    </w:p>
    <w:p>
      <w:pPr>
        <w:pStyle w:val="Footnotesection"/>
      </w:pPr>
      <w:r>
        <w:tab/>
        <w:t>[Rule 54 inserted: SL 2022/209 r. 22.]</w:t>
      </w:r>
    </w:p>
    <w:p>
      <w:pPr>
        <w:pStyle w:val="Heading5"/>
      </w:pPr>
      <w:bookmarkStart w:id="127" w:name="_Toc175049976"/>
      <w:r>
        <w:rPr>
          <w:rStyle w:val="CharSectno"/>
        </w:rPr>
        <w:t>55</w:t>
      </w:r>
      <w:r>
        <w:t>.</w:t>
      </w:r>
      <w:r>
        <w:tab/>
        <w:t>Proceedings before an examiner</w:t>
      </w:r>
      <w:bookmarkEnd w:id="127"/>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lastRenderedPageBreak/>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128" w:name="_Toc175049977"/>
      <w:r>
        <w:rPr>
          <w:rStyle w:val="CharSectno"/>
        </w:rPr>
        <w:t>56</w:t>
      </w:r>
      <w:r>
        <w:t>.</w:t>
      </w:r>
      <w:r>
        <w:tab/>
        <w:t>Special commissioners and assessors (CAA s. 40(1))</w:t>
      </w:r>
      <w:bookmarkEnd w:id="128"/>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lastRenderedPageBreak/>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129" w:name="_Toc175045072"/>
      <w:bookmarkStart w:id="130" w:name="_Toc175045966"/>
      <w:bookmarkStart w:id="131" w:name="_Toc175046088"/>
      <w:bookmarkStart w:id="132" w:name="_Toc175049978"/>
      <w:r>
        <w:rPr>
          <w:rStyle w:val="CharDivNo"/>
        </w:rPr>
        <w:t>Division 6</w:t>
      </w:r>
      <w:r>
        <w:t> — </w:t>
      </w:r>
      <w:r>
        <w:rPr>
          <w:rStyle w:val="CharDivText"/>
        </w:rPr>
        <w:t>Hearing an appeal</w:t>
      </w:r>
      <w:bookmarkEnd w:id="129"/>
      <w:bookmarkEnd w:id="130"/>
      <w:bookmarkEnd w:id="131"/>
      <w:bookmarkEnd w:id="132"/>
    </w:p>
    <w:p>
      <w:pPr>
        <w:pStyle w:val="Heading5"/>
      </w:pPr>
      <w:bookmarkStart w:id="133" w:name="_Toc175049979"/>
      <w:r>
        <w:rPr>
          <w:rStyle w:val="CharSectno"/>
        </w:rPr>
        <w:t>57</w:t>
      </w:r>
      <w:r>
        <w:t>.</w:t>
      </w:r>
      <w:r>
        <w:tab/>
        <w:t>Hearing date to be set</w:t>
      </w:r>
      <w:bookmarkEnd w:id="133"/>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134" w:name="_Toc175049980"/>
      <w:r>
        <w:rPr>
          <w:rStyle w:val="CharSectno"/>
        </w:rPr>
        <w:t>58</w:t>
      </w:r>
      <w:r>
        <w:t>.</w:t>
      </w:r>
      <w:r>
        <w:tab/>
        <w:t>Hearings by audio link or video link</w:t>
      </w:r>
      <w:bookmarkEnd w:id="134"/>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lastRenderedPageBreak/>
        <w:tab/>
        <w:t>[Rule 58 inserted: SL 2022/60 r. 24.]</w:t>
      </w:r>
    </w:p>
    <w:p>
      <w:pPr>
        <w:pStyle w:val="Heading3"/>
      </w:pPr>
      <w:bookmarkStart w:id="135" w:name="_Toc175045075"/>
      <w:bookmarkStart w:id="136" w:name="_Toc175045969"/>
      <w:bookmarkStart w:id="137" w:name="_Toc175046091"/>
      <w:bookmarkStart w:id="138" w:name="_Toc175049981"/>
      <w:r>
        <w:rPr>
          <w:rStyle w:val="CharDivNo"/>
        </w:rPr>
        <w:t>Division 7</w:t>
      </w:r>
      <w:r>
        <w:t> — </w:t>
      </w:r>
      <w:r>
        <w:rPr>
          <w:rStyle w:val="CharDivText"/>
        </w:rPr>
        <w:t>Concluding an appeal</w:t>
      </w:r>
      <w:bookmarkEnd w:id="135"/>
      <w:bookmarkEnd w:id="136"/>
      <w:bookmarkEnd w:id="137"/>
      <w:bookmarkEnd w:id="138"/>
    </w:p>
    <w:p>
      <w:pPr>
        <w:pStyle w:val="Heading5"/>
      </w:pPr>
      <w:bookmarkStart w:id="139" w:name="_Toc175049982"/>
      <w:r>
        <w:rPr>
          <w:rStyle w:val="CharSectno"/>
        </w:rPr>
        <w:t>59</w:t>
      </w:r>
      <w:r>
        <w:t>.</w:t>
      </w:r>
      <w:r>
        <w:tab/>
        <w:t>Discontinuing an appeal</w:t>
      </w:r>
      <w:bookmarkEnd w:id="139"/>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legal practitioner (if any) acting for the appellant.</w:t>
      </w:r>
    </w:p>
    <w:p>
      <w:pPr>
        <w:pStyle w:val="Subsection"/>
      </w:pPr>
      <w:r>
        <w:tab/>
        <w:t>(1B)</w:t>
      </w:r>
      <w:r>
        <w:tab/>
        <w:t>Subject to subrule (2), the appeal is deemed to be dismissed on filing a Form 16.</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legal practitioner.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 SL 2022/74 r. 18; SL 2022/209 r. 23.]</w:t>
      </w:r>
    </w:p>
    <w:p>
      <w:pPr>
        <w:pStyle w:val="Heading5"/>
      </w:pPr>
      <w:bookmarkStart w:id="140" w:name="_Toc175049983"/>
      <w:r>
        <w:rPr>
          <w:rStyle w:val="CharSectno"/>
        </w:rPr>
        <w:lastRenderedPageBreak/>
        <w:t>60</w:t>
      </w:r>
      <w:r>
        <w:t>.</w:t>
      </w:r>
      <w:r>
        <w:tab/>
        <w:t>Settling an appeal</w:t>
      </w:r>
      <w:bookmarkEnd w:id="140"/>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legal practitioner.</w:t>
      </w:r>
    </w:p>
    <w:p>
      <w:pPr>
        <w:pStyle w:val="Footnotesection"/>
      </w:pPr>
      <w:r>
        <w:tab/>
        <w:t>[Rule 60 amended: Gazette 22 Aug 2017 p. 4544; SL 2022/74 r. 18.]</w:t>
      </w:r>
    </w:p>
    <w:p>
      <w:pPr>
        <w:pStyle w:val="Heading5"/>
      </w:pPr>
      <w:bookmarkStart w:id="141" w:name="_Toc175049984"/>
      <w:r>
        <w:rPr>
          <w:rStyle w:val="CharSectno"/>
        </w:rPr>
        <w:t>61</w:t>
      </w:r>
      <w:r>
        <w:t>.</w:t>
      </w:r>
      <w:r>
        <w:tab/>
        <w:t>Guideline judgments</w:t>
      </w:r>
      <w:bookmarkEnd w:id="141"/>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142" w:name="_Toc175049985"/>
      <w:r>
        <w:rPr>
          <w:rStyle w:val="CharSectno"/>
        </w:rPr>
        <w:t>62</w:t>
      </w:r>
      <w:r>
        <w:t>.</w:t>
      </w:r>
      <w:r>
        <w:tab/>
        <w:t>Criminal appeals, certificate of conclusion of</w:t>
      </w:r>
      <w:bookmarkEnd w:id="142"/>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lastRenderedPageBreak/>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President of the Mental Impairment Review Tribunal; and</w:t>
      </w:r>
    </w:p>
    <w:p>
      <w:pPr>
        <w:pStyle w:val="Indenta"/>
      </w:pPr>
      <w:r>
        <w:tab/>
        <w:t>(f)</w:t>
      </w:r>
      <w:r>
        <w:tab/>
        <w:t>any other person to whom an order made by the Court of Appeal in the appeal is directed.</w:t>
      </w:r>
    </w:p>
    <w:p>
      <w:pPr>
        <w:pStyle w:val="Subsection"/>
        <w:keepNext/>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 SL 2024/166 r. 6.]</w:t>
      </w:r>
    </w:p>
    <w:p>
      <w:pPr>
        <w:pStyle w:val="Heading5"/>
      </w:pPr>
      <w:bookmarkStart w:id="143" w:name="_Toc175049986"/>
      <w:r>
        <w:rPr>
          <w:rStyle w:val="CharSectno"/>
        </w:rPr>
        <w:t>63</w:t>
      </w:r>
      <w:r>
        <w:t>.</w:t>
      </w:r>
      <w:r>
        <w:tab/>
        <w:t>Other appeals, final orders on</w:t>
      </w:r>
      <w:bookmarkEnd w:id="143"/>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144" w:name="_Toc175049987"/>
      <w:r>
        <w:rPr>
          <w:rStyle w:val="CharSectno"/>
        </w:rPr>
        <w:lastRenderedPageBreak/>
        <w:t>64</w:t>
      </w:r>
      <w:r>
        <w:t>.</w:t>
      </w:r>
      <w:r>
        <w:tab/>
        <w:t>Return of records and things</w:t>
      </w:r>
      <w:bookmarkEnd w:id="144"/>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lastRenderedPageBreak/>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145" w:name="_Toc175049988"/>
      <w:r>
        <w:rPr>
          <w:rStyle w:val="CharSectno"/>
        </w:rPr>
        <w:t>65</w:t>
      </w:r>
      <w:r>
        <w:t>.</w:t>
      </w:r>
      <w:r>
        <w:tab/>
        <w:t>Enforcing judgments and orders</w:t>
      </w:r>
      <w:bookmarkEnd w:id="145"/>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146" w:name="_Toc175049989"/>
      <w:r>
        <w:rPr>
          <w:rStyle w:val="CharSectno"/>
        </w:rPr>
        <w:t>66</w:t>
      </w:r>
      <w:r>
        <w:t>.</w:t>
      </w:r>
      <w:r>
        <w:tab/>
        <w:t>Costs</w:t>
      </w:r>
      <w:bookmarkEnd w:id="146"/>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lastRenderedPageBreak/>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147" w:name="_Toc175045084"/>
      <w:bookmarkStart w:id="148" w:name="_Toc175045978"/>
      <w:bookmarkStart w:id="149" w:name="_Toc175046100"/>
      <w:bookmarkStart w:id="150" w:name="_Toc175049990"/>
      <w:r>
        <w:rPr>
          <w:rStyle w:val="CharPartNo"/>
        </w:rPr>
        <w:lastRenderedPageBreak/>
        <w:t>Part 6</w:t>
      </w:r>
      <w:r>
        <w:rPr>
          <w:rStyle w:val="CharDivNo"/>
        </w:rPr>
        <w:t> </w:t>
      </w:r>
      <w:r>
        <w:t>—</w:t>
      </w:r>
      <w:r>
        <w:rPr>
          <w:rStyle w:val="CharDivText"/>
        </w:rPr>
        <w:t> </w:t>
      </w:r>
      <w:r>
        <w:rPr>
          <w:rStyle w:val="CharPartText"/>
        </w:rPr>
        <w:t>Referred and other CA matters</w:t>
      </w:r>
      <w:bookmarkEnd w:id="147"/>
      <w:bookmarkEnd w:id="148"/>
      <w:bookmarkEnd w:id="149"/>
      <w:bookmarkEnd w:id="150"/>
    </w:p>
    <w:p>
      <w:pPr>
        <w:pStyle w:val="Heading5"/>
      </w:pPr>
      <w:bookmarkStart w:id="151" w:name="_Toc175049991"/>
      <w:r>
        <w:rPr>
          <w:rStyle w:val="CharSectno"/>
        </w:rPr>
        <w:t>67</w:t>
      </w:r>
      <w:r>
        <w:t>.</w:t>
      </w:r>
      <w:r>
        <w:tab/>
        <w:t>Referring a legal issue to the Court of Appeal</w:t>
      </w:r>
      <w:bookmarkEnd w:id="151"/>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lastRenderedPageBreak/>
        <w:tab/>
        <w:t>[Rule 67 amended: Gazette 22 Aug 2017 p. 4537</w:t>
      </w:r>
      <w:r>
        <w:noBreakHyphen/>
        <w:t>8.]</w:t>
      </w:r>
    </w:p>
    <w:p>
      <w:pPr>
        <w:pStyle w:val="Heading5"/>
      </w:pPr>
      <w:bookmarkStart w:id="152" w:name="_Toc175049992"/>
      <w:r>
        <w:rPr>
          <w:rStyle w:val="CharSectno"/>
        </w:rPr>
        <w:t>68</w:t>
      </w:r>
      <w:r>
        <w:t>.</w:t>
      </w:r>
      <w:r>
        <w:tab/>
        <w:t>Dealing with referred and other CA matters</w:t>
      </w:r>
      <w:bookmarkEnd w:id="152"/>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lastRenderedPageBreak/>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153" w:name="_Toc175045087"/>
      <w:bookmarkStart w:id="154" w:name="_Toc175045981"/>
      <w:bookmarkStart w:id="155" w:name="_Toc175046103"/>
      <w:bookmarkStart w:id="156" w:name="_Toc175049993"/>
      <w:r>
        <w:rPr>
          <w:rStyle w:val="CharPartNo"/>
        </w:rPr>
        <w:lastRenderedPageBreak/>
        <w:t>Part 7</w:t>
      </w:r>
      <w:r>
        <w:rPr>
          <w:rStyle w:val="CharDivNo"/>
        </w:rPr>
        <w:t> </w:t>
      </w:r>
      <w:r>
        <w:t>—</w:t>
      </w:r>
      <w:r>
        <w:rPr>
          <w:rStyle w:val="CharDivText"/>
        </w:rPr>
        <w:t> </w:t>
      </w:r>
      <w:r>
        <w:rPr>
          <w:rStyle w:val="CharPartText"/>
        </w:rPr>
        <w:t>Miscellaneous</w:t>
      </w:r>
      <w:bookmarkEnd w:id="153"/>
      <w:bookmarkEnd w:id="154"/>
      <w:bookmarkEnd w:id="155"/>
      <w:bookmarkEnd w:id="156"/>
    </w:p>
    <w:p>
      <w:pPr>
        <w:pStyle w:val="Heading5"/>
      </w:pPr>
      <w:bookmarkStart w:id="157" w:name="_Toc175049994"/>
      <w:r>
        <w:rPr>
          <w:rStyle w:val="CharSectno"/>
        </w:rPr>
        <w:t>69</w:t>
      </w:r>
      <w:r>
        <w:t>.</w:t>
      </w:r>
      <w:r>
        <w:tab/>
        <w:t>Removal of District Court appeal into Court of Appeal</w:t>
      </w:r>
      <w:bookmarkEnd w:id="157"/>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sectPr>
      </w:pPr>
    </w:p>
    <w:p>
      <w:pPr>
        <w:pStyle w:val="yScheduleHeading"/>
      </w:pPr>
      <w:bookmarkStart w:id="158" w:name="_Toc175045089"/>
      <w:bookmarkStart w:id="159" w:name="_Toc175045983"/>
      <w:bookmarkStart w:id="160" w:name="_Toc175046105"/>
      <w:bookmarkStart w:id="161" w:name="_Toc175049995"/>
      <w:r>
        <w:rPr>
          <w:rStyle w:val="CharSchNo"/>
        </w:rPr>
        <w:lastRenderedPageBreak/>
        <w:t>Schedule 1</w:t>
      </w:r>
      <w:r>
        <w:rPr>
          <w:rStyle w:val="CharSDivNo"/>
        </w:rPr>
        <w:t> </w:t>
      </w:r>
      <w:r>
        <w:t>—</w:t>
      </w:r>
      <w:r>
        <w:rPr>
          <w:rStyle w:val="CharSDivText"/>
        </w:rPr>
        <w:t> </w:t>
      </w:r>
      <w:r>
        <w:rPr>
          <w:rStyle w:val="CharSchText"/>
        </w:rPr>
        <w:t>Forms</w:t>
      </w:r>
      <w:bookmarkEnd w:id="158"/>
      <w:bookmarkEnd w:id="159"/>
      <w:bookmarkEnd w:id="160"/>
      <w:bookmarkEnd w:id="161"/>
    </w:p>
    <w:p>
      <w:pPr>
        <w:pStyle w:val="yShoulderClause"/>
      </w:pPr>
      <w:r>
        <w:t>[r. 3]</w:t>
      </w:r>
    </w:p>
    <w:p>
      <w:pPr>
        <w:pStyle w:val="yHeading5"/>
        <w:spacing w:after="240"/>
      </w:pPr>
      <w:bookmarkStart w:id="162" w:name="_Toc175049996"/>
      <w:r>
        <w:rPr>
          <w:rStyle w:val="CharSClsNo"/>
        </w:rPr>
        <w:t>1</w:t>
      </w:r>
      <w:r>
        <w:t>.</w:t>
      </w:r>
      <w:r>
        <w:tab/>
        <w:t>Appeal notice (</w:t>
      </w:r>
      <w:r>
        <w:rPr>
          <w:i/>
        </w:rPr>
        <w:t>Criminal Appeals Act 2004</w:t>
      </w:r>
      <w:r>
        <w:t xml:space="preserve"> Pt. 2 Div. 3 and Pt. 3) (r. 28)</w:t>
      </w:r>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 xml:space="preserve">Appeal notice </w:t>
            </w:r>
            <w:r>
              <w:rPr>
                <w:b/>
                <w:szCs w:val="22"/>
              </w:rPr>
              <w:t>(</w:t>
            </w:r>
            <w:r>
              <w:rPr>
                <w:b/>
                <w:i/>
                <w:szCs w:val="22"/>
              </w:rPr>
              <w:t>Criminal Appeals Act 2004</w:t>
            </w:r>
            <w:r>
              <w:rPr>
                <w:b/>
                <w:szCs w:val="22"/>
              </w:rPr>
              <w:t xml:space="preserve"> Pt. 2 Div. 3 and Pt. 3)</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legal practitioner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 xml:space="preserve">State the sentence. E.g. Imprisonment for 18 months with a </w:t>
      </w:r>
      <w:r>
        <w:rPr>
          <w:szCs w:val="22"/>
        </w:rPr>
        <w:t>parole</w:t>
      </w:r>
      <w:r>
        <w:t xml:space="preserve">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 SL 2022/74 r. 18; SL 2022/209 r. 24.]</w:t>
      </w:r>
    </w:p>
    <w:p>
      <w:pPr>
        <w:pStyle w:val="yHeading5"/>
        <w:spacing w:after="240"/>
        <w:rPr>
          <w:rStyle w:val="DraftersNotes"/>
          <w:b/>
          <w:i w:val="0"/>
          <w:sz w:val="22"/>
        </w:rPr>
      </w:pPr>
      <w:bookmarkStart w:id="163" w:name="_Toc175049997"/>
      <w:r>
        <w:rPr>
          <w:rStyle w:val="CharSClsNo"/>
        </w:rPr>
        <w:t>1A</w:t>
      </w:r>
      <w:r>
        <w:t>.</w:t>
      </w:r>
      <w:r>
        <w:tab/>
        <w:t>Appeal notice (</w:t>
      </w:r>
      <w:r>
        <w:rPr>
          <w:i/>
        </w:rPr>
        <w:t>Criminal Appeals Act 2004</w:t>
      </w:r>
      <w:r>
        <w:t xml:space="preserve"> Pt. 3A) (r. 28A)</w:t>
      </w:r>
      <w:bookmarkEnd w:id="163"/>
    </w:p>
    <w:tbl>
      <w:tblPr>
        <w:tblW w:w="716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648"/>
        <w:gridCol w:w="1418"/>
      </w:tblGrid>
      <w:tr>
        <w:trPr>
          <w:cantSplit/>
          <w:trHeight w:val="329"/>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200" w:type="dxa"/>
            <w:gridSpan w:val="3"/>
            <w:tcBorders>
              <w:bottom w:val="nil"/>
            </w:tcBorders>
            <w:vAlign w:val="center"/>
          </w:tcPr>
          <w:p>
            <w:pPr>
              <w:pStyle w:val="yTableNAm"/>
              <w:spacing w:before="0"/>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200" w:type="dxa"/>
            <w:gridSpan w:val="3"/>
            <w:tcBorders>
              <w:bottom w:val="nil"/>
            </w:tcBorders>
            <w:vAlign w:val="center"/>
          </w:tcPr>
          <w:p>
            <w:pPr>
              <w:pStyle w:val="yTableNAm"/>
              <w:spacing w:before="0"/>
            </w:pPr>
            <w:r>
              <w:rPr>
                <w:b/>
                <w:szCs w:val="22"/>
              </w:rPr>
              <w:t xml:space="preserve">Appeal notice </w:t>
            </w:r>
            <w:r>
              <w:rPr>
                <w:b/>
                <w:i/>
                <w:szCs w:val="22"/>
              </w:rPr>
              <w:t>(Criminal Appeals Act 2004</w:t>
            </w:r>
            <w:r>
              <w:rPr>
                <w:b/>
                <w:szCs w:val="22"/>
              </w:rPr>
              <w:t xml:space="preserve"> Pt. 3A)</w:t>
            </w:r>
          </w:p>
        </w:tc>
      </w:tr>
      <w:tr>
        <w:trPr>
          <w:cantSplit/>
        </w:trPr>
        <w:tc>
          <w:tcPr>
            <w:tcW w:w="2127" w:type="dxa"/>
            <w:tcBorders>
              <w:bottom w:val="nil"/>
            </w:tcBorders>
          </w:tcPr>
          <w:p>
            <w:pPr>
              <w:pStyle w:val="yTableNAm"/>
              <w:spacing w:before="0"/>
            </w:pPr>
            <w:r>
              <w:rPr>
                <w:sz w:val="20"/>
              </w:rPr>
              <w:t>Parties to the appeal</w:t>
            </w:r>
          </w:p>
        </w:tc>
        <w:tc>
          <w:tcPr>
            <w:tcW w:w="5042" w:type="dxa"/>
            <w:gridSpan w:val="4"/>
            <w:tcBorders>
              <w:bottom w:val="nil"/>
            </w:tcBorders>
          </w:tcPr>
          <w:p>
            <w:pPr>
              <w:pStyle w:val="yTableNAm"/>
              <w:tabs>
                <w:tab w:val="clear" w:pos="567"/>
                <w:tab w:val="left" w:pos="3712"/>
              </w:tabs>
              <w:spacing w:before="0"/>
              <w:rPr>
                <w:sz w:val="20"/>
              </w:rPr>
            </w:pPr>
            <w:r>
              <w:rPr>
                <w:sz w:val="20"/>
              </w:rPr>
              <w:tab/>
              <w:t>Appellant</w:t>
            </w:r>
          </w:p>
          <w:p>
            <w:pPr>
              <w:pStyle w:val="yTableNAm"/>
              <w:tabs>
                <w:tab w:val="clear" w:pos="567"/>
                <w:tab w:val="left" w:pos="3712"/>
              </w:tabs>
              <w:spacing w:before="0"/>
            </w:pPr>
            <w:r>
              <w:tab/>
            </w:r>
            <w:r>
              <w:rPr>
                <w:sz w:val="20"/>
              </w:rPr>
              <w:t>Respondent</w:t>
            </w:r>
          </w:p>
        </w:tc>
      </w:tr>
      <w:tr>
        <w:trPr>
          <w:cantSplit/>
        </w:trPr>
        <w:tc>
          <w:tcPr>
            <w:tcW w:w="2127" w:type="dxa"/>
            <w:tcBorders>
              <w:bottom w:val="nil"/>
            </w:tcBorders>
          </w:tcPr>
          <w:p>
            <w:pPr>
              <w:pStyle w:val="yTableNAm"/>
              <w:spacing w:before="0"/>
            </w:pPr>
            <w:r>
              <w:rPr>
                <w:sz w:val="20"/>
              </w:rPr>
              <w:t>Offender</w:t>
            </w:r>
          </w:p>
        </w:tc>
        <w:tc>
          <w:tcPr>
            <w:tcW w:w="2976" w:type="dxa"/>
            <w:gridSpan w:val="2"/>
            <w:tcBorders>
              <w:bottom w:val="nil"/>
            </w:tcBorders>
          </w:tcPr>
          <w:p>
            <w:pPr>
              <w:pStyle w:val="yTableNAm"/>
              <w:spacing w:before="0"/>
            </w:pPr>
            <w:r>
              <w:rPr>
                <w:sz w:val="20"/>
              </w:rPr>
              <w:t>Full name:</w:t>
            </w:r>
          </w:p>
        </w:tc>
        <w:tc>
          <w:tcPr>
            <w:tcW w:w="2066" w:type="dxa"/>
            <w:gridSpan w:val="2"/>
            <w:tcBorders>
              <w:bottom w:val="nil"/>
            </w:tcBorders>
          </w:tcPr>
          <w:p>
            <w:pPr>
              <w:pStyle w:val="yTableNAm"/>
              <w:spacing w:before="0"/>
            </w:pPr>
            <w:r>
              <w:rPr>
                <w:sz w:val="20"/>
              </w:rPr>
              <w:t>Date of birth:</w:t>
            </w:r>
          </w:p>
        </w:tc>
      </w:tr>
      <w:tr>
        <w:trPr>
          <w:cantSplit/>
        </w:trPr>
        <w:tc>
          <w:tcPr>
            <w:tcW w:w="7169" w:type="dxa"/>
            <w:gridSpan w:val="5"/>
            <w:tcBorders>
              <w:bottom w:val="nil"/>
            </w:tcBorders>
          </w:tcPr>
          <w:p>
            <w:pPr>
              <w:pStyle w:val="yTableNAm"/>
              <w:keepNext/>
              <w:spacing w:before="0"/>
            </w:pPr>
            <w:r>
              <w:rPr>
                <w:b/>
                <w:sz w:val="20"/>
              </w:rPr>
              <w:lastRenderedPageBreak/>
              <w:t>Primary court’s decision</w:t>
            </w:r>
          </w:p>
        </w:tc>
      </w:tr>
      <w:tr>
        <w:trPr>
          <w:cantSplit/>
        </w:trPr>
        <w:tc>
          <w:tcPr>
            <w:tcW w:w="2127" w:type="dxa"/>
            <w:tcBorders>
              <w:bottom w:val="nil"/>
            </w:tcBorders>
          </w:tcPr>
          <w:p>
            <w:pPr>
              <w:pStyle w:val="yTableNAm"/>
              <w:spacing w:before="0"/>
              <w:rPr>
                <w:sz w:val="20"/>
              </w:rPr>
            </w:pPr>
            <w:r>
              <w:rPr>
                <w:sz w:val="20"/>
              </w:rPr>
              <w:t>Primary court</w:t>
            </w:r>
          </w:p>
          <w:p>
            <w:pPr>
              <w:pStyle w:val="yTableNAm"/>
              <w:spacing w:before="0"/>
              <w:rPr>
                <w:sz w:val="20"/>
              </w:rPr>
            </w:pPr>
            <w:r>
              <w:rPr>
                <w:sz w:val="20"/>
              </w:rPr>
              <w:t>Indictment No.</w:t>
            </w:r>
          </w:p>
          <w:p>
            <w:pPr>
              <w:pStyle w:val="yTableNAm"/>
              <w:spacing w:before="0"/>
              <w:rPr>
                <w:sz w:val="20"/>
              </w:rPr>
            </w:pPr>
            <w:r>
              <w:rPr>
                <w:sz w:val="20"/>
              </w:rPr>
              <w:t>Date of decision</w:t>
            </w:r>
          </w:p>
          <w:p>
            <w:pPr>
              <w:pStyle w:val="yTableNAm"/>
              <w:spacing w:before="0"/>
            </w:pPr>
            <w:r>
              <w:rPr>
                <w:sz w:val="20"/>
              </w:rPr>
              <w:t>Judicial officer</w:t>
            </w:r>
          </w:p>
        </w:tc>
        <w:tc>
          <w:tcPr>
            <w:tcW w:w="5042" w:type="dxa"/>
            <w:gridSpan w:val="4"/>
            <w:tcBorders>
              <w:bottom w:val="nil"/>
            </w:tcBorders>
          </w:tcPr>
          <w:p>
            <w:pPr>
              <w:pStyle w:val="yTableNAm"/>
              <w:tabs>
                <w:tab w:val="clear" w:pos="567"/>
                <w:tab w:val="left" w:pos="3428"/>
              </w:tabs>
              <w:spacing w:before="0"/>
            </w:pPr>
            <w:r>
              <w:rPr>
                <w:sz w:val="20"/>
              </w:rPr>
              <w:tab/>
              <w:t>at</w:t>
            </w:r>
          </w:p>
        </w:tc>
      </w:tr>
      <w:tr>
        <w:trPr>
          <w:cantSplit/>
        </w:trPr>
        <w:tc>
          <w:tcPr>
            <w:tcW w:w="7169" w:type="dxa"/>
            <w:gridSpan w:val="5"/>
            <w:tcBorders>
              <w:bottom w:val="nil"/>
            </w:tcBorders>
          </w:tcPr>
          <w:p>
            <w:pPr>
              <w:pStyle w:val="yTableNAm"/>
              <w:spacing w:before="0"/>
            </w:pPr>
            <w:r>
              <w:rPr>
                <w:b/>
                <w:sz w:val="20"/>
              </w:rPr>
              <w:t>Decision details</w:t>
            </w:r>
          </w:p>
        </w:tc>
      </w:tr>
      <w:tr>
        <w:trPr>
          <w:cantSplit/>
        </w:trPr>
        <w:tc>
          <w:tcPr>
            <w:tcW w:w="2127" w:type="dxa"/>
            <w:tcBorders>
              <w:bottom w:val="nil"/>
            </w:tcBorders>
          </w:tcPr>
          <w:p>
            <w:pPr>
              <w:pStyle w:val="yTableNAm"/>
              <w:spacing w:before="0"/>
            </w:pPr>
            <w:r>
              <w:rPr>
                <w:sz w:val="20"/>
              </w:rPr>
              <w:t>Conviction recorded </w:t>
            </w:r>
            <w:r>
              <w:rPr>
                <w:sz w:val="20"/>
                <w:vertAlign w:val="superscript"/>
              </w:rPr>
              <w:t>1</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Previous appeal details</w:t>
            </w:r>
          </w:p>
        </w:tc>
      </w:tr>
      <w:tr>
        <w:trPr>
          <w:cantSplit/>
        </w:trPr>
        <w:tc>
          <w:tcPr>
            <w:tcW w:w="2127" w:type="dxa"/>
            <w:tcBorders>
              <w:bottom w:val="nil"/>
            </w:tcBorders>
          </w:tcPr>
          <w:p>
            <w:pPr>
              <w:pStyle w:val="yTableNAm"/>
              <w:spacing w:before="0"/>
            </w:pPr>
            <w:r>
              <w:rPr>
                <w:sz w:val="20"/>
              </w:rPr>
              <w:t>Date appeal(s) dismissed</w:t>
            </w:r>
          </w:p>
        </w:tc>
        <w:tc>
          <w:tcPr>
            <w:tcW w:w="5042" w:type="dxa"/>
            <w:gridSpan w:val="4"/>
            <w:tcBorders>
              <w:bottom w:val="nil"/>
            </w:tcBorders>
          </w:tcPr>
          <w:p>
            <w:pPr>
              <w:pStyle w:val="yTableNAm"/>
              <w:spacing w:before="0"/>
            </w:pPr>
          </w:p>
        </w:tc>
      </w:tr>
      <w:tr>
        <w:trPr>
          <w:cantSplit/>
        </w:trPr>
        <w:tc>
          <w:tcPr>
            <w:tcW w:w="2127" w:type="dxa"/>
            <w:tcBorders>
              <w:bottom w:val="nil"/>
            </w:tcBorders>
          </w:tcPr>
          <w:p>
            <w:pPr>
              <w:pStyle w:val="yTableNAm"/>
              <w:spacing w:before="0"/>
            </w:pPr>
            <w:r>
              <w:rPr>
                <w:sz w:val="20"/>
              </w:rPr>
              <w:t>Matter number(s)</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Appeal details</w:t>
            </w:r>
          </w:p>
        </w:tc>
      </w:tr>
      <w:tr>
        <w:trPr>
          <w:cantSplit/>
        </w:trPr>
        <w:tc>
          <w:tcPr>
            <w:tcW w:w="2127" w:type="dxa"/>
          </w:tcPr>
          <w:p>
            <w:pPr>
              <w:pStyle w:val="yTableNAm"/>
              <w:spacing w:before="0"/>
              <w:rPr>
                <w:sz w:val="20"/>
              </w:rPr>
            </w:pPr>
            <w:r>
              <w:rPr>
                <w:sz w:val="20"/>
              </w:rPr>
              <w:t>Notice of appeal</w:t>
            </w:r>
          </w:p>
          <w:p>
            <w:pPr>
              <w:pStyle w:val="zyTableNAm"/>
              <w:spacing w:before="0"/>
              <w:rPr>
                <w:sz w:val="20"/>
              </w:rPr>
            </w:pPr>
          </w:p>
        </w:tc>
        <w:tc>
          <w:tcPr>
            <w:tcW w:w="5042" w:type="dxa"/>
            <w:gridSpan w:val="4"/>
          </w:tcPr>
          <w:p>
            <w:pPr>
              <w:pStyle w:val="yTableNAm"/>
              <w:spacing w:before="0"/>
            </w:pPr>
            <w:r>
              <w:rPr>
                <w:sz w:val="20"/>
              </w:rPr>
              <w:t>The appellant applies to the Court of Appeal for leave to appeal against the above conviction.</w:t>
            </w:r>
          </w:p>
        </w:tc>
      </w:tr>
      <w:tr>
        <w:trPr>
          <w:cantSplit/>
        </w:trPr>
        <w:tc>
          <w:tcPr>
            <w:tcW w:w="2127" w:type="dxa"/>
          </w:tcPr>
          <w:p>
            <w:pPr>
              <w:pStyle w:val="yTableNAm"/>
              <w:spacing w:before="0"/>
            </w:pPr>
            <w:r>
              <w:rPr>
                <w:sz w:val="20"/>
              </w:rPr>
              <w:t>Notice to the respondent</w:t>
            </w:r>
          </w:p>
        </w:tc>
        <w:tc>
          <w:tcPr>
            <w:tcW w:w="5042" w:type="dxa"/>
            <w:gridSpan w:val="4"/>
          </w:tcPr>
          <w:p>
            <w:pPr>
              <w:pStyle w:val="yTableNAm"/>
              <w:spacing w:before="0"/>
            </w:pPr>
            <w:r>
              <w:rPr>
                <w:sz w:val="20"/>
              </w:rPr>
              <w:t xml:space="preserve">If you want to take part in this appeal you must file a Form 4 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NAm"/>
              <w:spacing w:before="0"/>
            </w:pPr>
            <w:r>
              <w:rPr>
                <w:sz w:val="20"/>
              </w:rPr>
              <w:t>Legal representation</w:t>
            </w:r>
          </w:p>
        </w:tc>
        <w:tc>
          <w:tcPr>
            <w:tcW w:w="5042" w:type="dxa"/>
            <w:gridSpan w:val="4"/>
            <w:tcBorders>
              <w:bottom w:val="single" w:sz="4" w:space="0" w:color="auto"/>
            </w:tcBorders>
          </w:tcPr>
          <w:p>
            <w:pPr>
              <w:pStyle w:val="yTableNAm"/>
              <w:tabs>
                <w:tab w:val="left" w:pos="3995"/>
              </w:tabs>
              <w:spacing w:before="0"/>
              <w:rPr>
                <w:sz w:val="20"/>
              </w:rPr>
            </w:pPr>
            <w:r>
              <w:rPr>
                <w:sz w:val="20"/>
              </w:rPr>
              <w:t>Is the appellant legally represented in this appeal?  Yes/No</w:t>
            </w:r>
          </w:p>
          <w:p>
            <w:pPr>
              <w:pStyle w:val="yTableNAm"/>
              <w:tabs>
                <w:tab w:val="left" w:pos="4137"/>
              </w:tabs>
              <w:spacing w:before="0"/>
              <w:rPr>
                <w:sz w:val="20"/>
              </w:rPr>
            </w:pPr>
            <w:r>
              <w:rPr>
                <w:sz w:val="20"/>
              </w:rPr>
              <w:t>Is the appellant applying for legal aid?</w:t>
            </w:r>
            <w:r>
              <w:rPr>
                <w:sz w:val="20"/>
              </w:rPr>
              <w:tab/>
              <w:t>Yes/No</w:t>
            </w:r>
          </w:p>
        </w:tc>
      </w:tr>
      <w:tr>
        <w:trPr>
          <w:cantSplit/>
        </w:trPr>
        <w:tc>
          <w:tcPr>
            <w:tcW w:w="7169" w:type="dxa"/>
            <w:gridSpan w:val="5"/>
            <w:tcBorders>
              <w:top w:val="single" w:sz="4" w:space="0" w:color="auto"/>
              <w:bottom w:val="nil"/>
            </w:tcBorders>
          </w:tcPr>
          <w:p>
            <w:pPr>
              <w:pStyle w:val="yTableNAm"/>
              <w:spacing w:before="0"/>
            </w:pPr>
            <w:r>
              <w:rPr>
                <w:b/>
                <w:sz w:val="20"/>
              </w:rPr>
              <w:t>Appellant’s details for service </w:t>
            </w:r>
            <w:r>
              <w:rPr>
                <w:b/>
                <w:sz w:val="20"/>
                <w:vertAlign w:val="superscript"/>
              </w:rPr>
              <w:t>2</w:t>
            </w:r>
          </w:p>
        </w:tc>
      </w:tr>
      <w:tr>
        <w:trPr>
          <w:cantSplit/>
        </w:trPr>
        <w:tc>
          <w:tcPr>
            <w:tcW w:w="2127" w:type="dxa"/>
            <w:tcBorders>
              <w:bottom w:val="nil"/>
            </w:tcBorders>
          </w:tcPr>
          <w:p>
            <w:pPr>
              <w:pStyle w:val="yTableNAm"/>
              <w:spacing w:before="0"/>
              <w:rPr>
                <w:sz w:val="20"/>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pPr>
            <w:r>
              <w:rPr>
                <w:sz w:val="20"/>
              </w:rPr>
              <w:t>Reference No.</w:t>
            </w:r>
          </w:p>
        </w:tc>
        <w:tc>
          <w:tcPr>
            <w:tcW w:w="5042" w:type="dxa"/>
            <w:gridSpan w:val="4"/>
            <w:tcBorders>
              <w:bottom w:val="nil"/>
            </w:tcBorders>
          </w:tcPr>
          <w:p>
            <w:pPr>
              <w:pStyle w:val="yTableNAm"/>
              <w:spacing w:before="0"/>
              <w:rPr>
                <w:sz w:val="20"/>
              </w:rPr>
            </w:pPr>
          </w:p>
          <w:p>
            <w:pPr>
              <w:pStyle w:val="yTableNAm"/>
              <w:spacing w:before="0"/>
              <w:rPr>
                <w:sz w:val="20"/>
              </w:rPr>
            </w:pPr>
          </w:p>
          <w:p>
            <w:pPr>
              <w:pStyle w:val="yTableNAm"/>
              <w:tabs>
                <w:tab w:val="clear" w:pos="567"/>
                <w:tab w:val="left" w:pos="3145"/>
              </w:tabs>
              <w:spacing w:before="0"/>
              <w:rPr>
                <w:sz w:val="20"/>
              </w:rPr>
            </w:pPr>
            <w:r>
              <w:tab/>
            </w:r>
            <w:r>
              <w:rPr>
                <w:sz w:val="20"/>
              </w:rPr>
              <w:t>Fax No.</w:t>
            </w:r>
          </w:p>
        </w:tc>
      </w:tr>
      <w:tr>
        <w:trPr>
          <w:cantSplit/>
        </w:trPr>
        <w:tc>
          <w:tcPr>
            <w:tcW w:w="2127" w:type="dxa"/>
            <w:tcBorders>
              <w:bottom w:val="single" w:sz="4" w:space="0" w:color="auto"/>
            </w:tcBorders>
          </w:tcPr>
          <w:p>
            <w:pPr>
              <w:pStyle w:val="yTableNAm"/>
              <w:spacing w:before="0"/>
            </w:pPr>
            <w:r>
              <w:rPr>
                <w:sz w:val="20"/>
              </w:rPr>
              <w:t>Signature of appellant or legal practitioner</w:t>
            </w:r>
          </w:p>
        </w:tc>
        <w:tc>
          <w:tcPr>
            <w:tcW w:w="3624" w:type="dxa"/>
            <w:gridSpan w:val="3"/>
            <w:tcBorders>
              <w:bottom w:val="single" w:sz="4" w:space="0" w:color="auto"/>
            </w:tcBorders>
          </w:tcPr>
          <w:p>
            <w:pPr>
              <w:pStyle w:val="yTableNAm"/>
              <w:spacing w:before="0"/>
              <w:rPr>
                <w:sz w:val="20"/>
              </w:rPr>
            </w:pPr>
            <w:r>
              <w:br/>
            </w:r>
            <w:r>
              <w:rPr>
                <w:sz w:val="20"/>
              </w:rPr>
              <w:t>Appellant/Appellant’s legal practitioner</w:t>
            </w:r>
          </w:p>
        </w:tc>
        <w:tc>
          <w:tcPr>
            <w:tcW w:w="1418" w:type="dxa"/>
            <w:tcBorders>
              <w:bottom w:val="single" w:sz="4" w:space="0" w:color="auto"/>
            </w:tcBorders>
          </w:tcPr>
          <w:p>
            <w:pPr>
              <w:pStyle w:val="yTableNAm"/>
              <w:spacing w:before="0"/>
            </w:pPr>
            <w:r>
              <w:rPr>
                <w:sz w:val="20"/>
              </w:rPr>
              <w:t>Date:</w:t>
            </w:r>
          </w:p>
        </w:tc>
      </w:tr>
    </w:tbl>
    <w:p>
      <w:pPr>
        <w:pStyle w:val="yMiscellaneousBody"/>
        <w:spacing w:before="80"/>
        <w:ind w:left="567" w:hanging="567"/>
      </w:pPr>
      <w:r>
        <w:tab/>
        <w:t>Notes to Form 1A —</w:t>
      </w:r>
    </w:p>
    <w:p>
      <w:pPr>
        <w:pStyle w:val="yMiscellaneousBody"/>
        <w:tabs>
          <w:tab w:val="left" w:pos="567"/>
          <w:tab w:val="left" w:pos="1134"/>
        </w:tabs>
        <w:spacing w:before="0"/>
        <w:ind w:left="1134" w:hanging="1134"/>
      </w:pPr>
      <w:r>
        <w:tab/>
        <w:t>1.</w:t>
      </w:r>
      <w:r>
        <w:tab/>
        <w:t>Describe the offence, e.g. dangerous driving causing death. If there is more than 1 conviction, state the details of the other convictions.</w:t>
      </w:r>
    </w:p>
    <w:p>
      <w:pPr>
        <w:pStyle w:val="yMiscellaneousBody"/>
        <w:tabs>
          <w:tab w:val="left" w:pos="567"/>
          <w:tab w:val="left" w:pos="1134"/>
        </w:tabs>
        <w:spacing w:before="0"/>
        <w:ind w:left="1134" w:hanging="1134"/>
      </w:pPr>
      <w:r>
        <w:tab/>
        <w:t>2.</w:t>
      </w:r>
      <w:r>
        <w:tab/>
        <w:t>If the appellant is represented by a legal practitioner, the appellant’s details below must be the legal practitioner’s. If the appellant is self</w:t>
      </w:r>
      <w:r>
        <w:noBreakHyphen/>
        <w:t>represented, the details must be the appellant’s personal details.</w:t>
      </w:r>
    </w:p>
    <w:p>
      <w:pPr>
        <w:pStyle w:val="yFootnotesection"/>
      </w:pPr>
      <w:r>
        <w:tab/>
        <w:t>[Form 1A inserted: SL 2022/209 r. 25.]</w:t>
      </w:r>
    </w:p>
    <w:p>
      <w:pPr>
        <w:pStyle w:val="yHeading5"/>
        <w:spacing w:after="240"/>
      </w:pPr>
      <w:bookmarkStart w:id="164" w:name="_Toc175049998"/>
      <w:r>
        <w:rPr>
          <w:rStyle w:val="CharSClsNo"/>
        </w:rPr>
        <w:lastRenderedPageBreak/>
        <w:t>2</w:t>
      </w:r>
      <w:r>
        <w:t>.</w:t>
      </w:r>
      <w:r>
        <w:tab/>
        <w:t>Appeal notice (civil) (r. 29)</w:t>
      </w:r>
      <w:bookmarkEnd w:id="164"/>
    </w:p>
    <w:tbl>
      <w:tblPr>
        <w:tblW w:w="722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251"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251" w:type="dxa"/>
            <w:gridSpan w:val="2"/>
            <w:tcBorders>
              <w:bottom w:val="nil"/>
            </w:tcBorders>
            <w:vAlign w:val="center"/>
          </w:tcPr>
          <w:p>
            <w:pPr>
              <w:pStyle w:val="yTable"/>
              <w:keepNext/>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66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220"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660"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660" w:type="dxa"/>
            <w:gridSpan w:val="3"/>
            <w:tcBorders>
              <w:bottom w:val="nil"/>
            </w:tcBorders>
          </w:tcPr>
          <w:p>
            <w:pPr>
              <w:pStyle w:val="yTable"/>
              <w:spacing w:before="0"/>
              <w:rPr>
                <w:sz w:val="20"/>
              </w:rPr>
            </w:pPr>
          </w:p>
        </w:tc>
      </w:tr>
      <w:tr>
        <w:trPr>
          <w:cantSplit/>
        </w:trPr>
        <w:tc>
          <w:tcPr>
            <w:tcW w:w="7220"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660"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660"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660"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660"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660"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660"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220"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6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legal practitioner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lastRenderedPageBreak/>
        <w:t>3.</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 SL 2022/74 r. 18.]</w:t>
      </w:r>
    </w:p>
    <w:p>
      <w:pPr>
        <w:pStyle w:val="yHeading5"/>
        <w:spacing w:after="240"/>
      </w:pPr>
      <w:bookmarkStart w:id="165" w:name="_Toc175049999"/>
      <w:r>
        <w:rPr>
          <w:rStyle w:val="CharSClsNo"/>
        </w:rPr>
        <w:t>3</w:t>
      </w:r>
      <w:r>
        <w:t>.</w:t>
      </w:r>
      <w:r>
        <w:tab/>
        <w:t>Service certificate (r. 29A(2))</w:t>
      </w:r>
      <w:bookmarkEnd w:id="16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28(1)(b) (for an appeal under the </w:t>
      </w:r>
      <w:r>
        <w:rPr>
          <w:i/>
        </w:rPr>
        <w:t>Criminal Appeals Act 2004</w:t>
      </w:r>
      <w:r>
        <w:t xml:space="preserve"> Pt. 2 Div. 3 or Pt. 3) or 29(1)(b) (for a civil appeal).</w:t>
      </w:r>
    </w:p>
    <w:p>
      <w:pPr>
        <w:pStyle w:val="yFootnotesection"/>
      </w:pPr>
      <w:r>
        <w:tab/>
        <w:t>[Form 3 amended: Gazette 22 Aug 2017 p. 4539; SL 2022/60 r. 26(1); SL 2022/74 r. 18; SL 2022/209 r. 26.]</w:t>
      </w:r>
    </w:p>
    <w:p>
      <w:pPr>
        <w:pStyle w:val="yHeading5"/>
        <w:spacing w:after="240"/>
      </w:pPr>
      <w:bookmarkStart w:id="166" w:name="_Toc175050000"/>
      <w:r>
        <w:rPr>
          <w:rStyle w:val="CharSClsNo"/>
        </w:rPr>
        <w:lastRenderedPageBreak/>
        <w:t>4</w:t>
      </w:r>
      <w:r>
        <w:t>.</w:t>
      </w:r>
      <w:r>
        <w:tab/>
        <w:t>Notice of respondent’s intention (r. 31)</w:t>
      </w:r>
      <w:bookmarkEnd w:id="16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Court of Appeal</w:t>
            </w:r>
          </w:p>
        </w:tc>
        <w:tc>
          <w:tcPr>
            <w:tcW w:w="3028" w:type="dxa"/>
            <w:gridSpan w:val="2"/>
          </w:tcPr>
          <w:p>
            <w:pPr>
              <w:pStyle w:val="yTableNAm"/>
              <w:keepNext/>
              <w:spacing w:before="0"/>
              <w:rPr>
                <w:sz w:val="20"/>
              </w:rPr>
            </w:pPr>
            <w:r>
              <w:rPr>
                <w:sz w:val="20"/>
              </w:rPr>
              <w:t>No.:</w:t>
            </w:r>
          </w:p>
        </w:tc>
      </w:tr>
      <w:tr>
        <w:trPr>
          <w:cantSplit/>
          <w:trHeight w:val="194"/>
        </w:trPr>
        <w:tc>
          <w:tcPr>
            <w:tcW w:w="3969" w:type="dxa"/>
            <w:gridSpan w:val="2"/>
            <w:vMerge/>
          </w:tcPr>
          <w:p>
            <w:pPr>
              <w:pStyle w:val="yTableNAm"/>
              <w:keepNext/>
              <w:spacing w:before="0"/>
              <w:rPr>
                <w:sz w:val="20"/>
              </w:rPr>
            </w:pPr>
          </w:p>
        </w:tc>
        <w:tc>
          <w:tcPr>
            <w:tcW w:w="3028" w:type="dxa"/>
            <w:gridSpan w:val="2"/>
          </w:tcPr>
          <w:p>
            <w:pPr>
              <w:pStyle w:val="yTableNAm"/>
              <w:keepNext/>
              <w:spacing w:before="0"/>
              <w:rPr>
                <w:b/>
                <w:sz w:val="20"/>
              </w:rPr>
            </w:pPr>
            <w:r>
              <w:rPr>
                <w:b/>
                <w:sz w:val="20"/>
              </w:rPr>
              <w:t>Notice of respondent’s intention</w:t>
            </w:r>
          </w:p>
        </w:tc>
      </w:tr>
      <w:tr>
        <w:trPr>
          <w:cantSplit/>
        </w:trPr>
        <w:tc>
          <w:tcPr>
            <w:tcW w:w="1985" w:type="dxa"/>
          </w:tcPr>
          <w:p>
            <w:pPr>
              <w:pStyle w:val="yTableNAm"/>
              <w:keepNext/>
              <w:spacing w:before="0"/>
              <w:rPr>
                <w:sz w:val="20"/>
                <w:vertAlign w:val="superscript"/>
              </w:rPr>
            </w:pPr>
            <w:r>
              <w:rPr>
                <w:sz w:val="20"/>
              </w:rPr>
              <w:t>Parties to the appeal</w:t>
            </w:r>
          </w:p>
        </w:tc>
        <w:tc>
          <w:tcPr>
            <w:tcW w:w="5012" w:type="dxa"/>
            <w:gridSpan w:val="3"/>
          </w:tcPr>
          <w:p>
            <w:pPr>
              <w:pStyle w:val="yTableNAm"/>
              <w:keepNext/>
              <w:tabs>
                <w:tab w:val="clear" w:pos="567"/>
                <w:tab w:val="left" w:pos="3345"/>
              </w:tabs>
              <w:spacing w:before="0"/>
              <w:rPr>
                <w:sz w:val="20"/>
              </w:rPr>
            </w:pPr>
            <w:r>
              <w:rPr>
                <w:sz w:val="20"/>
              </w:rPr>
              <w:tab/>
              <w:t>Appellant</w:t>
            </w:r>
          </w:p>
          <w:p>
            <w:pPr>
              <w:pStyle w:val="yTableNAm"/>
              <w:keepNext/>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r>
        <w:t>legal practitioner</w:t>
      </w:r>
      <w:r>
        <w:rPr>
          <w:szCs w:val="22"/>
        </w:rPr>
        <w:t xml:space="preserve">, the respondent’s details below must be the </w:t>
      </w:r>
      <w:r>
        <w:t>legal practitioner’s</w:t>
      </w:r>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 amended: SL 2022/74 r. 18.]</w:t>
      </w:r>
    </w:p>
    <w:p>
      <w:pPr>
        <w:pStyle w:val="yHeading5"/>
        <w:spacing w:after="240"/>
      </w:pPr>
      <w:bookmarkStart w:id="167" w:name="_Toc175050001"/>
      <w:r>
        <w:rPr>
          <w:rStyle w:val="CharSClsNo"/>
        </w:rPr>
        <w:t>4A</w:t>
      </w:r>
      <w:r>
        <w:t>.</w:t>
      </w:r>
      <w:r>
        <w:tab/>
        <w:t>Notice of respondent’s cross appeal (r. 31A)</w:t>
      </w:r>
      <w:bookmarkEnd w:id="16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lastRenderedPageBreak/>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 SL 2022/74 r. 18.]</w:t>
      </w:r>
    </w:p>
    <w:p>
      <w:pPr>
        <w:pStyle w:val="yHeading5"/>
        <w:keepNext w:val="0"/>
        <w:spacing w:after="240"/>
      </w:pPr>
      <w:bookmarkStart w:id="168" w:name="_Toc175050002"/>
      <w:r>
        <w:rPr>
          <w:rStyle w:val="CharSClsNo"/>
        </w:rPr>
        <w:t>5</w:t>
      </w:r>
      <w:r>
        <w:t>.</w:t>
      </w:r>
      <w:r>
        <w:tab/>
        <w:t>Legal practitioner’s notice of acting (Part 4)</w:t>
      </w:r>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Legal practitioner’s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legal practitioner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Legal practitioner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legal practitioner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 SL 2022/74 r. 18.]</w:t>
      </w:r>
    </w:p>
    <w:p>
      <w:pPr>
        <w:pStyle w:val="yHeading5"/>
      </w:pPr>
      <w:bookmarkStart w:id="169" w:name="_Toc175050003"/>
      <w:r>
        <w:rPr>
          <w:rStyle w:val="CharSClsNo"/>
        </w:rPr>
        <w:t>5A</w:t>
      </w:r>
      <w:r>
        <w:t>.</w:t>
      </w:r>
      <w:r>
        <w:tab/>
        <w:t>Service certificate by legal practitioner ceasing to act (r. 24(3))</w:t>
      </w:r>
      <w:bookmarkEnd w:id="16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legal practitioner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legal practitioner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lastRenderedPageBreak/>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legal practitioner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legal practitioner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 SL 2022/74 r. 18.]</w:t>
      </w:r>
    </w:p>
    <w:p>
      <w:pPr>
        <w:pStyle w:val="yHeading5"/>
        <w:spacing w:after="240"/>
      </w:pPr>
      <w:bookmarkStart w:id="170" w:name="_Toc175050004"/>
      <w:r>
        <w:rPr>
          <w:rStyle w:val="CharSClsNo"/>
        </w:rPr>
        <w:t>6</w:t>
      </w:r>
      <w:r>
        <w:t>.</w:t>
      </w:r>
      <w:r>
        <w:tab/>
        <w:t>Notice of self-representation (r. 24)</w:t>
      </w:r>
      <w:bookmarkEnd w:id="17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legal practitioner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6 amended: SL 2022/74 r. 18.]</w:t>
      </w:r>
    </w:p>
    <w:p>
      <w:pPr>
        <w:pStyle w:val="yHeading5"/>
        <w:spacing w:after="240"/>
      </w:pPr>
      <w:bookmarkStart w:id="171" w:name="_Toc175050005"/>
      <w:r>
        <w:rPr>
          <w:rStyle w:val="CharSClsNo"/>
        </w:rPr>
        <w:lastRenderedPageBreak/>
        <w:t>7</w:t>
      </w:r>
      <w:r>
        <w:t>.</w:t>
      </w:r>
      <w:r>
        <w:tab/>
        <w:t>Appellant’s case (r. 32)</w:t>
      </w:r>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Appellant’s case</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legal practitioner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 SL 2022/74 r. 18.]</w:t>
      </w:r>
    </w:p>
    <w:p>
      <w:pPr>
        <w:pStyle w:val="yHeading5"/>
        <w:spacing w:after="240"/>
      </w:pPr>
      <w:bookmarkStart w:id="172" w:name="_Toc175050006"/>
      <w:r>
        <w:rPr>
          <w:rStyle w:val="CharSClsNo"/>
        </w:rPr>
        <w:lastRenderedPageBreak/>
        <w:t>8</w:t>
      </w:r>
      <w:r>
        <w:t>.</w:t>
      </w:r>
      <w:r>
        <w:tab/>
        <w:t>Respondent’s answer (r. 33)</w:t>
      </w:r>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Respondent’s answer</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 SL 2022/74 r. 18.]</w:t>
      </w:r>
    </w:p>
    <w:p>
      <w:pPr>
        <w:pStyle w:val="yHeading5"/>
        <w:spacing w:after="240"/>
      </w:pPr>
      <w:bookmarkStart w:id="173" w:name="_Toc175050007"/>
      <w:r>
        <w:rPr>
          <w:rStyle w:val="CharSClsNo"/>
        </w:rPr>
        <w:t>9</w:t>
      </w:r>
      <w:r>
        <w:t>.</w:t>
      </w:r>
      <w:r>
        <w:tab/>
        <w:t>Application in an appeal (r. 44)</w:t>
      </w:r>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keepNext/>
              <w:spacing w:before="0"/>
              <w:rPr>
                <w:sz w:val="20"/>
              </w:rPr>
            </w:pPr>
            <w:r>
              <w:rPr>
                <w:sz w:val="20"/>
              </w:rPr>
              <w:lastRenderedPageBreak/>
              <w:t>Application</w:t>
            </w:r>
            <w:r>
              <w:rPr>
                <w:sz w:val="20"/>
                <w:vertAlign w:val="superscript"/>
              </w:rPr>
              <w:t>1</w:t>
            </w:r>
          </w:p>
        </w:tc>
        <w:tc>
          <w:tcPr>
            <w:tcW w:w="5670" w:type="dxa"/>
            <w:gridSpan w:val="3"/>
          </w:tcPr>
          <w:p>
            <w:pPr>
              <w:pStyle w:val="yTable"/>
              <w:keepNext/>
              <w:spacing w:before="0"/>
              <w:rPr>
                <w:sz w:val="20"/>
              </w:rPr>
            </w:pPr>
            <w:r>
              <w:rPr>
                <w:sz w:val="20"/>
              </w:rPr>
              <w:t xml:space="preserve">The applicant applies for — </w:t>
            </w:r>
          </w:p>
          <w:p>
            <w:pPr>
              <w:pStyle w:val="yTable"/>
              <w:keepNext/>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legal practitioner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 SL 2022/74 r. 18.]</w:t>
      </w:r>
    </w:p>
    <w:p>
      <w:pPr>
        <w:pStyle w:val="yHeading5"/>
        <w:spacing w:after="240"/>
      </w:pPr>
      <w:bookmarkStart w:id="174" w:name="_Toc175050008"/>
      <w:r>
        <w:rPr>
          <w:rStyle w:val="CharSClsNo"/>
        </w:rPr>
        <w:t>10</w:t>
      </w:r>
      <w:r>
        <w:t>.</w:t>
      </w:r>
      <w:r>
        <w:tab/>
        <w:t>Consent notice (r. 45 &amp; 60)</w:t>
      </w:r>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10 amended: SL 2022/74 r. 18.]</w:t>
      </w:r>
    </w:p>
    <w:p>
      <w:pPr>
        <w:pStyle w:val="yHeading5"/>
        <w:spacing w:after="240"/>
      </w:pPr>
      <w:bookmarkStart w:id="175" w:name="_Toc175050009"/>
      <w:r>
        <w:rPr>
          <w:rStyle w:val="CharSClsNo"/>
        </w:rPr>
        <w:lastRenderedPageBreak/>
        <w:t>11</w:t>
      </w:r>
      <w:r>
        <w:t>.</w:t>
      </w:r>
      <w:r>
        <w:tab/>
        <w:t>Affidavit cover sheet (r. 21(3))</w:t>
      </w:r>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176" w:name="_Toc175050010"/>
      <w:r>
        <w:rPr>
          <w:rStyle w:val="CharSClsNo"/>
        </w:rPr>
        <w:t>12</w:t>
      </w:r>
      <w:r>
        <w:t>.</w:t>
      </w:r>
      <w:r>
        <w:tab/>
        <w:t>Request for hearing (r. 19)</w:t>
      </w:r>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legal practitioner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legal practitioner/Respondent’s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Footnotesection"/>
      </w:pPr>
      <w:r>
        <w:tab/>
        <w:t>[Form 12 amended: SL 2022/74 r. 18.]</w:t>
      </w:r>
    </w:p>
    <w:p>
      <w:pPr>
        <w:pStyle w:val="yHeading5"/>
        <w:spacing w:after="240"/>
      </w:pPr>
      <w:bookmarkStart w:id="177" w:name="_Toc175050011"/>
      <w:r>
        <w:rPr>
          <w:rStyle w:val="CharSClsNo"/>
        </w:rPr>
        <w:lastRenderedPageBreak/>
        <w:t>13</w:t>
      </w:r>
      <w:r>
        <w:t>.</w:t>
      </w:r>
      <w:r>
        <w:tab/>
        <w:t>Application for review of single judge’s or registrar’s decision (r. 8 &amp; 15)</w:t>
      </w:r>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legal practitioner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pPr>
      <w:r>
        <w:tab/>
        <w:t>[Form 13 amended: SL 2022/74 r. 18.]</w:t>
      </w:r>
    </w:p>
    <w:p>
      <w:pPr>
        <w:pStyle w:val="yHeading5"/>
        <w:spacing w:after="240"/>
      </w:pPr>
      <w:bookmarkStart w:id="178" w:name="_Toc175050012"/>
      <w:r>
        <w:rPr>
          <w:rStyle w:val="CharSClsNo"/>
        </w:rPr>
        <w:t>14</w:t>
      </w:r>
      <w:r>
        <w:t>.</w:t>
      </w:r>
      <w:r>
        <w:tab/>
        <w:t>Appeal book, cover page (r. 39(5))</w:t>
      </w:r>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lastRenderedPageBreak/>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If the party is represented by a legal practitioner, these details must be the legal practitioner’s. If the party is self-represented, these details must be the party’s personal details.</w:t>
      </w:r>
    </w:p>
    <w:p>
      <w:pPr>
        <w:pStyle w:val="yFootnotesection"/>
      </w:pPr>
      <w:r>
        <w:tab/>
        <w:t>[Form 14 amended: SL 2022/74 r. 18.]</w:t>
      </w:r>
    </w:p>
    <w:p>
      <w:pPr>
        <w:pStyle w:val="yHeading5"/>
        <w:spacing w:after="240"/>
      </w:pPr>
      <w:bookmarkStart w:id="179" w:name="_Toc175050013"/>
      <w:r>
        <w:rPr>
          <w:rStyle w:val="CharSClsNo"/>
        </w:rPr>
        <w:t>14A</w:t>
      </w:r>
      <w:r>
        <w:t>.</w:t>
      </w:r>
      <w:r>
        <w:tab/>
        <w:t>Certificate of correctness of appeal book (r. 41(c))</w:t>
      </w:r>
      <w:bookmarkEnd w:id="17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lastRenderedPageBreak/>
              <w:t>Signature of respondent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pPr>
      <w:r>
        <w:tab/>
        <w:t>[Form 14A inserted: Gazette 22 Aug 2017 p. 4542; amended: SL 2022/74 r. 18.]</w:t>
      </w:r>
    </w:p>
    <w:p>
      <w:pPr>
        <w:pStyle w:val="yHeading5"/>
        <w:spacing w:after="240"/>
      </w:pPr>
      <w:bookmarkStart w:id="180" w:name="_Toc175050014"/>
      <w:r>
        <w:rPr>
          <w:rStyle w:val="CharSClsNo"/>
        </w:rPr>
        <w:t>15</w:t>
      </w:r>
      <w:r>
        <w:t>.</w:t>
      </w:r>
      <w:r>
        <w:tab/>
        <w:t>Notice of hearing date (r. 57)</w:t>
      </w:r>
      <w:bookmarkEnd w:id="18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81" w:name="_Toc175050015"/>
      <w:r>
        <w:t>16.</w:t>
      </w:r>
      <w:r>
        <w:tab/>
        <w:t>Discontinuance notice (r. 59)</w:t>
      </w:r>
      <w:bookmarkEnd w:id="181"/>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legal practitioner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p>
            <w:pPr>
              <w:pStyle w:val="yTableNAm"/>
              <w:spacing w:before="0"/>
              <w:rPr>
                <w:sz w:val="20"/>
              </w:rPr>
            </w:pPr>
            <w:r>
              <w:rPr>
                <w:sz w:val="20"/>
              </w:rPr>
              <w:t>Respondent/Respondent’s legal practitioner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keepNext/>
      </w:pPr>
      <w:r>
        <w:lastRenderedPageBreak/>
        <w:t>Notes to Form 16 —</w:t>
      </w:r>
    </w:p>
    <w:p>
      <w:pPr>
        <w:pStyle w:val="yMiscellaneousBody"/>
        <w:keepNext/>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legal practitioner (if any) acting for the appellant: see the </w:t>
      </w:r>
      <w:r>
        <w:rPr>
          <w:i/>
        </w:rPr>
        <w:t>Supreme Court (Court of Appeal) Rules 2005</w:t>
      </w:r>
      <w:r>
        <w:t xml:space="preserve"> rule 59(1A).</w:t>
      </w:r>
    </w:p>
    <w:p>
      <w:pPr>
        <w:pStyle w:val="yFootnotesection"/>
      </w:pPr>
      <w:r>
        <w:tab/>
        <w:t>[Form 16 inserted: SL 2022/60 r. 26(3); amended: SL 2022/74 r. 18.]</w:t>
      </w:r>
    </w:p>
    <w:p>
      <w:pPr>
        <w:pStyle w:val="yHeading5"/>
        <w:spacing w:after="240"/>
      </w:pPr>
      <w:bookmarkStart w:id="182" w:name="_Toc175050016"/>
      <w:r>
        <w:rPr>
          <w:rStyle w:val="CharSClsNo"/>
        </w:rPr>
        <w:t>17</w:t>
      </w:r>
      <w:r>
        <w:t>.</w:t>
      </w:r>
      <w:r>
        <w:tab/>
        <w:t>Certificate of conclusion of criminal appeal (r. 62)</w:t>
      </w:r>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spacing w:after="240"/>
      </w:pPr>
      <w:bookmarkStart w:id="183" w:name="_Toc175050017"/>
      <w:r>
        <w:rPr>
          <w:rStyle w:val="CharSClsNo"/>
        </w:rPr>
        <w:lastRenderedPageBreak/>
        <w:t>18</w:t>
      </w:r>
      <w:r>
        <w:t>.</w:t>
      </w:r>
      <w:r>
        <w:tab/>
        <w:t>Referral of legal issue to Court of Appeal (r. 67)</w:t>
      </w:r>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keepLines/>
              <w:spacing w:before="0"/>
              <w:rPr>
                <w:sz w:val="20"/>
              </w:rPr>
            </w:pPr>
            <w:r>
              <w:rPr>
                <w:sz w:val="20"/>
              </w:rPr>
              <w:t>Supreme Court of Western Australia</w:t>
            </w:r>
          </w:p>
          <w:p>
            <w:pPr>
              <w:pStyle w:val="yTable"/>
              <w:keepNext/>
              <w:keepLines/>
              <w:spacing w:before="0"/>
              <w:rPr>
                <w:b/>
              </w:rPr>
            </w:pPr>
            <w:r>
              <w:rPr>
                <w:sz w:val="20"/>
              </w:rPr>
              <w:t>Court of Appeal</w:t>
            </w:r>
          </w:p>
        </w:tc>
        <w:tc>
          <w:tcPr>
            <w:tcW w:w="3119" w:type="dxa"/>
            <w:gridSpan w:val="2"/>
            <w:tcBorders>
              <w:bottom w:val="nil"/>
            </w:tcBorders>
            <w:vAlign w:val="center"/>
          </w:tcPr>
          <w:p>
            <w:pPr>
              <w:pStyle w:val="yTable"/>
              <w:keepNext/>
              <w:keepLines/>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85" w:name="_Toc175045112"/>
      <w:bookmarkStart w:id="186" w:name="_Toc175046006"/>
      <w:bookmarkStart w:id="187" w:name="_Toc175046128"/>
      <w:bookmarkStart w:id="188" w:name="_Toc175050018"/>
      <w:r>
        <w:lastRenderedPageBreak/>
        <w:t>Notes</w:t>
      </w:r>
      <w:bookmarkEnd w:id="185"/>
      <w:bookmarkEnd w:id="186"/>
      <w:bookmarkEnd w:id="187"/>
      <w:bookmarkEnd w:id="188"/>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w:t>
      </w:r>
    </w:p>
    <w:p>
      <w:pPr>
        <w:pStyle w:val="nHeading3"/>
      </w:pPr>
      <w:bookmarkStart w:id="189" w:name="_Toc175050019"/>
      <w:r>
        <w:t>Compilation table</w:t>
      </w:r>
      <w:bookmarkEnd w:id="1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r>
        <w:tc>
          <w:tcPr>
            <w:tcW w:w="3118" w:type="dxa"/>
            <w:tcBorders>
              <w:top w:val="nil"/>
              <w:bottom w:val="nil"/>
            </w:tcBorders>
          </w:tcPr>
          <w:p>
            <w:pPr>
              <w:pStyle w:val="nTable"/>
              <w:spacing w:after="40"/>
              <w:rPr>
                <w:i/>
              </w:rPr>
            </w:pPr>
            <w:r>
              <w:rPr>
                <w:i/>
              </w:rPr>
              <w:t>Supreme Court Rules Amendment (Legal Profession) Rules 2022</w:t>
            </w:r>
            <w:r>
              <w:t xml:space="preserve"> Pt. 5</w:t>
            </w:r>
          </w:p>
        </w:tc>
        <w:tc>
          <w:tcPr>
            <w:tcW w:w="1276" w:type="dxa"/>
            <w:tcBorders>
              <w:top w:val="nil"/>
              <w:bottom w:val="nil"/>
            </w:tcBorders>
          </w:tcPr>
          <w:p>
            <w:pPr>
              <w:pStyle w:val="nTable"/>
              <w:spacing w:after="40"/>
            </w:pPr>
            <w:r>
              <w:t>SL 2022/74 14 Jun 2022</w:t>
            </w:r>
          </w:p>
        </w:tc>
        <w:tc>
          <w:tcPr>
            <w:tcW w:w="2693" w:type="dxa"/>
            <w:tcBorders>
              <w:top w:val="nil"/>
              <w:bottom w:val="nil"/>
            </w:tcBorders>
          </w:tcPr>
          <w:p>
            <w:pPr>
              <w:pStyle w:val="nTable"/>
              <w:spacing w:after="40"/>
            </w:pPr>
            <w:r>
              <w:t>1 Jul 2022 (see r. 2(b) and SL 2022/113 cl. 2)</w:t>
            </w:r>
          </w:p>
        </w:tc>
      </w:tr>
      <w:tr>
        <w:tc>
          <w:tcPr>
            <w:tcW w:w="3118" w:type="dxa"/>
            <w:tcBorders>
              <w:top w:val="nil"/>
              <w:bottom w:val="nil"/>
            </w:tcBorders>
          </w:tcPr>
          <w:p>
            <w:pPr>
              <w:pStyle w:val="nTable"/>
              <w:spacing w:after="40"/>
              <w:rPr>
                <w:i/>
              </w:rPr>
            </w:pPr>
            <w:r>
              <w:rPr>
                <w:i/>
              </w:rPr>
              <w:t>Supreme Court (Court of Appeal) Amendment Rules (No. 2) 2022</w:t>
            </w:r>
            <w:r>
              <w:t xml:space="preserve"> </w:t>
            </w:r>
          </w:p>
        </w:tc>
        <w:tc>
          <w:tcPr>
            <w:tcW w:w="1276" w:type="dxa"/>
            <w:tcBorders>
              <w:top w:val="nil"/>
              <w:bottom w:val="nil"/>
            </w:tcBorders>
          </w:tcPr>
          <w:p>
            <w:pPr>
              <w:pStyle w:val="nTable"/>
              <w:spacing w:after="40"/>
            </w:pPr>
            <w:r>
              <w:t>SL 2022/209 16 Dec 2022</w:t>
            </w:r>
          </w:p>
        </w:tc>
        <w:tc>
          <w:tcPr>
            <w:tcW w:w="2693" w:type="dxa"/>
            <w:tcBorders>
              <w:top w:val="nil"/>
              <w:bottom w:val="nil"/>
            </w:tcBorders>
          </w:tcPr>
          <w:p>
            <w:pPr>
              <w:pStyle w:val="nTable"/>
              <w:spacing w:after="40"/>
            </w:pPr>
            <w:r>
              <w:t>r. 1 and 2: 16 Dec 2022 (see r. 2(a));</w:t>
            </w:r>
            <w:r>
              <w:br/>
              <w:t>Rules other than r. 1 and 2: 1 Jan 2023 (see r. 2(b) and SL 2022/212 cl. 2)</w:t>
            </w:r>
          </w:p>
        </w:tc>
      </w:tr>
      <w:tr>
        <w:tc>
          <w:tcPr>
            <w:tcW w:w="3118" w:type="dxa"/>
            <w:tcBorders>
              <w:top w:val="nil"/>
              <w:bottom w:val="single" w:sz="4" w:space="0" w:color="auto"/>
            </w:tcBorders>
          </w:tcPr>
          <w:p>
            <w:pPr>
              <w:pStyle w:val="nTable"/>
              <w:spacing w:after="40"/>
              <w:rPr>
                <w:i/>
              </w:rPr>
            </w:pPr>
            <w:r>
              <w:rPr>
                <w:i/>
              </w:rPr>
              <w:t>Supreme Court (Court of Appeal) Amendment Rules 2024</w:t>
            </w:r>
          </w:p>
        </w:tc>
        <w:tc>
          <w:tcPr>
            <w:tcW w:w="1276" w:type="dxa"/>
            <w:tcBorders>
              <w:top w:val="nil"/>
              <w:bottom w:val="single" w:sz="4" w:space="0" w:color="auto"/>
            </w:tcBorders>
          </w:tcPr>
          <w:p>
            <w:pPr>
              <w:pStyle w:val="nTable"/>
              <w:spacing w:after="40"/>
            </w:pPr>
            <w:r>
              <w:t>SL 2024/166 7 Aug 2024</w:t>
            </w:r>
          </w:p>
        </w:tc>
        <w:tc>
          <w:tcPr>
            <w:tcW w:w="2693" w:type="dxa"/>
            <w:tcBorders>
              <w:top w:val="nil"/>
              <w:bottom w:val="single" w:sz="4" w:space="0" w:color="auto"/>
            </w:tcBorders>
          </w:tcPr>
          <w:p>
            <w:pPr>
              <w:pStyle w:val="nTable"/>
              <w:spacing w:after="40"/>
            </w:pPr>
            <w:r>
              <w:t>r. 1 and 2: 7 Aug 2024 (see r. 2(a));</w:t>
            </w:r>
            <w:r>
              <w:br/>
              <w:t>Rules other than r. 1 and 2: 1 Sep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91" w:name="_Toc175045115"/>
      <w:bookmarkStart w:id="192" w:name="_Toc175046008"/>
      <w:bookmarkStart w:id="193" w:name="_Toc175046130"/>
      <w:bookmarkStart w:id="194" w:name="_Toc175050020"/>
      <w:r>
        <w:rPr>
          <w:sz w:val="28"/>
        </w:rPr>
        <w:lastRenderedPageBreak/>
        <w:t>Defined terms</w:t>
      </w:r>
      <w:bookmarkEnd w:id="191"/>
      <w:bookmarkEnd w:id="192"/>
      <w:bookmarkEnd w:id="193"/>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alleged evidence</w:t>
      </w:r>
      <w:r>
        <w:tab/>
        <w:t>26B</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audio link</w:t>
      </w:r>
      <w:r>
        <w:tab/>
        <w:t>3(1)</w:t>
      </w:r>
    </w:p>
    <w:p>
      <w:pPr>
        <w:pStyle w:val="DefinedTerms"/>
      </w:pPr>
      <w:r>
        <w:t>CA matter</w:t>
      </w:r>
      <w:r>
        <w:tab/>
        <w:t>3(1)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cross appeal</w:t>
      </w:r>
      <w:r>
        <w:tab/>
        <w:t>31A(1)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legal issue</w:t>
      </w:r>
      <w:r>
        <w:tab/>
        <w:t>67(1)</w:t>
      </w:r>
    </w:p>
    <w:p>
      <w:pPr>
        <w:pStyle w:val="DefinedTerms"/>
      </w:pPr>
      <w:r>
        <w:t>party</w:t>
      </w:r>
      <w:r>
        <w:tab/>
        <w:t>3(1)</w:t>
      </w:r>
    </w:p>
    <w:p>
      <w:pPr>
        <w:pStyle w:val="DefinedTerms"/>
      </w:pPr>
      <w:r>
        <w:t>primary court</w:t>
      </w:r>
      <w:r>
        <w:tab/>
        <w:t>3(1)</w:t>
      </w:r>
    </w:p>
    <w:p>
      <w:pPr>
        <w:pStyle w:val="DefinedTerms"/>
      </w:pPr>
      <w:r>
        <w:t>primary court case</w:t>
      </w:r>
      <w:r>
        <w:tab/>
        <w:t>3(1)</w:t>
      </w:r>
    </w:p>
    <w:p>
      <w:pPr>
        <w:pStyle w:val="DefinedTerms"/>
      </w:pPr>
      <w:r>
        <w:t>primary court’s decision</w:t>
      </w:r>
      <w:r>
        <w:tab/>
        <w:t>3(1)</w:t>
      </w:r>
    </w:p>
    <w:p>
      <w:pPr>
        <w:pStyle w:val="DefinedTerms"/>
      </w:pPr>
      <w:r>
        <w:t>primary court’s transcript</w:t>
      </w:r>
      <w:r>
        <w:tab/>
        <w:t>3(1)</w:t>
      </w:r>
    </w:p>
    <w:p>
      <w:pPr>
        <w:pStyle w:val="DefinedTerms"/>
      </w:pPr>
      <w:r>
        <w:t>provisional decision</w:t>
      </w:r>
      <w:r>
        <w:tab/>
        <w:t>19(2)</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15(1A)</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pPr>
      <w:r>
        <w:t>video link</w:t>
      </w:r>
      <w:r>
        <w:tab/>
        <w:t>3(1)</w:t>
      </w:r>
    </w:p>
    <w:p>
      <w:pPr>
        <w:rPr>
          <w:sz w:val="20"/>
        </w:rPr>
      </w:pPr>
      <w:r>
        <w:br w:type="page"/>
      </w:r>
    </w:p>
    <w:p>
      <w:pPr>
        <w:pStyle w:val="DefinedTerms"/>
        <w:keepNext/>
      </w:pPr>
      <w:r>
        <w:lastRenderedPageBreak/>
        <w:t>working day</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31E25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35AB64E" w14:textId="624ED574" w:rsidR="00CE3B99" w:rsidRDefault="00032CA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4232">
                        <w:rPr>
                          <w:sz w:val="16"/>
                        </w:rPr>
                        <w:t>2024</w:t>
                      </w:r>
                      <w:r>
                        <w:rPr>
                          <w:sz w:val="16"/>
                        </w:rPr>
                        <w:fldChar w:fldCharType="end"/>
                      </w:r>
                      <w:r>
                        <w:rPr>
                          <w:sz w:val="16"/>
                        </w:rPr>
                        <w:t>.</w:t>
                      </w:r>
                    </w:p>
                    <w:p w14:paraId="4A109033" w14:textId="77777777" w:rsidR="00CE3B99" w:rsidRDefault="00032CA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78C167" w14:textId="454BDED9" w:rsidR="00CE3B99" w:rsidRDefault="00032CA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4232">
                        <w:rPr>
                          <w:sz w:val="16"/>
                        </w:rPr>
                        <w:t>2024</w:t>
                      </w:r>
                      <w:r>
                        <w:rPr>
                          <w:sz w:val="16"/>
                        </w:rPr>
                        <w:fldChar w:fldCharType="end"/>
                      </w:r>
                      <w:r>
                        <w:rPr>
                          <w:sz w:val="16"/>
                        </w:rPr>
                        <w:t>.</w:t>
                      </w:r>
                    </w:p>
                    <w:p w14:paraId="4BA07431" w14:textId="77777777" w:rsidR="00CE3B99" w:rsidRDefault="00032CA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4" w:name="Schedule"/>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5" w:name="DefinedTerms"/>
    <w:bookmarkEnd w:id="1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0111447"/>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 w:name="WAFER_202212151110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11041_GUID" w:val="5af1dc63-0cf0-4e0d-857b-3f86204dc2b8"/>
    <w:docVar w:name="WAFER_2024080614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806140248_GUID" w:val="225285ad-c3d8-4c76-aece-aa24446384a4"/>
    <w:docVar w:name="WAFER_20240820111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11447_GUID" w:val="3877bd36-43c7-42da-b2ff-68a173878f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CAEF-4274-4C37-AD3C-C1F79F01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20096</Words>
  <Characters>93853</Characters>
  <Application>Microsoft Office Word</Application>
  <DocSecurity>0</DocSecurity>
  <Lines>3027</Lines>
  <Paragraphs>2149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2005 - 00-o0-01</dc:title>
  <dc:subject/>
  <dc:creator/>
  <cp:keywords/>
  <dc:description/>
  <cp:lastModifiedBy>Master Repository Process</cp:lastModifiedBy>
  <cp:revision>4</cp:revision>
  <cp:lastPrinted>2017-09-04T04:07:00Z</cp:lastPrinted>
  <dcterms:created xsi:type="dcterms:W3CDTF">2025-06-09T04:58:00Z</dcterms:created>
  <dcterms:modified xsi:type="dcterms:W3CDTF">2025-06-09T04:58:00Z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20240901</vt:lpwstr>
  </property>
  <property fmtid="{D5CDD505-2E9C-101B-9397-08002B2CF9AE}" pid="6" name="CommencementAsAt">
    <vt:filetime>2024-08-31T16:00:00Z</vt:filetime>
  </property>
  <property fmtid="{D5CDD505-2E9C-101B-9397-08002B2CF9AE}" pid="7" name="CommencementYear">
    <vt:lpwstr>2024</vt:lpwstr>
  </property>
  <property fmtid="{D5CDD505-2E9C-101B-9397-08002B2CF9AE}" pid="8" name="AsAtDate">
    <vt:lpwstr>01 Sep 2024</vt:lpwstr>
  </property>
  <property fmtid="{D5CDD505-2E9C-101B-9397-08002B2CF9AE}" pid="9" name="Suffix">
    <vt:lpwstr>00-o0-01</vt:lpwstr>
  </property>
  <property fmtid="{D5CDD505-2E9C-101B-9397-08002B2CF9AE}" pid="10" name="Official">
    <vt:lpwstr/>
  </property>
</Properties>
</file>