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_Toc175060006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_Toc175060007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_Toc175060008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_Toc175060009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_Toc175060010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_Toc175060011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_Toc175060012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_Toc175060013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_Toc175060014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_Toc175060015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_Toc175060016 \h </w:instrText>
      </w:r>
      <w:r>
        <w:fldChar w:fldCharType="separate"/>
      </w:r>
      <w:r>
        <w:t>10</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_Toc175060017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_Toc175060018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_Toc175060019 \h </w:instrText>
      </w:r>
      <w:r>
        <w:fldChar w:fldCharType="separate"/>
      </w:r>
      <w:r>
        <w:t>19</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_Toc175060020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_Toc175060021 \h </w:instrText>
      </w:r>
      <w:r>
        <w:fldChar w:fldCharType="separate"/>
      </w:r>
      <w:r>
        <w:t>21</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_Toc175060022 \h </w:instrText>
      </w:r>
      <w:r>
        <w:fldChar w:fldCharType="separate"/>
      </w:r>
      <w:r>
        <w:t>21</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_Toc175060023 \h </w:instrText>
      </w:r>
      <w:r>
        <w:fldChar w:fldCharType="separate"/>
      </w:r>
      <w:r>
        <w:t>22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_Toc175060024 \h </w:instrText>
      </w:r>
      <w:r>
        <w:fldChar w:fldCharType="separate"/>
      </w:r>
      <w:r>
        <w:t>22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_Toc175060025 \h </w:instrText>
      </w:r>
      <w:r>
        <w:fldChar w:fldCharType="separate"/>
      </w:r>
      <w:r>
        <w:t>23</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_Toc175060026 \h </w:instrText>
      </w:r>
      <w:r>
        <w:fldChar w:fldCharType="separate"/>
      </w:r>
      <w:r>
        <w:t>23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_Toc175060027 \h </w:instrText>
      </w:r>
      <w:r>
        <w:fldChar w:fldCharType="separate"/>
      </w:r>
      <w:r>
        <w:t>24</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_Toc175060028 \h </w:instrText>
      </w:r>
      <w:r>
        <w:fldChar w:fldCharType="separate"/>
      </w:r>
      <w:r>
        <w:t>26</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_Toc175060029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_Toc175060030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_Toc175060031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_Toc175060032 \h </w:instrText>
      </w:r>
      <w:r>
        <w:fldChar w:fldCharType="separate"/>
      </w:r>
      <w:r>
        <w:t>28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_Toc175060033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_Toc175060034 \h </w:instrText>
      </w:r>
      <w:r>
        <w:fldChar w:fldCharType="separate"/>
      </w:r>
      <w:r>
        <w:t>29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_Toc175060035 \h </w:instrText>
      </w:r>
      <w:r>
        <w:fldChar w:fldCharType="separate"/>
      </w:r>
      <w:r>
        <w:t>29</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_Toc175060036 \h </w:instrText>
      </w:r>
      <w:r>
        <w:fldChar w:fldCharType="separate"/>
      </w:r>
      <w:r>
        <w:t>29</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_Toc175060037 \h </w:instrText>
      </w:r>
      <w:r>
        <w:fldChar w:fldCharType="separate"/>
      </w:r>
      <w:r>
        <w:t>30</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_Toc175060038 \h </w:instrText>
      </w:r>
      <w:r>
        <w:fldChar w:fldCharType="separate"/>
      </w:r>
      <w:r>
        <w:t>30</w:t>
      </w:r>
      <w:r>
        <w:fldChar w:fldCharType="end"/>
      </w:r>
    </w:p>
    <w:p>
      <w:pPr>
        <w:pStyle w:val="TOC8"/>
        <w:rPr>
          <w:rFonts w:asciiTheme="minorHAnsi" w:eastAsiaTheme="minorEastAsia" w:hAnsiTheme="minorHAnsi" w:cstheme="minorBidi"/>
          <w:szCs w:val="22"/>
        </w:rPr>
      </w:pPr>
      <w:r>
        <w:t>17.</w:t>
      </w:r>
      <w:r>
        <w:tab/>
        <w:t xml:space="preserve">Transitional regulation for </w:t>
      </w:r>
      <w:r>
        <w:rPr>
          <w:i/>
          <w:iCs/>
        </w:rPr>
        <w:t>Real Estate and Business Agents (General) Amendment Regulations 2024</w:t>
      </w:r>
      <w:r>
        <w:tab/>
      </w:r>
      <w:r>
        <w:fldChar w:fldCharType="begin"/>
      </w:r>
      <w:r>
        <w:instrText xml:space="preserve"> PAGEREF _Toc175060039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_Toc175060045 \h </w:instrText>
      </w:r>
      <w:r>
        <w:fldChar w:fldCharType="separate"/>
      </w:r>
      <w:r>
        <w:t>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_Toc175060046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17506000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75060007"/>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175060008"/>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175060009"/>
      <w:r>
        <w:rPr>
          <w:rStyle w:val="CharSectno"/>
        </w:rPr>
        <w:lastRenderedPageBreak/>
        <w:t>4</w:t>
      </w:r>
      <w:r>
        <w:t>.</w:t>
      </w:r>
      <w:r>
        <w:tab/>
        <w:t>Fees (Sch. 1)</w:t>
      </w:r>
      <w:bookmarkEnd w:id="5"/>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pPr>
      <w:r>
        <w:tab/>
        <w:t>(3)</w:t>
      </w:r>
      <w:r>
        <w:tab/>
        <w:t>For the purposes of calculating the fee payable under Schedule 1 item 11, a certificate about 2 or more persons who constitute a firm is taken to be a certificate about 1 person.</w:t>
      </w:r>
    </w:p>
    <w:p>
      <w:pPr>
        <w:pStyle w:val="Footnotesection"/>
      </w:pPr>
      <w:r>
        <w:tab/>
        <w:t>[Regulation 4 amended: Gazette 2 Jul 1982 p. 2334; 25 Jun 1996 p. 2924; SL 2024/96 r. 50.]</w:t>
      </w:r>
    </w:p>
    <w:p>
      <w:pPr>
        <w:pStyle w:val="Heading5"/>
        <w:rPr>
          <w:snapToGrid w:val="0"/>
        </w:rPr>
      </w:pPr>
      <w:bookmarkStart w:id="6" w:name="_Toc175060010"/>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lastRenderedPageBreak/>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7" w:name="_Toc175060011"/>
      <w:r>
        <w:rPr>
          <w:rStyle w:val="CharSectno"/>
        </w:rPr>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lastRenderedPageBreak/>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175060012"/>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lastRenderedPageBreak/>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175060013"/>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lastRenderedPageBreak/>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lastRenderedPageBreak/>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175060014"/>
      <w:r>
        <w:rPr>
          <w:rStyle w:val="CharSectno"/>
        </w:rPr>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175060015"/>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75060016"/>
      <w:r>
        <w:rPr>
          <w:rStyle w:val="CharSectno"/>
        </w:rPr>
        <w:lastRenderedPageBreak/>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lastRenderedPageBreak/>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lastRenderedPageBreak/>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w:t>
            </w:r>
            <w:r>
              <w:rPr>
                <w:sz w:val="22"/>
              </w:rPr>
              <w:lastRenderedPageBreak/>
              <w:t>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lastRenderedPageBreak/>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w:t>
      </w:r>
    </w:p>
    <w:p>
      <w:pPr>
        <w:pStyle w:val="Heading5"/>
      </w:pPr>
      <w:bookmarkStart w:id="13" w:name="_Toc175060017"/>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 xml:space="preserve">if the application is made on or before 30 September 2021, the successful completion of each of the modules from the CPP07 Property Services </w:t>
      </w:r>
      <w:r>
        <w:lastRenderedPageBreak/>
        <w:t>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lastRenderedPageBreak/>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lastRenderedPageBreak/>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lastRenderedPageBreak/>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175060018"/>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lastRenderedPageBreak/>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175060019"/>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lastRenderedPageBreak/>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75060020"/>
      <w:r>
        <w:rPr>
          <w:rStyle w:val="CharSectno"/>
        </w:rPr>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75060021"/>
      <w:r>
        <w:rPr>
          <w:rStyle w:val="CharSectno"/>
        </w:rPr>
        <w:lastRenderedPageBreak/>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75060022"/>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75060023"/>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75060024"/>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75060025"/>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75060026"/>
      <w:r>
        <w:rPr>
          <w:rStyle w:val="CharSectno"/>
        </w:rPr>
        <w:t>6H</w:t>
      </w:r>
      <w:r>
        <w:rPr>
          <w:snapToGrid w:val="0"/>
        </w:rPr>
        <w:t>.</w:t>
      </w:r>
      <w:r>
        <w:rPr>
          <w:snapToGrid w:val="0"/>
        </w:rPr>
        <w:tab/>
        <w:t>Record keeping requirements</w:t>
      </w:r>
      <w:bookmarkEnd w:id="2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lastRenderedPageBreak/>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75060027"/>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lastRenderedPageBreak/>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lastRenderedPageBreak/>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75060028"/>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175060029"/>
      <w:r>
        <w:rPr>
          <w:rStyle w:val="CharSectno"/>
        </w:rPr>
        <w:lastRenderedPageBreak/>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175060030"/>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175060031"/>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lastRenderedPageBreak/>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175060032"/>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29" w:name="_Toc175060033"/>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175060034"/>
      <w:r>
        <w:rPr>
          <w:rStyle w:val="CharSectno"/>
        </w:rPr>
        <w:lastRenderedPageBreak/>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175060035"/>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175060036"/>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175060037"/>
      <w:r>
        <w:rPr>
          <w:rStyle w:val="CharSectno"/>
        </w:rPr>
        <w:lastRenderedPageBreak/>
        <w:t>15</w:t>
      </w:r>
      <w:r>
        <w:t>.</w:t>
      </w:r>
      <w:r>
        <w:tab/>
        <w:t>Forms (Sch. 2)</w:t>
      </w:r>
      <w:bookmarkEnd w:id="33"/>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4" w:name="_Toc175060038"/>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35" w:name="_Toc172198359"/>
      <w:bookmarkStart w:id="36" w:name="_Toc172635001"/>
      <w:bookmarkStart w:id="37" w:name="_Toc175060039"/>
      <w:r>
        <w:rPr>
          <w:rStyle w:val="CharSectno"/>
        </w:rPr>
        <w:t>17</w:t>
      </w:r>
      <w:r>
        <w:t>.</w:t>
      </w:r>
      <w:r>
        <w:tab/>
        <w:t xml:space="preserve">Transitional regulation for </w:t>
      </w:r>
      <w:r>
        <w:rPr>
          <w:i/>
          <w:iCs/>
        </w:rPr>
        <w:t>Real Estate and Business Agents (General) Amendment Regulations 2024</w:t>
      </w:r>
      <w:bookmarkEnd w:id="35"/>
      <w:bookmarkEnd w:id="36"/>
      <w:bookmarkEnd w:id="37"/>
    </w:p>
    <w:p>
      <w:pPr>
        <w:pStyle w:val="Subsection"/>
        <w:keepNext/>
      </w:pPr>
      <w:r>
        <w:tab/>
      </w:r>
      <w:r>
        <w:tab/>
        <w:t xml:space="preserve">An amendment made to regulation 6 by the </w:t>
      </w:r>
      <w:r>
        <w:rPr>
          <w:i/>
        </w:rPr>
        <w:t>Real Estate and Business Agents (General) Amendment Regulations 2024</w:t>
      </w:r>
      <w:r>
        <w:t xml:space="preserve"> does not apply for the purposes of Schedule 1 clause 1(a) of the Act </w:t>
      </w:r>
      <w:r>
        <w:lastRenderedPageBreak/>
        <w:t>to an application for a licence made, but not decided by the Commissioner, before 2 September 2024.</w:t>
      </w:r>
    </w:p>
    <w:p>
      <w:pPr>
        <w:pStyle w:val="Footnotesection"/>
        <w:keepNext/>
      </w:pPr>
      <w:r>
        <w:tab/>
        <w:t>[Regulation 17 inserted: SL 2024/152 r. 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8" w:name="_Toc175053932"/>
      <w:bookmarkStart w:id="39" w:name="_Toc175055200"/>
      <w:bookmarkStart w:id="40" w:name="_Toc175060040"/>
      <w:r>
        <w:rPr>
          <w:rStyle w:val="CharSchNo"/>
        </w:rPr>
        <w:lastRenderedPageBreak/>
        <w:t>Schedule 1</w:t>
      </w:r>
      <w:r>
        <w:t> — </w:t>
      </w:r>
      <w:r>
        <w:rPr>
          <w:rStyle w:val="CharSchText"/>
        </w:rPr>
        <w:t>Fees</w:t>
      </w:r>
      <w:bookmarkEnd w:id="38"/>
      <w:bookmarkEnd w:id="39"/>
      <w:bookmarkEnd w:id="40"/>
    </w:p>
    <w:p>
      <w:pPr>
        <w:pStyle w:val="yShoulderClause"/>
      </w:pPr>
      <w:r>
        <w:t>[r. 4 and 4A]</w:t>
      </w:r>
    </w:p>
    <w:p>
      <w:pPr>
        <w:pStyle w:val="yFootnoteheading"/>
        <w:spacing w:after="60"/>
      </w:pPr>
      <w:r>
        <w:tab/>
        <w:t>[Heading inserted: SL 2024/96 r. 52.]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97.50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1 040.00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864.00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34.60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264.00</w:t>
            </w:r>
          </w:p>
        </w:tc>
      </w:tr>
      <w:tr>
        <w:trPr>
          <w:cantSplit/>
          <w:jc w:val="center"/>
        </w:trPr>
        <w:tc>
          <w:tcPr>
            <w:tcW w:w="709" w:type="dxa"/>
            <w:noWrap/>
          </w:tcPr>
          <w:p>
            <w:pPr>
              <w:pStyle w:val="yTableNAm"/>
            </w:pPr>
            <w:r>
              <w:t>9.</w:t>
            </w:r>
          </w:p>
        </w:tc>
        <w:tc>
          <w:tcPr>
            <w:tcW w:w="4961" w:type="dxa"/>
            <w:noWrap/>
          </w:tcPr>
          <w:p>
            <w:pPr>
              <w:pStyle w:val="yTableNAm"/>
            </w:pPr>
            <w:r>
              <w:t>Renewal of certificate of registration under section 48 of the Act</w:t>
            </w:r>
          </w:p>
        </w:tc>
        <w:tc>
          <w:tcPr>
            <w:tcW w:w="1418" w:type="dxa"/>
            <w:noWrap/>
            <w:vAlign w:val="bottom"/>
          </w:tcPr>
          <w:p>
            <w:pPr>
              <w:pStyle w:val="yTableNAm"/>
              <w:ind w:right="182"/>
              <w:jc w:val="right"/>
            </w:pPr>
            <w:r>
              <w:t>218.00</w:t>
            </w:r>
          </w:p>
        </w:tc>
      </w:tr>
      <w:tr>
        <w:trPr>
          <w:cantSplit/>
          <w:jc w:val="center"/>
        </w:trPr>
        <w:tc>
          <w:tcPr>
            <w:tcW w:w="709" w:type="dxa"/>
            <w:noWrap/>
          </w:tcPr>
          <w:p>
            <w:pPr>
              <w:pStyle w:val="yTableNAm"/>
            </w:pPr>
            <w:r>
              <w:t>10.</w:t>
            </w:r>
          </w:p>
        </w:tc>
        <w:tc>
          <w:tcPr>
            <w:tcW w:w="4961" w:type="dxa"/>
            <w:noWrap/>
          </w:tcPr>
          <w:p>
            <w:pPr>
              <w:pStyle w:val="yTableNAm"/>
            </w:pPr>
            <w:r>
              <w:t>Inspection of a register under section 133(4) of the Act</w:t>
            </w:r>
          </w:p>
        </w:tc>
        <w:tc>
          <w:tcPr>
            <w:tcW w:w="1418" w:type="dxa"/>
            <w:noWrap/>
            <w:vAlign w:val="bottom"/>
          </w:tcPr>
          <w:p>
            <w:pPr>
              <w:pStyle w:val="yTableNAm"/>
              <w:ind w:right="182"/>
              <w:jc w:val="right"/>
            </w:pPr>
            <w:r>
              <w:t>11.80</w:t>
            </w:r>
          </w:p>
        </w:tc>
      </w:tr>
      <w:tr>
        <w:trPr>
          <w:jc w:val="center"/>
        </w:trPr>
        <w:tc>
          <w:tcPr>
            <w:tcW w:w="709" w:type="dxa"/>
            <w:noWrap/>
          </w:tcPr>
          <w:p>
            <w:pPr>
              <w:pStyle w:val="yTableNAm"/>
            </w:pPr>
            <w:r>
              <w:t>11.</w:t>
            </w:r>
          </w:p>
        </w:tc>
        <w:tc>
          <w:tcPr>
            <w:tcW w:w="4961" w:type="dxa"/>
            <w:noWrap/>
          </w:tcPr>
          <w:p>
            <w:pPr>
              <w:pStyle w:val="yTableNAm"/>
            </w:pPr>
            <w:r>
              <w:t>Certificate as to the contents of 1 or more registers under section 134(4) of the Act —</w:t>
            </w:r>
          </w:p>
          <w:p>
            <w:pPr>
              <w:pStyle w:val="yTableNAm"/>
            </w:pPr>
            <w:r>
              <w:t>(a)</w:t>
            </w:r>
            <w:r>
              <w:tab/>
              <w:t>in relation to records for 1 person</w:t>
            </w:r>
          </w:p>
        </w:tc>
        <w:tc>
          <w:tcPr>
            <w:tcW w:w="1418" w:type="dxa"/>
            <w:noWrap/>
            <w:vAlign w:val="bottom"/>
          </w:tcPr>
          <w:p>
            <w:pPr>
              <w:pStyle w:val="yTableNAm"/>
              <w:ind w:right="182"/>
              <w:jc w:val="right"/>
            </w:pPr>
            <w:r>
              <w:t>14.70</w:t>
            </w:r>
          </w:p>
        </w:tc>
      </w:tr>
      <w:tr>
        <w:trPr>
          <w:trHeight w:val="1652"/>
          <w:jc w:val="center"/>
        </w:trPr>
        <w:tc>
          <w:tcPr>
            <w:tcW w:w="709" w:type="dxa"/>
            <w:noWrap/>
          </w:tcPr>
          <w:p>
            <w:pPr>
              <w:pStyle w:val="yTableNAm"/>
            </w:pPr>
          </w:p>
        </w:tc>
        <w:tc>
          <w:tcPr>
            <w:tcW w:w="4961" w:type="dxa"/>
            <w:noWrap/>
          </w:tcPr>
          <w:p>
            <w:pPr>
              <w:pStyle w:val="yTableNAm"/>
              <w:ind w:left="567" w:hanging="567"/>
            </w:pPr>
            <w:r>
              <w:t>(b)</w:t>
            </w:r>
            <w:r>
              <w:tab/>
              <w:t>in relation to records for 2 or more persons, other than as mentioned in item 12</w:t>
            </w:r>
          </w:p>
        </w:tc>
        <w:tc>
          <w:tcPr>
            <w:tcW w:w="1418" w:type="dxa"/>
            <w:noWrap/>
            <w:vAlign w:val="bottom"/>
          </w:tcPr>
          <w:p>
            <w:pPr>
              <w:pStyle w:val="yTableNAm"/>
              <w:ind w:right="182"/>
              <w:jc w:val="right"/>
            </w:pPr>
            <w:r>
              <w:br/>
              <w:t>14.70 for first person plus 2.30 for each additional person</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Certificate as to the contents of a register in relation to all persons recorded in the register</w:t>
            </w:r>
          </w:p>
        </w:tc>
        <w:tc>
          <w:tcPr>
            <w:tcW w:w="1418" w:type="dxa"/>
            <w:tcBorders>
              <w:bottom w:val="single" w:sz="4" w:space="0" w:color="auto"/>
            </w:tcBorders>
            <w:noWrap/>
            <w:vAlign w:val="bottom"/>
          </w:tcPr>
          <w:p>
            <w:pPr>
              <w:pStyle w:val="yTableNAm"/>
              <w:ind w:right="182"/>
              <w:jc w:val="right"/>
            </w:pPr>
            <w:r>
              <w:t>133.00</w:t>
            </w:r>
          </w:p>
        </w:tc>
      </w:tr>
    </w:tbl>
    <w:p>
      <w:pPr>
        <w:pStyle w:val="Footnotesection"/>
      </w:pPr>
      <w:r>
        <w:tab/>
        <w:t>[Schedule 1 inserted: SL 2024/96 r. 52.]</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2" w:name="_Toc175053933"/>
      <w:bookmarkStart w:id="43" w:name="_Toc175055201"/>
      <w:bookmarkStart w:id="44" w:name="_Toc175060041"/>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2"/>
      <w:bookmarkEnd w:id="43"/>
      <w:bookmarkEnd w:id="44"/>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5" w:name="_Toc175053934"/>
      <w:bookmarkStart w:id="46" w:name="_Toc175055202"/>
      <w:bookmarkStart w:id="47" w:name="_Toc175060042"/>
      <w:r>
        <w:rPr>
          <w:rStyle w:val="CharSchNo"/>
        </w:rPr>
        <w:lastRenderedPageBreak/>
        <w:t>Schedule 2</w:t>
      </w:r>
      <w:r>
        <w:rPr>
          <w:rStyle w:val="CharSDivNo"/>
        </w:rPr>
        <w:t> </w:t>
      </w:r>
      <w:r>
        <w:t>—</w:t>
      </w:r>
      <w:r>
        <w:rPr>
          <w:rStyle w:val="CharSDivText"/>
        </w:rPr>
        <w:t> </w:t>
      </w:r>
      <w:r>
        <w:rPr>
          <w:rStyle w:val="CharSchText"/>
        </w:rPr>
        <w:t>Forms</w:t>
      </w:r>
      <w:bookmarkEnd w:id="45"/>
      <w:bookmarkEnd w:id="46"/>
      <w:bookmarkEnd w:id="47"/>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8" w:name="_Toc175053935"/>
      <w:bookmarkStart w:id="49" w:name="_Toc175055203"/>
      <w:bookmarkStart w:id="50" w:name="_Toc175060043"/>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8"/>
      <w:bookmarkEnd w:id="49"/>
      <w:bookmarkEnd w:id="50"/>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51" w:name="_Toc175053936"/>
      <w:bookmarkStart w:id="52" w:name="_Toc175055204"/>
      <w:bookmarkStart w:id="53" w:name="_Toc175060044"/>
      <w:r>
        <w:lastRenderedPageBreak/>
        <w:t>Notes</w:t>
      </w:r>
      <w:bookmarkEnd w:id="51"/>
      <w:bookmarkEnd w:id="52"/>
      <w:bookmarkEnd w:id="53"/>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54" w:name="_Toc175060045"/>
      <w:r>
        <w:t>Compilation table</w:t>
      </w:r>
      <w:bookmarkEnd w:id="5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single" w:sz="4" w:space="0" w:color="auto"/>
            </w:tcBorders>
          </w:tcPr>
          <w:p>
            <w:pPr>
              <w:pStyle w:val="nTable"/>
              <w:spacing w:after="40"/>
              <w:rPr>
                <w:i/>
              </w:rPr>
            </w:pPr>
            <w:r>
              <w:rPr>
                <w:i/>
              </w:rPr>
              <w:lastRenderedPageBreak/>
              <w:t>Real Estate and Business Agents (General) Amendment Regulations 2024</w:t>
            </w:r>
          </w:p>
        </w:tc>
        <w:tc>
          <w:tcPr>
            <w:tcW w:w="1276" w:type="dxa"/>
            <w:tcBorders>
              <w:top w:val="nil"/>
              <w:bottom w:val="single" w:sz="4" w:space="0" w:color="auto"/>
            </w:tcBorders>
          </w:tcPr>
          <w:p>
            <w:pPr>
              <w:pStyle w:val="nTable"/>
              <w:spacing w:after="40"/>
            </w:pPr>
            <w:r>
              <w:t>SL 2024/152 24 Jul 2024</w:t>
            </w:r>
          </w:p>
        </w:tc>
        <w:tc>
          <w:tcPr>
            <w:tcW w:w="2693" w:type="dxa"/>
            <w:tcBorders>
              <w:top w:val="nil"/>
              <w:bottom w:val="single" w:sz="4" w:space="0" w:color="auto"/>
            </w:tcBorders>
          </w:tcPr>
          <w:p>
            <w:pPr>
              <w:pStyle w:val="nTable"/>
              <w:spacing w:after="40"/>
            </w:pPr>
            <w:r>
              <w:t>r. 1 and 2: 24 Jul 2024 (see r. 2(a));</w:t>
            </w:r>
            <w:r>
              <w:br/>
              <w:t>Regulations other than r. 1 and 2: 2 Sep 2024 (see r. 2(b))</w:t>
            </w:r>
          </w:p>
        </w:tc>
      </w:tr>
    </w:tbl>
    <w:p>
      <w:pPr>
        <w:pStyle w:val="nHeading3"/>
      </w:pPr>
      <w:bookmarkStart w:id="55" w:name="_Toc175060046"/>
      <w:r>
        <w:t>Other notes</w:t>
      </w:r>
      <w:bookmarkEnd w:id="55"/>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57" w:name="_Toc175053940"/>
      <w:bookmarkStart w:id="58" w:name="_Toc175055207"/>
      <w:bookmarkStart w:id="59" w:name="_Toc175060047"/>
      <w:r>
        <w:rPr>
          <w:sz w:val="28"/>
        </w:rPr>
        <w:lastRenderedPageBreak/>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459365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D51F7BE" w14:textId="556C2EAB" w:rsidR="006E25CF" w:rsidRDefault="007053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54DA">
                        <w:rPr>
                          <w:sz w:val="16"/>
                        </w:rPr>
                        <w:t>2024</w:t>
                      </w:r>
                      <w:r>
                        <w:rPr>
                          <w:sz w:val="16"/>
                        </w:rPr>
                        <w:fldChar w:fldCharType="end"/>
                      </w:r>
                      <w:r>
                        <w:rPr>
                          <w:sz w:val="16"/>
                        </w:rPr>
                        <w:t>.</w:t>
                      </w:r>
                    </w:p>
                    <w:p w14:paraId="4C9A1EA5" w14:textId="77777777" w:rsidR="006E25CF" w:rsidRDefault="007053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968C10" w14:textId="70B43A47" w:rsidR="006E25CF" w:rsidRDefault="007053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54DA">
                        <w:rPr>
                          <w:sz w:val="16"/>
                        </w:rPr>
                        <w:t>2024</w:t>
                      </w:r>
                      <w:r>
                        <w:rPr>
                          <w:sz w:val="16"/>
                        </w:rPr>
                        <w:fldChar w:fldCharType="end"/>
                      </w:r>
                      <w:r>
                        <w:rPr>
                          <w:sz w:val="16"/>
                        </w:rPr>
                        <w:t>.</w:t>
                      </w:r>
                    </w:p>
                    <w:p w14:paraId="5D881FC5" w14:textId="77777777" w:rsidR="006E25CF" w:rsidRDefault="0070533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01343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10625</Words>
  <Characters>52916</Characters>
  <Application>Microsoft Office Word</Application>
  <DocSecurity>0</DocSecurity>
  <Lines>2204</Lines>
  <Paragraphs>1351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1979 - 08-ab0-00</dc:title>
  <dc:subject/>
  <dc:creator/>
  <cp:keywords/>
  <dc:description/>
  <cp:lastModifiedBy>Master Repository Process</cp:lastModifiedBy>
  <cp:revision>4</cp:revision>
  <cp:lastPrinted>2014-10-02T03:16:00Z</cp:lastPrinted>
  <dcterms:created xsi:type="dcterms:W3CDTF">2025-07-02T03:08:00Z</dcterms:created>
  <dcterms:modified xsi:type="dcterms:W3CDTF">2025-07-02T03:09:00Z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20240902</vt:lpwstr>
  </property>
  <property fmtid="{D5CDD505-2E9C-101B-9397-08002B2CF9AE}" pid="8" name="CommencementAsAt">
    <vt:filetime>2024-09-01T16:00:00Z</vt:filetime>
  </property>
  <property fmtid="{D5CDD505-2E9C-101B-9397-08002B2CF9AE}" pid="9" name="CommencementYear">
    <vt:lpwstr>2024</vt:lpwstr>
  </property>
  <property fmtid="{D5CDD505-2E9C-101B-9397-08002B2CF9AE}" pid="10" name="AsAtDate">
    <vt:lpwstr>02 Sep 2024</vt:lpwstr>
  </property>
  <property fmtid="{D5CDD505-2E9C-101B-9397-08002B2CF9AE}" pid="11" name="Suffix">
    <vt:lpwstr>08-ab0-00</vt:lpwstr>
  </property>
  <property fmtid="{D5CDD505-2E9C-101B-9397-08002B2CF9AE}" pid="12" name="Official">
    <vt:lpwstr/>
  </property>
</Properties>
</file>