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Guardianship and Administration Act 1990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Guardianship and Administration Act 1990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_Toc175575755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_Toc175575756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_Toc175575757 \h </w:instrText>
      </w:r>
      <w:r>
        <w:fldChar w:fldCharType="separate"/>
      </w:r>
      <w:r>
        <w:t>2</w:t>
      </w:r>
      <w:r>
        <w:fldChar w:fldCharType="end"/>
      </w:r>
    </w:p>
    <w:p>
      <w:pPr>
        <w:pStyle w:val="TOC8"/>
        <w:rPr>
          <w:rFonts w:asciiTheme="minorHAnsi" w:eastAsiaTheme="minorEastAsia" w:hAnsiTheme="minorHAnsi" w:cstheme="minorBidi"/>
          <w:szCs w:val="22"/>
        </w:rPr>
      </w:pPr>
      <w:r>
        <w:t>3AA</w:t>
      </w:r>
      <w:r>
        <w:rPr>
          <w:color w:val="000000" w:themeColor="text1"/>
        </w:rPr>
        <w:t>.</w:t>
      </w:r>
      <w:r>
        <w:rPr>
          <w:color w:val="000000" w:themeColor="text1"/>
        </w:rPr>
        <w:tab/>
        <w:t>Term used: medical research</w:t>
      </w:r>
      <w:r>
        <w:tab/>
      </w:r>
      <w:r>
        <w:fldChar w:fldCharType="begin"/>
      </w:r>
      <w:r>
        <w:instrText xml:space="preserve"> PAGEREF _Toc175575758 \h </w:instrText>
      </w:r>
      <w:r>
        <w:fldChar w:fldCharType="separate"/>
      </w:r>
      <w:r>
        <w:t>7</w:t>
      </w:r>
      <w:r>
        <w:fldChar w:fldCharType="end"/>
      </w:r>
    </w:p>
    <w:p>
      <w:pPr>
        <w:pStyle w:val="TOC8"/>
        <w:rPr>
          <w:rFonts w:asciiTheme="minorHAnsi" w:eastAsiaTheme="minorEastAsia" w:hAnsiTheme="minorHAnsi" w:cstheme="minorBidi"/>
          <w:szCs w:val="22"/>
        </w:rPr>
      </w:pPr>
      <w:r>
        <w:t>3A.</w:t>
      </w:r>
      <w:r>
        <w:tab/>
        <w:t>Inherent jurisdiction of Supreme Court not affected</w:t>
      </w:r>
      <w:r>
        <w:tab/>
      </w:r>
      <w:r>
        <w:fldChar w:fldCharType="begin"/>
      </w:r>
      <w:r>
        <w:instrText xml:space="preserve"> PAGEREF _Toc175575759 \h </w:instrText>
      </w:r>
      <w:r>
        <w:fldChar w:fldCharType="separate"/>
      </w:r>
      <w:r>
        <w:t>9</w:t>
      </w:r>
      <w:r>
        <w:fldChar w:fldCharType="end"/>
      </w:r>
    </w:p>
    <w:p>
      <w:pPr>
        <w:pStyle w:val="TOC8"/>
        <w:rPr>
          <w:rFonts w:asciiTheme="minorHAnsi" w:eastAsiaTheme="minorEastAsia" w:hAnsiTheme="minorHAnsi" w:cstheme="minorBidi"/>
          <w:szCs w:val="22"/>
        </w:rPr>
      </w:pPr>
      <w:r>
        <w:t>3B.</w:t>
      </w:r>
      <w:r>
        <w:tab/>
        <w:t>Act does not authorise decisions about voluntary assisted dying</w:t>
      </w:r>
      <w:r>
        <w:tab/>
      </w:r>
      <w:r>
        <w:fldChar w:fldCharType="begin"/>
      </w:r>
      <w:r>
        <w:instrText xml:space="preserve"> PAGEREF _Toc175575760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Principles to be observed by State Administrative Tribunal</w:t>
      </w:r>
    </w:p>
    <w:p>
      <w:pPr>
        <w:pStyle w:val="TOC8"/>
        <w:rPr>
          <w:rFonts w:asciiTheme="minorHAnsi" w:eastAsiaTheme="minorEastAsia" w:hAnsiTheme="minorHAnsi" w:cstheme="minorBidi"/>
          <w:szCs w:val="22"/>
        </w:rPr>
      </w:pPr>
      <w:r>
        <w:t>4</w:t>
      </w:r>
      <w:r>
        <w:rPr>
          <w:snapToGrid w:val="0"/>
        </w:rPr>
        <w:t>.</w:t>
      </w:r>
      <w:r>
        <w:rPr>
          <w:snapToGrid w:val="0"/>
        </w:rPr>
        <w:tab/>
        <w:t>Principles stated</w:t>
      </w:r>
      <w:r>
        <w:tab/>
      </w:r>
      <w:r>
        <w:fldChar w:fldCharType="begin"/>
      </w:r>
      <w:r>
        <w:instrText xml:space="preserve"> PAGEREF _Toc175575762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The State Administrative Tribunal</w:t>
      </w:r>
    </w:p>
    <w:p>
      <w:pPr>
        <w:pStyle w:val="TOC4"/>
        <w:tabs>
          <w:tab w:val="right" w:leader="dot" w:pos="7077"/>
        </w:tabs>
        <w:rPr>
          <w:rFonts w:asciiTheme="minorHAnsi" w:eastAsiaTheme="minorEastAsia" w:hAnsiTheme="minorHAnsi" w:cstheme="minorBidi"/>
          <w:b w:val="0"/>
          <w:szCs w:val="22"/>
        </w:rPr>
      </w:pPr>
      <w:r>
        <w:t>Division 1 — Functions and proceedings</w:t>
      </w:r>
    </w:p>
    <w:p>
      <w:pPr>
        <w:pStyle w:val="TOC8"/>
        <w:rPr>
          <w:rFonts w:asciiTheme="minorHAnsi" w:eastAsiaTheme="minorEastAsia" w:hAnsiTheme="minorHAnsi" w:cstheme="minorBidi"/>
          <w:szCs w:val="22"/>
        </w:rPr>
      </w:pPr>
      <w:r>
        <w:t>13</w:t>
      </w:r>
      <w:r>
        <w:rPr>
          <w:snapToGrid w:val="0"/>
        </w:rPr>
        <w:t>.</w:t>
      </w:r>
      <w:r>
        <w:rPr>
          <w:snapToGrid w:val="0"/>
        </w:rPr>
        <w:tab/>
        <w:t>Jurisdiction of State Administrative Tribunal</w:t>
      </w:r>
      <w:r>
        <w:tab/>
      </w:r>
      <w:r>
        <w:fldChar w:fldCharType="begin"/>
      </w:r>
      <w:r>
        <w:instrText xml:space="preserve"> PAGEREF _Toc175575765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Costs</w:t>
      </w:r>
      <w:r>
        <w:tab/>
      </w:r>
      <w:r>
        <w:fldChar w:fldCharType="begin"/>
      </w:r>
      <w:r>
        <w:instrText xml:space="preserve"> PAGEREF _Toc175575766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Further provisions as to proceedings</w:t>
      </w:r>
      <w:r>
        <w:tab/>
      </w:r>
      <w:r>
        <w:fldChar w:fldCharType="begin"/>
      </w:r>
      <w:r>
        <w:instrText xml:space="preserve"> PAGEREF _Toc175575767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Review of determination where State Administrative Tribunal comprises one member</w:t>
      </w:r>
    </w:p>
    <w:p>
      <w:pPr>
        <w:pStyle w:val="TOC8"/>
        <w:rPr>
          <w:rFonts w:asciiTheme="minorHAnsi" w:eastAsiaTheme="minorEastAsia" w:hAnsiTheme="minorHAnsi" w:cstheme="minorBidi"/>
          <w:szCs w:val="22"/>
        </w:rPr>
      </w:pPr>
      <w:r>
        <w:t>17A</w:t>
      </w:r>
      <w:r>
        <w:rPr>
          <w:snapToGrid w:val="0"/>
        </w:rPr>
        <w:t>.</w:t>
      </w:r>
      <w:r>
        <w:rPr>
          <w:snapToGrid w:val="0"/>
        </w:rPr>
        <w:tab/>
        <w:t>Review</w:t>
      </w:r>
      <w:r>
        <w:tab/>
      </w:r>
      <w:r>
        <w:fldChar w:fldCharType="begin"/>
      </w:r>
      <w:r>
        <w:instrText xml:space="preserve"> PAGEREF _Toc175575769 \h </w:instrText>
      </w:r>
      <w:r>
        <w:fldChar w:fldCharType="separate"/>
      </w:r>
      <w:r>
        <w:t>14</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Executive officer to give notice of review</w:t>
      </w:r>
      <w:r>
        <w:tab/>
      </w:r>
      <w:r>
        <w:fldChar w:fldCharType="begin"/>
      </w:r>
      <w:r>
        <w:instrText xml:space="preserve"> PAGEREF _Toc175575770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Appeals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18</w:t>
      </w:r>
      <w:r>
        <w:rPr>
          <w:snapToGrid w:val="0"/>
        </w:rPr>
        <w:t>.</w:t>
      </w:r>
      <w:r>
        <w:rPr>
          <w:snapToGrid w:val="0"/>
        </w:rPr>
        <w:tab/>
        <w:t>Term used: Court</w:t>
      </w:r>
      <w:r>
        <w:tab/>
      </w:r>
      <w:r>
        <w:fldChar w:fldCharType="begin"/>
      </w:r>
      <w:r>
        <w:instrText xml:space="preserve"> PAGEREF _Toc175575773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18A.</w:t>
      </w:r>
      <w:r>
        <w:tab/>
        <w:t>Application of Division</w:t>
      </w:r>
      <w:r>
        <w:tab/>
      </w:r>
      <w:r>
        <w:fldChar w:fldCharType="begin"/>
      </w:r>
      <w:r>
        <w:instrText xml:space="preserve"> PAGEREF _Toc175575774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Appeals by leave from determinations of State Administrative Tribunal generally</w:t>
      </w:r>
    </w:p>
    <w:p>
      <w:pPr>
        <w:pStyle w:val="TOC8"/>
        <w:rPr>
          <w:rFonts w:asciiTheme="minorHAnsi" w:eastAsiaTheme="minorEastAsia" w:hAnsiTheme="minorHAnsi" w:cstheme="minorBidi"/>
          <w:szCs w:val="22"/>
        </w:rPr>
      </w:pPr>
      <w:r>
        <w:t>19</w:t>
      </w:r>
      <w:r>
        <w:rPr>
          <w:snapToGrid w:val="0"/>
        </w:rPr>
        <w:t>.</w:t>
      </w:r>
      <w:r>
        <w:rPr>
          <w:snapToGrid w:val="0"/>
        </w:rPr>
        <w:tab/>
        <w:t>Right of appeal by leave</w:t>
      </w:r>
      <w:r>
        <w:tab/>
      </w:r>
      <w:r>
        <w:fldChar w:fldCharType="begin"/>
      </w:r>
      <w:r>
        <w:instrText xml:space="preserve"> PAGEREF _Toc175575776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leave</w:t>
      </w:r>
      <w:r>
        <w:tab/>
      </w:r>
      <w:r>
        <w:fldChar w:fldCharType="begin"/>
      </w:r>
      <w:r>
        <w:instrText xml:space="preserve"> PAGEREF _Toc175575777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Grounds</w:t>
      </w:r>
      <w:r>
        <w:tab/>
      </w:r>
      <w:r>
        <w:fldChar w:fldCharType="begin"/>
      </w:r>
      <w:r>
        <w:instrText xml:space="preserve"> PAGEREF _Toc175575778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Grant or refusal of leave</w:t>
      </w:r>
      <w:r>
        <w:tab/>
      </w:r>
      <w:r>
        <w:fldChar w:fldCharType="begin"/>
      </w:r>
      <w:r>
        <w:instrText xml:space="preserve"> PAGEREF _Toc175575779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Ancillary orders and directions</w:t>
      </w:r>
      <w:r>
        <w:tab/>
      </w:r>
      <w:r>
        <w:fldChar w:fldCharType="begin"/>
      </w:r>
      <w:r>
        <w:instrText xml:space="preserve"> PAGEREF _Toc175575780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 of application to Court</w:t>
      </w:r>
      <w:r>
        <w:tab/>
      </w:r>
      <w:r>
        <w:fldChar w:fldCharType="begin"/>
      </w:r>
      <w:r>
        <w:instrText xml:space="preserve"> PAGEREF _Toc175575781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Application and appeal may be heard together</w:t>
      </w:r>
      <w:r>
        <w:tab/>
      </w:r>
      <w:r>
        <w:fldChar w:fldCharType="begin"/>
      </w:r>
      <w:r>
        <w:instrText xml:space="preserve"> PAGEREF _Toc175575782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Appeals from decisions relating to consent to performance of abortion</w:t>
      </w:r>
    </w:p>
    <w:p>
      <w:pPr>
        <w:pStyle w:val="TOC8"/>
        <w:rPr>
          <w:rFonts w:asciiTheme="minorHAnsi" w:eastAsiaTheme="minorEastAsia" w:hAnsiTheme="minorHAnsi" w:cstheme="minorBidi"/>
          <w:szCs w:val="22"/>
        </w:rPr>
      </w:pPr>
      <w:r>
        <w:t>25A.</w:t>
      </w:r>
      <w:r>
        <w:tab/>
        <w:t>Appeal from Tribunal’s decision relating to consent to performance of abortion</w:t>
      </w:r>
      <w:r>
        <w:tab/>
      </w:r>
      <w:r>
        <w:fldChar w:fldCharType="begin"/>
      </w:r>
      <w:r>
        <w:instrText xml:space="preserve"> PAGEREF _Toc175575784 \h </w:instrText>
      </w:r>
      <w:r>
        <w:fldChar w:fldCharType="separate"/>
      </w:r>
      <w:r>
        <w:t>20</w:t>
      </w:r>
      <w:r>
        <w:fldChar w:fldCharType="end"/>
      </w:r>
    </w:p>
    <w:p>
      <w:pPr>
        <w:pStyle w:val="TOC8"/>
        <w:rPr>
          <w:rFonts w:asciiTheme="minorHAnsi" w:eastAsiaTheme="minorEastAsia" w:hAnsiTheme="minorHAnsi" w:cstheme="minorBidi"/>
          <w:szCs w:val="22"/>
        </w:rPr>
      </w:pPr>
      <w:r>
        <w:t>25B.</w:t>
      </w:r>
      <w:r>
        <w:tab/>
        <w:t>Grounds</w:t>
      </w:r>
      <w:r>
        <w:tab/>
      </w:r>
      <w:r>
        <w:fldChar w:fldCharType="begin"/>
      </w:r>
      <w:r>
        <w:instrText xml:space="preserve"> PAGEREF _Toc175575785 \h </w:instrText>
      </w:r>
      <w:r>
        <w:fldChar w:fldCharType="separate"/>
      </w:r>
      <w:r>
        <w:t>21</w:t>
      </w:r>
      <w:r>
        <w:fldChar w:fldCharType="end"/>
      </w:r>
    </w:p>
    <w:p>
      <w:pPr>
        <w:pStyle w:val="TOC8"/>
        <w:rPr>
          <w:rFonts w:asciiTheme="minorHAnsi" w:eastAsiaTheme="minorEastAsia" w:hAnsiTheme="minorHAnsi" w:cstheme="minorBidi"/>
          <w:szCs w:val="22"/>
        </w:rPr>
      </w:pPr>
      <w:r>
        <w:t>25C.</w:t>
      </w:r>
      <w:r>
        <w:tab/>
        <w:t>Status of State Administrative Tribunal’s decision pending disposal of appeal</w:t>
      </w:r>
      <w:r>
        <w:tab/>
      </w:r>
      <w:r>
        <w:fldChar w:fldCharType="begin"/>
      </w:r>
      <w:r>
        <w:instrText xml:space="preserve"> PAGEREF _Toc175575786 \h </w:instrText>
      </w:r>
      <w:r>
        <w:fldChar w:fldCharType="separate"/>
      </w:r>
      <w:r>
        <w:t>21</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 provisions about appeals</w:t>
      </w:r>
    </w:p>
    <w:p>
      <w:pPr>
        <w:pStyle w:val="TOC8"/>
        <w:rPr>
          <w:rFonts w:asciiTheme="minorHAnsi" w:eastAsiaTheme="minorEastAsia" w:hAnsiTheme="minorHAnsi" w:cstheme="minorBidi"/>
          <w:szCs w:val="22"/>
        </w:rPr>
      </w:pPr>
      <w:r>
        <w:t>26</w:t>
      </w:r>
      <w:r>
        <w:rPr>
          <w:snapToGrid w:val="0"/>
        </w:rPr>
        <w:t>.</w:t>
      </w:r>
      <w:r>
        <w:rPr>
          <w:snapToGrid w:val="0"/>
        </w:rPr>
        <w:tab/>
        <w:t>Notice to other parties</w:t>
      </w:r>
      <w:r>
        <w:tab/>
      </w:r>
      <w:r>
        <w:fldChar w:fldCharType="begin"/>
      </w:r>
      <w:r>
        <w:instrText xml:space="preserve"> PAGEREF _Toc175575788 \h </w:instrText>
      </w:r>
      <w:r>
        <w:fldChar w:fldCharType="separate"/>
      </w:r>
      <w:r>
        <w:t>21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Amendment of grounds of appeal</w:t>
      </w:r>
      <w:r>
        <w:tab/>
      </w:r>
      <w:r>
        <w:fldChar w:fldCharType="begin"/>
      </w:r>
      <w:r>
        <w:instrText xml:space="preserve"> PAGEREF _Toc175575789 \h </w:instrText>
      </w:r>
      <w:r>
        <w:fldChar w:fldCharType="separate"/>
      </w:r>
      <w:r>
        <w:t>22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Status of State Administrative Tribunal’s determination pending disposal of appeal</w:t>
      </w:r>
      <w:r>
        <w:tab/>
      </w:r>
      <w:r>
        <w:fldChar w:fldCharType="begin"/>
      </w:r>
      <w:r>
        <w:instrText xml:space="preserve"> PAGEREF _Toc175575790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Nature of appeal, and evidence</w:t>
      </w:r>
      <w:r>
        <w:tab/>
      </w:r>
      <w:r>
        <w:fldChar w:fldCharType="begin"/>
      </w:r>
      <w:r>
        <w:instrText xml:space="preserve"> PAGEREF _Toc175575791 \h </w:instrText>
      </w:r>
      <w:r>
        <w:fldChar w:fldCharType="separate"/>
      </w:r>
      <w:r>
        <w:t>23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Powers of Court</w:t>
      </w:r>
      <w:r>
        <w:tab/>
      </w:r>
      <w:r>
        <w:fldChar w:fldCharType="begin"/>
      </w:r>
      <w:r>
        <w:instrText xml:space="preserve"> PAGEREF _Toc175575792 \h </w:instrText>
      </w:r>
      <w:r>
        <w:fldChar w:fldCharType="separate"/>
      </w:r>
      <w:r>
        <w:t>23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Want of form</w:t>
      </w:r>
      <w:r>
        <w:tab/>
      </w:r>
      <w:r>
        <w:fldChar w:fldCharType="begin"/>
      </w:r>
      <w:r>
        <w:instrText xml:space="preserve"> PAGEREF _Toc175575793 \h </w:instrText>
      </w:r>
      <w:r>
        <w:fldChar w:fldCharType="separate"/>
      </w:r>
      <w:r>
        <w:t>24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Notification of result of appeal to executive officer</w:t>
      </w:r>
      <w:r>
        <w:tab/>
      </w:r>
      <w:r>
        <w:fldChar w:fldCharType="begin"/>
      </w:r>
      <w:r>
        <w:instrText xml:space="preserve"> PAGEREF _Toc175575794 \h </w:instrText>
      </w:r>
      <w:r>
        <w:fldChar w:fldCharType="separate"/>
      </w:r>
      <w:r>
        <w:t>25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Discontinuance of appeal</w:t>
      </w:r>
      <w:r>
        <w:tab/>
      </w:r>
      <w:r>
        <w:fldChar w:fldCharType="begin"/>
      </w:r>
      <w:r>
        <w:instrText xml:space="preserve"> PAGEREF _Toc175575795 \h </w:instrText>
      </w:r>
      <w:r>
        <w:fldChar w:fldCharType="separate"/>
      </w:r>
      <w:r>
        <w:t>25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Dismissal for want of prosecution</w:t>
      </w:r>
      <w:r>
        <w:tab/>
      </w:r>
      <w:r>
        <w:fldChar w:fldCharType="begin"/>
      </w:r>
      <w:r>
        <w:instrText xml:space="preserve"> PAGEREF _Toc175575796 \h </w:instrText>
      </w:r>
      <w:r>
        <w:fldChar w:fldCharType="separate"/>
      </w:r>
      <w:r>
        <w:t>25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Application for reinstatement of appeal</w:t>
      </w:r>
      <w:r>
        <w:tab/>
      </w:r>
      <w:r>
        <w:fldChar w:fldCharType="begin"/>
      </w:r>
      <w:r>
        <w:instrText xml:space="preserve"> PAGEREF _Toc175575797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Time may be extended or shortened</w:t>
      </w:r>
      <w:r>
        <w:tab/>
      </w:r>
      <w:r>
        <w:fldChar w:fldCharType="begin"/>
      </w:r>
      <w:r>
        <w:instrText xml:space="preserve"> PAGEREF _Toc175575798 \h </w:instrText>
      </w:r>
      <w:r>
        <w:fldChar w:fldCharType="separate"/>
      </w:r>
      <w:r>
        <w:t>27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Enforcement of order for costs</w:t>
      </w:r>
      <w:r>
        <w:tab/>
      </w:r>
      <w:r>
        <w:fldChar w:fldCharType="begin"/>
      </w:r>
      <w:r>
        <w:instrText xml:space="preserve"> PAGEREF _Toc175575799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4 — Applications for guardianship and administration orders</w:t>
      </w:r>
    </w:p>
    <w:p>
      <w:pPr>
        <w:pStyle w:val="TOC8"/>
        <w:rPr>
          <w:rFonts w:asciiTheme="minorHAnsi" w:eastAsiaTheme="minorEastAsia" w:hAnsiTheme="minorHAnsi" w:cstheme="minorBidi"/>
          <w:szCs w:val="22"/>
        </w:rPr>
      </w:pPr>
      <w:r>
        <w:t>40</w:t>
      </w:r>
      <w:r>
        <w:rPr>
          <w:snapToGrid w:val="0"/>
        </w:rPr>
        <w:t>.</w:t>
      </w:r>
      <w:r>
        <w:rPr>
          <w:snapToGrid w:val="0"/>
        </w:rPr>
        <w:tab/>
        <w:t>Application</w:t>
      </w:r>
      <w:r>
        <w:tab/>
      </w:r>
      <w:r>
        <w:fldChar w:fldCharType="begin"/>
      </w:r>
      <w:r>
        <w:instrText xml:space="preserve"> PAGEREF _Toc175575801 \h </w:instrText>
      </w:r>
      <w:r>
        <w:fldChar w:fldCharType="separate"/>
      </w:r>
      <w:r>
        <w:t>28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Notice of hearing</w:t>
      </w:r>
      <w:r>
        <w:tab/>
      </w:r>
      <w:r>
        <w:fldChar w:fldCharType="begin"/>
      </w:r>
      <w:r>
        <w:instrText xml:space="preserve"> PAGEREF _Toc175575802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Guardianship</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Appointment of guardian</w:t>
      </w:r>
    </w:p>
    <w:p>
      <w:pPr>
        <w:pStyle w:val="TOC8"/>
        <w:rPr>
          <w:rFonts w:asciiTheme="minorHAnsi" w:eastAsiaTheme="minorEastAsia" w:hAnsiTheme="minorHAnsi" w:cstheme="minorBidi"/>
          <w:szCs w:val="22"/>
        </w:rPr>
      </w:pPr>
      <w:r>
        <w:t>43</w:t>
      </w:r>
      <w:r>
        <w:rPr>
          <w:snapToGrid w:val="0"/>
        </w:rPr>
        <w:t>.</w:t>
      </w:r>
      <w:r>
        <w:rPr>
          <w:snapToGrid w:val="0"/>
        </w:rPr>
        <w:tab/>
        <w:t>Making of guardianship order</w:t>
      </w:r>
      <w:r>
        <w:tab/>
      </w:r>
      <w:r>
        <w:fldChar w:fldCharType="begin"/>
      </w:r>
      <w:r>
        <w:instrText xml:space="preserve"> PAGEREF _Toc175575805 \h </w:instrText>
      </w:r>
      <w:r>
        <w:fldChar w:fldCharType="separate"/>
      </w:r>
      <w:r>
        <w:t>31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Who may be appointed guardian</w:t>
      </w:r>
      <w:r>
        <w:tab/>
      </w:r>
      <w:r>
        <w:fldChar w:fldCharType="begin"/>
      </w:r>
      <w:r>
        <w:instrText xml:space="preserve"> PAGEREF _Toc175575806 \h </w:instrText>
      </w:r>
      <w:r>
        <w:fldChar w:fldCharType="separate"/>
      </w:r>
      <w:r>
        <w:t>33</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Interstate arrangements for guardianship orders</w:t>
      </w:r>
      <w:r>
        <w:tab/>
      </w:r>
      <w:r>
        <w:fldChar w:fldCharType="begin"/>
      </w:r>
      <w:r>
        <w:instrText xml:space="preserve"> PAGEREF _Toc175575807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of guardians</w:t>
      </w:r>
    </w:p>
    <w:p>
      <w:pPr>
        <w:pStyle w:val="TOC8"/>
        <w:rPr>
          <w:rFonts w:asciiTheme="minorHAnsi" w:eastAsiaTheme="minorEastAsia" w:hAnsiTheme="minorHAnsi" w:cstheme="minorBidi"/>
          <w:szCs w:val="22"/>
        </w:rPr>
      </w:pPr>
      <w:r>
        <w:t>45</w:t>
      </w:r>
      <w:r>
        <w:rPr>
          <w:snapToGrid w:val="0"/>
        </w:rPr>
        <w:t>.</w:t>
      </w:r>
      <w:r>
        <w:rPr>
          <w:snapToGrid w:val="0"/>
        </w:rPr>
        <w:tab/>
        <w:t>Authority of plenary guardian</w:t>
      </w:r>
      <w:r>
        <w:tab/>
      </w:r>
      <w:r>
        <w:fldChar w:fldCharType="begin"/>
      </w:r>
      <w:r>
        <w:instrText xml:space="preserve"> PAGEREF _Toc175575809 \h </w:instrText>
      </w:r>
      <w:r>
        <w:fldChar w:fldCharType="separate"/>
      </w:r>
      <w:r>
        <w:t>35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Authority of limited guardian</w:t>
      </w:r>
      <w:r>
        <w:tab/>
      </w:r>
      <w:r>
        <w:fldChar w:fldCharType="begin"/>
      </w:r>
      <w:r>
        <w:instrText xml:space="preserve"> PAGEREF _Toc175575810 \h </w:instrText>
      </w:r>
      <w:r>
        <w:fldChar w:fldCharType="separate"/>
      </w:r>
      <w:r>
        <w:t>37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Guardian may apply for directions</w:t>
      </w:r>
      <w:r>
        <w:tab/>
      </w:r>
      <w:r>
        <w:fldChar w:fldCharType="begin"/>
      </w:r>
      <w:r>
        <w:instrText xml:space="preserve"> PAGEREF _Toc175575811 \h </w:instrText>
      </w:r>
      <w:r>
        <w:fldChar w:fldCharType="separate"/>
      </w:r>
      <w:r>
        <w:t>38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Guardian may execute documents etc.</w:t>
      </w:r>
      <w:r>
        <w:tab/>
      </w:r>
      <w:r>
        <w:fldChar w:fldCharType="begin"/>
      </w:r>
      <w:r>
        <w:instrText xml:space="preserve"> PAGEREF _Toc175575812 \h </w:instrText>
      </w:r>
      <w:r>
        <w:fldChar w:fldCharType="separate"/>
      </w:r>
      <w:r>
        <w:t>38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Guardian may obtain warrant to enter</w:t>
      </w:r>
      <w:r>
        <w:tab/>
      </w:r>
      <w:r>
        <w:fldChar w:fldCharType="begin"/>
      </w:r>
      <w:r>
        <w:instrText xml:space="preserve"> PAGEREF _Toc175575813 \h </w:instrText>
      </w:r>
      <w:r>
        <w:fldChar w:fldCharType="separate"/>
      </w:r>
      <w:r>
        <w:t>38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Effect of actions etc. of guardian</w:t>
      </w:r>
      <w:r>
        <w:tab/>
      </w:r>
      <w:r>
        <w:fldChar w:fldCharType="begin"/>
      </w:r>
      <w:r>
        <w:instrText xml:space="preserve"> PAGEREF _Toc175575814 \h </w:instrText>
      </w:r>
      <w:r>
        <w:fldChar w:fldCharType="separate"/>
      </w:r>
      <w:r>
        <w:t>39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Guardian to act in best interests of represented person</w:t>
      </w:r>
      <w:r>
        <w:tab/>
      </w:r>
      <w:r>
        <w:fldChar w:fldCharType="begin"/>
      </w:r>
      <w:r>
        <w:instrText xml:space="preserve"> PAGEREF _Toc175575815 \h </w:instrText>
      </w:r>
      <w:r>
        <w:fldChar w:fldCharType="separate"/>
      </w:r>
      <w:r>
        <w:t>39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Guardians to act unanimously</w:t>
      </w:r>
      <w:r>
        <w:tab/>
      </w:r>
      <w:r>
        <w:fldChar w:fldCharType="begin"/>
      </w:r>
      <w:r>
        <w:instrText xml:space="preserve"> PAGEREF _Toc175575816 \h </w:instrText>
      </w:r>
      <w:r>
        <w:fldChar w:fldCharType="separate"/>
      </w:r>
      <w:r>
        <w:t>41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Death of joint guardian</w:t>
      </w:r>
      <w:r>
        <w:tab/>
      </w:r>
      <w:r>
        <w:fldChar w:fldCharType="begin"/>
      </w:r>
      <w:r>
        <w:instrText xml:space="preserve"> PAGEREF _Toc175575817 \h </w:instrText>
      </w:r>
      <w:r>
        <w:fldChar w:fldCharType="separate"/>
      </w:r>
      <w:r>
        <w:t>41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Alternate guardian to take over on death of guardian</w:t>
      </w:r>
      <w:r>
        <w:tab/>
      </w:r>
      <w:r>
        <w:fldChar w:fldCharType="begin"/>
      </w:r>
      <w:r>
        <w:instrText xml:space="preserve"> PAGEREF _Toc175575818 \h </w:instrText>
      </w:r>
      <w:r>
        <w:fldChar w:fldCharType="separate"/>
      </w:r>
      <w:r>
        <w:t>41</w:t>
      </w:r>
      <w:r>
        <w:fldChar w:fldCharType="end"/>
      </w:r>
    </w:p>
    <w:p>
      <w:pPr>
        <w:pStyle w:val="TOC8"/>
        <w:rPr>
          <w:rFonts w:asciiTheme="minorHAnsi" w:eastAsiaTheme="minorEastAsia" w:hAnsiTheme="minorHAnsi" w:cstheme="minorBidi"/>
          <w:szCs w:val="22"/>
        </w:rPr>
      </w:pPr>
      <w:r>
        <w:t>55A.</w:t>
      </w:r>
      <w:r>
        <w:tab/>
        <w:t>Priority of guardianship order</w:t>
      </w:r>
      <w:r>
        <w:tab/>
      </w:r>
      <w:r>
        <w:fldChar w:fldCharType="begin"/>
      </w:r>
      <w:r>
        <w:instrText xml:space="preserve"> PAGEREF _Toc175575819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Limitations on sterilisation of persons under guardianship or where application for guardianship made</w:t>
      </w:r>
    </w:p>
    <w:p>
      <w:pPr>
        <w:pStyle w:val="TOC8"/>
        <w:rPr>
          <w:rFonts w:asciiTheme="minorHAnsi" w:eastAsiaTheme="minorEastAsia" w:hAnsiTheme="minorHAnsi" w:cstheme="minorBidi"/>
          <w:szCs w:val="22"/>
        </w:rPr>
      </w:pPr>
      <w:r>
        <w:t>56</w:t>
      </w:r>
      <w:r>
        <w:rPr>
          <w:snapToGrid w:val="0"/>
        </w:rPr>
        <w:t>.</w:t>
      </w:r>
      <w:r>
        <w:rPr>
          <w:snapToGrid w:val="0"/>
        </w:rPr>
        <w:tab/>
        <w:t>Terms used</w:t>
      </w:r>
      <w:r>
        <w:tab/>
      </w:r>
      <w:r>
        <w:fldChar w:fldCharType="begin"/>
      </w:r>
      <w:r>
        <w:instrText xml:space="preserve"> PAGEREF _Toc175575821 \h </w:instrText>
      </w:r>
      <w:r>
        <w:fldChar w:fldCharType="separate"/>
      </w:r>
      <w:r>
        <w:t>42</w:t>
      </w:r>
      <w:r>
        <w:fldChar w:fldCharType="end"/>
      </w:r>
    </w:p>
    <w:p>
      <w:pPr>
        <w:pStyle w:val="TOC8"/>
        <w:rPr>
          <w:rFonts w:asciiTheme="minorHAnsi" w:eastAsiaTheme="minorEastAsia" w:hAnsiTheme="minorHAnsi" w:cstheme="minorBidi"/>
          <w:szCs w:val="22"/>
        </w:rPr>
      </w:pPr>
      <w:r>
        <w:t>56A</w:t>
      </w:r>
      <w:r>
        <w:rPr>
          <w:snapToGrid w:val="0"/>
        </w:rPr>
        <w:t xml:space="preserve">. </w:t>
      </w:r>
      <w:r>
        <w:rPr>
          <w:snapToGrid w:val="0"/>
        </w:rPr>
        <w:tab/>
        <w:t>Only Full Tribunal to act under this Division</w:t>
      </w:r>
      <w:r>
        <w:tab/>
      </w:r>
      <w:r>
        <w:fldChar w:fldCharType="begin"/>
      </w:r>
      <w:r>
        <w:instrText xml:space="preserve"> PAGEREF _Toc175575822 \h </w:instrText>
      </w:r>
      <w:r>
        <w:fldChar w:fldCharType="separate"/>
      </w:r>
      <w:r>
        <w:t>43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Prerequisites for sterilisation of persons to whom this Division applies</w:t>
      </w:r>
      <w:r>
        <w:tab/>
      </w:r>
      <w:r>
        <w:fldChar w:fldCharType="begin"/>
      </w:r>
      <w:r>
        <w:instrText xml:space="preserve"> PAGEREF _Toc175575823 \h </w:instrText>
      </w:r>
      <w:r>
        <w:fldChar w:fldCharType="separate"/>
      </w:r>
      <w:r>
        <w:t>43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Restriction on guardian’s consent</w:t>
      </w:r>
      <w:r>
        <w:tab/>
      </w:r>
      <w:r>
        <w:fldChar w:fldCharType="begin"/>
      </w:r>
      <w:r>
        <w:instrText xml:space="preserve"> PAGEREF _Toc175575824 \h </w:instrText>
      </w:r>
      <w:r>
        <w:fldChar w:fldCharType="separate"/>
      </w:r>
      <w:r>
        <w:t>44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Application for consent</w:t>
      </w:r>
      <w:r>
        <w:tab/>
      </w:r>
      <w:r>
        <w:fldChar w:fldCharType="begin"/>
      </w:r>
      <w:r>
        <w:instrText xml:space="preserve"> PAGEREF _Toc175575825 \h </w:instrText>
      </w:r>
      <w:r>
        <w:fldChar w:fldCharType="separate"/>
      </w:r>
      <w:r>
        <w:t>44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Notice of hearing</w:t>
      </w:r>
      <w:r>
        <w:tab/>
      </w:r>
      <w:r>
        <w:fldChar w:fldCharType="begin"/>
      </w:r>
      <w:r>
        <w:instrText xml:space="preserve"> PAGEREF _Toc175575826 \h </w:instrText>
      </w:r>
      <w:r>
        <w:fldChar w:fldCharType="separate"/>
      </w:r>
      <w:r>
        <w:t>44</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State Administrative Tribunal may consent if in best interests of represented person</w:t>
      </w:r>
      <w:r>
        <w:tab/>
      </w:r>
      <w:r>
        <w:fldChar w:fldCharType="begin"/>
      </w:r>
      <w:r>
        <w:instrText xml:space="preserve"> PAGEREF _Toc175575827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6 — Estate administration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Appointment of administrator</w:t>
      </w:r>
    </w:p>
    <w:p>
      <w:pPr>
        <w:pStyle w:val="TOC8"/>
        <w:rPr>
          <w:rFonts w:asciiTheme="minorHAnsi" w:eastAsiaTheme="minorEastAsia" w:hAnsiTheme="minorHAnsi" w:cstheme="minorBidi"/>
          <w:szCs w:val="22"/>
        </w:rPr>
      </w:pPr>
      <w:r>
        <w:t>64</w:t>
      </w:r>
      <w:r>
        <w:rPr>
          <w:snapToGrid w:val="0"/>
        </w:rPr>
        <w:t>.</w:t>
      </w:r>
      <w:r>
        <w:rPr>
          <w:snapToGrid w:val="0"/>
        </w:rPr>
        <w:tab/>
        <w:t>Making of administration order</w:t>
      </w:r>
      <w:r>
        <w:tab/>
      </w:r>
      <w:r>
        <w:fldChar w:fldCharType="begin"/>
      </w:r>
      <w:r>
        <w:instrText xml:space="preserve"> PAGEREF _Toc175575830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Emergency provision</w:t>
      </w:r>
      <w:r>
        <w:tab/>
      </w:r>
      <w:r>
        <w:fldChar w:fldCharType="begin"/>
      </w:r>
      <w:r>
        <w:instrText xml:space="preserve"> PAGEREF _Toc175575831 \h </w:instrText>
      </w:r>
      <w:r>
        <w:fldChar w:fldCharType="separate"/>
      </w:r>
      <w:r>
        <w:t>48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Acts may be authorised without administration order</w:t>
      </w:r>
      <w:r>
        <w:tab/>
      </w:r>
      <w:r>
        <w:fldChar w:fldCharType="begin"/>
      </w:r>
      <w:r>
        <w:instrText xml:space="preserve"> PAGEREF _Toc175575832 \h </w:instrText>
      </w:r>
      <w:r>
        <w:fldChar w:fldCharType="separate"/>
      </w:r>
      <w:r>
        <w:t>48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Non</w:t>
      </w:r>
      <w:r>
        <w:rPr>
          <w:snapToGrid w:val="0"/>
        </w:rPr>
        <w:noBreakHyphen/>
        <w:t>residents etc.</w:t>
      </w:r>
      <w:r>
        <w:tab/>
      </w:r>
      <w:r>
        <w:fldChar w:fldCharType="begin"/>
      </w:r>
      <w:r>
        <w:instrText xml:space="preserve"> PAGEREF _Toc175575833 \h </w:instrText>
      </w:r>
      <w:r>
        <w:fldChar w:fldCharType="separate"/>
      </w:r>
      <w:r>
        <w:t>49</w:t>
      </w:r>
      <w:r>
        <w:fldChar w:fldCharType="end"/>
      </w:r>
    </w:p>
    <w:p>
      <w:pPr>
        <w:pStyle w:val="TOC8"/>
        <w:rPr>
          <w:rFonts w:asciiTheme="minorHAnsi" w:eastAsiaTheme="minorEastAsia" w:hAnsiTheme="minorHAnsi" w:cstheme="minorBidi"/>
          <w:szCs w:val="22"/>
        </w:rPr>
      </w:pPr>
      <w:r>
        <w:lastRenderedPageBreak/>
        <w:t>68</w:t>
      </w:r>
      <w:r>
        <w:rPr>
          <w:snapToGrid w:val="0"/>
        </w:rPr>
        <w:t>.</w:t>
      </w:r>
      <w:r>
        <w:rPr>
          <w:snapToGrid w:val="0"/>
        </w:rPr>
        <w:tab/>
        <w:t>Who may be appointed administrator</w:t>
      </w:r>
      <w:r>
        <w:tab/>
      </w:r>
      <w:r>
        <w:fldChar w:fldCharType="begin"/>
      </w:r>
      <w:r>
        <w:instrText xml:space="preserve"> PAGEREF _Toc175575834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of administrators</w:t>
      </w:r>
    </w:p>
    <w:p>
      <w:pPr>
        <w:pStyle w:val="TOC8"/>
        <w:rPr>
          <w:rFonts w:asciiTheme="minorHAnsi" w:eastAsiaTheme="minorEastAsia" w:hAnsiTheme="minorHAnsi" w:cstheme="minorBidi"/>
          <w:szCs w:val="22"/>
        </w:rPr>
      </w:pPr>
      <w:r>
        <w:t>69</w:t>
      </w:r>
      <w:r>
        <w:rPr>
          <w:snapToGrid w:val="0"/>
        </w:rPr>
        <w:t>.</w:t>
      </w:r>
      <w:r>
        <w:rPr>
          <w:snapToGrid w:val="0"/>
        </w:rPr>
        <w:tab/>
        <w:t>Authority of administrator</w:t>
      </w:r>
      <w:r>
        <w:tab/>
      </w:r>
      <w:r>
        <w:fldChar w:fldCharType="begin"/>
      </w:r>
      <w:r>
        <w:instrText xml:space="preserve"> PAGEREF _Toc175575836 \h </w:instrText>
      </w:r>
      <w:r>
        <w:fldChar w:fldCharType="separate"/>
      </w:r>
      <w:r>
        <w:t>51</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Administrator to act in best interests of represented person</w:t>
      </w:r>
      <w:r>
        <w:tab/>
      </w:r>
      <w:r>
        <w:fldChar w:fldCharType="begin"/>
      </w:r>
      <w:r>
        <w:instrText xml:space="preserve"> PAGEREF _Toc175575837 \h </w:instrText>
      </w:r>
      <w:r>
        <w:fldChar w:fldCharType="separate"/>
      </w:r>
      <w:r>
        <w:t>52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Authority which may be conferred on administrator</w:t>
      </w:r>
      <w:r>
        <w:tab/>
      </w:r>
      <w:r>
        <w:fldChar w:fldCharType="begin"/>
      </w:r>
      <w:r>
        <w:instrText xml:space="preserve"> PAGEREF _Toc175575838 \h </w:instrText>
      </w:r>
      <w:r>
        <w:fldChar w:fldCharType="separate"/>
      </w:r>
      <w:r>
        <w:t>53</w:t>
      </w:r>
      <w:r>
        <w:fldChar w:fldCharType="end"/>
      </w:r>
    </w:p>
    <w:p>
      <w:pPr>
        <w:pStyle w:val="TOC8"/>
        <w:rPr>
          <w:rFonts w:asciiTheme="minorHAnsi" w:eastAsiaTheme="minorEastAsia" w:hAnsiTheme="minorHAnsi" w:cstheme="minorBidi"/>
          <w:szCs w:val="22"/>
        </w:rPr>
      </w:pPr>
      <w:r>
        <w:t>71A</w:t>
      </w:r>
      <w:r>
        <w:rPr>
          <w:snapToGrid w:val="0"/>
        </w:rPr>
        <w:t>.</w:t>
      </w:r>
      <w:r>
        <w:rPr>
          <w:snapToGrid w:val="0"/>
        </w:rPr>
        <w:tab/>
        <w:t>Amendment of order to confer particular function</w:t>
      </w:r>
      <w:r>
        <w:tab/>
      </w:r>
      <w:r>
        <w:fldChar w:fldCharType="begin"/>
      </w:r>
      <w:r>
        <w:instrText xml:space="preserve"> PAGEREF _Toc175575839 \h </w:instrText>
      </w:r>
      <w:r>
        <w:fldChar w:fldCharType="separate"/>
      </w:r>
      <w:r>
        <w:t>54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Further provisions as to authority of administrators</w:t>
      </w:r>
      <w:r>
        <w:tab/>
      </w:r>
      <w:r>
        <w:fldChar w:fldCharType="begin"/>
      </w:r>
      <w:r>
        <w:instrText xml:space="preserve"> PAGEREF _Toc175575840 \h </w:instrText>
      </w:r>
      <w:r>
        <w:fldChar w:fldCharType="separate"/>
      </w:r>
      <w:r>
        <w:t>54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Administrator may apply for directions</w:t>
      </w:r>
      <w:r>
        <w:tab/>
      </w:r>
      <w:r>
        <w:fldChar w:fldCharType="begin"/>
      </w:r>
      <w:r>
        <w:instrText xml:space="preserve"> PAGEREF _Toc175575841 \h </w:instrText>
      </w:r>
      <w:r>
        <w:fldChar w:fldCharType="separate"/>
      </w:r>
      <w:r>
        <w:t>55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Administrators to act unanimously</w:t>
      </w:r>
      <w:r>
        <w:tab/>
      </w:r>
      <w:r>
        <w:fldChar w:fldCharType="begin"/>
      </w:r>
      <w:r>
        <w:instrText xml:space="preserve"> PAGEREF _Toc175575842 \h </w:instrText>
      </w:r>
      <w:r>
        <w:fldChar w:fldCharType="separate"/>
      </w:r>
      <w:r>
        <w:t>56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Administrator may employ agents</w:t>
      </w:r>
      <w:r>
        <w:tab/>
      </w:r>
      <w:r>
        <w:fldChar w:fldCharType="begin"/>
      </w:r>
      <w:r>
        <w:instrText xml:space="preserve"> PAGEREF _Toc175575843 \h </w:instrText>
      </w:r>
      <w:r>
        <w:fldChar w:fldCharType="separate"/>
      </w:r>
      <w:r>
        <w:t>56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Represented person incapable of dealing with estate</w:t>
      </w:r>
      <w:r>
        <w:tab/>
      </w:r>
      <w:r>
        <w:fldChar w:fldCharType="begin"/>
      </w:r>
      <w:r>
        <w:instrText xml:space="preserve"> PAGEREF _Toc175575844 \h </w:instrText>
      </w:r>
      <w:r>
        <w:fldChar w:fldCharType="separate"/>
      </w:r>
      <w:r>
        <w:t>56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Cessation of authority of administrator</w:t>
      </w:r>
      <w:r>
        <w:tab/>
      </w:r>
      <w:r>
        <w:fldChar w:fldCharType="begin"/>
      </w:r>
      <w:r>
        <w:instrText xml:space="preserve"> PAGEREF _Toc175575845 \h </w:instrText>
      </w:r>
      <w:r>
        <w:fldChar w:fldCharType="separate"/>
      </w:r>
      <w:r>
        <w:t>57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Represented person bound by acts of administrator</w:t>
      </w:r>
      <w:r>
        <w:tab/>
      </w:r>
      <w:r>
        <w:fldChar w:fldCharType="begin"/>
      </w:r>
      <w:r>
        <w:instrText xml:space="preserve"> PAGEREF _Toc175575846 \h </w:instrText>
      </w:r>
      <w:r>
        <w:fldChar w:fldCharType="separate"/>
      </w:r>
      <w:r>
        <w:t>58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Accounts</w:t>
      </w:r>
      <w:r>
        <w:tab/>
      </w:r>
      <w:r>
        <w:fldChar w:fldCharType="begin"/>
      </w:r>
      <w:r>
        <w:instrText xml:space="preserve"> PAGEREF _Toc175575847 \h </w:instrText>
      </w:r>
      <w:r>
        <w:fldChar w:fldCharType="separate"/>
      </w:r>
      <w:r>
        <w:t>58</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Enforcement of security</w:t>
      </w:r>
      <w:r>
        <w:tab/>
      </w:r>
      <w:r>
        <w:fldChar w:fldCharType="begin"/>
      </w:r>
      <w:r>
        <w:instrText xml:space="preserve"> PAGEREF _Toc175575848 \h </w:instrText>
      </w:r>
      <w:r>
        <w:fldChar w:fldCharType="separate"/>
      </w:r>
      <w:r>
        <w:t>60</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Transactions may be set aside</w:t>
      </w:r>
      <w:r>
        <w:tab/>
      </w:r>
      <w:r>
        <w:fldChar w:fldCharType="begin"/>
      </w:r>
      <w:r>
        <w:instrText xml:space="preserve"> PAGEREF _Toc175575849 \h </w:instrText>
      </w:r>
      <w:r>
        <w:fldChar w:fldCharType="separate"/>
      </w:r>
      <w:r>
        <w:t>60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Saving for certain rules of court</w:t>
      </w:r>
      <w:r>
        <w:tab/>
      </w:r>
      <w:r>
        <w:fldChar w:fldCharType="begin"/>
      </w:r>
      <w:r>
        <w:instrText xml:space="preserve"> PAGEREF _Toc175575850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Interjurisdictional arrangements in relation to administration powers</w:t>
      </w:r>
    </w:p>
    <w:p>
      <w:pPr>
        <w:pStyle w:val="TOC8"/>
        <w:rPr>
          <w:rFonts w:asciiTheme="minorHAnsi" w:eastAsiaTheme="minorEastAsia" w:hAnsiTheme="minorHAnsi" w:cstheme="minorBidi"/>
          <w:szCs w:val="22"/>
        </w:rPr>
      </w:pPr>
      <w:r>
        <w:t>83A</w:t>
      </w:r>
      <w:r>
        <w:rPr>
          <w:snapToGrid w:val="0"/>
        </w:rPr>
        <w:t>.</w:t>
      </w:r>
      <w:r>
        <w:rPr>
          <w:snapToGrid w:val="0"/>
        </w:rPr>
        <w:tab/>
        <w:t>Reciprocating States</w:t>
      </w:r>
      <w:r>
        <w:tab/>
      </w:r>
      <w:r>
        <w:fldChar w:fldCharType="begin"/>
      </w:r>
      <w:r>
        <w:instrText xml:space="preserve"> PAGEREF _Toc175575852 \h </w:instrText>
      </w:r>
      <w:r>
        <w:fldChar w:fldCharType="separate"/>
      </w:r>
      <w:r>
        <w:t>61</w:t>
      </w:r>
      <w:r>
        <w:fldChar w:fldCharType="end"/>
      </w:r>
    </w:p>
    <w:p>
      <w:pPr>
        <w:pStyle w:val="TOC8"/>
        <w:rPr>
          <w:rFonts w:asciiTheme="minorHAnsi" w:eastAsiaTheme="minorEastAsia" w:hAnsiTheme="minorHAnsi" w:cstheme="minorBidi"/>
          <w:szCs w:val="22"/>
        </w:rPr>
      </w:pPr>
      <w:r>
        <w:t>83B</w:t>
      </w:r>
      <w:r>
        <w:rPr>
          <w:snapToGrid w:val="0"/>
        </w:rPr>
        <w:t>.</w:t>
      </w:r>
      <w:r>
        <w:rPr>
          <w:snapToGrid w:val="0"/>
        </w:rPr>
        <w:tab/>
        <w:t>Foreign administrator may authorise Public Trustee to administer property in this State</w:t>
      </w:r>
      <w:r>
        <w:tab/>
      </w:r>
      <w:r>
        <w:fldChar w:fldCharType="begin"/>
      </w:r>
      <w:r>
        <w:instrText xml:space="preserve"> PAGEREF _Toc175575853 \h </w:instrText>
      </w:r>
      <w:r>
        <w:fldChar w:fldCharType="separate"/>
      </w:r>
      <w:r>
        <w:t>62</w:t>
      </w:r>
      <w:r>
        <w:fldChar w:fldCharType="end"/>
      </w:r>
    </w:p>
    <w:p>
      <w:pPr>
        <w:pStyle w:val="TOC8"/>
        <w:rPr>
          <w:rFonts w:asciiTheme="minorHAnsi" w:eastAsiaTheme="minorEastAsia" w:hAnsiTheme="minorHAnsi" w:cstheme="minorBidi"/>
          <w:szCs w:val="22"/>
        </w:rPr>
      </w:pPr>
      <w:r>
        <w:t>83C</w:t>
      </w:r>
      <w:r>
        <w:rPr>
          <w:snapToGrid w:val="0"/>
        </w:rPr>
        <w:t>.</w:t>
      </w:r>
      <w:r>
        <w:rPr>
          <w:snapToGrid w:val="0"/>
        </w:rPr>
        <w:tab/>
        <w:t>Administrator may authorise relevant official to administer property in reciprocating State</w:t>
      </w:r>
      <w:r>
        <w:tab/>
      </w:r>
      <w:r>
        <w:fldChar w:fldCharType="begin"/>
      </w:r>
      <w:r>
        <w:instrText xml:space="preserve"> PAGEREF _Toc175575854 \h </w:instrText>
      </w:r>
      <w:r>
        <w:fldChar w:fldCharType="separate"/>
      </w:r>
      <w:r>
        <w:t>62</w:t>
      </w:r>
      <w:r>
        <w:fldChar w:fldCharType="end"/>
      </w:r>
    </w:p>
    <w:p>
      <w:pPr>
        <w:pStyle w:val="TOC8"/>
        <w:rPr>
          <w:rFonts w:asciiTheme="minorHAnsi" w:eastAsiaTheme="minorEastAsia" w:hAnsiTheme="minorHAnsi" w:cstheme="minorBidi"/>
          <w:szCs w:val="22"/>
        </w:rPr>
      </w:pPr>
      <w:r>
        <w:t>83D</w:t>
      </w:r>
      <w:r>
        <w:rPr>
          <w:snapToGrid w:val="0"/>
        </w:rPr>
        <w:t>.</w:t>
      </w:r>
      <w:r>
        <w:rPr>
          <w:snapToGrid w:val="0"/>
        </w:rPr>
        <w:tab/>
        <w:t>Interstate arrangements for recognition of administration orders</w:t>
      </w:r>
      <w:r>
        <w:tab/>
      </w:r>
      <w:r>
        <w:fldChar w:fldCharType="begin"/>
      </w:r>
      <w:r>
        <w:instrText xml:space="preserve"> PAGEREF _Toc175575855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7 — Review of orders</w:t>
      </w:r>
    </w:p>
    <w:p>
      <w:pPr>
        <w:pStyle w:val="TOC8"/>
        <w:rPr>
          <w:rFonts w:asciiTheme="minorHAnsi" w:eastAsiaTheme="minorEastAsia" w:hAnsiTheme="minorHAnsi" w:cstheme="minorBidi"/>
          <w:szCs w:val="22"/>
        </w:rPr>
      </w:pPr>
      <w:r>
        <w:t>84</w:t>
      </w:r>
      <w:r>
        <w:rPr>
          <w:snapToGrid w:val="0"/>
        </w:rPr>
        <w:t>.</w:t>
      </w:r>
      <w:r>
        <w:rPr>
          <w:snapToGrid w:val="0"/>
        </w:rPr>
        <w:tab/>
        <w:t>State Administrative Tribunal to review orders periodically</w:t>
      </w:r>
      <w:r>
        <w:tab/>
      </w:r>
      <w:r>
        <w:fldChar w:fldCharType="begin"/>
      </w:r>
      <w:r>
        <w:instrText xml:space="preserve"> PAGEREF _Toc175575857 \h </w:instrText>
      </w:r>
      <w:r>
        <w:fldChar w:fldCharType="separate"/>
      </w:r>
      <w:r>
        <w:t>65</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Circumstances in which review mandatory</w:t>
      </w:r>
      <w:r>
        <w:tab/>
      </w:r>
      <w:r>
        <w:fldChar w:fldCharType="begin"/>
      </w:r>
      <w:r>
        <w:instrText xml:space="preserve"> PAGEREF _Toc175575858 \h </w:instrText>
      </w:r>
      <w:r>
        <w:fldChar w:fldCharType="separate"/>
      </w:r>
      <w:r>
        <w:t>65</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Review on application</w:t>
      </w:r>
      <w:r>
        <w:tab/>
      </w:r>
      <w:r>
        <w:fldChar w:fldCharType="begin"/>
      </w:r>
      <w:r>
        <w:instrText xml:space="preserve"> PAGEREF _Toc175575859 \h </w:instrText>
      </w:r>
      <w:r>
        <w:fldChar w:fldCharType="separate"/>
      </w:r>
      <w:r>
        <w:t>66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Leave to apply for review</w:t>
      </w:r>
      <w:r>
        <w:tab/>
      </w:r>
      <w:r>
        <w:fldChar w:fldCharType="begin"/>
      </w:r>
      <w:r>
        <w:instrText xml:space="preserve"> PAGEREF _Toc175575860 \h </w:instrText>
      </w:r>
      <w:r>
        <w:fldChar w:fldCharType="separate"/>
      </w:r>
      <w:r>
        <w:t>66</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Application for review</w:t>
      </w:r>
      <w:r>
        <w:tab/>
      </w:r>
      <w:r>
        <w:fldChar w:fldCharType="begin"/>
      </w:r>
      <w:r>
        <w:instrText xml:space="preserve"> PAGEREF _Toc175575861 \h </w:instrText>
      </w:r>
      <w:r>
        <w:fldChar w:fldCharType="separate"/>
      </w:r>
      <w:r>
        <w:t>67</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Notice of review</w:t>
      </w:r>
      <w:r>
        <w:tab/>
      </w:r>
      <w:r>
        <w:fldChar w:fldCharType="begin"/>
      </w:r>
      <w:r>
        <w:instrText xml:space="preserve"> PAGEREF _Toc175575862 \h </w:instrText>
      </w:r>
      <w:r>
        <w:fldChar w:fldCharType="separate"/>
      </w:r>
      <w:r>
        <w:t>67</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Powers of State Administrative Tribunal on review</w:t>
      </w:r>
      <w:r>
        <w:tab/>
      </w:r>
      <w:r>
        <w:fldChar w:fldCharType="begin"/>
      </w:r>
      <w:r>
        <w:instrText xml:space="preserve"> PAGEREF _Toc175575863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The Public Advocate</w:t>
      </w:r>
    </w:p>
    <w:p>
      <w:pPr>
        <w:pStyle w:val="TOC8"/>
        <w:rPr>
          <w:rFonts w:asciiTheme="minorHAnsi" w:eastAsiaTheme="minorEastAsia" w:hAnsiTheme="minorHAnsi" w:cstheme="minorBidi"/>
          <w:szCs w:val="22"/>
        </w:rPr>
      </w:pPr>
      <w:r>
        <w:t>91</w:t>
      </w:r>
      <w:r>
        <w:rPr>
          <w:snapToGrid w:val="0"/>
        </w:rPr>
        <w:t>.</w:t>
      </w:r>
      <w:r>
        <w:rPr>
          <w:snapToGrid w:val="0"/>
        </w:rPr>
        <w:tab/>
        <w:t>Public Advocate</w:t>
      </w:r>
      <w:r>
        <w:tab/>
      </w:r>
      <w:r>
        <w:fldChar w:fldCharType="begin"/>
      </w:r>
      <w:r>
        <w:instrText xml:space="preserve"> PAGEREF _Toc175575865 \h </w:instrText>
      </w:r>
      <w:r>
        <w:fldChar w:fldCharType="separate"/>
      </w:r>
      <w:r>
        <w:t>70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Resignation, removal etc.</w:t>
      </w:r>
      <w:r>
        <w:tab/>
      </w:r>
      <w:r>
        <w:fldChar w:fldCharType="begin"/>
      </w:r>
      <w:r>
        <w:instrText xml:space="preserve"> PAGEREF _Toc175575866 \h </w:instrText>
      </w:r>
      <w:r>
        <w:fldChar w:fldCharType="separate"/>
      </w:r>
      <w:r>
        <w:t>70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Acting Public Advocate</w:t>
      </w:r>
      <w:r>
        <w:tab/>
      </w:r>
      <w:r>
        <w:fldChar w:fldCharType="begin"/>
      </w:r>
      <w:r>
        <w:instrText xml:space="preserve"> PAGEREF _Toc175575867 \h </w:instrText>
      </w:r>
      <w:r>
        <w:fldChar w:fldCharType="separate"/>
      </w:r>
      <w:r>
        <w:t>71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Staff</w:t>
      </w:r>
      <w:r>
        <w:tab/>
      </w:r>
      <w:r>
        <w:fldChar w:fldCharType="begin"/>
      </w:r>
      <w:r>
        <w:instrText xml:space="preserve"> PAGEREF _Toc175575868 \h </w:instrText>
      </w:r>
      <w:r>
        <w:fldChar w:fldCharType="separate"/>
      </w:r>
      <w:r>
        <w:t>72</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Powers of delegation</w:t>
      </w:r>
      <w:r>
        <w:tab/>
      </w:r>
      <w:r>
        <w:fldChar w:fldCharType="begin"/>
      </w:r>
      <w:r>
        <w:instrText xml:space="preserve"> PAGEREF _Toc175575869 \h </w:instrText>
      </w:r>
      <w:r>
        <w:fldChar w:fldCharType="separate"/>
      </w:r>
      <w:r>
        <w:t>72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Existing rights etc.</w:t>
      </w:r>
      <w:r>
        <w:tab/>
      </w:r>
      <w:r>
        <w:fldChar w:fldCharType="begin"/>
      </w:r>
      <w:r>
        <w:instrText xml:space="preserve"> PAGEREF _Toc175575870 \h </w:instrText>
      </w:r>
      <w:r>
        <w:fldChar w:fldCharType="separate"/>
      </w:r>
      <w:r>
        <w:t>73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Functions of Public Advocate</w:t>
      </w:r>
      <w:r>
        <w:tab/>
      </w:r>
      <w:r>
        <w:fldChar w:fldCharType="begin"/>
      </w:r>
      <w:r>
        <w:instrText xml:space="preserve"> PAGEREF _Toc175575871 \h </w:instrText>
      </w:r>
      <w:r>
        <w:fldChar w:fldCharType="separate"/>
      </w:r>
      <w:r>
        <w:t>73</w:t>
      </w:r>
      <w:r>
        <w:fldChar w:fldCharType="end"/>
      </w:r>
    </w:p>
    <w:p>
      <w:pPr>
        <w:pStyle w:val="TOC8"/>
        <w:rPr>
          <w:rFonts w:asciiTheme="minorHAnsi" w:eastAsiaTheme="minorEastAsia" w:hAnsiTheme="minorHAnsi" w:cstheme="minorBidi"/>
          <w:szCs w:val="22"/>
        </w:rPr>
      </w:pPr>
      <w:r>
        <w:t>98.</w:t>
      </w:r>
      <w:r>
        <w:tab/>
        <w:t xml:space="preserve">Supervised persons under </w:t>
      </w:r>
      <w:r>
        <w:rPr>
          <w:i/>
          <w:iCs/>
        </w:rPr>
        <w:t>Criminal Law (Mental Impairment) Act 2023</w:t>
      </w:r>
      <w:r>
        <w:tab/>
      </w:r>
      <w:r>
        <w:fldChar w:fldCharType="begin"/>
      </w:r>
      <w:r>
        <w:instrText xml:space="preserve"> PAGEREF _Toc175575872 \h </w:instrText>
      </w:r>
      <w:r>
        <w:fldChar w:fldCharType="separate"/>
      </w:r>
      <w:r>
        <w:t>75</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Public Advocate to act on death of guardian or administrator</w:t>
      </w:r>
      <w:r>
        <w:tab/>
      </w:r>
      <w:r>
        <w:fldChar w:fldCharType="begin"/>
      </w:r>
      <w:r>
        <w:instrText xml:space="preserve"> PAGEREF _Toc175575873 \h </w:instrText>
      </w:r>
      <w:r>
        <w:fldChar w:fldCharType="separate"/>
      </w:r>
      <w:r>
        <w:t>76</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Judicial notice</w:t>
      </w:r>
      <w:r>
        <w:tab/>
      </w:r>
      <w:r>
        <w:fldChar w:fldCharType="begin"/>
      </w:r>
      <w:r>
        <w:instrText xml:space="preserve"> PAGEREF _Toc175575874 \h </w:instrText>
      </w:r>
      <w:r>
        <w:fldChar w:fldCharType="separate"/>
      </w:r>
      <w:r>
        <w:t>76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Annual report of Public Advocate</w:t>
      </w:r>
      <w:r>
        <w:tab/>
      </w:r>
      <w:r>
        <w:fldChar w:fldCharType="begin"/>
      </w:r>
      <w:r>
        <w:instrText xml:space="preserve"> PAGEREF _Toc175575875 \h </w:instrText>
      </w:r>
      <w:r>
        <w:fldChar w:fldCharType="separate"/>
      </w:r>
      <w:r>
        <w:t>77</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Public Advocate may raise matters with Minister</w:t>
      </w:r>
      <w:r>
        <w:tab/>
      </w:r>
      <w:r>
        <w:fldChar w:fldCharType="begin"/>
      </w:r>
      <w:r>
        <w:instrText xml:space="preserve"> PAGEREF _Toc175575876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9 — Enduring powers of attorney</w:t>
      </w:r>
    </w:p>
    <w:p>
      <w:pPr>
        <w:pStyle w:val="TOC8"/>
        <w:rPr>
          <w:rFonts w:asciiTheme="minorHAnsi" w:eastAsiaTheme="minorEastAsia" w:hAnsiTheme="minorHAnsi" w:cstheme="minorBidi"/>
          <w:szCs w:val="22"/>
        </w:rPr>
      </w:pPr>
      <w:r>
        <w:t>102</w:t>
      </w:r>
      <w:r>
        <w:rPr>
          <w:snapToGrid w:val="0"/>
        </w:rPr>
        <w:t>.</w:t>
      </w:r>
      <w:r>
        <w:rPr>
          <w:snapToGrid w:val="0"/>
        </w:rPr>
        <w:tab/>
        <w:t>Terms used</w:t>
      </w:r>
      <w:r>
        <w:tab/>
      </w:r>
      <w:r>
        <w:fldChar w:fldCharType="begin"/>
      </w:r>
      <w:r>
        <w:instrText xml:space="preserve"> PAGEREF _Toc175575878 \h </w:instrText>
      </w:r>
      <w:r>
        <w:fldChar w:fldCharType="separate"/>
      </w:r>
      <w:r>
        <w:t>78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Other Acts</w:t>
      </w:r>
      <w:r>
        <w:tab/>
      </w:r>
      <w:r>
        <w:fldChar w:fldCharType="begin"/>
      </w:r>
      <w:r>
        <w:instrText xml:space="preserve"> PAGEREF _Toc175575879 \h </w:instrText>
      </w:r>
      <w:r>
        <w:fldChar w:fldCharType="separate"/>
      </w:r>
      <w:r>
        <w:t>78</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Execution of enduring power of attorney</w:t>
      </w:r>
      <w:r>
        <w:tab/>
      </w:r>
      <w:r>
        <w:fldChar w:fldCharType="begin"/>
      </w:r>
      <w:r>
        <w:instrText xml:space="preserve"> PAGEREF _Toc175575880 \h </w:instrText>
      </w:r>
      <w:r>
        <w:fldChar w:fldCharType="separate"/>
      </w:r>
      <w:r>
        <w:t>78</w:t>
      </w:r>
      <w:r>
        <w:fldChar w:fldCharType="end"/>
      </w:r>
    </w:p>
    <w:p>
      <w:pPr>
        <w:pStyle w:val="TOC8"/>
        <w:rPr>
          <w:rFonts w:asciiTheme="minorHAnsi" w:eastAsiaTheme="minorEastAsia" w:hAnsiTheme="minorHAnsi" w:cstheme="minorBidi"/>
          <w:szCs w:val="22"/>
        </w:rPr>
      </w:pPr>
      <w:r>
        <w:t>104A</w:t>
      </w:r>
      <w:r>
        <w:rPr>
          <w:snapToGrid w:val="0"/>
        </w:rPr>
        <w:t>.</w:t>
      </w:r>
      <w:r>
        <w:rPr>
          <w:snapToGrid w:val="0"/>
        </w:rPr>
        <w:tab/>
        <w:t>Recognition of powers of attorney created in other jurisdictions</w:t>
      </w:r>
      <w:r>
        <w:tab/>
      </w:r>
      <w:r>
        <w:fldChar w:fldCharType="begin"/>
      </w:r>
      <w:r>
        <w:instrText xml:space="preserve"> PAGEREF _Toc175575881 \h </w:instrText>
      </w:r>
      <w:r>
        <w:fldChar w:fldCharType="separate"/>
      </w:r>
      <w:r>
        <w:t>80</w:t>
      </w:r>
      <w:r>
        <w:fldChar w:fldCharType="end"/>
      </w:r>
    </w:p>
    <w:p>
      <w:pPr>
        <w:pStyle w:val="TOC8"/>
        <w:rPr>
          <w:rFonts w:asciiTheme="minorHAnsi" w:eastAsiaTheme="minorEastAsia" w:hAnsiTheme="minorHAnsi" w:cstheme="minorBidi"/>
          <w:szCs w:val="22"/>
        </w:rPr>
      </w:pPr>
      <w:r>
        <w:t>104B.</w:t>
      </w:r>
      <w:r>
        <w:tab/>
        <w:t>Substitute donees</w:t>
      </w:r>
      <w:r>
        <w:tab/>
      </w:r>
      <w:r>
        <w:fldChar w:fldCharType="begin"/>
      </w:r>
      <w:r>
        <w:instrText xml:space="preserve"> PAGEREF _Toc175575882 \h </w:instrText>
      </w:r>
      <w:r>
        <w:fldChar w:fldCharType="separate"/>
      </w:r>
      <w:r>
        <w:t>80</w:t>
      </w:r>
      <w:r>
        <w:fldChar w:fldCharType="end"/>
      </w:r>
    </w:p>
    <w:p>
      <w:pPr>
        <w:pStyle w:val="TOC8"/>
        <w:rPr>
          <w:rFonts w:asciiTheme="minorHAnsi" w:eastAsiaTheme="minorEastAsia" w:hAnsiTheme="minorHAnsi" w:cstheme="minorBidi"/>
          <w:szCs w:val="22"/>
        </w:rPr>
      </w:pPr>
      <w:r>
        <w:t>104C.</w:t>
      </w:r>
      <w:r>
        <w:tab/>
        <w:t>Eligibility for appointment as donee or substitute donee</w:t>
      </w:r>
      <w:r>
        <w:tab/>
      </w:r>
      <w:r>
        <w:fldChar w:fldCharType="begin"/>
      </w:r>
      <w:r>
        <w:instrText xml:space="preserve"> PAGEREF _Toc175575883 \h </w:instrText>
      </w:r>
      <w:r>
        <w:fldChar w:fldCharType="separate"/>
      </w:r>
      <w:r>
        <w:t>81</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Enduring power of attorney survives incapacity</w:t>
      </w:r>
      <w:r>
        <w:tab/>
      </w:r>
      <w:r>
        <w:fldChar w:fldCharType="begin"/>
      </w:r>
      <w:r>
        <w:instrText xml:space="preserve"> PAGEREF _Toc175575884 \h </w:instrText>
      </w:r>
      <w:r>
        <w:fldChar w:fldCharType="separate"/>
      </w:r>
      <w:r>
        <w:t>81</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Donee may apply for declaration of legal incapacity</w:t>
      </w:r>
      <w:r>
        <w:tab/>
      </w:r>
      <w:r>
        <w:fldChar w:fldCharType="begin"/>
      </w:r>
      <w:r>
        <w:instrText xml:space="preserve"> PAGEREF _Toc175575885 \h </w:instrText>
      </w:r>
      <w:r>
        <w:fldChar w:fldCharType="separate"/>
      </w:r>
      <w:r>
        <w:t>81</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Obligations of donee</w:t>
      </w:r>
      <w:r>
        <w:tab/>
      </w:r>
      <w:r>
        <w:fldChar w:fldCharType="begin"/>
      </w:r>
      <w:r>
        <w:instrText xml:space="preserve"> PAGEREF _Toc175575886 \h </w:instrText>
      </w:r>
      <w:r>
        <w:fldChar w:fldCharType="separate"/>
      </w:r>
      <w:r>
        <w:t>82</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Appointment of administrator</w:t>
      </w:r>
      <w:r>
        <w:tab/>
      </w:r>
      <w:r>
        <w:fldChar w:fldCharType="begin"/>
      </w:r>
      <w:r>
        <w:instrText xml:space="preserve"> PAGEREF _Toc175575887 \h </w:instrText>
      </w:r>
      <w:r>
        <w:fldChar w:fldCharType="separate"/>
      </w:r>
      <w:r>
        <w:t>83</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On application State Administrative Tribunal may intervene</w:t>
      </w:r>
      <w:r>
        <w:tab/>
      </w:r>
      <w:r>
        <w:fldChar w:fldCharType="begin"/>
      </w:r>
      <w:r>
        <w:instrText xml:space="preserve"> PAGEREF _Toc175575888 \h </w:instrText>
      </w:r>
      <w:r>
        <w:fldChar w:fldCharType="separate"/>
      </w:r>
      <w:r>
        <w:t>84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Notice of application</w:t>
      </w:r>
      <w:r>
        <w:tab/>
      </w:r>
      <w:r>
        <w:fldChar w:fldCharType="begin"/>
      </w:r>
      <w:r>
        <w:instrText xml:space="preserve"> PAGEREF _Toc175575889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9A</w:t>
      </w:r>
      <w:r>
        <w:rPr>
          <w:b w:val="0"/>
        </w:rPr>
        <w:t> </w:t>
      </w:r>
      <w:r>
        <w:t>—</w:t>
      </w:r>
      <w:r>
        <w:rPr>
          <w:b w:val="0"/>
        </w:rPr>
        <w:t> </w:t>
      </w:r>
      <w:r>
        <w:t>Enduring powers of guardianship</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110A.</w:t>
      </w:r>
      <w:r>
        <w:tab/>
        <w:t>Term used: appointor</w:t>
      </w:r>
      <w:r>
        <w:tab/>
      </w:r>
      <w:r>
        <w:fldChar w:fldCharType="begin"/>
      </w:r>
      <w:r>
        <w:instrText xml:space="preserve"> PAGEREF _Toc175575892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Making of enduring power of guardianship</w:t>
      </w:r>
    </w:p>
    <w:p>
      <w:pPr>
        <w:pStyle w:val="TOC8"/>
        <w:rPr>
          <w:rFonts w:asciiTheme="minorHAnsi" w:eastAsiaTheme="minorEastAsia" w:hAnsiTheme="minorHAnsi" w:cstheme="minorBidi"/>
          <w:szCs w:val="22"/>
        </w:rPr>
      </w:pPr>
      <w:r>
        <w:t>110B.</w:t>
      </w:r>
      <w:r>
        <w:tab/>
        <w:t>Appointing enduring guardian</w:t>
      </w:r>
      <w:r>
        <w:tab/>
      </w:r>
      <w:r>
        <w:fldChar w:fldCharType="begin"/>
      </w:r>
      <w:r>
        <w:instrText xml:space="preserve"> PAGEREF _Toc175575894 \h </w:instrText>
      </w:r>
      <w:r>
        <w:fldChar w:fldCharType="separate"/>
      </w:r>
      <w:r>
        <w:t>86</w:t>
      </w:r>
      <w:r>
        <w:fldChar w:fldCharType="end"/>
      </w:r>
    </w:p>
    <w:p>
      <w:pPr>
        <w:pStyle w:val="TOC8"/>
        <w:rPr>
          <w:rFonts w:asciiTheme="minorHAnsi" w:eastAsiaTheme="minorEastAsia" w:hAnsiTheme="minorHAnsi" w:cstheme="minorBidi"/>
          <w:szCs w:val="22"/>
        </w:rPr>
      </w:pPr>
      <w:r>
        <w:t>110C.</w:t>
      </w:r>
      <w:r>
        <w:tab/>
        <w:t>Substitute enduring guardians</w:t>
      </w:r>
      <w:r>
        <w:tab/>
      </w:r>
      <w:r>
        <w:fldChar w:fldCharType="begin"/>
      </w:r>
      <w:r>
        <w:instrText xml:space="preserve"> PAGEREF _Toc175575895 \h </w:instrText>
      </w:r>
      <w:r>
        <w:fldChar w:fldCharType="separate"/>
      </w:r>
      <w:r>
        <w:t>86</w:t>
      </w:r>
      <w:r>
        <w:fldChar w:fldCharType="end"/>
      </w:r>
    </w:p>
    <w:p>
      <w:pPr>
        <w:pStyle w:val="TOC8"/>
        <w:rPr>
          <w:rFonts w:asciiTheme="minorHAnsi" w:eastAsiaTheme="minorEastAsia" w:hAnsiTheme="minorHAnsi" w:cstheme="minorBidi"/>
          <w:szCs w:val="22"/>
        </w:rPr>
      </w:pPr>
      <w:r>
        <w:t>110D.</w:t>
      </w:r>
      <w:r>
        <w:tab/>
        <w:t>Who is eligible to be appointed</w:t>
      </w:r>
      <w:r>
        <w:tab/>
      </w:r>
      <w:r>
        <w:fldChar w:fldCharType="begin"/>
      </w:r>
      <w:r>
        <w:instrText xml:space="preserve"> PAGEREF _Toc175575896 \h </w:instrText>
      </w:r>
      <w:r>
        <w:fldChar w:fldCharType="separate"/>
      </w:r>
      <w:r>
        <w:t>87</w:t>
      </w:r>
      <w:r>
        <w:fldChar w:fldCharType="end"/>
      </w:r>
    </w:p>
    <w:p>
      <w:pPr>
        <w:pStyle w:val="TOC8"/>
        <w:rPr>
          <w:rFonts w:asciiTheme="minorHAnsi" w:eastAsiaTheme="minorEastAsia" w:hAnsiTheme="minorHAnsi" w:cstheme="minorBidi"/>
          <w:szCs w:val="22"/>
        </w:rPr>
      </w:pPr>
      <w:r>
        <w:t>110E.</w:t>
      </w:r>
      <w:r>
        <w:tab/>
        <w:t>Formal requirements</w:t>
      </w:r>
      <w:r>
        <w:tab/>
      </w:r>
      <w:r>
        <w:fldChar w:fldCharType="begin"/>
      </w:r>
      <w:r>
        <w:instrText xml:space="preserve"> PAGEREF _Toc175575897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3 — Operation of enduring power of guardianship</w:t>
      </w:r>
    </w:p>
    <w:p>
      <w:pPr>
        <w:pStyle w:val="TOC8"/>
        <w:rPr>
          <w:rFonts w:asciiTheme="minorHAnsi" w:eastAsiaTheme="minorEastAsia" w:hAnsiTheme="minorHAnsi" w:cstheme="minorBidi"/>
          <w:szCs w:val="22"/>
        </w:rPr>
      </w:pPr>
      <w:r>
        <w:t>110F.</w:t>
      </w:r>
      <w:r>
        <w:tab/>
        <w:t>When enduring guardian may act</w:t>
      </w:r>
      <w:r>
        <w:tab/>
      </w:r>
      <w:r>
        <w:fldChar w:fldCharType="begin"/>
      </w:r>
      <w:r>
        <w:instrText xml:space="preserve"> PAGEREF _Toc175575899 \h </w:instrText>
      </w:r>
      <w:r>
        <w:fldChar w:fldCharType="separate"/>
      </w:r>
      <w:r>
        <w:t>89</w:t>
      </w:r>
      <w:r>
        <w:fldChar w:fldCharType="end"/>
      </w:r>
    </w:p>
    <w:p>
      <w:pPr>
        <w:pStyle w:val="TOC8"/>
        <w:rPr>
          <w:rFonts w:asciiTheme="minorHAnsi" w:eastAsiaTheme="minorEastAsia" w:hAnsiTheme="minorHAnsi" w:cstheme="minorBidi"/>
          <w:szCs w:val="22"/>
        </w:rPr>
      </w:pPr>
      <w:r>
        <w:t>110G.</w:t>
      </w:r>
      <w:r>
        <w:tab/>
        <w:t>Functions generally</w:t>
      </w:r>
      <w:r>
        <w:tab/>
      </w:r>
      <w:r>
        <w:fldChar w:fldCharType="begin"/>
      </w:r>
      <w:r>
        <w:instrText xml:space="preserve"> PAGEREF _Toc175575900 \h </w:instrText>
      </w:r>
      <w:r>
        <w:fldChar w:fldCharType="separate"/>
      </w:r>
      <w:r>
        <w:t>89</w:t>
      </w:r>
      <w:r>
        <w:fldChar w:fldCharType="end"/>
      </w:r>
    </w:p>
    <w:p>
      <w:pPr>
        <w:pStyle w:val="TOC8"/>
        <w:rPr>
          <w:rFonts w:asciiTheme="minorHAnsi" w:eastAsiaTheme="minorEastAsia" w:hAnsiTheme="minorHAnsi" w:cstheme="minorBidi"/>
          <w:szCs w:val="22"/>
        </w:rPr>
      </w:pPr>
      <w:r>
        <w:t>110H.</w:t>
      </w:r>
      <w:r>
        <w:tab/>
        <w:t>Certain provisions apply in relation to enduring guardian and appointor</w:t>
      </w:r>
      <w:r>
        <w:tab/>
      </w:r>
      <w:r>
        <w:fldChar w:fldCharType="begin"/>
      </w:r>
      <w:r>
        <w:instrText xml:space="preserve"> PAGEREF _Toc175575901 \h </w:instrText>
      </w:r>
      <w:r>
        <w:fldChar w:fldCharType="separate"/>
      </w:r>
      <w:r>
        <w:t>89</w:t>
      </w:r>
      <w:r>
        <w:fldChar w:fldCharType="end"/>
      </w:r>
    </w:p>
    <w:p>
      <w:pPr>
        <w:pStyle w:val="TOC8"/>
        <w:rPr>
          <w:rFonts w:asciiTheme="minorHAnsi" w:eastAsiaTheme="minorEastAsia" w:hAnsiTheme="minorHAnsi" w:cstheme="minorBidi"/>
          <w:szCs w:val="22"/>
        </w:rPr>
      </w:pPr>
      <w:r>
        <w:t>110I.</w:t>
      </w:r>
      <w:r>
        <w:tab/>
        <w:t>Priority of enduring power of guardianship</w:t>
      </w:r>
      <w:r>
        <w:tab/>
      </w:r>
      <w:r>
        <w:fldChar w:fldCharType="begin"/>
      </w:r>
      <w:r>
        <w:instrText xml:space="preserve"> PAGEREF _Toc175575902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4 — Jurisdiction of State Administrative Tribunal</w:t>
      </w:r>
    </w:p>
    <w:p>
      <w:pPr>
        <w:pStyle w:val="TOC8"/>
        <w:rPr>
          <w:rFonts w:asciiTheme="minorHAnsi" w:eastAsiaTheme="minorEastAsia" w:hAnsiTheme="minorHAnsi" w:cstheme="minorBidi"/>
          <w:szCs w:val="22"/>
        </w:rPr>
      </w:pPr>
      <w:r>
        <w:t>110J.</w:t>
      </w:r>
      <w:r>
        <w:tab/>
        <w:t>Who may apply</w:t>
      </w:r>
      <w:r>
        <w:tab/>
      </w:r>
      <w:r>
        <w:fldChar w:fldCharType="begin"/>
      </w:r>
      <w:r>
        <w:instrText xml:space="preserve"> PAGEREF _Toc175575904 \h </w:instrText>
      </w:r>
      <w:r>
        <w:fldChar w:fldCharType="separate"/>
      </w:r>
      <w:r>
        <w:t>90</w:t>
      </w:r>
      <w:r>
        <w:fldChar w:fldCharType="end"/>
      </w:r>
    </w:p>
    <w:p>
      <w:pPr>
        <w:pStyle w:val="TOC8"/>
        <w:rPr>
          <w:rFonts w:asciiTheme="minorHAnsi" w:eastAsiaTheme="minorEastAsia" w:hAnsiTheme="minorHAnsi" w:cstheme="minorBidi"/>
          <w:szCs w:val="22"/>
        </w:rPr>
      </w:pPr>
      <w:r>
        <w:t>110K.</w:t>
      </w:r>
      <w:r>
        <w:tab/>
        <w:t>Declaration about validity of enduring power of guardianship</w:t>
      </w:r>
      <w:r>
        <w:tab/>
      </w:r>
      <w:r>
        <w:fldChar w:fldCharType="begin"/>
      </w:r>
      <w:r>
        <w:instrText xml:space="preserve"> PAGEREF _Toc175575905 \h </w:instrText>
      </w:r>
      <w:r>
        <w:fldChar w:fldCharType="separate"/>
      </w:r>
      <w:r>
        <w:t>91</w:t>
      </w:r>
      <w:r>
        <w:fldChar w:fldCharType="end"/>
      </w:r>
    </w:p>
    <w:p>
      <w:pPr>
        <w:pStyle w:val="TOC8"/>
        <w:rPr>
          <w:rFonts w:asciiTheme="minorHAnsi" w:eastAsiaTheme="minorEastAsia" w:hAnsiTheme="minorHAnsi" w:cstheme="minorBidi"/>
          <w:szCs w:val="22"/>
        </w:rPr>
      </w:pPr>
      <w:r>
        <w:t>110L.</w:t>
      </w:r>
      <w:r>
        <w:tab/>
        <w:t>Declaration of incapacity of appointor</w:t>
      </w:r>
      <w:r>
        <w:tab/>
      </w:r>
      <w:r>
        <w:fldChar w:fldCharType="begin"/>
      </w:r>
      <w:r>
        <w:instrText xml:space="preserve"> PAGEREF _Toc175575906 \h </w:instrText>
      </w:r>
      <w:r>
        <w:fldChar w:fldCharType="separate"/>
      </w:r>
      <w:r>
        <w:t>91</w:t>
      </w:r>
      <w:r>
        <w:fldChar w:fldCharType="end"/>
      </w:r>
    </w:p>
    <w:p>
      <w:pPr>
        <w:pStyle w:val="TOC8"/>
        <w:rPr>
          <w:rFonts w:asciiTheme="minorHAnsi" w:eastAsiaTheme="minorEastAsia" w:hAnsiTheme="minorHAnsi" w:cstheme="minorBidi"/>
          <w:szCs w:val="22"/>
        </w:rPr>
      </w:pPr>
      <w:r>
        <w:t>110M.</w:t>
      </w:r>
      <w:r>
        <w:tab/>
        <w:t>Directions as to construction of terms etc.</w:t>
      </w:r>
      <w:r>
        <w:tab/>
      </w:r>
      <w:r>
        <w:fldChar w:fldCharType="begin"/>
      </w:r>
      <w:r>
        <w:instrText xml:space="preserve"> PAGEREF _Toc175575907 \h </w:instrText>
      </w:r>
      <w:r>
        <w:fldChar w:fldCharType="separate"/>
      </w:r>
      <w:r>
        <w:t>91</w:t>
      </w:r>
      <w:r>
        <w:fldChar w:fldCharType="end"/>
      </w:r>
    </w:p>
    <w:p>
      <w:pPr>
        <w:pStyle w:val="TOC8"/>
        <w:rPr>
          <w:rFonts w:asciiTheme="minorHAnsi" w:eastAsiaTheme="minorEastAsia" w:hAnsiTheme="minorHAnsi" w:cstheme="minorBidi"/>
          <w:szCs w:val="22"/>
        </w:rPr>
      </w:pPr>
      <w:r>
        <w:t>110N.</w:t>
      </w:r>
      <w:r>
        <w:tab/>
        <w:t>Revocation or variation of enduring power of guardianship</w:t>
      </w:r>
      <w:r>
        <w:tab/>
      </w:r>
      <w:r>
        <w:fldChar w:fldCharType="begin"/>
      </w:r>
      <w:r>
        <w:instrText xml:space="preserve"> PAGEREF _Toc175575908 \h </w:instrText>
      </w:r>
      <w:r>
        <w:fldChar w:fldCharType="separate"/>
      </w:r>
      <w:r>
        <w:t>91</w:t>
      </w:r>
      <w:r>
        <w:fldChar w:fldCharType="end"/>
      </w:r>
    </w:p>
    <w:p>
      <w:pPr>
        <w:pStyle w:val="TOC8"/>
        <w:rPr>
          <w:rFonts w:asciiTheme="minorHAnsi" w:eastAsiaTheme="minorEastAsia" w:hAnsiTheme="minorHAnsi" w:cstheme="minorBidi"/>
          <w:szCs w:val="22"/>
        </w:rPr>
      </w:pPr>
      <w:r>
        <w:t>110O.</w:t>
      </w:r>
      <w:r>
        <w:tab/>
        <w:t>Recognition of instrument created in another jurisdiction</w:t>
      </w:r>
      <w:r>
        <w:tab/>
      </w:r>
      <w:r>
        <w:fldChar w:fldCharType="begin"/>
      </w:r>
      <w:r>
        <w:instrText xml:space="preserve"> PAGEREF _Toc175575909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9B</w:t>
      </w:r>
      <w:r>
        <w:rPr>
          <w:b w:val="0"/>
        </w:rPr>
        <w:t> </w:t>
      </w:r>
      <w:r>
        <w:t>—</w:t>
      </w:r>
      <w:r>
        <w:rPr>
          <w:b w:val="0"/>
        </w:rPr>
        <w:t> </w:t>
      </w:r>
      <w:r>
        <w:t>Advance health directives</w:t>
      </w:r>
    </w:p>
    <w:p>
      <w:pPr>
        <w:pStyle w:val="TOC4"/>
        <w:tabs>
          <w:tab w:val="right" w:leader="dot" w:pos="7077"/>
        </w:tabs>
        <w:rPr>
          <w:rFonts w:asciiTheme="minorHAnsi" w:eastAsiaTheme="minorEastAsia" w:hAnsiTheme="minorHAnsi" w:cstheme="minorBidi"/>
          <w:b w:val="0"/>
          <w:szCs w:val="22"/>
        </w:rPr>
      </w:pPr>
      <w:r>
        <w:t>Division 1 — Making of advance health directive</w:t>
      </w:r>
    </w:p>
    <w:p>
      <w:pPr>
        <w:pStyle w:val="TOC8"/>
        <w:rPr>
          <w:rFonts w:asciiTheme="minorHAnsi" w:eastAsiaTheme="minorEastAsia" w:hAnsiTheme="minorHAnsi" w:cstheme="minorBidi"/>
          <w:szCs w:val="22"/>
        </w:rPr>
      </w:pPr>
      <w:r>
        <w:t>110P.</w:t>
      </w:r>
      <w:r>
        <w:tab/>
        <w:t>Making advance health directive</w:t>
      </w:r>
      <w:r>
        <w:tab/>
      </w:r>
      <w:r>
        <w:fldChar w:fldCharType="begin"/>
      </w:r>
      <w:r>
        <w:instrText xml:space="preserve"> PAGEREF _Toc175575912 \h </w:instrText>
      </w:r>
      <w:r>
        <w:fldChar w:fldCharType="separate"/>
      </w:r>
      <w:r>
        <w:t>93</w:t>
      </w:r>
      <w:r>
        <w:fldChar w:fldCharType="end"/>
      </w:r>
    </w:p>
    <w:p>
      <w:pPr>
        <w:pStyle w:val="TOC8"/>
        <w:rPr>
          <w:rFonts w:asciiTheme="minorHAnsi" w:eastAsiaTheme="minorEastAsia" w:hAnsiTheme="minorHAnsi" w:cstheme="minorBidi"/>
          <w:szCs w:val="22"/>
        </w:rPr>
      </w:pPr>
      <w:r>
        <w:t>110Q.</w:t>
      </w:r>
      <w:r>
        <w:tab/>
        <w:t>Formal requirements</w:t>
      </w:r>
      <w:r>
        <w:tab/>
      </w:r>
      <w:r>
        <w:fldChar w:fldCharType="begin"/>
      </w:r>
      <w:r>
        <w:instrText xml:space="preserve"> PAGEREF _Toc175575913 \h </w:instrText>
      </w:r>
      <w:r>
        <w:fldChar w:fldCharType="separate"/>
      </w:r>
      <w:r>
        <w:t>93</w:t>
      </w:r>
      <w:r>
        <w:fldChar w:fldCharType="end"/>
      </w:r>
    </w:p>
    <w:p>
      <w:pPr>
        <w:pStyle w:val="TOC8"/>
        <w:rPr>
          <w:rFonts w:asciiTheme="minorHAnsi" w:eastAsiaTheme="minorEastAsia" w:hAnsiTheme="minorHAnsi" w:cstheme="minorBidi"/>
          <w:szCs w:val="22"/>
        </w:rPr>
      </w:pPr>
      <w:r>
        <w:t>110QA.</w:t>
      </w:r>
      <w:r>
        <w:tab/>
        <w:t>Maker may indicate in directive whether advice obtained</w:t>
      </w:r>
      <w:r>
        <w:tab/>
      </w:r>
      <w:r>
        <w:fldChar w:fldCharType="begin"/>
      </w:r>
      <w:r>
        <w:instrText xml:space="preserve"> PAGEREF _Toc175575914 \h </w:instrText>
      </w:r>
      <w:r>
        <w:fldChar w:fldCharType="separate"/>
      </w:r>
      <w:r>
        <w:t>94</w:t>
      </w:r>
      <w:r>
        <w:fldChar w:fldCharType="end"/>
      </w:r>
    </w:p>
    <w:p>
      <w:pPr>
        <w:pStyle w:val="TOC8"/>
        <w:rPr>
          <w:rFonts w:asciiTheme="minorHAnsi" w:eastAsiaTheme="minorEastAsia" w:hAnsiTheme="minorHAnsi" w:cstheme="minorBidi"/>
          <w:szCs w:val="22"/>
        </w:rPr>
      </w:pPr>
      <w:r>
        <w:t>110R.</w:t>
      </w:r>
      <w:r>
        <w:tab/>
        <w:t>Requirements in relation to treatment decision in advance health directive</w:t>
      </w:r>
      <w:r>
        <w:tab/>
      </w:r>
      <w:r>
        <w:fldChar w:fldCharType="begin"/>
      </w:r>
      <w:r>
        <w:instrText xml:space="preserve"> PAGEREF _Toc175575915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2 — Operation of advance health directive</w:t>
      </w:r>
    </w:p>
    <w:p>
      <w:pPr>
        <w:pStyle w:val="TOC8"/>
        <w:rPr>
          <w:rFonts w:asciiTheme="minorHAnsi" w:eastAsiaTheme="minorEastAsia" w:hAnsiTheme="minorHAnsi" w:cstheme="minorBidi"/>
          <w:szCs w:val="22"/>
        </w:rPr>
      </w:pPr>
      <w:r>
        <w:t>110S.</w:t>
      </w:r>
      <w:r>
        <w:tab/>
        <w:t>Operation generally</w:t>
      </w:r>
      <w:r>
        <w:tab/>
      </w:r>
      <w:r>
        <w:fldChar w:fldCharType="begin"/>
      </w:r>
      <w:r>
        <w:instrText xml:space="preserve"> PAGEREF _Toc175575917 \h </w:instrText>
      </w:r>
      <w:r>
        <w:fldChar w:fldCharType="separate"/>
      </w:r>
      <w:r>
        <w:t>95</w:t>
      </w:r>
      <w:r>
        <w:fldChar w:fldCharType="end"/>
      </w:r>
    </w:p>
    <w:p>
      <w:pPr>
        <w:pStyle w:val="TOC8"/>
        <w:rPr>
          <w:rFonts w:asciiTheme="minorHAnsi" w:eastAsiaTheme="minorEastAsia" w:hAnsiTheme="minorHAnsi" w:cstheme="minorBidi"/>
          <w:szCs w:val="22"/>
        </w:rPr>
      </w:pPr>
      <w:r>
        <w:t>110T.</w:t>
      </w:r>
      <w:r>
        <w:tab/>
        <w:t>Effect of subsequent enduring power of guardianship</w:t>
      </w:r>
      <w:r>
        <w:tab/>
      </w:r>
      <w:r>
        <w:fldChar w:fldCharType="begin"/>
      </w:r>
      <w:r>
        <w:instrText xml:space="preserve"> PAGEREF _Toc175575918 \h </w:instrText>
      </w:r>
      <w:r>
        <w:fldChar w:fldCharType="separate"/>
      </w:r>
      <w:r>
        <w:t>97</w:t>
      </w:r>
      <w:r>
        <w:fldChar w:fldCharType="end"/>
      </w:r>
    </w:p>
    <w:p>
      <w:pPr>
        <w:pStyle w:val="TOC8"/>
        <w:rPr>
          <w:rFonts w:asciiTheme="minorHAnsi" w:eastAsiaTheme="minorEastAsia" w:hAnsiTheme="minorHAnsi" w:cstheme="minorBidi"/>
          <w:szCs w:val="22"/>
        </w:rPr>
      </w:pPr>
      <w:r>
        <w:lastRenderedPageBreak/>
        <w:t>110U.</w:t>
      </w:r>
      <w:r>
        <w:tab/>
        <w:t>Priority of treatment decision in advance health directive</w:t>
      </w:r>
      <w:r>
        <w:tab/>
      </w:r>
      <w:r>
        <w:fldChar w:fldCharType="begin"/>
      </w:r>
      <w:r>
        <w:instrText xml:space="preserve"> PAGEREF _Toc175575919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State Administrative Tribunal</w:t>
      </w:r>
    </w:p>
    <w:p>
      <w:pPr>
        <w:pStyle w:val="TOC8"/>
        <w:rPr>
          <w:rFonts w:asciiTheme="minorHAnsi" w:eastAsiaTheme="minorEastAsia" w:hAnsiTheme="minorHAnsi" w:cstheme="minorBidi"/>
          <w:szCs w:val="22"/>
        </w:rPr>
      </w:pPr>
      <w:r>
        <w:t>110V.</w:t>
      </w:r>
      <w:r>
        <w:tab/>
        <w:t>Who may apply</w:t>
      </w:r>
      <w:r>
        <w:tab/>
      </w:r>
      <w:r>
        <w:fldChar w:fldCharType="begin"/>
      </w:r>
      <w:r>
        <w:instrText xml:space="preserve"> PAGEREF _Toc175575921 \h </w:instrText>
      </w:r>
      <w:r>
        <w:fldChar w:fldCharType="separate"/>
      </w:r>
      <w:r>
        <w:t>98</w:t>
      </w:r>
      <w:r>
        <w:fldChar w:fldCharType="end"/>
      </w:r>
    </w:p>
    <w:p>
      <w:pPr>
        <w:pStyle w:val="TOC8"/>
        <w:rPr>
          <w:rFonts w:asciiTheme="minorHAnsi" w:eastAsiaTheme="minorEastAsia" w:hAnsiTheme="minorHAnsi" w:cstheme="minorBidi"/>
          <w:szCs w:val="22"/>
        </w:rPr>
      </w:pPr>
      <w:r>
        <w:t>110W.</w:t>
      </w:r>
      <w:r>
        <w:tab/>
        <w:t>Declaration about validity of directive or treatment decision</w:t>
      </w:r>
      <w:r>
        <w:tab/>
      </w:r>
      <w:r>
        <w:fldChar w:fldCharType="begin"/>
      </w:r>
      <w:r>
        <w:instrText xml:space="preserve"> PAGEREF _Toc175575922 \h </w:instrText>
      </w:r>
      <w:r>
        <w:fldChar w:fldCharType="separate"/>
      </w:r>
      <w:r>
        <w:t>98</w:t>
      </w:r>
      <w:r>
        <w:fldChar w:fldCharType="end"/>
      </w:r>
    </w:p>
    <w:p>
      <w:pPr>
        <w:pStyle w:val="TOC8"/>
        <w:rPr>
          <w:rFonts w:asciiTheme="minorHAnsi" w:eastAsiaTheme="minorEastAsia" w:hAnsiTheme="minorHAnsi" w:cstheme="minorBidi"/>
          <w:szCs w:val="22"/>
        </w:rPr>
      </w:pPr>
      <w:r>
        <w:t>110X.</w:t>
      </w:r>
      <w:r>
        <w:tab/>
        <w:t>Declaration of incapacity of maker</w:t>
      </w:r>
      <w:r>
        <w:tab/>
      </w:r>
      <w:r>
        <w:fldChar w:fldCharType="begin"/>
      </w:r>
      <w:r>
        <w:instrText xml:space="preserve"> PAGEREF _Toc175575923 \h </w:instrText>
      </w:r>
      <w:r>
        <w:fldChar w:fldCharType="separate"/>
      </w:r>
      <w:r>
        <w:t>98</w:t>
      </w:r>
      <w:r>
        <w:fldChar w:fldCharType="end"/>
      </w:r>
    </w:p>
    <w:p>
      <w:pPr>
        <w:pStyle w:val="TOC8"/>
        <w:rPr>
          <w:rFonts w:asciiTheme="minorHAnsi" w:eastAsiaTheme="minorEastAsia" w:hAnsiTheme="minorHAnsi" w:cstheme="minorBidi"/>
          <w:szCs w:val="22"/>
        </w:rPr>
      </w:pPr>
      <w:r>
        <w:t>110Y.</w:t>
      </w:r>
      <w:r>
        <w:tab/>
        <w:t>Directions as to construction of terms etc.</w:t>
      </w:r>
      <w:r>
        <w:tab/>
      </w:r>
      <w:r>
        <w:fldChar w:fldCharType="begin"/>
      </w:r>
      <w:r>
        <w:instrText xml:space="preserve"> PAGEREF _Toc175575924 \h </w:instrText>
      </w:r>
      <w:r>
        <w:fldChar w:fldCharType="separate"/>
      </w:r>
      <w:r>
        <w:t>99</w:t>
      </w:r>
      <w:r>
        <w:fldChar w:fldCharType="end"/>
      </w:r>
    </w:p>
    <w:p>
      <w:pPr>
        <w:pStyle w:val="TOC8"/>
        <w:rPr>
          <w:rFonts w:asciiTheme="minorHAnsi" w:eastAsiaTheme="minorEastAsia" w:hAnsiTheme="minorHAnsi" w:cstheme="minorBidi"/>
          <w:szCs w:val="22"/>
        </w:rPr>
      </w:pPr>
      <w:r>
        <w:t>110Z.</w:t>
      </w:r>
      <w:r>
        <w:tab/>
        <w:t>Declaration that treatment decision has been revoked</w:t>
      </w:r>
      <w:r>
        <w:tab/>
      </w:r>
      <w:r>
        <w:fldChar w:fldCharType="begin"/>
      </w:r>
      <w:r>
        <w:instrText xml:space="preserve"> PAGEREF _Toc175575925 \h </w:instrText>
      </w:r>
      <w:r>
        <w:fldChar w:fldCharType="separate"/>
      </w:r>
      <w:r>
        <w:t>99</w:t>
      </w:r>
      <w:r>
        <w:fldChar w:fldCharType="end"/>
      </w:r>
    </w:p>
    <w:p>
      <w:pPr>
        <w:pStyle w:val="TOC8"/>
        <w:rPr>
          <w:rFonts w:asciiTheme="minorHAnsi" w:eastAsiaTheme="minorEastAsia" w:hAnsiTheme="minorHAnsi" w:cstheme="minorBidi"/>
          <w:szCs w:val="22"/>
        </w:rPr>
      </w:pPr>
      <w:r>
        <w:t>110ZA.</w:t>
      </w:r>
      <w:r>
        <w:tab/>
        <w:t>Recognition of instrument created in another jurisdiction</w:t>
      </w:r>
      <w:r>
        <w:tab/>
      </w:r>
      <w:r>
        <w:fldChar w:fldCharType="begin"/>
      </w:r>
      <w:r>
        <w:instrText xml:space="preserve"> PAGEREF _Toc175575926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4 — Miscellaneous matters</w:t>
      </w:r>
    </w:p>
    <w:p>
      <w:pPr>
        <w:pStyle w:val="TOC8"/>
        <w:rPr>
          <w:rFonts w:asciiTheme="minorHAnsi" w:eastAsiaTheme="minorEastAsia" w:hAnsiTheme="minorHAnsi" w:cstheme="minorBidi"/>
          <w:szCs w:val="22"/>
        </w:rPr>
      </w:pPr>
      <w:r>
        <w:t>110ZB.</w:t>
      </w:r>
      <w:r>
        <w:tab/>
        <w:t>Common law preserved</w:t>
      </w:r>
      <w:r>
        <w:tab/>
      </w:r>
      <w:r>
        <w:fldChar w:fldCharType="begin"/>
      </w:r>
      <w:r>
        <w:instrText xml:space="preserve"> PAGEREF _Toc175575928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9C</w:t>
      </w:r>
      <w:r>
        <w:rPr>
          <w:b w:val="0"/>
        </w:rPr>
        <w:t> </w:t>
      </w:r>
      <w:r>
        <w:t>—</w:t>
      </w:r>
      <w:r>
        <w:rPr>
          <w:b w:val="0"/>
        </w:rPr>
        <w:t> </w:t>
      </w:r>
      <w:r>
        <w:t>Persons responsible for patients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110ZC.</w:t>
      </w:r>
      <w:r>
        <w:tab/>
        <w:t>Term used: patient</w:t>
      </w:r>
      <w:r>
        <w:tab/>
      </w:r>
      <w:r>
        <w:fldChar w:fldCharType="begin"/>
      </w:r>
      <w:r>
        <w:instrText xml:space="preserve"> PAGEREF _Toc175575931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2 — Treatment decisions by persons responsible for patients</w:t>
      </w:r>
    </w:p>
    <w:p>
      <w:pPr>
        <w:pStyle w:val="TOC8"/>
        <w:rPr>
          <w:rFonts w:asciiTheme="minorHAnsi" w:eastAsiaTheme="minorEastAsia" w:hAnsiTheme="minorHAnsi" w:cstheme="minorBidi"/>
          <w:szCs w:val="22"/>
        </w:rPr>
      </w:pPr>
      <w:r>
        <w:t>110ZD.</w:t>
      </w:r>
      <w:r>
        <w:tab/>
        <w:t>Circumstances in which person responsible may make treatment decision</w:t>
      </w:r>
      <w:r>
        <w:tab/>
      </w:r>
      <w:r>
        <w:fldChar w:fldCharType="begin"/>
      </w:r>
      <w:r>
        <w:instrText xml:space="preserve"> PAGEREF _Toc175575933 \h </w:instrText>
      </w:r>
      <w:r>
        <w:fldChar w:fldCharType="separate"/>
      </w:r>
      <w:r>
        <w:t>101</w:t>
      </w:r>
      <w:r>
        <w:fldChar w:fldCharType="end"/>
      </w:r>
    </w:p>
    <w:p>
      <w:pPr>
        <w:pStyle w:val="TOC8"/>
        <w:rPr>
          <w:rFonts w:asciiTheme="minorHAnsi" w:eastAsiaTheme="minorEastAsia" w:hAnsiTheme="minorHAnsi" w:cstheme="minorBidi"/>
          <w:szCs w:val="22"/>
        </w:rPr>
      </w:pPr>
      <w:r>
        <w:t>110ZE.</w:t>
      </w:r>
      <w:r>
        <w:tab/>
        <w:t>Priority of treatment decision of person responsible</w:t>
      </w:r>
      <w:r>
        <w:tab/>
      </w:r>
      <w:r>
        <w:fldChar w:fldCharType="begin"/>
      </w:r>
      <w:r>
        <w:instrText xml:space="preserve"> PAGEREF _Toc175575934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State Administrative Tribunal</w:t>
      </w:r>
    </w:p>
    <w:p>
      <w:pPr>
        <w:pStyle w:val="TOC8"/>
        <w:rPr>
          <w:rFonts w:asciiTheme="minorHAnsi" w:eastAsiaTheme="minorEastAsia" w:hAnsiTheme="minorHAnsi" w:cstheme="minorBidi"/>
          <w:szCs w:val="22"/>
        </w:rPr>
      </w:pPr>
      <w:r>
        <w:t>110ZF.</w:t>
      </w:r>
      <w:r>
        <w:tab/>
        <w:t>Who may apply</w:t>
      </w:r>
      <w:r>
        <w:tab/>
      </w:r>
      <w:r>
        <w:fldChar w:fldCharType="begin"/>
      </w:r>
      <w:r>
        <w:instrText xml:space="preserve"> PAGEREF _Toc175575936 \h </w:instrText>
      </w:r>
      <w:r>
        <w:fldChar w:fldCharType="separate"/>
      </w:r>
      <w:r>
        <w:t>103</w:t>
      </w:r>
      <w:r>
        <w:fldChar w:fldCharType="end"/>
      </w:r>
    </w:p>
    <w:p>
      <w:pPr>
        <w:pStyle w:val="TOC8"/>
        <w:rPr>
          <w:rFonts w:asciiTheme="minorHAnsi" w:eastAsiaTheme="minorEastAsia" w:hAnsiTheme="minorHAnsi" w:cstheme="minorBidi"/>
          <w:szCs w:val="22"/>
        </w:rPr>
      </w:pPr>
      <w:r>
        <w:t>110ZG.</w:t>
      </w:r>
      <w:r>
        <w:tab/>
        <w:t>Declaration that person responsible may make treatment decision</w:t>
      </w:r>
      <w:r>
        <w:tab/>
      </w:r>
      <w:r>
        <w:fldChar w:fldCharType="begin"/>
      </w:r>
      <w:r>
        <w:instrText xml:space="preserve"> PAGEREF _Toc175575937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9D</w:t>
      </w:r>
      <w:r>
        <w:rPr>
          <w:b w:val="0"/>
        </w:rPr>
        <w:t> </w:t>
      </w:r>
      <w:r>
        <w:t>—</w:t>
      </w:r>
      <w:r>
        <w:rPr>
          <w:b w:val="0"/>
        </w:rPr>
        <w:t> </w:t>
      </w:r>
      <w:r>
        <w:t>Treatment decisions in relation to patients under legal incapacity</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110ZH.</w:t>
      </w:r>
      <w:r>
        <w:tab/>
        <w:t>Terms used</w:t>
      </w:r>
      <w:r>
        <w:tab/>
      </w:r>
      <w:r>
        <w:fldChar w:fldCharType="begin"/>
      </w:r>
      <w:r>
        <w:instrText xml:space="preserve"> PAGEREF _Toc175575940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Provision of treatment</w:t>
      </w:r>
    </w:p>
    <w:p>
      <w:pPr>
        <w:pStyle w:val="TOC6"/>
        <w:tabs>
          <w:tab w:val="right" w:leader="dot" w:pos="7077"/>
        </w:tabs>
        <w:rPr>
          <w:rFonts w:asciiTheme="minorHAnsi" w:eastAsiaTheme="minorEastAsia" w:hAnsiTheme="minorHAnsi" w:cstheme="minorBidi"/>
          <w:b w:val="0"/>
          <w:sz w:val="22"/>
          <w:szCs w:val="22"/>
        </w:rPr>
      </w:pPr>
      <w:r>
        <w:t>Subdivision 1 — Urgent treatment</w:t>
      </w:r>
    </w:p>
    <w:p>
      <w:pPr>
        <w:pStyle w:val="TOC8"/>
        <w:rPr>
          <w:rFonts w:asciiTheme="minorHAnsi" w:eastAsiaTheme="minorEastAsia" w:hAnsiTheme="minorHAnsi" w:cstheme="minorBidi"/>
          <w:szCs w:val="22"/>
        </w:rPr>
      </w:pPr>
      <w:r>
        <w:t>110ZI.</w:t>
      </w:r>
      <w:r>
        <w:tab/>
        <w:t>Urgent treatment generally</w:t>
      </w:r>
      <w:r>
        <w:tab/>
      </w:r>
      <w:r>
        <w:fldChar w:fldCharType="begin"/>
      </w:r>
      <w:r>
        <w:instrText xml:space="preserve"> PAGEREF _Toc175575943 \h </w:instrText>
      </w:r>
      <w:r>
        <w:fldChar w:fldCharType="separate"/>
      </w:r>
      <w:r>
        <w:t>106</w:t>
      </w:r>
      <w:r>
        <w:fldChar w:fldCharType="end"/>
      </w:r>
    </w:p>
    <w:p>
      <w:pPr>
        <w:pStyle w:val="TOC8"/>
        <w:rPr>
          <w:rFonts w:asciiTheme="minorHAnsi" w:eastAsiaTheme="minorEastAsia" w:hAnsiTheme="minorHAnsi" w:cstheme="minorBidi"/>
          <w:szCs w:val="22"/>
        </w:rPr>
      </w:pPr>
      <w:r>
        <w:t>110ZIA.</w:t>
      </w:r>
      <w:r>
        <w:tab/>
        <w:t>Urgent treatment after attempted suicide</w:t>
      </w:r>
      <w:r>
        <w:tab/>
      </w:r>
      <w:r>
        <w:fldChar w:fldCharType="begin"/>
      </w:r>
      <w:r>
        <w:instrText xml:space="preserve"> PAGEREF _Toc175575944 \h </w:instrText>
      </w:r>
      <w:r>
        <w:fldChar w:fldCharType="separate"/>
      </w:r>
      <w:r>
        <w:t>107</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treatment</w:t>
      </w:r>
    </w:p>
    <w:p>
      <w:pPr>
        <w:pStyle w:val="TOC8"/>
        <w:rPr>
          <w:rFonts w:asciiTheme="minorHAnsi" w:eastAsiaTheme="minorEastAsia" w:hAnsiTheme="minorHAnsi" w:cstheme="minorBidi"/>
          <w:szCs w:val="22"/>
        </w:rPr>
      </w:pPr>
      <w:r>
        <w:t>110ZIB.</w:t>
      </w:r>
      <w:r>
        <w:tab/>
        <w:t>Application of Subdivision</w:t>
      </w:r>
      <w:r>
        <w:tab/>
      </w:r>
      <w:r>
        <w:fldChar w:fldCharType="begin"/>
      </w:r>
      <w:r>
        <w:instrText xml:space="preserve"> PAGEREF _Toc175575946 \h </w:instrText>
      </w:r>
      <w:r>
        <w:fldChar w:fldCharType="separate"/>
      </w:r>
      <w:r>
        <w:t>108</w:t>
      </w:r>
      <w:r>
        <w:fldChar w:fldCharType="end"/>
      </w:r>
    </w:p>
    <w:p>
      <w:pPr>
        <w:pStyle w:val="TOC8"/>
        <w:rPr>
          <w:rFonts w:asciiTheme="minorHAnsi" w:eastAsiaTheme="minorEastAsia" w:hAnsiTheme="minorHAnsi" w:cstheme="minorBidi"/>
          <w:szCs w:val="22"/>
        </w:rPr>
      </w:pPr>
      <w:r>
        <w:t>110ZJ.</w:t>
      </w:r>
      <w:r>
        <w:tab/>
        <w:t>Order of priority of persons who may make treatment decision in relation to patient</w:t>
      </w:r>
      <w:r>
        <w:tab/>
      </w:r>
      <w:r>
        <w:fldChar w:fldCharType="begin"/>
      </w:r>
      <w:r>
        <w:instrText xml:space="preserve"> PAGEREF _Toc175575947 \h </w:instrText>
      </w:r>
      <w:r>
        <w:fldChar w:fldCharType="separate"/>
      </w:r>
      <w:r>
        <w:t>108</w:t>
      </w:r>
      <w:r>
        <w:fldChar w:fldCharType="end"/>
      </w:r>
    </w:p>
    <w:p>
      <w:pPr>
        <w:pStyle w:val="TOC8"/>
        <w:rPr>
          <w:rFonts w:asciiTheme="minorHAnsi" w:eastAsiaTheme="minorEastAsia" w:hAnsiTheme="minorHAnsi" w:cstheme="minorBidi"/>
          <w:szCs w:val="22"/>
        </w:rPr>
      </w:pPr>
      <w:r>
        <w:t>110ZK.</w:t>
      </w:r>
      <w:r>
        <w:tab/>
        <w:t>Reliance by health professional on treatment decision</w:t>
      </w:r>
      <w:r>
        <w:tab/>
      </w:r>
      <w:r>
        <w:fldChar w:fldCharType="begin"/>
      </w:r>
      <w:r>
        <w:instrText xml:space="preserve"> PAGEREF _Toc175575948 \h </w:instrText>
      </w:r>
      <w:r>
        <w:fldChar w:fldCharType="separate"/>
      </w:r>
      <w:r>
        <w:t>109</w:t>
      </w:r>
      <w:r>
        <w:fldChar w:fldCharType="end"/>
      </w:r>
    </w:p>
    <w:p>
      <w:pPr>
        <w:pStyle w:val="TOC8"/>
        <w:rPr>
          <w:rFonts w:asciiTheme="minorHAnsi" w:eastAsiaTheme="minorEastAsia" w:hAnsiTheme="minorHAnsi" w:cstheme="minorBidi"/>
          <w:szCs w:val="22"/>
        </w:rPr>
      </w:pPr>
      <w:r>
        <w:t>110ZL.</w:t>
      </w:r>
      <w:r>
        <w:tab/>
        <w:t>Validity of certain treatment decisions</w:t>
      </w:r>
      <w:r>
        <w:tab/>
      </w:r>
      <w:r>
        <w:fldChar w:fldCharType="begin"/>
      </w:r>
      <w:r>
        <w:instrText xml:space="preserve"> PAGEREF _Toc175575949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3 — Performance of abortion</w:t>
      </w:r>
    </w:p>
    <w:p>
      <w:pPr>
        <w:pStyle w:val="TOC8"/>
        <w:rPr>
          <w:rFonts w:asciiTheme="minorHAnsi" w:eastAsiaTheme="minorEastAsia" w:hAnsiTheme="minorHAnsi" w:cstheme="minorBidi"/>
          <w:szCs w:val="22"/>
        </w:rPr>
      </w:pPr>
      <w:r>
        <w:t>110ZLA.</w:t>
      </w:r>
      <w:r>
        <w:tab/>
        <w:t>Treatment decisions in relation to performance of abortion</w:t>
      </w:r>
      <w:r>
        <w:tab/>
      </w:r>
      <w:r>
        <w:fldChar w:fldCharType="begin"/>
      </w:r>
      <w:r>
        <w:instrText xml:space="preserve"> PAGEREF _Toc175575951 \h </w:instrText>
      </w:r>
      <w:r>
        <w:fldChar w:fldCharType="separate"/>
      </w:r>
      <w:r>
        <w:t>111</w:t>
      </w:r>
      <w:r>
        <w:fldChar w:fldCharType="end"/>
      </w:r>
    </w:p>
    <w:p>
      <w:pPr>
        <w:pStyle w:val="TOC8"/>
        <w:rPr>
          <w:rFonts w:asciiTheme="minorHAnsi" w:eastAsiaTheme="minorEastAsia" w:hAnsiTheme="minorHAnsi" w:cstheme="minorBidi"/>
          <w:szCs w:val="22"/>
        </w:rPr>
      </w:pPr>
      <w:r>
        <w:t>110ZLB.</w:t>
      </w:r>
      <w:r>
        <w:tab/>
        <w:t>Performance of abortion without advance health directive or State Administrative Tribunal consent an offence</w:t>
      </w:r>
      <w:r>
        <w:tab/>
      </w:r>
      <w:r>
        <w:fldChar w:fldCharType="begin"/>
      </w:r>
      <w:r>
        <w:instrText xml:space="preserve"> PAGEREF _Toc175575952 \h </w:instrText>
      </w:r>
      <w:r>
        <w:fldChar w:fldCharType="separate"/>
      </w:r>
      <w:r>
        <w:t>112</w:t>
      </w:r>
      <w:r>
        <w:fldChar w:fldCharType="end"/>
      </w:r>
    </w:p>
    <w:p>
      <w:pPr>
        <w:pStyle w:val="TOC8"/>
        <w:rPr>
          <w:rFonts w:asciiTheme="minorHAnsi" w:eastAsiaTheme="minorEastAsia" w:hAnsiTheme="minorHAnsi" w:cstheme="minorBidi"/>
          <w:szCs w:val="22"/>
        </w:rPr>
      </w:pPr>
      <w:r>
        <w:t>110ZLC.</w:t>
      </w:r>
      <w:r>
        <w:tab/>
        <w:t>Effect of State Administrative Tribunal consent</w:t>
      </w:r>
      <w:r>
        <w:tab/>
      </w:r>
      <w:r>
        <w:fldChar w:fldCharType="begin"/>
      </w:r>
      <w:r>
        <w:instrText xml:space="preserve"> PAGEREF _Toc175575953 \h </w:instrText>
      </w:r>
      <w:r>
        <w:fldChar w:fldCharType="separate"/>
      </w:r>
      <w:r>
        <w:t>112</w:t>
      </w:r>
      <w:r>
        <w:fldChar w:fldCharType="end"/>
      </w:r>
    </w:p>
    <w:p>
      <w:pPr>
        <w:pStyle w:val="TOC8"/>
        <w:rPr>
          <w:rFonts w:asciiTheme="minorHAnsi" w:eastAsiaTheme="minorEastAsia" w:hAnsiTheme="minorHAnsi" w:cstheme="minorBidi"/>
          <w:szCs w:val="22"/>
        </w:rPr>
      </w:pPr>
      <w:r>
        <w:t>110ZLD.</w:t>
      </w:r>
      <w:r>
        <w:tab/>
        <w:t>Reliance by health professional on treatment decisions in respect of performance of abortion</w:t>
      </w:r>
      <w:r>
        <w:tab/>
      </w:r>
      <w:r>
        <w:fldChar w:fldCharType="begin"/>
      </w:r>
      <w:r>
        <w:instrText xml:space="preserve"> PAGEREF _Toc175575954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State Administrative Tribunal</w:t>
      </w:r>
    </w:p>
    <w:p>
      <w:pPr>
        <w:pStyle w:val="TOC6"/>
        <w:tabs>
          <w:tab w:val="right" w:leader="dot" w:pos="7077"/>
        </w:tabs>
        <w:rPr>
          <w:rFonts w:asciiTheme="minorHAnsi" w:eastAsiaTheme="minorEastAsia" w:hAnsiTheme="minorHAnsi" w:cstheme="minorBidi"/>
          <w:b w:val="0"/>
          <w:sz w:val="22"/>
          <w:szCs w:val="22"/>
        </w:rPr>
      </w:pPr>
      <w:r>
        <w:t>Subdivision 1 — Declarations for purposes of s. 110ZJ</w:t>
      </w:r>
    </w:p>
    <w:p>
      <w:pPr>
        <w:pStyle w:val="TOC8"/>
        <w:rPr>
          <w:rFonts w:asciiTheme="minorHAnsi" w:eastAsiaTheme="minorEastAsia" w:hAnsiTheme="minorHAnsi" w:cstheme="minorBidi"/>
          <w:szCs w:val="22"/>
        </w:rPr>
      </w:pPr>
      <w:r>
        <w:t>110ZM.</w:t>
      </w:r>
      <w:r>
        <w:tab/>
        <w:t>Who may apply</w:t>
      </w:r>
      <w:r>
        <w:tab/>
      </w:r>
      <w:r>
        <w:fldChar w:fldCharType="begin"/>
      </w:r>
      <w:r>
        <w:instrText xml:space="preserve"> PAGEREF _Toc175575957 \h </w:instrText>
      </w:r>
      <w:r>
        <w:fldChar w:fldCharType="separate"/>
      </w:r>
      <w:r>
        <w:t>115</w:t>
      </w:r>
      <w:r>
        <w:fldChar w:fldCharType="end"/>
      </w:r>
    </w:p>
    <w:p>
      <w:pPr>
        <w:pStyle w:val="TOC8"/>
        <w:rPr>
          <w:rFonts w:asciiTheme="minorHAnsi" w:eastAsiaTheme="minorEastAsia" w:hAnsiTheme="minorHAnsi" w:cstheme="minorBidi"/>
          <w:szCs w:val="22"/>
        </w:rPr>
      </w:pPr>
      <w:r>
        <w:t>110ZN.</w:t>
      </w:r>
      <w:r>
        <w:tab/>
        <w:t>Declaration as to who may make treatment decision</w:t>
      </w:r>
      <w:r>
        <w:tab/>
      </w:r>
      <w:r>
        <w:fldChar w:fldCharType="begin"/>
      </w:r>
      <w:r>
        <w:instrText xml:space="preserve"> PAGEREF _Toc175575958 \h </w:instrText>
      </w:r>
      <w:r>
        <w:fldChar w:fldCharType="separate"/>
      </w:r>
      <w:r>
        <w:t>115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Decisions for purposes of s. 110ZLA</w:t>
      </w:r>
    </w:p>
    <w:p>
      <w:pPr>
        <w:pStyle w:val="TOC8"/>
        <w:rPr>
          <w:rFonts w:asciiTheme="minorHAnsi" w:eastAsiaTheme="minorEastAsia" w:hAnsiTheme="minorHAnsi" w:cstheme="minorBidi"/>
          <w:szCs w:val="22"/>
        </w:rPr>
      </w:pPr>
      <w:r>
        <w:t>110ZNA.</w:t>
      </w:r>
      <w:r>
        <w:tab/>
        <w:t>Only Full Tribunal to act under this Subdivision</w:t>
      </w:r>
      <w:r>
        <w:tab/>
      </w:r>
      <w:r>
        <w:fldChar w:fldCharType="begin"/>
      </w:r>
      <w:r>
        <w:instrText xml:space="preserve"> PAGEREF _Toc175575960 \h </w:instrText>
      </w:r>
      <w:r>
        <w:fldChar w:fldCharType="separate"/>
      </w:r>
      <w:r>
        <w:t>115</w:t>
      </w:r>
      <w:r>
        <w:fldChar w:fldCharType="end"/>
      </w:r>
    </w:p>
    <w:p>
      <w:pPr>
        <w:pStyle w:val="TOC8"/>
        <w:rPr>
          <w:rFonts w:asciiTheme="minorHAnsi" w:eastAsiaTheme="minorEastAsia" w:hAnsiTheme="minorHAnsi" w:cstheme="minorBidi"/>
          <w:szCs w:val="22"/>
        </w:rPr>
      </w:pPr>
      <w:r>
        <w:t>110ZNB.</w:t>
      </w:r>
      <w:r>
        <w:tab/>
        <w:t>Who may apply for decision under this Subdivision</w:t>
      </w:r>
      <w:r>
        <w:tab/>
      </w:r>
      <w:r>
        <w:fldChar w:fldCharType="begin"/>
      </w:r>
      <w:r>
        <w:instrText xml:space="preserve"> PAGEREF _Toc175575961 \h </w:instrText>
      </w:r>
      <w:r>
        <w:fldChar w:fldCharType="separate"/>
      </w:r>
      <w:r>
        <w:t>116</w:t>
      </w:r>
      <w:r>
        <w:fldChar w:fldCharType="end"/>
      </w:r>
    </w:p>
    <w:p>
      <w:pPr>
        <w:pStyle w:val="TOC8"/>
        <w:rPr>
          <w:rFonts w:asciiTheme="minorHAnsi" w:eastAsiaTheme="minorEastAsia" w:hAnsiTheme="minorHAnsi" w:cstheme="minorBidi"/>
          <w:szCs w:val="22"/>
        </w:rPr>
      </w:pPr>
      <w:r>
        <w:t>110ZNC.</w:t>
      </w:r>
      <w:r>
        <w:tab/>
        <w:t>Notice of hearing</w:t>
      </w:r>
      <w:r>
        <w:tab/>
      </w:r>
      <w:r>
        <w:fldChar w:fldCharType="begin"/>
      </w:r>
      <w:r>
        <w:instrText xml:space="preserve"> PAGEREF _Toc175575962 \h </w:instrText>
      </w:r>
      <w:r>
        <w:fldChar w:fldCharType="separate"/>
      </w:r>
      <w:r>
        <w:t>116</w:t>
      </w:r>
      <w:r>
        <w:fldChar w:fldCharType="end"/>
      </w:r>
    </w:p>
    <w:p>
      <w:pPr>
        <w:pStyle w:val="TOC8"/>
        <w:rPr>
          <w:rFonts w:asciiTheme="minorHAnsi" w:eastAsiaTheme="minorEastAsia" w:hAnsiTheme="minorHAnsi" w:cstheme="minorBidi"/>
          <w:szCs w:val="22"/>
        </w:rPr>
      </w:pPr>
      <w:r>
        <w:t>110ZND.</w:t>
      </w:r>
      <w:r>
        <w:tab/>
        <w:t>State Administrative Tribunal consent to performance of abortion</w:t>
      </w:r>
      <w:r>
        <w:tab/>
      </w:r>
      <w:r>
        <w:fldChar w:fldCharType="begin"/>
      </w:r>
      <w:r>
        <w:instrText xml:space="preserve"> PAGEREF _Toc175575963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Part 9E</w:t>
      </w:r>
      <w:r>
        <w:rPr>
          <w:color w:val="000000" w:themeColor="text1"/>
        </w:rPr>
        <w:t> — </w:t>
      </w:r>
      <w:r>
        <w:t>Medical research</w:t>
      </w:r>
    </w:p>
    <w:p>
      <w:pPr>
        <w:pStyle w:val="TOC4"/>
        <w:tabs>
          <w:tab w:val="right" w:leader="dot" w:pos="7077"/>
        </w:tabs>
        <w:rPr>
          <w:rFonts w:asciiTheme="minorHAnsi" w:eastAsiaTheme="minorEastAsia" w:hAnsiTheme="minorHAnsi" w:cstheme="minorBidi"/>
          <w:b w:val="0"/>
          <w:szCs w:val="22"/>
        </w:rPr>
      </w:pPr>
      <w:r>
        <w:t>Division 1</w:t>
      </w:r>
      <w:r>
        <w:rPr>
          <w:color w:val="000000" w:themeColor="text1"/>
        </w:rPr>
        <w:t> — </w:t>
      </w:r>
      <w:r>
        <w:t>Preliminary</w:t>
      </w:r>
    </w:p>
    <w:p>
      <w:pPr>
        <w:pStyle w:val="TOC8"/>
        <w:rPr>
          <w:rFonts w:asciiTheme="minorHAnsi" w:eastAsiaTheme="minorEastAsia" w:hAnsiTheme="minorHAnsi" w:cstheme="minorBidi"/>
          <w:szCs w:val="22"/>
        </w:rPr>
      </w:pPr>
      <w:r>
        <w:t>110ZO</w:t>
      </w:r>
      <w:r>
        <w:rPr>
          <w:color w:val="000000" w:themeColor="text1"/>
        </w:rPr>
        <w:t>.</w:t>
      </w:r>
      <w:r>
        <w:rPr>
          <w:color w:val="000000" w:themeColor="text1"/>
        </w:rPr>
        <w:tab/>
        <w:t>Terms used</w:t>
      </w:r>
      <w:r>
        <w:tab/>
      </w:r>
      <w:r>
        <w:fldChar w:fldCharType="begin"/>
      </w:r>
      <w:r>
        <w:instrText xml:space="preserve"> PAGEREF _Toc175575966 \h </w:instrText>
      </w:r>
      <w:r>
        <w:fldChar w:fldCharType="separate"/>
      </w:r>
      <w:r>
        <w:t>119</w:t>
      </w:r>
      <w:r>
        <w:fldChar w:fldCharType="end"/>
      </w:r>
    </w:p>
    <w:p>
      <w:pPr>
        <w:pStyle w:val="TOC8"/>
        <w:rPr>
          <w:rFonts w:asciiTheme="minorHAnsi" w:eastAsiaTheme="minorEastAsia" w:hAnsiTheme="minorHAnsi" w:cstheme="minorBidi"/>
          <w:szCs w:val="22"/>
        </w:rPr>
      </w:pPr>
      <w:r>
        <w:t>110ZP</w:t>
      </w:r>
      <w:r>
        <w:rPr>
          <w:color w:val="000000" w:themeColor="text1"/>
        </w:rPr>
        <w:t>.</w:t>
      </w:r>
      <w:r>
        <w:rPr>
          <w:color w:val="000000" w:themeColor="text1"/>
        </w:rPr>
        <w:tab/>
        <w:t>Term used: research decision</w:t>
      </w:r>
      <w:r>
        <w:rPr>
          <w:color w:val="000000" w:themeColor="text1"/>
        </w:rPr>
        <w:noBreakHyphen/>
        <w:t>maker</w:t>
      </w:r>
      <w:r>
        <w:tab/>
      </w:r>
      <w:r>
        <w:fldChar w:fldCharType="begin"/>
      </w:r>
      <w:r>
        <w:instrText xml:space="preserve"> PAGEREF _Toc175575967 \h </w:instrText>
      </w:r>
      <w:r>
        <w:fldChar w:fldCharType="separate"/>
      </w:r>
      <w:r>
        <w:t>120</w:t>
      </w:r>
      <w:r>
        <w:fldChar w:fldCharType="end"/>
      </w:r>
    </w:p>
    <w:p>
      <w:pPr>
        <w:pStyle w:val="TOC8"/>
        <w:rPr>
          <w:rFonts w:asciiTheme="minorHAnsi" w:eastAsiaTheme="minorEastAsia" w:hAnsiTheme="minorHAnsi" w:cstheme="minorBidi"/>
          <w:szCs w:val="22"/>
        </w:rPr>
      </w:pPr>
      <w:r>
        <w:lastRenderedPageBreak/>
        <w:t>110ZQ</w:t>
      </w:r>
      <w:r>
        <w:rPr>
          <w:color w:val="000000" w:themeColor="text1"/>
        </w:rPr>
        <w:t>.</w:t>
      </w:r>
      <w:r>
        <w:rPr>
          <w:color w:val="000000" w:themeColor="text1"/>
        </w:rPr>
        <w:tab/>
        <w:t>Substitute decision</w:t>
      </w:r>
      <w:r>
        <w:rPr>
          <w:color w:val="000000" w:themeColor="text1"/>
        </w:rPr>
        <w:noBreakHyphen/>
        <w:t>maker for a research candidate</w:t>
      </w:r>
      <w:r>
        <w:tab/>
      </w:r>
      <w:r>
        <w:fldChar w:fldCharType="begin"/>
      </w:r>
      <w:r>
        <w:instrText xml:space="preserve"> PAGEREF _Toc175575968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2</w:t>
      </w:r>
      <w:r>
        <w:rPr>
          <w:color w:val="000000" w:themeColor="text1"/>
        </w:rPr>
        <w:t> — </w:t>
      </w:r>
      <w:r>
        <w:t>Decisions about medical research</w:t>
      </w:r>
    </w:p>
    <w:p>
      <w:pPr>
        <w:pStyle w:val="TOC8"/>
        <w:rPr>
          <w:rFonts w:asciiTheme="minorHAnsi" w:eastAsiaTheme="minorEastAsia" w:hAnsiTheme="minorHAnsi" w:cstheme="minorBidi"/>
          <w:szCs w:val="22"/>
        </w:rPr>
      </w:pPr>
      <w:r>
        <w:t>110ZR</w:t>
      </w:r>
      <w:r>
        <w:rPr>
          <w:color w:val="000000" w:themeColor="text1"/>
        </w:rPr>
        <w:t>.</w:t>
      </w:r>
      <w:r>
        <w:rPr>
          <w:color w:val="000000" w:themeColor="text1"/>
        </w:rPr>
        <w:tab/>
        <w:t>Medical research with consent of research decision</w:t>
      </w:r>
      <w:r>
        <w:rPr>
          <w:color w:val="000000" w:themeColor="text1"/>
        </w:rPr>
        <w:noBreakHyphen/>
        <w:t>maker</w:t>
      </w:r>
      <w:r>
        <w:tab/>
      </w:r>
      <w:r>
        <w:fldChar w:fldCharType="begin"/>
      </w:r>
      <w:r>
        <w:instrText xml:space="preserve"> PAGEREF _Toc175575970 \h </w:instrText>
      </w:r>
      <w:r>
        <w:fldChar w:fldCharType="separate"/>
      </w:r>
      <w:r>
        <w:t>123</w:t>
      </w:r>
      <w:r>
        <w:fldChar w:fldCharType="end"/>
      </w:r>
    </w:p>
    <w:p>
      <w:pPr>
        <w:pStyle w:val="TOC8"/>
        <w:rPr>
          <w:rFonts w:asciiTheme="minorHAnsi" w:eastAsiaTheme="minorEastAsia" w:hAnsiTheme="minorHAnsi" w:cstheme="minorBidi"/>
          <w:szCs w:val="22"/>
        </w:rPr>
      </w:pPr>
      <w:r>
        <w:t>110ZS</w:t>
      </w:r>
      <w:r>
        <w:rPr>
          <w:color w:val="000000" w:themeColor="text1"/>
        </w:rPr>
        <w:t>.</w:t>
      </w:r>
      <w:r>
        <w:rPr>
          <w:color w:val="000000" w:themeColor="text1"/>
        </w:rPr>
        <w:tab/>
        <w:t>Urgent medical research without consent</w:t>
      </w:r>
      <w:r>
        <w:tab/>
      </w:r>
      <w:r>
        <w:fldChar w:fldCharType="begin"/>
      </w:r>
      <w:r>
        <w:instrText xml:space="preserve"> PAGEREF _Toc175575971 \h </w:instrText>
      </w:r>
      <w:r>
        <w:fldChar w:fldCharType="separate"/>
      </w:r>
      <w:r>
        <w:t>126</w:t>
      </w:r>
      <w:r>
        <w:fldChar w:fldCharType="end"/>
      </w:r>
    </w:p>
    <w:p>
      <w:pPr>
        <w:pStyle w:val="TOC8"/>
        <w:rPr>
          <w:rFonts w:asciiTheme="minorHAnsi" w:eastAsiaTheme="minorEastAsia" w:hAnsiTheme="minorHAnsi" w:cstheme="minorBidi"/>
          <w:szCs w:val="22"/>
        </w:rPr>
      </w:pPr>
      <w:r>
        <w:t>110ZT</w:t>
      </w:r>
      <w:r>
        <w:rPr>
          <w:color w:val="000000" w:themeColor="text1"/>
        </w:rPr>
        <w:t>.</w:t>
      </w:r>
      <w:r>
        <w:rPr>
          <w:color w:val="000000" w:themeColor="text1"/>
        </w:rPr>
        <w:tab/>
        <w:t>Particular medical research not permitted</w:t>
      </w:r>
      <w:r>
        <w:tab/>
      </w:r>
      <w:r>
        <w:fldChar w:fldCharType="begin"/>
      </w:r>
      <w:r>
        <w:instrText xml:space="preserve"> PAGEREF _Toc175575972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3</w:t>
      </w:r>
      <w:r>
        <w:rPr>
          <w:color w:val="000000" w:themeColor="text1"/>
        </w:rPr>
        <w:t> — </w:t>
      </w:r>
      <w:r>
        <w:t>Provisions about research decisions and urgent medical research decisions</w:t>
      </w:r>
    </w:p>
    <w:p>
      <w:pPr>
        <w:pStyle w:val="TOC8"/>
        <w:rPr>
          <w:rFonts w:asciiTheme="minorHAnsi" w:eastAsiaTheme="minorEastAsia" w:hAnsiTheme="minorHAnsi" w:cstheme="minorBidi"/>
          <w:szCs w:val="22"/>
        </w:rPr>
      </w:pPr>
      <w:r>
        <w:t>110ZU</w:t>
      </w:r>
      <w:r>
        <w:rPr>
          <w:color w:val="000000" w:themeColor="text1"/>
        </w:rPr>
        <w:t>.</w:t>
      </w:r>
      <w:r>
        <w:rPr>
          <w:color w:val="000000" w:themeColor="text1"/>
        </w:rPr>
        <w:tab/>
        <w:t>Assessment by independent medical practitioner of research candidate’s best interests</w:t>
      </w:r>
      <w:r>
        <w:tab/>
      </w:r>
      <w:r>
        <w:fldChar w:fldCharType="begin"/>
      </w:r>
      <w:r>
        <w:instrText xml:space="preserve"> PAGEREF _Toc175575974 \h </w:instrText>
      </w:r>
      <w:r>
        <w:fldChar w:fldCharType="separate"/>
      </w:r>
      <w:r>
        <w:t>129</w:t>
      </w:r>
      <w:r>
        <w:fldChar w:fldCharType="end"/>
      </w:r>
    </w:p>
    <w:p>
      <w:pPr>
        <w:pStyle w:val="TOC8"/>
        <w:rPr>
          <w:rFonts w:asciiTheme="minorHAnsi" w:eastAsiaTheme="minorEastAsia" w:hAnsiTheme="minorHAnsi" w:cstheme="minorBidi"/>
          <w:szCs w:val="22"/>
        </w:rPr>
      </w:pPr>
      <w:r>
        <w:t>110ZV</w:t>
      </w:r>
      <w:r>
        <w:rPr>
          <w:color w:val="000000" w:themeColor="text1"/>
        </w:rPr>
        <w:t>.</w:t>
      </w:r>
      <w:r>
        <w:rPr>
          <w:color w:val="000000" w:themeColor="text1"/>
        </w:rPr>
        <w:tab/>
        <w:t>Assessment by independent medical practitioner of likelihood of research candidate regaining ability to consent</w:t>
      </w:r>
      <w:r>
        <w:tab/>
      </w:r>
      <w:r>
        <w:fldChar w:fldCharType="begin"/>
      </w:r>
      <w:r>
        <w:instrText xml:space="preserve"> PAGEREF _Toc175575975 \h </w:instrText>
      </w:r>
      <w:r>
        <w:fldChar w:fldCharType="separate"/>
      </w:r>
      <w:r>
        <w:t>131</w:t>
      </w:r>
      <w:r>
        <w:fldChar w:fldCharType="end"/>
      </w:r>
    </w:p>
    <w:p>
      <w:pPr>
        <w:pStyle w:val="TOC8"/>
        <w:rPr>
          <w:rFonts w:asciiTheme="minorHAnsi" w:eastAsiaTheme="minorEastAsia" w:hAnsiTheme="minorHAnsi" w:cstheme="minorBidi"/>
          <w:szCs w:val="22"/>
        </w:rPr>
      </w:pPr>
      <w:r>
        <w:t>110ZW</w:t>
      </w:r>
      <w:r>
        <w:rPr>
          <w:color w:val="000000" w:themeColor="text1"/>
        </w:rPr>
        <w:t>.</w:t>
      </w:r>
      <w:r>
        <w:rPr>
          <w:color w:val="000000" w:themeColor="text1"/>
        </w:rPr>
        <w:tab/>
        <w:t>Assessment by independent medical practitioner of risks</w:t>
      </w:r>
      <w:r>
        <w:tab/>
      </w:r>
      <w:r>
        <w:fldChar w:fldCharType="begin"/>
      </w:r>
      <w:r>
        <w:instrText xml:space="preserve"> PAGEREF _Toc175575976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4</w:t>
      </w:r>
      <w:r>
        <w:rPr>
          <w:color w:val="000000" w:themeColor="text1"/>
        </w:rPr>
        <w:t> — </w:t>
      </w:r>
      <w:r>
        <w:t>Effect of research decisions and urgent medical research decisions</w:t>
      </w:r>
    </w:p>
    <w:p>
      <w:pPr>
        <w:pStyle w:val="TOC8"/>
        <w:rPr>
          <w:rFonts w:asciiTheme="minorHAnsi" w:eastAsiaTheme="minorEastAsia" w:hAnsiTheme="minorHAnsi" w:cstheme="minorBidi"/>
          <w:szCs w:val="22"/>
        </w:rPr>
      </w:pPr>
      <w:r>
        <w:t>110ZX</w:t>
      </w:r>
      <w:r>
        <w:rPr>
          <w:color w:val="000000" w:themeColor="text1"/>
        </w:rPr>
        <w:t>.</w:t>
      </w:r>
      <w:r>
        <w:rPr>
          <w:color w:val="000000" w:themeColor="text1"/>
        </w:rPr>
        <w:tab/>
        <w:t>Reliance by researcher on research decision or urgent medical research decision</w:t>
      </w:r>
      <w:r>
        <w:tab/>
      </w:r>
      <w:r>
        <w:fldChar w:fldCharType="begin"/>
      </w:r>
      <w:r>
        <w:instrText xml:space="preserve"> PAGEREF _Toc175575978 \h </w:instrText>
      </w:r>
      <w:r>
        <w:fldChar w:fldCharType="separate"/>
      </w:r>
      <w:r>
        <w:t>133</w:t>
      </w:r>
      <w:r>
        <w:fldChar w:fldCharType="end"/>
      </w:r>
    </w:p>
    <w:p>
      <w:pPr>
        <w:pStyle w:val="TOC8"/>
        <w:rPr>
          <w:rFonts w:asciiTheme="minorHAnsi" w:eastAsiaTheme="minorEastAsia" w:hAnsiTheme="minorHAnsi" w:cstheme="minorBidi"/>
          <w:szCs w:val="22"/>
        </w:rPr>
      </w:pPr>
      <w:r>
        <w:t>110ZY</w:t>
      </w:r>
      <w:r>
        <w:rPr>
          <w:color w:val="000000" w:themeColor="text1"/>
        </w:rPr>
        <w:t>.</w:t>
      </w:r>
      <w:r>
        <w:rPr>
          <w:color w:val="000000" w:themeColor="text1"/>
        </w:rPr>
        <w:tab/>
        <w:t>Validity of certain research decisions or urgent medical research decisions</w:t>
      </w:r>
      <w:r>
        <w:tab/>
      </w:r>
      <w:r>
        <w:fldChar w:fldCharType="begin"/>
      </w:r>
      <w:r>
        <w:instrText xml:space="preserve"> PAGEREF _Toc175575979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5</w:t>
      </w:r>
      <w:r>
        <w:rPr>
          <w:color w:val="000000" w:themeColor="text1"/>
        </w:rPr>
        <w:t> — </w:t>
      </w:r>
      <w:r>
        <w:t>Jurisdiction of State Administrative Tribunal</w:t>
      </w:r>
    </w:p>
    <w:p>
      <w:pPr>
        <w:pStyle w:val="TOC8"/>
        <w:rPr>
          <w:rFonts w:asciiTheme="minorHAnsi" w:eastAsiaTheme="minorEastAsia" w:hAnsiTheme="minorHAnsi" w:cstheme="minorBidi"/>
          <w:szCs w:val="22"/>
        </w:rPr>
      </w:pPr>
      <w:r>
        <w:t>110ZZ</w:t>
      </w:r>
      <w:r>
        <w:rPr>
          <w:color w:val="000000" w:themeColor="text1"/>
        </w:rPr>
        <w:t>.</w:t>
      </w:r>
      <w:r>
        <w:rPr>
          <w:color w:val="000000" w:themeColor="text1"/>
        </w:rPr>
        <w:tab/>
        <w:t>Applying for review of decision made under this Part</w:t>
      </w:r>
      <w:r>
        <w:tab/>
      </w:r>
      <w:r>
        <w:fldChar w:fldCharType="begin"/>
      </w:r>
      <w:r>
        <w:instrText xml:space="preserve"> PAGEREF _Toc175575981 \h </w:instrText>
      </w:r>
      <w:r>
        <w:fldChar w:fldCharType="separate"/>
      </w:r>
      <w:r>
        <w:t>136</w:t>
      </w:r>
      <w:r>
        <w:fldChar w:fldCharType="end"/>
      </w:r>
    </w:p>
    <w:p>
      <w:pPr>
        <w:pStyle w:val="TOC8"/>
        <w:rPr>
          <w:rFonts w:asciiTheme="minorHAnsi" w:eastAsiaTheme="minorEastAsia" w:hAnsiTheme="minorHAnsi" w:cstheme="minorBidi"/>
          <w:szCs w:val="22"/>
        </w:rPr>
      </w:pPr>
      <w:r>
        <w:t>110ZZA</w:t>
      </w:r>
      <w:r>
        <w:rPr>
          <w:color w:val="000000" w:themeColor="text1"/>
        </w:rPr>
        <w:t>.</w:t>
      </w:r>
      <w:r>
        <w:rPr>
          <w:color w:val="000000" w:themeColor="text1"/>
        </w:rPr>
        <w:tab/>
        <w:t>Procedure on review</w:t>
      </w:r>
      <w:r>
        <w:tab/>
      </w:r>
      <w:r>
        <w:fldChar w:fldCharType="begin"/>
      </w:r>
      <w:r>
        <w:instrText xml:space="preserve"> PAGEREF _Toc175575982 \h </w:instrText>
      </w:r>
      <w:r>
        <w:fldChar w:fldCharType="separate"/>
      </w:r>
      <w:r>
        <w:t>136</w:t>
      </w:r>
      <w:r>
        <w:fldChar w:fldCharType="end"/>
      </w:r>
    </w:p>
    <w:p>
      <w:pPr>
        <w:pStyle w:val="TOC8"/>
        <w:rPr>
          <w:rFonts w:asciiTheme="minorHAnsi" w:eastAsiaTheme="minorEastAsia" w:hAnsiTheme="minorHAnsi" w:cstheme="minorBidi"/>
          <w:szCs w:val="22"/>
        </w:rPr>
      </w:pPr>
      <w:r>
        <w:t>110ZZB</w:t>
      </w:r>
      <w:r>
        <w:rPr>
          <w:color w:val="000000" w:themeColor="text1"/>
        </w:rPr>
        <w:t>.</w:t>
      </w:r>
      <w:r>
        <w:rPr>
          <w:color w:val="000000" w:themeColor="text1"/>
        </w:rPr>
        <w:tab/>
        <w:t>Effect of State Administrative Tribunal’s decision under this Division</w:t>
      </w:r>
      <w:r>
        <w:tab/>
      </w:r>
      <w:r>
        <w:fldChar w:fldCharType="begin"/>
      </w:r>
      <w:r>
        <w:instrText xml:space="preserve"> PAGEREF _Toc175575983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6</w:t>
      </w:r>
      <w:r>
        <w:rPr>
          <w:color w:val="000000" w:themeColor="text1"/>
        </w:rPr>
        <w:t> — </w:t>
      </w:r>
      <w:r>
        <w:t>Reporting</w:t>
      </w:r>
    </w:p>
    <w:p>
      <w:pPr>
        <w:pStyle w:val="TOC8"/>
        <w:rPr>
          <w:rFonts w:asciiTheme="minorHAnsi" w:eastAsiaTheme="minorEastAsia" w:hAnsiTheme="minorHAnsi" w:cstheme="minorBidi"/>
          <w:szCs w:val="22"/>
        </w:rPr>
      </w:pPr>
      <w:r>
        <w:t>110ZZC</w:t>
      </w:r>
      <w:r>
        <w:rPr>
          <w:color w:val="000000" w:themeColor="text1"/>
        </w:rPr>
        <w:t>.</w:t>
      </w:r>
      <w:r>
        <w:rPr>
          <w:color w:val="000000" w:themeColor="text1"/>
        </w:rPr>
        <w:tab/>
        <w:t>Researcher to report medical research conducted under this Part to Health Minister</w:t>
      </w:r>
      <w:r>
        <w:tab/>
      </w:r>
      <w:r>
        <w:fldChar w:fldCharType="begin"/>
      </w:r>
      <w:r>
        <w:instrText xml:space="preserve"> PAGEREF _Toc175575985 \h </w:instrText>
      </w:r>
      <w:r>
        <w:fldChar w:fldCharType="separate"/>
      </w:r>
      <w:r>
        <w:t>137</w:t>
      </w:r>
      <w:r>
        <w:fldChar w:fldCharType="end"/>
      </w:r>
    </w:p>
    <w:p>
      <w:pPr>
        <w:pStyle w:val="TOC8"/>
        <w:rPr>
          <w:rFonts w:asciiTheme="minorHAnsi" w:eastAsiaTheme="minorEastAsia" w:hAnsiTheme="minorHAnsi" w:cstheme="minorBidi"/>
          <w:szCs w:val="22"/>
        </w:rPr>
      </w:pPr>
      <w:r>
        <w:t>110ZZD</w:t>
      </w:r>
      <w:r>
        <w:rPr>
          <w:color w:val="000000" w:themeColor="text1"/>
        </w:rPr>
        <w:t>.</w:t>
      </w:r>
      <w:r>
        <w:rPr>
          <w:color w:val="000000" w:themeColor="text1"/>
        </w:rPr>
        <w:tab/>
        <w:t>Health Minister to report to Parliament on medical research carried out under this Part</w:t>
      </w:r>
      <w:r>
        <w:tab/>
      </w:r>
      <w:r>
        <w:fldChar w:fldCharType="begin"/>
      </w:r>
      <w:r>
        <w:instrText xml:space="preserve"> PAGEREF _Toc175575986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7</w:t>
      </w:r>
      <w:r>
        <w:rPr>
          <w:color w:val="000000" w:themeColor="text1"/>
        </w:rPr>
        <w:t> — </w:t>
      </w:r>
      <w:r>
        <w:t>Reviews</w:t>
      </w:r>
    </w:p>
    <w:p>
      <w:pPr>
        <w:pStyle w:val="TOC8"/>
        <w:rPr>
          <w:rFonts w:asciiTheme="minorHAnsi" w:eastAsiaTheme="minorEastAsia" w:hAnsiTheme="minorHAnsi" w:cstheme="minorBidi"/>
          <w:szCs w:val="22"/>
        </w:rPr>
      </w:pPr>
      <w:r>
        <w:t>110ZZE</w:t>
      </w:r>
      <w:r>
        <w:rPr>
          <w:color w:val="000000" w:themeColor="text1"/>
        </w:rPr>
        <w:t>.</w:t>
      </w:r>
      <w:r>
        <w:rPr>
          <w:color w:val="000000" w:themeColor="text1"/>
        </w:rPr>
        <w:tab/>
        <w:t>Review of this Part</w:t>
      </w:r>
      <w:r>
        <w:tab/>
      </w:r>
      <w:r>
        <w:fldChar w:fldCharType="begin"/>
      </w:r>
      <w:r>
        <w:instrText xml:space="preserve"> PAGEREF _Toc175575988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 — Miscellaneous provisions</w:t>
      </w:r>
    </w:p>
    <w:p>
      <w:pPr>
        <w:pStyle w:val="TOC8"/>
        <w:rPr>
          <w:rFonts w:asciiTheme="minorHAnsi" w:eastAsiaTheme="minorEastAsia" w:hAnsiTheme="minorHAnsi" w:cstheme="minorBidi"/>
          <w:szCs w:val="22"/>
        </w:rPr>
      </w:pPr>
      <w:r>
        <w:t>111</w:t>
      </w:r>
      <w:r>
        <w:rPr>
          <w:snapToGrid w:val="0"/>
        </w:rPr>
        <w:t>.</w:t>
      </w:r>
      <w:r>
        <w:rPr>
          <w:snapToGrid w:val="0"/>
        </w:rPr>
        <w:tab/>
        <w:t>Declaration as to capacity to vote</w:t>
      </w:r>
      <w:r>
        <w:tab/>
      </w:r>
      <w:r>
        <w:fldChar w:fldCharType="begin"/>
      </w:r>
      <w:r>
        <w:instrText xml:space="preserve"> PAGEREF _Toc175575990 \h </w:instrText>
      </w:r>
      <w:r>
        <w:fldChar w:fldCharType="separate"/>
      </w:r>
      <w:r>
        <w:t>140</w:t>
      </w:r>
      <w:r>
        <w:fldChar w:fldCharType="end"/>
      </w:r>
    </w:p>
    <w:p>
      <w:pPr>
        <w:pStyle w:val="TOC8"/>
        <w:rPr>
          <w:rFonts w:asciiTheme="minorHAnsi" w:eastAsiaTheme="minorEastAsia" w:hAnsiTheme="minorHAnsi" w:cstheme="minorBidi"/>
          <w:szCs w:val="22"/>
        </w:rPr>
      </w:pPr>
      <w:r>
        <w:t>111A.</w:t>
      </w:r>
      <w:r>
        <w:tab/>
        <w:t xml:space="preserve">Applications under </w:t>
      </w:r>
      <w:r>
        <w:rPr>
          <w:i/>
          <w:iCs/>
        </w:rPr>
        <w:t xml:space="preserve">Wills Act 1970 </w:t>
      </w:r>
      <w:r>
        <w:t>s. 40</w:t>
      </w:r>
      <w:r>
        <w:tab/>
      </w:r>
      <w:r>
        <w:fldChar w:fldCharType="begin"/>
      </w:r>
      <w:r>
        <w:instrText xml:space="preserve"> PAGEREF _Toc175575991 \h </w:instrText>
      </w:r>
      <w:r>
        <w:fldChar w:fldCharType="separate"/>
      </w:r>
      <w:r>
        <w:t>141</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Inspection of records</w:t>
      </w:r>
      <w:r>
        <w:tab/>
      </w:r>
      <w:r>
        <w:fldChar w:fldCharType="begin"/>
      </w:r>
      <w:r>
        <w:instrText xml:space="preserve"> PAGEREF _Toc175575992 \h </w:instrText>
      </w:r>
      <w:r>
        <w:fldChar w:fldCharType="separate"/>
      </w:r>
      <w:r>
        <w:t>141</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Confidentiality</w:t>
      </w:r>
      <w:r>
        <w:tab/>
      </w:r>
      <w:r>
        <w:fldChar w:fldCharType="begin"/>
      </w:r>
      <w:r>
        <w:instrText xml:space="preserve"> PAGEREF _Toc175575993 \h </w:instrText>
      </w:r>
      <w:r>
        <w:fldChar w:fldCharType="separate"/>
      </w:r>
      <w:r>
        <w:t>142</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Immunity</w:t>
      </w:r>
      <w:r>
        <w:tab/>
      </w:r>
      <w:r>
        <w:fldChar w:fldCharType="begin"/>
      </w:r>
      <w:r>
        <w:instrText xml:space="preserve"> PAGEREF _Toc175575994 \h </w:instrText>
      </w:r>
      <w:r>
        <w:fldChar w:fldCharType="separate"/>
      </w:r>
      <w:r>
        <w:t>143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Service of notices</w:t>
      </w:r>
      <w:r>
        <w:tab/>
      </w:r>
      <w:r>
        <w:fldChar w:fldCharType="begin"/>
      </w:r>
      <w:r>
        <w:instrText xml:space="preserve"> PAGEREF _Toc175575995 \h </w:instrText>
      </w:r>
      <w:r>
        <w:fldChar w:fldCharType="separate"/>
      </w:r>
      <w:r>
        <w:t>143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Remuneration</w:t>
      </w:r>
      <w:r>
        <w:tab/>
      </w:r>
      <w:r>
        <w:fldChar w:fldCharType="begin"/>
      </w:r>
      <w:r>
        <w:instrText xml:space="preserve"> PAGEREF _Toc175575996 \h </w:instrText>
      </w:r>
      <w:r>
        <w:fldChar w:fldCharType="separate"/>
      </w:r>
      <w:r>
        <w:t>144</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Expenses</w:t>
      </w:r>
      <w:r>
        <w:tab/>
      </w:r>
      <w:r>
        <w:fldChar w:fldCharType="begin"/>
      </w:r>
      <w:r>
        <w:instrText xml:space="preserve"> PAGEREF _Toc175575997 \h </w:instrText>
      </w:r>
      <w:r>
        <w:fldChar w:fldCharType="separate"/>
      </w:r>
      <w:r>
        <w:t>145</w:t>
      </w:r>
      <w:r>
        <w:fldChar w:fldCharType="end"/>
      </w:r>
    </w:p>
    <w:p>
      <w:pPr>
        <w:pStyle w:val="TOC8"/>
        <w:rPr>
          <w:rFonts w:asciiTheme="minorHAnsi" w:eastAsiaTheme="minorEastAsia" w:hAnsiTheme="minorHAnsi" w:cstheme="minorBidi"/>
          <w:szCs w:val="22"/>
        </w:rPr>
      </w:pPr>
      <w:r>
        <w:t>119.</w:t>
      </w:r>
      <w:r>
        <w:tab/>
        <w:t>Order of priority of enduring guardian and guardian for matters other than treatment decisions</w:t>
      </w:r>
      <w:r>
        <w:tab/>
      </w:r>
      <w:r>
        <w:fldChar w:fldCharType="begin"/>
      </w:r>
      <w:r>
        <w:instrText xml:space="preserve"> PAGEREF _Toc175575998 \h </w:instrText>
      </w:r>
      <w:r>
        <w:fldChar w:fldCharType="separate"/>
      </w:r>
      <w:r>
        <w:t>145</w:t>
      </w:r>
      <w:r>
        <w:fldChar w:fldCharType="end"/>
      </w:r>
    </w:p>
    <w:p>
      <w:pPr>
        <w:pStyle w:val="TOC8"/>
        <w:rPr>
          <w:rFonts w:asciiTheme="minorHAnsi" w:eastAsiaTheme="minorEastAsia" w:hAnsiTheme="minorHAnsi" w:cstheme="minorBidi"/>
          <w:szCs w:val="22"/>
        </w:rPr>
      </w:pPr>
      <w:r>
        <w:t>119A.</w:t>
      </w:r>
      <w:r>
        <w:tab/>
        <w:t>No fee for application to State Administrative Tribunal</w:t>
      </w:r>
      <w:r>
        <w:tab/>
      </w:r>
      <w:r>
        <w:fldChar w:fldCharType="begin"/>
      </w:r>
      <w:r>
        <w:instrText xml:space="preserve"> PAGEREF _Toc175575999 \h </w:instrText>
      </w:r>
      <w:r>
        <w:fldChar w:fldCharType="separate"/>
      </w:r>
      <w:r>
        <w:t>146</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Regulations</w:t>
      </w:r>
      <w:r>
        <w:tab/>
      </w:r>
      <w:r>
        <w:fldChar w:fldCharType="begin"/>
      </w:r>
      <w:r>
        <w:instrText xml:space="preserve"> PAGEREF _Toc175576000 \h </w:instrText>
      </w:r>
      <w:r>
        <w:fldChar w:fldCharType="separate"/>
      </w:r>
      <w:r>
        <w:t>146</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Transitional provisions</w:t>
      </w:r>
      <w:r>
        <w:tab/>
      </w:r>
      <w:r>
        <w:fldChar w:fldCharType="begin"/>
      </w:r>
      <w:r>
        <w:instrText xml:space="preserve"> PAGEREF _Toc175576001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1 — Provisions as to proceedings of State Administrative Tribunal</w:t>
      </w:r>
    </w:p>
    <w:p>
      <w:pPr>
        <w:pStyle w:val="TOC8"/>
        <w:rPr>
          <w:rFonts w:asciiTheme="minorHAnsi" w:eastAsiaTheme="minorEastAsia" w:hAnsiTheme="minorHAnsi" w:cstheme="minorBidi"/>
          <w:szCs w:val="22"/>
        </w:rPr>
      </w:pPr>
      <w:r>
        <w:t>11.</w:t>
      </w:r>
      <w:r>
        <w:tab/>
        <w:t>Hearings</w:t>
      </w:r>
      <w:r>
        <w:tab/>
      </w:r>
      <w:r>
        <w:fldChar w:fldCharType="begin"/>
      </w:r>
      <w:r>
        <w:instrText xml:space="preserve"> PAGEREF _Toc175576003 \h </w:instrText>
      </w:r>
      <w:r>
        <w:fldChar w:fldCharType="separate"/>
      </w:r>
      <w:r>
        <w:t>147</w:t>
      </w:r>
      <w:r>
        <w:fldChar w:fldCharType="end"/>
      </w:r>
    </w:p>
    <w:p>
      <w:pPr>
        <w:pStyle w:val="TOC8"/>
        <w:rPr>
          <w:rFonts w:asciiTheme="minorHAnsi" w:eastAsiaTheme="minorEastAsia" w:hAnsiTheme="minorHAnsi" w:cstheme="minorBidi"/>
          <w:szCs w:val="22"/>
        </w:rPr>
      </w:pPr>
      <w:r>
        <w:t>12.</w:t>
      </w:r>
      <w:r>
        <w:tab/>
        <w:t>Limitations on publication of proceedings</w:t>
      </w:r>
      <w:r>
        <w:tab/>
      </w:r>
      <w:r>
        <w:fldChar w:fldCharType="begin"/>
      </w:r>
      <w:r>
        <w:instrText xml:space="preserve"> PAGEREF _Toc175576004 \h </w:instrText>
      </w:r>
      <w:r>
        <w:fldChar w:fldCharType="separate"/>
      </w:r>
      <w:r>
        <w:t>147</w:t>
      </w:r>
      <w:r>
        <w:fldChar w:fldCharType="end"/>
      </w:r>
    </w:p>
    <w:p>
      <w:pPr>
        <w:pStyle w:val="TOC8"/>
        <w:rPr>
          <w:rFonts w:asciiTheme="minorHAnsi" w:eastAsiaTheme="minorEastAsia" w:hAnsiTheme="minorHAnsi" w:cstheme="minorBidi"/>
          <w:szCs w:val="22"/>
        </w:rPr>
      </w:pPr>
      <w:r>
        <w:t>13.</w:t>
      </w:r>
      <w:r>
        <w:tab/>
        <w:t>Entitlement to appear, and representation</w:t>
      </w:r>
      <w:r>
        <w:tab/>
      </w:r>
      <w:r>
        <w:fldChar w:fldCharType="begin"/>
      </w:r>
      <w:r>
        <w:instrText xml:space="preserve"> PAGEREF _Toc175576005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2 — Functions for administration of estates</w:t>
      </w:r>
    </w:p>
    <w:p>
      <w:pPr>
        <w:pStyle w:val="TOC4"/>
        <w:tabs>
          <w:tab w:val="right" w:leader="dot" w:pos="7077"/>
        </w:tabs>
        <w:rPr>
          <w:rFonts w:asciiTheme="minorHAnsi" w:eastAsiaTheme="minorEastAsia" w:hAnsiTheme="minorHAnsi" w:cstheme="minorBidi"/>
          <w:b w:val="0"/>
          <w:szCs w:val="22"/>
        </w:rPr>
      </w:pPr>
      <w:r>
        <w:rPr>
          <w:rFonts w:eastAsia="MS Mincho"/>
        </w:rPr>
        <w:t>Part A</w:t>
      </w:r>
      <w:r>
        <w:rPr>
          <w:rFonts w:eastAsia="MS Mincho"/>
          <w:b w:val="0"/>
        </w:rPr>
        <w:t> </w:t>
      </w:r>
      <w:r>
        <w:rPr>
          <w:rFonts w:eastAsia="MS Mincho"/>
        </w:rPr>
        <w:t>— Administrator</w:t>
      </w:r>
    </w:p>
    <w:p>
      <w:pPr>
        <w:pStyle w:val="TOC4"/>
        <w:tabs>
          <w:tab w:val="right" w:leader="dot" w:pos="7077"/>
        </w:tabs>
        <w:rPr>
          <w:rFonts w:asciiTheme="minorHAnsi" w:eastAsiaTheme="minorEastAsia" w:hAnsiTheme="minorHAnsi" w:cstheme="minorBidi"/>
          <w:b w:val="0"/>
          <w:szCs w:val="22"/>
        </w:rPr>
      </w:pPr>
      <w:r>
        <w:rPr>
          <w:rFonts w:eastAsia="MS Mincho"/>
        </w:rPr>
        <w:t>Part B — State Administrative Tribunal</w:t>
      </w:r>
    </w:p>
    <w:p>
      <w:pPr>
        <w:pStyle w:val="TOC2"/>
        <w:tabs>
          <w:tab w:val="right" w:leader="dot" w:pos="7077"/>
        </w:tabs>
        <w:rPr>
          <w:rFonts w:asciiTheme="minorHAnsi" w:eastAsiaTheme="minorEastAsia" w:hAnsiTheme="minorHAnsi" w:cstheme="minorBidi"/>
          <w:b w:val="0"/>
          <w:sz w:val="22"/>
          <w:szCs w:val="22"/>
        </w:rPr>
      </w:pPr>
      <w:r>
        <w:rPr>
          <w:rFonts w:eastAsia="MS Mincho"/>
        </w:rPr>
        <w:t>Schedule 3 — Forms for enduring power of attorney</w:t>
      </w:r>
    </w:p>
    <w:p>
      <w:pPr>
        <w:pStyle w:val="TOC2"/>
        <w:tabs>
          <w:tab w:val="right" w:leader="dot" w:pos="7077"/>
        </w:tabs>
        <w:rPr>
          <w:rFonts w:asciiTheme="minorHAnsi" w:eastAsiaTheme="minorEastAsia" w:hAnsiTheme="minorHAnsi" w:cstheme="minorBidi"/>
          <w:b w:val="0"/>
          <w:sz w:val="22"/>
          <w:szCs w:val="22"/>
        </w:rPr>
      </w:pPr>
      <w:r>
        <w:t>Schedule 5 — 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matters for </w:t>
      </w:r>
      <w:r>
        <w:rPr>
          <w:i/>
        </w:rPr>
        <w:t>Guardianship and Administration Act 1990</w:t>
      </w:r>
    </w:p>
    <w:p>
      <w:pPr>
        <w:pStyle w:val="TOC8"/>
        <w:rPr>
          <w:rFonts w:asciiTheme="minorHAnsi" w:eastAsiaTheme="minorEastAsia" w:hAnsiTheme="minorHAnsi" w:cstheme="minorBidi"/>
          <w:szCs w:val="22"/>
        </w:rPr>
      </w:pPr>
      <w:r>
        <w:t>1A.</w:t>
      </w:r>
      <w:r>
        <w:tab/>
        <w:t>Application of this Division</w:t>
      </w:r>
      <w:r>
        <w:tab/>
      </w:r>
      <w:r>
        <w:fldChar w:fldCharType="begin"/>
      </w:r>
      <w:r>
        <w:instrText xml:space="preserve"> PAGEREF _Toc175576012 \h </w:instrText>
      </w:r>
      <w:r>
        <w:fldChar w:fldCharType="separate"/>
      </w:r>
      <w:r>
        <w:t>159</w:t>
      </w:r>
      <w:r>
        <w:fldChar w:fldCharType="end"/>
      </w:r>
    </w:p>
    <w:p>
      <w:pPr>
        <w:pStyle w:val="TOC8"/>
        <w:rPr>
          <w:rFonts w:asciiTheme="minorHAnsi" w:eastAsiaTheme="minorEastAsia" w:hAnsiTheme="minorHAnsi" w:cstheme="minorBidi"/>
          <w:szCs w:val="22"/>
        </w:rPr>
      </w:pPr>
      <w:r>
        <w:t xml:space="preserve">1. </w:t>
      </w:r>
      <w:r>
        <w:tab/>
        <w:t>Existing functions of Public Trustee to continue</w:t>
      </w:r>
      <w:r>
        <w:tab/>
      </w:r>
      <w:r>
        <w:fldChar w:fldCharType="begin"/>
      </w:r>
      <w:r>
        <w:instrText xml:space="preserve"> PAGEREF _Toc175576013 \h </w:instrText>
      </w:r>
      <w:r>
        <w:fldChar w:fldCharType="separate"/>
      </w:r>
      <w:r>
        <w:t>159</w:t>
      </w:r>
      <w:r>
        <w:fldChar w:fldCharType="end"/>
      </w:r>
    </w:p>
    <w:p>
      <w:pPr>
        <w:pStyle w:val="TOC8"/>
        <w:rPr>
          <w:rFonts w:asciiTheme="minorHAnsi" w:eastAsiaTheme="minorEastAsia" w:hAnsiTheme="minorHAnsi" w:cstheme="minorBidi"/>
          <w:szCs w:val="22"/>
        </w:rPr>
      </w:pPr>
      <w:r>
        <w:t xml:space="preserve">2. </w:t>
      </w:r>
      <w:r>
        <w:tab/>
        <w:t xml:space="preserve">Existing managers under </w:t>
      </w:r>
      <w:r>
        <w:rPr>
          <w:i/>
        </w:rPr>
        <w:t>Mental Health Act 1962</w:t>
      </w:r>
      <w:r>
        <w:t xml:space="preserve"> to continue</w:t>
      </w:r>
      <w:r>
        <w:tab/>
      </w:r>
      <w:r>
        <w:fldChar w:fldCharType="begin"/>
      </w:r>
      <w:r>
        <w:instrText xml:space="preserve"> PAGEREF _Toc175576014 \h </w:instrText>
      </w:r>
      <w:r>
        <w:fldChar w:fldCharType="separate"/>
      </w:r>
      <w:r>
        <w:t>161</w:t>
      </w:r>
      <w:r>
        <w:fldChar w:fldCharType="end"/>
      </w:r>
    </w:p>
    <w:p>
      <w:pPr>
        <w:pStyle w:val="TOC8"/>
        <w:rPr>
          <w:rFonts w:asciiTheme="minorHAnsi" w:eastAsiaTheme="minorEastAsia" w:hAnsiTheme="minorHAnsi" w:cstheme="minorBidi"/>
          <w:szCs w:val="22"/>
        </w:rPr>
      </w:pPr>
      <w:r>
        <w:lastRenderedPageBreak/>
        <w:t xml:space="preserve">3. </w:t>
      </w:r>
      <w:r>
        <w:tab/>
        <w:t>Application for administration order may be made</w:t>
      </w:r>
      <w:r>
        <w:tab/>
      </w:r>
      <w:r>
        <w:fldChar w:fldCharType="begin"/>
      </w:r>
      <w:r>
        <w:instrText xml:space="preserve"> PAGEREF _Toc175576015 \h </w:instrText>
      </w:r>
      <w:r>
        <w:fldChar w:fldCharType="separate"/>
      </w:r>
      <w:r>
        <w:t>161</w:t>
      </w:r>
      <w:r>
        <w:fldChar w:fldCharType="end"/>
      </w:r>
    </w:p>
    <w:p>
      <w:pPr>
        <w:pStyle w:val="TOC8"/>
        <w:rPr>
          <w:rFonts w:asciiTheme="minorHAnsi" w:eastAsiaTheme="minorEastAsia" w:hAnsiTheme="minorHAnsi" w:cstheme="minorBidi"/>
          <w:szCs w:val="22"/>
        </w:rPr>
      </w:pPr>
      <w:r>
        <w:t xml:space="preserve">4. </w:t>
      </w:r>
      <w:r>
        <w:tab/>
        <w:t>References in other laws</w:t>
      </w:r>
      <w:r>
        <w:tab/>
      </w:r>
      <w:r>
        <w:fldChar w:fldCharType="begin"/>
      </w:r>
      <w:r>
        <w:instrText xml:space="preserve"> PAGEREF _Toc175576016 \h </w:instrText>
      </w:r>
      <w:r>
        <w:fldChar w:fldCharType="separate"/>
      </w:r>
      <w:r>
        <w:t>162</w:t>
      </w:r>
      <w:r>
        <w:fldChar w:fldCharType="end"/>
      </w:r>
    </w:p>
    <w:p>
      <w:pPr>
        <w:pStyle w:val="TOC8"/>
        <w:rPr>
          <w:rFonts w:asciiTheme="minorHAnsi" w:eastAsiaTheme="minorEastAsia" w:hAnsiTheme="minorHAnsi" w:cstheme="minorBidi"/>
          <w:szCs w:val="22"/>
        </w:rPr>
      </w:pPr>
      <w:r>
        <w:t xml:space="preserve">5. </w:t>
      </w:r>
      <w:r>
        <w:tab/>
        <w:t xml:space="preserve">Proceedings in progress under </w:t>
      </w:r>
      <w:r>
        <w:rPr>
          <w:i/>
        </w:rPr>
        <w:t>Mental Health Act 1962</w:t>
      </w:r>
      <w:r>
        <w:t xml:space="preserve"> Pt. VI</w:t>
      </w:r>
      <w:r>
        <w:tab/>
      </w:r>
      <w:r>
        <w:fldChar w:fldCharType="begin"/>
      </w:r>
      <w:r>
        <w:instrText xml:space="preserve"> PAGEREF _Toc175576017 \h </w:instrText>
      </w:r>
      <w:r>
        <w:fldChar w:fldCharType="separate"/>
      </w:r>
      <w:r>
        <w:t>162</w:t>
      </w:r>
      <w:r>
        <w:fldChar w:fldCharType="end"/>
      </w:r>
    </w:p>
    <w:p>
      <w:pPr>
        <w:pStyle w:val="TOC8"/>
        <w:rPr>
          <w:rFonts w:asciiTheme="minorHAnsi" w:eastAsiaTheme="minorEastAsia" w:hAnsiTheme="minorHAnsi" w:cstheme="minorBidi"/>
          <w:szCs w:val="22"/>
        </w:rPr>
      </w:pPr>
      <w:r>
        <w:t>6.</w:t>
      </w:r>
      <w:r>
        <w:tab/>
        <w:t>Final accounts where administration order made</w:t>
      </w:r>
      <w:r>
        <w:tab/>
      </w:r>
      <w:r>
        <w:fldChar w:fldCharType="begin"/>
      </w:r>
      <w:r>
        <w:instrText xml:space="preserve"> PAGEREF _Toc175576018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matters in connection with </w:t>
      </w:r>
      <w:r>
        <w:rPr>
          <w:i/>
        </w:rPr>
        <w:t>Mental Health Act 2014</w:t>
      </w:r>
    </w:p>
    <w:p>
      <w:pPr>
        <w:pStyle w:val="TOC8"/>
        <w:rPr>
          <w:rFonts w:asciiTheme="minorHAnsi" w:eastAsiaTheme="minorEastAsia" w:hAnsiTheme="minorHAnsi" w:cstheme="minorBidi"/>
          <w:szCs w:val="22"/>
        </w:rPr>
      </w:pPr>
      <w:r>
        <w:t>7.</w:t>
      </w:r>
      <w:r>
        <w:tab/>
        <w:t>Estates being managed by Public Trustee under Division 1</w:t>
      </w:r>
      <w:r>
        <w:tab/>
      </w:r>
      <w:r>
        <w:fldChar w:fldCharType="begin"/>
      </w:r>
      <w:r>
        <w:instrText xml:space="preserve"> PAGEREF _Toc175576020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_Toc175576022 \h </w:instrText>
      </w:r>
      <w:r>
        <w:fldChar w:fldCharType="separate"/>
      </w:r>
      <w:r>
        <w:t>164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_Toc175576023 \h </w:instrText>
      </w:r>
      <w:r>
        <w:fldChar w:fldCharType="separate"/>
      </w:r>
      <w:r>
        <w:t>168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_Toc175576024 \h </w:instrText>
      </w:r>
      <w:r>
        <w:fldChar w:fldCharType="separate"/>
      </w:r>
      <w:r>
        <w:t>168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840"/>
      </w:pPr>
      <w:r>
        <w:t xml:space="preserve">Guardianship and Administration Act 1990 </w:t>
      </w:r>
    </w:p>
    <w:p>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provide for enduring powers of attorney, enduring powers of guardianship and advance health directives, and for connected purposes. </w:t>
      </w:r>
    </w:p>
    <w:p>
      <w:pPr>
        <w:pStyle w:val="Footnotelongtitle"/>
      </w:pPr>
      <w:r>
        <w:tab/>
        <w:t>[Long title amended: No. 55 of 2004 s. 417; No. 25 of 2008 s. 4.]</w:t>
      </w:r>
    </w:p>
    <w:p>
      <w:pPr>
        <w:pStyle w:val="Heading2"/>
      </w:pPr>
      <w:bookmarkStart w:id="2" w:name="_Toc175234720"/>
      <w:bookmarkStart w:id="3" w:name="_Toc175234993"/>
      <w:bookmarkStart w:id="4" w:name="_Toc175235313"/>
      <w:bookmarkStart w:id="5" w:name="_Toc175575483"/>
      <w:bookmarkStart w:id="6" w:name="_Toc17557575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175575755"/>
      <w:r>
        <w:rPr>
          <w:rStyle w:val="CharSectno"/>
        </w:rPr>
        <w:t>1</w:t>
      </w:r>
      <w:r>
        <w:rPr>
          <w:snapToGrid w:val="0"/>
        </w:rPr>
        <w:t>.</w:t>
      </w:r>
      <w:r>
        <w:rPr>
          <w:snapToGrid w:val="0"/>
        </w:rPr>
        <w:tab/>
        <w:t>Short title</w:t>
      </w:r>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w:t>
      </w:r>
    </w:p>
    <w:p>
      <w:pPr>
        <w:pStyle w:val="Heading5"/>
        <w:rPr>
          <w:snapToGrid w:val="0"/>
        </w:rPr>
      </w:pPr>
      <w:bookmarkStart w:id="8" w:name="_Toc175575756"/>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9" w:name="_Toc175575757"/>
      <w:r>
        <w:rPr>
          <w:rStyle w:val="CharSectno"/>
        </w:rPr>
        <w:t>3</w:t>
      </w:r>
      <w:r>
        <w:rPr>
          <w:snapToGrid w:val="0"/>
        </w:rPr>
        <w:t>.</w:t>
      </w:r>
      <w:r>
        <w:rPr>
          <w:snapToGrid w:val="0"/>
        </w:rPr>
        <w:tab/>
        <w:t>Terms used</w:t>
      </w:r>
      <w:bookmarkEnd w:id="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advance health directive</w:t>
      </w:r>
      <w:r>
        <w:t xml:space="preserve"> means — </w:t>
      </w:r>
    </w:p>
    <w:p>
      <w:pPr>
        <w:pStyle w:val="Defpara"/>
      </w:pPr>
      <w:r>
        <w:tab/>
        <w:t>(a)</w:t>
      </w:r>
      <w:r>
        <w:tab/>
        <w:t>an advance health directive made under Part 9B; or</w:t>
      </w:r>
    </w:p>
    <w:p>
      <w:pPr>
        <w:pStyle w:val="Defpara"/>
      </w:pPr>
      <w:r>
        <w:tab/>
        <w:t>(b)</w:t>
      </w:r>
      <w:r>
        <w:tab/>
        <w:t>an instrument recognised as such under section 110ZA;</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keepNext/>
      </w:pPr>
      <w:r>
        <w:rPr>
          <w:b/>
        </w:rPr>
        <w:lastRenderedPageBreak/>
        <w:tab/>
      </w:r>
      <w:r>
        <w:rPr>
          <w:rStyle w:val="CharDefText"/>
        </w:rPr>
        <w:t>determination</w:t>
      </w:r>
      <w:r>
        <w:t>, in relation to the State Administrative Tribunal, means — </w:t>
      </w:r>
    </w:p>
    <w:p>
      <w:pPr>
        <w:pStyle w:val="Defpara"/>
      </w:pPr>
      <w:r>
        <w:tab/>
        <w:t>(a)</w:t>
      </w:r>
      <w:r>
        <w:tab/>
        <w:t>a grant or refusal of leave under section 87;</w:t>
      </w:r>
      <w:r>
        <w:rPr>
          <w:color w:val="000000" w:themeColor="text1"/>
        </w:rPr>
        <w:t xml:space="preserve"> or</w:t>
      </w:r>
    </w:p>
    <w:p>
      <w:pPr>
        <w:pStyle w:val="Defpara"/>
      </w:pPr>
      <w:r>
        <w:tab/>
        <w:t>(b)</w:t>
      </w:r>
      <w:r>
        <w:tab/>
        <w:t>the making of, or refusal to make, an order under section 43 or 64;</w:t>
      </w:r>
      <w:r>
        <w:rPr>
          <w:color w:val="000000" w:themeColor="text1"/>
        </w:rPr>
        <w:t xml:space="preserve"> or</w:t>
      </w:r>
    </w:p>
    <w:p>
      <w:pPr>
        <w:pStyle w:val="Defpara"/>
      </w:pPr>
      <w:r>
        <w:tab/>
        <w:t>(c)</w:t>
      </w:r>
      <w:r>
        <w:tab/>
        <w:t>the refusal to issue a warrant under section 49;</w:t>
      </w:r>
      <w:r>
        <w:rPr>
          <w:color w:val="000000" w:themeColor="text1"/>
        </w:rPr>
        <w:t xml:space="preserve"> or</w:t>
      </w:r>
    </w:p>
    <w:p>
      <w:pPr>
        <w:pStyle w:val="Defpara"/>
      </w:pPr>
      <w:r>
        <w:tab/>
        <w:t>(d)</w:t>
      </w:r>
      <w:r>
        <w:tab/>
        <w:t>the making of, or refusal to make, an order on a review under section 84, 85 or 86;</w:t>
      </w:r>
      <w:r>
        <w:rPr>
          <w:color w:val="000000" w:themeColor="text1"/>
        </w:rPr>
        <w:t xml:space="preserve"> or</w:t>
      </w:r>
    </w:p>
    <w:p>
      <w:pPr>
        <w:pStyle w:val="Defpara"/>
      </w:pPr>
      <w:r>
        <w:tab/>
        <w:t>(e)</w:t>
      </w:r>
      <w:r>
        <w:tab/>
        <w:t>the giving of a direction under section 47 or 74;</w:t>
      </w:r>
      <w:r>
        <w:rPr>
          <w:color w:val="000000" w:themeColor="text1"/>
        </w:rPr>
        <w:t xml:space="preserve"> or</w:t>
      </w:r>
    </w:p>
    <w:p>
      <w:pPr>
        <w:pStyle w:val="Defpara"/>
      </w:pPr>
      <w:r>
        <w:tab/>
        <w:t>(f)</w:t>
      </w:r>
      <w:r>
        <w:tab/>
        <w:t>the giving or refusal of consent under section 63;</w:t>
      </w:r>
      <w:r>
        <w:rPr>
          <w:color w:val="000000" w:themeColor="text1"/>
        </w:rPr>
        <w:t xml:space="preserve"> or</w:t>
      </w:r>
    </w:p>
    <w:p>
      <w:pPr>
        <w:pStyle w:val="Defpara"/>
      </w:pPr>
      <w:r>
        <w:tab/>
        <w:t>(g)</w:t>
      </w:r>
      <w:r>
        <w:tab/>
        <w:t xml:space="preserve">the making of or refusal to make a declaration under section 111 or the revocation of or refusal to revoke such a </w:t>
      </w:r>
      <w:r>
        <w:rPr>
          <w:color w:val="000000" w:themeColor="text1"/>
        </w:rPr>
        <w:t>declaration; or</w:t>
      </w:r>
    </w:p>
    <w:p>
      <w:pPr>
        <w:pStyle w:val="Defpara"/>
      </w:pPr>
      <w:r>
        <w:tab/>
        <w:t>(h)</w:t>
      </w:r>
      <w:r>
        <w:tab/>
        <w:t xml:space="preserve">the making of, or refusal to make, an order under section 66, 104A(2), 106, 109 or </w:t>
      </w:r>
      <w:r>
        <w:rPr>
          <w:color w:val="000000" w:themeColor="text1"/>
        </w:rPr>
        <w:t>112(4); or</w:t>
      </w:r>
    </w:p>
    <w:p>
      <w:pPr>
        <w:pStyle w:val="Defpara"/>
      </w:pPr>
      <w:r>
        <w:rPr>
          <w:color w:val="000000" w:themeColor="text1"/>
        </w:rPr>
        <w:tab/>
        <w:t>(i)</w:t>
      </w:r>
      <w:r>
        <w:rPr>
          <w:color w:val="000000" w:themeColor="text1"/>
        </w:rPr>
        <w:tab/>
        <w:t xml:space="preserve">a decision made under Part 9E Division 5; </w:t>
      </w:r>
    </w:p>
    <w:p>
      <w:pPr>
        <w:pStyle w:val="Defstart"/>
      </w:pPr>
      <w:r>
        <w:rPr>
          <w:color w:val="000000" w:themeColor="text1"/>
        </w:rPr>
        <w:tab/>
      </w:r>
      <w:r>
        <w:rPr>
          <w:rStyle w:val="CharDefText"/>
          <w:color w:val="000000" w:themeColor="text1"/>
        </w:rPr>
        <w:t>electroconvulsive therapy</w:t>
      </w:r>
      <w:r>
        <w:rPr>
          <w:color w:val="000000" w:themeColor="text1"/>
        </w:rPr>
        <w:t xml:space="preserve"> has the meaning given in the </w:t>
      </w:r>
      <w:r>
        <w:rPr>
          <w:i/>
          <w:color w:val="000000" w:themeColor="text1"/>
        </w:rPr>
        <w:t>Mental Health Act 2014</w:t>
      </w:r>
      <w:r>
        <w:rPr>
          <w:color w:val="000000" w:themeColor="text1"/>
        </w:rPr>
        <w:t xml:space="preserve"> section 192;</w:t>
      </w:r>
    </w:p>
    <w:p>
      <w:pPr>
        <w:pStyle w:val="Defstart"/>
      </w:pPr>
      <w:r>
        <w:rPr>
          <w:b/>
        </w:rPr>
        <w:tab/>
      </w:r>
      <w:r>
        <w:rPr>
          <w:rStyle w:val="CharDefText"/>
        </w:rPr>
        <w:t>enduring guardian</w:t>
      </w:r>
      <w:r>
        <w:t xml:space="preserve"> means — </w:t>
      </w:r>
    </w:p>
    <w:p>
      <w:pPr>
        <w:pStyle w:val="Defpara"/>
      </w:pPr>
      <w:r>
        <w:tab/>
        <w:t>(a)</w:t>
      </w:r>
      <w:r>
        <w:tab/>
        <w:t>the person who is the enduring guardian under an enduring power of guardianship; or</w:t>
      </w:r>
    </w:p>
    <w:p>
      <w:pPr>
        <w:pStyle w:val="Defpara"/>
      </w:pPr>
      <w:r>
        <w:tab/>
        <w:t>(b)</w:t>
      </w:r>
      <w:r>
        <w:tab/>
        <w:t>the persons who are the joint enduring guardians under an enduring power of guardianship,</w:t>
      </w:r>
    </w:p>
    <w:p>
      <w:pPr>
        <w:pStyle w:val="Defstart"/>
      </w:pPr>
      <w:r>
        <w:tab/>
        <w:t>and includes a substitute enduring guardian while he or she is the enduring guardian or a joint enduring guardian under an enduring power of guardianship;</w:t>
      </w:r>
    </w:p>
    <w:p>
      <w:pPr>
        <w:pStyle w:val="Defstart"/>
      </w:pPr>
      <w:r>
        <w:rPr>
          <w:b/>
        </w:rPr>
        <w:tab/>
      </w:r>
      <w:r>
        <w:rPr>
          <w:rStyle w:val="CharDefText"/>
        </w:rPr>
        <w:t>enduring power of guardianship</w:t>
      </w:r>
      <w:r>
        <w:rPr>
          <w:b/>
        </w:rPr>
        <w:t xml:space="preserve"> </w:t>
      </w:r>
      <w:r>
        <w:t xml:space="preserve">means — </w:t>
      </w:r>
    </w:p>
    <w:p>
      <w:pPr>
        <w:pStyle w:val="Defpara"/>
      </w:pPr>
      <w:r>
        <w:tab/>
        <w:t>(a)</w:t>
      </w:r>
      <w:r>
        <w:tab/>
        <w:t>an enduring power of guardianship made under Part 9A; or</w:t>
      </w:r>
    </w:p>
    <w:p>
      <w:pPr>
        <w:pStyle w:val="Defpara"/>
      </w:pPr>
      <w:r>
        <w:tab/>
        <w:t>(b)</w:t>
      </w:r>
      <w:r>
        <w:tab/>
        <w:t>an instrument recognised as such under section 110O;</w:t>
      </w:r>
    </w:p>
    <w:p>
      <w:pPr>
        <w:pStyle w:val="Defstart"/>
      </w:pPr>
      <w:r>
        <w:rPr>
          <w:b/>
        </w:rPr>
        <w:lastRenderedPageBreak/>
        <w:tab/>
      </w:r>
      <w:r>
        <w:rPr>
          <w:rStyle w:val="CharDefText"/>
        </w:rPr>
        <w:t>executive officer</w:t>
      </w:r>
      <w:r>
        <w:t xml:space="preserve"> has the meaning given to that term in the </w:t>
      </w:r>
      <w:r>
        <w:rPr>
          <w:i/>
        </w:rPr>
        <w:t>State Administrative Tribunal Act 2004</w:t>
      </w:r>
      <w:r>
        <w:t xml:space="preserve"> section 3;</w:t>
      </w:r>
    </w:p>
    <w:p>
      <w:pPr>
        <w:pStyle w:val="Defstart"/>
        <w:keepLines/>
      </w:pPr>
      <w:r>
        <w:rPr>
          <w:b/>
        </w:rPr>
        <w:tab/>
      </w:r>
      <w:r>
        <w:rPr>
          <w:rStyle w:val="CharDefText"/>
        </w:rPr>
        <w:t>Full Tribunal</w:t>
      </w:r>
      <w:r>
        <w:t xml:space="preserve"> means the State Administrative Tribunal constituted so as to consist of —</w:t>
      </w:r>
    </w:p>
    <w:p>
      <w:pPr>
        <w:pStyle w:val="Defpara"/>
        <w:keepLines/>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Advocate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Defstart"/>
      </w:pPr>
      <w:r>
        <w:tab/>
      </w:r>
      <w:r>
        <w:rPr>
          <w:rStyle w:val="CharDefText"/>
          <w:color w:val="000000" w:themeColor="text1"/>
        </w:rPr>
        <w:t>medical research</w:t>
      </w:r>
      <w:r>
        <w:t xml:space="preserve"> has the meaning given in section 3AA;</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lastRenderedPageBreak/>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332"/>
          <w:tab w:val="right" w:pos="1320"/>
          <w:tab w:val="left" w:pos="1610"/>
        </w:tabs>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w:t>
      </w:r>
      <w:r>
        <w:rPr>
          <w:rFonts w:eastAsia="MS Mincho"/>
        </w:rPr>
        <w:t xml:space="preserve"> Schedule 1</w:t>
      </w:r>
      <w:r>
        <w:t>;</w:t>
      </w:r>
    </w:p>
    <w:p>
      <w:pPr>
        <w:pStyle w:val="Defstart"/>
      </w:pPr>
      <w:r>
        <w:tab/>
      </w:r>
      <w:r>
        <w:rPr>
          <w:rStyle w:val="CharDefText"/>
          <w:color w:val="000000" w:themeColor="text1"/>
        </w:rPr>
        <w:t>personal information</w:t>
      </w:r>
      <w:r>
        <w:t xml:space="preserve"> has the meaning given in the </w:t>
      </w:r>
      <w:r>
        <w:rPr>
          <w:i/>
        </w:rPr>
        <w:t>Freedom of Information Act 1992</w:t>
      </w:r>
      <w:r>
        <w:t xml:space="preserve"> Glossary clause 1;</w:t>
      </w:r>
    </w:p>
    <w:p>
      <w:pPr>
        <w:pStyle w:val="Defstart"/>
      </w:pPr>
      <w:r>
        <w:tab/>
      </w:r>
      <w:r>
        <w:rPr>
          <w:rStyle w:val="CharDefText"/>
          <w:color w:val="000000" w:themeColor="text1"/>
        </w:rPr>
        <w:t>placebo</w:t>
      </w:r>
      <w:r>
        <w:t xml:space="preserve"> means a substance not containing an active agent under study administered to some individuals to compare the effects of the active agent administered to other individuals;</w:t>
      </w:r>
    </w:p>
    <w:p>
      <w:pPr>
        <w:pStyle w:val="Defstart"/>
      </w:pPr>
      <w:r>
        <w:rPr>
          <w:b/>
        </w:rPr>
        <w:tab/>
      </w:r>
      <w:r>
        <w:rPr>
          <w:rStyle w:val="CharDefText"/>
        </w:rPr>
        <w:t>President</w:t>
      </w:r>
      <w:r>
        <w:t xml:space="preserve"> means the President of the State Administrative Tribunal;</w:t>
      </w:r>
    </w:p>
    <w:p>
      <w:pPr>
        <w:pStyle w:val="Defstart"/>
      </w:pPr>
      <w:r>
        <w:rPr>
          <w:b/>
        </w:rPr>
        <w:lastRenderedPageBreak/>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tab/>
      </w:r>
      <w:r>
        <w:rPr>
          <w:rStyle w:val="CharDefText"/>
          <w:color w:val="000000" w:themeColor="text1"/>
        </w:rPr>
        <w:t>research candidate</w:t>
      </w:r>
      <w:r>
        <w:t xml:space="preserve"> means an individual — </w:t>
      </w:r>
    </w:p>
    <w:p>
      <w:pPr>
        <w:pStyle w:val="Defpara"/>
      </w:pPr>
      <w:r>
        <w:rPr>
          <w:color w:val="000000" w:themeColor="text1"/>
        </w:rPr>
        <w:tab/>
        <w:t>(a)</w:t>
      </w:r>
      <w:r>
        <w:rPr>
          <w:color w:val="000000" w:themeColor="text1"/>
        </w:rPr>
        <w:tab/>
        <w:t>whose participation is sought in medical research; or</w:t>
      </w:r>
    </w:p>
    <w:p>
      <w:pPr>
        <w:pStyle w:val="Defpara"/>
      </w:pPr>
      <w:r>
        <w:tab/>
        <w:t>(b)</w:t>
      </w:r>
      <w:r>
        <w:tab/>
        <w:t>in respect of whom medical research is conducted under Part 9E;</w:t>
      </w:r>
    </w:p>
    <w:p>
      <w:pPr>
        <w:pStyle w:val="Defstart"/>
      </w:pPr>
      <w:r>
        <w:rPr>
          <w:color w:val="000000" w:themeColor="text1"/>
        </w:rPr>
        <w:tab/>
      </w:r>
      <w:r>
        <w:rPr>
          <w:rStyle w:val="CharDefText"/>
          <w:color w:val="000000" w:themeColor="text1"/>
        </w:rPr>
        <w:t>research decision</w:t>
      </w:r>
      <w:r>
        <w:rPr>
          <w:color w:val="000000" w:themeColor="text1"/>
        </w:rPr>
        <w:t>, in relation to a research candidate, means a decision to consent or refuse consent to the candidate’s participation in medical research;</w:t>
      </w:r>
    </w:p>
    <w:p>
      <w:pPr>
        <w:pStyle w:val="Defstart"/>
      </w:pPr>
      <w:r>
        <w:tab/>
      </w:r>
      <w:r>
        <w:rPr>
          <w:rStyle w:val="CharDefText"/>
          <w:color w:val="000000" w:themeColor="text1"/>
        </w:rPr>
        <w:t>research decision</w:t>
      </w:r>
      <w:r>
        <w:rPr>
          <w:rStyle w:val="CharDefText"/>
          <w:color w:val="000000" w:themeColor="text1"/>
        </w:rPr>
        <w:noBreakHyphen/>
        <w:t>maker</w:t>
      </w:r>
      <w:r>
        <w:t>, for a research candidate, has the meaning given in section 110ZP;</w:t>
      </w:r>
    </w:p>
    <w:p>
      <w:pPr>
        <w:pStyle w:val="Defstart"/>
      </w:pPr>
      <w:r>
        <w:rPr>
          <w:b/>
        </w:rPr>
        <w:tab/>
      </w:r>
      <w:r>
        <w:rPr>
          <w:rStyle w:val="CharDefText"/>
        </w:rPr>
        <w:t>substitute enduring guardian</w:t>
      </w:r>
      <w:r>
        <w:rPr>
          <w:bCs/>
        </w:rPr>
        <w:t xml:space="preserve"> </w:t>
      </w:r>
      <w:r>
        <w:t>means a person appointed as a substitute enduring guardian under section 110C(1);</w:t>
      </w:r>
    </w:p>
    <w:p>
      <w:pPr>
        <w:pStyle w:val="Defstart"/>
      </w:pPr>
      <w:r>
        <w:rPr>
          <w:b/>
        </w:rPr>
        <w:tab/>
      </w:r>
      <w:r>
        <w:rPr>
          <w:rStyle w:val="CharDefText"/>
          <w:color w:val="000000" w:themeColor="text1"/>
        </w:rPr>
        <w:t>treatment</w:t>
      </w:r>
      <w:r>
        <w:t xml:space="preserve"> — </w:t>
      </w:r>
    </w:p>
    <w:p>
      <w:pPr>
        <w:pStyle w:val="Defpara"/>
      </w:pPr>
      <w:r>
        <w:rPr>
          <w:color w:val="000000" w:themeColor="text1"/>
        </w:rPr>
        <w:tab/>
        <w:t>(a)</w:t>
      </w:r>
      <w:r>
        <w:rPr>
          <w:color w:val="000000" w:themeColor="text1"/>
        </w:rPr>
        <w:tab/>
        <w:t xml:space="preserve">means — </w:t>
      </w:r>
    </w:p>
    <w:p>
      <w:pPr>
        <w:pStyle w:val="Defsubpara"/>
      </w:pPr>
      <w:r>
        <w:rPr>
          <w:color w:val="000000" w:themeColor="text1"/>
        </w:rPr>
        <w:tab/>
        <w:t>(i)</w:t>
      </w:r>
      <w:r>
        <w:rPr>
          <w:color w:val="000000" w:themeColor="text1"/>
        </w:rPr>
        <w:tab/>
        <w:t>medical or surgical treatment, including a life sustaining measure or palliative care; or</w:t>
      </w:r>
    </w:p>
    <w:p>
      <w:pPr>
        <w:pStyle w:val="Defsubpara"/>
      </w:pPr>
      <w:r>
        <w:tab/>
        <w:t>(ii)</w:t>
      </w:r>
      <w:r>
        <w:tab/>
        <w:t>dental treatment; or</w:t>
      </w:r>
    </w:p>
    <w:p>
      <w:pPr>
        <w:pStyle w:val="Defsubpara"/>
      </w:pPr>
      <w:r>
        <w:tab/>
        <w:t>(iii)</w:t>
      </w:r>
      <w:r>
        <w:tab/>
        <w:t xml:space="preserve">other health care; </w:t>
      </w:r>
    </w:p>
    <w:p>
      <w:pPr>
        <w:pStyle w:val="Defpara"/>
      </w:pPr>
      <w:r>
        <w:rPr>
          <w:color w:val="000000" w:themeColor="text1"/>
        </w:rPr>
        <w:tab/>
      </w:r>
      <w:r>
        <w:rPr>
          <w:color w:val="000000" w:themeColor="text1"/>
        </w:rPr>
        <w:tab/>
        <w:t>and</w:t>
      </w:r>
    </w:p>
    <w:p>
      <w:pPr>
        <w:pStyle w:val="Defpara"/>
      </w:pPr>
      <w:r>
        <w:tab/>
        <w:t>(b)</w:t>
      </w:r>
      <w:r>
        <w:tab/>
        <w:t>in Parts 9B and 9E — includes medical research; and</w:t>
      </w:r>
    </w:p>
    <w:p>
      <w:pPr>
        <w:pStyle w:val="Defpara"/>
      </w:pPr>
      <w:r>
        <w:tab/>
        <w:t>(c)</w:t>
      </w:r>
      <w:r>
        <w:tab/>
        <w:t>if paragraph (b) does not apply — does not include medical research;</w:t>
      </w:r>
    </w:p>
    <w:p>
      <w:pPr>
        <w:pStyle w:val="Defstart"/>
        <w:keepNext/>
      </w:pPr>
      <w:r>
        <w:rPr>
          <w:color w:val="000000" w:themeColor="text1"/>
        </w:rPr>
        <w:lastRenderedPageBreak/>
        <w:tab/>
      </w:r>
      <w:r>
        <w:rPr>
          <w:rStyle w:val="CharDefText"/>
          <w:color w:val="000000" w:themeColor="text1"/>
        </w:rPr>
        <w:t>treatment decision</w:t>
      </w:r>
      <w:r>
        <w:rPr>
          <w:color w:val="000000" w:themeColor="text1"/>
        </w:rPr>
        <w:t xml:space="preserve">, in relation to a person — </w:t>
      </w:r>
    </w:p>
    <w:p>
      <w:pPr>
        <w:pStyle w:val="Defpara"/>
      </w:pPr>
      <w:r>
        <w:rPr>
          <w:color w:val="000000" w:themeColor="text1"/>
        </w:rPr>
        <w:tab/>
        <w:t>(a)</w:t>
      </w:r>
      <w:r>
        <w:rPr>
          <w:color w:val="000000" w:themeColor="text1"/>
        </w:rPr>
        <w:tab/>
        <w:t>means a decision to consent or refuse consent to the commencement or continuation of any treatment of the person; and</w:t>
      </w:r>
    </w:p>
    <w:p>
      <w:pPr>
        <w:pStyle w:val="Defpara"/>
      </w:pPr>
      <w:r>
        <w:tab/>
        <w:t>(b)</w:t>
      </w:r>
      <w:r>
        <w:tab/>
        <w:t>in Part 9B — includes a decision to consent or refuse consent to the commencement or continuation of the person’s participation in medical research.</w:t>
      </w:r>
    </w:p>
    <w:p>
      <w:pPr>
        <w:pStyle w:val="Subsection"/>
      </w:pPr>
      <w:r>
        <w:tab/>
        <w:t>(1A)</w:t>
      </w:r>
      <w:r>
        <w:tab/>
        <w:t xml:space="preserve">In this Act, a reference to the performance of an abortion on a person — </w:t>
      </w:r>
    </w:p>
    <w:p>
      <w:pPr>
        <w:pStyle w:val="Indenta"/>
      </w:pPr>
      <w:r>
        <w:tab/>
        <w:t>(a)</w:t>
      </w:r>
      <w:r>
        <w:tab/>
        <w:t xml:space="preserve">is a reference to the provision of treatment to the person, including treatment referred to in the </w:t>
      </w:r>
      <w:r>
        <w:rPr>
          <w:i/>
        </w:rPr>
        <w:t>Public Health Act 2016</w:t>
      </w:r>
      <w:r>
        <w:t xml:space="preserve"> section 202MB(2), with the intention of causing the termination of the pregnancy of the person; and</w:t>
      </w:r>
    </w:p>
    <w:p>
      <w:pPr>
        <w:pStyle w:val="Indenta"/>
      </w:pPr>
      <w:r>
        <w:tab/>
        <w:t>(b)</w:t>
      </w:r>
      <w:r>
        <w:tab/>
        <w:t xml:space="preserve">does not include a reference to the provision of treatment to the person without that intention even if the treatment results or may result in the termination of the pregnancy of the person. </w:t>
      </w:r>
    </w:p>
    <w:p>
      <w:pPr>
        <w:pStyle w:val="Subsection"/>
      </w:pPr>
      <w:r>
        <w:tab/>
        <w:t>(2)</w:t>
      </w:r>
      <w:r>
        <w:tab/>
        <w:t>A reference in a written law to the committee of the person of a person is to be read as a reference to the guardian of that person.</w:t>
      </w:r>
    </w:p>
    <w:p>
      <w:pPr>
        <w:pStyle w:val="Footnotesection"/>
      </w:pPr>
      <w:r>
        <w:tab/>
        <w:t xml:space="preserve">[Section 3 amended: No. 16 of 1992 s. 4 and 17; No. 7 of 1996 s. 4; No. 69 of 1996 s. 33; No. 70 of 2000 s. 4; No. 3 of 2002 s. 68; No. 65 of 2003 s. 40(2); No. 55 of 2004 s. 418 and 466(1); No. 21 of 2008 s. 667(2); No. 25 of 2008 s. 5; No. 8 of 2009 s. 68; No. 19 of 2010 s. 18(2); No. 25 of 2014 s. 20; No. 14 of 2020 s. 4; No. 9 of 2022 s. 424; No. 20 of 2023 s. 26.] </w:t>
      </w:r>
    </w:p>
    <w:p>
      <w:pPr>
        <w:pStyle w:val="Heading5"/>
      </w:pPr>
      <w:bookmarkStart w:id="10" w:name="_Toc175575758"/>
      <w:r>
        <w:rPr>
          <w:rStyle w:val="CharSectno"/>
        </w:rPr>
        <w:t>3AA</w:t>
      </w:r>
      <w:r>
        <w:rPr>
          <w:color w:val="000000" w:themeColor="text1"/>
        </w:rPr>
        <w:t>.</w:t>
      </w:r>
      <w:r>
        <w:rPr>
          <w:color w:val="000000" w:themeColor="text1"/>
        </w:rPr>
        <w:tab/>
        <w:t>Term used: medical research</w:t>
      </w:r>
      <w:bookmarkEnd w:id="10"/>
    </w:p>
    <w:p>
      <w:pPr>
        <w:pStyle w:val="Subsection"/>
      </w:pPr>
      <w:r>
        <w:rPr>
          <w:color w:val="000000" w:themeColor="text1"/>
        </w:rPr>
        <w:tab/>
        <w:t>(1)</w:t>
      </w:r>
      <w:r>
        <w:rPr>
          <w:color w:val="000000" w:themeColor="text1"/>
        </w:rPr>
        <w:tab/>
        <w:t xml:space="preserve">For the purposes of this Act, </w:t>
      </w:r>
      <w:r>
        <w:rPr>
          <w:rStyle w:val="CharDefText"/>
          <w:color w:val="000000" w:themeColor="text1"/>
        </w:rPr>
        <w:t>medical research</w:t>
      </w:r>
      <w:r>
        <w:rPr>
          <w:color w:val="000000" w:themeColor="text1"/>
        </w:rPr>
        <w:t xml:space="preserve"> — </w:t>
      </w:r>
    </w:p>
    <w:p>
      <w:pPr>
        <w:pStyle w:val="Indenta"/>
      </w:pPr>
      <w:r>
        <w:rPr>
          <w:color w:val="000000" w:themeColor="text1"/>
        </w:rPr>
        <w:tab/>
        <w:t>(a)</w:t>
      </w:r>
      <w:r>
        <w:rPr>
          <w:color w:val="000000" w:themeColor="text1"/>
        </w:rPr>
        <w:tab/>
        <w:t>means research conducted with or about individuals, or their data or tissue, in the field of medicine or health; and</w:t>
      </w:r>
    </w:p>
    <w:p>
      <w:pPr>
        <w:pStyle w:val="Indenta"/>
      </w:pPr>
      <w:r>
        <w:lastRenderedPageBreak/>
        <w:tab/>
        <w:t>(b)</w:t>
      </w:r>
      <w:r>
        <w:tab/>
        <w:t>includes an activity undertaken for the purposes of that research.</w:t>
      </w:r>
    </w:p>
    <w:p>
      <w:pPr>
        <w:pStyle w:val="Subsection"/>
      </w:pPr>
      <w:r>
        <w:rPr>
          <w:color w:val="000000" w:themeColor="text1"/>
        </w:rPr>
        <w:tab/>
        <w:t>(2)</w:t>
      </w:r>
      <w:r>
        <w:rPr>
          <w:color w:val="000000" w:themeColor="text1"/>
        </w:rPr>
        <w:tab/>
        <w:t xml:space="preserve">Without limiting subsection (1), </w:t>
      </w:r>
      <w:r>
        <w:rPr>
          <w:rStyle w:val="CharDefText"/>
          <w:color w:val="000000" w:themeColor="text1"/>
        </w:rPr>
        <w:t>medical research</w:t>
      </w:r>
      <w:r>
        <w:rPr>
          <w:b/>
          <w:i/>
          <w:color w:val="000000" w:themeColor="text1"/>
        </w:rPr>
        <w:t xml:space="preserve"> </w:t>
      </w:r>
      <w:r>
        <w:rPr>
          <w:color w:val="000000" w:themeColor="text1"/>
        </w:rPr>
        <w:t xml:space="preserve">includes the following — </w:t>
      </w:r>
    </w:p>
    <w:p>
      <w:pPr>
        <w:pStyle w:val="Indenta"/>
      </w:pPr>
      <w:r>
        <w:rPr>
          <w:color w:val="000000" w:themeColor="text1"/>
        </w:rPr>
        <w:tab/>
        <w:t>(a)</w:t>
      </w:r>
      <w:r>
        <w:rPr>
          <w:color w:val="000000" w:themeColor="text1"/>
        </w:rPr>
        <w:tab/>
        <w:t>the administration of pharmaceuticals or placebos;</w:t>
      </w:r>
    </w:p>
    <w:p>
      <w:pPr>
        <w:pStyle w:val="Indenta"/>
      </w:pPr>
      <w:r>
        <w:tab/>
        <w:t>(b)</w:t>
      </w:r>
      <w:r>
        <w:tab/>
        <w:t>the use of equipment or a device;</w:t>
      </w:r>
    </w:p>
    <w:p>
      <w:pPr>
        <w:pStyle w:val="Indenta"/>
      </w:pPr>
      <w:r>
        <w:tab/>
        <w:t>(c)</w:t>
      </w:r>
      <w:r>
        <w:tab/>
        <w:t>providing health care that has not yet gained the support of a substantial number of practitioners in that field of health care;</w:t>
      </w:r>
    </w:p>
    <w:p>
      <w:pPr>
        <w:pStyle w:val="Indenta"/>
      </w:pPr>
      <w:r>
        <w:tab/>
        <w:t>(d)</w:t>
      </w:r>
      <w:r>
        <w:tab/>
        <w:t xml:space="preserve">providing health care to which paragraph (c) does not apply to carry out a comparative assessment referred to in paragraph (e); </w:t>
      </w:r>
    </w:p>
    <w:p>
      <w:pPr>
        <w:pStyle w:val="Indenta"/>
      </w:pPr>
      <w:r>
        <w:tab/>
        <w:t>(e)</w:t>
      </w:r>
      <w:r>
        <w:tab/>
        <w:t>carrying out a comparative assessment of the health care provided under paragraphs (c) and (d);</w:t>
      </w:r>
    </w:p>
    <w:p>
      <w:pPr>
        <w:pStyle w:val="Indenta"/>
        <w:keepNext/>
      </w:pPr>
      <w:r>
        <w:tab/>
        <w:t>(f)</w:t>
      </w:r>
      <w:r>
        <w:tab/>
        <w:t xml:space="preserve">taking samples from an individual, including — </w:t>
      </w:r>
    </w:p>
    <w:p>
      <w:pPr>
        <w:pStyle w:val="Indenti"/>
      </w:pPr>
      <w:r>
        <w:rPr>
          <w:color w:val="000000" w:themeColor="text1"/>
        </w:rPr>
        <w:tab/>
        <w:t>(i)</w:t>
      </w:r>
      <w:r>
        <w:rPr>
          <w:color w:val="000000" w:themeColor="text1"/>
        </w:rPr>
        <w:tab/>
        <w:t xml:space="preserve">a blood sample; or </w:t>
      </w:r>
    </w:p>
    <w:p>
      <w:pPr>
        <w:pStyle w:val="Indenti"/>
      </w:pPr>
      <w:r>
        <w:tab/>
        <w:t>(ii)</w:t>
      </w:r>
      <w:r>
        <w:tab/>
        <w:t>a sample of tissue or fluid from the body, including the mouth, throat, nasal cavity, eyes or ears;</w:t>
      </w:r>
    </w:p>
    <w:p>
      <w:pPr>
        <w:pStyle w:val="Indenta"/>
      </w:pPr>
      <w:r>
        <w:rPr>
          <w:color w:val="000000" w:themeColor="text1"/>
        </w:rPr>
        <w:tab/>
        <w:t>(g)</w:t>
      </w:r>
      <w:r>
        <w:rPr>
          <w:color w:val="000000" w:themeColor="text1"/>
        </w:rPr>
        <w:tab/>
        <w:t>any non</w:t>
      </w:r>
      <w:r>
        <w:rPr>
          <w:color w:val="000000" w:themeColor="text1"/>
        </w:rPr>
        <w:noBreakHyphen/>
        <w:t xml:space="preserve">intrusive examination, including — </w:t>
      </w:r>
    </w:p>
    <w:p>
      <w:pPr>
        <w:pStyle w:val="Indenti"/>
      </w:pPr>
      <w:r>
        <w:rPr>
          <w:color w:val="000000" w:themeColor="text1"/>
        </w:rPr>
        <w:tab/>
        <w:t>(i)</w:t>
      </w:r>
      <w:r>
        <w:rPr>
          <w:color w:val="000000" w:themeColor="text1"/>
        </w:rPr>
        <w:tab/>
        <w:t xml:space="preserve">a visual examination of the mouth, throat, nasal cavity, eyes or ears; or </w:t>
      </w:r>
    </w:p>
    <w:p>
      <w:pPr>
        <w:pStyle w:val="Indenti"/>
      </w:pPr>
      <w:r>
        <w:tab/>
        <w:t>(ii)</w:t>
      </w:r>
      <w:r>
        <w:tab/>
        <w:t>the measuring of an individual’s height, weight or vision;</w:t>
      </w:r>
    </w:p>
    <w:p>
      <w:pPr>
        <w:pStyle w:val="Indenta"/>
      </w:pPr>
      <w:r>
        <w:rPr>
          <w:color w:val="000000" w:themeColor="text1"/>
        </w:rPr>
        <w:tab/>
        <w:t>(h)</w:t>
      </w:r>
      <w:r>
        <w:rPr>
          <w:color w:val="000000" w:themeColor="text1"/>
        </w:rPr>
        <w:tab/>
        <w:t>observing an individual;</w:t>
      </w:r>
    </w:p>
    <w:p>
      <w:pPr>
        <w:pStyle w:val="Indenta"/>
      </w:pPr>
      <w:r>
        <w:tab/>
        <w:t>(i)</w:t>
      </w:r>
      <w:r>
        <w:tab/>
        <w:t>undertaking a survey, interview or focus group;</w:t>
      </w:r>
    </w:p>
    <w:p>
      <w:pPr>
        <w:pStyle w:val="Indenta"/>
      </w:pPr>
      <w:r>
        <w:tab/>
        <w:t>(j)</w:t>
      </w:r>
      <w:r>
        <w:tab/>
        <w:t xml:space="preserve">collecting, using or disclosing information, including personal information; </w:t>
      </w:r>
    </w:p>
    <w:p>
      <w:pPr>
        <w:pStyle w:val="Indenta"/>
      </w:pPr>
      <w:r>
        <w:tab/>
        <w:t>(k)</w:t>
      </w:r>
      <w:r>
        <w:tab/>
        <w:t>considering or evaluating samples or information taken under an activity listed in this subsection;</w:t>
      </w:r>
    </w:p>
    <w:p>
      <w:pPr>
        <w:pStyle w:val="Indenta"/>
      </w:pPr>
      <w:r>
        <w:lastRenderedPageBreak/>
        <w:tab/>
        <w:t>(l)</w:t>
      </w:r>
      <w:r>
        <w:tab/>
        <w:t>any other activity prescribed by the regulations to be medical research.</w:t>
      </w:r>
    </w:p>
    <w:p>
      <w:pPr>
        <w:pStyle w:val="Subsection"/>
      </w:pPr>
      <w:r>
        <w:rPr>
          <w:color w:val="000000" w:themeColor="text1"/>
        </w:rPr>
        <w:tab/>
        <w:t>(3)</w:t>
      </w:r>
      <w:r>
        <w:rPr>
          <w:color w:val="000000" w:themeColor="text1"/>
        </w:rPr>
        <w:tab/>
        <w:t xml:space="preserve">Despite subsections (1) and (2), </w:t>
      </w:r>
      <w:r>
        <w:rPr>
          <w:rStyle w:val="CharDefText"/>
          <w:color w:val="000000" w:themeColor="text1"/>
        </w:rPr>
        <w:t>medical research</w:t>
      </w:r>
      <w:r>
        <w:rPr>
          <w:color w:val="000000" w:themeColor="text1"/>
        </w:rPr>
        <w:t xml:space="preserve"> does not include — </w:t>
      </w:r>
    </w:p>
    <w:p>
      <w:pPr>
        <w:pStyle w:val="Indenta"/>
      </w:pPr>
      <w:r>
        <w:rPr>
          <w:color w:val="000000" w:themeColor="text1"/>
        </w:rPr>
        <w:tab/>
        <w:t>(a)</w:t>
      </w:r>
      <w:r>
        <w:rPr>
          <w:color w:val="000000" w:themeColor="text1"/>
        </w:rPr>
        <w:tab/>
        <w:t xml:space="preserve">research conducted about individuals, or their data or tissue, in the field of medicine or health that — </w:t>
      </w:r>
    </w:p>
    <w:p>
      <w:pPr>
        <w:pStyle w:val="Indenti"/>
      </w:pPr>
      <w:r>
        <w:rPr>
          <w:color w:val="000000" w:themeColor="text1"/>
        </w:rPr>
        <w:tab/>
        <w:t>(i)</w:t>
      </w:r>
      <w:r>
        <w:rPr>
          <w:color w:val="000000" w:themeColor="text1"/>
        </w:rPr>
        <w:tab/>
        <w:t>only involves analysing data about the individuals; and</w:t>
      </w:r>
    </w:p>
    <w:p>
      <w:pPr>
        <w:pStyle w:val="Indenti"/>
        <w:keepNext/>
      </w:pPr>
      <w:r>
        <w:tab/>
        <w:t>(ii)</w:t>
      </w:r>
      <w:r>
        <w:tab/>
        <w:t xml:space="preserve">does not result in the disclosure or publication of personal information; </w:t>
      </w:r>
    </w:p>
    <w:p>
      <w:pPr>
        <w:pStyle w:val="Indenta"/>
      </w:pPr>
      <w:r>
        <w:rPr>
          <w:color w:val="000000" w:themeColor="text1"/>
        </w:rPr>
        <w:tab/>
      </w:r>
      <w:r>
        <w:rPr>
          <w:color w:val="000000" w:themeColor="text1"/>
        </w:rPr>
        <w:tab/>
        <w:t>and</w:t>
      </w:r>
    </w:p>
    <w:p>
      <w:pPr>
        <w:pStyle w:val="Indenta"/>
      </w:pPr>
      <w:r>
        <w:tab/>
        <w:t>(b)</w:t>
      </w:r>
      <w:r>
        <w:tab/>
        <w:t>any other activity prescribed by the regulations not to be medical research.</w:t>
      </w:r>
    </w:p>
    <w:p>
      <w:pPr>
        <w:pStyle w:val="Footnotesection"/>
      </w:pPr>
      <w:r>
        <w:tab/>
        <w:t>[Section 3AA inserted: No. 14 of 2020 s. 5.]</w:t>
      </w:r>
    </w:p>
    <w:p>
      <w:pPr>
        <w:pStyle w:val="Heading5"/>
      </w:pPr>
      <w:bookmarkStart w:id="11" w:name="_Toc175575759"/>
      <w:r>
        <w:rPr>
          <w:rStyle w:val="CharSectno"/>
        </w:rPr>
        <w:t>3A</w:t>
      </w:r>
      <w:r>
        <w:t>.</w:t>
      </w:r>
      <w:r>
        <w:tab/>
        <w:t>Inherent jurisdiction of Supreme Court not affected</w:t>
      </w:r>
      <w:bookmarkEnd w:id="11"/>
    </w:p>
    <w:p>
      <w:pPr>
        <w:pStyle w:val="Subsection"/>
        <w:keepNext/>
      </w:pPr>
      <w:r>
        <w:tab/>
      </w:r>
      <w:r>
        <w:tab/>
        <w:t>Nothing in this Act affects the inherent jurisdiction of the Supreme Court.</w:t>
      </w:r>
    </w:p>
    <w:p>
      <w:pPr>
        <w:pStyle w:val="Footnotesection"/>
      </w:pPr>
      <w:r>
        <w:tab/>
        <w:t>[Section 3A inserted: No. 55 of 2004 s. 419.]</w:t>
      </w:r>
    </w:p>
    <w:p>
      <w:pPr>
        <w:pStyle w:val="Heading5"/>
      </w:pPr>
      <w:bookmarkStart w:id="12" w:name="_Toc175575760"/>
      <w:r>
        <w:rPr>
          <w:rStyle w:val="CharSectno"/>
        </w:rPr>
        <w:t>3B</w:t>
      </w:r>
      <w:r>
        <w:t>.</w:t>
      </w:r>
      <w:r>
        <w:tab/>
        <w:t>Act does not authorise decisions about voluntary assisted dying</w:t>
      </w:r>
      <w:bookmarkEnd w:id="12"/>
    </w:p>
    <w:p>
      <w:pPr>
        <w:pStyle w:val="Subsection"/>
      </w:pPr>
      <w:r>
        <w:tab/>
      </w:r>
      <w:r>
        <w:tab/>
        <w:t xml:space="preserve">Nothing in this Act authorises the making of a treatment decision, whether in an advance health directive or otherwise, in relation to voluntary assisted dying as defined in the </w:t>
      </w:r>
      <w:r>
        <w:rPr>
          <w:i/>
        </w:rPr>
        <w:t>Voluntary Assisted Dying Act 2019</w:t>
      </w:r>
      <w:r>
        <w:t xml:space="preserve"> section 5.</w:t>
      </w:r>
    </w:p>
    <w:p>
      <w:pPr>
        <w:pStyle w:val="Footnotesection"/>
      </w:pPr>
      <w:r>
        <w:tab/>
        <w:t>[Section 3B inserted: No. 27 of 2019 s. 170.]</w:t>
      </w:r>
    </w:p>
    <w:p>
      <w:pPr>
        <w:pStyle w:val="Heading2"/>
      </w:pPr>
      <w:bookmarkStart w:id="13" w:name="_Toc175234727"/>
      <w:bookmarkStart w:id="14" w:name="_Toc175235000"/>
      <w:bookmarkStart w:id="15" w:name="_Toc175235320"/>
      <w:bookmarkStart w:id="16" w:name="_Toc175575490"/>
      <w:bookmarkStart w:id="17" w:name="_Toc175575761"/>
      <w:r>
        <w:rPr>
          <w:rStyle w:val="CharPartNo"/>
        </w:rPr>
        <w:lastRenderedPageBreak/>
        <w:t>Part 2</w:t>
      </w:r>
      <w:r>
        <w:rPr>
          <w:rStyle w:val="CharDivNo"/>
        </w:rPr>
        <w:t> </w:t>
      </w:r>
      <w:r>
        <w:t>—</w:t>
      </w:r>
      <w:r>
        <w:rPr>
          <w:rStyle w:val="CharDivText"/>
        </w:rPr>
        <w:t> </w:t>
      </w:r>
      <w:r>
        <w:rPr>
          <w:rStyle w:val="CharPartText"/>
        </w:rPr>
        <w:t>Principles to be observed by State Administrative Tribunal</w:t>
      </w:r>
      <w:bookmarkEnd w:id="13"/>
      <w:bookmarkEnd w:id="14"/>
      <w:bookmarkEnd w:id="15"/>
      <w:bookmarkEnd w:id="16"/>
      <w:bookmarkEnd w:id="17"/>
    </w:p>
    <w:p>
      <w:pPr>
        <w:pStyle w:val="Footnotesection"/>
      </w:pPr>
      <w:r>
        <w:tab/>
        <w:t>[Heading amended: No. 55 of 2004 s. 466(1).]</w:t>
      </w:r>
    </w:p>
    <w:p>
      <w:pPr>
        <w:pStyle w:val="Heading5"/>
        <w:rPr>
          <w:snapToGrid w:val="0"/>
        </w:rPr>
      </w:pPr>
      <w:bookmarkStart w:id="18" w:name="_Toc175575762"/>
      <w:r>
        <w:rPr>
          <w:rStyle w:val="CharSectno"/>
        </w:rPr>
        <w:t>4</w:t>
      </w:r>
      <w:r>
        <w:rPr>
          <w:snapToGrid w:val="0"/>
        </w:rPr>
        <w:t>.</w:t>
      </w:r>
      <w:r>
        <w:rPr>
          <w:snapToGrid w:val="0"/>
        </w:rPr>
        <w:tab/>
        <w:t>Principles stated</w:t>
      </w:r>
      <w:bookmarkEnd w:id="18"/>
      <w:r>
        <w:rPr>
          <w:snapToGrid w:val="0"/>
        </w:rPr>
        <w:t xml:space="preserve"> </w:t>
      </w:r>
    </w:p>
    <w:p>
      <w:pPr>
        <w:pStyle w:val="Subsection"/>
        <w:rPr>
          <w:snapToGrid w:val="0"/>
        </w:rPr>
      </w:pPr>
      <w:r>
        <w:rPr>
          <w:snapToGrid w:val="0"/>
        </w:rPr>
        <w:tab/>
        <w:t>(1)</w:t>
      </w:r>
      <w:r>
        <w:rPr>
          <w:snapToGrid w:val="0"/>
        </w:rPr>
        <w:tab/>
        <w:t xml:space="preserve">In dealing with proceedings commenced under this Act the State Administrative Tribunal shall observe the principles set out in </w:t>
      </w:r>
      <w:r>
        <w:t>this section.</w:t>
      </w:r>
    </w:p>
    <w:p>
      <w:pPr>
        <w:pStyle w:val="Subsection"/>
        <w:rPr>
          <w:snapToGrid w:val="0"/>
        </w:rPr>
      </w:pPr>
      <w:r>
        <w:rPr>
          <w:snapToGrid w:val="0"/>
        </w:rPr>
        <w:tab/>
        <w:t>(2)</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(3)</w:t>
      </w:r>
      <w:r>
        <w:rPr>
          <w:snapToGrid w:val="0"/>
        </w:rPr>
        <w:tab/>
        <w:t>Every person shall be presumed to be capable of — </w:t>
      </w:r>
    </w:p>
    <w:p>
      <w:pPr>
        <w:pStyle w:val="Indenta"/>
        <w:rPr>
          <w:snapToGrid w:val="0"/>
        </w:rPr>
      </w:pPr>
      <w:r>
        <w:rPr>
          <w:snapToGrid w:val="0"/>
        </w:rPr>
        <w:tab/>
        <w:t>(a)</w:t>
      </w:r>
      <w:r>
        <w:rPr>
          <w:snapToGrid w:val="0"/>
        </w:rPr>
        <w:tab/>
        <w:t>looking after his own health and safety;</w:t>
      </w:r>
    </w:p>
    <w:p>
      <w:pPr>
        <w:pStyle w:val="Indenta"/>
        <w:rPr>
          <w:snapToGrid w:val="0"/>
        </w:rPr>
      </w:pPr>
      <w:r>
        <w:rPr>
          <w:snapToGrid w:val="0"/>
        </w:rPr>
        <w:tab/>
        <w:t>(b)</w:t>
      </w:r>
      <w:r>
        <w:rPr>
          <w:snapToGrid w:val="0"/>
        </w:rPr>
        <w:tab/>
        <w:t>making reasonable judgments in respect of matters relating to his person;</w:t>
      </w:r>
    </w:p>
    <w:p>
      <w:pPr>
        <w:pStyle w:val="Indenta"/>
        <w:rPr>
          <w:snapToGrid w:val="0"/>
        </w:rPr>
      </w:pPr>
      <w:r>
        <w:rPr>
          <w:snapToGrid w:val="0"/>
        </w:rPr>
        <w:tab/>
        <w:t>(c)</w:t>
      </w:r>
      <w:r>
        <w:rPr>
          <w:snapToGrid w:val="0"/>
        </w:rPr>
        <w:tab/>
        <w:t>managing his own affairs; and</w:t>
      </w:r>
    </w:p>
    <w:p>
      <w:pPr>
        <w:pStyle w:val="Indenta"/>
        <w:rPr>
          <w:snapToGrid w:val="0"/>
        </w:rPr>
      </w:pPr>
      <w:r>
        <w:rPr>
          <w:snapToGrid w:val="0"/>
        </w:rPr>
        <w:tab/>
        <w:t>(d)</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(4)</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(5)</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lastRenderedPageBreak/>
        <w:tab/>
        <w:t>(6)</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(7)</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No. 7 of 1996 s. 5; No. 55 of 2004 s. 420 and 466(1); No. 5 of 2008 s. 57(3); No. 19 of 2010 s. 51.] </w:t>
      </w:r>
    </w:p>
    <w:p>
      <w:pPr>
        <w:pStyle w:val="Heading2"/>
        <w:rPr>
          <w:snapToGrid/>
        </w:rPr>
      </w:pPr>
      <w:bookmarkStart w:id="19" w:name="_Toc175234729"/>
      <w:bookmarkStart w:id="20" w:name="_Toc175235002"/>
      <w:bookmarkStart w:id="21" w:name="_Toc175235322"/>
      <w:bookmarkStart w:id="22" w:name="_Toc175575492"/>
      <w:bookmarkStart w:id="23" w:name="_Toc175575763"/>
      <w:r>
        <w:rPr>
          <w:rStyle w:val="CharPartNo"/>
        </w:rPr>
        <w:lastRenderedPageBreak/>
        <w:t>Part 3</w:t>
      </w:r>
      <w:r>
        <w:rPr>
          <w:snapToGrid/>
        </w:rPr>
        <w:t xml:space="preserve"> — </w:t>
      </w:r>
      <w:r>
        <w:rPr>
          <w:rStyle w:val="CharPartText"/>
        </w:rPr>
        <w:t>The State Administrative Tribunal</w:t>
      </w:r>
      <w:bookmarkEnd w:id="19"/>
      <w:bookmarkEnd w:id="20"/>
      <w:bookmarkEnd w:id="21"/>
      <w:bookmarkEnd w:id="22"/>
      <w:bookmarkEnd w:id="23"/>
    </w:p>
    <w:p>
      <w:pPr>
        <w:pStyle w:val="Footnoteheading"/>
        <w:tabs>
          <w:tab w:val="left" w:pos="851"/>
        </w:tabs>
      </w:pPr>
      <w:r>
        <w:tab/>
        <w:t>[Heading inserted: No. 55 of 2004 s. 421.]</w:t>
      </w:r>
    </w:p>
    <w:p>
      <w:pPr>
        <w:pStyle w:val="Heading3"/>
        <w:rPr>
          <w:snapToGrid w:val="0"/>
        </w:rPr>
      </w:pPr>
      <w:bookmarkStart w:id="24" w:name="_Toc175234730"/>
      <w:bookmarkStart w:id="25" w:name="_Toc175235003"/>
      <w:bookmarkStart w:id="26" w:name="_Toc175235323"/>
      <w:bookmarkStart w:id="27" w:name="_Toc175575493"/>
      <w:bookmarkStart w:id="28" w:name="_Toc175575764"/>
      <w:r>
        <w:rPr>
          <w:rStyle w:val="CharDivNo"/>
        </w:rPr>
        <w:t>Division 1</w:t>
      </w:r>
      <w:r>
        <w:t xml:space="preserve"> — </w:t>
      </w:r>
      <w:r>
        <w:rPr>
          <w:rStyle w:val="CharDivText"/>
        </w:rPr>
        <w:t>Functions and proceedings</w:t>
      </w:r>
      <w:bookmarkEnd w:id="24"/>
      <w:bookmarkEnd w:id="25"/>
      <w:bookmarkEnd w:id="26"/>
      <w:bookmarkEnd w:id="27"/>
      <w:bookmarkEnd w:id="28"/>
    </w:p>
    <w:p>
      <w:pPr>
        <w:pStyle w:val="Footnoteheading"/>
        <w:tabs>
          <w:tab w:val="left" w:pos="851"/>
        </w:tabs>
      </w:pPr>
      <w:r>
        <w:tab/>
        <w:t>[Heading inserted: No. 55 of 2004 s. 421; amended: No. 5 of 2008 s. 56(2).]</w:t>
      </w:r>
    </w:p>
    <w:p>
      <w:pPr>
        <w:pStyle w:val="Ednotesection"/>
        <w:ind w:left="890" w:hanging="890"/>
      </w:pPr>
      <w:r>
        <w:t>[</w:t>
      </w:r>
      <w:r>
        <w:rPr>
          <w:b/>
          <w:bCs/>
        </w:rPr>
        <w:t>5.</w:t>
      </w:r>
      <w:r>
        <w:tab/>
        <w:t>Deleted: No. 5 of 2008 s. 56(1).]</w:t>
      </w:r>
    </w:p>
    <w:p>
      <w:pPr>
        <w:pStyle w:val="Ednotesection"/>
        <w:rPr>
          <w:b/>
        </w:rPr>
      </w:pPr>
      <w:r>
        <w:t>[</w:t>
      </w:r>
      <w:r>
        <w:rPr>
          <w:b/>
        </w:rPr>
        <w:t>6</w:t>
      </w:r>
      <w:r>
        <w:rPr>
          <w:b/>
        </w:rPr>
        <w:noBreakHyphen/>
        <w:t>12.</w:t>
      </w:r>
      <w:r>
        <w:rPr>
          <w:b/>
        </w:rPr>
        <w:tab/>
      </w:r>
      <w:r>
        <w:t>Deleted: No. 55 of 2004 s. 423.]</w:t>
      </w:r>
    </w:p>
    <w:p>
      <w:pPr>
        <w:pStyle w:val="Footnoteheading"/>
        <w:tabs>
          <w:tab w:val="left" w:pos="851"/>
        </w:tabs>
        <w:spacing w:before="240"/>
      </w:pPr>
      <w:r>
        <w:tab/>
        <w:t>[Heading deleted: No. 55 of 2004 s. 424.]</w:t>
      </w:r>
    </w:p>
    <w:p>
      <w:pPr>
        <w:pStyle w:val="Heading5"/>
        <w:spacing w:before="240"/>
        <w:rPr>
          <w:snapToGrid w:val="0"/>
        </w:rPr>
      </w:pPr>
      <w:bookmarkStart w:id="29" w:name="_Toc175575765"/>
      <w:r>
        <w:rPr>
          <w:rStyle w:val="CharSectno"/>
        </w:rPr>
        <w:t>13</w:t>
      </w:r>
      <w:r>
        <w:rPr>
          <w:snapToGrid w:val="0"/>
        </w:rPr>
        <w:t>.</w:t>
      </w:r>
      <w:r>
        <w:rPr>
          <w:snapToGrid w:val="0"/>
        </w:rPr>
        <w:tab/>
        <w:t>Jurisdiction of State Administrative Tribunal</w:t>
      </w:r>
      <w:bookmarkEnd w:id="29"/>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r>
        <w:rPr>
          <w:color w:val="000000" w:themeColor="text1"/>
        </w:rPr>
        <w:t xml:space="preserve"> and</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r>
        <w:rPr>
          <w:color w:val="000000" w:themeColor="text1"/>
        </w:rPr>
        <w:t xml:space="preserve"> and</w:t>
      </w:r>
    </w:p>
    <w:p>
      <w:pPr>
        <w:pStyle w:val="Indenta"/>
        <w:rPr>
          <w:snapToGrid w:val="0"/>
        </w:rPr>
      </w:pPr>
      <w:r>
        <w:rPr>
          <w:snapToGrid w:val="0"/>
        </w:rPr>
        <w:tab/>
        <w:t>(c)</w:t>
      </w:r>
      <w:r>
        <w:rPr>
          <w:snapToGrid w:val="0"/>
        </w:rPr>
        <w:tab/>
        <w:t>jurisdiction to make orders declaring the capacity of a represented person to vote at parliamentary elections;</w:t>
      </w:r>
      <w:r>
        <w:rPr>
          <w:color w:val="000000" w:themeColor="text1"/>
        </w:rPr>
        <w:t xml:space="preserve"> and</w:t>
      </w:r>
    </w:p>
    <w:p>
      <w:pPr>
        <w:pStyle w:val="Indenta"/>
        <w:rPr>
          <w:snapToGrid w:val="0"/>
        </w:rPr>
      </w:pPr>
      <w:r>
        <w:rPr>
          <w:snapToGrid w:val="0"/>
        </w:rPr>
        <w:tab/>
        <w:t>(d)</w:t>
      </w:r>
      <w:r>
        <w:rPr>
          <w:snapToGrid w:val="0"/>
        </w:rPr>
        <w:tab/>
        <w:t>jurisdiction to review guardianship and administration orders and to make orders consequential thereon;</w:t>
      </w:r>
      <w:r>
        <w:rPr>
          <w:color w:val="000000" w:themeColor="text1"/>
        </w:rPr>
        <w:t xml:space="preserve"> and</w:t>
      </w:r>
    </w:p>
    <w:p>
      <w:pPr>
        <w:pStyle w:val="Indenta"/>
        <w:rPr>
          <w:snapToGrid w:val="0"/>
        </w:rPr>
      </w:pPr>
      <w:r>
        <w:rPr>
          <w:snapToGrid w:val="0"/>
        </w:rPr>
        <w:tab/>
        <w:t>(e)</w:t>
      </w:r>
      <w:r>
        <w:rPr>
          <w:snapToGrid w:val="0"/>
        </w:rPr>
        <w:tab/>
        <w:t xml:space="preserve">jurisdiction to give or withhold consent to the sterilisation of persons in respect of whom guardianship orders are in force; </w:t>
      </w:r>
      <w:r>
        <w:rPr>
          <w:color w:val="000000" w:themeColor="text1"/>
        </w:rPr>
        <w:t>and</w:t>
      </w:r>
    </w:p>
    <w:p>
      <w:pPr>
        <w:pStyle w:val="Indenta"/>
      </w:pPr>
      <w:r>
        <w:tab/>
        <w:t>(ea)</w:t>
      </w:r>
      <w:r>
        <w:tab/>
        <w:t>jurisdiction to consent or refuse consent to the performance of abortion on persons who are unable to make reasonable judgments in respect of whether abortions should be performed on them; and</w:t>
      </w:r>
    </w:p>
    <w:p>
      <w:pPr>
        <w:pStyle w:val="Indenta"/>
        <w:rPr>
          <w:snapToGrid w:val="0"/>
        </w:rPr>
      </w:pPr>
      <w:r>
        <w:rPr>
          <w:snapToGrid w:val="0"/>
        </w:rPr>
        <w:lastRenderedPageBreak/>
        <w:tab/>
        <w:t>(f)</w:t>
      </w:r>
      <w:r>
        <w:rPr>
          <w:snapToGrid w:val="0"/>
        </w:rPr>
        <w:tab/>
        <w:t xml:space="preserve">certain jurisdiction in relation to powers of attorney that operate after the donor has ceased to have legal capacity; and </w:t>
      </w:r>
    </w:p>
    <w:p>
      <w:pPr>
        <w:pStyle w:val="Indenta"/>
        <w:rPr>
          <w:snapToGrid w:val="0"/>
        </w:rPr>
      </w:pPr>
      <w:r>
        <w:rPr>
          <w:snapToGrid w:val="0"/>
        </w:rPr>
        <w:tab/>
        <w:t>(g)</w:t>
      </w:r>
      <w:r>
        <w:rPr>
          <w:snapToGrid w:val="0"/>
        </w:rPr>
        <w:tab/>
        <w:t xml:space="preserve">any other jurisdiction vested in it by this Act or any other Act in relation to matters of guardianship and </w:t>
      </w:r>
      <w:r>
        <w:rPr>
          <w:color w:val="000000" w:themeColor="text1"/>
        </w:rPr>
        <w:t>administration; and</w:t>
      </w:r>
      <w:r>
        <w:rPr>
          <w:snapToGrid w:val="0"/>
        </w:rPr>
        <w:t xml:space="preserve"> </w:t>
      </w:r>
    </w:p>
    <w:p>
      <w:pPr>
        <w:pStyle w:val="Indenta"/>
      </w:pPr>
      <w:r>
        <w:rPr>
          <w:color w:val="000000" w:themeColor="text1"/>
        </w:rPr>
        <w:tab/>
        <w:t>(h)</w:t>
      </w:r>
      <w:r>
        <w:rPr>
          <w:color w:val="000000" w:themeColor="text1"/>
        </w:rPr>
        <w:tab/>
        <w:t xml:space="preserve">jurisdiction otherwise conferred on the Tribunal under this Act. </w:t>
      </w:r>
    </w:p>
    <w:p>
      <w:pPr>
        <w:pStyle w:val="Footnotesection"/>
        <w:keepLines w:val="0"/>
        <w:ind w:left="890" w:hanging="890"/>
      </w:pPr>
      <w:r>
        <w:tab/>
        <w:t xml:space="preserve">[Section 13 amended: No. 7 of 1996 s. 10; No. 55 of 2004 s. 425; No. 14 of 2020 s. 6; No. 20 of 2023 s. 27.] </w:t>
      </w:r>
    </w:p>
    <w:p>
      <w:pPr>
        <w:pStyle w:val="Ednotesection"/>
      </w:pPr>
      <w:r>
        <w:t>[</w:t>
      </w:r>
      <w:r>
        <w:rPr>
          <w:b/>
        </w:rPr>
        <w:t>14</w:t>
      </w:r>
      <w:r>
        <w:rPr>
          <w:b/>
        </w:rPr>
        <w:noBreakHyphen/>
        <w:t>15A.</w:t>
      </w:r>
      <w:r>
        <w:tab/>
        <w:t>Deleted: No. 55 of 2004 s. 426.]</w:t>
      </w:r>
    </w:p>
    <w:p>
      <w:pPr>
        <w:pStyle w:val="Heading5"/>
        <w:rPr>
          <w:snapToGrid w:val="0"/>
        </w:rPr>
      </w:pPr>
      <w:bookmarkStart w:id="30" w:name="_Toc175575766"/>
      <w:r>
        <w:rPr>
          <w:rStyle w:val="CharSectno"/>
        </w:rPr>
        <w:t>16</w:t>
      </w:r>
      <w:r>
        <w:rPr>
          <w:snapToGrid w:val="0"/>
        </w:rPr>
        <w:t>.</w:t>
      </w:r>
      <w:r>
        <w:rPr>
          <w:snapToGrid w:val="0"/>
        </w:rPr>
        <w:tab/>
        <w:t>Costs</w:t>
      </w:r>
      <w:bookmarkEnd w:id="30"/>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deleted]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lastRenderedPageBreak/>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No. 16 of 1992 s. 18; No. 55 of 2004 s. 427 and 466.] </w:t>
      </w:r>
    </w:p>
    <w:p>
      <w:pPr>
        <w:pStyle w:val="Heading5"/>
        <w:rPr>
          <w:snapToGrid w:val="0"/>
        </w:rPr>
      </w:pPr>
      <w:bookmarkStart w:id="31" w:name="_Toc175575767"/>
      <w:r>
        <w:rPr>
          <w:rStyle w:val="CharSectno"/>
        </w:rPr>
        <w:t>17</w:t>
      </w:r>
      <w:r>
        <w:rPr>
          <w:snapToGrid w:val="0"/>
        </w:rPr>
        <w:t>.</w:t>
      </w:r>
      <w:r>
        <w:rPr>
          <w:snapToGrid w:val="0"/>
        </w:rPr>
        <w:tab/>
        <w:t>Further provisions as to proceedings</w:t>
      </w:r>
      <w:bookmarkEnd w:id="31"/>
      <w:r>
        <w:rPr>
          <w:snapToGrid w:val="0"/>
        </w:rPr>
        <w:t xml:space="preserve"> </w:t>
      </w:r>
    </w:p>
    <w:p>
      <w:pPr>
        <w:pStyle w:val="Subsection"/>
        <w:rPr>
          <w:snapToGrid w:val="0"/>
        </w:rPr>
      </w:pPr>
      <w:r>
        <w:rPr>
          <w:snapToGrid w:val="0"/>
        </w:rPr>
        <w:tab/>
        <w:t>(1)</w:t>
      </w:r>
      <w:r>
        <w:rPr>
          <w:snapToGrid w:val="0"/>
        </w:rPr>
        <w:tab/>
        <w:t xml:space="preserve">The provisions of </w:t>
      </w:r>
      <w:r>
        <w:rPr>
          <w:rFonts w:eastAsia="MS Mincho"/>
        </w:rPr>
        <w:t xml:space="preserve">Schedule 1 </w:t>
      </w:r>
      <w:r>
        <w:rPr>
          <w:snapToGrid w:val="0"/>
        </w:rPr>
        <w:t>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No. 55 of 2004 s. 428; No. 19 of 2010 s. 18(2).]</w:t>
      </w:r>
    </w:p>
    <w:p>
      <w:pPr>
        <w:pStyle w:val="Heading3"/>
        <w:rPr>
          <w:snapToGrid w:val="0"/>
        </w:rPr>
      </w:pPr>
      <w:bookmarkStart w:id="32" w:name="_Toc175234734"/>
      <w:bookmarkStart w:id="33" w:name="_Toc175235007"/>
      <w:bookmarkStart w:id="34" w:name="_Toc175235327"/>
      <w:bookmarkStart w:id="35" w:name="_Toc175575497"/>
      <w:bookmarkStart w:id="36" w:name="_Toc175575768"/>
      <w:r>
        <w:rPr>
          <w:rStyle w:val="CharDivNo"/>
        </w:rPr>
        <w:t>Division 2A</w:t>
      </w:r>
      <w:r>
        <w:rPr>
          <w:snapToGrid w:val="0"/>
        </w:rPr>
        <w:t> — </w:t>
      </w:r>
      <w:r>
        <w:rPr>
          <w:rStyle w:val="CharDivText"/>
        </w:rPr>
        <w:t>Review of determination where State Administrative Tribunal comprises one member</w:t>
      </w:r>
      <w:bookmarkEnd w:id="32"/>
      <w:bookmarkEnd w:id="33"/>
      <w:bookmarkEnd w:id="34"/>
      <w:bookmarkEnd w:id="35"/>
      <w:bookmarkEnd w:id="36"/>
      <w:r>
        <w:rPr>
          <w:rStyle w:val="CharDivText"/>
        </w:rPr>
        <w:t xml:space="preserve"> </w:t>
      </w:r>
    </w:p>
    <w:p>
      <w:pPr>
        <w:pStyle w:val="Footnoteheading"/>
        <w:rPr>
          <w:snapToGrid w:val="0"/>
        </w:rPr>
      </w:pPr>
      <w:r>
        <w:rPr>
          <w:snapToGrid w:val="0"/>
        </w:rPr>
        <w:tab/>
        <w:t xml:space="preserve">[Heading inserted: No. 16 of 1992 s. 8; amended: No. 55 of 2004 s. 466(1).] </w:t>
      </w:r>
    </w:p>
    <w:p>
      <w:pPr>
        <w:pStyle w:val="Heading5"/>
        <w:rPr>
          <w:snapToGrid w:val="0"/>
        </w:rPr>
      </w:pPr>
      <w:bookmarkStart w:id="37" w:name="_Toc175575769"/>
      <w:r>
        <w:rPr>
          <w:rStyle w:val="CharSectno"/>
        </w:rPr>
        <w:t>17A</w:t>
      </w:r>
      <w:r>
        <w:rPr>
          <w:snapToGrid w:val="0"/>
        </w:rPr>
        <w:t>.</w:t>
      </w:r>
      <w:r>
        <w:rPr>
          <w:snapToGrid w:val="0"/>
        </w:rPr>
        <w:tab/>
        <w:t>Review</w:t>
      </w:r>
      <w:bookmarkEnd w:id="37"/>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keepNext/>
        <w:keepLines/>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No. 16 of 1992 s. 8; amended: No. 7 of 1996 s. 37; No. 70 of 2000 s. 7; No. 55 of 2004 s. 429 and 466.] </w:t>
      </w:r>
    </w:p>
    <w:p>
      <w:pPr>
        <w:pStyle w:val="Heading5"/>
        <w:rPr>
          <w:snapToGrid w:val="0"/>
        </w:rPr>
      </w:pPr>
      <w:bookmarkStart w:id="38" w:name="_Toc175575770"/>
      <w:r>
        <w:rPr>
          <w:rStyle w:val="CharSectno"/>
        </w:rPr>
        <w:lastRenderedPageBreak/>
        <w:t>17B</w:t>
      </w:r>
      <w:r>
        <w:rPr>
          <w:snapToGrid w:val="0"/>
        </w:rPr>
        <w:t>.</w:t>
      </w:r>
      <w:r>
        <w:rPr>
          <w:snapToGrid w:val="0"/>
        </w:rPr>
        <w:tab/>
        <w:t>Executive officer to give notice of review</w:t>
      </w:r>
      <w:bookmarkEnd w:id="38"/>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w:t>
      </w:r>
      <w:r>
        <w:rPr>
          <w:rFonts w:eastAsia="MS Mincho"/>
        </w:rPr>
        <w:t>Schedule 1</w:t>
      </w:r>
      <w:r>
        <w:rPr>
          <w:snapToGrid w:val="0"/>
        </w:rPr>
        <w:t xml:space="preserve"> of this Act and sections 39, 87 and 88 of the </w:t>
      </w:r>
      <w:r>
        <w:rPr>
          <w:i/>
          <w:snapToGrid w:val="0"/>
        </w:rPr>
        <w:t xml:space="preserve">State Administrative Tribunal Act 2004 </w:t>
      </w:r>
      <w:r>
        <w:rPr>
          <w:snapToGrid w:val="0"/>
        </w:rPr>
        <w:t>as they affect that person.</w:t>
      </w:r>
    </w:p>
    <w:p>
      <w:pPr>
        <w:pStyle w:val="Subsection"/>
        <w:keepNext/>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keepNext/>
        <w:rPr>
          <w:snapToGrid w:val="0"/>
        </w:rPr>
      </w:pPr>
      <w:r>
        <w:rPr>
          <w:snapToGrid w:val="0"/>
        </w:rPr>
        <w:tab/>
        <w:t>(b)</w:t>
      </w:r>
      <w:r>
        <w:rPr>
          <w:snapToGrid w:val="0"/>
        </w:rPr>
        <w:tab/>
        <w:t xml:space="preserve">dispense with the requirements for notice to be given to all or any of the persons referred to in that </w:t>
      </w:r>
      <w:r>
        <w:rPr>
          <w:snapToGrid w:val="0"/>
        </w:rPr>
        <w:lastRenderedPageBreak/>
        <w:t>subsection other than the represented person and the Public Advocate.</w:t>
      </w:r>
    </w:p>
    <w:p>
      <w:pPr>
        <w:pStyle w:val="Footnotesection"/>
        <w:keepLines w:val="0"/>
        <w:spacing w:before="80"/>
        <w:ind w:left="890" w:hanging="890"/>
      </w:pPr>
      <w:r>
        <w:tab/>
        <w:t xml:space="preserve">[Section 17B inserted: No. 16 of 1992 s. 8; amended: No. 7 of 1996 s. 36; No. 55 of 2004 s. 430 and 466(1); No. 19 of 2010 s. 18(2).] </w:t>
      </w:r>
    </w:p>
    <w:p>
      <w:pPr>
        <w:pStyle w:val="Ednotesection"/>
      </w:pPr>
      <w:r>
        <w:t>[</w:t>
      </w:r>
      <w:r>
        <w:rPr>
          <w:b/>
        </w:rPr>
        <w:t>17C, 17D.</w:t>
      </w:r>
      <w:r>
        <w:rPr>
          <w:b/>
        </w:rPr>
        <w:tab/>
      </w:r>
      <w:r>
        <w:t>Deleted: No. 55 of 2004 s. 431.]</w:t>
      </w:r>
    </w:p>
    <w:p>
      <w:pPr>
        <w:pStyle w:val="Heading3"/>
        <w:rPr>
          <w:snapToGrid w:val="0"/>
        </w:rPr>
      </w:pPr>
      <w:bookmarkStart w:id="39" w:name="_Toc175234737"/>
      <w:bookmarkStart w:id="40" w:name="_Toc175235010"/>
      <w:bookmarkStart w:id="41" w:name="_Toc175235330"/>
      <w:bookmarkStart w:id="42" w:name="_Toc175575500"/>
      <w:bookmarkStart w:id="43" w:name="_Toc175575771"/>
      <w:r>
        <w:rPr>
          <w:rStyle w:val="CharDivNo"/>
        </w:rPr>
        <w:t>Division 3</w:t>
      </w:r>
      <w:r>
        <w:rPr>
          <w:snapToGrid w:val="0"/>
        </w:rPr>
        <w:t> — </w:t>
      </w:r>
      <w:r>
        <w:rPr>
          <w:rStyle w:val="CharDivText"/>
        </w:rPr>
        <w:t>Appeals</w:t>
      </w:r>
      <w:bookmarkEnd w:id="39"/>
      <w:bookmarkEnd w:id="40"/>
      <w:bookmarkEnd w:id="41"/>
      <w:bookmarkEnd w:id="42"/>
      <w:bookmarkEnd w:id="43"/>
      <w:r>
        <w:rPr>
          <w:rStyle w:val="CharDivText"/>
        </w:rPr>
        <w:t xml:space="preserve"> </w:t>
      </w:r>
    </w:p>
    <w:p>
      <w:pPr>
        <w:pStyle w:val="Heading4"/>
      </w:pPr>
      <w:bookmarkStart w:id="44" w:name="_Toc175234738"/>
      <w:bookmarkStart w:id="45" w:name="_Toc175235011"/>
      <w:bookmarkStart w:id="46" w:name="_Toc175235331"/>
      <w:bookmarkStart w:id="47" w:name="_Toc175575501"/>
      <w:bookmarkStart w:id="48" w:name="_Toc175575772"/>
      <w:r>
        <w:t>Subdivision 1 — Preliminary</w:t>
      </w:r>
      <w:bookmarkEnd w:id="44"/>
      <w:bookmarkEnd w:id="45"/>
      <w:bookmarkEnd w:id="46"/>
      <w:bookmarkEnd w:id="47"/>
      <w:bookmarkEnd w:id="48"/>
    </w:p>
    <w:p>
      <w:pPr>
        <w:pStyle w:val="Footnoteheading"/>
      </w:pPr>
      <w:r>
        <w:tab/>
        <w:t>[Heading inserted: No. 20 of 2023 s. 28.]</w:t>
      </w:r>
    </w:p>
    <w:p>
      <w:pPr>
        <w:pStyle w:val="Heading5"/>
        <w:keepNext w:val="0"/>
        <w:keepLines w:val="0"/>
        <w:rPr>
          <w:snapToGrid w:val="0"/>
        </w:rPr>
      </w:pPr>
      <w:bookmarkStart w:id="49" w:name="_Toc175575773"/>
      <w:r>
        <w:rPr>
          <w:rStyle w:val="CharSectno"/>
        </w:rPr>
        <w:t>18</w:t>
      </w:r>
      <w:r>
        <w:rPr>
          <w:snapToGrid w:val="0"/>
        </w:rPr>
        <w:t>.</w:t>
      </w:r>
      <w:r>
        <w:rPr>
          <w:snapToGrid w:val="0"/>
        </w:rPr>
        <w:tab/>
        <w:t>Term used: Court</w:t>
      </w:r>
      <w:bookmarkEnd w:id="49"/>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No. 7 of 1996 s. 13; No. 45 of 2004 s. 37; No. 55 of 2004 s. 466.] </w:t>
      </w:r>
    </w:p>
    <w:p>
      <w:pPr>
        <w:pStyle w:val="Heading5"/>
      </w:pPr>
      <w:bookmarkStart w:id="50" w:name="_Toc175575774"/>
      <w:r>
        <w:rPr>
          <w:rStyle w:val="CharSectno"/>
        </w:rPr>
        <w:t>18A</w:t>
      </w:r>
      <w:r>
        <w:t>.</w:t>
      </w:r>
      <w:r>
        <w:tab/>
        <w:t>Application of Division</w:t>
      </w:r>
      <w:bookmarkEnd w:id="50"/>
    </w:p>
    <w:p>
      <w:pPr>
        <w:pStyle w:val="Subsection"/>
      </w:pPr>
      <w:r>
        <w:tab/>
        <w:t>(1)</w:t>
      </w:r>
      <w:r>
        <w:tab/>
        <w:t>Subdivision 2 provides for appeals, by leave as provided in that Subdivision, from determinations of the State Administrative Tribunal generally.</w:t>
      </w:r>
    </w:p>
    <w:p>
      <w:pPr>
        <w:pStyle w:val="Subsection"/>
      </w:pPr>
      <w:r>
        <w:tab/>
        <w:t>(2)</w:t>
      </w:r>
      <w:r>
        <w:tab/>
        <w:t>Subdivision 3 provides for appeals from decisions of the State Administrative Tribunal under section 110ZND to consent or refuse consent to the performance of an abortion on a person.</w:t>
      </w:r>
    </w:p>
    <w:p>
      <w:pPr>
        <w:pStyle w:val="Subsection"/>
      </w:pPr>
      <w:r>
        <w:lastRenderedPageBreak/>
        <w:tab/>
        <w:t>(3)</w:t>
      </w:r>
      <w:r>
        <w:tab/>
        <w:t>There is no appeal from a determination of the State Administrative Tribunal other than as provided under this Division.</w:t>
      </w:r>
    </w:p>
    <w:p>
      <w:pPr>
        <w:pStyle w:val="Footnotesection"/>
      </w:pPr>
      <w:r>
        <w:tab/>
        <w:t xml:space="preserve">[Section 18A inserted: No. 20 of 2023 s. 29.] </w:t>
      </w:r>
    </w:p>
    <w:p>
      <w:pPr>
        <w:pStyle w:val="Heading4"/>
      </w:pPr>
      <w:bookmarkStart w:id="51" w:name="_Toc175234741"/>
      <w:bookmarkStart w:id="52" w:name="_Toc175235014"/>
      <w:bookmarkStart w:id="53" w:name="_Toc175235334"/>
      <w:bookmarkStart w:id="54" w:name="_Toc175575504"/>
      <w:bookmarkStart w:id="55" w:name="_Toc175575775"/>
      <w:r>
        <w:t>Subdivision 2 — Appeals by leave from determinations of State Administrative Tribunal generally</w:t>
      </w:r>
      <w:bookmarkEnd w:id="51"/>
      <w:bookmarkEnd w:id="52"/>
      <w:bookmarkEnd w:id="53"/>
      <w:bookmarkEnd w:id="54"/>
      <w:bookmarkEnd w:id="55"/>
    </w:p>
    <w:p>
      <w:pPr>
        <w:pStyle w:val="Footnoteheading"/>
      </w:pPr>
      <w:r>
        <w:tab/>
        <w:t>[Heading inserted: No. 20 of 2023 s. 30.]</w:t>
      </w:r>
    </w:p>
    <w:p>
      <w:pPr>
        <w:pStyle w:val="Heading5"/>
        <w:spacing w:before="180"/>
        <w:rPr>
          <w:snapToGrid w:val="0"/>
        </w:rPr>
      </w:pPr>
      <w:bookmarkStart w:id="56" w:name="_Toc175575776"/>
      <w:r>
        <w:rPr>
          <w:rStyle w:val="CharSectno"/>
        </w:rPr>
        <w:t>19</w:t>
      </w:r>
      <w:r>
        <w:rPr>
          <w:snapToGrid w:val="0"/>
        </w:rPr>
        <w:t>.</w:t>
      </w:r>
      <w:r>
        <w:rPr>
          <w:snapToGrid w:val="0"/>
        </w:rPr>
        <w:tab/>
        <w:t>Right of appeal by leave</w:t>
      </w:r>
      <w:bookmarkEnd w:id="56"/>
      <w:r>
        <w:rPr>
          <w:snapToGrid w:val="0"/>
        </w:rPr>
        <w:t xml:space="preserve"> </w:t>
      </w:r>
    </w:p>
    <w:p>
      <w:pPr>
        <w:pStyle w:val="Subsection"/>
        <w:rPr>
          <w:snapToGrid w:val="0"/>
        </w:rPr>
      </w:pPr>
      <w:r>
        <w:rPr>
          <w:snapToGrid w:val="0"/>
        </w:rPr>
        <w:tab/>
      </w:r>
      <w:r>
        <w:rPr>
          <w:snapToGrid w:val="0"/>
        </w:rPr>
        <w:tab/>
        <w:t xml:space="preserve">By leave as provided in this </w:t>
      </w:r>
      <w:r>
        <w:t xml:space="preserve">Subdivision, </w:t>
      </w:r>
      <w:r>
        <w:rPr>
          <w:snapToGrid w:val="0"/>
        </w:rPr>
        <w:t>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keepNext/>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w:t>
      </w:r>
      <w:r>
        <w:t>President.</w:t>
      </w:r>
    </w:p>
    <w:p>
      <w:pPr>
        <w:pStyle w:val="Footnotesection"/>
      </w:pPr>
      <w:r>
        <w:tab/>
        <w:t xml:space="preserve">[Section 19 inserted: No. 7 of 1996 s. 14; amended: No. 45 of 2004 s. 37; No. 55 of 2004 s. 432 and 466(1); No. 20 of 2023 s. 31.] </w:t>
      </w:r>
    </w:p>
    <w:p>
      <w:pPr>
        <w:pStyle w:val="Heading5"/>
        <w:spacing w:before="180"/>
        <w:rPr>
          <w:snapToGrid w:val="0"/>
        </w:rPr>
      </w:pPr>
      <w:bookmarkStart w:id="57" w:name="_Toc175575777"/>
      <w:r>
        <w:rPr>
          <w:rStyle w:val="CharSectno"/>
        </w:rPr>
        <w:t>20</w:t>
      </w:r>
      <w:r>
        <w:rPr>
          <w:snapToGrid w:val="0"/>
        </w:rPr>
        <w:t>.</w:t>
      </w:r>
      <w:r>
        <w:rPr>
          <w:snapToGrid w:val="0"/>
        </w:rPr>
        <w:tab/>
        <w:t>Application for leave</w:t>
      </w:r>
      <w:bookmarkEnd w:id="57"/>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lastRenderedPageBreak/>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No. 7 of 1996 s. 15.] </w:t>
      </w:r>
    </w:p>
    <w:p>
      <w:pPr>
        <w:pStyle w:val="Heading5"/>
        <w:spacing w:before="180"/>
        <w:rPr>
          <w:snapToGrid w:val="0"/>
        </w:rPr>
      </w:pPr>
      <w:bookmarkStart w:id="58" w:name="_Toc175575778"/>
      <w:r>
        <w:rPr>
          <w:rStyle w:val="CharSectno"/>
        </w:rPr>
        <w:t>21</w:t>
      </w:r>
      <w:r>
        <w:rPr>
          <w:snapToGrid w:val="0"/>
        </w:rPr>
        <w:t>.</w:t>
      </w:r>
      <w:r>
        <w:rPr>
          <w:snapToGrid w:val="0"/>
        </w:rPr>
        <w:tab/>
        <w:t>Grounds</w:t>
      </w:r>
      <w:bookmarkEnd w:id="58"/>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keepNext/>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No. 55 of 2004 s. 466(1).]</w:t>
      </w:r>
    </w:p>
    <w:p>
      <w:pPr>
        <w:pStyle w:val="Heading5"/>
        <w:spacing w:before="180"/>
        <w:rPr>
          <w:snapToGrid w:val="0"/>
        </w:rPr>
      </w:pPr>
      <w:bookmarkStart w:id="59" w:name="_Toc175575779"/>
      <w:r>
        <w:rPr>
          <w:rStyle w:val="CharSectno"/>
        </w:rPr>
        <w:t>22</w:t>
      </w:r>
      <w:r>
        <w:rPr>
          <w:snapToGrid w:val="0"/>
        </w:rPr>
        <w:t>.</w:t>
      </w:r>
      <w:r>
        <w:rPr>
          <w:snapToGrid w:val="0"/>
        </w:rPr>
        <w:tab/>
        <w:t>Grant or refusal of leave</w:t>
      </w:r>
      <w:bookmarkEnd w:id="59"/>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60" w:name="_Toc175575780"/>
      <w:r>
        <w:rPr>
          <w:rStyle w:val="CharSectno"/>
        </w:rPr>
        <w:lastRenderedPageBreak/>
        <w:t>23</w:t>
      </w:r>
      <w:r>
        <w:rPr>
          <w:snapToGrid w:val="0"/>
        </w:rPr>
        <w:t>.</w:t>
      </w:r>
      <w:r>
        <w:rPr>
          <w:snapToGrid w:val="0"/>
        </w:rPr>
        <w:tab/>
        <w:t>Ancillary orders and directions</w:t>
      </w:r>
      <w:bookmarkEnd w:id="60"/>
      <w:r>
        <w:rPr>
          <w:snapToGrid w:val="0"/>
        </w:rPr>
        <w:t xml:space="preserve"> </w:t>
      </w:r>
    </w:p>
    <w:p>
      <w:pPr>
        <w:pStyle w:val="Subsection"/>
        <w:keepNext/>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61" w:name="_Toc175575781"/>
      <w:r>
        <w:rPr>
          <w:rStyle w:val="CharSectno"/>
        </w:rPr>
        <w:t>24</w:t>
      </w:r>
      <w:r>
        <w:rPr>
          <w:snapToGrid w:val="0"/>
        </w:rPr>
        <w:t>.</w:t>
      </w:r>
      <w:r>
        <w:rPr>
          <w:snapToGrid w:val="0"/>
        </w:rPr>
        <w:tab/>
        <w:t>Reference of application to Court</w:t>
      </w:r>
      <w:bookmarkEnd w:id="61"/>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No. 16 of 1992 s. 10; amended: No. 55 of 2004 s. 466.] </w:t>
      </w:r>
    </w:p>
    <w:p>
      <w:pPr>
        <w:pStyle w:val="Heading5"/>
        <w:rPr>
          <w:snapToGrid w:val="0"/>
        </w:rPr>
      </w:pPr>
      <w:bookmarkStart w:id="62" w:name="_Toc175575782"/>
      <w:r>
        <w:rPr>
          <w:rStyle w:val="CharSectno"/>
        </w:rPr>
        <w:t>25</w:t>
      </w:r>
      <w:r>
        <w:rPr>
          <w:snapToGrid w:val="0"/>
        </w:rPr>
        <w:t>.</w:t>
      </w:r>
      <w:r>
        <w:rPr>
          <w:snapToGrid w:val="0"/>
        </w:rPr>
        <w:tab/>
        <w:t>Application and appeal may be heard together</w:t>
      </w:r>
      <w:bookmarkEnd w:id="62"/>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4"/>
      </w:pPr>
      <w:bookmarkStart w:id="63" w:name="_Toc175234749"/>
      <w:bookmarkStart w:id="64" w:name="_Toc175235022"/>
      <w:bookmarkStart w:id="65" w:name="_Toc175235342"/>
      <w:bookmarkStart w:id="66" w:name="_Toc175575512"/>
      <w:bookmarkStart w:id="67" w:name="_Toc175575783"/>
      <w:r>
        <w:lastRenderedPageBreak/>
        <w:t>Subdivision 3 — Appeals from decisions relating to consent to performance of abortion</w:t>
      </w:r>
      <w:bookmarkEnd w:id="63"/>
      <w:bookmarkEnd w:id="64"/>
      <w:bookmarkEnd w:id="65"/>
      <w:bookmarkEnd w:id="66"/>
      <w:bookmarkEnd w:id="67"/>
    </w:p>
    <w:p>
      <w:pPr>
        <w:pStyle w:val="Footnoteheading"/>
      </w:pPr>
      <w:r>
        <w:tab/>
        <w:t>[Heading inserted: No. 20 of 2023 s. 32.]</w:t>
      </w:r>
    </w:p>
    <w:p>
      <w:pPr>
        <w:pStyle w:val="Heading5"/>
      </w:pPr>
      <w:bookmarkStart w:id="68" w:name="_Toc175575784"/>
      <w:r>
        <w:rPr>
          <w:rStyle w:val="CharSectno"/>
        </w:rPr>
        <w:t>25A</w:t>
      </w:r>
      <w:r>
        <w:t>.</w:t>
      </w:r>
      <w:r>
        <w:tab/>
        <w:t>Appeal from Tribunal’s decision relating to consent to performance of abortion</w:t>
      </w:r>
      <w:bookmarkEnd w:id="68"/>
      <w:r>
        <w:t xml:space="preserve"> </w:t>
      </w:r>
    </w:p>
    <w:p>
      <w:pPr>
        <w:pStyle w:val="Subsection"/>
      </w:pPr>
      <w:r>
        <w:tab/>
        <w:t>(1)</w:t>
      </w:r>
      <w:r>
        <w:tab/>
        <w:t>A party to a proceeding for a decision of the State Administrative Tribunal under section 110ZND to consent or refuse consent to the performance of an abortion on a person may appeal from the decision.</w:t>
      </w:r>
    </w:p>
    <w:p>
      <w:pPr>
        <w:pStyle w:val="Subsection"/>
      </w:pPr>
      <w:r>
        <w:tab/>
        <w:t>(2)</w:t>
      </w:r>
      <w:r>
        <w:tab/>
        <w:t>The appeal lies to the Court of Appeal.</w:t>
      </w:r>
    </w:p>
    <w:p>
      <w:pPr>
        <w:pStyle w:val="Subsection"/>
      </w:pPr>
      <w:r>
        <w:tab/>
        <w:t>(3)</w:t>
      </w:r>
      <w:r>
        <w:tab/>
        <w:t xml:space="preserve">The appeal must be instituted — </w:t>
      </w:r>
    </w:p>
    <w:p>
      <w:pPr>
        <w:pStyle w:val="Indenta"/>
      </w:pPr>
      <w:r>
        <w:tab/>
        <w:t>(a)</w:t>
      </w:r>
      <w:r>
        <w:tab/>
        <w:t>in accordance with the rules of the Supreme Court; and</w:t>
      </w:r>
    </w:p>
    <w:p>
      <w:pPr>
        <w:pStyle w:val="Indenta"/>
      </w:pPr>
      <w:r>
        <w:tab/>
        <w:t>(b)</w:t>
      </w:r>
      <w:r>
        <w:tab/>
        <w:t>within the period of 2 days after the day on which the State Administrative Tribunal gives its reasons for the final decision under section 110ZND, unless the Court extends the period for making an application on the ground that there is good reason to allow it to be made outside that time.</w:t>
      </w:r>
    </w:p>
    <w:p>
      <w:pPr>
        <w:pStyle w:val="PermNoteHeading"/>
      </w:pPr>
      <w:r>
        <w:tab/>
        <w:t>Note for this subsection:</w:t>
      </w:r>
    </w:p>
    <w:p>
      <w:pPr>
        <w:pStyle w:val="PermNoteText"/>
      </w:pPr>
      <w:r>
        <w:tab/>
      </w:r>
      <w:r>
        <w:tab/>
        <w:t xml:space="preserve">For the purposes of paragraph (b) — see the </w:t>
      </w:r>
      <w:r>
        <w:rPr>
          <w:i/>
        </w:rPr>
        <w:t>State Administrative Tribunal Act 2004</w:t>
      </w:r>
      <w:r>
        <w:t xml:space="preserve"> section 77 for the requirement for the State Administrative Tribunal to give its reasons for a final decision.</w:t>
      </w:r>
    </w:p>
    <w:p>
      <w:pPr>
        <w:pStyle w:val="Subsection"/>
      </w:pPr>
      <w:r>
        <w:tab/>
        <w:t>(4)</w:t>
      </w:r>
      <w:r>
        <w:tab/>
        <w:t>The party instituting the appeal must notify the executive officer about the institution of the appeal, but the Tribunal is not a party to the appeal and nor is any member of the Tribunal.</w:t>
      </w:r>
    </w:p>
    <w:p>
      <w:pPr>
        <w:pStyle w:val="Footnotesection"/>
      </w:pPr>
      <w:r>
        <w:tab/>
        <w:t xml:space="preserve">[Section 25A inserted: No. 20 of 2023 s. 32.] </w:t>
      </w:r>
    </w:p>
    <w:p>
      <w:pPr>
        <w:pStyle w:val="Heading5"/>
      </w:pPr>
      <w:bookmarkStart w:id="69" w:name="_Toc175575785"/>
      <w:r>
        <w:rPr>
          <w:rStyle w:val="CharSectno"/>
        </w:rPr>
        <w:lastRenderedPageBreak/>
        <w:t>25B</w:t>
      </w:r>
      <w:r>
        <w:t>.</w:t>
      </w:r>
      <w:r>
        <w:tab/>
        <w:t>Grounds</w:t>
      </w:r>
      <w:bookmarkEnd w:id="69"/>
    </w:p>
    <w:p>
      <w:pPr>
        <w:pStyle w:val="Subsection"/>
        <w:keepNext/>
      </w:pPr>
      <w:r>
        <w:tab/>
      </w:r>
      <w:r>
        <w:tab/>
        <w:t>An appeal from a decision of the State Administrative Tribunal under section 110ZND may only be made on a ground or grounds coming within the following —</w:t>
      </w:r>
    </w:p>
    <w:p>
      <w:pPr>
        <w:pStyle w:val="Indenta"/>
        <w:keepNext/>
      </w:pPr>
      <w:r>
        <w:tab/>
        <w:t>(a)</w:t>
      </w:r>
      <w:r>
        <w:tab/>
        <w:t xml:space="preserve">that the State Administrative Tribunal — </w:t>
      </w:r>
    </w:p>
    <w:p>
      <w:pPr>
        <w:pStyle w:val="Indenti"/>
      </w:pPr>
      <w:r>
        <w:tab/>
        <w:t>(i)</w:t>
      </w:r>
      <w:r>
        <w:tab/>
        <w:t>made an error of law or fact, or of both law and fact; or</w:t>
      </w:r>
    </w:p>
    <w:p>
      <w:pPr>
        <w:pStyle w:val="Indenti"/>
      </w:pPr>
      <w:r>
        <w:tab/>
        <w:t>(ii)</w:t>
      </w:r>
      <w:r>
        <w:tab/>
        <w:t>acted without or in excess of jurisdiction; or</w:t>
      </w:r>
    </w:p>
    <w:p>
      <w:pPr>
        <w:pStyle w:val="Indenti"/>
      </w:pPr>
      <w:r>
        <w:tab/>
        <w:t>(iii)</w:t>
      </w:r>
      <w:r>
        <w:tab/>
        <w:t>did both of the things referred to in subparagraph (i) and (ii);</w:t>
      </w:r>
    </w:p>
    <w:p>
      <w:pPr>
        <w:pStyle w:val="Indenta"/>
      </w:pPr>
      <w:r>
        <w:tab/>
      </w:r>
      <w:r>
        <w:tab/>
        <w:t>or</w:t>
      </w:r>
    </w:p>
    <w:p>
      <w:pPr>
        <w:pStyle w:val="Indenta"/>
      </w:pPr>
      <w:r>
        <w:tab/>
        <w:t>(b)</w:t>
      </w:r>
      <w:r>
        <w:tab/>
        <w:t>that there is some other reason that is sufficient to justify a review of the decision.</w:t>
      </w:r>
    </w:p>
    <w:p>
      <w:pPr>
        <w:pStyle w:val="Footnotesection"/>
      </w:pPr>
      <w:r>
        <w:tab/>
        <w:t xml:space="preserve">[Section 25B inserted: No. 20 of 2023 s. 32.] </w:t>
      </w:r>
    </w:p>
    <w:p>
      <w:pPr>
        <w:pStyle w:val="Heading5"/>
      </w:pPr>
      <w:bookmarkStart w:id="70" w:name="_Toc175575786"/>
      <w:r>
        <w:rPr>
          <w:rStyle w:val="CharSectno"/>
        </w:rPr>
        <w:t>25C</w:t>
      </w:r>
      <w:r>
        <w:t>.</w:t>
      </w:r>
      <w:r>
        <w:tab/>
        <w:t>Status of State Administrative Tribunal’s decision pending disposal of appeal</w:t>
      </w:r>
      <w:bookmarkEnd w:id="70"/>
    </w:p>
    <w:p>
      <w:pPr>
        <w:pStyle w:val="Subsection"/>
      </w:pPr>
      <w:r>
        <w:tab/>
      </w:r>
      <w:r>
        <w:tab/>
        <w:t>Where an appeal from a decision of the State Administrative Tribunal under section 110ZND is instituted under section 25A, the operation of the decision is stayed pending the disposal of the appeal.</w:t>
      </w:r>
    </w:p>
    <w:p>
      <w:pPr>
        <w:pStyle w:val="Footnotesection"/>
      </w:pPr>
      <w:r>
        <w:tab/>
        <w:t xml:space="preserve">[Section 25C inserted: No. 20 of 2023 s. 32.] </w:t>
      </w:r>
    </w:p>
    <w:p>
      <w:pPr>
        <w:pStyle w:val="Heading4"/>
      </w:pPr>
      <w:bookmarkStart w:id="71" w:name="_Toc175234753"/>
      <w:bookmarkStart w:id="72" w:name="_Toc175235026"/>
      <w:bookmarkStart w:id="73" w:name="_Toc175235346"/>
      <w:bookmarkStart w:id="74" w:name="_Toc175575516"/>
      <w:bookmarkStart w:id="75" w:name="_Toc175575787"/>
      <w:r>
        <w:t>Subdivision 4 — General provisions about appeals</w:t>
      </w:r>
      <w:bookmarkEnd w:id="71"/>
      <w:bookmarkEnd w:id="72"/>
      <w:bookmarkEnd w:id="73"/>
      <w:bookmarkEnd w:id="74"/>
      <w:bookmarkEnd w:id="75"/>
    </w:p>
    <w:p>
      <w:pPr>
        <w:pStyle w:val="Footnoteheading"/>
      </w:pPr>
      <w:r>
        <w:tab/>
        <w:t>[Heading inserted: No. 20 of 2023 s. 33.]</w:t>
      </w:r>
    </w:p>
    <w:p>
      <w:pPr>
        <w:pStyle w:val="Heading5"/>
        <w:rPr>
          <w:snapToGrid w:val="0"/>
        </w:rPr>
      </w:pPr>
      <w:bookmarkStart w:id="76" w:name="_Toc175575788"/>
      <w:r>
        <w:rPr>
          <w:rStyle w:val="CharSectno"/>
        </w:rPr>
        <w:t>26</w:t>
      </w:r>
      <w:r>
        <w:rPr>
          <w:snapToGrid w:val="0"/>
        </w:rPr>
        <w:t>.</w:t>
      </w:r>
      <w:r>
        <w:rPr>
          <w:snapToGrid w:val="0"/>
        </w:rPr>
        <w:tab/>
        <w:t>Notice to other parties</w:t>
      </w:r>
      <w:bookmarkEnd w:id="76"/>
      <w:r>
        <w:rPr>
          <w:snapToGrid w:val="0"/>
        </w:rPr>
        <w:t xml:space="preserve"> </w:t>
      </w:r>
    </w:p>
    <w:p>
      <w:pPr>
        <w:pStyle w:val="Subsection"/>
        <w:rPr>
          <w:snapToGrid w:val="0"/>
        </w:rPr>
      </w:pPr>
      <w:r>
        <w:tab/>
        <w:t>(1)</w:t>
      </w:r>
      <w:r>
        <w:tab/>
        <w:t xml:space="preserve">The appellant must </w:t>
      </w:r>
      <w:r>
        <w:rPr>
          <w:snapToGrid w:val="0"/>
        </w:rPr>
        <w:t>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keepNext/>
        <w:rPr>
          <w:snapToGrid w:val="0"/>
        </w:rPr>
      </w:pPr>
      <w:r>
        <w:rPr>
          <w:snapToGrid w:val="0"/>
        </w:rPr>
        <w:lastRenderedPageBreak/>
        <w:tab/>
        <w:t>(b)</w:t>
      </w:r>
      <w:r>
        <w:rPr>
          <w:snapToGrid w:val="0"/>
        </w:rPr>
        <w:tab/>
        <w:t>any other person to whom the Court may direct that notice be given.</w:t>
      </w:r>
    </w:p>
    <w:p>
      <w:pPr>
        <w:pStyle w:val="Subsection"/>
      </w:pPr>
      <w:r>
        <w:tab/>
        <w:t>(2)</w:t>
      </w:r>
      <w:r>
        <w:tab/>
        <w:t>The appeal may be determined if, in the opinion of the Court, sufficient notice of the appeal is given to each person who ought to be notified of the appeal.</w:t>
      </w:r>
    </w:p>
    <w:p>
      <w:pPr>
        <w:pStyle w:val="Subsection"/>
      </w:pPr>
      <w:r>
        <w:tab/>
        <w:t>(3)</w:t>
      </w:r>
      <w:r>
        <w:tab/>
        <w:t>This section does not apply if section 25 applies.</w:t>
      </w:r>
    </w:p>
    <w:p>
      <w:pPr>
        <w:pStyle w:val="Footnotesection"/>
      </w:pPr>
      <w:r>
        <w:tab/>
        <w:t>[Section 26 amended: No. 55 of 2004 s. 466(1); No. 20 of 2023 s. 34.]</w:t>
      </w:r>
    </w:p>
    <w:p>
      <w:pPr>
        <w:pStyle w:val="Heading5"/>
        <w:rPr>
          <w:snapToGrid w:val="0"/>
        </w:rPr>
      </w:pPr>
      <w:bookmarkStart w:id="77" w:name="_Toc175575789"/>
      <w:r>
        <w:rPr>
          <w:rStyle w:val="CharSectno"/>
        </w:rPr>
        <w:t>27</w:t>
      </w:r>
      <w:r>
        <w:rPr>
          <w:snapToGrid w:val="0"/>
        </w:rPr>
        <w:t>.</w:t>
      </w:r>
      <w:r>
        <w:rPr>
          <w:snapToGrid w:val="0"/>
        </w:rPr>
        <w:tab/>
        <w:t>Amendment of grounds of appeal</w:t>
      </w:r>
      <w:bookmarkEnd w:id="77"/>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keepNext/>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78" w:name="_Toc175575790"/>
      <w:r>
        <w:rPr>
          <w:rStyle w:val="CharSectno"/>
        </w:rPr>
        <w:t>28</w:t>
      </w:r>
      <w:r>
        <w:rPr>
          <w:snapToGrid w:val="0"/>
        </w:rPr>
        <w:t>.</w:t>
      </w:r>
      <w:r>
        <w:rPr>
          <w:snapToGrid w:val="0"/>
        </w:rPr>
        <w:tab/>
        <w:t>Status of State Administrative Tribunal’s determination pending disposal of appeal</w:t>
      </w:r>
      <w:bookmarkEnd w:id="78"/>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keepNext/>
        <w:rPr>
          <w:snapToGrid w:val="0"/>
        </w:rPr>
      </w:pPr>
      <w:r>
        <w:rPr>
          <w:snapToGrid w:val="0"/>
        </w:rPr>
        <w:lastRenderedPageBreak/>
        <w:tab/>
        <w:t>(3)</w:t>
      </w:r>
      <w:r>
        <w:rPr>
          <w:snapToGrid w:val="0"/>
        </w:rPr>
        <w:tab/>
        <w:t xml:space="preserve">Subsections (1) and (2) do not apply to a consent by the </w:t>
      </w:r>
      <w:r>
        <w:t>State Administrative Tribunal</w:t>
      </w:r>
      <w:r>
        <w:rPr>
          <w:snapToGrid w:val="0"/>
        </w:rPr>
        <w:t xml:space="preserve"> under Division 3 of Part 5 to the sterilisation of a represented person.</w:t>
      </w:r>
    </w:p>
    <w:p>
      <w:pPr>
        <w:pStyle w:val="PermNoteHeading"/>
      </w:pPr>
      <w:r>
        <w:tab/>
        <w:t>Note for this section:</w:t>
      </w:r>
    </w:p>
    <w:p>
      <w:pPr>
        <w:pStyle w:val="PermNoteText"/>
      </w:pPr>
      <w:r>
        <w:tab/>
      </w:r>
      <w:r>
        <w:tab/>
        <w:t>See section 25C in relation to the status of a decision of the State Administrative Tribunal under section 110ZND pending disposal of an appeal from the decision.</w:t>
      </w:r>
    </w:p>
    <w:p>
      <w:pPr>
        <w:pStyle w:val="Footnotesection"/>
      </w:pPr>
      <w:r>
        <w:tab/>
        <w:t>[Section 28 amended: No. 55 of 2004 s. 466(1); No. 20 of 2023 s. 35.]</w:t>
      </w:r>
    </w:p>
    <w:p>
      <w:pPr>
        <w:pStyle w:val="Heading5"/>
        <w:rPr>
          <w:snapToGrid w:val="0"/>
        </w:rPr>
      </w:pPr>
      <w:bookmarkStart w:id="79" w:name="_Toc175575791"/>
      <w:r>
        <w:rPr>
          <w:rStyle w:val="CharSectno"/>
        </w:rPr>
        <w:t>29</w:t>
      </w:r>
      <w:r>
        <w:rPr>
          <w:snapToGrid w:val="0"/>
        </w:rPr>
        <w:t>.</w:t>
      </w:r>
      <w:r>
        <w:rPr>
          <w:snapToGrid w:val="0"/>
        </w:rPr>
        <w:tab/>
        <w:t>Nature of appeal, and evidence</w:t>
      </w:r>
      <w:bookmarkEnd w:id="79"/>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No. 55 of 2004 s. 466.]</w:t>
      </w:r>
    </w:p>
    <w:p>
      <w:pPr>
        <w:pStyle w:val="Heading5"/>
        <w:spacing w:before="180"/>
        <w:rPr>
          <w:snapToGrid w:val="0"/>
        </w:rPr>
      </w:pPr>
      <w:bookmarkStart w:id="80" w:name="_Toc175575792"/>
      <w:r>
        <w:rPr>
          <w:rStyle w:val="CharSectno"/>
        </w:rPr>
        <w:t>30</w:t>
      </w:r>
      <w:r>
        <w:rPr>
          <w:snapToGrid w:val="0"/>
        </w:rPr>
        <w:t>.</w:t>
      </w:r>
      <w:r>
        <w:rPr>
          <w:snapToGrid w:val="0"/>
        </w:rPr>
        <w:tab/>
        <w:t>Powers of Court</w:t>
      </w:r>
      <w:bookmarkEnd w:id="80"/>
      <w:r>
        <w:rPr>
          <w:snapToGrid w:val="0"/>
        </w:rPr>
        <w:t xml:space="preserve"> </w:t>
      </w:r>
    </w:p>
    <w:p>
      <w:pPr>
        <w:pStyle w:val="Subsection"/>
      </w:pPr>
      <w:r>
        <w:tab/>
        <w:t>(1A)</w:t>
      </w:r>
      <w:r>
        <w:tab/>
        <w:t xml:space="preserve">In this section — </w:t>
      </w:r>
    </w:p>
    <w:p>
      <w:pPr>
        <w:pStyle w:val="Defstart"/>
      </w:pPr>
      <w:r>
        <w:tab/>
      </w:r>
      <w:r>
        <w:rPr>
          <w:rStyle w:val="CharDefText"/>
        </w:rPr>
        <w:t>determination</w:t>
      </w:r>
      <w:r>
        <w:t xml:space="preserve"> includes a decision under section 110ZND to consent or refuse consent to the performance of an abortion on a person;</w:t>
      </w:r>
    </w:p>
    <w:p>
      <w:pPr>
        <w:pStyle w:val="Subsection"/>
        <w:spacing w:before="120"/>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lastRenderedPageBreak/>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No. 55 of 2004 s. 466; No. 20 of 2023 s. 36.]</w:t>
      </w:r>
    </w:p>
    <w:p>
      <w:pPr>
        <w:pStyle w:val="Heading5"/>
        <w:rPr>
          <w:snapToGrid w:val="0"/>
        </w:rPr>
      </w:pPr>
      <w:bookmarkStart w:id="81" w:name="_Toc175575793"/>
      <w:r>
        <w:rPr>
          <w:rStyle w:val="CharSectno"/>
        </w:rPr>
        <w:t>31</w:t>
      </w:r>
      <w:r>
        <w:rPr>
          <w:snapToGrid w:val="0"/>
        </w:rPr>
        <w:t>.</w:t>
      </w:r>
      <w:r>
        <w:rPr>
          <w:snapToGrid w:val="0"/>
        </w:rPr>
        <w:tab/>
        <w:t>Want of form</w:t>
      </w:r>
      <w:bookmarkEnd w:id="81"/>
      <w:r>
        <w:rPr>
          <w:snapToGrid w:val="0"/>
        </w:rPr>
        <w:t xml:space="preserve"> </w:t>
      </w:r>
    </w:p>
    <w:p>
      <w:pPr>
        <w:pStyle w:val="Subsection"/>
        <w:rPr>
          <w:snapToGrid w:val="0"/>
        </w:rPr>
      </w:pPr>
      <w:r>
        <w:rPr>
          <w:snapToGrid w:val="0"/>
        </w:rPr>
        <w:tab/>
      </w:r>
      <w:r>
        <w:rPr>
          <w:snapToGrid w:val="0"/>
        </w:rPr>
        <w:tab/>
        <w:t xml:space="preserve">Notwithstanding anything in </w:t>
      </w:r>
      <w:r>
        <w:t xml:space="preserve">section 21 or 25B, </w:t>
      </w:r>
      <w:r>
        <w:rPr>
          <w:snapToGrid w:val="0"/>
        </w:rPr>
        <w:t>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No. 55 of 2004 s. 466(1); No. 20 of 2023 s. 37.]</w:t>
      </w:r>
    </w:p>
    <w:p>
      <w:pPr>
        <w:pStyle w:val="Heading5"/>
        <w:rPr>
          <w:snapToGrid w:val="0"/>
        </w:rPr>
      </w:pPr>
      <w:bookmarkStart w:id="82" w:name="_Toc175575794"/>
      <w:r>
        <w:rPr>
          <w:rStyle w:val="CharSectno"/>
        </w:rPr>
        <w:lastRenderedPageBreak/>
        <w:t>32</w:t>
      </w:r>
      <w:r>
        <w:rPr>
          <w:snapToGrid w:val="0"/>
        </w:rPr>
        <w:t>.</w:t>
      </w:r>
      <w:r>
        <w:rPr>
          <w:snapToGrid w:val="0"/>
        </w:rPr>
        <w:tab/>
        <w:t>Notification of result of appeal to executive officer</w:t>
      </w:r>
      <w:bookmarkEnd w:id="82"/>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No. 16 of 1992 s. 11.] </w:t>
      </w:r>
    </w:p>
    <w:p>
      <w:pPr>
        <w:pStyle w:val="Heading5"/>
        <w:rPr>
          <w:snapToGrid w:val="0"/>
        </w:rPr>
      </w:pPr>
      <w:bookmarkStart w:id="83" w:name="_Toc175575795"/>
      <w:r>
        <w:rPr>
          <w:rStyle w:val="CharSectno"/>
        </w:rPr>
        <w:t>33</w:t>
      </w:r>
      <w:r>
        <w:rPr>
          <w:snapToGrid w:val="0"/>
        </w:rPr>
        <w:t>.</w:t>
      </w:r>
      <w:r>
        <w:rPr>
          <w:snapToGrid w:val="0"/>
        </w:rPr>
        <w:tab/>
        <w:t>Discontinuance of appeal</w:t>
      </w:r>
      <w:bookmarkEnd w:id="83"/>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No. 16 of 1992 s. 18; No. 55 of 2004 s. 433.] </w:t>
      </w:r>
    </w:p>
    <w:p>
      <w:pPr>
        <w:pStyle w:val="Heading5"/>
        <w:rPr>
          <w:snapToGrid w:val="0"/>
        </w:rPr>
      </w:pPr>
      <w:bookmarkStart w:id="84" w:name="_Toc175575796"/>
      <w:r>
        <w:rPr>
          <w:rStyle w:val="CharSectno"/>
        </w:rPr>
        <w:t>34</w:t>
      </w:r>
      <w:r>
        <w:rPr>
          <w:snapToGrid w:val="0"/>
        </w:rPr>
        <w:t>.</w:t>
      </w:r>
      <w:r>
        <w:rPr>
          <w:snapToGrid w:val="0"/>
        </w:rPr>
        <w:tab/>
        <w:t>Dismissal for want of prosecution</w:t>
      </w:r>
      <w:bookmarkEnd w:id="84"/>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keepNext/>
        <w:rPr>
          <w:snapToGrid w:val="0"/>
        </w:rPr>
      </w:pPr>
      <w:r>
        <w:rPr>
          <w:snapToGrid w:val="0"/>
        </w:rPr>
        <w:tab/>
        <w:t>(2)</w:t>
      </w:r>
      <w:r>
        <w:rPr>
          <w:snapToGrid w:val="0"/>
        </w:rPr>
        <w:tab/>
        <w:t xml:space="preserve">If the appellant does not appear, either personally or by a legal practitioner, at the hearing of the appeal, or if the Court is satisfied on an application under subsection (1) that the </w:t>
      </w:r>
      <w:r>
        <w:rPr>
          <w:snapToGrid w:val="0"/>
        </w:rPr>
        <w:lastRenderedPageBreak/>
        <w:t>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 xml:space="preserve">An application by way of summons under subsection (1) may be heard and determined in the absence of the appellant if it is proved that </w:t>
      </w:r>
      <w:r>
        <w:t>the appellant</w:t>
      </w:r>
      <w:r>
        <w:rPr>
          <w:snapToGrid w:val="0"/>
        </w:rPr>
        <w:t xml:space="preserve"> was served with the summons.</w:t>
      </w:r>
    </w:p>
    <w:p>
      <w:pPr>
        <w:pStyle w:val="Subsection"/>
      </w:pPr>
      <w:r>
        <w:tab/>
        <w:t>(4)</w:t>
      </w:r>
      <w:r>
        <w:tab/>
        <w:t>This section does not limit the power of the Court to determine an appeal under section 26(2).</w:t>
      </w:r>
    </w:p>
    <w:p>
      <w:pPr>
        <w:pStyle w:val="Footnotesection"/>
      </w:pPr>
      <w:r>
        <w:tab/>
        <w:t>[Section 34 amended: No. 20 of 2023 s. 38.]</w:t>
      </w:r>
    </w:p>
    <w:p>
      <w:pPr>
        <w:pStyle w:val="Heading5"/>
        <w:keepLines w:val="0"/>
        <w:rPr>
          <w:snapToGrid w:val="0"/>
        </w:rPr>
      </w:pPr>
      <w:bookmarkStart w:id="85" w:name="_Toc175575797"/>
      <w:r>
        <w:rPr>
          <w:rStyle w:val="CharSectno"/>
        </w:rPr>
        <w:t>35</w:t>
      </w:r>
      <w:r>
        <w:rPr>
          <w:snapToGrid w:val="0"/>
        </w:rPr>
        <w:t>.</w:t>
      </w:r>
      <w:r>
        <w:rPr>
          <w:snapToGrid w:val="0"/>
        </w:rPr>
        <w:tab/>
        <w:t>Application for reinstatement of appeal</w:t>
      </w:r>
      <w:bookmarkEnd w:id="85"/>
      <w:r>
        <w:rPr>
          <w:snapToGrid w:val="0"/>
        </w:rPr>
        <w:t xml:space="preserve"> </w:t>
      </w:r>
    </w:p>
    <w:p>
      <w:pPr>
        <w:pStyle w:val="Subsection"/>
        <w:rPr>
          <w:snapToGrid w:val="0"/>
        </w:rPr>
      </w:pPr>
      <w:r>
        <w:rPr>
          <w:snapToGrid w:val="0"/>
        </w:rPr>
        <w:tab/>
        <w:t>(1)</w:t>
      </w:r>
      <w:r>
        <w:rPr>
          <w:snapToGrid w:val="0"/>
        </w:rPr>
        <w:tab/>
        <w:t xml:space="preserve">Where an appeal is dismissed under section 34 in the absence of the appellant, </w:t>
      </w:r>
      <w:r>
        <w:t>the appellant</w:t>
      </w:r>
      <w:r>
        <w:rPr>
          <w:snapToGrid w:val="0"/>
        </w:rPr>
        <w:t xml:space="preserve"> may apply to the Court for an order reinstating the appeal.</w:t>
      </w:r>
    </w:p>
    <w:p>
      <w:pPr>
        <w:pStyle w:val="Subsection"/>
      </w:pPr>
      <w:r>
        <w:tab/>
        <w:t>(1A)</w:t>
      </w:r>
      <w:r>
        <w:tab/>
        <w:t>Subsection (1) does not apply to an appeal from a decision under section 110ZND to consent or refuse consent to the performance of an abortion on a person.</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keepNext/>
        <w:rPr>
          <w:snapToGrid w:val="0"/>
        </w:rPr>
      </w:pPr>
      <w:r>
        <w:rPr>
          <w:snapToGrid w:val="0"/>
        </w:rPr>
        <w:lastRenderedPageBreak/>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Footnotesection"/>
      </w:pPr>
      <w:r>
        <w:tab/>
        <w:t>[Section 35 amended: No. 20 of 2023 s. 39.]</w:t>
      </w:r>
    </w:p>
    <w:p>
      <w:pPr>
        <w:pStyle w:val="Heading5"/>
        <w:spacing w:before="180"/>
        <w:rPr>
          <w:snapToGrid w:val="0"/>
        </w:rPr>
      </w:pPr>
      <w:bookmarkStart w:id="86" w:name="_Toc175575798"/>
      <w:r>
        <w:rPr>
          <w:rStyle w:val="CharSectno"/>
        </w:rPr>
        <w:t>36</w:t>
      </w:r>
      <w:r>
        <w:rPr>
          <w:snapToGrid w:val="0"/>
        </w:rPr>
        <w:t>.</w:t>
      </w:r>
      <w:r>
        <w:rPr>
          <w:snapToGrid w:val="0"/>
        </w:rPr>
        <w:tab/>
        <w:t>Time may be extended or shortened</w:t>
      </w:r>
      <w:bookmarkEnd w:id="86"/>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87" w:name="_Toc175575799"/>
      <w:r>
        <w:rPr>
          <w:rStyle w:val="CharSectno"/>
        </w:rPr>
        <w:t>37</w:t>
      </w:r>
      <w:r>
        <w:rPr>
          <w:snapToGrid w:val="0"/>
        </w:rPr>
        <w:t>.</w:t>
      </w:r>
      <w:r>
        <w:rPr>
          <w:snapToGrid w:val="0"/>
        </w:rPr>
        <w:tab/>
        <w:t>Enforcement of order for costs</w:t>
      </w:r>
      <w:bookmarkEnd w:id="87"/>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deleted: No. 55 of 2004 s. 434.]</w:t>
      </w:r>
    </w:p>
    <w:p>
      <w:pPr>
        <w:pStyle w:val="Heading2"/>
      </w:pPr>
      <w:bookmarkStart w:id="88" w:name="_Toc175234766"/>
      <w:bookmarkStart w:id="89" w:name="_Toc175235039"/>
      <w:bookmarkStart w:id="90" w:name="_Toc175235359"/>
      <w:bookmarkStart w:id="91" w:name="_Toc175575529"/>
      <w:bookmarkStart w:id="92" w:name="_Toc175575800"/>
      <w:r>
        <w:rPr>
          <w:rStyle w:val="CharPartNo"/>
        </w:rPr>
        <w:lastRenderedPageBreak/>
        <w:t>Part 4</w:t>
      </w:r>
      <w:r>
        <w:rPr>
          <w:rStyle w:val="CharDivNo"/>
        </w:rPr>
        <w:t> </w:t>
      </w:r>
      <w:r>
        <w:t>—</w:t>
      </w:r>
      <w:r>
        <w:rPr>
          <w:rStyle w:val="CharDivText"/>
        </w:rPr>
        <w:t> </w:t>
      </w:r>
      <w:r>
        <w:rPr>
          <w:rStyle w:val="CharPartText"/>
        </w:rPr>
        <w:t>Applications for guardianship and administration orders</w:t>
      </w:r>
      <w:bookmarkEnd w:id="88"/>
      <w:bookmarkEnd w:id="89"/>
      <w:bookmarkEnd w:id="90"/>
      <w:bookmarkEnd w:id="91"/>
      <w:bookmarkEnd w:id="92"/>
      <w:r>
        <w:rPr>
          <w:rStyle w:val="CharPartText"/>
        </w:rPr>
        <w:t xml:space="preserve"> </w:t>
      </w:r>
    </w:p>
    <w:p>
      <w:pPr>
        <w:pStyle w:val="Ednotesection"/>
        <w:ind w:left="890" w:hanging="890"/>
      </w:pPr>
      <w:r>
        <w:t>[</w:t>
      </w:r>
      <w:r>
        <w:rPr>
          <w:b/>
        </w:rPr>
        <w:t>39.</w:t>
      </w:r>
      <w:r>
        <w:tab/>
        <w:t xml:space="preserve">Deleted: No. 7 of 1996 s. 17.] </w:t>
      </w:r>
    </w:p>
    <w:p>
      <w:pPr>
        <w:pStyle w:val="Heading5"/>
        <w:rPr>
          <w:snapToGrid w:val="0"/>
        </w:rPr>
      </w:pPr>
      <w:bookmarkStart w:id="93" w:name="_Toc175575801"/>
      <w:r>
        <w:rPr>
          <w:rStyle w:val="CharSectno"/>
        </w:rPr>
        <w:t>40</w:t>
      </w:r>
      <w:r>
        <w:rPr>
          <w:snapToGrid w:val="0"/>
        </w:rPr>
        <w:t>.</w:t>
      </w:r>
      <w:r>
        <w:rPr>
          <w:snapToGrid w:val="0"/>
        </w:rPr>
        <w:tab/>
        <w:t>Application</w:t>
      </w:r>
      <w:bookmarkEnd w:id="93"/>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deleted]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No. 16 of 1992 s. 18; No. 7 of 1996 s. 18; No. 55 of 2004 s. 435 and 466(1).] </w:t>
      </w:r>
    </w:p>
    <w:p>
      <w:pPr>
        <w:pStyle w:val="Heading5"/>
        <w:rPr>
          <w:snapToGrid w:val="0"/>
        </w:rPr>
      </w:pPr>
      <w:bookmarkStart w:id="94" w:name="_Toc175575802"/>
      <w:r>
        <w:rPr>
          <w:rStyle w:val="CharSectno"/>
        </w:rPr>
        <w:t>41</w:t>
      </w:r>
      <w:r>
        <w:rPr>
          <w:snapToGrid w:val="0"/>
        </w:rPr>
        <w:t>.</w:t>
      </w:r>
      <w:r>
        <w:rPr>
          <w:snapToGrid w:val="0"/>
        </w:rPr>
        <w:tab/>
        <w:t>Notice of hearing</w:t>
      </w:r>
      <w:bookmarkEnd w:id="94"/>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lastRenderedPageBreak/>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lastRenderedPageBreak/>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No. 16 of 1992 s. 18; No. 7 of 1996 s. 36; No. 55 of 2004 s. 436 and 466(1); No. 19 of 2010 s. 18(2).] </w:t>
      </w:r>
    </w:p>
    <w:p>
      <w:pPr>
        <w:pStyle w:val="Ednotesection"/>
      </w:pPr>
      <w:r>
        <w:t>[</w:t>
      </w:r>
      <w:r>
        <w:rPr>
          <w:b/>
        </w:rPr>
        <w:t>42.</w:t>
      </w:r>
      <w:r>
        <w:rPr>
          <w:b/>
        </w:rPr>
        <w:tab/>
      </w:r>
      <w:r>
        <w:t>Deleted: No. 55 of 2004 s. 437.]</w:t>
      </w:r>
    </w:p>
    <w:p>
      <w:pPr>
        <w:pStyle w:val="Heading2"/>
      </w:pPr>
      <w:bookmarkStart w:id="95" w:name="_Toc175234769"/>
      <w:bookmarkStart w:id="96" w:name="_Toc175235042"/>
      <w:bookmarkStart w:id="97" w:name="_Toc175235362"/>
      <w:bookmarkStart w:id="98" w:name="_Toc175575532"/>
      <w:bookmarkStart w:id="99" w:name="_Toc175575803"/>
      <w:r>
        <w:rPr>
          <w:rStyle w:val="CharPartNo"/>
        </w:rPr>
        <w:lastRenderedPageBreak/>
        <w:t>Part 5</w:t>
      </w:r>
      <w:r>
        <w:t> — </w:t>
      </w:r>
      <w:r>
        <w:rPr>
          <w:rStyle w:val="CharPartText"/>
        </w:rPr>
        <w:t>Guardianship</w:t>
      </w:r>
      <w:bookmarkEnd w:id="95"/>
      <w:bookmarkEnd w:id="96"/>
      <w:bookmarkEnd w:id="97"/>
      <w:bookmarkEnd w:id="98"/>
      <w:bookmarkEnd w:id="99"/>
      <w:r>
        <w:rPr>
          <w:rStyle w:val="CharPartText"/>
        </w:rPr>
        <w:t xml:space="preserve"> </w:t>
      </w:r>
    </w:p>
    <w:p>
      <w:pPr>
        <w:pStyle w:val="Heading3"/>
        <w:rPr>
          <w:snapToGrid w:val="0"/>
        </w:rPr>
      </w:pPr>
      <w:bookmarkStart w:id="100" w:name="_Toc175234770"/>
      <w:bookmarkStart w:id="101" w:name="_Toc175235043"/>
      <w:bookmarkStart w:id="102" w:name="_Toc175235363"/>
      <w:bookmarkStart w:id="103" w:name="_Toc175575533"/>
      <w:bookmarkStart w:id="104" w:name="_Toc175575804"/>
      <w:r>
        <w:rPr>
          <w:rStyle w:val="CharDivNo"/>
        </w:rPr>
        <w:t>Division 1</w:t>
      </w:r>
      <w:r>
        <w:rPr>
          <w:snapToGrid w:val="0"/>
        </w:rPr>
        <w:t> — </w:t>
      </w:r>
      <w:r>
        <w:rPr>
          <w:rStyle w:val="CharDivText"/>
        </w:rPr>
        <w:t>Appointment of guardian</w:t>
      </w:r>
      <w:bookmarkEnd w:id="100"/>
      <w:bookmarkEnd w:id="101"/>
      <w:bookmarkEnd w:id="102"/>
      <w:bookmarkEnd w:id="103"/>
      <w:bookmarkEnd w:id="104"/>
      <w:r>
        <w:rPr>
          <w:rStyle w:val="CharDivText"/>
        </w:rPr>
        <w:t xml:space="preserve"> </w:t>
      </w:r>
    </w:p>
    <w:p>
      <w:pPr>
        <w:pStyle w:val="Heading5"/>
        <w:rPr>
          <w:snapToGrid w:val="0"/>
        </w:rPr>
      </w:pPr>
      <w:bookmarkStart w:id="105" w:name="_Toc175575805"/>
      <w:r>
        <w:rPr>
          <w:rStyle w:val="CharSectno"/>
        </w:rPr>
        <w:t>43</w:t>
      </w:r>
      <w:r>
        <w:rPr>
          <w:snapToGrid w:val="0"/>
        </w:rPr>
        <w:t>.</w:t>
      </w:r>
      <w:r>
        <w:rPr>
          <w:snapToGrid w:val="0"/>
        </w:rPr>
        <w:tab/>
        <w:t>Making of guardianship order</w:t>
      </w:r>
      <w:bookmarkEnd w:id="105"/>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lastRenderedPageBreak/>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lastRenderedPageBreak/>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No. 55 of 2004 s. 466; No. 5 of 2008 s. 57(1) and (2).]</w:t>
      </w:r>
    </w:p>
    <w:p>
      <w:pPr>
        <w:pStyle w:val="Heading5"/>
        <w:spacing w:before="180"/>
        <w:rPr>
          <w:snapToGrid w:val="0"/>
        </w:rPr>
      </w:pPr>
      <w:bookmarkStart w:id="106" w:name="_Toc175575806"/>
      <w:r>
        <w:rPr>
          <w:rStyle w:val="CharSectno"/>
        </w:rPr>
        <w:t>44</w:t>
      </w:r>
      <w:r>
        <w:rPr>
          <w:snapToGrid w:val="0"/>
        </w:rPr>
        <w:t>.</w:t>
      </w:r>
      <w:r>
        <w:rPr>
          <w:snapToGrid w:val="0"/>
        </w:rPr>
        <w:tab/>
        <w:t>Who may be appointed guardian</w:t>
      </w:r>
      <w:bookmarkEnd w:id="106"/>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rPr>
          <w:snapToGrid w:val="0"/>
        </w:rPr>
      </w:pPr>
      <w:r>
        <w:rPr>
          <w:snapToGrid w:val="0"/>
        </w:rPr>
        <w:tab/>
        <w:t>(a)</w:t>
      </w:r>
      <w:r>
        <w:rPr>
          <w:snapToGrid w:val="0"/>
        </w:rPr>
        <w:tab/>
        <w:t>will act in the best interests of the person in respect of whom the application is made;</w:t>
      </w:r>
    </w:p>
    <w:p>
      <w:pPr>
        <w:pStyle w:val="Indenta"/>
        <w:rPr>
          <w:snapToGrid w:val="0"/>
        </w:rPr>
      </w:pPr>
      <w:r>
        <w:rPr>
          <w:snapToGrid w:val="0"/>
        </w:rPr>
        <w:tab/>
        <w:t>(b)</w:t>
      </w:r>
      <w:r>
        <w:rPr>
          <w:snapToGrid w:val="0"/>
        </w:rPr>
        <w:tab/>
        <w:t>is not in a position where his interests conflict or may conflict with the interests of that person; and</w:t>
      </w:r>
    </w:p>
    <w:p>
      <w:pPr>
        <w:pStyle w:val="Indenta"/>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rPr>
          <w:snapToGrid w:val="0"/>
        </w:rPr>
      </w:pPr>
      <w:r>
        <w:rPr>
          <w:snapToGrid w:val="0"/>
        </w:rPr>
        <w:tab/>
        <w:t>(b)</w:t>
      </w:r>
      <w:r>
        <w:rPr>
          <w:snapToGrid w:val="0"/>
        </w:rPr>
        <w:tab/>
        <w:t>the compatibility of the proposed appointee with that person and with the administrator (if any) of that person’s estate;</w:t>
      </w:r>
    </w:p>
    <w:p>
      <w:pPr>
        <w:pStyle w:val="Indenta"/>
        <w:rPr>
          <w:snapToGrid w:val="0"/>
        </w:rPr>
      </w:pPr>
      <w:r>
        <w:rPr>
          <w:snapToGrid w:val="0"/>
        </w:rPr>
        <w:tab/>
        <w:t>(c)</w:t>
      </w:r>
      <w:r>
        <w:rPr>
          <w:snapToGrid w:val="0"/>
        </w:rPr>
        <w:tab/>
        <w:t>the wishes of the person in respect of whom the application is made; and</w:t>
      </w:r>
    </w:p>
    <w:p>
      <w:pPr>
        <w:pStyle w:val="Indenta"/>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lastRenderedPageBreak/>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No. 7 of 1996 s. 36; No. 55 of 2004 s. 466(1).] </w:t>
      </w:r>
    </w:p>
    <w:p>
      <w:pPr>
        <w:pStyle w:val="Heading5"/>
        <w:rPr>
          <w:snapToGrid w:val="0"/>
        </w:rPr>
      </w:pPr>
      <w:bookmarkStart w:id="107" w:name="_Toc175575807"/>
      <w:r>
        <w:rPr>
          <w:rStyle w:val="CharSectno"/>
        </w:rPr>
        <w:t>44A</w:t>
      </w:r>
      <w:r>
        <w:rPr>
          <w:snapToGrid w:val="0"/>
        </w:rPr>
        <w:t xml:space="preserve">. </w:t>
      </w:r>
      <w:r>
        <w:rPr>
          <w:snapToGrid w:val="0"/>
        </w:rPr>
        <w:tab/>
        <w:t>Interstate arrangements for guardianship orders</w:t>
      </w:r>
      <w:bookmarkEnd w:id="107"/>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keepNext/>
        <w:keepLines/>
        <w:rPr>
          <w:snapToGrid w:val="0"/>
        </w:rPr>
      </w:pPr>
      <w:r>
        <w:rPr>
          <w:snapToGrid w:val="0"/>
        </w:rPr>
        <w:lastRenderedPageBreak/>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ind w:left="890" w:hanging="890"/>
      </w:pPr>
      <w:r>
        <w:tab/>
        <w:t xml:space="preserve">[Section 44A inserted: No. 7 of 1996 s. 19.] </w:t>
      </w:r>
    </w:p>
    <w:p>
      <w:pPr>
        <w:pStyle w:val="Heading3"/>
        <w:rPr>
          <w:snapToGrid w:val="0"/>
        </w:rPr>
      </w:pPr>
      <w:bookmarkStart w:id="108" w:name="_Toc175234774"/>
      <w:bookmarkStart w:id="109" w:name="_Toc175235047"/>
      <w:bookmarkStart w:id="110" w:name="_Toc175235367"/>
      <w:bookmarkStart w:id="111" w:name="_Toc175575537"/>
      <w:bookmarkStart w:id="112" w:name="_Toc175575808"/>
      <w:r>
        <w:rPr>
          <w:rStyle w:val="CharDivNo"/>
        </w:rPr>
        <w:t>Division 2</w:t>
      </w:r>
      <w:r>
        <w:rPr>
          <w:snapToGrid w:val="0"/>
        </w:rPr>
        <w:t> — </w:t>
      </w:r>
      <w:r>
        <w:rPr>
          <w:rStyle w:val="CharDivText"/>
        </w:rPr>
        <w:t>Functions of guardians</w:t>
      </w:r>
      <w:bookmarkEnd w:id="108"/>
      <w:bookmarkEnd w:id="109"/>
      <w:bookmarkEnd w:id="110"/>
      <w:bookmarkEnd w:id="111"/>
      <w:bookmarkEnd w:id="112"/>
      <w:r>
        <w:rPr>
          <w:rStyle w:val="CharDivText"/>
        </w:rPr>
        <w:t xml:space="preserve"> </w:t>
      </w:r>
    </w:p>
    <w:p>
      <w:pPr>
        <w:pStyle w:val="Heading5"/>
        <w:rPr>
          <w:snapToGrid w:val="0"/>
        </w:rPr>
      </w:pPr>
      <w:bookmarkStart w:id="113" w:name="_Toc175575809"/>
      <w:r>
        <w:rPr>
          <w:rStyle w:val="CharSectno"/>
        </w:rPr>
        <w:t>45</w:t>
      </w:r>
      <w:r>
        <w:rPr>
          <w:snapToGrid w:val="0"/>
        </w:rPr>
        <w:t>.</w:t>
      </w:r>
      <w:r>
        <w:rPr>
          <w:snapToGrid w:val="0"/>
        </w:rPr>
        <w:tab/>
        <w:t>Authority of plenary guardian</w:t>
      </w:r>
      <w:bookmarkEnd w:id="113"/>
      <w:r>
        <w:rPr>
          <w:snapToGrid w:val="0"/>
        </w:rPr>
        <w:t xml:space="preserve"> </w:t>
      </w:r>
    </w:p>
    <w:p>
      <w:pPr>
        <w:pStyle w:val="Subsection"/>
      </w:pPr>
      <w:r>
        <w:tab/>
        <w:t>(1)</w:t>
      </w:r>
      <w:r>
        <w:tab/>
        <w:t xml:space="preserve">Subject to section 43(3), where a person is appointed as a plenary guardian, or 2 or more persons are appointed as joint plenary guardians, the person or persons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 xml:space="preserve">Without limiting subsection (1), a plenary guardian </w:t>
      </w:r>
      <w:r>
        <w:t>may do any of the following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w:t>
      </w:r>
      <w:r>
        <w:t>the represented person</w:t>
      </w:r>
      <w:r>
        <w:rPr>
          <w:snapToGrid w:val="0"/>
        </w:rPr>
        <w:t xml:space="preserve"> is to work and matters related thereto; </w:t>
      </w:r>
    </w:p>
    <w:p>
      <w:pPr>
        <w:pStyle w:val="Indenta"/>
      </w:pPr>
      <w:r>
        <w:lastRenderedPageBreak/>
        <w:tab/>
        <w:t>(d)</w:t>
      </w:r>
      <w:r>
        <w:tab/>
        <w:t>subject to subsections (3A) and (4A), make treatment decisions for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w:t>
      </w:r>
      <w:r>
        <w:rPr>
          <w:color w:val="000000" w:themeColor="text1"/>
        </w:rPr>
        <w:t>person;</w:t>
      </w:r>
    </w:p>
    <w:p>
      <w:pPr>
        <w:pStyle w:val="Indenta"/>
      </w:pPr>
      <w:r>
        <w:rPr>
          <w:color w:val="000000" w:themeColor="text1"/>
        </w:rPr>
        <w:tab/>
        <w:t>(i)</w:t>
      </w:r>
      <w:r>
        <w:rPr>
          <w:color w:val="000000" w:themeColor="text1"/>
        </w:rPr>
        <w:tab/>
        <w:t>if the plenary guardian is a research decision</w:t>
      </w:r>
      <w:r>
        <w:rPr>
          <w:color w:val="000000" w:themeColor="text1"/>
        </w:rPr>
        <w:noBreakHyphen/>
        <w:t>maker for the represented person — subject to subsection (4A)(a) and sections 110ZR and 110ZT, make research decisions in relation to the represented person.</w:t>
      </w:r>
    </w:p>
    <w:p>
      <w:pPr>
        <w:pStyle w:val="Subsection"/>
        <w:rPr>
          <w:snapToGrid w:val="0"/>
        </w:rPr>
      </w:pPr>
      <w:r>
        <w:rPr>
          <w:snapToGrid w:val="0"/>
        </w:rPr>
        <w:tab/>
        <w:t>(3)</w:t>
      </w:r>
      <w:r>
        <w:rPr>
          <w:snapToGrid w:val="0"/>
        </w:rPr>
        <w:tab/>
        <w:t xml:space="preserve">A plenary guardian </w:t>
      </w:r>
      <w:r>
        <w:t>cannot do any of the following on behalf of the represented person —</w:t>
      </w:r>
    </w:p>
    <w:p>
      <w:pPr>
        <w:pStyle w:val="Indenta"/>
        <w:rPr>
          <w:snapToGrid w:val="0"/>
        </w:rPr>
      </w:pPr>
      <w:r>
        <w:rPr>
          <w:snapToGrid w:val="0"/>
        </w:rPr>
        <w:tab/>
        <w:t>(a)</w:t>
      </w:r>
      <w:r>
        <w:rPr>
          <w:snapToGrid w:val="0"/>
        </w:rPr>
        <w:tab/>
        <w:t>vote in any election;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w:t>
      </w:r>
    </w:p>
    <w:p>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pPr>
      <w:r>
        <w:lastRenderedPageBreak/>
        <w:tab/>
        <w:t>(3A)</w:t>
      </w:r>
      <w:r>
        <w:tab/>
        <w:t>A plenary guardian cannot make a decision in respect of the performance of an abortion on the represented person, including for the purposes of a treatment decision or medical research.</w:t>
      </w:r>
    </w:p>
    <w:p>
      <w:pPr>
        <w:pStyle w:val="Subsection"/>
        <w:keepNext/>
      </w:pPr>
      <w:r>
        <w:rPr>
          <w:color w:val="000000" w:themeColor="text1"/>
        </w:rPr>
        <w:tab/>
        <w:t>(4A)</w:t>
      </w:r>
      <w:r>
        <w:rPr>
          <w:color w:val="000000" w:themeColor="text1"/>
        </w:rPr>
        <w:tab/>
        <w:t xml:space="preserve">A plenary guardian — </w:t>
      </w:r>
    </w:p>
    <w:p>
      <w:pPr>
        <w:pStyle w:val="Indenta"/>
      </w:pPr>
      <w:r>
        <w:rPr>
          <w:color w:val="000000" w:themeColor="text1"/>
        </w:rPr>
        <w:tab/>
        <w:t>(a)</w:t>
      </w:r>
      <w:r>
        <w:rPr>
          <w:color w:val="000000" w:themeColor="text1"/>
        </w:rPr>
        <w:tab/>
        <w:t xml:space="preserve">cannot consent, for the purposes of medical research, to — </w:t>
      </w:r>
    </w:p>
    <w:p>
      <w:pPr>
        <w:pStyle w:val="Indenti"/>
      </w:pPr>
      <w:r>
        <w:rPr>
          <w:color w:val="000000" w:themeColor="text1"/>
        </w:rPr>
        <w:tab/>
        <w:t>(i)</w:t>
      </w:r>
      <w:r>
        <w:rPr>
          <w:color w:val="000000" w:themeColor="text1"/>
        </w:rPr>
        <w:tab/>
        <w:t xml:space="preserve">the sterilisation of the represented person; or </w:t>
      </w:r>
    </w:p>
    <w:p>
      <w:pPr>
        <w:pStyle w:val="Indenti"/>
      </w:pPr>
      <w:r>
        <w:tab/>
        <w:t>(ii)</w:t>
      </w:r>
      <w:r>
        <w:tab/>
        <w:t>electroconvulsive therapy being performed on a research candidate;</w:t>
      </w:r>
    </w:p>
    <w:p>
      <w:pPr>
        <w:pStyle w:val="Indenta"/>
      </w:pPr>
      <w:r>
        <w:rPr>
          <w:color w:val="000000" w:themeColor="text1"/>
        </w:rPr>
        <w:tab/>
      </w:r>
      <w:r>
        <w:rPr>
          <w:color w:val="000000" w:themeColor="text1"/>
        </w:rPr>
        <w:tab/>
        <w:t>and</w:t>
      </w:r>
    </w:p>
    <w:p>
      <w:pPr>
        <w:pStyle w:val="Indenta"/>
      </w:pPr>
      <w:r>
        <w:tab/>
        <w:t>(b)</w:t>
      </w:r>
      <w:r>
        <w:tab/>
        <w:t>cannot consent to the sterilisation of the represented person for any other purposes,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No. 7 of 1996 s. 20; No. 69 of 1996 s. 34; No. 41 of 1997 s. 32; No. 70 of 2000 s. 8; No. 35 of 2006 s. 205; No. 27 of 2007 s. 25; No. 25 of 2008 s. 6; No. 47 of 2008 s. 64; No. 17 of 2014 s. 22(2) and (3); No. 14 of 2020 s. 7; No. 20 of 2023 s. 40.] </w:t>
      </w:r>
    </w:p>
    <w:p>
      <w:pPr>
        <w:pStyle w:val="Heading5"/>
        <w:rPr>
          <w:snapToGrid w:val="0"/>
        </w:rPr>
      </w:pPr>
      <w:bookmarkStart w:id="114" w:name="_Toc175575810"/>
      <w:r>
        <w:rPr>
          <w:rStyle w:val="CharSectno"/>
        </w:rPr>
        <w:t>46</w:t>
      </w:r>
      <w:r>
        <w:rPr>
          <w:snapToGrid w:val="0"/>
        </w:rPr>
        <w:t>.</w:t>
      </w:r>
      <w:r>
        <w:rPr>
          <w:snapToGrid w:val="0"/>
        </w:rPr>
        <w:tab/>
        <w:t>Authority of limited guardian</w:t>
      </w:r>
      <w:bookmarkEnd w:id="114"/>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No. 55 of 2004 s. 466(1).]</w:t>
      </w:r>
    </w:p>
    <w:p>
      <w:pPr>
        <w:pStyle w:val="Heading5"/>
        <w:keepLines w:val="0"/>
        <w:rPr>
          <w:snapToGrid w:val="0"/>
        </w:rPr>
      </w:pPr>
      <w:bookmarkStart w:id="115" w:name="_Toc175575811"/>
      <w:r>
        <w:rPr>
          <w:rStyle w:val="CharSectno"/>
        </w:rPr>
        <w:lastRenderedPageBreak/>
        <w:t>47</w:t>
      </w:r>
      <w:r>
        <w:rPr>
          <w:snapToGrid w:val="0"/>
        </w:rPr>
        <w:t>.</w:t>
      </w:r>
      <w:r>
        <w:rPr>
          <w:snapToGrid w:val="0"/>
        </w:rPr>
        <w:tab/>
        <w:t>Guardian may apply for directions</w:t>
      </w:r>
      <w:bookmarkEnd w:id="115"/>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No. 16 of 1992 s. 18; No. 55 of 2004 s. 466.] </w:t>
      </w:r>
    </w:p>
    <w:p>
      <w:pPr>
        <w:pStyle w:val="Heading5"/>
        <w:rPr>
          <w:snapToGrid w:val="0"/>
        </w:rPr>
      </w:pPr>
      <w:bookmarkStart w:id="116" w:name="_Toc175575812"/>
      <w:r>
        <w:rPr>
          <w:rStyle w:val="CharSectno"/>
        </w:rPr>
        <w:t>48</w:t>
      </w:r>
      <w:r>
        <w:rPr>
          <w:snapToGrid w:val="0"/>
        </w:rPr>
        <w:t>.</w:t>
      </w:r>
      <w:r>
        <w:rPr>
          <w:snapToGrid w:val="0"/>
        </w:rPr>
        <w:tab/>
        <w:t>Guardian may execute documents etc.</w:t>
      </w:r>
      <w:bookmarkEnd w:id="116"/>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117" w:name="_Toc175575813"/>
      <w:r>
        <w:rPr>
          <w:rStyle w:val="CharSectno"/>
        </w:rPr>
        <w:t>49</w:t>
      </w:r>
      <w:r>
        <w:rPr>
          <w:snapToGrid w:val="0"/>
        </w:rPr>
        <w:t>.</w:t>
      </w:r>
      <w:r>
        <w:rPr>
          <w:snapToGrid w:val="0"/>
        </w:rPr>
        <w:tab/>
        <w:t>Guardian may obtain warrant to enter</w:t>
      </w:r>
      <w:bookmarkEnd w:id="117"/>
      <w:r>
        <w:rPr>
          <w:snapToGrid w:val="0"/>
        </w:rPr>
        <w:t xml:space="preserve"> </w:t>
      </w:r>
    </w:p>
    <w:p>
      <w:pPr>
        <w:pStyle w:val="Subsection"/>
        <w:spacing w:before="120"/>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lastRenderedPageBreak/>
        <w:tab/>
        <w:t>(b)</w:t>
      </w:r>
      <w:r>
        <w:rPr>
          <w:snapToGrid w:val="0"/>
        </w:rPr>
        <w:tab/>
        <w:t>for the purpose of ascertaining whether the represented person is in those premises,</w:t>
      </w:r>
    </w:p>
    <w:p>
      <w:pPr>
        <w:pStyle w:val="Subsection"/>
        <w:spacing w:before="140"/>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spacing w:before="140"/>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spacing w:before="140"/>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spacing w:before="140"/>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No. 50 of 2003 s. 70(2); No. 55 of 2004 s. 466(1).]</w:t>
      </w:r>
    </w:p>
    <w:p>
      <w:pPr>
        <w:pStyle w:val="Heading5"/>
        <w:rPr>
          <w:snapToGrid w:val="0"/>
        </w:rPr>
      </w:pPr>
      <w:bookmarkStart w:id="118" w:name="_Toc175575814"/>
      <w:r>
        <w:rPr>
          <w:rStyle w:val="CharSectno"/>
        </w:rPr>
        <w:t>50</w:t>
      </w:r>
      <w:r>
        <w:rPr>
          <w:snapToGrid w:val="0"/>
        </w:rPr>
        <w:t>.</w:t>
      </w:r>
      <w:r>
        <w:rPr>
          <w:snapToGrid w:val="0"/>
        </w:rPr>
        <w:tab/>
        <w:t>Effect of actions etc. of guardian</w:t>
      </w:r>
      <w:bookmarkEnd w:id="118"/>
      <w:r>
        <w:rPr>
          <w:snapToGrid w:val="0"/>
        </w:rPr>
        <w:t xml:space="preserve"> </w:t>
      </w:r>
    </w:p>
    <w:p>
      <w:pPr>
        <w:pStyle w:val="Subsection"/>
        <w:spacing w:before="140"/>
        <w:rPr>
          <w:snapToGrid w:val="0"/>
        </w:rPr>
      </w:pPr>
      <w:r>
        <w:rPr>
          <w:snapToGrid w:val="0"/>
        </w:rPr>
        <w:tab/>
      </w:r>
      <w:r>
        <w:rPr>
          <w:snapToGrid w:val="0"/>
        </w:rPr>
        <w:tab/>
        <w:t xml:space="preserve">An action taken, decision made, </w:t>
      </w:r>
      <w:r>
        <w:t xml:space="preserve">consent given or refused, </w:t>
      </w:r>
      <w:r>
        <w:rPr>
          <w:snapToGrid w:val="0"/>
        </w:rPr>
        <w:t xml:space="preserve">document executed or thing done by a guardian in the performance of the functions vested in him has effect as if it had been taken, made, given, </w:t>
      </w:r>
      <w:r>
        <w:t xml:space="preserve">refused, </w:t>
      </w:r>
      <w:r>
        <w:rPr>
          <w:snapToGrid w:val="0"/>
        </w:rPr>
        <w:t>executed or done by the represented person and he were of full legal capacity.</w:t>
      </w:r>
    </w:p>
    <w:p>
      <w:pPr>
        <w:pStyle w:val="Footnotesection"/>
      </w:pPr>
      <w:r>
        <w:tab/>
        <w:t>[Section 50 amended: No. 25 of 2008 s. 7.]</w:t>
      </w:r>
    </w:p>
    <w:p>
      <w:pPr>
        <w:pStyle w:val="Heading5"/>
        <w:rPr>
          <w:snapToGrid w:val="0"/>
        </w:rPr>
      </w:pPr>
      <w:bookmarkStart w:id="119" w:name="_Toc175575815"/>
      <w:r>
        <w:rPr>
          <w:rStyle w:val="CharSectno"/>
        </w:rPr>
        <w:t>51</w:t>
      </w:r>
      <w:r>
        <w:rPr>
          <w:snapToGrid w:val="0"/>
        </w:rPr>
        <w:t>.</w:t>
      </w:r>
      <w:r>
        <w:rPr>
          <w:snapToGrid w:val="0"/>
        </w:rPr>
        <w:tab/>
        <w:t>Guardian to act in best interests of represented person</w:t>
      </w:r>
      <w:bookmarkEnd w:id="119"/>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xml:space="preserve">, a guardian </w:t>
      </w:r>
      <w:r>
        <w:rPr>
          <w:color w:val="000000" w:themeColor="text1"/>
        </w:rPr>
        <w:t>must act according to the guardian’s</w:t>
      </w:r>
      <w:r>
        <w:rPr>
          <w:snapToGrid w:val="0"/>
        </w:rPr>
        <w:t xml:space="preserve"> opinion of the best interests of the represented person.</w:t>
      </w:r>
    </w:p>
    <w:p>
      <w:pPr>
        <w:pStyle w:val="Subsection"/>
        <w:rPr>
          <w:snapToGrid w:val="0"/>
        </w:rPr>
      </w:pPr>
      <w:r>
        <w:rPr>
          <w:snapToGrid w:val="0"/>
        </w:rPr>
        <w:lastRenderedPageBreak/>
        <w:tab/>
        <w:t>(2)</w:t>
      </w:r>
      <w:r>
        <w:rPr>
          <w:snapToGrid w:val="0"/>
        </w:rPr>
        <w:tab/>
        <w:t xml:space="preserve">Without limiting the generality of subsection (1), a guardian acts in the best interests of a represented person if </w:t>
      </w:r>
      <w:r>
        <w:rPr>
          <w:color w:val="000000" w:themeColor="text1"/>
        </w:rPr>
        <w:t>the guardian</w:t>
      </w:r>
      <w:r>
        <w:rPr>
          <w:snapToGrid w:val="0"/>
        </w:rPr>
        <w:t xml:space="preserv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 xml:space="preserve">in such a way as to encourage and assist the represented person to become capable of caring for </w:t>
      </w:r>
      <w:r>
        <w:rPr>
          <w:color w:val="000000" w:themeColor="text1"/>
        </w:rPr>
        <w:t xml:space="preserve">themself </w:t>
      </w:r>
      <w:r>
        <w:rPr>
          <w:snapToGrid w:val="0"/>
          <w:color w:val="000000" w:themeColor="text1"/>
        </w:rPr>
        <w:t>and of making reasonable judgments in respect of matters relating to their</w:t>
      </w:r>
      <w:r>
        <w:rPr>
          <w:snapToGrid w:val="0"/>
        </w:rPr>
        <w:t xml:space="preserve">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pPr>
      <w:r>
        <w:rPr>
          <w:color w:val="000000" w:themeColor="text1"/>
        </w:rPr>
        <w:tab/>
        <w:t>(2A)</w:t>
      </w:r>
      <w:r>
        <w:rPr>
          <w:color w:val="000000" w:themeColor="text1"/>
        </w:rPr>
        <w:tab/>
        <w:t>Without limiting the generality of subsection (1), a guardian acts in the best interests of a represented person in making a research decision in relation to the represented person if the guardian acts in accordance with sections 110ZR and 110ZT.</w:t>
      </w:r>
    </w:p>
    <w:p>
      <w:pPr>
        <w:pStyle w:val="Subsection"/>
        <w:keepNext/>
        <w:rPr>
          <w:snapToGrid w:val="0"/>
        </w:rPr>
      </w:pPr>
      <w:r>
        <w:rPr>
          <w:snapToGrid w:val="0"/>
        </w:rPr>
        <w:lastRenderedPageBreak/>
        <w:tab/>
        <w:t>(3)</w:t>
      </w:r>
      <w:r>
        <w:rPr>
          <w:snapToGrid w:val="0"/>
        </w:rPr>
        <w:tab/>
        <w:t xml:space="preserve">Nothing in subsection (2)(a) </w:t>
      </w:r>
      <w:r>
        <w:rPr>
          <w:color w:val="000000" w:themeColor="text1"/>
        </w:rPr>
        <w:t>is to</w:t>
      </w:r>
      <w:r>
        <w:rPr>
          <w:snapToGrid w:val="0"/>
        </w:rPr>
        <w:t xml:space="preserve"> be read as authorising a guardian to act contrary to the</w:t>
      </w:r>
      <w:r>
        <w:rPr>
          <w:i/>
        </w:rPr>
        <w:t xml:space="preserve"> Legal Profession Uniform Law (WA)</w:t>
      </w:r>
      <w:r>
        <w:rPr>
          <w:snapToGrid w:val="0"/>
        </w:rPr>
        <w:t>.</w:t>
      </w:r>
    </w:p>
    <w:p>
      <w:pPr>
        <w:pStyle w:val="Footnotesection"/>
      </w:pPr>
      <w:r>
        <w:tab/>
        <w:t xml:space="preserve">[Section 51 amended: No. 7 of 1996 s. 21; No. 65 of 2003 s. 40(4); No. 55 of 2004 s. 466(1); No. 21 of 2008 s. 667(3); No. 14 of 2020 s. 8; No. 9 of 2022 s. 424.] </w:t>
      </w:r>
    </w:p>
    <w:p>
      <w:pPr>
        <w:pStyle w:val="Ednotesection"/>
        <w:ind w:left="890" w:hanging="890"/>
      </w:pPr>
      <w:r>
        <w:t>[</w:t>
      </w:r>
      <w:r>
        <w:rPr>
          <w:b/>
        </w:rPr>
        <w:t>52.</w:t>
      </w:r>
      <w:r>
        <w:tab/>
        <w:t>Deleted: No. 69 of 1996 s. 35.]</w:t>
      </w:r>
    </w:p>
    <w:p>
      <w:pPr>
        <w:pStyle w:val="Heading5"/>
        <w:rPr>
          <w:snapToGrid w:val="0"/>
        </w:rPr>
      </w:pPr>
      <w:bookmarkStart w:id="120" w:name="_Toc175575816"/>
      <w:r>
        <w:rPr>
          <w:rStyle w:val="CharSectno"/>
        </w:rPr>
        <w:t>53</w:t>
      </w:r>
      <w:r>
        <w:rPr>
          <w:snapToGrid w:val="0"/>
        </w:rPr>
        <w:t>.</w:t>
      </w:r>
      <w:r>
        <w:rPr>
          <w:snapToGrid w:val="0"/>
        </w:rPr>
        <w:tab/>
        <w:t>Guardians to act unanimously</w:t>
      </w:r>
      <w:bookmarkEnd w:id="120"/>
      <w:r>
        <w:rPr>
          <w:snapToGrid w:val="0"/>
        </w:rPr>
        <w:t xml:space="preserve"> </w:t>
      </w:r>
    </w:p>
    <w:p>
      <w:pPr>
        <w:pStyle w:val="Subsection"/>
        <w:keepNext/>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No. 55 of 2004 s. 466(1).]</w:t>
      </w:r>
    </w:p>
    <w:p>
      <w:pPr>
        <w:pStyle w:val="Heading5"/>
        <w:rPr>
          <w:snapToGrid w:val="0"/>
        </w:rPr>
      </w:pPr>
      <w:bookmarkStart w:id="121" w:name="_Toc175575817"/>
      <w:r>
        <w:rPr>
          <w:rStyle w:val="CharSectno"/>
        </w:rPr>
        <w:t>54</w:t>
      </w:r>
      <w:r>
        <w:rPr>
          <w:snapToGrid w:val="0"/>
        </w:rPr>
        <w:t>.</w:t>
      </w:r>
      <w:r>
        <w:rPr>
          <w:snapToGrid w:val="0"/>
        </w:rPr>
        <w:tab/>
        <w:t>Death of joint guardian</w:t>
      </w:r>
      <w:bookmarkEnd w:id="121"/>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122" w:name="_Toc175575818"/>
      <w:r>
        <w:rPr>
          <w:rStyle w:val="CharSectno"/>
        </w:rPr>
        <w:t>55</w:t>
      </w:r>
      <w:r>
        <w:rPr>
          <w:snapToGrid w:val="0"/>
        </w:rPr>
        <w:t>.</w:t>
      </w:r>
      <w:r>
        <w:rPr>
          <w:snapToGrid w:val="0"/>
        </w:rPr>
        <w:tab/>
        <w:t>Alternate guardian to take over on death of guardian</w:t>
      </w:r>
      <w:bookmarkEnd w:id="122"/>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lastRenderedPageBreak/>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No. 55 of 2004 s. 438.]</w:t>
      </w:r>
    </w:p>
    <w:p>
      <w:pPr>
        <w:pStyle w:val="Heading5"/>
      </w:pPr>
      <w:bookmarkStart w:id="123" w:name="_Toc175575819"/>
      <w:r>
        <w:rPr>
          <w:rStyle w:val="CharSectno"/>
        </w:rPr>
        <w:t>55A</w:t>
      </w:r>
      <w:r>
        <w:t>.</w:t>
      </w:r>
      <w:r>
        <w:tab/>
        <w:t>Priority of guardianship order</w:t>
      </w:r>
      <w:bookmarkEnd w:id="123"/>
    </w:p>
    <w:p>
      <w:pPr>
        <w:pStyle w:val="Subsection"/>
        <w:spacing w:before="120"/>
        <w:rPr>
          <w:spacing w:val="-4"/>
        </w:rPr>
      </w:pPr>
      <w:r>
        <w:tab/>
        <w:t>(1)</w:t>
      </w:r>
      <w:r>
        <w:tab/>
        <w:t xml:space="preserve">To the extent a guardianship order relates to the making of a treatment decision for the represented person, the priority to be </w:t>
      </w:r>
      <w:r>
        <w:rPr>
          <w:spacing w:val="-4"/>
        </w:rPr>
        <w:t>given to the order is determined in accordance with section 110ZJ.</w:t>
      </w:r>
    </w:p>
    <w:p>
      <w:pPr>
        <w:pStyle w:val="Subsection"/>
      </w:pPr>
      <w:r>
        <w:rPr>
          <w:color w:val="000000" w:themeColor="text1"/>
        </w:rPr>
        <w:tab/>
        <w:t>(1A)</w:t>
      </w:r>
      <w:r>
        <w:rPr>
          <w:color w:val="000000" w:themeColor="text1"/>
        </w:rPr>
        <w:tab/>
        <w:t>To the extent a guardianship order relates to the making of a research decision in relation to the represented person, a guardian appointed under the order may make the decision only if the guardian is the research decision</w:t>
      </w:r>
      <w:r>
        <w:rPr>
          <w:color w:val="000000" w:themeColor="text1"/>
        </w:rPr>
        <w:noBreakHyphen/>
        <w:t>maker for the person the subject of the guardianship order.</w:t>
      </w:r>
    </w:p>
    <w:p>
      <w:pPr>
        <w:pStyle w:val="Subsection"/>
        <w:spacing w:before="120"/>
      </w:pPr>
      <w:r>
        <w:tab/>
        <w:t>(2)</w:t>
      </w:r>
      <w:r>
        <w:tab/>
        <w:t>To the extent a guardianship order relates to the performance of any other function in relation to the represented person, the priority to be given to the order is determined in accordance with section 119.</w:t>
      </w:r>
    </w:p>
    <w:p>
      <w:pPr>
        <w:pStyle w:val="Footnotesection"/>
        <w:spacing w:before="100"/>
        <w:ind w:left="890" w:hanging="890"/>
      </w:pPr>
      <w:r>
        <w:tab/>
        <w:t>[Section 55A inserted: No. 25 of 2008 s. 8; amended: No. 14 of 2020 s. 9.]</w:t>
      </w:r>
    </w:p>
    <w:p>
      <w:pPr>
        <w:pStyle w:val="Heading3"/>
        <w:spacing w:before="200"/>
        <w:rPr>
          <w:snapToGrid w:val="0"/>
        </w:rPr>
      </w:pPr>
      <w:bookmarkStart w:id="124" w:name="_Toc175234786"/>
      <w:bookmarkStart w:id="125" w:name="_Toc175235059"/>
      <w:bookmarkStart w:id="126" w:name="_Toc175235379"/>
      <w:bookmarkStart w:id="127" w:name="_Toc175575549"/>
      <w:bookmarkStart w:id="128" w:name="_Toc175575820"/>
      <w:r>
        <w:rPr>
          <w:rStyle w:val="CharDivNo"/>
        </w:rPr>
        <w:t>Division 3</w:t>
      </w:r>
      <w:r>
        <w:rPr>
          <w:snapToGrid w:val="0"/>
        </w:rPr>
        <w:t> — </w:t>
      </w:r>
      <w:r>
        <w:rPr>
          <w:rStyle w:val="CharDivText"/>
        </w:rPr>
        <w:t>Limitations on sterilisation of persons under guardianship or where application for guardianship made</w:t>
      </w:r>
      <w:bookmarkEnd w:id="124"/>
      <w:bookmarkEnd w:id="125"/>
      <w:bookmarkEnd w:id="126"/>
      <w:bookmarkEnd w:id="127"/>
      <w:bookmarkEnd w:id="128"/>
      <w:r>
        <w:rPr>
          <w:rStyle w:val="CharDivText"/>
        </w:rPr>
        <w:t xml:space="preserve"> </w:t>
      </w:r>
    </w:p>
    <w:p>
      <w:pPr>
        <w:pStyle w:val="Heading5"/>
        <w:spacing w:before="180"/>
        <w:rPr>
          <w:snapToGrid w:val="0"/>
        </w:rPr>
      </w:pPr>
      <w:bookmarkStart w:id="129" w:name="_Toc175575821"/>
      <w:r>
        <w:rPr>
          <w:rStyle w:val="CharSectno"/>
        </w:rPr>
        <w:t>56</w:t>
      </w:r>
      <w:r>
        <w:rPr>
          <w:snapToGrid w:val="0"/>
        </w:rPr>
        <w:t>.</w:t>
      </w:r>
      <w:r>
        <w:rPr>
          <w:snapToGrid w:val="0"/>
        </w:rPr>
        <w:tab/>
        <w:t>Terms used</w:t>
      </w:r>
      <w:bookmarkEnd w:id="129"/>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sterilisation</w:t>
      </w:r>
      <w:r>
        <w:t xml:space="preserve"> does not include a lawful procedure that is carried out for a lawful purpose other than sterilisation but that incidentally results or may result in sterilisation;</w:t>
      </w:r>
    </w:p>
    <w:p>
      <w:pPr>
        <w:pStyle w:val="Defstart"/>
      </w:pPr>
      <w:r>
        <w:rPr>
          <w:b/>
        </w:rPr>
        <w:tab/>
      </w:r>
      <w:r>
        <w:rPr>
          <w:rStyle w:val="CharDefText"/>
        </w:rPr>
        <w:t>represented person</w:t>
      </w:r>
      <w:r>
        <w:t xml:space="preserve"> means a person in respect of whom a guardianship order is in force.</w:t>
      </w:r>
    </w:p>
    <w:p>
      <w:pPr>
        <w:pStyle w:val="Heading5"/>
        <w:spacing w:before="180"/>
        <w:rPr>
          <w:snapToGrid w:val="0"/>
        </w:rPr>
      </w:pPr>
      <w:bookmarkStart w:id="130" w:name="_Toc175575822"/>
      <w:r>
        <w:rPr>
          <w:rStyle w:val="CharSectno"/>
        </w:rPr>
        <w:lastRenderedPageBreak/>
        <w:t>56A</w:t>
      </w:r>
      <w:r>
        <w:rPr>
          <w:snapToGrid w:val="0"/>
        </w:rPr>
        <w:t xml:space="preserve">. </w:t>
      </w:r>
      <w:r>
        <w:rPr>
          <w:snapToGrid w:val="0"/>
        </w:rPr>
        <w:tab/>
        <w:t>Only Full Tribunal to act under this Division</w:t>
      </w:r>
      <w:bookmarkEnd w:id="130"/>
      <w:r>
        <w:rPr>
          <w:snapToGrid w:val="0"/>
        </w:rPr>
        <w:t xml:space="preserve"> </w:t>
      </w:r>
    </w:p>
    <w:p>
      <w:pPr>
        <w:pStyle w:val="Subsection"/>
        <w:spacing w:before="12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spacing w:before="100"/>
        <w:ind w:left="890" w:hanging="890"/>
      </w:pPr>
      <w:r>
        <w:tab/>
        <w:t xml:space="preserve">[Section 56A inserted: No. 16 of 1992 s. 12; amended: No. 55 of 2004 s. 439 and 466; No. 5 of 2008 s. 58.] </w:t>
      </w:r>
    </w:p>
    <w:p>
      <w:pPr>
        <w:pStyle w:val="Heading5"/>
        <w:keepNext w:val="0"/>
        <w:keepLines w:val="0"/>
        <w:spacing w:before="180"/>
        <w:rPr>
          <w:snapToGrid w:val="0"/>
        </w:rPr>
      </w:pPr>
      <w:bookmarkStart w:id="131" w:name="_Toc175575823"/>
      <w:r>
        <w:rPr>
          <w:rStyle w:val="CharSectno"/>
        </w:rPr>
        <w:t>57</w:t>
      </w:r>
      <w:r>
        <w:rPr>
          <w:snapToGrid w:val="0"/>
        </w:rPr>
        <w:t>.</w:t>
      </w:r>
      <w:r>
        <w:rPr>
          <w:snapToGrid w:val="0"/>
        </w:rPr>
        <w:tab/>
        <w:t>Prerequisites for sterilisation of persons to whom this Division applies</w:t>
      </w:r>
      <w:bookmarkEnd w:id="131"/>
      <w:r>
        <w:rPr>
          <w:snapToGrid w:val="0"/>
        </w:rPr>
        <w:t xml:space="preserve"> </w:t>
      </w:r>
    </w:p>
    <w:p>
      <w:pPr>
        <w:pStyle w:val="Subsection"/>
        <w:spacing w:before="120"/>
        <w:rPr>
          <w:snapToGrid w:val="0"/>
        </w:rPr>
      </w:pPr>
      <w:r>
        <w:rPr>
          <w:snapToGrid w:val="0"/>
        </w:rPr>
        <w:tab/>
        <w:t>(1)</w:t>
      </w:r>
      <w:r>
        <w:rPr>
          <w:snapToGrid w:val="0"/>
        </w:rPr>
        <w:tab/>
        <w:t>A person shall not carry out or take part in any procedure for the sterilisation of a represented person unless — </w:t>
      </w:r>
    </w:p>
    <w:p>
      <w:pPr>
        <w:pStyle w:val="Indenta"/>
        <w:spacing w:before="60"/>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sterilisation;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sterilisation is carried out in accordance with any condition imposed under this Act.</w:t>
      </w:r>
    </w:p>
    <w:p>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sterilisation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keepNext/>
        <w:rPr>
          <w:snapToGrid w:val="0"/>
        </w:rPr>
      </w:pPr>
      <w:r>
        <w:rPr>
          <w:snapToGrid w:val="0"/>
        </w:rPr>
        <w:lastRenderedPageBreak/>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No. 55 of 2004 s. 466(1).]</w:t>
      </w:r>
    </w:p>
    <w:p>
      <w:pPr>
        <w:pStyle w:val="Heading5"/>
        <w:rPr>
          <w:snapToGrid w:val="0"/>
        </w:rPr>
      </w:pPr>
      <w:bookmarkStart w:id="132" w:name="_Toc175575824"/>
      <w:r>
        <w:rPr>
          <w:rStyle w:val="CharSectno"/>
        </w:rPr>
        <w:t>58</w:t>
      </w:r>
      <w:r>
        <w:rPr>
          <w:snapToGrid w:val="0"/>
        </w:rPr>
        <w:t>.</w:t>
      </w:r>
      <w:r>
        <w:rPr>
          <w:snapToGrid w:val="0"/>
        </w:rPr>
        <w:tab/>
        <w:t>Restriction on guardian’s consent</w:t>
      </w:r>
      <w:bookmarkEnd w:id="132"/>
      <w:r>
        <w:rPr>
          <w:snapToGrid w:val="0"/>
        </w:rPr>
        <w:t xml:space="preserve"> </w:t>
      </w:r>
    </w:p>
    <w:p>
      <w:pPr>
        <w:pStyle w:val="Subsection"/>
        <w:rPr>
          <w:snapToGrid w:val="0"/>
        </w:rPr>
      </w:pPr>
      <w:r>
        <w:rPr>
          <w:snapToGrid w:val="0"/>
        </w:rPr>
        <w:tab/>
        <w:t>(1)</w:t>
      </w:r>
      <w:r>
        <w:rPr>
          <w:snapToGrid w:val="0"/>
        </w:rPr>
        <w:tab/>
        <w:t xml:space="preserve">A guardian shall not consent to the sterilisation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No. 55 of 2004 s. 466(1).]</w:t>
      </w:r>
    </w:p>
    <w:p>
      <w:pPr>
        <w:pStyle w:val="Heading5"/>
        <w:rPr>
          <w:snapToGrid w:val="0"/>
        </w:rPr>
      </w:pPr>
      <w:bookmarkStart w:id="133" w:name="_Toc175575825"/>
      <w:r>
        <w:rPr>
          <w:rStyle w:val="CharSectno"/>
        </w:rPr>
        <w:t>59</w:t>
      </w:r>
      <w:r>
        <w:rPr>
          <w:snapToGrid w:val="0"/>
        </w:rPr>
        <w:t>.</w:t>
      </w:r>
      <w:r>
        <w:rPr>
          <w:snapToGrid w:val="0"/>
        </w:rPr>
        <w:tab/>
        <w:t>Application for consent</w:t>
      </w:r>
      <w:bookmarkEnd w:id="133"/>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sterilisation of the represented person.</w:t>
      </w:r>
    </w:p>
    <w:p>
      <w:pPr>
        <w:pStyle w:val="Ednotesubsection"/>
      </w:pPr>
      <w:r>
        <w:tab/>
        <w:t>[(2)</w:t>
      </w:r>
      <w:r>
        <w:tab/>
        <w:t>deleted]</w:t>
      </w:r>
    </w:p>
    <w:p>
      <w:pPr>
        <w:pStyle w:val="Footnotesection"/>
      </w:pPr>
      <w:r>
        <w:tab/>
        <w:t xml:space="preserve">[Section 59 amended: No. 16 of 1992 s. 18; No. 7 of 1996 s. 36; No. 55 of 2004 s. 440 and 466(1).] </w:t>
      </w:r>
    </w:p>
    <w:p>
      <w:pPr>
        <w:pStyle w:val="Heading5"/>
        <w:rPr>
          <w:snapToGrid w:val="0"/>
        </w:rPr>
      </w:pPr>
      <w:bookmarkStart w:id="134" w:name="_Toc175575826"/>
      <w:r>
        <w:rPr>
          <w:rStyle w:val="CharSectno"/>
        </w:rPr>
        <w:t>60</w:t>
      </w:r>
      <w:r>
        <w:rPr>
          <w:snapToGrid w:val="0"/>
        </w:rPr>
        <w:t>.</w:t>
      </w:r>
      <w:r>
        <w:rPr>
          <w:snapToGrid w:val="0"/>
        </w:rPr>
        <w:tab/>
        <w:t>Notice of hearing</w:t>
      </w:r>
      <w:bookmarkEnd w:id="134"/>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lastRenderedPageBreak/>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w:t>
      </w:r>
      <w:r>
        <w:rPr>
          <w:rFonts w:eastAsia="MS Mincho"/>
        </w:rPr>
        <w:t>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No. 16 of 1992 s. 18; No. 7 of 1996 s. 36; No. 55 of 2004 s. 441 and 466(1); No. 19 of 2010 s. 18(2).] </w:t>
      </w:r>
    </w:p>
    <w:p>
      <w:pPr>
        <w:pStyle w:val="Ednotesection"/>
        <w:ind w:left="890" w:hanging="890"/>
      </w:pPr>
      <w:r>
        <w:t>[</w:t>
      </w:r>
      <w:r>
        <w:rPr>
          <w:b/>
        </w:rPr>
        <w:t>61.</w:t>
      </w:r>
      <w:r>
        <w:tab/>
        <w:t xml:space="preserve">Deleted: No. 55 of 2004 s. 442.] </w:t>
      </w:r>
    </w:p>
    <w:p>
      <w:pPr>
        <w:pStyle w:val="Ednotesection"/>
        <w:ind w:left="890" w:hanging="890"/>
      </w:pPr>
      <w:r>
        <w:t>[</w:t>
      </w:r>
      <w:r>
        <w:rPr>
          <w:b/>
        </w:rPr>
        <w:t>62.</w:t>
      </w:r>
      <w:r>
        <w:tab/>
        <w:t xml:space="preserve">Deleted: No. 7 of 1996 s. 22.] </w:t>
      </w:r>
    </w:p>
    <w:p>
      <w:pPr>
        <w:pStyle w:val="Heading5"/>
        <w:rPr>
          <w:snapToGrid w:val="0"/>
        </w:rPr>
      </w:pPr>
      <w:bookmarkStart w:id="135" w:name="_Toc175575827"/>
      <w:r>
        <w:rPr>
          <w:rStyle w:val="CharSectno"/>
        </w:rPr>
        <w:lastRenderedPageBreak/>
        <w:t>63</w:t>
      </w:r>
      <w:r>
        <w:rPr>
          <w:snapToGrid w:val="0"/>
        </w:rPr>
        <w:t>.</w:t>
      </w:r>
      <w:r>
        <w:rPr>
          <w:snapToGrid w:val="0"/>
        </w:rPr>
        <w:tab/>
        <w:t>State Administrative Tribunal may consent if in best interests of represented person</w:t>
      </w:r>
      <w:bookmarkEnd w:id="135"/>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sterilisation of a represented person if it is satisfied that the sterilisation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No. 55 of 2004 s. 466(1).]</w:t>
      </w:r>
    </w:p>
    <w:p>
      <w:pPr>
        <w:pStyle w:val="Heading2"/>
      </w:pPr>
      <w:bookmarkStart w:id="136" w:name="_Toc175234794"/>
      <w:bookmarkStart w:id="137" w:name="_Toc175235067"/>
      <w:bookmarkStart w:id="138" w:name="_Toc175235387"/>
      <w:bookmarkStart w:id="139" w:name="_Toc175575557"/>
      <w:bookmarkStart w:id="140" w:name="_Toc175575828"/>
      <w:r>
        <w:rPr>
          <w:rStyle w:val="CharPartNo"/>
        </w:rPr>
        <w:lastRenderedPageBreak/>
        <w:t>Part 6</w:t>
      </w:r>
      <w:r>
        <w:t> — </w:t>
      </w:r>
      <w:r>
        <w:rPr>
          <w:rStyle w:val="CharPartText"/>
        </w:rPr>
        <w:t>Estate administration</w:t>
      </w:r>
      <w:bookmarkEnd w:id="136"/>
      <w:bookmarkEnd w:id="137"/>
      <w:bookmarkEnd w:id="138"/>
      <w:bookmarkEnd w:id="139"/>
      <w:bookmarkEnd w:id="140"/>
      <w:r>
        <w:rPr>
          <w:rStyle w:val="CharPartText"/>
        </w:rPr>
        <w:t xml:space="preserve"> </w:t>
      </w:r>
    </w:p>
    <w:p>
      <w:pPr>
        <w:pStyle w:val="Heading3"/>
        <w:rPr>
          <w:snapToGrid w:val="0"/>
        </w:rPr>
      </w:pPr>
      <w:bookmarkStart w:id="141" w:name="_Toc175234795"/>
      <w:bookmarkStart w:id="142" w:name="_Toc175235068"/>
      <w:bookmarkStart w:id="143" w:name="_Toc175235388"/>
      <w:bookmarkStart w:id="144" w:name="_Toc175575558"/>
      <w:bookmarkStart w:id="145" w:name="_Toc175575829"/>
      <w:r>
        <w:rPr>
          <w:rStyle w:val="CharDivNo"/>
        </w:rPr>
        <w:t>Division 1</w:t>
      </w:r>
      <w:r>
        <w:rPr>
          <w:snapToGrid w:val="0"/>
        </w:rPr>
        <w:t> — </w:t>
      </w:r>
      <w:r>
        <w:rPr>
          <w:rStyle w:val="CharDivText"/>
        </w:rPr>
        <w:t>Appointment of administrator</w:t>
      </w:r>
      <w:bookmarkEnd w:id="141"/>
      <w:bookmarkEnd w:id="142"/>
      <w:bookmarkEnd w:id="143"/>
      <w:bookmarkEnd w:id="144"/>
      <w:bookmarkEnd w:id="145"/>
      <w:r>
        <w:rPr>
          <w:rStyle w:val="CharDivText"/>
        </w:rPr>
        <w:t xml:space="preserve"> </w:t>
      </w:r>
    </w:p>
    <w:p>
      <w:pPr>
        <w:pStyle w:val="Heading5"/>
        <w:spacing w:before="180"/>
        <w:rPr>
          <w:snapToGrid w:val="0"/>
        </w:rPr>
      </w:pPr>
      <w:bookmarkStart w:id="146" w:name="_Toc175575830"/>
      <w:r>
        <w:rPr>
          <w:rStyle w:val="CharSectno"/>
        </w:rPr>
        <w:t>64</w:t>
      </w:r>
      <w:r>
        <w:rPr>
          <w:snapToGrid w:val="0"/>
        </w:rPr>
        <w:t>.</w:t>
      </w:r>
      <w:r>
        <w:rPr>
          <w:snapToGrid w:val="0"/>
        </w:rPr>
        <w:tab/>
        <w:t>Making of administration order</w:t>
      </w:r>
      <w:bookmarkEnd w:id="146"/>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No. 16 of 1992 s. 18; No. 57 of 1997 s. 67; No 70 of 2000 s. 9; </w:t>
      </w:r>
      <w:r>
        <w:rPr>
          <w:spacing w:val="-6"/>
        </w:rPr>
        <w:t>No. 34 of 2004 Sch. 2 cl. 11</w:t>
      </w:r>
      <w:r>
        <w:t xml:space="preserve">; No. 55 of 2004 s. 466.] </w:t>
      </w:r>
    </w:p>
    <w:p>
      <w:pPr>
        <w:pStyle w:val="Heading5"/>
        <w:rPr>
          <w:snapToGrid w:val="0"/>
        </w:rPr>
      </w:pPr>
      <w:bookmarkStart w:id="147" w:name="_Toc175575831"/>
      <w:r>
        <w:rPr>
          <w:rStyle w:val="CharSectno"/>
        </w:rPr>
        <w:lastRenderedPageBreak/>
        <w:t>65</w:t>
      </w:r>
      <w:r>
        <w:rPr>
          <w:snapToGrid w:val="0"/>
        </w:rPr>
        <w:t>.</w:t>
      </w:r>
      <w:r>
        <w:rPr>
          <w:snapToGrid w:val="0"/>
        </w:rPr>
        <w:tab/>
        <w:t>Emergency provision</w:t>
      </w:r>
      <w:bookmarkEnd w:id="147"/>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No. 55 of 2004 s. 466.]</w:t>
      </w:r>
    </w:p>
    <w:p>
      <w:pPr>
        <w:pStyle w:val="Heading5"/>
        <w:spacing w:before="180"/>
        <w:rPr>
          <w:snapToGrid w:val="0"/>
        </w:rPr>
      </w:pPr>
      <w:bookmarkStart w:id="148" w:name="_Toc175575832"/>
      <w:r>
        <w:rPr>
          <w:rStyle w:val="CharSectno"/>
        </w:rPr>
        <w:t>66</w:t>
      </w:r>
      <w:r>
        <w:rPr>
          <w:snapToGrid w:val="0"/>
        </w:rPr>
        <w:t>.</w:t>
      </w:r>
      <w:r>
        <w:rPr>
          <w:snapToGrid w:val="0"/>
        </w:rPr>
        <w:tab/>
        <w:t>Acts may be authorised without administration order</w:t>
      </w:r>
      <w:bookmarkEnd w:id="148"/>
      <w:r>
        <w:rPr>
          <w:snapToGrid w:val="0"/>
        </w:rPr>
        <w:t xml:space="preserve"> </w:t>
      </w:r>
    </w:p>
    <w:p>
      <w:pPr>
        <w:pStyle w:val="Subsection"/>
        <w:spacing w:before="120"/>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spacing w:before="120"/>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spacing w:before="120"/>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spacing w:before="120"/>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lastRenderedPageBreak/>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No. 55 of 2004 s. 466.]</w:t>
      </w:r>
    </w:p>
    <w:p>
      <w:pPr>
        <w:pStyle w:val="Heading5"/>
        <w:rPr>
          <w:snapToGrid w:val="0"/>
        </w:rPr>
      </w:pPr>
      <w:bookmarkStart w:id="149" w:name="_Toc175575833"/>
      <w:r>
        <w:rPr>
          <w:rStyle w:val="CharSectno"/>
        </w:rPr>
        <w:t>67</w:t>
      </w:r>
      <w:r>
        <w:rPr>
          <w:snapToGrid w:val="0"/>
        </w:rPr>
        <w:t>.</w:t>
      </w:r>
      <w:r>
        <w:rPr>
          <w:snapToGrid w:val="0"/>
        </w:rPr>
        <w:tab/>
        <w:t>Non</w:t>
      </w:r>
      <w:r>
        <w:rPr>
          <w:snapToGrid w:val="0"/>
        </w:rPr>
        <w:noBreakHyphen/>
        <w:t>residents etc.</w:t>
      </w:r>
      <w:bookmarkEnd w:id="149"/>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lastRenderedPageBreak/>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No. 55 of 2004 s. 466(1).]</w:t>
      </w:r>
    </w:p>
    <w:p>
      <w:pPr>
        <w:pStyle w:val="Heading5"/>
        <w:rPr>
          <w:snapToGrid w:val="0"/>
        </w:rPr>
      </w:pPr>
      <w:bookmarkStart w:id="150" w:name="_Toc175575834"/>
      <w:r>
        <w:rPr>
          <w:rStyle w:val="CharSectno"/>
        </w:rPr>
        <w:t>68</w:t>
      </w:r>
      <w:r>
        <w:rPr>
          <w:snapToGrid w:val="0"/>
        </w:rPr>
        <w:t>.</w:t>
      </w:r>
      <w:r>
        <w:rPr>
          <w:snapToGrid w:val="0"/>
        </w:rPr>
        <w:tab/>
        <w:t>Who may be appointed administrator</w:t>
      </w:r>
      <w:bookmarkEnd w:id="150"/>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lastRenderedPageBreak/>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No. 7 of 1996 s. 23; No. 55 of 2004 s. 466(1).] </w:t>
      </w:r>
    </w:p>
    <w:p>
      <w:pPr>
        <w:pStyle w:val="Heading3"/>
        <w:rPr>
          <w:snapToGrid w:val="0"/>
        </w:rPr>
      </w:pPr>
      <w:bookmarkStart w:id="151" w:name="_Toc175234801"/>
      <w:bookmarkStart w:id="152" w:name="_Toc175235074"/>
      <w:bookmarkStart w:id="153" w:name="_Toc175235394"/>
      <w:bookmarkStart w:id="154" w:name="_Toc175575564"/>
      <w:bookmarkStart w:id="155" w:name="_Toc175575835"/>
      <w:r>
        <w:rPr>
          <w:rStyle w:val="CharDivNo"/>
        </w:rPr>
        <w:t>Division 2</w:t>
      </w:r>
      <w:r>
        <w:rPr>
          <w:snapToGrid w:val="0"/>
        </w:rPr>
        <w:t> — </w:t>
      </w:r>
      <w:r>
        <w:rPr>
          <w:rStyle w:val="CharDivText"/>
        </w:rPr>
        <w:t>Functions of administrators</w:t>
      </w:r>
      <w:bookmarkEnd w:id="151"/>
      <w:bookmarkEnd w:id="152"/>
      <w:bookmarkEnd w:id="153"/>
      <w:bookmarkEnd w:id="154"/>
      <w:bookmarkEnd w:id="155"/>
      <w:r>
        <w:rPr>
          <w:rStyle w:val="CharDivText"/>
        </w:rPr>
        <w:t xml:space="preserve"> </w:t>
      </w:r>
    </w:p>
    <w:p>
      <w:pPr>
        <w:pStyle w:val="Heading5"/>
        <w:rPr>
          <w:snapToGrid w:val="0"/>
        </w:rPr>
      </w:pPr>
      <w:bookmarkStart w:id="156" w:name="_Toc175575836"/>
      <w:r>
        <w:rPr>
          <w:rStyle w:val="CharSectno"/>
        </w:rPr>
        <w:t>69</w:t>
      </w:r>
      <w:r>
        <w:rPr>
          <w:snapToGrid w:val="0"/>
        </w:rPr>
        <w:t>.</w:t>
      </w:r>
      <w:r>
        <w:rPr>
          <w:snapToGrid w:val="0"/>
        </w:rPr>
        <w:tab/>
        <w:t>Authority of administrator</w:t>
      </w:r>
      <w:bookmarkEnd w:id="156"/>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No. 55 of 2004 s. 466(1).]</w:t>
      </w:r>
    </w:p>
    <w:p>
      <w:pPr>
        <w:pStyle w:val="Heading5"/>
        <w:rPr>
          <w:snapToGrid w:val="0"/>
        </w:rPr>
      </w:pPr>
      <w:bookmarkStart w:id="157" w:name="_Toc175575837"/>
      <w:r>
        <w:rPr>
          <w:rStyle w:val="CharSectno"/>
        </w:rPr>
        <w:lastRenderedPageBreak/>
        <w:t>70</w:t>
      </w:r>
      <w:r>
        <w:rPr>
          <w:snapToGrid w:val="0"/>
        </w:rPr>
        <w:t>.</w:t>
      </w:r>
      <w:r>
        <w:rPr>
          <w:snapToGrid w:val="0"/>
        </w:rPr>
        <w:tab/>
        <w:t>Administrator to act in best interests of represented person</w:t>
      </w:r>
      <w:bookmarkEnd w:id="157"/>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Profession Uniform Law (WA)</w:t>
      </w:r>
      <w:r>
        <w:t>.</w:t>
      </w:r>
    </w:p>
    <w:p>
      <w:pPr>
        <w:pStyle w:val="Subsection"/>
        <w:keepNext/>
      </w:pPr>
      <w:r>
        <w:lastRenderedPageBreak/>
        <w:tab/>
        <w:t>(4)</w:t>
      </w:r>
      <w:r>
        <w:tab/>
        <w:t>Nothing in subsection (2) shall be read as restricting the functions of an administrator at common law or under any written law.</w:t>
      </w:r>
    </w:p>
    <w:p>
      <w:pPr>
        <w:pStyle w:val="Footnotesection"/>
      </w:pPr>
      <w:r>
        <w:tab/>
        <w:t>[Section 70 amended: No. 70 of 2000 s. 10; No. 65 of 2003 s. 40(4); No. 21 of 2008 s. 667(4); No. 9 of 2022 s. 424.]</w:t>
      </w:r>
    </w:p>
    <w:p>
      <w:pPr>
        <w:pStyle w:val="Heading5"/>
        <w:rPr>
          <w:snapToGrid w:val="0"/>
        </w:rPr>
      </w:pPr>
      <w:bookmarkStart w:id="158" w:name="_Toc175575838"/>
      <w:r>
        <w:rPr>
          <w:rStyle w:val="CharSectno"/>
        </w:rPr>
        <w:t>71</w:t>
      </w:r>
      <w:r>
        <w:rPr>
          <w:snapToGrid w:val="0"/>
        </w:rPr>
        <w:t>.</w:t>
      </w:r>
      <w:r>
        <w:rPr>
          <w:snapToGrid w:val="0"/>
        </w:rPr>
        <w:tab/>
        <w:t>Authority which may be conferred on administrator</w:t>
      </w:r>
      <w:bookmarkEnd w:id="158"/>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keepNext/>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 and in particular may, if the circumstances so require, empower an administrator to make a payment or enter into a transaction of </w:t>
      </w:r>
      <w:r>
        <w:rPr>
          <w:snapToGrid w:val="0"/>
        </w:rPr>
        <w:lastRenderedPageBreak/>
        <w:t>a kind described in section 72(3) on behalf of the represented person.</w:t>
      </w:r>
    </w:p>
    <w:p>
      <w:pPr>
        <w:pStyle w:val="Footnotesection"/>
      </w:pPr>
      <w:r>
        <w:tab/>
        <w:t>[Section 71 amended: No. 55 of 2004 s. 466(1); No. 27 of 2007 s. 25; No. 19 of 2010 s. 51.]</w:t>
      </w:r>
    </w:p>
    <w:p>
      <w:pPr>
        <w:pStyle w:val="Heading5"/>
        <w:rPr>
          <w:snapToGrid w:val="0"/>
        </w:rPr>
      </w:pPr>
      <w:bookmarkStart w:id="159" w:name="_Toc175575839"/>
      <w:r>
        <w:rPr>
          <w:rStyle w:val="CharSectno"/>
        </w:rPr>
        <w:t>71A</w:t>
      </w:r>
      <w:r>
        <w:rPr>
          <w:snapToGrid w:val="0"/>
        </w:rPr>
        <w:t>.</w:t>
      </w:r>
      <w:r>
        <w:rPr>
          <w:snapToGrid w:val="0"/>
        </w:rPr>
        <w:tab/>
        <w:t>Amendment of order to confer particular function</w:t>
      </w:r>
      <w:bookmarkEnd w:id="159"/>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No. 7 of 1996 s. 24; amended: No. 55 of 2004 s. 466(1).] </w:t>
      </w:r>
    </w:p>
    <w:p>
      <w:pPr>
        <w:pStyle w:val="Heading5"/>
        <w:rPr>
          <w:snapToGrid w:val="0"/>
        </w:rPr>
      </w:pPr>
      <w:bookmarkStart w:id="160" w:name="_Toc175575840"/>
      <w:r>
        <w:rPr>
          <w:rStyle w:val="CharSectno"/>
        </w:rPr>
        <w:t>72</w:t>
      </w:r>
      <w:r>
        <w:rPr>
          <w:snapToGrid w:val="0"/>
        </w:rPr>
        <w:t>.</w:t>
      </w:r>
      <w:r>
        <w:rPr>
          <w:snapToGrid w:val="0"/>
        </w:rPr>
        <w:tab/>
        <w:t>Further provisions as to authority of administrators</w:t>
      </w:r>
      <w:bookmarkEnd w:id="16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keepNext/>
        <w:rPr>
          <w:snapToGrid w:val="0"/>
        </w:rPr>
      </w:pPr>
      <w:r>
        <w:rPr>
          <w:snapToGrid w:val="0"/>
        </w:rPr>
        <w:lastRenderedPageBreak/>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No. 55 of 2004 s. 466(1).]</w:t>
      </w:r>
    </w:p>
    <w:p>
      <w:pPr>
        <w:pStyle w:val="Ednotesection"/>
        <w:ind w:left="890" w:hanging="890"/>
      </w:pPr>
      <w:r>
        <w:t>[</w:t>
      </w:r>
      <w:r>
        <w:rPr>
          <w:b/>
        </w:rPr>
        <w:t>73.</w:t>
      </w:r>
      <w:r>
        <w:rPr>
          <w:b/>
        </w:rPr>
        <w:tab/>
      </w:r>
      <w:r>
        <w:t xml:space="preserve">Deleted: No. 7 of 1996 s. 25.] </w:t>
      </w:r>
    </w:p>
    <w:p>
      <w:pPr>
        <w:pStyle w:val="Heading5"/>
        <w:rPr>
          <w:snapToGrid w:val="0"/>
        </w:rPr>
      </w:pPr>
      <w:bookmarkStart w:id="161" w:name="_Toc175575841"/>
      <w:r>
        <w:rPr>
          <w:rStyle w:val="CharSectno"/>
        </w:rPr>
        <w:t>74</w:t>
      </w:r>
      <w:r>
        <w:rPr>
          <w:snapToGrid w:val="0"/>
        </w:rPr>
        <w:t>.</w:t>
      </w:r>
      <w:r>
        <w:rPr>
          <w:snapToGrid w:val="0"/>
        </w:rPr>
        <w:tab/>
        <w:t>Administrator may apply for directions</w:t>
      </w:r>
      <w:bookmarkEnd w:id="161"/>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No. 16 of 1992 s. 18; No. 55 of 2004 s. 466.] </w:t>
      </w:r>
    </w:p>
    <w:p>
      <w:pPr>
        <w:pStyle w:val="Heading5"/>
        <w:rPr>
          <w:snapToGrid w:val="0"/>
        </w:rPr>
      </w:pPr>
      <w:bookmarkStart w:id="162" w:name="_Toc175575842"/>
      <w:r>
        <w:rPr>
          <w:rStyle w:val="CharSectno"/>
        </w:rPr>
        <w:lastRenderedPageBreak/>
        <w:t>75</w:t>
      </w:r>
      <w:r>
        <w:rPr>
          <w:snapToGrid w:val="0"/>
        </w:rPr>
        <w:t>.</w:t>
      </w:r>
      <w:r>
        <w:rPr>
          <w:snapToGrid w:val="0"/>
        </w:rPr>
        <w:tab/>
        <w:t>Administrators to act unanimously</w:t>
      </w:r>
      <w:bookmarkEnd w:id="162"/>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No. 55 of 2004 s. 466(1).]</w:t>
      </w:r>
    </w:p>
    <w:p>
      <w:pPr>
        <w:pStyle w:val="Heading5"/>
        <w:rPr>
          <w:snapToGrid w:val="0"/>
        </w:rPr>
      </w:pPr>
      <w:bookmarkStart w:id="163" w:name="_Toc175575843"/>
      <w:r>
        <w:rPr>
          <w:rStyle w:val="CharSectno"/>
        </w:rPr>
        <w:t>76</w:t>
      </w:r>
      <w:r>
        <w:rPr>
          <w:snapToGrid w:val="0"/>
        </w:rPr>
        <w:t>.</w:t>
      </w:r>
      <w:r>
        <w:rPr>
          <w:snapToGrid w:val="0"/>
        </w:rPr>
        <w:tab/>
        <w:t>Administrator may employ agents</w:t>
      </w:r>
      <w:bookmarkEnd w:id="163"/>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w:t>
      </w:r>
      <w:r>
        <w:t xml:space="preserve">section 50 </w:t>
      </w:r>
      <w:r>
        <w:rPr>
          <w:snapToGrid w:val="0"/>
        </w:rPr>
        <w:t xml:space="preserve">of the </w:t>
      </w:r>
      <w:r>
        <w:rPr>
          <w:i/>
          <w:snapToGrid w:val="0"/>
        </w:rPr>
        <w:t>Public Trustee Act 1941</w:t>
      </w:r>
      <w:r>
        <w:rPr>
          <w:snapToGrid w:val="0"/>
          <w:vertAlign w:val="superscript"/>
        </w:rPr>
        <w:t> 4</w:t>
      </w:r>
      <w:r>
        <w:rPr>
          <w:snapToGrid w:val="0"/>
        </w:rPr>
        <w:t>.</w:t>
      </w:r>
    </w:p>
    <w:p>
      <w:pPr>
        <w:pStyle w:val="Footnotesection"/>
      </w:pPr>
      <w:r>
        <w:tab/>
        <w:t>[Section 76 amended: No. 17 of 2014 s. 22(4).]</w:t>
      </w:r>
    </w:p>
    <w:p>
      <w:pPr>
        <w:pStyle w:val="Heading5"/>
        <w:rPr>
          <w:snapToGrid w:val="0"/>
        </w:rPr>
      </w:pPr>
      <w:bookmarkStart w:id="164" w:name="_Toc175575844"/>
      <w:r>
        <w:rPr>
          <w:rStyle w:val="CharSectno"/>
        </w:rPr>
        <w:t>77</w:t>
      </w:r>
      <w:r>
        <w:rPr>
          <w:snapToGrid w:val="0"/>
        </w:rPr>
        <w:t>.</w:t>
      </w:r>
      <w:r>
        <w:rPr>
          <w:snapToGrid w:val="0"/>
        </w:rPr>
        <w:tab/>
        <w:t>Represented person incapable of dealing with estate</w:t>
      </w:r>
      <w:bookmarkEnd w:id="164"/>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lastRenderedPageBreak/>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No. 55 of 2004 s. 466.]</w:t>
      </w:r>
    </w:p>
    <w:p>
      <w:pPr>
        <w:pStyle w:val="Heading5"/>
        <w:rPr>
          <w:snapToGrid w:val="0"/>
        </w:rPr>
      </w:pPr>
      <w:bookmarkStart w:id="165" w:name="_Toc175575845"/>
      <w:r>
        <w:rPr>
          <w:rStyle w:val="CharSectno"/>
        </w:rPr>
        <w:t>78</w:t>
      </w:r>
      <w:r>
        <w:rPr>
          <w:snapToGrid w:val="0"/>
        </w:rPr>
        <w:t>.</w:t>
      </w:r>
      <w:r>
        <w:rPr>
          <w:snapToGrid w:val="0"/>
        </w:rPr>
        <w:tab/>
        <w:t>Cessation of authority of administrator</w:t>
      </w:r>
      <w:bookmarkEnd w:id="165"/>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lastRenderedPageBreak/>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No. 55 of 2004 s. 466(1).]</w:t>
      </w:r>
    </w:p>
    <w:p>
      <w:pPr>
        <w:pStyle w:val="Heading5"/>
        <w:rPr>
          <w:snapToGrid w:val="0"/>
        </w:rPr>
      </w:pPr>
      <w:bookmarkStart w:id="166" w:name="_Toc175575846"/>
      <w:r>
        <w:rPr>
          <w:rStyle w:val="CharSectno"/>
        </w:rPr>
        <w:t>79</w:t>
      </w:r>
      <w:r>
        <w:rPr>
          <w:snapToGrid w:val="0"/>
        </w:rPr>
        <w:t>.</w:t>
      </w:r>
      <w:r>
        <w:rPr>
          <w:snapToGrid w:val="0"/>
        </w:rPr>
        <w:tab/>
        <w:t>Represented person bound by acts of administrator</w:t>
      </w:r>
      <w:bookmarkEnd w:id="166"/>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167" w:name="_Toc175575847"/>
      <w:r>
        <w:rPr>
          <w:rStyle w:val="CharSectno"/>
        </w:rPr>
        <w:t>80</w:t>
      </w:r>
      <w:r>
        <w:rPr>
          <w:snapToGrid w:val="0"/>
        </w:rPr>
        <w:t>.</w:t>
      </w:r>
      <w:r>
        <w:rPr>
          <w:snapToGrid w:val="0"/>
        </w:rPr>
        <w:tab/>
        <w:t>Accounts</w:t>
      </w:r>
      <w:bookmarkEnd w:id="167"/>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lastRenderedPageBreak/>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keepNext/>
        <w:rPr>
          <w:snapToGrid w:val="0"/>
        </w:rPr>
      </w:pPr>
      <w:r>
        <w:rPr>
          <w:snapToGrid w:val="0"/>
        </w:rPr>
        <w:lastRenderedPageBreak/>
        <w:tab/>
        <w:t>(7)</w:t>
      </w:r>
      <w:r>
        <w:rPr>
          <w:snapToGrid w:val="0"/>
        </w:rPr>
        <w:tab/>
        <w:t>This section does not apply to the Public Trustee in the Public Trustee’s capacity as an administrator.</w:t>
      </w:r>
    </w:p>
    <w:p>
      <w:pPr>
        <w:pStyle w:val="Footnotesection"/>
      </w:pPr>
      <w:r>
        <w:tab/>
        <w:t xml:space="preserve">[Section 80 amended: No. 16 of 1992 s. 13 and 18; No. 55 of 2004 s. 443.] </w:t>
      </w:r>
    </w:p>
    <w:p>
      <w:pPr>
        <w:pStyle w:val="Heading5"/>
        <w:rPr>
          <w:snapToGrid w:val="0"/>
        </w:rPr>
      </w:pPr>
      <w:bookmarkStart w:id="168" w:name="_Toc175575848"/>
      <w:r>
        <w:rPr>
          <w:rStyle w:val="CharSectno"/>
        </w:rPr>
        <w:t>81</w:t>
      </w:r>
      <w:r>
        <w:rPr>
          <w:snapToGrid w:val="0"/>
        </w:rPr>
        <w:t>.</w:t>
      </w:r>
      <w:r>
        <w:rPr>
          <w:snapToGrid w:val="0"/>
        </w:rPr>
        <w:tab/>
        <w:t>Enforcement of security</w:t>
      </w:r>
      <w:bookmarkEnd w:id="168"/>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ind w:left="890" w:hanging="890"/>
      </w:pPr>
      <w:r>
        <w:tab/>
        <w:t xml:space="preserve">[Section 81 amended: No. 16 of 1992 s. 18; No. 55 of 2004 s. 466(1).] </w:t>
      </w:r>
    </w:p>
    <w:p>
      <w:pPr>
        <w:pStyle w:val="Heading5"/>
        <w:rPr>
          <w:snapToGrid w:val="0"/>
        </w:rPr>
      </w:pPr>
      <w:bookmarkStart w:id="169" w:name="_Toc175575849"/>
      <w:r>
        <w:rPr>
          <w:rStyle w:val="CharSectno"/>
        </w:rPr>
        <w:t>82</w:t>
      </w:r>
      <w:r>
        <w:rPr>
          <w:snapToGrid w:val="0"/>
        </w:rPr>
        <w:t>.</w:t>
      </w:r>
      <w:r>
        <w:rPr>
          <w:snapToGrid w:val="0"/>
        </w:rPr>
        <w:tab/>
        <w:t>Transactions may be set aside</w:t>
      </w:r>
      <w:bookmarkEnd w:id="169"/>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lastRenderedPageBreak/>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No. 55 of 2004 s. 444.]</w:t>
      </w:r>
    </w:p>
    <w:p>
      <w:pPr>
        <w:pStyle w:val="Heading5"/>
        <w:rPr>
          <w:snapToGrid w:val="0"/>
        </w:rPr>
      </w:pPr>
      <w:bookmarkStart w:id="170" w:name="_Toc175575850"/>
      <w:r>
        <w:rPr>
          <w:rStyle w:val="CharSectno"/>
        </w:rPr>
        <w:t>83</w:t>
      </w:r>
      <w:r>
        <w:rPr>
          <w:snapToGrid w:val="0"/>
        </w:rPr>
        <w:t>.</w:t>
      </w:r>
      <w:r>
        <w:rPr>
          <w:snapToGrid w:val="0"/>
        </w:rPr>
        <w:tab/>
        <w:t>Saving for certain rules of court</w:t>
      </w:r>
      <w:bookmarkEnd w:id="170"/>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171" w:name="_Toc175234817"/>
      <w:bookmarkStart w:id="172" w:name="_Toc175235090"/>
      <w:bookmarkStart w:id="173" w:name="_Toc175235410"/>
      <w:bookmarkStart w:id="174" w:name="_Toc175575580"/>
      <w:bookmarkStart w:id="175" w:name="_Toc175575851"/>
      <w:r>
        <w:rPr>
          <w:rStyle w:val="CharDivNo"/>
        </w:rPr>
        <w:t>Division 3</w:t>
      </w:r>
      <w:r>
        <w:rPr>
          <w:snapToGrid w:val="0"/>
        </w:rPr>
        <w:t> — </w:t>
      </w:r>
      <w:r>
        <w:rPr>
          <w:rStyle w:val="CharDivText"/>
        </w:rPr>
        <w:t>Interjurisdictional arrangements in relation to administration powers</w:t>
      </w:r>
      <w:bookmarkEnd w:id="171"/>
      <w:bookmarkEnd w:id="172"/>
      <w:bookmarkEnd w:id="173"/>
      <w:bookmarkEnd w:id="174"/>
      <w:bookmarkEnd w:id="175"/>
      <w:r>
        <w:rPr>
          <w:rStyle w:val="CharDivText"/>
        </w:rPr>
        <w:t xml:space="preserve"> </w:t>
      </w:r>
    </w:p>
    <w:p>
      <w:pPr>
        <w:pStyle w:val="Footnoteheading"/>
        <w:rPr>
          <w:snapToGrid w:val="0"/>
        </w:rPr>
      </w:pPr>
      <w:r>
        <w:rPr>
          <w:snapToGrid w:val="0"/>
        </w:rPr>
        <w:tab/>
        <w:t xml:space="preserve">[Heading inserted: No. 7 of 1996 s. 26.] </w:t>
      </w:r>
    </w:p>
    <w:p>
      <w:pPr>
        <w:pStyle w:val="Heading5"/>
        <w:rPr>
          <w:snapToGrid w:val="0"/>
        </w:rPr>
      </w:pPr>
      <w:bookmarkStart w:id="176" w:name="_Toc175575852"/>
      <w:r>
        <w:rPr>
          <w:rStyle w:val="CharSectno"/>
        </w:rPr>
        <w:t>83A</w:t>
      </w:r>
      <w:r>
        <w:rPr>
          <w:snapToGrid w:val="0"/>
        </w:rPr>
        <w:t>.</w:t>
      </w:r>
      <w:r>
        <w:rPr>
          <w:snapToGrid w:val="0"/>
        </w:rPr>
        <w:tab/>
        <w:t>Reciprocating States</w:t>
      </w:r>
      <w:bookmarkEnd w:id="176"/>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lastRenderedPageBreak/>
        <w:tab/>
        <w:t>(b)</w:t>
      </w:r>
      <w:r>
        <w:rPr>
          <w:snapToGrid w:val="0"/>
        </w:rPr>
        <w:tab/>
        <w:t>in like manner vary or revoke any such notice.</w:t>
      </w:r>
    </w:p>
    <w:p>
      <w:pPr>
        <w:pStyle w:val="Footnotesection"/>
      </w:pPr>
      <w:r>
        <w:tab/>
        <w:t xml:space="preserve">[Section 83A inserted: No. 7 of 1996 s. 26.] </w:t>
      </w:r>
    </w:p>
    <w:p>
      <w:pPr>
        <w:pStyle w:val="Heading5"/>
        <w:rPr>
          <w:snapToGrid w:val="0"/>
        </w:rPr>
      </w:pPr>
      <w:bookmarkStart w:id="177" w:name="_Toc175575853"/>
      <w:r>
        <w:rPr>
          <w:rStyle w:val="CharSectno"/>
        </w:rPr>
        <w:t>83B</w:t>
      </w:r>
      <w:r>
        <w:rPr>
          <w:snapToGrid w:val="0"/>
        </w:rPr>
        <w:t>.</w:t>
      </w:r>
      <w:r>
        <w:rPr>
          <w:snapToGrid w:val="0"/>
        </w:rPr>
        <w:tab/>
        <w:t>Foreign administrator may authorise Public Trustee to administer property in this State</w:t>
      </w:r>
      <w:bookmarkEnd w:id="177"/>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keepNext/>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No. 7 of 1996 s. 26.] </w:t>
      </w:r>
    </w:p>
    <w:p>
      <w:pPr>
        <w:pStyle w:val="Heading5"/>
        <w:rPr>
          <w:snapToGrid w:val="0"/>
        </w:rPr>
      </w:pPr>
      <w:bookmarkStart w:id="178" w:name="_Toc175575854"/>
      <w:r>
        <w:rPr>
          <w:rStyle w:val="CharSectno"/>
        </w:rPr>
        <w:t>83C</w:t>
      </w:r>
      <w:r>
        <w:rPr>
          <w:snapToGrid w:val="0"/>
        </w:rPr>
        <w:t>.</w:t>
      </w:r>
      <w:r>
        <w:rPr>
          <w:snapToGrid w:val="0"/>
        </w:rPr>
        <w:tab/>
        <w:t>Administrator may authorise relevant official to administer property in reciprocating State</w:t>
      </w:r>
      <w:bookmarkEnd w:id="178"/>
      <w:r>
        <w:rPr>
          <w:snapToGrid w:val="0"/>
        </w:rPr>
        <w:t xml:space="preserve"> </w:t>
      </w:r>
    </w:p>
    <w:p>
      <w:pPr>
        <w:pStyle w:val="Subsection"/>
        <w:rPr>
          <w:snapToGrid w:val="0"/>
        </w:rPr>
      </w:pPr>
      <w:r>
        <w:rPr>
          <w:snapToGrid w:val="0"/>
        </w:rPr>
        <w:tab/>
        <w:t>(1)</w:t>
      </w:r>
      <w:r>
        <w:rPr>
          <w:snapToGrid w:val="0"/>
        </w:rPr>
        <w:tab/>
        <w:t xml:space="preserve">Where it appears to the administrator of the estate of a represented person that the represented person has property in a </w:t>
      </w:r>
      <w:r>
        <w:rPr>
          <w:snapToGrid w:val="0"/>
        </w:rPr>
        <w:lastRenderedPageBreak/>
        <w:t>reciprocating State, that administrator may, by instrument in writing directed to the relevant official in that State — </w:t>
      </w:r>
    </w:p>
    <w:p>
      <w:pPr>
        <w:pStyle w:val="Indenta"/>
        <w:rPr>
          <w:snapToGrid w:val="0"/>
        </w:rPr>
      </w:pPr>
      <w:r>
        <w:rPr>
          <w:snapToGrid w:val="0"/>
        </w:rPr>
        <w:tab/>
        <w:t>(a)</w:t>
      </w:r>
      <w:r>
        <w:rPr>
          <w:snapToGrid w:val="0"/>
        </w:rPr>
        <w:tab/>
        <w:t xml:space="preserve">certify that he has the control and management of the estate of the represented person; </w:t>
      </w:r>
    </w:p>
    <w:p>
      <w:pPr>
        <w:pStyle w:val="Indenta"/>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No. 7 of 1996 s. 26.] </w:t>
      </w:r>
    </w:p>
    <w:p>
      <w:pPr>
        <w:pStyle w:val="Heading5"/>
        <w:rPr>
          <w:snapToGrid w:val="0"/>
        </w:rPr>
      </w:pPr>
      <w:bookmarkStart w:id="179" w:name="_Toc175575855"/>
      <w:r>
        <w:rPr>
          <w:rStyle w:val="CharSectno"/>
        </w:rPr>
        <w:t>83D</w:t>
      </w:r>
      <w:r>
        <w:rPr>
          <w:snapToGrid w:val="0"/>
        </w:rPr>
        <w:t>.</w:t>
      </w:r>
      <w:r>
        <w:rPr>
          <w:snapToGrid w:val="0"/>
        </w:rPr>
        <w:tab/>
        <w:t>Interstate arrangements for recognition of administration orders</w:t>
      </w:r>
      <w:bookmarkEnd w:id="179"/>
      <w:r>
        <w:rPr>
          <w:snapToGrid w:val="0"/>
        </w:rPr>
        <w:t xml:space="preserve"> </w:t>
      </w:r>
    </w:p>
    <w:p>
      <w:pPr>
        <w:pStyle w:val="Subsection"/>
        <w:keepNext/>
        <w:rPr>
          <w:snapToGrid w:val="0"/>
        </w:rPr>
      </w:pPr>
      <w:r>
        <w:rPr>
          <w:snapToGrid w:val="0"/>
        </w:rPr>
        <w:tab/>
        <w:t>(1)</w:t>
      </w:r>
      <w:r>
        <w:rPr>
          <w:snapToGrid w:val="0"/>
        </w:rPr>
        <w:tab/>
        <w:t xml:space="preserve">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w:t>
      </w:r>
      <w:r>
        <w:rPr>
          <w:snapToGrid w:val="0"/>
        </w:rPr>
        <w:lastRenderedPageBreak/>
        <w:t>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ind w:left="890" w:hanging="890"/>
      </w:pPr>
      <w:r>
        <w:tab/>
        <w:t xml:space="preserve">[Section 83D inserted: No. 7 of 1996 s. 26.] </w:t>
      </w:r>
    </w:p>
    <w:p>
      <w:pPr>
        <w:pStyle w:val="Heading2"/>
      </w:pPr>
      <w:bookmarkStart w:id="180" w:name="_Toc175234822"/>
      <w:bookmarkStart w:id="181" w:name="_Toc175235095"/>
      <w:bookmarkStart w:id="182" w:name="_Toc175235415"/>
      <w:bookmarkStart w:id="183" w:name="_Toc175575585"/>
      <w:bookmarkStart w:id="184" w:name="_Toc175575856"/>
      <w:r>
        <w:rPr>
          <w:rStyle w:val="CharPartNo"/>
        </w:rPr>
        <w:lastRenderedPageBreak/>
        <w:t>Part 7</w:t>
      </w:r>
      <w:r>
        <w:rPr>
          <w:rStyle w:val="CharDivNo"/>
        </w:rPr>
        <w:t> </w:t>
      </w:r>
      <w:r>
        <w:t>—</w:t>
      </w:r>
      <w:r>
        <w:rPr>
          <w:rStyle w:val="CharDivText"/>
        </w:rPr>
        <w:t> </w:t>
      </w:r>
      <w:r>
        <w:rPr>
          <w:rStyle w:val="CharPartText"/>
        </w:rPr>
        <w:t>Review of orders</w:t>
      </w:r>
      <w:bookmarkEnd w:id="180"/>
      <w:bookmarkEnd w:id="181"/>
      <w:bookmarkEnd w:id="182"/>
      <w:bookmarkEnd w:id="183"/>
      <w:bookmarkEnd w:id="184"/>
      <w:r>
        <w:rPr>
          <w:rStyle w:val="CharPartText"/>
        </w:rPr>
        <w:t xml:space="preserve"> </w:t>
      </w:r>
    </w:p>
    <w:p>
      <w:pPr>
        <w:pStyle w:val="Heading5"/>
        <w:rPr>
          <w:snapToGrid w:val="0"/>
        </w:rPr>
      </w:pPr>
      <w:bookmarkStart w:id="185" w:name="_Toc175575857"/>
      <w:r>
        <w:rPr>
          <w:rStyle w:val="CharSectno"/>
        </w:rPr>
        <w:t>84</w:t>
      </w:r>
      <w:r>
        <w:rPr>
          <w:snapToGrid w:val="0"/>
        </w:rPr>
        <w:t>.</w:t>
      </w:r>
      <w:r>
        <w:rPr>
          <w:snapToGrid w:val="0"/>
        </w:rPr>
        <w:tab/>
        <w:t>State Administrative Tribunal to review orders periodically</w:t>
      </w:r>
      <w:bookmarkEnd w:id="185"/>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No. 55 of 2004 s. 466(1).]</w:t>
      </w:r>
    </w:p>
    <w:p>
      <w:pPr>
        <w:pStyle w:val="Heading5"/>
        <w:rPr>
          <w:snapToGrid w:val="0"/>
        </w:rPr>
      </w:pPr>
      <w:bookmarkStart w:id="186" w:name="_Toc175575858"/>
      <w:r>
        <w:rPr>
          <w:rStyle w:val="CharSectno"/>
        </w:rPr>
        <w:t>85</w:t>
      </w:r>
      <w:r>
        <w:rPr>
          <w:snapToGrid w:val="0"/>
        </w:rPr>
        <w:t>.</w:t>
      </w:r>
      <w:r>
        <w:rPr>
          <w:snapToGrid w:val="0"/>
        </w:rPr>
        <w:tab/>
        <w:t>Circumstances in which review mandatory</w:t>
      </w:r>
      <w:bookmarkEnd w:id="186"/>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wishes to be discharged; or</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pPr>
        <w:pStyle w:val="Indenta"/>
      </w:pPr>
      <w:r>
        <w:tab/>
        <w:t>(e)</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lastRenderedPageBreak/>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No. 55 of 2004 s. 445 and 466; No. 18 of 2009 s. 38(2).]</w:t>
      </w:r>
    </w:p>
    <w:p>
      <w:pPr>
        <w:pStyle w:val="Heading5"/>
        <w:rPr>
          <w:snapToGrid w:val="0"/>
        </w:rPr>
      </w:pPr>
      <w:bookmarkStart w:id="187" w:name="_Toc175575859"/>
      <w:r>
        <w:rPr>
          <w:rStyle w:val="CharSectno"/>
        </w:rPr>
        <w:t>86</w:t>
      </w:r>
      <w:r>
        <w:rPr>
          <w:snapToGrid w:val="0"/>
        </w:rPr>
        <w:t>.</w:t>
      </w:r>
      <w:r>
        <w:rPr>
          <w:snapToGrid w:val="0"/>
        </w:rPr>
        <w:tab/>
        <w:t>Review on application</w:t>
      </w:r>
      <w:bookmarkEnd w:id="187"/>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No. 16 of 1992 s. 14; No. 55 of 2004 s. 446; No. 5 of 2008 s. 59.] </w:t>
      </w:r>
    </w:p>
    <w:p>
      <w:pPr>
        <w:pStyle w:val="Heading5"/>
        <w:rPr>
          <w:snapToGrid w:val="0"/>
        </w:rPr>
      </w:pPr>
      <w:bookmarkStart w:id="188" w:name="_Toc175575860"/>
      <w:r>
        <w:rPr>
          <w:rStyle w:val="CharSectno"/>
        </w:rPr>
        <w:t>87</w:t>
      </w:r>
      <w:r>
        <w:rPr>
          <w:snapToGrid w:val="0"/>
        </w:rPr>
        <w:t>.</w:t>
      </w:r>
      <w:r>
        <w:rPr>
          <w:snapToGrid w:val="0"/>
        </w:rPr>
        <w:tab/>
        <w:t>Leave to apply for review</w:t>
      </w:r>
      <w:bookmarkEnd w:id="188"/>
      <w:r>
        <w:rPr>
          <w:snapToGrid w:val="0"/>
        </w:rPr>
        <w:t xml:space="preserve"> </w:t>
      </w:r>
    </w:p>
    <w:p>
      <w:pPr>
        <w:pStyle w:val="Subsection"/>
        <w:spacing w:before="120"/>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spacing w:before="120"/>
      </w:pPr>
      <w:r>
        <w:lastRenderedPageBreak/>
        <w:tab/>
        <w:t>[(2), (3)</w:t>
      </w:r>
      <w:r>
        <w:tab/>
        <w:t>deleted]</w:t>
      </w:r>
    </w:p>
    <w:p>
      <w:pPr>
        <w:pStyle w:val="Subsection"/>
        <w:spacing w:before="120"/>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No. 16 of 1992 s. 18; No. 55 of 2004 s. 447 and 466(1).] </w:t>
      </w:r>
    </w:p>
    <w:p>
      <w:pPr>
        <w:pStyle w:val="Heading5"/>
        <w:rPr>
          <w:snapToGrid w:val="0"/>
        </w:rPr>
      </w:pPr>
      <w:bookmarkStart w:id="189" w:name="_Toc175575861"/>
      <w:r>
        <w:rPr>
          <w:rStyle w:val="CharSectno"/>
        </w:rPr>
        <w:t>88</w:t>
      </w:r>
      <w:r>
        <w:rPr>
          <w:snapToGrid w:val="0"/>
        </w:rPr>
        <w:t>.</w:t>
      </w:r>
      <w:r>
        <w:rPr>
          <w:snapToGrid w:val="0"/>
        </w:rPr>
        <w:tab/>
        <w:t>Application for review</w:t>
      </w:r>
      <w:bookmarkEnd w:id="189"/>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No. 16 of 1992 s. 18; No. 55 of 2004 s. 448.] </w:t>
      </w:r>
    </w:p>
    <w:p>
      <w:pPr>
        <w:pStyle w:val="Heading5"/>
        <w:rPr>
          <w:snapToGrid w:val="0"/>
        </w:rPr>
      </w:pPr>
      <w:bookmarkStart w:id="190" w:name="_Toc175575862"/>
      <w:r>
        <w:rPr>
          <w:rStyle w:val="CharSectno"/>
        </w:rPr>
        <w:t>89</w:t>
      </w:r>
      <w:r>
        <w:rPr>
          <w:snapToGrid w:val="0"/>
        </w:rPr>
        <w:t>.</w:t>
      </w:r>
      <w:r>
        <w:rPr>
          <w:snapToGrid w:val="0"/>
        </w:rPr>
        <w:tab/>
        <w:t>Notice of review</w:t>
      </w:r>
      <w:bookmarkEnd w:id="190"/>
      <w:r>
        <w:rPr>
          <w:snapToGrid w:val="0"/>
        </w:rPr>
        <w:t xml:space="preserve"> </w:t>
      </w:r>
    </w:p>
    <w:p>
      <w:pPr>
        <w:pStyle w:val="Subsection"/>
        <w:keepNext/>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lastRenderedPageBreak/>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keepLines/>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No. 16 of 1992 s. 18; No. 7 of 1996 s. 36; No. 55 of 2004 s. 449 and 466(1); No. 19 of 2010 s. 18(2).] </w:t>
      </w:r>
    </w:p>
    <w:p>
      <w:pPr>
        <w:pStyle w:val="Heading5"/>
        <w:keepLines w:val="0"/>
        <w:rPr>
          <w:snapToGrid w:val="0"/>
        </w:rPr>
      </w:pPr>
      <w:bookmarkStart w:id="191" w:name="_Toc175575863"/>
      <w:r>
        <w:rPr>
          <w:rStyle w:val="CharSectno"/>
        </w:rPr>
        <w:t>90</w:t>
      </w:r>
      <w:r>
        <w:rPr>
          <w:snapToGrid w:val="0"/>
        </w:rPr>
        <w:t>.</w:t>
      </w:r>
      <w:r>
        <w:rPr>
          <w:snapToGrid w:val="0"/>
        </w:rPr>
        <w:tab/>
        <w:t>Powers of State Administrative Tribunal on review</w:t>
      </w:r>
      <w:bookmarkEnd w:id="191"/>
      <w:r>
        <w:rPr>
          <w:snapToGrid w:val="0"/>
        </w:rPr>
        <w:t xml:space="preserve"> </w:t>
      </w:r>
    </w:p>
    <w:p>
      <w:pPr>
        <w:pStyle w:val="Subsection"/>
        <w:keepNext/>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xml:space="preserve">, as it considers necessary </w:t>
      </w:r>
      <w:r>
        <w:lastRenderedPageBreak/>
        <w:t>in the best interests of the represented person, confirm the order or</w:t>
      </w:r>
      <w:r>
        <w:rPr>
          <w:snapToGrid w:val="0"/>
        </w:rPr>
        <w:t xml:space="preserve"> by order — </w:t>
      </w:r>
    </w:p>
    <w:p>
      <w:pPr>
        <w:pStyle w:val="Indenta"/>
        <w:keepNext/>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No. 70 of 2000 s. 11; No. 55 of 2004 s. 450 and 466(1).]</w:t>
      </w:r>
    </w:p>
    <w:p>
      <w:pPr>
        <w:pStyle w:val="Heading2"/>
      </w:pPr>
      <w:bookmarkStart w:id="192" w:name="_Toc175234830"/>
      <w:bookmarkStart w:id="193" w:name="_Toc175235103"/>
      <w:bookmarkStart w:id="194" w:name="_Toc175235423"/>
      <w:bookmarkStart w:id="195" w:name="_Toc175575593"/>
      <w:bookmarkStart w:id="196" w:name="_Toc175575864"/>
      <w:r>
        <w:rPr>
          <w:rStyle w:val="CharPartNo"/>
        </w:rPr>
        <w:lastRenderedPageBreak/>
        <w:t>Part 8</w:t>
      </w:r>
      <w:r>
        <w:rPr>
          <w:rStyle w:val="CharDivNo"/>
        </w:rPr>
        <w:t> </w:t>
      </w:r>
      <w:r>
        <w:t>—</w:t>
      </w:r>
      <w:r>
        <w:rPr>
          <w:rStyle w:val="CharDivText"/>
        </w:rPr>
        <w:t> </w:t>
      </w:r>
      <w:r>
        <w:rPr>
          <w:rStyle w:val="CharPartText"/>
        </w:rPr>
        <w:t>The Public Advocate</w:t>
      </w:r>
      <w:bookmarkEnd w:id="192"/>
      <w:bookmarkEnd w:id="193"/>
      <w:bookmarkEnd w:id="194"/>
      <w:bookmarkEnd w:id="195"/>
      <w:bookmarkEnd w:id="196"/>
      <w:r>
        <w:rPr>
          <w:rStyle w:val="CharPartText"/>
        </w:rPr>
        <w:t xml:space="preserve"> </w:t>
      </w:r>
    </w:p>
    <w:p>
      <w:pPr>
        <w:pStyle w:val="Footnoteheading"/>
        <w:rPr>
          <w:snapToGrid w:val="0"/>
        </w:rPr>
      </w:pPr>
      <w:r>
        <w:rPr>
          <w:snapToGrid w:val="0"/>
        </w:rPr>
        <w:tab/>
        <w:t xml:space="preserve">[Heading amended: No. 7 of 1996 s. 36.] </w:t>
      </w:r>
    </w:p>
    <w:p>
      <w:pPr>
        <w:pStyle w:val="Heading5"/>
        <w:rPr>
          <w:snapToGrid w:val="0"/>
        </w:rPr>
      </w:pPr>
      <w:bookmarkStart w:id="197" w:name="_Toc175575865"/>
      <w:r>
        <w:rPr>
          <w:rStyle w:val="CharSectno"/>
        </w:rPr>
        <w:t>91</w:t>
      </w:r>
      <w:r>
        <w:rPr>
          <w:snapToGrid w:val="0"/>
        </w:rPr>
        <w:t>.</w:t>
      </w:r>
      <w:r>
        <w:rPr>
          <w:snapToGrid w:val="0"/>
        </w:rPr>
        <w:tab/>
        <w:t>Public Advocate</w:t>
      </w:r>
      <w:bookmarkEnd w:id="197"/>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w:t>
      </w:r>
      <w:r>
        <w:t xml:space="preserve"> Public Sector Commissioner</w:t>
      </w:r>
      <w:r>
        <w:rPr>
          <w:snapToGrid w:val="0"/>
          <w:spacing w:val="-2"/>
        </w:rPr>
        <w:t>.</w:t>
      </w:r>
    </w:p>
    <w:p>
      <w:pPr>
        <w:pStyle w:val="Footnotesection"/>
      </w:pPr>
      <w:r>
        <w:tab/>
        <w:t xml:space="preserve">[Section 91 amended: No. 7 of 1996 s. 36; No. 39 of 2010 s. 89.] </w:t>
      </w:r>
    </w:p>
    <w:p>
      <w:pPr>
        <w:pStyle w:val="Heading5"/>
        <w:rPr>
          <w:snapToGrid w:val="0"/>
        </w:rPr>
      </w:pPr>
      <w:bookmarkStart w:id="198" w:name="_Toc175575866"/>
      <w:r>
        <w:rPr>
          <w:rStyle w:val="CharSectno"/>
        </w:rPr>
        <w:t>92</w:t>
      </w:r>
      <w:r>
        <w:rPr>
          <w:snapToGrid w:val="0"/>
        </w:rPr>
        <w:t>.</w:t>
      </w:r>
      <w:r>
        <w:rPr>
          <w:snapToGrid w:val="0"/>
        </w:rPr>
        <w:tab/>
        <w:t>Resignation, removal etc.</w:t>
      </w:r>
      <w:bookmarkEnd w:id="198"/>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No. 7 of 1996 s. 36; No. 18 of 2009 s. 38(3).] </w:t>
      </w:r>
    </w:p>
    <w:p>
      <w:pPr>
        <w:pStyle w:val="Heading5"/>
        <w:rPr>
          <w:snapToGrid w:val="0"/>
        </w:rPr>
      </w:pPr>
      <w:bookmarkStart w:id="199" w:name="_Toc175575867"/>
      <w:r>
        <w:rPr>
          <w:rStyle w:val="CharSectno"/>
        </w:rPr>
        <w:lastRenderedPageBreak/>
        <w:t>93</w:t>
      </w:r>
      <w:r>
        <w:rPr>
          <w:snapToGrid w:val="0"/>
        </w:rPr>
        <w:t>.</w:t>
      </w:r>
      <w:r>
        <w:rPr>
          <w:snapToGrid w:val="0"/>
        </w:rPr>
        <w:tab/>
        <w:t>Acting Public Advocate</w:t>
      </w:r>
      <w:bookmarkEnd w:id="199"/>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w:t>
      </w:r>
      <w:r>
        <w:t xml:space="preserve"> Public Sector Commissioner</w:t>
      </w:r>
      <w:r>
        <w:rPr>
          <w:snapToGrid w:val="0"/>
        </w:rPr>
        <w: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lastRenderedPageBreak/>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No. 7 of 1996 s. 36; No. 39 of 2010 s. 89.] </w:t>
      </w:r>
    </w:p>
    <w:p>
      <w:pPr>
        <w:pStyle w:val="Heading5"/>
        <w:rPr>
          <w:snapToGrid w:val="0"/>
        </w:rPr>
      </w:pPr>
      <w:bookmarkStart w:id="200" w:name="_Toc175575868"/>
      <w:r>
        <w:rPr>
          <w:rStyle w:val="CharSectno"/>
        </w:rPr>
        <w:t>94</w:t>
      </w:r>
      <w:r>
        <w:rPr>
          <w:snapToGrid w:val="0"/>
        </w:rPr>
        <w:t>.</w:t>
      </w:r>
      <w:r>
        <w:rPr>
          <w:snapToGrid w:val="0"/>
        </w:rPr>
        <w:tab/>
        <w:t>Staff</w:t>
      </w:r>
      <w:bookmarkEnd w:id="200"/>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No. 32 of 1994 s. 3(2); No. 7 of 1996 s. 36.] </w:t>
      </w:r>
    </w:p>
    <w:p>
      <w:pPr>
        <w:pStyle w:val="Heading5"/>
        <w:rPr>
          <w:snapToGrid w:val="0"/>
        </w:rPr>
      </w:pPr>
      <w:bookmarkStart w:id="201" w:name="_Toc175575869"/>
      <w:r>
        <w:rPr>
          <w:rStyle w:val="CharSectno"/>
        </w:rPr>
        <w:t>95</w:t>
      </w:r>
      <w:r>
        <w:rPr>
          <w:snapToGrid w:val="0"/>
        </w:rPr>
        <w:t>.</w:t>
      </w:r>
      <w:r>
        <w:rPr>
          <w:snapToGrid w:val="0"/>
        </w:rPr>
        <w:tab/>
        <w:t>Powers of delegation</w:t>
      </w:r>
      <w:bookmarkEnd w:id="201"/>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lastRenderedPageBreak/>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No. 7 of 1996 s. 36; No. 55 of 2004 s. 466.] </w:t>
      </w:r>
    </w:p>
    <w:p>
      <w:pPr>
        <w:pStyle w:val="Heading5"/>
        <w:rPr>
          <w:snapToGrid w:val="0"/>
        </w:rPr>
      </w:pPr>
      <w:bookmarkStart w:id="202" w:name="_Toc175575870"/>
      <w:r>
        <w:rPr>
          <w:rStyle w:val="CharSectno"/>
        </w:rPr>
        <w:t>96</w:t>
      </w:r>
      <w:r>
        <w:rPr>
          <w:snapToGrid w:val="0"/>
        </w:rPr>
        <w:t>.</w:t>
      </w:r>
      <w:r>
        <w:rPr>
          <w:snapToGrid w:val="0"/>
        </w:rPr>
        <w:tab/>
        <w:t>Existing rights etc.</w:t>
      </w:r>
      <w:bookmarkEnd w:id="202"/>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No. 32 of 1994 s. 3(2); No. 7 of 1996 s. 36.] </w:t>
      </w:r>
    </w:p>
    <w:p>
      <w:pPr>
        <w:pStyle w:val="Heading5"/>
        <w:rPr>
          <w:snapToGrid w:val="0"/>
        </w:rPr>
      </w:pPr>
      <w:bookmarkStart w:id="203" w:name="_Toc175575871"/>
      <w:r>
        <w:rPr>
          <w:rStyle w:val="CharSectno"/>
        </w:rPr>
        <w:t>97</w:t>
      </w:r>
      <w:r>
        <w:rPr>
          <w:snapToGrid w:val="0"/>
        </w:rPr>
        <w:t>.</w:t>
      </w:r>
      <w:r>
        <w:rPr>
          <w:snapToGrid w:val="0"/>
        </w:rPr>
        <w:tab/>
        <w:t>Functions of Public Advocate</w:t>
      </w:r>
      <w:bookmarkEnd w:id="203"/>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keepNext/>
        <w:rPr>
          <w:snapToGrid w:val="0"/>
        </w:rPr>
      </w:pPr>
      <w:r>
        <w:rPr>
          <w:snapToGrid w:val="0"/>
        </w:rPr>
        <w:lastRenderedPageBreak/>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 xml:space="preserve">the provisions of this Act, including those relating to the functions of the State Administrative Tribunal conferred under this </w:t>
      </w:r>
      <w:r>
        <w:rPr>
          <w:snapToGrid w:val="0"/>
        </w:rPr>
        <w:lastRenderedPageBreak/>
        <w:t>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No. 7 of 1996 s. 27; No. 55 of 2004 s. 451 and 466; No. 59 of 2004 s. 141; No. 59 of 2006 s. 73.]</w:t>
      </w:r>
    </w:p>
    <w:p>
      <w:pPr>
        <w:pStyle w:val="Heading5"/>
      </w:pPr>
      <w:bookmarkStart w:id="204" w:name="_Toc132290891"/>
      <w:bookmarkStart w:id="205" w:name="_Toc175575872"/>
      <w:r>
        <w:rPr>
          <w:rStyle w:val="CharSectno"/>
        </w:rPr>
        <w:t>98</w:t>
      </w:r>
      <w:r>
        <w:t>.</w:t>
      </w:r>
      <w:r>
        <w:tab/>
        <w:t xml:space="preserve">Supervised persons under </w:t>
      </w:r>
      <w:r>
        <w:rPr>
          <w:i/>
          <w:iCs/>
        </w:rPr>
        <w:t>Criminal Law (Mental Impairment) Act 2023</w:t>
      </w:r>
      <w:bookmarkEnd w:id="204"/>
      <w:bookmarkEnd w:id="205"/>
    </w:p>
    <w:p>
      <w:pPr>
        <w:pStyle w:val="Subsection"/>
      </w:pPr>
      <w:r>
        <w:tab/>
      </w:r>
      <w:r>
        <w:tab/>
        <w:t xml:space="preserve">On receipt of notice under the </w:t>
      </w:r>
      <w:r>
        <w:rPr>
          <w:i/>
        </w:rPr>
        <w:t xml:space="preserve">Criminal Law (Mental Impairment) Act 2023 </w:t>
      </w:r>
      <w:r>
        <w:t>section 190, the Public Advocate must investigate whether the person the subject of the notice is in need of a guardian or an administrator and take any other action as the Public Advocate considers appropriate.</w:t>
      </w:r>
    </w:p>
    <w:p>
      <w:pPr>
        <w:pStyle w:val="Footnotesection"/>
      </w:pPr>
      <w:r>
        <w:tab/>
        <w:t>[Section 98 inserted: No. 10 of 2023 s. 346.]</w:t>
      </w:r>
    </w:p>
    <w:p>
      <w:pPr>
        <w:pStyle w:val="Heading5"/>
        <w:rPr>
          <w:snapToGrid w:val="0"/>
        </w:rPr>
      </w:pPr>
      <w:bookmarkStart w:id="206" w:name="_Toc175575873"/>
      <w:r>
        <w:rPr>
          <w:rStyle w:val="CharSectno"/>
        </w:rPr>
        <w:lastRenderedPageBreak/>
        <w:t>99</w:t>
      </w:r>
      <w:r>
        <w:rPr>
          <w:snapToGrid w:val="0"/>
        </w:rPr>
        <w:t>.</w:t>
      </w:r>
      <w:r>
        <w:rPr>
          <w:snapToGrid w:val="0"/>
        </w:rPr>
        <w:tab/>
        <w:t>Public Advocate to act on death of guardian or administrator</w:t>
      </w:r>
      <w:bookmarkEnd w:id="206"/>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No. 7 of 1996 s. 36.] </w:t>
      </w:r>
    </w:p>
    <w:p>
      <w:pPr>
        <w:pStyle w:val="Heading5"/>
        <w:rPr>
          <w:snapToGrid w:val="0"/>
        </w:rPr>
      </w:pPr>
      <w:bookmarkStart w:id="207" w:name="_Toc175575874"/>
      <w:r>
        <w:rPr>
          <w:rStyle w:val="CharSectno"/>
        </w:rPr>
        <w:t>100</w:t>
      </w:r>
      <w:r>
        <w:rPr>
          <w:snapToGrid w:val="0"/>
        </w:rPr>
        <w:t>.</w:t>
      </w:r>
      <w:r>
        <w:rPr>
          <w:snapToGrid w:val="0"/>
        </w:rPr>
        <w:tab/>
        <w:t>Judicial notice</w:t>
      </w:r>
      <w:bookmarkEnd w:id="207"/>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No. 7 of 1996 s. 36.] </w:t>
      </w:r>
    </w:p>
    <w:p>
      <w:pPr>
        <w:pStyle w:val="Heading5"/>
        <w:rPr>
          <w:snapToGrid w:val="0"/>
        </w:rPr>
      </w:pPr>
      <w:bookmarkStart w:id="208" w:name="_Toc175575875"/>
      <w:r>
        <w:rPr>
          <w:rStyle w:val="CharSectno"/>
        </w:rPr>
        <w:lastRenderedPageBreak/>
        <w:t>101</w:t>
      </w:r>
      <w:r>
        <w:rPr>
          <w:snapToGrid w:val="0"/>
        </w:rPr>
        <w:t>.</w:t>
      </w:r>
      <w:r>
        <w:rPr>
          <w:snapToGrid w:val="0"/>
        </w:rPr>
        <w:tab/>
        <w:t>Annual report of Public Advocate</w:t>
      </w:r>
      <w:bookmarkEnd w:id="208"/>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No. 7 of 1996 s. 28 and 36.] </w:t>
      </w:r>
    </w:p>
    <w:p>
      <w:pPr>
        <w:pStyle w:val="Heading5"/>
        <w:rPr>
          <w:snapToGrid w:val="0"/>
        </w:rPr>
      </w:pPr>
      <w:bookmarkStart w:id="209" w:name="_Toc175575876"/>
      <w:r>
        <w:rPr>
          <w:rStyle w:val="CharSectno"/>
        </w:rPr>
        <w:t>101A</w:t>
      </w:r>
      <w:r>
        <w:rPr>
          <w:snapToGrid w:val="0"/>
        </w:rPr>
        <w:t>.</w:t>
      </w:r>
      <w:r>
        <w:rPr>
          <w:snapToGrid w:val="0"/>
        </w:rPr>
        <w:tab/>
        <w:t>Public Advocate may raise matters with Minister</w:t>
      </w:r>
      <w:bookmarkEnd w:id="209"/>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No. 7 of 1996 s. 29.] </w:t>
      </w:r>
    </w:p>
    <w:p>
      <w:pPr>
        <w:pStyle w:val="Heading2"/>
      </w:pPr>
      <w:bookmarkStart w:id="210" w:name="_Toc175234843"/>
      <w:bookmarkStart w:id="211" w:name="_Toc175235116"/>
      <w:bookmarkStart w:id="212" w:name="_Toc175235436"/>
      <w:bookmarkStart w:id="213" w:name="_Toc175575606"/>
      <w:bookmarkStart w:id="214" w:name="_Toc175575877"/>
      <w:r>
        <w:rPr>
          <w:rStyle w:val="CharPartNo"/>
        </w:rPr>
        <w:lastRenderedPageBreak/>
        <w:t>Part 9</w:t>
      </w:r>
      <w:r>
        <w:rPr>
          <w:rStyle w:val="CharDivNo"/>
        </w:rPr>
        <w:t> </w:t>
      </w:r>
      <w:r>
        <w:t>—</w:t>
      </w:r>
      <w:r>
        <w:rPr>
          <w:rStyle w:val="CharDivText"/>
        </w:rPr>
        <w:t> </w:t>
      </w:r>
      <w:r>
        <w:rPr>
          <w:rStyle w:val="CharPartText"/>
        </w:rPr>
        <w:t>Enduring powers of attorney</w:t>
      </w:r>
      <w:bookmarkEnd w:id="210"/>
      <w:bookmarkEnd w:id="211"/>
      <w:bookmarkEnd w:id="212"/>
      <w:bookmarkEnd w:id="213"/>
      <w:bookmarkEnd w:id="214"/>
      <w:r>
        <w:rPr>
          <w:rStyle w:val="CharPartText"/>
        </w:rPr>
        <w:t xml:space="preserve"> </w:t>
      </w:r>
    </w:p>
    <w:p>
      <w:pPr>
        <w:pStyle w:val="Heading5"/>
        <w:rPr>
          <w:snapToGrid w:val="0"/>
        </w:rPr>
      </w:pPr>
      <w:bookmarkStart w:id="215" w:name="_Toc175575878"/>
      <w:r>
        <w:rPr>
          <w:rStyle w:val="CharSectno"/>
        </w:rPr>
        <w:t>102</w:t>
      </w:r>
      <w:r>
        <w:rPr>
          <w:snapToGrid w:val="0"/>
        </w:rPr>
        <w:t>.</w:t>
      </w:r>
      <w:r>
        <w:rPr>
          <w:snapToGrid w:val="0"/>
        </w:rPr>
        <w:tab/>
        <w:t>Terms used</w:t>
      </w:r>
      <w:bookmarkEnd w:id="215"/>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recognised by the State Administrative Tribunal under section 104A(2).</w:t>
      </w:r>
    </w:p>
    <w:p>
      <w:pPr>
        <w:pStyle w:val="Footnotesection"/>
      </w:pPr>
      <w:r>
        <w:tab/>
        <w:t xml:space="preserve">[Section 102 amended: No. 7 of 1996 s. 30; No. 70 of 2000 s. 12; No. 55 of 2004 s. 466(1).] </w:t>
      </w:r>
    </w:p>
    <w:p>
      <w:pPr>
        <w:pStyle w:val="Heading5"/>
        <w:rPr>
          <w:snapToGrid w:val="0"/>
        </w:rPr>
      </w:pPr>
      <w:bookmarkStart w:id="216" w:name="_Toc175575879"/>
      <w:r>
        <w:rPr>
          <w:rStyle w:val="CharSectno"/>
        </w:rPr>
        <w:t>103</w:t>
      </w:r>
      <w:r>
        <w:rPr>
          <w:snapToGrid w:val="0"/>
        </w:rPr>
        <w:t>.</w:t>
      </w:r>
      <w:r>
        <w:rPr>
          <w:snapToGrid w:val="0"/>
        </w:rPr>
        <w:tab/>
        <w:t>Other Acts</w:t>
      </w:r>
      <w:bookmarkEnd w:id="216"/>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217" w:name="_Toc175575880"/>
      <w:r>
        <w:rPr>
          <w:rStyle w:val="CharSectno"/>
        </w:rPr>
        <w:t>104</w:t>
      </w:r>
      <w:r>
        <w:rPr>
          <w:snapToGrid w:val="0"/>
        </w:rPr>
        <w:t>.</w:t>
      </w:r>
      <w:r>
        <w:rPr>
          <w:snapToGrid w:val="0"/>
        </w:rPr>
        <w:tab/>
        <w:t>Execution of enduring power of attorney</w:t>
      </w:r>
      <w:bookmarkEnd w:id="217"/>
      <w:r>
        <w:rPr>
          <w:snapToGrid w:val="0"/>
        </w:rPr>
        <w:t xml:space="preserve"> </w:t>
      </w:r>
    </w:p>
    <w:p>
      <w:pPr>
        <w:pStyle w:val="Subsection"/>
      </w:pPr>
      <w:r>
        <w:tab/>
        <w:t>(1a)</w:t>
      </w:r>
      <w:r>
        <w:tab/>
        <w:t>A person who has reached 18 years of age and has full legal capacity may create an enduring power of attorney.</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keepLines/>
        <w:rPr>
          <w:snapToGrid w:val="0"/>
        </w:rPr>
      </w:pPr>
      <w:r>
        <w:rPr>
          <w:snapToGrid w:val="0"/>
        </w:rPr>
        <w:lastRenderedPageBreak/>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pPr>
      <w:r>
        <w:tab/>
        <w:t>(a)</w:t>
      </w:r>
      <w:r>
        <w:tab/>
        <w:t>there are 2 attesting witnesses to the instrument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Subsection"/>
      </w:pPr>
      <w:r>
        <w:tab/>
        <w:t>(3)</w:t>
      </w:r>
      <w:r>
        <w:tab/>
        <w:t xml:space="preserve">A witness referred to in subsection (2)(a)(ii)(II) must be a person — </w:t>
      </w:r>
    </w:p>
    <w:p>
      <w:pPr>
        <w:pStyle w:val="Indenta"/>
      </w:pPr>
      <w:r>
        <w:tab/>
        <w:t>(a)</w:t>
      </w:r>
      <w:r>
        <w:tab/>
        <w:t>who has reached 18 years of age; and</w:t>
      </w:r>
    </w:p>
    <w:p>
      <w:pPr>
        <w:pStyle w:val="Indenta"/>
      </w:pPr>
      <w:r>
        <w:tab/>
        <w:t>(b)</w:t>
      </w:r>
      <w:r>
        <w:tab/>
        <w:t>who is not a person appointed to be a donee or substitute donee of the power.</w:t>
      </w:r>
    </w:p>
    <w:p>
      <w:pPr>
        <w:pStyle w:val="Footnotesection"/>
      </w:pPr>
      <w:r>
        <w:tab/>
        <w:t>[Section 104 amended: No. 70 of 2000 s. 13; No. 55 of 2004 s. 466(1); No. 25 of 2008 s. 9.]</w:t>
      </w:r>
    </w:p>
    <w:p>
      <w:pPr>
        <w:pStyle w:val="Heading5"/>
        <w:rPr>
          <w:snapToGrid w:val="0"/>
        </w:rPr>
      </w:pPr>
      <w:bookmarkStart w:id="218" w:name="_Toc175575881"/>
      <w:r>
        <w:rPr>
          <w:rStyle w:val="CharSectno"/>
        </w:rPr>
        <w:lastRenderedPageBreak/>
        <w:t>104A</w:t>
      </w:r>
      <w:r>
        <w:rPr>
          <w:snapToGrid w:val="0"/>
        </w:rPr>
        <w:t>.</w:t>
      </w:r>
      <w:r>
        <w:rPr>
          <w:snapToGrid w:val="0"/>
        </w:rPr>
        <w:tab/>
        <w:t>Recognition of powers of attorney created in other jurisdictions</w:t>
      </w:r>
      <w:bookmarkEnd w:id="218"/>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recognising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recognising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No. 7 of 1996 s. 3; amended: No. 55 of 2004 s. 452 and 466.] </w:t>
      </w:r>
    </w:p>
    <w:p>
      <w:pPr>
        <w:pStyle w:val="Heading5"/>
      </w:pPr>
      <w:bookmarkStart w:id="219" w:name="_Toc175575882"/>
      <w:r>
        <w:rPr>
          <w:rStyle w:val="CharSectno"/>
        </w:rPr>
        <w:t>104B</w:t>
      </w:r>
      <w:r>
        <w:t>.</w:t>
      </w:r>
      <w:r>
        <w:tab/>
        <w:t>Substitute donees</w:t>
      </w:r>
      <w:bookmarkEnd w:id="219"/>
    </w:p>
    <w:p>
      <w:pPr>
        <w:pStyle w:val="Subsection"/>
      </w:pPr>
      <w:r>
        <w:tab/>
        <w:t>(1)</w:t>
      </w:r>
      <w:r>
        <w:tab/>
        <w:t>A person creating an enduring power of attorney may, in the instrument creating the power of attorney, appoint a person to be a substitute donee of the power.</w:t>
      </w:r>
    </w:p>
    <w:p>
      <w:pPr>
        <w:pStyle w:val="Subsection"/>
      </w:pPr>
      <w:r>
        <w:lastRenderedPageBreak/>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No. 70 of 2000 s. 14.]</w:t>
      </w:r>
    </w:p>
    <w:p>
      <w:pPr>
        <w:pStyle w:val="Heading5"/>
      </w:pPr>
      <w:bookmarkStart w:id="220" w:name="_Toc175575883"/>
      <w:r>
        <w:rPr>
          <w:rStyle w:val="CharSectno"/>
        </w:rPr>
        <w:t>104C</w:t>
      </w:r>
      <w:r>
        <w:t>.</w:t>
      </w:r>
      <w:r>
        <w:tab/>
        <w:t>Eligibility for appointment as donee or substitute donee</w:t>
      </w:r>
      <w:bookmarkEnd w:id="220"/>
    </w:p>
    <w:p>
      <w:pPr>
        <w:pStyle w:val="Subsection"/>
      </w:pPr>
      <w:r>
        <w:tab/>
      </w:r>
      <w:r>
        <w:tab/>
        <w:t>A person is eligible to be appointed as a donee or substitute donee of an enduring power of attorney if the person has reached 18 years of age and has full legal capacity.</w:t>
      </w:r>
    </w:p>
    <w:p>
      <w:pPr>
        <w:pStyle w:val="Footnotesection"/>
      </w:pPr>
      <w:r>
        <w:tab/>
        <w:t>[Section 104C inserted: No. 25 of 2008 s. 10.]</w:t>
      </w:r>
    </w:p>
    <w:p>
      <w:pPr>
        <w:pStyle w:val="Heading5"/>
        <w:rPr>
          <w:snapToGrid w:val="0"/>
        </w:rPr>
      </w:pPr>
      <w:bookmarkStart w:id="221" w:name="_Toc175575884"/>
      <w:r>
        <w:rPr>
          <w:rStyle w:val="CharSectno"/>
        </w:rPr>
        <w:t>105</w:t>
      </w:r>
      <w:r>
        <w:rPr>
          <w:snapToGrid w:val="0"/>
        </w:rPr>
        <w:t>.</w:t>
      </w:r>
      <w:r>
        <w:rPr>
          <w:snapToGrid w:val="0"/>
        </w:rPr>
        <w:tab/>
        <w:t>Enduring power of attorney survives incapacity</w:t>
      </w:r>
      <w:bookmarkEnd w:id="221"/>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222" w:name="_Toc175575885"/>
      <w:r>
        <w:rPr>
          <w:rStyle w:val="CharSectno"/>
        </w:rPr>
        <w:t>106</w:t>
      </w:r>
      <w:r>
        <w:rPr>
          <w:snapToGrid w:val="0"/>
        </w:rPr>
        <w:t>.</w:t>
      </w:r>
      <w:r>
        <w:rPr>
          <w:snapToGrid w:val="0"/>
        </w:rPr>
        <w:tab/>
        <w:t>Donee may apply for declaration of legal incapacity</w:t>
      </w:r>
      <w:bookmarkEnd w:id="222"/>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lastRenderedPageBreak/>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No. 70 of 2000 s. 15; No. 55 of 2004 s. 453 and 466.]</w:t>
      </w:r>
    </w:p>
    <w:p>
      <w:pPr>
        <w:pStyle w:val="Heading5"/>
        <w:keepLines w:val="0"/>
        <w:rPr>
          <w:snapToGrid w:val="0"/>
        </w:rPr>
      </w:pPr>
      <w:bookmarkStart w:id="223" w:name="_Toc175575886"/>
      <w:r>
        <w:rPr>
          <w:rStyle w:val="CharSectno"/>
        </w:rPr>
        <w:t>107</w:t>
      </w:r>
      <w:r>
        <w:rPr>
          <w:snapToGrid w:val="0"/>
        </w:rPr>
        <w:t>.</w:t>
      </w:r>
      <w:r>
        <w:rPr>
          <w:snapToGrid w:val="0"/>
        </w:rPr>
        <w:tab/>
        <w:t>Obligations of donee</w:t>
      </w:r>
      <w:bookmarkEnd w:id="223"/>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lastRenderedPageBreak/>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recognised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No. 7 of 1996 s. 32; No. 70 of 2000 s. 16; No. 55 of 2004 s. 466(1).] </w:t>
      </w:r>
    </w:p>
    <w:p>
      <w:pPr>
        <w:pStyle w:val="Heading5"/>
        <w:rPr>
          <w:snapToGrid w:val="0"/>
        </w:rPr>
      </w:pPr>
      <w:bookmarkStart w:id="224" w:name="_Toc175575887"/>
      <w:r>
        <w:rPr>
          <w:rStyle w:val="CharSectno"/>
        </w:rPr>
        <w:t>108</w:t>
      </w:r>
      <w:r>
        <w:rPr>
          <w:snapToGrid w:val="0"/>
        </w:rPr>
        <w:t>.</w:t>
      </w:r>
      <w:r>
        <w:rPr>
          <w:snapToGrid w:val="0"/>
        </w:rPr>
        <w:tab/>
        <w:t>Appointment of administrator</w:t>
      </w:r>
      <w:bookmarkEnd w:id="224"/>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recognised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recognised by the </w:t>
      </w:r>
      <w:r>
        <w:t>Tribunal</w:t>
      </w:r>
      <w:r>
        <w:rPr>
          <w:snapToGrid w:val="0"/>
        </w:rPr>
        <w:t xml:space="preserve"> under section 104A(2), shall revoke that recognition.</w:t>
      </w:r>
    </w:p>
    <w:p>
      <w:pPr>
        <w:pStyle w:val="Subsection"/>
        <w:rPr>
          <w:snapToGrid w:val="0"/>
        </w:rPr>
      </w:pPr>
      <w:r>
        <w:rPr>
          <w:snapToGrid w:val="0"/>
        </w:rPr>
        <w:lastRenderedPageBreak/>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recognised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No. 7 of 1996 s. 33; No. 55 of 2004 s. 454 and 466.] </w:t>
      </w:r>
    </w:p>
    <w:p>
      <w:pPr>
        <w:pStyle w:val="Heading5"/>
        <w:keepLines w:val="0"/>
        <w:spacing w:before="180"/>
        <w:rPr>
          <w:snapToGrid w:val="0"/>
        </w:rPr>
      </w:pPr>
      <w:bookmarkStart w:id="225" w:name="_Toc175575888"/>
      <w:r>
        <w:rPr>
          <w:rStyle w:val="CharSectno"/>
        </w:rPr>
        <w:t>109</w:t>
      </w:r>
      <w:r>
        <w:rPr>
          <w:snapToGrid w:val="0"/>
        </w:rPr>
        <w:t>.</w:t>
      </w:r>
      <w:r>
        <w:rPr>
          <w:snapToGrid w:val="0"/>
        </w:rPr>
        <w:tab/>
        <w:t>On application State Administrative Tribunal may intervene</w:t>
      </w:r>
      <w:bookmarkEnd w:id="225"/>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w:t>
      </w:r>
      <w:r>
        <w:rPr>
          <w:snapToGrid w:val="0"/>
        </w:rPr>
        <w:lastRenderedPageBreak/>
        <w:t xml:space="preserve">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recognised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No. 7 of 1996 s. 34; No. 70 of 2000 s. 17; No. 55 of 2004 s. 466.] </w:t>
      </w:r>
    </w:p>
    <w:p>
      <w:pPr>
        <w:pStyle w:val="Heading5"/>
        <w:rPr>
          <w:snapToGrid w:val="0"/>
        </w:rPr>
      </w:pPr>
      <w:bookmarkStart w:id="226" w:name="_Toc175575889"/>
      <w:r>
        <w:rPr>
          <w:rStyle w:val="CharSectno"/>
        </w:rPr>
        <w:t>110</w:t>
      </w:r>
      <w:r>
        <w:rPr>
          <w:snapToGrid w:val="0"/>
        </w:rPr>
        <w:t>.</w:t>
      </w:r>
      <w:r>
        <w:rPr>
          <w:snapToGrid w:val="0"/>
        </w:rPr>
        <w:tab/>
        <w:t>Notice of application</w:t>
      </w:r>
      <w:bookmarkEnd w:id="226"/>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No. 55 of 2004 s. 466(1).]</w:t>
      </w:r>
    </w:p>
    <w:p>
      <w:pPr>
        <w:pStyle w:val="Heading2"/>
      </w:pPr>
      <w:bookmarkStart w:id="227" w:name="_Toc175234856"/>
      <w:bookmarkStart w:id="228" w:name="_Toc175235129"/>
      <w:bookmarkStart w:id="229" w:name="_Toc175235449"/>
      <w:bookmarkStart w:id="230" w:name="_Toc175575619"/>
      <w:bookmarkStart w:id="231" w:name="_Toc175575890"/>
      <w:r>
        <w:rPr>
          <w:rStyle w:val="CharPartNo"/>
        </w:rPr>
        <w:lastRenderedPageBreak/>
        <w:t>Part 9A</w:t>
      </w:r>
      <w:r>
        <w:rPr>
          <w:b w:val="0"/>
        </w:rPr>
        <w:t> </w:t>
      </w:r>
      <w:r>
        <w:t>—</w:t>
      </w:r>
      <w:r>
        <w:rPr>
          <w:b w:val="0"/>
        </w:rPr>
        <w:t> </w:t>
      </w:r>
      <w:r>
        <w:rPr>
          <w:rStyle w:val="CharPartText"/>
        </w:rPr>
        <w:t>Enduring powers of guardianship</w:t>
      </w:r>
      <w:bookmarkEnd w:id="227"/>
      <w:bookmarkEnd w:id="228"/>
      <w:bookmarkEnd w:id="229"/>
      <w:bookmarkEnd w:id="230"/>
      <w:bookmarkEnd w:id="231"/>
    </w:p>
    <w:p>
      <w:pPr>
        <w:pStyle w:val="Footnoteheading"/>
      </w:pPr>
      <w:r>
        <w:tab/>
        <w:t>[Heading inserted: No. 25 of 2008 s. 11.]</w:t>
      </w:r>
    </w:p>
    <w:p>
      <w:pPr>
        <w:pStyle w:val="Heading3"/>
      </w:pPr>
      <w:bookmarkStart w:id="232" w:name="_Toc175234857"/>
      <w:bookmarkStart w:id="233" w:name="_Toc175235130"/>
      <w:bookmarkStart w:id="234" w:name="_Toc175235450"/>
      <w:bookmarkStart w:id="235" w:name="_Toc175575620"/>
      <w:bookmarkStart w:id="236" w:name="_Toc175575891"/>
      <w:r>
        <w:rPr>
          <w:rStyle w:val="CharDivNo"/>
        </w:rPr>
        <w:t>Division 1</w:t>
      </w:r>
      <w:r>
        <w:t> — </w:t>
      </w:r>
      <w:r>
        <w:rPr>
          <w:rStyle w:val="CharDivText"/>
        </w:rPr>
        <w:t>Preliminary matters</w:t>
      </w:r>
      <w:bookmarkEnd w:id="232"/>
      <w:bookmarkEnd w:id="233"/>
      <w:bookmarkEnd w:id="234"/>
      <w:bookmarkEnd w:id="235"/>
      <w:bookmarkEnd w:id="236"/>
    </w:p>
    <w:p>
      <w:pPr>
        <w:pStyle w:val="Footnoteheading"/>
      </w:pPr>
      <w:r>
        <w:tab/>
        <w:t>[Heading inserted: No. 25 of 2008 s. 11.]</w:t>
      </w:r>
    </w:p>
    <w:p>
      <w:pPr>
        <w:pStyle w:val="Heading5"/>
      </w:pPr>
      <w:bookmarkStart w:id="237" w:name="_Toc175575892"/>
      <w:r>
        <w:rPr>
          <w:rStyle w:val="CharSectno"/>
        </w:rPr>
        <w:t>110A</w:t>
      </w:r>
      <w:r>
        <w:t>.</w:t>
      </w:r>
      <w:r>
        <w:tab/>
        <w:t>Term used: appointor</w:t>
      </w:r>
      <w:bookmarkEnd w:id="237"/>
    </w:p>
    <w:p>
      <w:pPr>
        <w:pStyle w:val="Subsection"/>
      </w:pPr>
      <w:r>
        <w:tab/>
      </w:r>
      <w:r>
        <w:tab/>
        <w:t xml:space="preserve">In this Part — </w:t>
      </w:r>
    </w:p>
    <w:p>
      <w:pPr>
        <w:pStyle w:val="Defstart"/>
      </w:pPr>
      <w:r>
        <w:rPr>
          <w:b/>
        </w:rPr>
        <w:tab/>
      </w:r>
      <w:r>
        <w:rPr>
          <w:rStyle w:val="CharDefText"/>
        </w:rPr>
        <w:t>appointor</w:t>
      </w:r>
      <w:r>
        <w:rPr>
          <w:bCs/>
        </w:rPr>
        <w:t>, in relation to an enduring power of guardianship, means the maker of the power</w:t>
      </w:r>
      <w:r>
        <w:t>.</w:t>
      </w:r>
    </w:p>
    <w:p>
      <w:pPr>
        <w:pStyle w:val="Footnotesection"/>
      </w:pPr>
      <w:r>
        <w:tab/>
        <w:t>[Section 110A inserted: No. 25 of 2008 s. 11.]</w:t>
      </w:r>
    </w:p>
    <w:p>
      <w:pPr>
        <w:pStyle w:val="Heading3"/>
      </w:pPr>
      <w:bookmarkStart w:id="238" w:name="_Toc175234859"/>
      <w:bookmarkStart w:id="239" w:name="_Toc175235132"/>
      <w:bookmarkStart w:id="240" w:name="_Toc175235452"/>
      <w:bookmarkStart w:id="241" w:name="_Toc175575622"/>
      <w:bookmarkStart w:id="242" w:name="_Toc175575893"/>
      <w:r>
        <w:rPr>
          <w:rStyle w:val="CharDivNo"/>
        </w:rPr>
        <w:t>Division 2</w:t>
      </w:r>
      <w:r>
        <w:t> — </w:t>
      </w:r>
      <w:r>
        <w:rPr>
          <w:rStyle w:val="CharDivText"/>
        </w:rPr>
        <w:t>Making of enduring power of guardianship</w:t>
      </w:r>
      <w:bookmarkEnd w:id="238"/>
      <w:bookmarkEnd w:id="239"/>
      <w:bookmarkEnd w:id="240"/>
      <w:bookmarkEnd w:id="241"/>
      <w:bookmarkEnd w:id="242"/>
    </w:p>
    <w:p>
      <w:pPr>
        <w:pStyle w:val="Footnoteheading"/>
      </w:pPr>
      <w:r>
        <w:tab/>
        <w:t>[Heading inserted: No. 25 of 2008 s. 11.]</w:t>
      </w:r>
    </w:p>
    <w:p>
      <w:pPr>
        <w:pStyle w:val="Heading5"/>
      </w:pPr>
      <w:bookmarkStart w:id="243" w:name="_Toc175575894"/>
      <w:r>
        <w:rPr>
          <w:rStyle w:val="CharSectno"/>
        </w:rPr>
        <w:t>110B.</w:t>
      </w:r>
      <w:r>
        <w:tab/>
        <w:t>Appointing enduring guardian</w:t>
      </w:r>
      <w:bookmarkEnd w:id="243"/>
    </w:p>
    <w:p>
      <w:pPr>
        <w:pStyle w:val="Subsection"/>
      </w:pPr>
      <w:r>
        <w:tab/>
      </w:r>
      <w:r>
        <w:tab/>
        <w:t xml:space="preserve">A person who has reached 18 years of age and has full legal capacity may make an enduring power of guardianship appointing — </w:t>
      </w:r>
    </w:p>
    <w:p>
      <w:pPr>
        <w:pStyle w:val="Indenta"/>
      </w:pPr>
      <w:r>
        <w:tab/>
        <w:t>(a)</w:t>
      </w:r>
      <w:r>
        <w:tab/>
        <w:t>a person as the enduring guardian of the person; or</w:t>
      </w:r>
    </w:p>
    <w:p>
      <w:pPr>
        <w:pStyle w:val="Indenta"/>
      </w:pPr>
      <w:r>
        <w:tab/>
        <w:t>(b)</w:t>
      </w:r>
      <w:r>
        <w:tab/>
        <w:t>2 or more persons as the joint enduring guardians of the person.</w:t>
      </w:r>
    </w:p>
    <w:p>
      <w:pPr>
        <w:pStyle w:val="Footnotesection"/>
      </w:pPr>
      <w:r>
        <w:tab/>
        <w:t>[Section 110B inserted: No. 25 of 2008 s. 11.]</w:t>
      </w:r>
    </w:p>
    <w:p>
      <w:pPr>
        <w:pStyle w:val="Heading5"/>
      </w:pPr>
      <w:bookmarkStart w:id="244" w:name="_Toc175575895"/>
      <w:r>
        <w:rPr>
          <w:rStyle w:val="CharSectno"/>
        </w:rPr>
        <w:t>110C</w:t>
      </w:r>
      <w:r>
        <w:t>.</w:t>
      </w:r>
      <w:r>
        <w:tab/>
        <w:t>Substitute enduring guardians</w:t>
      </w:r>
      <w:bookmarkEnd w:id="244"/>
    </w:p>
    <w:p>
      <w:pPr>
        <w:pStyle w:val="Subsection"/>
      </w:pPr>
      <w:r>
        <w:tab/>
        <w:t>(1)</w:t>
      </w:r>
      <w:r>
        <w:tab/>
        <w:t>An appointor may, in the enduring power of guardianship, appoint one or more persons to be substitute enduring guardians.</w:t>
      </w:r>
    </w:p>
    <w:p>
      <w:pPr>
        <w:pStyle w:val="Subsection"/>
      </w:pPr>
      <w:r>
        <w:tab/>
        <w:t>(2)</w:t>
      </w:r>
      <w:r>
        <w:tab/>
        <w:t>A substitute enduring guardian becomes the enduring guardian or a joint enduring guardian (as the case may be) in the circumstances specified in the enduring power of guardianship.</w:t>
      </w:r>
    </w:p>
    <w:p>
      <w:pPr>
        <w:pStyle w:val="Footnotesection"/>
      </w:pPr>
      <w:r>
        <w:tab/>
        <w:t>[Section 110C inserted: No. 25 of 2008 s. 11.]</w:t>
      </w:r>
    </w:p>
    <w:p>
      <w:pPr>
        <w:pStyle w:val="Heading5"/>
      </w:pPr>
      <w:bookmarkStart w:id="245" w:name="_Toc175575896"/>
      <w:r>
        <w:rPr>
          <w:rStyle w:val="CharSectno"/>
        </w:rPr>
        <w:lastRenderedPageBreak/>
        <w:t>110D</w:t>
      </w:r>
      <w:r>
        <w:t>.</w:t>
      </w:r>
      <w:r>
        <w:tab/>
        <w:t>Who is eligible to be appointed</w:t>
      </w:r>
      <w:bookmarkEnd w:id="245"/>
    </w:p>
    <w:p>
      <w:pPr>
        <w:pStyle w:val="Subsection"/>
      </w:pPr>
      <w:r>
        <w:tab/>
      </w:r>
      <w:r>
        <w:tab/>
        <w:t>A person is eligible to be appointed under section 110B or 110C(1) if the person has reached 18 years of age and has full legal capacity.</w:t>
      </w:r>
    </w:p>
    <w:p>
      <w:pPr>
        <w:pStyle w:val="Footnotesection"/>
      </w:pPr>
      <w:r>
        <w:tab/>
        <w:t>[Section 110D inserted: No. 25 of 2008 s. 11.]</w:t>
      </w:r>
    </w:p>
    <w:p>
      <w:pPr>
        <w:pStyle w:val="Heading5"/>
      </w:pPr>
      <w:bookmarkStart w:id="246" w:name="_Toc175575897"/>
      <w:r>
        <w:rPr>
          <w:rStyle w:val="CharSectno"/>
        </w:rPr>
        <w:t>110E</w:t>
      </w:r>
      <w:r>
        <w:t>.</w:t>
      </w:r>
      <w:r>
        <w:tab/>
        <w:t>Formal requirements</w:t>
      </w:r>
      <w:bookmarkEnd w:id="246"/>
    </w:p>
    <w:p>
      <w:pPr>
        <w:pStyle w:val="Subsection"/>
      </w:pPr>
      <w:r>
        <w:tab/>
        <w:t>(1)</w:t>
      </w:r>
      <w:r>
        <w:tab/>
        <w:t xml:space="preserve">An enduring power of guardianship is not valid unless — </w:t>
      </w:r>
    </w:p>
    <w:p>
      <w:pPr>
        <w:pStyle w:val="Indenta"/>
      </w:pPr>
      <w:r>
        <w:tab/>
        <w:t>(a)</w:t>
      </w:r>
      <w:r>
        <w:tab/>
        <w:t>it is in the form or substantially in the form prescribed by the regulations; and</w:t>
      </w:r>
    </w:p>
    <w:p>
      <w:pPr>
        <w:pStyle w:val="Indenta"/>
      </w:pPr>
      <w:r>
        <w:tab/>
        <w:t>(b)</w:t>
      </w:r>
      <w:r>
        <w:tab/>
        <w:t>it is signed by the appointor or by another person in the presence of, and at the direction of, the appointor; and</w:t>
      </w:r>
    </w:p>
    <w:p>
      <w:pPr>
        <w:pStyle w:val="Indenta"/>
      </w:pPr>
      <w:r>
        <w:tab/>
        <w:t>(c)</w:t>
      </w:r>
      <w:r>
        <w:tab/>
        <w:t>the signature referred to in paragraph (b)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(d)</w:t>
      </w:r>
      <w:r>
        <w:tab/>
        <w:t xml:space="preserve">it is signed by the witnesses referred to in paragraph (c) in the presence of — </w:t>
      </w:r>
    </w:p>
    <w:p>
      <w:pPr>
        <w:pStyle w:val="Indenti"/>
      </w:pPr>
      <w:r>
        <w:tab/>
        <w:t>(i)</w:t>
      </w:r>
      <w:r>
        <w:tab/>
        <w:t>the appointor; and</w:t>
      </w:r>
    </w:p>
    <w:p>
      <w:pPr>
        <w:pStyle w:val="Indenti"/>
      </w:pPr>
      <w:r>
        <w:tab/>
        <w:t>(ii)</w:t>
      </w:r>
      <w:r>
        <w:tab/>
        <w:t>the person who signed it at the appointor’s direction (if applicable); and</w:t>
      </w:r>
    </w:p>
    <w:p>
      <w:pPr>
        <w:pStyle w:val="Indenti"/>
      </w:pPr>
      <w:r>
        <w:tab/>
        <w:t>(iii)</w:t>
      </w:r>
      <w:r>
        <w:tab/>
        <w:t>each other;</w:t>
      </w:r>
    </w:p>
    <w:p>
      <w:pPr>
        <w:pStyle w:val="Indenta"/>
      </w:pPr>
      <w:r>
        <w:tab/>
      </w:r>
      <w:r>
        <w:tab/>
        <w:t>and</w:t>
      </w:r>
    </w:p>
    <w:p>
      <w:pPr>
        <w:pStyle w:val="Indenta"/>
        <w:keepNext/>
        <w:keepLines/>
      </w:pPr>
      <w:r>
        <w:lastRenderedPageBreak/>
        <w:tab/>
        <w:t>(e)</w:t>
      </w:r>
      <w:r>
        <w:tab/>
        <w:t>it is signed by each person being appointed as an enduring guardian or substitute enduring guardian (an </w:t>
      </w:r>
      <w:r>
        <w:rPr>
          <w:rStyle w:val="CharDefText"/>
        </w:rPr>
        <w:t>appointee</w:t>
      </w:r>
      <w:r>
        <w:t>) to indicate the appointee’s acceptance of the appointment; and</w:t>
      </w:r>
    </w:p>
    <w:p>
      <w:pPr>
        <w:pStyle w:val="Indenta"/>
      </w:pPr>
      <w:r>
        <w:tab/>
        <w:t>(f)</w:t>
      </w:r>
      <w:r>
        <w:tab/>
        <w:t>the signature of the appointee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(g)</w:t>
      </w:r>
      <w:r>
        <w:tab/>
        <w:t>it is signed by the witnesses referred to in paragraph (f) in the presence of the appointee and each other.</w:t>
      </w:r>
    </w:p>
    <w:p>
      <w:pPr>
        <w:pStyle w:val="Subsection"/>
      </w:pPr>
      <w:r>
        <w:tab/>
        <w:t>(2)</w:t>
      </w:r>
      <w:r>
        <w:tab/>
        <w:t xml:space="preserve">A witness referred to in subsection (1)(c)(ii)(II) or (f)(ii)(II)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appointor; or</w:t>
      </w:r>
    </w:p>
    <w:p>
      <w:pPr>
        <w:pStyle w:val="Indenti"/>
      </w:pPr>
      <w:r>
        <w:tab/>
        <w:t>(ii)</w:t>
      </w:r>
      <w:r>
        <w:tab/>
        <w:t>the person who signed the enduring power of guardianship at the appointor’s direction (if applicable); or</w:t>
      </w:r>
    </w:p>
    <w:p>
      <w:pPr>
        <w:pStyle w:val="Indenti"/>
      </w:pPr>
      <w:r>
        <w:tab/>
        <w:t>(iii)</w:t>
      </w:r>
      <w:r>
        <w:tab/>
        <w:t>an appointee.</w:t>
      </w:r>
    </w:p>
    <w:p>
      <w:pPr>
        <w:pStyle w:val="Footnotesection"/>
      </w:pPr>
      <w:r>
        <w:tab/>
        <w:t>[Section 110E inserted: No. 25 of 2008 s. 11.]</w:t>
      </w:r>
    </w:p>
    <w:p>
      <w:pPr>
        <w:pStyle w:val="Heading3"/>
        <w:keepLines/>
      </w:pPr>
      <w:bookmarkStart w:id="247" w:name="_Toc175234864"/>
      <w:bookmarkStart w:id="248" w:name="_Toc175235137"/>
      <w:bookmarkStart w:id="249" w:name="_Toc175235457"/>
      <w:bookmarkStart w:id="250" w:name="_Toc175575627"/>
      <w:bookmarkStart w:id="251" w:name="_Toc175575898"/>
      <w:r>
        <w:rPr>
          <w:rStyle w:val="CharDivNo"/>
        </w:rPr>
        <w:lastRenderedPageBreak/>
        <w:t>Division 3</w:t>
      </w:r>
      <w:r>
        <w:t> — </w:t>
      </w:r>
      <w:r>
        <w:rPr>
          <w:rStyle w:val="CharDivText"/>
        </w:rPr>
        <w:t>Operation of enduring power of guardianship</w:t>
      </w:r>
      <w:bookmarkEnd w:id="247"/>
      <w:bookmarkEnd w:id="248"/>
      <w:bookmarkEnd w:id="249"/>
      <w:bookmarkEnd w:id="250"/>
      <w:bookmarkEnd w:id="251"/>
    </w:p>
    <w:p>
      <w:pPr>
        <w:pStyle w:val="Footnoteheading"/>
        <w:keepNext/>
        <w:keepLines/>
      </w:pPr>
      <w:r>
        <w:tab/>
        <w:t>[Heading inserted: No. 25 of 2008 s. 11.]</w:t>
      </w:r>
    </w:p>
    <w:p>
      <w:pPr>
        <w:pStyle w:val="Heading5"/>
      </w:pPr>
      <w:bookmarkStart w:id="252" w:name="_Toc175575899"/>
      <w:r>
        <w:rPr>
          <w:rStyle w:val="CharSectno"/>
        </w:rPr>
        <w:t>110F</w:t>
      </w:r>
      <w:r>
        <w:t>.</w:t>
      </w:r>
      <w:r>
        <w:tab/>
        <w:t>When enduring guardian may act</w:t>
      </w:r>
      <w:bookmarkEnd w:id="252"/>
    </w:p>
    <w:p>
      <w:pPr>
        <w:pStyle w:val="Subsection"/>
        <w:spacing w:before="120"/>
      </w:pPr>
      <w:r>
        <w:tab/>
      </w:r>
      <w:r>
        <w:tab/>
        <w:t>An enduring power of guardianship has effect, subject to its terms, at any time the appointor is unable to make reasonable judgments in respect of matters relating to his or her person.</w:t>
      </w:r>
    </w:p>
    <w:p>
      <w:pPr>
        <w:pStyle w:val="Footnotesection"/>
      </w:pPr>
      <w:r>
        <w:tab/>
        <w:t>[Section 110F inserted: No. 25 of 2008 s. 11.]</w:t>
      </w:r>
    </w:p>
    <w:p>
      <w:pPr>
        <w:pStyle w:val="Heading5"/>
      </w:pPr>
      <w:bookmarkStart w:id="253" w:name="_Toc175575900"/>
      <w:r>
        <w:rPr>
          <w:rStyle w:val="CharSectno"/>
        </w:rPr>
        <w:t>110G</w:t>
      </w:r>
      <w:r>
        <w:t>.</w:t>
      </w:r>
      <w:r>
        <w:tab/>
        <w:t>Functions generally</w:t>
      </w:r>
      <w:bookmarkEnd w:id="253"/>
    </w:p>
    <w:p>
      <w:pPr>
        <w:pStyle w:val="Subsection"/>
      </w:pPr>
      <w:r>
        <w:tab/>
        <w:t>(1)</w:t>
      </w:r>
      <w:r>
        <w:tab/>
        <w:t xml:space="preserve">Subject to this section, an enduring guardian has the same functions under section 45(1) and (2), and is subject to the same limitations under </w:t>
      </w:r>
      <w:r>
        <w:rPr>
          <w:color w:val="000000" w:themeColor="text1"/>
        </w:rPr>
        <w:t xml:space="preserve">sections 45(3), </w:t>
      </w:r>
      <w:r>
        <w:t>(3A),</w:t>
      </w:r>
      <w:r>
        <w:rPr>
          <w:color w:val="000000" w:themeColor="text1"/>
        </w:rPr>
        <w:t xml:space="preserve"> (4A) and (4), 110ZR and 110ZT, </w:t>
      </w:r>
      <w:r>
        <w:t>in relation to the appointor as a plenary guardian has and is subject to in relation to a represented person.</w:t>
      </w:r>
    </w:p>
    <w:p>
      <w:pPr>
        <w:pStyle w:val="Subsection"/>
      </w:pPr>
      <w:r>
        <w:tab/>
        <w:t>(2)</w:t>
      </w:r>
      <w:r>
        <w:tab/>
        <w:t>An enduring power of guardianship may limit the functions of the enduring guardian to the functions specified in the power.</w:t>
      </w:r>
    </w:p>
    <w:p>
      <w:pPr>
        <w:pStyle w:val="Subsection"/>
      </w:pPr>
      <w:r>
        <w:tab/>
        <w:t>(3)</w:t>
      </w:r>
      <w:r>
        <w:tab/>
        <w:t>An enduring power of guardianship may limit the circumstances in which the enduring guardian may act to the circumstances specified in the power.</w:t>
      </w:r>
    </w:p>
    <w:p>
      <w:pPr>
        <w:pStyle w:val="Subsection"/>
      </w:pPr>
      <w:r>
        <w:tab/>
        <w:t>(4)</w:t>
      </w:r>
      <w:r>
        <w:tab/>
        <w:t>An enduring power of guardianship may include directions about how the enduring guardian is to perform any of his or her functions.</w:t>
      </w:r>
    </w:p>
    <w:p>
      <w:pPr>
        <w:pStyle w:val="Footnotesection"/>
      </w:pPr>
      <w:r>
        <w:tab/>
        <w:t>[Section 110G inserted: No. 25 of 2008 s. 11; amended: No. 17 of 2014 s. 22(5); No. 14 of 2020 s. 10; No. 20 of 2023 s. 41.]</w:t>
      </w:r>
    </w:p>
    <w:p>
      <w:pPr>
        <w:pStyle w:val="Heading5"/>
      </w:pPr>
      <w:bookmarkStart w:id="254" w:name="_Toc175575901"/>
      <w:r>
        <w:rPr>
          <w:rStyle w:val="CharSectno"/>
        </w:rPr>
        <w:t>110H</w:t>
      </w:r>
      <w:r>
        <w:t>.</w:t>
      </w:r>
      <w:r>
        <w:tab/>
        <w:t>Certain provisions apply in relation to enduring guardian and appointor</w:t>
      </w:r>
      <w:bookmarkEnd w:id="254"/>
    </w:p>
    <w:p>
      <w:pPr>
        <w:pStyle w:val="Subsection"/>
      </w:pPr>
      <w:r>
        <w:tab/>
      </w:r>
      <w:r>
        <w:tab/>
        <w:t xml:space="preserve">The following provisions apply (with the necessary changes) in relation to an enduring guardian and appointor as if they were a guardian and represented person respectively — </w:t>
      </w:r>
    </w:p>
    <w:p>
      <w:pPr>
        <w:pStyle w:val="Indenta"/>
      </w:pPr>
      <w:r>
        <w:tab/>
        <w:t>(a)</w:t>
      </w:r>
      <w:r>
        <w:tab/>
        <w:t>sections 48 to 51;</w:t>
      </w:r>
    </w:p>
    <w:p>
      <w:pPr>
        <w:pStyle w:val="Indenta"/>
      </w:pPr>
      <w:r>
        <w:lastRenderedPageBreak/>
        <w:tab/>
        <w:t>(b)</w:t>
      </w:r>
      <w:r>
        <w:tab/>
        <w:t>section 53(a);</w:t>
      </w:r>
    </w:p>
    <w:p>
      <w:pPr>
        <w:pStyle w:val="Indenta"/>
      </w:pPr>
      <w:r>
        <w:tab/>
        <w:t>(c)</w:t>
      </w:r>
      <w:r>
        <w:tab/>
        <w:t>subject to the terms of the enduring power of guardianship, section 54 as if it were not subject to section 85;</w:t>
      </w:r>
    </w:p>
    <w:p>
      <w:pPr>
        <w:pStyle w:val="Indenta"/>
      </w:pPr>
      <w:r>
        <w:tab/>
        <w:t>(d)</w:t>
      </w:r>
      <w:r>
        <w:tab/>
        <w:t>Part 5 Division 3 other than section 57(2).</w:t>
      </w:r>
    </w:p>
    <w:p>
      <w:pPr>
        <w:pStyle w:val="Footnotesection"/>
      </w:pPr>
      <w:r>
        <w:tab/>
        <w:t>[Section 110H inserted: No. 25 of 2008 s. 11.]</w:t>
      </w:r>
    </w:p>
    <w:p>
      <w:pPr>
        <w:pStyle w:val="Heading5"/>
      </w:pPr>
      <w:bookmarkStart w:id="255" w:name="_Toc175575902"/>
      <w:r>
        <w:rPr>
          <w:rStyle w:val="CharSectno"/>
        </w:rPr>
        <w:t>110I</w:t>
      </w:r>
      <w:r>
        <w:t>.</w:t>
      </w:r>
      <w:r>
        <w:tab/>
        <w:t>Priority of enduring power of guardianship</w:t>
      </w:r>
      <w:bookmarkEnd w:id="255"/>
    </w:p>
    <w:p>
      <w:pPr>
        <w:pStyle w:val="Subsection"/>
      </w:pPr>
      <w:r>
        <w:tab/>
        <w:t>(1)</w:t>
      </w:r>
      <w:r>
        <w:tab/>
        <w:t>To the extent an enduring power of guardianship relates to the making of a treatment decision for the appointor, the priority to be given to the power is determined in accordance with section 110ZJ.</w:t>
      </w:r>
    </w:p>
    <w:p>
      <w:pPr>
        <w:pStyle w:val="Subsection"/>
      </w:pPr>
      <w:r>
        <w:rPr>
          <w:color w:val="000000" w:themeColor="text1"/>
        </w:rPr>
        <w:tab/>
        <w:t>(1A)</w:t>
      </w:r>
      <w:r>
        <w:rPr>
          <w:color w:val="000000" w:themeColor="text1"/>
        </w:rPr>
        <w:tab/>
        <w:t>To the extent an enduring power of guardianship relates to the making of a research decision in relation to the appointor, the power may be exercised only if the enduring guardian is the research decision</w:t>
      </w:r>
      <w:r>
        <w:rPr>
          <w:color w:val="000000" w:themeColor="text1"/>
        </w:rPr>
        <w:noBreakHyphen/>
        <w:t>maker for the appointor.</w:t>
      </w:r>
    </w:p>
    <w:p>
      <w:pPr>
        <w:pStyle w:val="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Footnotesection"/>
      </w:pPr>
      <w:r>
        <w:tab/>
        <w:t>[Section 110I inserted: No. 25 of 2008 s. 11; amended: No. 14 of 2020 s. 11.]</w:t>
      </w:r>
    </w:p>
    <w:p>
      <w:pPr>
        <w:pStyle w:val="Heading3"/>
      </w:pPr>
      <w:bookmarkStart w:id="256" w:name="_Toc175234869"/>
      <w:bookmarkStart w:id="257" w:name="_Toc175235142"/>
      <w:bookmarkStart w:id="258" w:name="_Toc175235462"/>
      <w:bookmarkStart w:id="259" w:name="_Toc175575632"/>
      <w:bookmarkStart w:id="260" w:name="_Toc175575903"/>
      <w:r>
        <w:rPr>
          <w:rStyle w:val="CharDivNo"/>
        </w:rPr>
        <w:t>Division 4</w:t>
      </w:r>
      <w:r>
        <w:t> — </w:t>
      </w:r>
      <w:r>
        <w:rPr>
          <w:rStyle w:val="CharDivText"/>
        </w:rPr>
        <w:t>Jurisdiction of State Administrative Tribunal</w:t>
      </w:r>
      <w:bookmarkEnd w:id="256"/>
      <w:bookmarkEnd w:id="257"/>
      <w:bookmarkEnd w:id="258"/>
      <w:bookmarkEnd w:id="259"/>
      <w:bookmarkEnd w:id="260"/>
    </w:p>
    <w:p>
      <w:pPr>
        <w:pStyle w:val="Footnoteheading"/>
      </w:pPr>
      <w:r>
        <w:tab/>
        <w:t>[Heading inserted: No. 25 of 2008 s. 11.]</w:t>
      </w:r>
    </w:p>
    <w:p>
      <w:pPr>
        <w:pStyle w:val="Heading5"/>
      </w:pPr>
      <w:bookmarkStart w:id="261" w:name="_Toc175575904"/>
      <w:r>
        <w:rPr>
          <w:rStyle w:val="CharSectno"/>
        </w:rPr>
        <w:t>110J</w:t>
      </w:r>
      <w:r>
        <w:t>.</w:t>
      </w:r>
      <w:r>
        <w:tab/>
        <w:t>Who may apply</w:t>
      </w:r>
      <w:bookmarkEnd w:id="261"/>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110J inserted: No. 25 of 2008 s. 11.]</w:t>
      </w:r>
    </w:p>
    <w:p>
      <w:pPr>
        <w:pStyle w:val="Heading5"/>
      </w:pPr>
      <w:bookmarkStart w:id="262" w:name="_Toc175575905"/>
      <w:r>
        <w:rPr>
          <w:rStyle w:val="CharSectno"/>
        </w:rPr>
        <w:lastRenderedPageBreak/>
        <w:t>110K</w:t>
      </w:r>
      <w:r>
        <w:t>.</w:t>
      </w:r>
      <w:r>
        <w:tab/>
        <w:t>Declaration about validity of enduring power of guardianship</w:t>
      </w:r>
      <w:bookmarkEnd w:id="262"/>
    </w:p>
    <w:p>
      <w:pPr>
        <w:pStyle w:val="Subsection"/>
      </w:pPr>
      <w:r>
        <w:tab/>
        <w:t>(1)</w:t>
      </w:r>
      <w:r>
        <w:tab/>
        <w:t>The State Administrative Tribunal may declare that an enduring power of guardianship is valid or invalid.</w:t>
      </w:r>
    </w:p>
    <w:p>
      <w:pPr>
        <w:pStyle w:val="Subsection"/>
        <w:keepNext/>
        <w:keepLines/>
      </w:pPr>
      <w:r>
        <w:tab/>
        <w:t>(2)</w:t>
      </w:r>
      <w:r>
        <w:tab/>
        <w:t>A declaration made under subsection (1) has effect according to its terms.</w:t>
      </w:r>
    </w:p>
    <w:p>
      <w:pPr>
        <w:pStyle w:val="Footnotesection"/>
      </w:pPr>
      <w:r>
        <w:tab/>
        <w:t>[Section 110K inserted: No. 25 of 2008 s. 11.]</w:t>
      </w:r>
    </w:p>
    <w:p>
      <w:pPr>
        <w:pStyle w:val="Heading5"/>
      </w:pPr>
      <w:bookmarkStart w:id="263" w:name="_Toc175575906"/>
      <w:r>
        <w:rPr>
          <w:rStyle w:val="CharSectno"/>
        </w:rPr>
        <w:t>110L</w:t>
      </w:r>
      <w:r>
        <w:t>.</w:t>
      </w:r>
      <w:r>
        <w:tab/>
        <w:t>Declaration of incapacity of appointor</w:t>
      </w:r>
      <w:bookmarkEnd w:id="263"/>
    </w:p>
    <w:p>
      <w:pPr>
        <w:pStyle w:val="Subsection"/>
      </w:pPr>
      <w:r>
        <w:tab/>
        <w:t>(1)</w:t>
      </w:r>
      <w:r>
        <w:tab/>
        <w:t>The State Administrative Tribunal may declare that the appointor under an enduring power of guardianship is unable to make reasonable judgments in respect of matters relating to his or her person.</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110L inserted: No. 25 of 2008 s. 11.]</w:t>
      </w:r>
    </w:p>
    <w:p>
      <w:pPr>
        <w:pStyle w:val="Heading5"/>
      </w:pPr>
      <w:bookmarkStart w:id="264" w:name="_Toc175575907"/>
      <w:r>
        <w:rPr>
          <w:rStyle w:val="CharSectno"/>
        </w:rPr>
        <w:t>110M</w:t>
      </w:r>
      <w:r>
        <w:t>.</w:t>
      </w:r>
      <w:r>
        <w:tab/>
        <w:t>Directions as to construction of terms etc.</w:t>
      </w:r>
      <w:bookmarkEnd w:id="264"/>
    </w:p>
    <w:p>
      <w:pPr>
        <w:pStyle w:val="Subsection"/>
      </w:pPr>
      <w:r>
        <w:tab/>
      </w:r>
      <w:r>
        <w:tab/>
        <w:t xml:space="preserve">The State Administrative Tribunal may give directions as to matters connected with — </w:t>
      </w:r>
    </w:p>
    <w:p>
      <w:pPr>
        <w:pStyle w:val="Indenta"/>
      </w:pPr>
      <w:r>
        <w:tab/>
        <w:t>(a)</w:t>
      </w:r>
      <w:r>
        <w:tab/>
        <w:t>the exercise of an enduring power of guardianship; or</w:t>
      </w:r>
    </w:p>
    <w:p>
      <w:pPr>
        <w:pStyle w:val="Indenta"/>
      </w:pPr>
      <w:r>
        <w:tab/>
        <w:t>(b)</w:t>
      </w:r>
      <w:r>
        <w:tab/>
        <w:t>the construction of the terms of an enduring power of guardianship.</w:t>
      </w:r>
    </w:p>
    <w:p>
      <w:pPr>
        <w:pStyle w:val="Footnotesection"/>
      </w:pPr>
      <w:r>
        <w:tab/>
        <w:t>[Section 110M inserted: No. 25 of 2008 s. 11.]</w:t>
      </w:r>
    </w:p>
    <w:p>
      <w:pPr>
        <w:pStyle w:val="Heading5"/>
      </w:pPr>
      <w:bookmarkStart w:id="265" w:name="_Toc175575908"/>
      <w:r>
        <w:rPr>
          <w:rStyle w:val="CharSectno"/>
        </w:rPr>
        <w:t>110N</w:t>
      </w:r>
      <w:r>
        <w:t>.</w:t>
      </w:r>
      <w:r>
        <w:tab/>
        <w:t>Revocation or variation of enduring power of guardianship</w:t>
      </w:r>
      <w:bookmarkEnd w:id="265"/>
    </w:p>
    <w:p>
      <w:pPr>
        <w:pStyle w:val="Subsection"/>
      </w:pPr>
      <w:r>
        <w:tab/>
        <w:t>(1)</w:t>
      </w:r>
      <w:r>
        <w:tab/>
        <w:t xml:space="preserve">The State Administrative Tribunal may make an order — </w:t>
      </w:r>
    </w:p>
    <w:p>
      <w:pPr>
        <w:pStyle w:val="Indenta"/>
      </w:pPr>
      <w:r>
        <w:tab/>
        <w:t>(a)</w:t>
      </w:r>
      <w:r>
        <w:tab/>
        <w:t>revoking an enduring power of guardianship; or</w:t>
      </w:r>
    </w:p>
    <w:p>
      <w:pPr>
        <w:pStyle w:val="Indenta"/>
      </w:pPr>
      <w:r>
        <w:lastRenderedPageBreak/>
        <w:tab/>
        <w:t>(b)</w:t>
      </w:r>
      <w:r>
        <w:tab/>
        <w:t xml:space="preserve">revoking the appointment of one or some of the persons who are joint enduring guardians under an enduring power of guardianship if the person or each of the persons — </w:t>
      </w:r>
    </w:p>
    <w:p>
      <w:pPr>
        <w:pStyle w:val="Indenti"/>
      </w:pPr>
      <w:r>
        <w:tab/>
        <w:t>(i)</w:t>
      </w:r>
      <w:r>
        <w:tab/>
        <w:t>wishes to be discharged; or</w:t>
      </w:r>
    </w:p>
    <w:p>
      <w:pPr>
        <w:pStyle w:val="Indenti"/>
      </w:pPr>
      <w:r>
        <w:tab/>
        <w:t>(ii)</w:t>
      </w:r>
      <w:r>
        <w:tab/>
        <w:t>has been guilty of such neglect or misconduct or of such default as, in the opinion of the Tribunal, renders the person unfit to continue as an enduring guardian; or</w:t>
      </w:r>
    </w:p>
    <w:p>
      <w:pPr>
        <w:pStyle w:val="Indenti"/>
      </w:pPr>
      <w:r>
        <w:tab/>
        <w:t>(iii)</w:t>
      </w:r>
      <w:r>
        <w:tab/>
        <w:t>appears to the Tribunal to be incapable by reason of mental or physical incapacity of carrying out the person’s duties;</w:t>
      </w:r>
    </w:p>
    <w:p>
      <w:pPr>
        <w:pStyle w:val="Indenta"/>
      </w:pPr>
      <w:r>
        <w:tab/>
      </w:r>
      <w:r>
        <w:tab/>
        <w:t>or</w:t>
      </w:r>
    </w:p>
    <w:p>
      <w:pPr>
        <w:pStyle w:val="Indenta"/>
      </w:pPr>
      <w:r>
        <w:tab/>
        <w:t>(c)</w:t>
      </w:r>
      <w:r>
        <w:tab/>
        <w:t>revoking or varying any of the terms of an enduring power of guardianship.</w:t>
      </w:r>
    </w:p>
    <w:p>
      <w:pPr>
        <w:pStyle w:val="Subsection"/>
      </w:pPr>
      <w:r>
        <w:tab/>
        <w:t>(2)</w:t>
      </w:r>
      <w:r>
        <w:tab/>
        <w:t>If the Tribunal makes an order under subsection (1)(b), subject to the terms of the enduring power of guardianship, the remaining enduring guardian or guardians may act under the power.</w:t>
      </w:r>
    </w:p>
    <w:p>
      <w:pPr>
        <w:pStyle w:val="Subsection"/>
      </w:pPr>
      <w:r>
        <w:tab/>
        <w:t>(3)</w:t>
      </w:r>
      <w:r>
        <w:tab/>
        <w:t>An order made under subsection (1) may be expressed to come into effect at a time earlier than immediately after it is made.</w:t>
      </w:r>
    </w:p>
    <w:p>
      <w:pPr>
        <w:pStyle w:val="Footnotesection"/>
      </w:pPr>
      <w:r>
        <w:tab/>
        <w:t>[Section 110N inserted: No. 25 of 2008 s. 11.]</w:t>
      </w:r>
    </w:p>
    <w:p>
      <w:pPr>
        <w:pStyle w:val="Heading5"/>
      </w:pPr>
      <w:bookmarkStart w:id="266" w:name="_Toc175575909"/>
      <w:r>
        <w:rPr>
          <w:rStyle w:val="CharSectno"/>
        </w:rPr>
        <w:t>110O</w:t>
      </w:r>
      <w:r>
        <w:t>.</w:t>
      </w:r>
      <w:r>
        <w:tab/>
        <w:t>Recognition of instrument created in another jurisdiction</w:t>
      </w:r>
      <w:bookmarkEnd w:id="266"/>
    </w:p>
    <w:p>
      <w:pPr>
        <w:pStyle w:val="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Subsection"/>
      </w:pPr>
      <w:r>
        <w:tab/>
        <w:t>(2)</w:t>
      </w:r>
      <w:r>
        <w:tab/>
        <w:t>The Tribunal may revoke an order made under subsection (1).</w:t>
      </w:r>
    </w:p>
    <w:p>
      <w:pPr>
        <w:pStyle w:val="Footnotesection"/>
      </w:pPr>
      <w:r>
        <w:tab/>
        <w:t>[Section 110O inserted: No. 25 of 2008 s. 11.]</w:t>
      </w:r>
    </w:p>
    <w:p>
      <w:pPr>
        <w:pStyle w:val="Heading2"/>
      </w:pPr>
      <w:bookmarkStart w:id="267" w:name="_Toc175234876"/>
      <w:bookmarkStart w:id="268" w:name="_Toc175235149"/>
      <w:bookmarkStart w:id="269" w:name="_Toc175235469"/>
      <w:bookmarkStart w:id="270" w:name="_Toc175575639"/>
      <w:bookmarkStart w:id="271" w:name="_Toc175575910"/>
      <w:r>
        <w:rPr>
          <w:rStyle w:val="CharPartNo"/>
        </w:rPr>
        <w:lastRenderedPageBreak/>
        <w:t>Part 9B</w:t>
      </w:r>
      <w:r>
        <w:rPr>
          <w:b w:val="0"/>
        </w:rPr>
        <w:t> </w:t>
      </w:r>
      <w:r>
        <w:t>—</w:t>
      </w:r>
      <w:r>
        <w:rPr>
          <w:b w:val="0"/>
        </w:rPr>
        <w:t> </w:t>
      </w:r>
      <w:r>
        <w:rPr>
          <w:rStyle w:val="CharPartText"/>
        </w:rPr>
        <w:t>Advance health directives</w:t>
      </w:r>
      <w:bookmarkEnd w:id="267"/>
      <w:bookmarkEnd w:id="268"/>
      <w:bookmarkEnd w:id="269"/>
      <w:bookmarkEnd w:id="270"/>
      <w:bookmarkEnd w:id="271"/>
    </w:p>
    <w:p>
      <w:pPr>
        <w:pStyle w:val="Footnoteheading"/>
      </w:pPr>
      <w:r>
        <w:tab/>
        <w:t>[Heading inserted: No. 25 of 2008 s. 11.]</w:t>
      </w:r>
    </w:p>
    <w:p>
      <w:pPr>
        <w:pStyle w:val="Heading3"/>
      </w:pPr>
      <w:bookmarkStart w:id="272" w:name="_Toc175234877"/>
      <w:bookmarkStart w:id="273" w:name="_Toc175235150"/>
      <w:bookmarkStart w:id="274" w:name="_Toc175235470"/>
      <w:bookmarkStart w:id="275" w:name="_Toc175575640"/>
      <w:bookmarkStart w:id="276" w:name="_Toc175575911"/>
      <w:r>
        <w:rPr>
          <w:rStyle w:val="CharDivNo"/>
        </w:rPr>
        <w:t>Division 1</w:t>
      </w:r>
      <w:r>
        <w:t> — </w:t>
      </w:r>
      <w:r>
        <w:rPr>
          <w:rStyle w:val="CharDivText"/>
        </w:rPr>
        <w:t>Making of advance health directive</w:t>
      </w:r>
      <w:bookmarkEnd w:id="272"/>
      <w:bookmarkEnd w:id="273"/>
      <w:bookmarkEnd w:id="274"/>
      <w:bookmarkEnd w:id="275"/>
      <w:bookmarkEnd w:id="276"/>
    </w:p>
    <w:p>
      <w:pPr>
        <w:pStyle w:val="Footnoteheading"/>
      </w:pPr>
      <w:r>
        <w:tab/>
        <w:t>[Heading inserted: No. 25 of 2008 s. 11.]</w:t>
      </w:r>
    </w:p>
    <w:p>
      <w:pPr>
        <w:pStyle w:val="Heading5"/>
      </w:pPr>
      <w:bookmarkStart w:id="277" w:name="_Toc175575912"/>
      <w:r>
        <w:rPr>
          <w:rStyle w:val="CharSectno"/>
        </w:rPr>
        <w:t>110P</w:t>
      </w:r>
      <w:r>
        <w:t>.</w:t>
      </w:r>
      <w:r>
        <w:tab/>
        <w:t>Making advance health directive</w:t>
      </w:r>
      <w:bookmarkEnd w:id="277"/>
    </w:p>
    <w:p>
      <w:pPr>
        <w:pStyle w:val="Subsection"/>
      </w:pPr>
      <w:r>
        <w:tab/>
      </w:r>
      <w:r>
        <w:tab/>
        <w:t>A person who has reached 18 years of age and has full legal capacity may make an advance health directive containing treatment decisions in respect of the person’s future treatment.</w:t>
      </w:r>
    </w:p>
    <w:p>
      <w:pPr>
        <w:pStyle w:val="Footnotesection"/>
      </w:pPr>
      <w:r>
        <w:tab/>
        <w:t>[Section 110P inserted: No. 25 of 2008 s. 11.]</w:t>
      </w:r>
    </w:p>
    <w:p>
      <w:pPr>
        <w:pStyle w:val="Heading5"/>
      </w:pPr>
      <w:bookmarkStart w:id="278" w:name="_Toc175575913"/>
      <w:r>
        <w:rPr>
          <w:rStyle w:val="CharSectno"/>
        </w:rPr>
        <w:t>110Q</w:t>
      </w:r>
      <w:r>
        <w:t>.</w:t>
      </w:r>
      <w:r>
        <w:tab/>
        <w:t>Formal requirements</w:t>
      </w:r>
      <w:bookmarkEnd w:id="278"/>
    </w:p>
    <w:p>
      <w:pPr>
        <w:pStyle w:val="Subsection"/>
      </w:pPr>
      <w:r>
        <w:tab/>
        <w:t>(1)</w:t>
      </w:r>
      <w:r>
        <w:tab/>
        <w:t xml:space="preserve">An advance health directive is not valid unless — </w:t>
      </w:r>
    </w:p>
    <w:p>
      <w:pPr>
        <w:pStyle w:val="Indenta"/>
      </w:pPr>
      <w:r>
        <w:tab/>
        <w:t>(a)</w:t>
      </w:r>
      <w:r>
        <w:tab/>
        <w:t>it is in the form or substantially in the form prescribed by the regulations; and</w:t>
      </w:r>
    </w:p>
    <w:p>
      <w:pPr>
        <w:pStyle w:val="Indenta"/>
      </w:pPr>
      <w:r>
        <w:tab/>
        <w:t>(b)</w:t>
      </w:r>
      <w:r>
        <w:tab/>
        <w:t>the maker is encouraged to seek legal or medical advice; and</w:t>
      </w:r>
    </w:p>
    <w:p>
      <w:pPr>
        <w:pStyle w:val="Indenta"/>
      </w:pPr>
      <w:r>
        <w:tab/>
        <w:t>(c)</w:t>
      </w:r>
      <w:r>
        <w:tab/>
        <w:t>it is signed by its maker or by another person in the presence of, and at the direction of, its maker; and</w:t>
      </w:r>
    </w:p>
    <w:p>
      <w:pPr>
        <w:pStyle w:val="Indenta"/>
      </w:pPr>
      <w:r>
        <w:tab/>
        <w:t>(d)</w:t>
      </w:r>
      <w:r>
        <w:tab/>
        <w:t>the signature referred to in paragraph (c)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keepNext/>
      </w:pPr>
      <w:r>
        <w:lastRenderedPageBreak/>
        <w:tab/>
        <w:t>(e)</w:t>
      </w:r>
      <w:r>
        <w:tab/>
        <w:t xml:space="preserve">it is signed by the witnesses in the presence of — </w:t>
      </w:r>
    </w:p>
    <w:p>
      <w:pPr>
        <w:pStyle w:val="Indenti"/>
      </w:pPr>
      <w:r>
        <w:tab/>
        <w:t>(i)</w:t>
      </w:r>
      <w:r>
        <w:tab/>
        <w:t>its maker; and</w:t>
      </w:r>
    </w:p>
    <w:p>
      <w:pPr>
        <w:pStyle w:val="Indenti"/>
      </w:pPr>
      <w:r>
        <w:tab/>
        <w:t>(ii)</w:t>
      </w:r>
      <w:r>
        <w:tab/>
        <w:t>the person who signed it at its maker’s direction (if applicable); and</w:t>
      </w:r>
    </w:p>
    <w:p>
      <w:pPr>
        <w:pStyle w:val="Indenti"/>
      </w:pPr>
      <w:r>
        <w:tab/>
        <w:t>(iii)</w:t>
      </w:r>
      <w:r>
        <w:tab/>
        <w:t>each other.</w:t>
      </w:r>
    </w:p>
    <w:p>
      <w:pPr>
        <w:pStyle w:val="Subsection"/>
      </w:pPr>
      <w:r>
        <w:rPr>
          <w:szCs w:val="22"/>
        </w:rPr>
        <w:tab/>
        <w:t>(2)</w:t>
      </w:r>
      <w:r>
        <w:rPr>
          <w:szCs w:val="22"/>
        </w:rPr>
        <w:tab/>
        <w:t>Despite subsection (1)(b), the validity of an advance health directive is not affected by a failure to comply with subsection (1)(b).</w:t>
      </w:r>
    </w:p>
    <w:p>
      <w:pPr>
        <w:pStyle w:val="Subsection"/>
      </w:pPr>
      <w:r>
        <w:tab/>
        <w:t>(3)</w:t>
      </w:r>
      <w:r>
        <w:tab/>
        <w:t xml:space="preserve">A witness referred to in subsection (1)(d)(ii)(II)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maker of the advance health directive; or</w:t>
      </w:r>
    </w:p>
    <w:p>
      <w:pPr>
        <w:pStyle w:val="Indenti"/>
      </w:pPr>
      <w:r>
        <w:tab/>
        <w:t>(ii)</w:t>
      </w:r>
      <w:r>
        <w:tab/>
        <w:t>the person who signed the directive at its maker’s direction (if applicable).</w:t>
      </w:r>
    </w:p>
    <w:p>
      <w:pPr>
        <w:pStyle w:val="Footnotesection"/>
      </w:pPr>
      <w:r>
        <w:tab/>
        <w:t>[Section 110Q inserted: No. 25 of 2008 s. 11.]</w:t>
      </w:r>
    </w:p>
    <w:p>
      <w:pPr>
        <w:pStyle w:val="Heading5"/>
      </w:pPr>
      <w:bookmarkStart w:id="279" w:name="_Toc175575914"/>
      <w:r>
        <w:rPr>
          <w:rStyle w:val="CharSectno"/>
        </w:rPr>
        <w:t>110QA</w:t>
      </w:r>
      <w:r>
        <w:t>.</w:t>
      </w:r>
      <w:r>
        <w:tab/>
        <w:t>Maker may indicate in directive whether advice obtained</w:t>
      </w:r>
      <w:bookmarkEnd w:id="279"/>
    </w:p>
    <w:p>
      <w:pPr>
        <w:pStyle w:val="Subsection"/>
      </w:pPr>
      <w:r>
        <w:tab/>
      </w:r>
      <w:r>
        <w:tab/>
        <w:t xml:space="preserve">The form prescribed by the regulations for section 110Q(1)(a) must include provision for the maker, if the maker wishes — </w:t>
      </w:r>
    </w:p>
    <w:p>
      <w:pPr>
        <w:pStyle w:val="Indenta"/>
      </w:pPr>
      <w:r>
        <w:tab/>
        <w:t>(a)</w:t>
      </w:r>
      <w:r>
        <w:tab/>
        <w:t>to indicate whether the maker obtained legal or medical advice about the making of the directive; and</w:t>
      </w:r>
    </w:p>
    <w:p>
      <w:pPr>
        <w:pStyle w:val="Indenta"/>
      </w:pPr>
      <w:r>
        <w:tab/>
        <w:t>(b)</w:t>
      </w:r>
      <w:r>
        <w:tab/>
        <w:t>if so, to identify from whom the maker obtained the advice.</w:t>
      </w:r>
    </w:p>
    <w:p>
      <w:pPr>
        <w:pStyle w:val="Footnotesection"/>
      </w:pPr>
      <w:r>
        <w:tab/>
        <w:t>[Section 110QA inserted: No. 25 of 2008 s. 11.]</w:t>
      </w:r>
    </w:p>
    <w:p>
      <w:pPr>
        <w:pStyle w:val="Heading5"/>
      </w:pPr>
      <w:bookmarkStart w:id="280" w:name="_Toc175575915"/>
      <w:r>
        <w:rPr>
          <w:rStyle w:val="CharSectno"/>
        </w:rPr>
        <w:t>110R</w:t>
      </w:r>
      <w:r>
        <w:t>.</w:t>
      </w:r>
      <w:r>
        <w:tab/>
        <w:t>Requirements in relation to treatment decision in advance health directive</w:t>
      </w:r>
      <w:bookmarkEnd w:id="280"/>
    </w:p>
    <w:p>
      <w:pPr>
        <w:pStyle w:val="Subsection"/>
      </w:pPr>
      <w:r>
        <w:tab/>
        <w:t>(1)</w:t>
      </w:r>
      <w:r>
        <w:tab/>
        <w:t xml:space="preserve">A treatment decision in an advance health directive is invalid if the treatment decision — </w:t>
      </w:r>
    </w:p>
    <w:p>
      <w:pPr>
        <w:pStyle w:val="Indenta"/>
      </w:pPr>
      <w:r>
        <w:tab/>
        <w:t>(a)</w:t>
      </w:r>
      <w:r>
        <w:tab/>
        <w:t>is not made voluntarily; or</w:t>
      </w:r>
    </w:p>
    <w:p>
      <w:pPr>
        <w:pStyle w:val="Indenta"/>
      </w:pPr>
      <w:r>
        <w:lastRenderedPageBreak/>
        <w:tab/>
        <w:t>(b)</w:t>
      </w:r>
      <w:r>
        <w:tab/>
        <w:t>is made as a result of inducement or coercion.</w:t>
      </w:r>
    </w:p>
    <w:p>
      <w:pPr>
        <w:pStyle w:val="Subsection"/>
      </w:pPr>
      <w:r>
        <w:tab/>
        <w:t>(2)</w:t>
      </w:r>
      <w:r>
        <w:tab/>
        <w:t xml:space="preserve">A treatment decision in an advance health directive is invalid if, at the time the directive is made, its maker does not understand — </w:t>
      </w:r>
    </w:p>
    <w:p>
      <w:pPr>
        <w:pStyle w:val="Indenta"/>
      </w:pPr>
      <w:r>
        <w:tab/>
        <w:t>(a)</w:t>
      </w:r>
      <w:r>
        <w:tab/>
        <w:t>the nature of the treatment decision; or</w:t>
      </w:r>
    </w:p>
    <w:p>
      <w:pPr>
        <w:pStyle w:val="Indenta"/>
      </w:pPr>
      <w:r>
        <w:tab/>
        <w:t>(b)</w:t>
      </w:r>
      <w:r>
        <w:tab/>
        <w:t>the consequences of making the treatment decision.</w:t>
      </w:r>
    </w:p>
    <w:p>
      <w:pPr>
        <w:pStyle w:val="Footnotesection"/>
      </w:pPr>
      <w:r>
        <w:tab/>
        <w:t>[Section 110R inserted: No. 25 of 2008 s. 11.]</w:t>
      </w:r>
    </w:p>
    <w:p>
      <w:pPr>
        <w:pStyle w:val="Ednotesection"/>
        <w:ind w:left="890" w:hanging="890"/>
      </w:pPr>
      <w:r>
        <w:t>[</w:t>
      </w:r>
      <w:r>
        <w:rPr>
          <w:b/>
          <w:bCs/>
        </w:rPr>
        <w:t>110RA.</w:t>
      </w:r>
      <w:r>
        <w:tab/>
        <w:t>Has not come into operation.]</w:t>
      </w:r>
    </w:p>
    <w:p>
      <w:pPr>
        <w:pStyle w:val="Heading3"/>
      </w:pPr>
      <w:bookmarkStart w:id="281" w:name="_Toc175234882"/>
      <w:bookmarkStart w:id="282" w:name="_Toc175235155"/>
      <w:bookmarkStart w:id="283" w:name="_Toc175235475"/>
      <w:bookmarkStart w:id="284" w:name="_Toc175575645"/>
      <w:bookmarkStart w:id="285" w:name="_Toc175575916"/>
      <w:r>
        <w:rPr>
          <w:rStyle w:val="CharDivNo"/>
        </w:rPr>
        <w:t>Division 2</w:t>
      </w:r>
      <w:r>
        <w:t> — </w:t>
      </w:r>
      <w:r>
        <w:rPr>
          <w:rStyle w:val="CharDivText"/>
        </w:rPr>
        <w:t>Operation of advance health directive</w:t>
      </w:r>
      <w:bookmarkEnd w:id="281"/>
      <w:bookmarkEnd w:id="282"/>
      <w:bookmarkEnd w:id="283"/>
      <w:bookmarkEnd w:id="284"/>
      <w:bookmarkEnd w:id="285"/>
    </w:p>
    <w:p>
      <w:pPr>
        <w:pStyle w:val="Footnoteheading"/>
      </w:pPr>
      <w:r>
        <w:tab/>
        <w:t>[Heading inserted: No. 25 of 2008 s. 11.]</w:t>
      </w:r>
    </w:p>
    <w:p>
      <w:pPr>
        <w:pStyle w:val="Heading5"/>
      </w:pPr>
      <w:bookmarkStart w:id="286" w:name="_Toc175575917"/>
      <w:r>
        <w:rPr>
          <w:rStyle w:val="CharSectno"/>
        </w:rPr>
        <w:t>110S</w:t>
      </w:r>
      <w:r>
        <w:t>.</w:t>
      </w:r>
      <w:r>
        <w:tab/>
        <w:t>Operation generally</w:t>
      </w:r>
      <w:bookmarkEnd w:id="286"/>
    </w:p>
    <w:p>
      <w:pPr>
        <w:pStyle w:val="Subsection"/>
      </w:pPr>
      <w:r>
        <w:tab/>
        <w:t>(1)</w:t>
      </w:r>
      <w:r>
        <w:tab/>
        <w:t xml:space="preserve">A treatment decision in an advance health directive operates in respect of the treatment to which it applies — </w:t>
      </w:r>
    </w:p>
    <w:p>
      <w:pPr>
        <w:pStyle w:val="Indenta"/>
      </w:pPr>
      <w:r>
        <w:tab/>
        <w:t>(a)</w:t>
      </w:r>
      <w:r>
        <w:tab/>
        <w:t>at any time the maker of the directive is unable to make reasonable judgments in respect of that treatment; and</w:t>
      </w:r>
    </w:p>
    <w:p>
      <w:pPr>
        <w:pStyle w:val="Indenta"/>
      </w:pPr>
      <w:r>
        <w:tab/>
        <w:t>(b)</w:t>
      </w:r>
      <w:r>
        <w:tab/>
        <w:t xml:space="preserve">as if — </w:t>
      </w:r>
    </w:p>
    <w:p>
      <w:pPr>
        <w:pStyle w:val="Indenti"/>
      </w:pPr>
      <w:r>
        <w:tab/>
        <w:t>(i)</w:t>
      </w:r>
      <w:r>
        <w:tab/>
        <w:t>the treatment decision had been made by the maker at that time; and</w:t>
      </w:r>
    </w:p>
    <w:p>
      <w:pPr>
        <w:pStyle w:val="Indenti"/>
      </w:pPr>
      <w:r>
        <w:tab/>
        <w:t>(ii)</w:t>
      </w:r>
      <w:r>
        <w:tab/>
        <w:t>the maker were of full legal capacity.</w:t>
      </w:r>
    </w:p>
    <w:p>
      <w:pPr>
        <w:pStyle w:val="Subsection"/>
      </w:pPr>
      <w:r>
        <w:tab/>
        <w:t>(2)</w:t>
      </w:r>
      <w:r>
        <w:tab/>
        <w:t>Subject to subsection (3), a treatment decision in an advance health directive operates only in the circumstances specified in the directive.</w:t>
      </w:r>
    </w:p>
    <w:p>
      <w:pPr>
        <w:pStyle w:val="Subsection"/>
      </w:pPr>
      <w:r>
        <w:tab/>
        <w:t>(3)</w:t>
      </w:r>
      <w:r>
        <w:tab/>
        <w:t xml:space="preserve">Subject to subsection (4), a treatment decision in an advance health directive does not operate if circumstances exist or have arisen that — </w:t>
      </w:r>
    </w:p>
    <w:p>
      <w:pPr>
        <w:pStyle w:val="Indenta"/>
      </w:pPr>
      <w:r>
        <w:tab/>
        <w:t>(a)</w:t>
      </w:r>
      <w:r>
        <w:tab/>
        <w:t>the maker of that directive would not have reasonably anticipated at the time of making the directive; and</w:t>
      </w:r>
    </w:p>
    <w:p>
      <w:pPr>
        <w:pStyle w:val="Indenta"/>
      </w:pPr>
      <w:r>
        <w:lastRenderedPageBreak/>
        <w:tab/>
        <w:t>(b)</w:t>
      </w:r>
      <w:r>
        <w:tab/>
        <w:t>would have caused a reasonable person in the maker’s position to have changed his or her mind about the treatment decision.</w:t>
      </w:r>
    </w:p>
    <w:p>
      <w:pPr>
        <w:pStyle w:val="Subsection"/>
      </w:pPr>
      <w:r>
        <w:tab/>
        <w:t>(4)</w:t>
      </w:r>
      <w:r>
        <w:tab/>
        <w:t>In determining whether or not subsection (3) applies in relation to a treatment decision that is in an advance health directive, the matters that must be taken into account include the following —</w:t>
      </w:r>
    </w:p>
    <w:p>
      <w:pPr>
        <w:pStyle w:val="Indenta"/>
      </w:pPr>
      <w:r>
        <w:tab/>
        <w:t>(a)</w:t>
      </w:r>
      <w:r>
        <w:tab/>
        <w:t>the maker’s age at the time the directive was made and at the time the treatment decision would otherwise operate;</w:t>
      </w:r>
    </w:p>
    <w:p>
      <w:pPr>
        <w:pStyle w:val="Indenta"/>
      </w:pPr>
      <w:r>
        <w:tab/>
        <w:t>(b)</w:t>
      </w:r>
      <w:r>
        <w:tab/>
        <w:t>the period that has elapsed between those times;</w:t>
      </w:r>
    </w:p>
    <w:p>
      <w:pPr>
        <w:pStyle w:val="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Indenta"/>
      </w:pPr>
      <w:r>
        <w:tab/>
        <w:t>(d)</w:t>
      </w:r>
      <w:r>
        <w:tab/>
        <w:t>the nature of the condition for which the maker needs treatment, the nature of that treatment and the consequences of providing and not providing that treatment.</w:t>
      </w:r>
    </w:p>
    <w:p>
      <w:pPr>
        <w:pStyle w:val="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Indenta"/>
      </w:pPr>
      <w:r>
        <w:tab/>
        <w:t>(a)</w:t>
      </w:r>
      <w:r>
        <w:tab/>
        <w:t>if the maker has an enduring guardian — the enduring guardian;</w:t>
      </w:r>
    </w:p>
    <w:p>
      <w:pPr>
        <w:pStyle w:val="Indenta"/>
      </w:pPr>
      <w:r>
        <w:tab/>
        <w:t>(b)</w:t>
      </w:r>
      <w:r>
        <w:tab/>
        <w:t>if the maker has a guardian — the guardian;</w:t>
      </w:r>
    </w:p>
    <w:p>
      <w:pPr>
        <w:pStyle w:val="Indenta"/>
      </w:pPr>
      <w:r>
        <w:tab/>
        <w:t>(c)</w:t>
      </w:r>
      <w:r>
        <w:tab/>
        <w:t>a person who has a relationship with the maker described in section 110ZD(3)(a) to (d);</w:t>
      </w:r>
    </w:p>
    <w:p>
      <w:pPr>
        <w:pStyle w:val="Indenta"/>
      </w:pPr>
      <w:r>
        <w:tab/>
        <w:t>(d)</w:t>
      </w:r>
      <w:r>
        <w:tab/>
        <w:t>any other person considered appropriate in the circumstances.</w:t>
      </w:r>
    </w:p>
    <w:p>
      <w:pPr>
        <w:pStyle w:val="Subsection"/>
        <w:keepNext/>
        <w:keepLines/>
      </w:pPr>
      <w:r>
        <w:lastRenderedPageBreak/>
        <w:tab/>
        <w:t>(6)</w:t>
      </w:r>
      <w:r>
        <w:tab/>
        <w:t>Subject to section 110T, a treatment decision in an advance health directive is taken to have been revoked if the maker of the directive has changed his or her mind about the treatment decision since making the directive.</w:t>
      </w:r>
    </w:p>
    <w:p>
      <w:pPr>
        <w:pStyle w:val="Footnotesection"/>
      </w:pPr>
      <w:r>
        <w:tab/>
        <w:t>[Section 110S inserted: No. 25 of 2008 s. 11.]</w:t>
      </w:r>
    </w:p>
    <w:p>
      <w:pPr>
        <w:pStyle w:val="Heading5"/>
      </w:pPr>
      <w:bookmarkStart w:id="287" w:name="_Toc175575918"/>
      <w:r>
        <w:rPr>
          <w:rStyle w:val="CharSectno"/>
        </w:rPr>
        <w:t>110T</w:t>
      </w:r>
      <w:r>
        <w:t>.</w:t>
      </w:r>
      <w:r>
        <w:tab/>
        <w:t>Effect of subsequent enduring power of guardianship</w:t>
      </w:r>
      <w:bookmarkEnd w:id="287"/>
    </w:p>
    <w:p>
      <w:pPr>
        <w:pStyle w:val="Subsection"/>
        <w:keepNext/>
      </w:pPr>
      <w:r>
        <w:tab/>
      </w:r>
      <w:r>
        <w:tab/>
        <w:t xml:space="preserve">For the purposes of this Act — </w:t>
      </w:r>
    </w:p>
    <w:p>
      <w:pPr>
        <w:pStyle w:val="Indenta"/>
        <w:keepNext/>
      </w:pPr>
      <w:r>
        <w:tab/>
        <w:t>(a)</w:t>
      </w:r>
      <w:r>
        <w:tab/>
        <w:t>a treatment decision in an advance health directive is not taken to have been revoked; and</w:t>
      </w:r>
    </w:p>
    <w:p>
      <w:pPr>
        <w:pStyle w:val="Indenta"/>
        <w:keepNext/>
      </w:pPr>
      <w:r>
        <w:tab/>
        <w:t>(b)</w:t>
      </w:r>
      <w:r>
        <w:tab/>
        <w:t>the maker of the directive is not taken to have changed his or her mind about the treatment decision since making the directive,</w:t>
      </w:r>
    </w:p>
    <w:p>
      <w:pPr>
        <w:pStyle w:val="Subsection"/>
      </w:pPr>
      <w:r>
        <w:tab/>
      </w:r>
      <w:r>
        <w:tab/>
        <w:t>merely because the maker subsequently makes an enduring power of guardianship (whether about the same matter as the treatment decision or a different matter).</w:t>
      </w:r>
    </w:p>
    <w:p>
      <w:pPr>
        <w:pStyle w:val="Footnotesection"/>
      </w:pPr>
      <w:r>
        <w:tab/>
        <w:t>[Section 110T inserted: No. 25 of 2008 s. 11.]</w:t>
      </w:r>
    </w:p>
    <w:p>
      <w:pPr>
        <w:pStyle w:val="Heading5"/>
      </w:pPr>
      <w:bookmarkStart w:id="288" w:name="_Toc175575919"/>
      <w:r>
        <w:rPr>
          <w:rStyle w:val="CharSectno"/>
        </w:rPr>
        <w:t>110U</w:t>
      </w:r>
      <w:r>
        <w:t>.</w:t>
      </w:r>
      <w:r>
        <w:tab/>
        <w:t>Priority of treatment decision in advance health directive</w:t>
      </w:r>
      <w:bookmarkEnd w:id="288"/>
    </w:p>
    <w:p>
      <w:pPr>
        <w:pStyle w:val="Subsection"/>
      </w:pPr>
      <w:r>
        <w:tab/>
      </w:r>
      <w:r>
        <w:tab/>
        <w:t xml:space="preserve">The priority to be given to a treatment decision in an advance health directive is determined — </w:t>
      </w:r>
    </w:p>
    <w:p>
      <w:pPr>
        <w:pStyle w:val="Indenta"/>
      </w:pPr>
      <w:r>
        <w:tab/>
        <w:t>(a)</w:t>
      </w:r>
      <w:r>
        <w:tab/>
        <w:t>in the case of a treatment decision in respect of treatment other than the performance of an abortion on the maker of the directive — in accordance with section 110ZJ; or</w:t>
      </w:r>
    </w:p>
    <w:p>
      <w:pPr>
        <w:pStyle w:val="Indenta"/>
      </w:pPr>
      <w:r>
        <w:tab/>
        <w:t>(b)</w:t>
      </w:r>
      <w:r>
        <w:tab/>
        <w:t>in the case of a treatment decision in respect of the performance of an abortion on the maker of the directive — in accordance with section 110ZLA.</w:t>
      </w:r>
    </w:p>
    <w:p>
      <w:pPr>
        <w:pStyle w:val="Footnotesection"/>
      </w:pPr>
      <w:r>
        <w:tab/>
        <w:t>[Section 110U inserted: No. 20 of 2023 s. 42.]</w:t>
      </w:r>
    </w:p>
    <w:p>
      <w:pPr>
        <w:pStyle w:val="Heading3"/>
      </w:pPr>
      <w:bookmarkStart w:id="289" w:name="_Toc175234886"/>
      <w:bookmarkStart w:id="290" w:name="_Toc175235159"/>
      <w:bookmarkStart w:id="291" w:name="_Toc175235479"/>
      <w:bookmarkStart w:id="292" w:name="_Toc175575649"/>
      <w:bookmarkStart w:id="293" w:name="_Toc175575920"/>
      <w:r>
        <w:rPr>
          <w:rStyle w:val="CharDivNo"/>
        </w:rPr>
        <w:lastRenderedPageBreak/>
        <w:t>Division 3</w:t>
      </w:r>
      <w:r>
        <w:t> — </w:t>
      </w:r>
      <w:r>
        <w:rPr>
          <w:rStyle w:val="CharDivText"/>
        </w:rPr>
        <w:t>Jurisdiction of State Administrative Tribunal</w:t>
      </w:r>
      <w:bookmarkEnd w:id="289"/>
      <w:bookmarkEnd w:id="290"/>
      <w:bookmarkEnd w:id="291"/>
      <w:bookmarkEnd w:id="292"/>
      <w:bookmarkEnd w:id="293"/>
    </w:p>
    <w:p>
      <w:pPr>
        <w:pStyle w:val="Footnoteheading"/>
        <w:keepNext/>
      </w:pPr>
      <w:r>
        <w:tab/>
        <w:t>[Heading inserted: No. 25 of 2008 s. 11.]</w:t>
      </w:r>
    </w:p>
    <w:p>
      <w:pPr>
        <w:pStyle w:val="Heading5"/>
      </w:pPr>
      <w:bookmarkStart w:id="294" w:name="_Toc175575921"/>
      <w:r>
        <w:rPr>
          <w:rStyle w:val="CharSectno"/>
        </w:rPr>
        <w:t>110V</w:t>
      </w:r>
      <w:r>
        <w:t>.</w:t>
      </w:r>
      <w:r>
        <w:tab/>
        <w:t>Who may apply</w:t>
      </w:r>
      <w:bookmarkEnd w:id="294"/>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110V inserted: No. 25 of 2008 s. 11.]</w:t>
      </w:r>
    </w:p>
    <w:p>
      <w:pPr>
        <w:pStyle w:val="Heading5"/>
      </w:pPr>
      <w:bookmarkStart w:id="295" w:name="_Toc175575922"/>
      <w:r>
        <w:rPr>
          <w:rStyle w:val="CharSectno"/>
        </w:rPr>
        <w:t>110W</w:t>
      </w:r>
      <w:r>
        <w:t>.</w:t>
      </w:r>
      <w:r>
        <w:tab/>
        <w:t>Declaration about validity of directive or treatment decision</w:t>
      </w:r>
      <w:bookmarkEnd w:id="295"/>
    </w:p>
    <w:p>
      <w:pPr>
        <w:pStyle w:val="Subsection"/>
        <w:keepNext/>
      </w:pPr>
      <w:r>
        <w:tab/>
        <w:t>(1)</w:t>
      </w:r>
      <w:r>
        <w:tab/>
        <w:t xml:space="preserve">The State Administrative Tribunal may declare that — </w:t>
      </w:r>
    </w:p>
    <w:p>
      <w:pPr>
        <w:pStyle w:val="Indenta"/>
      </w:pPr>
      <w:r>
        <w:tab/>
        <w:t>(a)</w:t>
      </w:r>
      <w:r>
        <w:tab/>
        <w:t>an advance health directive; or</w:t>
      </w:r>
    </w:p>
    <w:p>
      <w:pPr>
        <w:pStyle w:val="Indenta"/>
      </w:pPr>
      <w:r>
        <w:tab/>
        <w:t>(b)</w:t>
      </w:r>
      <w:r>
        <w:tab/>
        <w:t>a treatment decision in an advance health directive,</w:t>
      </w:r>
    </w:p>
    <w:p>
      <w:pPr>
        <w:pStyle w:val="Subsection"/>
      </w:pPr>
      <w:r>
        <w:tab/>
      </w:r>
      <w:r>
        <w:tab/>
        <w:t>is valid or invalid.</w:t>
      </w:r>
    </w:p>
    <w:p>
      <w:pPr>
        <w:pStyle w:val="Subsection"/>
      </w:pPr>
      <w:r>
        <w:tab/>
        <w:t>(2)</w:t>
      </w:r>
      <w:r>
        <w:tab/>
        <w:t>A declaration made under subsection (1) has effect according to its terms.</w:t>
      </w:r>
    </w:p>
    <w:p>
      <w:pPr>
        <w:pStyle w:val="Footnotesection"/>
      </w:pPr>
      <w:r>
        <w:tab/>
        <w:t>[Section 110W inserted: No. 25 of 2008 s. 11.]</w:t>
      </w:r>
    </w:p>
    <w:p>
      <w:pPr>
        <w:pStyle w:val="Heading5"/>
      </w:pPr>
      <w:bookmarkStart w:id="296" w:name="_Toc175575923"/>
      <w:r>
        <w:rPr>
          <w:rStyle w:val="CharSectno"/>
        </w:rPr>
        <w:t>110X</w:t>
      </w:r>
      <w:r>
        <w:t>.</w:t>
      </w:r>
      <w:r>
        <w:tab/>
        <w:t>Declaration of incapacity of maker</w:t>
      </w:r>
      <w:bookmarkEnd w:id="296"/>
    </w:p>
    <w:p>
      <w:pPr>
        <w:pStyle w:val="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110X inserted: No. 25 of 2008 s. 11.]</w:t>
      </w:r>
    </w:p>
    <w:p>
      <w:pPr>
        <w:pStyle w:val="Heading5"/>
      </w:pPr>
      <w:bookmarkStart w:id="297" w:name="_Toc175575924"/>
      <w:r>
        <w:rPr>
          <w:rStyle w:val="CharSectno"/>
        </w:rPr>
        <w:lastRenderedPageBreak/>
        <w:t>110Y</w:t>
      </w:r>
      <w:r>
        <w:t>.</w:t>
      </w:r>
      <w:r>
        <w:tab/>
        <w:t>Directions as to construction of terms etc.</w:t>
      </w:r>
      <w:bookmarkEnd w:id="297"/>
    </w:p>
    <w:p>
      <w:pPr>
        <w:pStyle w:val="Subsection"/>
      </w:pPr>
      <w:r>
        <w:tab/>
      </w:r>
      <w:r>
        <w:tab/>
        <w:t xml:space="preserve">The State Administrative Tribunal may give directions as to matters connected with — </w:t>
      </w:r>
    </w:p>
    <w:p>
      <w:pPr>
        <w:pStyle w:val="Indenta"/>
      </w:pPr>
      <w:r>
        <w:tab/>
        <w:t>(a)</w:t>
      </w:r>
      <w:r>
        <w:tab/>
        <w:t>the giving of effect to a treatment decision in an advance health directive; or</w:t>
      </w:r>
    </w:p>
    <w:p>
      <w:pPr>
        <w:pStyle w:val="Indenta"/>
      </w:pPr>
      <w:r>
        <w:tab/>
        <w:t>(b)</w:t>
      </w:r>
      <w:r>
        <w:tab/>
        <w:t>the construction of the terms of an advance health directive.</w:t>
      </w:r>
    </w:p>
    <w:p>
      <w:pPr>
        <w:pStyle w:val="Footnotesection"/>
      </w:pPr>
      <w:r>
        <w:tab/>
        <w:t>[Section 110Y inserted: No. 25 of 2008 s. 11.]</w:t>
      </w:r>
    </w:p>
    <w:p>
      <w:pPr>
        <w:pStyle w:val="Heading5"/>
      </w:pPr>
      <w:bookmarkStart w:id="298" w:name="_Toc175575925"/>
      <w:r>
        <w:rPr>
          <w:rStyle w:val="CharSectno"/>
        </w:rPr>
        <w:t>110Z</w:t>
      </w:r>
      <w:r>
        <w:t>.</w:t>
      </w:r>
      <w:r>
        <w:tab/>
        <w:t>Declaration that treatment decision has been revoked</w:t>
      </w:r>
      <w:bookmarkEnd w:id="298"/>
    </w:p>
    <w:p>
      <w:pPr>
        <w:pStyle w:val="Subsection"/>
      </w:pPr>
      <w:r>
        <w:tab/>
        <w:t>(1)</w:t>
      </w:r>
      <w:r>
        <w:tab/>
        <w:t>The State Administrative Tribunal may declare that a treatment decision in an advance health directive is taken to have been revoked under section 110S(6).</w:t>
      </w:r>
    </w:p>
    <w:p>
      <w:pPr>
        <w:pStyle w:val="Subsection"/>
      </w:pPr>
      <w:r>
        <w:tab/>
        <w:t>(2)</w:t>
      </w:r>
      <w:r>
        <w:tab/>
        <w:t>A declaration made under subsection (1) has effect according to its terms.</w:t>
      </w:r>
    </w:p>
    <w:p>
      <w:pPr>
        <w:pStyle w:val="Subsection"/>
        <w:keepNext/>
        <w:keepLines/>
      </w:pPr>
      <w:r>
        <w:tab/>
        <w:t>(3)</w:t>
      </w:r>
      <w:r>
        <w:tab/>
        <w:t>The Tribunal may revoke a declaration made under subsection (1).</w:t>
      </w:r>
    </w:p>
    <w:p>
      <w:pPr>
        <w:pStyle w:val="Footnotesection"/>
        <w:keepNext/>
      </w:pPr>
      <w:r>
        <w:tab/>
        <w:t>[Section 110Z inserted: No. 25 of 2008 s. 11.]</w:t>
      </w:r>
    </w:p>
    <w:p>
      <w:pPr>
        <w:pStyle w:val="Heading5"/>
      </w:pPr>
      <w:bookmarkStart w:id="299" w:name="_Toc175575926"/>
      <w:r>
        <w:rPr>
          <w:rStyle w:val="CharSectno"/>
        </w:rPr>
        <w:t>110ZA</w:t>
      </w:r>
      <w:r>
        <w:t>.</w:t>
      </w:r>
      <w:r>
        <w:tab/>
        <w:t>Recognition of instrument created in another jurisdiction</w:t>
      </w:r>
      <w:bookmarkEnd w:id="299"/>
    </w:p>
    <w:p>
      <w:pPr>
        <w:pStyle w:val="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Subsection"/>
      </w:pPr>
      <w:r>
        <w:tab/>
        <w:t>(2)</w:t>
      </w:r>
      <w:r>
        <w:tab/>
        <w:t>The Tribunal may revoke an order made under subsection (1).</w:t>
      </w:r>
    </w:p>
    <w:p>
      <w:pPr>
        <w:pStyle w:val="Footnotesection"/>
      </w:pPr>
      <w:r>
        <w:tab/>
        <w:t>[Section 110ZA inserted: No. 25 of 2008 s. 11.]</w:t>
      </w:r>
    </w:p>
    <w:p>
      <w:pPr>
        <w:pStyle w:val="Heading3"/>
      </w:pPr>
      <w:bookmarkStart w:id="300" w:name="_Toc175234893"/>
      <w:bookmarkStart w:id="301" w:name="_Toc175235166"/>
      <w:bookmarkStart w:id="302" w:name="_Toc175235486"/>
      <w:bookmarkStart w:id="303" w:name="_Toc175575656"/>
      <w:bookmarkStart w:id="304" w:name="_Toc175575927"/>
      <w:r>
        <w:rPr>
          <w:rStyle w:val="CharDivNo"/>
        </w:rPr>
        <w:lastRenderedPageBreak/>
        <w:t>Division 4</w:t>
      </w:r>
      <w:r>
        <w:t> — </w:t>
      </w:r>
      <w:r>
        <w:rPr>
          <w:rStyle w:val="CharDivText"/>
        </w:rPr>
        <w:t>Miscellaneous matters</w:t>
      </w:r>
      <w:bookmarkEnd w:id="300"/>
      <w:bookmarkEnd w:id="301"/>
      <w:bookmarkEnd w:id="302"/>
      <w:bookmarkEnd w:id="303"/>
      <w:bookmarkEnd w:id="304"/>
    </w:p>
    <w:p>
      <w:pPr>
        <w:pStyle w:val="Footnoteheading"/>
        <w:keepNext/>
      </w:pPr>
      <w:r>
        <w:tab/>
        <w:t>[Heading inserted: No. 25 of 2008 s. 11.]</w:t>
      </w:r>
    </w:p>
    <w:p>
      <w:pPr>
        <w:pStyle w:val="Ednotesection"/>
      </w:pPr>
      <w:r>
        <w:t>[</w:t>
      </w:r>
      <w:r>
        <w:rPr>
          <w:b/>
          <w:bCs/>
        </w:rPr>
        <w:t>110ZAA, 110ZAB, 110ZAC.</w:t>
      </w:r>
      <w:r>
        <w:rPr>
          <w:b/>
          <w:bCs/>
        </w:rPr>
        <w:tab/>
      </w:r>
      <w:r>
        <w:tab/>
        <w:t>Have not come into operation.]</w:t>
      </w:r>
    </w:p>
    <w:p>
      <w:pPr>
        <w:pStyle w:val="Heading5"/>
      </w:pPr>
      <w:bookmarkStart w:id="305" w:name="_Toc175575928"/>
      <w:r>
        <w:rPr>
          <w:rStyle w:val="CharSectno"/>
        </w:rPr>
        <w:t>110ZB</w:t>
      </w:r>
      <w:r>
        <w:t>.</w:t>
      </w:r>
      <w:r>
        <w:tab/>
        <w:t>Common law preserved</w:t>
      </w:r>
      <w:bookmarkEnd w:id="305"/>
    </w:p>
    <w:p>
      <w:pPr>
        <w:pStyle w:val="Subsection"/>
      </w:pPr>
      <w:r>
        <w:tab/>
      </w:r>
      <w:r>
        <w:tab/>
        <w:t>This Part does not affect the common law relating to a person’s entitlement to make treatment decisions in respect of the person’s future treatment.</w:t>
      </w:r>
    </w:p>
    <w:p>
      <w:pPr>
        <w:pStyle w:val="Footnotesection"/>
      </w:pPr>
      <w:r>
        <w:tab/>
        <w:t>[Section 110ZB inserted: No. 25 of 2008 s. 11.]</w:t>
      </w:r>
    </w:p>
    <w:p>
      <w:pPr>
        <w:pStyle w:val="Heading2"/>
      </w:pPr>
      <w:bookmarkStart w:id="306" w:name="_Toc175234895"/>
      <w:bookmarkStart w:id="307" w:name="_Toc175235168"/>
      <w:bookmarkStart w:id="308" w:name="_Toc175235488"/>
      <w:bookmarkStart w:id="309" w:name="_Toc175575658"/>
      <w:bookmarkStart w:id="310" w:name="_Toc175575929"/>
      <w:r>
        <w:rPr>
          <w:rStyle w:val="CharPartNo"/>
        </w:rPr>
        <w:lastRenderedPageBreak/>
        <w:t>Part 9C</w:t>
      </w:r>
      <w:r>
        <w:rPr>
          <w:b w:val="0"/>
        </w:rPr>
        <w:t> </w:t>
      </w:r>
      <w:r>
        <w:t>—</w:t>
      </w:r>
      <w:r>
        <w:rPr>
          <w:b w:val="0"/>
        </w:rPr>
        <w:t> </w:t>
      </w:r>
      <w:r>
        <w:rPr>
          <w:rStyle w:val="CharPartText"/>
        </w:rPr>
        <w:t>Persons responsible for patients</w:t>
      </w:r>
      <w:bookmarkEnd w:id="306"/>
      <w:bookmarkEnd w:id="307"/>
      <w:bookmarkEnd w:id="308"/>
      <w:bookmarkEnd w:id="309"/>
      <w:bookmarkEnd w:id="310"/>
    </w:p>
    <w:p>
      <w:pPr>
        <w:pStyle w:val="Footnoteheading"/>
      </w:pPr>
      <w:r>
        <w:tab/>
        <w:t>[Heading inserted: No. 25 of 2008 s. 11.]</w:t>
      </w:r>
    </w:p>
    <w:p>
      <w:pPr>
        <w:pStyle w:val="Heading3"/>
      </w:pPr>
      <w:bookmarkStart w:id="311" w:name="_Toc175234896"/>
      <w:bookmarkStart w:id="312" w:name="_Toc175235169"/>
      <w:bookmarkStart w:id="313" w:name="_Toc175235489"/>
      <w:bookmarkStart w:id="314" w:name="_Toc175575659"/>
      <w:bookmarkStart w:id="315" w:name="_Toc175575930"/>
      <w:r>
        <w:rPr>
          <w:rStyle w:val="CharDivNo"/>
        </w:rPr>
        <w:t>Division 1</w:t>
      </w:r>
      <w:r>
        <w:t> — </w:t>
      </w:r>
      <w:r>
        <w:rPr>
          <w:rStyle w:val="CharDivText"/>
        </w:rPr>
        <w:t>Preliminary matters</w:t>
      </w:r>
      <w:bookmarkEnd w:id="311"/>
      <w:bookmarkEnd w:id="312"/>
      <w:bookmarkEnd w:id="313"/>
      <w:bookmarkEnd w:id="314"/>
      <w:bookmarkEnd w:id="315"/>
    </w:p>
    <w:p>
      <w:pPr>
        <w:pStyle w:val="Footnoteheading"/>
      </w:pPr>
      <w:r>
        <w:tab/>
        <w:t>[Heading inserted: No. 25 of 2008 s. 11.]</w:t>
      </w:r>
    </w:p>
    <w:p>
      <w:pPr>
        <w:pStyle w:val="Heading5"/>
      </w:pPr>
      <w:bookmarkStart w:id="316" w:name="_Toc175575931"/>
      <w:r>
        <w:rPr>
          <w:rStyle w:val="CharSectno"/>
        </w:rPr>
        <w:t>110ZC</w:t>
      </w:r>
      <w:r>
        <w:t>.</w:t>
      </w:r>
      <w:r>
        <w:tab/>
      </w:r>
      <w:r>
        <w:rPr>
          <w:szCs w:val="22"/>
        </w:rPr>
        <w:t>Term used: patient</w:t>
      </w:r>
      <w:bookmarkEnd w:id="316"/>
    </w:p>
    <w:p>
      <w:pPr>
        <w:pStyle w:val="Subsection"/>
      </w:pPr>
      <w:r>
        <w:tab/>
      </w:r>
      <w:r>
        <w:tab/>
        <w:t xml:space="preserve">In this Part — </w:t>
      </w:r>
    </w:p>
    <w:p>
      <w:pPr>
        <w:pStyle w:val="Defstart"/>
      </w:pPr>
      <w:r>
        <w:rPr>
          <w:b/>
        </w:rPr>
        <w:tab/>
      </w:r>
      <w:r>
        <w:rPr>
          <w:rStyle w:val="CharDefText"/>
        </w:rPr>
        <w:t>patient</w:t>
      </w:r>
      <w:r>
        <w:t xml:space="preserve"> means a person who needs treatment.</w:t>
      </w:r>
    </w:p>
    <w:p>
      <w:pPr>
        <w:pStyle w:val="Footnotesection"/>
      </w:pPr>
      <w:r>
        <w:tab/>
        <w:t>[Section 110ZC inserted: No. 25 of 2008 s. 11.]</w:t>
      </w:r>
    </w:p>
    <w:p>
      <w:pPr>
        <w:pStyle w:val="Heading3"/>
      </w:pPr>
      <w:bookmarkStart w:id="317" w:name="_Toc175234898"/>
      <w:bookmarkStart w:id="318" w:name="_Toc175235171"/>
      <w:bookmarkStart w:id="319" w:name="_Toc175235491"/>
      <w:bookmarkStart w:id="320" w:name="_Toc175575661"/>
      <w:bookmarkStart w:id="321" w:name="_Toc175575932"/>
      <w:r>
        <w:rPr>
          <w:rStyle w:val="CharDivNo"/>
        </w:rPr>
        <w:t>Division 2</w:t>
      </w:r>
      <w:r>
        <w:t> — </w:t>
      </w:r>
      <w:r>
        <w:rPr>
          <w:rStyle w:val="CharDivText"/>
        </w:rPr>
        <w:t>Treatment decisions by persons responsible for patients</w:t>
      </w:r>
      <w:bookmarkEnd w:id="317"/>
      <w:bookmarkEnd w:id="318"/>
      <w:bookmarkEnd w:id="319"/>
      <w:bookmarkEnd w:id="320"/>
      <w:bookmarkEnd w:id="321"/>
    </w:p>
    <w:p>
      <w:pPr>
        <w:pStyle w:val="Footnoteheading"/>
      </w:pPr>
      <w:r>
        <w:tab/>
        <w:t>[Heading inserted: No. 25 of 2008 s. 11.]</w:t>
      </w:r>
    </w:p>
    <w:p>
      <w:pPr>
        <w:pStyle w:val="Heading5"/>
      </w:pPr>
      <w:bookmarkStart w:id="322" w:name="_Toc175575933"/>
      <w:r>
        <w:rPr>
          <w:rStyle w:val="CharSectno"/>
        </w:rPr>
        <w:t>110ZD</w:t>
      </w:r>
      <w:r>
        <w:t>.</w:t>
      </w:r>
      <w:r>
        <w:tab/>
        <w:t>Circumstances in which person responsible may make treatment decision</w:t>
      </w:r>
      <w:bookmarkEnd w:id="322"/>
    </w:p>
    <w:p>
      <w:pPr>
        <w:pStyle w:val="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Subsection"/>
      </w:pPr>
      <w:r>
        <w:tab/>
        <w:t>(2)</w:t>
      </w:r>
      <w:r>
        <w:tab/>
        <w:t xml:space="preserve">The person responsible for the patient is the first in order of the persons listed in subsection (3) who — </w:t>
      </w:r>
    </w:p>
    <w:p>
      <w:pPr>
        <w:pStyle w:val="Indenta"/>
      </w:pPr>
      <w:r>
        <w:tab/>
        <w:t>(a)</w:t>
      </w:r>
      <w:r>
        <w:tab/>
        <w:t>is of full legal capacity; and</w:t>
      </w:r>
    </w:p>
    <w:p>
      <w:pPr>
        <w:pStyle w:val="Indenta"/>
      </w:pPr>
      <w:r>
        <w:tab/>
        <w:t>(b)</w:t>
      </w:r>
      <w:r>
        <w:tab/>
        <w:t>is reasonably available; and</w:t>
      </w:r>
    </w:p>
    <w:p>
      <w:pPr>
        <w:pStyle w:val="Indenta"/>
      </w:pPr>
      <w:r>
        <w:tab/>
        <w:t>(c)</w:t>
      </w:r>
      <w:r>
        <w:tab/>
        <w:t>is willing to make a treatment decision in respect of the treatment.</w:t>
      </w:r>
    </w:p>
    <w:p>
      <w:pPr>
        <w:pStyle w:val="Subsection"/>
      </w:pPr>
      <w:r>
        <w:tab/>
        <w:t>(3)</w:t>
      </w:r>
      <w:r>
        <w:tab/>
        <w:t xml:space="preserve">For subsection (2), the persons are the following — </w:t>
      </w:r>
    </w:p>
    <w:p>
      <w:pPr>
        <w:pStyle w:val="Indenta"/>
      </w:pPr>
      <w:r>
        <w:tab/>
        <w:t>(a)</w:t>
      </w:r>
      <w:r>
        <w:tab/>
        <w:t>the patient’s spouse or de facto partner if that person —</w:t>
      </w:r>
    </w:p>
    <w:p>
      <w:pPr>
        <w:pStyle w:val="Indenti"/>
      </w:pPr>
      <w:r>
        <w:tab/>
        <w:t>(i)</w:t>
      </w:r>
      <w:r>
        <w:tab/>
        <w:t>has reached 18 years of age; and</w:t>
      </w:r>
    </w:p>
    <w:p>
      <w:pPr>
        <w:pStyle w:val="Indenti"/>
      </w:pPr>
      <w:r>
        <w:tab/>
        <w:t>(ii)</w:t>
      </w:r>
      <w:r>
        <w:tab/>
        <w:t>is living with the patient;</w:t>
      </w:r>
    </w:p>
    <w:p>
      <w:pPr>
        <w:pStyle w:val="Indenta"/>
      </w:pPr>
      <w:r>
        <w:lastRenderedPageBreak/>
        <w:tab/>
        <w:t>(b)</w:t>
      </w:r>
      <w:r>
        <w:tab/>
        <w:t>the patient’s nearest relative who maintains a close personal relationship with the patient;</w:t>
      </w:r>
    </w:p>
    <w:p>
      <w:pPr>
        <w:pStyle w:val="Indenta"/>
      </w:pPr>
      <w:r>
        <w:tab/>
        <w:t>(c)</w:t>
      </w:r>
      <w:r>
        <w:tab/>
        <w:t>the person who —</w:t>
      </w:r>
    </w:p>
    <w:p>
      <w:pPr>
        <w:pStyle w:val="Indenti"/>
      </w:pPr>
      <w:r>
        <w:tab/>
        <w:t>(i)</w:t>
      </w:r>
      <w:r>
        <w:tab/>
        <w:t>has reached 18 years of age; and</w:t>
      </w:r>
    </w:p>
    <w:p>
      <w:pPr>
        <w:pStyle w:val="Indenti"/>
      </w:pPr>
      <w:r>
        <w:tab/>
        <w:t>(ii)</w:t>
      </w:r>
      <w:r>
        <w:tab/>
        <w:t>is the primary provider of care and support (including emotional support) to the patient, but is not remunerated for providing that care and support;</w:t>
      </w:r>
    </w:p>
    <w:p>
      <w:pPr>
        <w:pStyle w:val="Indenta"/>
      </w:pPr>
      <w:r>
        <w:tab/>
        <w:t>(d)</w:t>
      </w:r>
      <w:r>
        <w:tab/>
        <w:t>any other person who —</w:t>
      </w:r>
    </w:p>
    <w:p>
      <w:pPr>
        <w:pStyle w:val="Indenti"/>
      </w:pPr>
      <w:r>
        <w:tab/>
        <w:t>(i)</w:t>
      </w:r>
      <w:r>
        <w:tab/>
        <w:t>has reached 18 years of age; and</w:t>
      </w:r>
    </w:p>
    <w:p>
      <w:pPr>
        <w:pStyle w:val="Indenti"/>
      </w:pPr>
      <w:r>
        <w:tab/>
        <w:t>(ii)</w:t>
      </w:r>
      <w:r>
        <w:tab/>
        <w:t>maintains a close personal relationship with the patient.</w:t>
      </w:r>
    </w:p>
    <w:p>
      <w:pPr>
        <w:pStyle w:val="Subsection"/>
      </w:pPr>
      <w:r>
        <w:tab/>
        <w:t>(4)</w:t>
      </w:r>
      <w:r>
        <w:tab/>
        <w:t xml:space="preserve">For subsection (3)(b), the patient’s nearest relative is the first in order of priority of the following relatives of the patient who has reached 18 years of age — </w:t>
      </w:r>
    </w:p>
    <w:p>
      <w:pPr>
        <w:pStyle w:val="Indenta"/>
      </w:pPr>
      <w:r>
        <w:tab/>
        <w:t>(a)</w:t>
      </w:r>
      <w:r>
        <w:tab/>
        <w:t>the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Subsection"/>
      </w:pPr>
      <w:r>
        <w:tab/>
        <w:t>(5)</w:t>
      </w:r>
      <w:r>
        <w:tab/>
        <w:t>For subsection (3)(b) and (d)(ii), a person maintains a close personal relationship with the patient only if the person —</w:t>
      </w:r>
    </w:p>
    <w:p>
      <w:pPr>
        <w:pStyle w:val="Indenta"/>
      </w:pPr>
      <w:r>
        <w:tab/>
        <w:t>(a)</w:t>
      </w:r>
      <w:r>
        <w:tab/>
        <w:t>has frequent contact of a personal (as opposed to a business or professional) nature with the patient; and</w:t>
      </w:r>
    </w:p>
    <w:p>
      <w:pPr>
        <w:pStyle w:val="Indenta"/>
      </w:pPr>
      <w:r>
        <w:tab/>
        <w:t>(b)</w:t>
      </w:r>
      <w:r>
        <w:tab/>
        <w:t>takes a genuine interest in the patient’s welfare.</w:t>
      </w:r>
    </w:p>
    <w:p>
      <w:pPr>
        <w:pStyle w:val="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Subsection"/>
      </w:pPr>
      <w:r>
        <w:lastRenderedPageBreak/>
        <w:tab/>
        <w:t>(6A)</w:t>
      </w:r>
      <w:r>
        <w:tab/>
        <w:t>The person responsible for the patient cannot make a treatment decision in respect of the performance of an abortion on the patient.</w:t>
      </w:r>
    </w:p>
    <w:p>
      <w:pPr>
        <w:pStyle w:val="Subsection"/>
      </w:pPr>
      <w:r>
        <w:tab/>
        <w:t>(7)</w:t>
      </w:r>
      <w:r>
        <w:tab/>
        <w:t>The person responsible for the patient cannot consent to the sterilisation of the patient.</w:t>
      </w:r>
    </w:p>
    <w:p>
      <w:pPr>
        <w:pStyle w:val="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Subsection"/>
      </w:pPr>
      <w:r>
        <w:tab/>
        <w:t>(9)</w:t>
      </w:r>
      <w:r>
        <w:tab/>
        <w:t xml:space="preserve">A treatment decision made by the person responsible for the patient has effect as if — </w:t>
      </w:r>
    </w:p>
    <w:p>
      <w:pPr>
        <w:pStyle w:val="Indenta"/>
      </w:pPr>
      <w:r>
        <w:tab/>
        <w:t>(a)</w:t>
      </w:r>
      <w:r>
        <w:tab/>
        <w:t>the treatment decision had been made by the patient; and</w:t>
      </w:r>
    </w:p>
    <w:p>
      <w:pPr>
        <w:pStyle w:val="Indenta"/>
      </w:pPr>
      <w:r>
        <w:tab/>
        <w:t>(b)</w:t>
      </w:r>
      <w:r>
        <w:tab/>
        <w:t>the patient were of full legal capacity.</w:t>
      </w:r>
    </w:p>
    <w:p>
      <w:pPr>
        <w:pStyle w:val="Footnotesection"/>
      </w:pPr>
      <w:r>
        <w:tab/>
        <w:t>[Section 110ZD inserted: No. 25 of 2008 s. 11; amended: No. 20 of 2023 s. 43.]</w:t>
      </w:r>
    </w:p>
    <w:p>
      <w:pPr>
        <w:pStyle w:val="Heading5"/>
      </w:pPr>
      <w:bookmarkStart w:id="323" w:name="_Toc175575934"/>
      <w:r>
        <w:rPr>
          <w:rStyle w:val="CharSectno"/>
        </w:rPr>
        <w:t>110ZE</w:t>
      </w:r>
      <w:r>
        <w:t>.</w:t>
      </w:r>
      <w:r>
        <w:tab/>
        <w:t>Priority of treatment decision of person responsible</w:t>
      </w:r>
      <w:bookmarkEnd w:id="323"/>
    </w:p>
    <w:p>
      <w:pPr>
        <w:pStyle w:val="Subsection"/>
      </w:pPr>
      <w:r>
        <w:tab/>
      </w:r>
      <w:r>
        <w:tab/>
        <w:t>The priority to be given to a treatment decision of a person responsible for a patient under section 110ZD is determined in accordance with section 110ZJ.</w:t>
      </w:r>
    </w:p>
    <w:p>
      <w:pPr>
        <w:pStyle w:val="Footnotesection"/>
      </w:pPr>
      <w:r>
        <w:tab/>
        <w:t>[Section 110ZE inserted: No. 25 of 2008 s. 11.]</w:t>
      </w:r>
    </w:p>
    <w:p>
      <w:pPr>
        <w:pStyle w:val="Heading3"/>
      </w:pPr>
      <w:bookmarkStart w:id="324" w:name="_Toc175234901"/>
      <w:bookmarkStart w:id="325" w:name="_Toc175235174"/>
      <w:bookmarkStart w:id="326" w:name="_Toc175235494"/>
      <w:bookmarkStart w:id="327" w:name="_Toc175575664"/>
      <w:bookmarkStart w:id="328" w:name="_Toc175575935"/>
      <w:r>
        <w:rPr>
          <w:rStyle w:val="CharDivNo"/>
        </w:rPr>
        <w:t>Division 3</w:t>
      </w:r>
      <w:r>
        <w:t> — </w:t>
      </w:r>
      <w:r>
        <w:rPr>
          <w:rStyle w:val="CharDivText"/>
        </w:rPr>
        <w:t>Jurisdiction of State Administrative Tribunal</w:t>
      </w:r>
      <w:bookmarkEnd w:id="324"/>
      <w:bookmarkEnd w:id="325"/>
      <w:bookmarkEnd w:id="326"/>
      <w:bookmarkEnd w:id="327"/>
      <w:bookmarkEnd w:id="328"/>
    </w:p>
    <w:p>
      <w:pPr>
        <w:pStyle w:val="Footnoteheading"/>
      </w:pPr>
      <w:r>
        <w:tab/>
        <w:t>[Heading inserted: No. 25 of 2008 s. 11.]</w:t>
      </w:r>
    </w:p>
    <w:p>
      <w:pPr>
        <w:pStyle w:val="Heading5"/>
      </w:pPr>
      <w:bookmarkStart w:id="329" w:name="_Toc175575936"/>
      <w:r>
        <w:rPr>
          <w:rStyle w:val="CharSectno"/>
        </w:rPr>
        <w:t>110ZF</w:t>
      </w:r>
      <w:r>
        <w:t>.</w:t>
      </w:r>
      <w:r>
        <w:tab/>
        <w:t>Who may apply</w:t>
      </w:r>
      <w:bookmarkEnd w:id="329"/>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110ZF inserted: No. 25 of 2008 s. 11.]</w:t>
      </w:r>
    </w:p>
    <w:p>
      <w:pPr>
        <w:pStyle w:val="Heading5"/>
      </w:pPr>
      <w:bookmarkStart w:id="330" w:name="_Toc175575937"/>
      <w:r>
        <w:rPr>
          <w:rStyle w:val="CharSectno"/>
        </w:rPr>
        <w:lastRenderedPageBreak/>
        <w:t>110ZG</w:t>
      </w:r>
      <w:r>
        <w:t>.</w:t>
      </w:r>
      <w:r>
        <w:tab/>
        <w:t>Declaration that person responsible may make treatment decision</w:t>
      </w:r>
      <w:bookmarkEnd w:id="330"/>
    </w:p>
    <w:p>
      <w:pPr>
        <w:pStyle w:val="Subsection"/>
      </w:pPr>
      <w:r>
        <w:tab/>
        <w:t>(1)</w:t>
      </w:r>
      <w:r>
        <w:tab/>
        <w:t xml:space="preserve">The State Administrative Tribunal may declare — </w:t>
      </w:r>
    </w:p>
    <w:p>
      <w:pPr>
        <w:pStyle w:val="Indenta"/>
      </w:pPr>
      <w:r>
        <w:tab/>
        <w:t>(a)</w:t>
      </w:r>
      <w:r>
        <w:tab/>
        <w:t>that a patient is unable to make reasonable judgments in respect of the treatment proposed to be provided to the patient; and</w:t>
      </w:r>
    </w:p>
    <w:p>
      <w:pPr>
        <w:pStyle w:val="Indenta"/>
      </w:pPr>
      <w:r>
        <w:tab/>
        <w:t>(b)</w:t>
      </w:r>
      <w:r>
        <w:tab/>
        <w:t>that the person identified in the declaration is the person responsible for the patient under section 110ZD.</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110ZG inserted: No. 25 of 2008 s. 11.]</w:t>
      </w:r>
    </w:p>
    <w:p>
      <w:pPr>
        <w:pStyle w:val="Heading2"/>
      </w:pPr>
      <w:bookmarkStart w:id="331" w:name="_Toc175234904"/>
      <w:bookmarkStart w:id="332" w:name="_Toc175235177"/>
      <w:bookmarkStart w:id="333" w:name="_Toc175235497"/>
      <w:bookmarkStart w:id="334" w:name="_Toc175575667"/>
      <w:bookmarkStart w:id="335" w:name="_Toc175575938"/>
      <w:r>
        <w:rPr>
          <w:rStyle w:val="CharPartNo"/>
        </w:rPr>
        <w:lastRenderedPageBreak/>
        <w:t>Part 9D</w:t>
      </w:r>
      <w:r>
        <w:rPr>
          <w:b w:val="0"/>
        </w:rPr>
        <w:t> </w:t>
      </w:r>
      <w:r>
        <w:t>—</w:t>
      </w:r>
      <w:r>
        <w:rPr>
          <w:b w:val="0"/>
        </w:rPr>
        <w:t> </w:t>
      </w:r>
      <w:r>
        <w:rPr>
          <w:rStyle w:val="CharPartText"/>
        </w:rPr>
        <w:t>Treatment decisions in relation to patients under legal incapacity</w:t>
      </w:r>
      <w:bookmarkEnd w:id="331"/>
      <w:bookmarkEnd w:id="332"/>
      <w:bookmarkEnd w:id="333"/>
      <w:bookmarkEnd w:id="334"/>
      <w:bookmarkEnd w:id="335"/>
    </w:p>
    <w:p>
      <w:pPr>
        <w:pStyle w:val="Footnoteheading"/>
      </w:pPr>
      <w:r>
        <w:tab/>
        <w:t>[Heading inserted: No. 25 of 2008 s. 11.]</w:t>
      </w:r>
    </w:p>
    <w:p>
      <w:pPr>
        <w:pStyle w:val="Heading3"/>
      </w:pPr>
      <w:bookmarkStart w:id="336" w:name="_Toc175234905"/>
      <w:bookmarkStart w:id="337" w:name="_Toc175235178"/>
      <w:bookmarkStart w:id="338" w:name="_Toc175235498"/>
      <w:bookmarkStart w:id="339" w:name="_Toc175575668"/>
      <w:bookmarkStart w:id="340" w:name="_Toc175575939"/>
      <w:r>
        <w:rPr>
          <w:rStyle w:val="CharDivNo"/>
        </w:rPr>
        <w:t>Division 1</w:t>
      </w:r>
      <w:r>
        <w:t> — </w:t>
      </w:r>
      <w:r>
        <w:rPr>
          <w:rStyle w:val="CharDivText"/>
        </w:rPr>
        <w:t>Preliminary matters</w:t>
      </w:r>
      <w:bookmarkEnd w:id="336"/>
      <w:bookmarkEnd w:id="337"/>
      <w:bookmarkEnd w:id="338"/>
      <w:bookmarkEnd w:id="339"/>
      <w:bookmarkEnd w:id="340"/>
    </w:p>
    <w:p>
      <w:pPr>
        <w:pStyle w:val="Footnoteheading"/>
      </w:pPr>
      <w:r>
        <w:tab/>
        <w:t>[Heading inserted: No. 25 of 2008 s. 11.]</w:t>
      </w:r>
    </w:p>
    <w:p>
      <w:pPr>
        <w:pStyle w:val="Heading5"/>
      </w:pPr>
      <w:bookmarkStart w:id="341" w:name="_Toc175575940"/>
      <w:r>
        <w:rPr>
          <w:rStyle w:val="CharSectno"/>
        </w:rPr>
        <w:t>110ZH</w:t>
      </w:r>
      <w:r>
        <w:t>.</w:t>
      </w:r>
      <w:r>
        <w:tab/>
        <w:t>Terms used</w:t>
      </w:r>
      <w:bookmarkEnd w:id="341"/>
    </w:p>
    <w:p>
      <w:pPr>
        <w:pStyle w:val="Subsection"/>
      </w:pPr>
      <w:r>
        <w:tab/>
      </w:r>
      <w:r>
        <w:tab/>
        <w:t xml:space="preserve">In this Part — </w:t>
      </w:r>
    </w:p>
    <w:p>
      <w:pPr>
        <w:pStyle w:val="Defstart"/>
      </w:pPr>
      <w:r>
        <w:rPr>
          <w:b/>
        </w:rPr>
        <w:tab/>
      </w:r>
      <w:r>
        <w:rPr>
          <w:rStyle w:val="CharDefText"/>
        </w:rPr>
        <w:t>advance health directive</w:t>
      </w:r>
      <w:r>
        <w:t xml:space="preserve"> includes a directive given by a person under the common law containing treatment decisions in respect of the person’s future treatment;</w:t>
      </w:r>
    </w:p>
    <w:p>
      <w:pPr>
        <w:pStyle w:val="Defstart"/>
      </w:pPr>
      <w:r>
        <w:rPr>
          <w:b/>
        </w:rPr>
        <w:tab/>
      </w:r>
      <w:r>
        <w:rPr>
          <w:rStyle w:val="CharDefText"/>
        </w:rPr>
        <w:t>health professional</w:t>
      </w:r>
      <w:r>
        <w:t xml:space="preserve"> has the meaning given to that term in the </w:t>
      </w:r>
      <w:r>
        <w:rPr>
          <w:i/>
          <w:iCs/>
        </w:rPr>
        <w:t>Civil Liability Act 2002</w:t>
      </w:r>
      <w:r>
        <w:t xml:space="preserve"> section 5PA;</w:t>
      </w:r>
    </w:p>
    <w:p>
      <w:pPr>
        <w:pStyle w:val="Defstart"/>
      </w:pPr>
      <w:r>
        <w:rPr>
          <w:b/>
        </w:rPr>
        <w:tab/>
      </w:r>
      <w:r>
        <w:rPr>
          <w:rStyle w:val="CharDefText"/>
        </w:rPr>
        <w:t>patient</w:t>
      </w:r>
      <w:r>
        <w:t xml:space="preserve"> means a person who needs treatment;</w:t>
      </w:r>
    </w:p>
    <w:p>
      <w:pPr>
        <w:pStyle w:val="Defstart"/>
      </w:pPr>
      <w:r>
        <w:tab/>
      </w:r>
      <w:r>
        <w:rPr>
          <w:rStyle w:val="CharDefText"/>
        </w:rPr>
        <w:t>urgent treatment</w:t>
      </w:r>
      <w:r>
        <w:t xml:space="preserve"> — </w:t>
      </w:r>
    </w:p>
    <w:p>
      <w:pPr>
        <w:pStyle w:val="Defpara"/>
      </w:pPr>
      <w:r>
        <w:tab/>
        <w:t>(a)</w:t>
      </w:r>
      <w:r>
        <w:tab/>
        <w:t xml:space="preserve">means treatment (other than the performance of an abortion) urgently needed by a patient — </w:t>
      </w:r>
    </w:p>
    <w:p>
      <w:pPr>
        <w:pStyle w:val="Defsubpara"/>
      </w:pPr>
      <w:r>
        <w:tab/>
        <w:t>(i)</w:t>
      </w:r>
      <w:r>
        <w:tab/>
        <w:t>to save the patient’s life; or</w:t>
      </w:r>
    </w:p>
    <w:p>
      <w:pPr>
        <w:pStyle w:val="Defsubpara"/>
      </w:pPr>
      <w:r>
        <w:tab/>
        <w:t>(ii)</w:t>
      </w:r>
      <w:r>
        <w:tab/>
        <w:t>to prevent serious damage to the patient’s health; or</w:t>
      </w:r>
    </w:p>
    <w:p>
      <w:pPr>
        <w:pStyle w:val="Defsubpara"/>
      </w:pPr>
      <w:r>
        <w:tab/>
        <w:t>(iii)</w:t>
      </w:r>
      <w:r>
        <w:tab/>
        <w:t>to prevent the patient from suffering or continuing to suffer significant pain or distress;</w:t>
      </w:r>
    </w:p>
    <w:p>
      <w:pPr>
        <w:pStyle w:val="Defpara"/>
      </w:pPr>
      <w:r>
        <w:tab/>
      </w:r>
      <w:r>
        <w:tab/>
        <w:t>and</w:t>
      </w:r>
    </w:p>
    <w:p>
      <w:pPr>
        <w:pStyle w:val="Defpara"/>
      </w:pPr>
      <w:r>
        <w:tab/>
        <w:t>(b)</w:t>
      </w:r>
      <w:r>
        <w:tab/>
        <w:t xml:space="preserve">includes the performance of an abortion on a patient if performing the abortion is urgently needed — </w:t>
      </w:r>
    </w:p>
    <w:p>
      <w:pPr>
        <w:pStyle w:val="Defsubpara"/>
      </w:pPr>
      <w:r>
        <w:tab/>
        <w:t>(i)</w:t>
      </w:r>
      <w:r>
        <w:tab/>
        <w:t>to save the patient’s life; or</w:t>
      </w:r>
    </w:p>
    <w:p>
      <w:pPr>
        <w:pStyle w:val="Defsubpara"/>
      </w:pPr>
      <w:r>
        <w:tab/>
        <w:t>(ii)</w:t>
      </w:r>
      <w:r>
        <w:tab/>
        <w:t>to prevent serious damage to the patient’s health; or</w:t>
      </w:r>
    </w:p>
    <w:p>
      <w:pPr>
        <w:pStyle w:val="Defsubpara"/>
      </w:pPr>
      <w:r>
        <w:tab/>
        <w:t>(iii)</w:t>
      </w:r>
      <w:r>
        <w:tab/>
        <w:t xml:space="preserve">to save another foetus, </w:t>
      </w:r>
    </w:p>
    <w:p>
      <w:pPr>
        <w:pStyle w:val="Defpara"/>
      </w:pPr>
      <w:r>
        <w:tab/>
      </w:r>
      <w:r>
        <w:tab/>
        <w:t>but</w:t>
      </w:r>
    </w:p>
    <w:p>
      <w:pPr>
        <w:pStyle w:val="Defpara"/>
      </w:pPr>
      <w:r>
        <w:lastRenderedPageBreak/>
        <w:tab/>
        <w:t>(c)</w:t>
      </w:r>
      <w:r>
        <w:tab/>
        <w:t xml:space="preserve">does not include — </w:t>
      </w:r>
    </w:p>
    <w:p>
      <w:pPr>
        <w:pStyle w:val="Defsubpara"/>
      </w:pPr>
      <w:r>
        <w:tab/>
        <w:t>(i)</w:t>
      </w:r>
      <w:r>
        <w:tab/>
        <w:t xml:space="preserve">psychiatric treatment, which is treatment as defined in the </w:t>
      </w:r>
      <w:r>
        <w:rPr>
          <w:i/>
        </w:rPr>
        <w:t>Mental Health Act 2014</w:t>
      </w:r>
      <w:r>
        <w:t xml:space="preserve"> section 4; or</w:t>
      </w:r>
    </w:p>
    <w:p>
      <w:pPr>
        <w:pStyle w:val="Defsubpara"/>
      </w:pPr>
      <w:r>
        <w:tab/>
        <w:t>(ii)</w:t>
      </w:r>
      <w:r>
        <w:tab/>
        <w:t>the sterilisation of the patient.</w:t>
      </w:r>
    </w:p>
    <w:p>
      <w:pPr>
        <w:pStyle w:val="Footnotesection"/>
      </w:pPr>
      <w:r>
        <w:tab/>
        <w:t>[Section 110ZH inserted: No. 25 of 2008 s. 11; amended: No. 25 of 2014 s. 21; No. 20 of 2023 s. 44.]</w:t>
      </w:r>
    </w:p>
    <w:p>
      <w:pPr>
        <w:pStyle w:val="Heading3"/>
        <w:keepLines/>
      </w:pPr>
      <w:bookmarkStart w:id="342" w:name="_Toc175234907"/>
      <w:bookmarkStart w:id="343" w:name="_Toc175235180"/>
      <w:bookmarkStart w:id="344" w:name="_Toc175235500"/>
      <w:bookmarkStart w:id="345" w:name="_Toc175575670"/>
      <w:bookmarkStart w:id="346" w:name="_Toc175575941"/>
      <w:r>
        <w:rPr>
          <w:rStyle w:val="CharDivNo"/>
        </w:rPr>
        <w:t>Division 2</w:t>
      </w:r>
      <w:r>
        <w:t> — </w:t>
      </w:r>
      <w:r>
        <w:rPr>
          <w:rStyle w:val="CharDivText"/>
        </w:rPr>
        <w:t>Provision of treatment</w:t>
      </w:r>
      <w:bookmarkEnd w:id="342"/>
      <w:bookmarkEnd w:id="343"/>
      <w:bookmarkEnd w:id="344"/>
      <w:bookmarkEnd w:id="345"/>
      <w:bookmarkEnd w:id="346"/>
    </w:p>
    <w:p>
      <w:pPr>
        <w:pStyle w:val="Footnoteheading"/>
        <w:keepNext/>
        <w:keepLines/>
      </w:pPr>
      <w:r>
        <w:tab/>
        <w:t>[Heading inserted: No. 25 of 2008 s. 11.]</w:t>
      </w:r>
    </w:p>
    <w:p>
      <w:pPr>
        <w:pStyle w:val="Heading4"/>
      </w:pPr>
      <w:bookmarkStart w:id="347" w:name="_Toc175234908"/>
      <w:bookmarkStart w:id="348" w:name="_Toc175235181"/>
      <w:bookmarkStart w:id="349" w:name="_Toc175235501"/>
      <w:bookmarkStart w:id="350" w:name="_Toc175575671"/>
      <w:bookmarkStart w:id="351" w:name="_Toc175575942"/>
      <w:r>
        <w:t>Subdivision 1 — Urgent treatment</w:t>
      </w:r>
      <w:bookmarkEnd w:id="347"/>
      <w:bookmarkEnd w:id="348"/>
      <w:bookmarkEnd w:id="349"/>
      <w:bookmarkEnd w:id="350"/>
      <w:bookmarkEnd w:id="351"/>
    </w:p>
    <w:p>
      <w:pPr>
        <w:pStyle w:val="Footnoteheading"/>
        <w:keepNext/>
        <w:keepLines/>
      </w:pPr>
      <w:r>
        <w:tab/>
        <w:t>[Heading inserted: No. 20 of 2023 s. 45.]</w:t>
      </w:r>
    </w:p>
    <w:p>
      <w:pPr>
        <w:pStyle w:val="Heading5"/>
      </w:pPr>
      <w:bookmarkStart w:id="352" w:name="_Toc175575943"/>
      <w:r>
        <w:rPr>
          <w:rStyle w:val="CharSectno"/>
        </w:rPr>
        <w:t>110ZI</w:t>
      </w:r>
      <w:r>
        <w:t>.</w:t>
      </w:r>
      <w:r>
        <w:tab/>
        <w:t>Urgent treatment generally</w:t>
      </w:r>
      <w:bookmarkEnd w:id="352"/>
    </w:p>
    <w:p>
      <w:pPr>
        <w:pStyle w:val="Subsection"/>
      </w:pPr>
      <w:r>
        <w:tab/>
        <w:t>(1)</w:t>
      </w:r>
      <w:r>
        <w:tab/>
        <w:t xml:space="preserve">Subsection (2) applies if —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Indenta"/>
      </w:pPr>
      <w:r>
        <w:tab/>
        <w:t>(d)</w:t>
      </w:r>
      <w:r>
        <w:tab/>
        <w:t xml:space="preserve">it is not practicable for the health professional to obtain — </w:t>
      </w:r>
    </w:p>
    <w:p>
      <w:pPr>
        <w:pStyle w:val="Indenti"/>
      </w:pPr>
      <w:r>
        <w:tab/>
        <w:t>(i)</w:t>
      </w:r>
      <w:r>
        <w:tab/>
        <w:t>in any case other than the performance of an abortion on the patient — a treatment decision in respect of the treatment from the patient’s guardian or enduring guardian or the person responsible for the patient under section 110ZD, as referred to in section 110ZJ; or</w:t>
      </w:r>
    </w:p>
    <w:p>
      <w:pPr>
        <w:pStyle w:val="Indenti"/>
      </w:pPr>
      <w:r>
        <w:lastRenderedPageBreak/>
        <w:tab/>
        <w:t>(ii)</w:t>
      </w:r>
      <w:r>
        <w:tab/>
        <w:t>in the case of the performance of an abortion on the patient — a decision of the State Administrative Tribunal under Division 3 Subdivision 2 in respect of the performance of the abortion, as referred to in section 110ZLA(3).</w:t>
      </w:r>
    </w:p>
    <w:p>
      <w:pPr>
        <w:pStyle w:val="Subsection"/>
      </w:pPr>
      <w:r>
        <w:tab/>
        <w:t>(2)</w:t>
      </w:r>
      <w:r>
        <w:tab/>
        <w:t xml:space="preserve">The health professional may provide the treatment to the patient — </w:t>
      </w:r>
    </w:p>
    <w:p>
      <w:pPr>
        <w:pStyle w:val="Indenta"/>
      </w:pPr>
      <w:r>
        <w:tab/>
        <w:t>(a)</w:t>
      </w:r>
      <w:r>
        <w:tab/>
        <w:t>in the case referred to in subsection (1)(d)(i) — in the absence of a treatment decision in relation to the patient from the patient’s guardian or enduring guardian or the person responsible for the patient; or</w:t>
      </w:r>
    </w:p>
    <w:p>
      <w:pPr>
        <w:pStyle w:val="Indenta"/>
      </w:pPr>
      <w:r>
        <w:tab/>
        <w:t>(b)</w:t>
      </w:r>
      <w:r>
        <w:tab/>
        <w:t>in the case referred to in subsection (1)(d)(ii) — in the absence of a decision of the State Administrative Tribunal under Division 3 Subdivision 2.</w:t>
      </w:r>
    </w:p>
    <w:p>
      <w:pPr>
        <w:pStyle w:val="Footnotesection"/>
      </w:pPr>
      <w:r>
        <w:tab/>
        <w:t>[Section 110ZI inserted: No. 25 of 2008 s. 11; amended: No. 20 of 2023 s. 46.]</w:t>
      </w:r>
    </w:p>
    <w:p>
      <w:pPr>
        <w:pStyle w:val="Heading5"/>
      </w:pPr>
      <w:bookmarkStart w:id="353" w:name="_Toc175575944"/>
      <w:r>
        <w:rPr>
          <w:rStyle w:val="CharSectno"/>
        </w:rPr>
        <w:t>110ZIA</w:t>
      </w:r>
      <w:r>
        <w:t>.</w:t>
      </w:r>
      <w:r>
        <w:tab/>
        <w:t>Urgent treatment after attempted suicide</w:t>
      </w:r>
      <w:bookmarkEnd w:id="353"/>
    </w:p>
    <w:p>
      <w:pPr>
        <w:pStyle w:val="Subsection"/>
      </w:pPr>
      <w:r>
        <w:tab/>
        <w:t>(1)</w:t>
      </w:r>
      <w:r>
        <w:tab/>
        <w:t>Subsection (2) applies if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the health professional who proposes to provide the treatment reasonably suspects that the patient has attempted to commit suicide and needs the treatment as a consequence.</w:t>
      </w:r>
    </w:p>
    <w:p>
      <w:pPr>
        <w:pStyle w:val="Subsection"/>
        <w:keepNext/>
      </w:pPr>
      <w:r>
        <w:tab/>
        <w:t>(2)</w:t>
      </w:r>
      <w:r>
        <w:tab/>
        <w:t>The health professional may provide the treatment to the patient despite —</w:t>
      </w:r>
    </w:p>
    <w:p>
      <w:pPr>
        <w:pStyle w:val="Indenta"/>
      </w:pPr>
      <w:r>
        <w:tab/>
        <w:t>(a)</w:t>
      </w:r>
      <w:r>
        <w:tab/>
      </w:r>
      <w:r>
        <w:rPr>
          <w:szCs w:val="22"/>
        </w:rPr>
        <w:t>the patient having</w:t>
      </w:r>
      <w:r>
        <w:t xml:space="preserve"> made an advance health directive containing a treatment decision that is inconsistent with providing the treatment; or</w:t>
      </w:r>
    </w:p>
    <w:p>
      <w:pPr>
        <w:pStyle w:val="Indenta"/>
        <w:keepNext/>
      </w:pPr>
      <w:r>
        <w:lastRenderedPageBreak/>
        <w:tab/>
        <w:t>(b)</w:t>
      </w:r>
      <w:r>
        <w:tab/>
        <w:t>the patient’s guardian or enduring guardian or the person responsible for the patient under section 110ZD having made such a treatment decision in relation to the patient.</w:t>
      </w:r>
    </w:p>
    <w:p>
      <w:pPr>
        <w:pStyle w:val="Footnotesection"/>
      </w:pPr>
      <w:r>
        <w:tab/>
        <w:t>[Section 110ZIA inserted: No. 25 of 2008 s. 11.]</w:t>
      </w:r>
    </w:p>
    <w:p>
      <w:pPr>
        <w:pStyle w:val="Heading4"/>
      </w:pPr>
      <w:bookmarkStart w:id="354" w:name="_Toc175234911"/>
      <w:bookmarkStart w:id="355" w:name="_Toc175235184"/>
      <w:bookmarkStart w:id="356" w:name="_Toc175235504"/>
      <w:bookmarkStart w:id="357" w:name="_Toc175575674"/>
      <w:bookmarkStart w:id="358" w:name="_Toc175575945"/>
      <w:r>
        <w:t>Subdivision 2 — Other treatment</w:t>
      </w:r>
      <w:bookmarkEnd w:id="354"/>
      <w:bookmarkEnd w:id="355"/>
      <w:bookmarkEnd w:id="356"/>
      <w:bookmarkEnd w:id="357"/>
      <w:bookmarkEnd w:id="358"/>
    </w:p>
    <w:p>
      <w:pPr>
        <w:pStyle w:val="Footnoteheading"/>
        <w:keepNext/>
        <w:keepLines/>
      </w:pPr>
      <w:r>
        <w:tab/>
        <w:t>[Heading inserted: No. 20 of 2023 s. 47.]</w:t>
      </w:r>
    </w:p>
    <w:p>
      <w:pPr>
        <w:pStyle w:val="Heading5"/>
      </w:pPr>
      <w:bookmarkStart w:id="359" w:name="_Toc175575946"/>
      <w:r>
        <w:rPr>
          <w:rStyle w:val="CharSectno"/>
        </w:rPr>
        <w:t>110ZIB</w:t>
      </w:r>
      <w:r>
        <w:t>.</w:t>
      </w:r>
      <w:r>
        <w:tab/>
        <w:t>Application of Subdivision</w:t>
      </w:r>
      <w:bookmarkEnd w:id="359"/>
    </w:p>
    <w:p>
      <w:pPr>
        <w:pStyle w:val="Subsection"/>
      </w:pPr>
      <w:r>
        <w:tab/>
      </w:r>
      <w:r>
        <w:tab/>
        <w:t>This Subdivision does not apply to the performance of an abortion on a patient.</w:t>
      </w:r>
    </w:p>
    <w:p>
      <w:pPr>
        <w:pStyle w:val="Footnotesection"/>
      </w:pPr>
      <w:r>
        <w:tab/>
        <w:t>[Section 110ZIB inserted: No. 20 of 2023 s. 48.]</w:t>
      </w:r>
    </w:p>
    <w:p>
      <w:pPr>
        <w:pStyle w:val="Heading5"/>
      </w:pPr>
      <w:bookmarkStart w:id="360" w:name="_Toc175575947"/>
      <w:r>
        <w:rPr>
          <w:rStyle w:val="CharSectno"/>
        </w:rPr>
        <w:t>110ZJ</w:t>
      </w:r>
      <w:r>
        <w:t>.</w:t>
      </w:r>
      <w:r>
        <w:tab/>
        <w:t>Order of priority of persons who may make treatment decision in relation to patient</w:t>
      </w:r>
      <w:bookmarkEnd w:id="360"/>
    </w:p>
    <w:p>
      <w:pPr>
        <w:pStyle w:val="Subsection"/>
      </w:pPr>
      <w:r>
        <w:tab/>
        <w:t>(1)</w:t>
      </w:r>
      <w:r>
        <w:tab/>
        <w:t>Subject to Subdivision 1 and section 110ZIB, this section applies if a patient is unable to make reasonable judgments in respect of any treatment proposed to be provided to the patient.</w:t>
      </w:r>
    </w:p>
    <w:p>
      <w:pPr>
        <w:pStyle w:val="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patient has an enduring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enduring guardian.</w:t>
      </w:r>
    </w:p>
    <w:p>
      <w:pPr>
        <w:pStyle w:val="Subsection"/>
      </w:pPr>
      <w:r>
        <w:lastRenderedPageBreak/>
        <w:tab/>
        <w:t>(4)</w:t>
      </w:r>
      <w:r>
        <w:tab/>
        <w:t xml:space="preserve">If — </w:t>
      </w:r>
    </w:p>
    <w:p>
      <w:pPr>
        <w:pStyle w:val="Indenta"/>
      </w:pPr>
      <w:r>
        <w:tab/>
        <w:t>(a)</w:t>
      </w:r>
      <w:r>
        <w:tab/>
        <w:t>subsections (2) and (3) do not apply; and</w:t>
      </w:r>
    </w:p>
    <w:p>
      <w:pPr>
        <w:pStyle w:val="Indenta"/>
      </w:pPr>
      <w:r>
        <w:tab/>
        <w:t>(b)</w:t>
      </w:r>
      <w:r>
        <w:tab/>
        <w:t xml:space="preserve">the patient has a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guardian.</w:t>
      </w:r>
    </w:p>
    <w:p>
      <w:pPr>
        <w:pStyle w:val="Subsection"/>
        <w:keepNext/>
        <w:keepLines/>
      </w:pPr>
      <w:r>
        <w:tab/>
        <w:t>(5)</w:t>
      </w:r>
      <w:r>
        <w:tab/>
        <w:t xml:space="preserve">If — </w:t>
      </w:r>
    </w:p>
    <w:p>
      <w:pPr>
        <w:pStyle w:val="Indenta"/>
      </w:pPr>
      <w:r>
        <w:tab/>
        <w:t>(a)</w:t>
      </w:r>
      <w:r>
        <w:tab/>
        <w:t>subsections (2) to (4) do not apply; and</w:t>
      </w:r>
    </w:p>
    <w:p>
      <w:pPr>
        <w:pStyle w:val="Indenta"/>
      </w:pPr>
      <w:r>
        <w:tab/>
        <w:t>(b)</w:t>
      </w:r>
      <w:r>
        <w:tab/>
        <w:t>there is a person responsible for the patient under section 110ZD,</w:t>
      </w:r>
    </w:p>
    <w:p>
      <w:pPr>
        <w:pStyle w:val="Subsection"/>
      </w:pPr>
      <w:r>
        <w:tab/>
      </w:r>
      <w:r>
        <w:tab/>
        <w:t>whether or not the treatment is provided to the patient must be decided by the person responsible.</w:t>
      </w:r>
    </w:p>
    <w:p>
      <w:pPr>
        <w:pStyle w:val="Footnotesection"/>
      </w:pPr>
      <w:r>
        <w:tab/>
        <w:t>[Section 110ZJ inserted: No. 25 of 2008 s. 11; amended: No. 20 of 2023 s. 49.]</w:t>
      </w:r>
    </w:p>
    <w:p>
      <w:pPr>
        <w:pStyle w:val="Heading5"/>
        <w:spacing w:before="180"/>
      </w:pPr>
      <w:bookmarkStart w:id="361" w:name="_Toc175575948"/>
      <w:r>
        <w:rPr>
          <w:rStyle w:val="CharSectno"/>
        </w:rPr>
        <w:t>110ZK</w:t>
      </w:r>
      <w:r>
        <w:t>.</w:t>
      </w:r>
      <w:r>
        <w:tab/>
        <w:t>Reliance by health professional on treatment decision</w:t>
      </w:r>
      <w:bookmarkEnd w:id="361"/>
    </w:p>
    <w:p>
      <w:pPr>
        <w:pStyle w:val="Subsection"/>
      </w:pPr>
      <w:r>
        <w:tab/>
        <w:t>(1)</w:t>
      </w:r>
      <w:r>
        <w:tab/>
        <w:t xml:space="preserve">In this section — </w:t>
      </w:r>
    </w:p>
    <w:p>
      <w:pPr>
        <w:pStyle w:val="Defstart"/>
      </w:pPr>
      <w:r>
        <w:rPr>
          <w:b/>
        </w:rPr>
        <w:tab/>
      </w:r>
      <w:r>
        <w:rPr>
          <w:rStyle w:val="CharDefText"/>
        </w:rPr>
        <w:t>take treatment action</w:t>
      </w:r>
      <w:r>
        <w:t xml:space="preserve"> means — </w:t>
      </w:r>
    </w:p>
    <w:p>
      <w:pPr>
        <w:pStyle w:val="Defpara"/>
      </w:pPr>
      <w:r>
        <w:tab/>
        <w:t>(a)</w:t>
      </w:r>
      <w:r>
        <w:tab/>
        <w:t>to commence or continue any treatment of a patient; or</w:t>
      </w:r>
    </w:p>
    <w:p>
      <w:pPr>
        <w:pStyle w:val="Defpara"/>
      </w:pPr>
      <w:r>
        <w:tab/>
        <w:t>(b)</w:t>
      </w:r>
      <w:r>
        <w:tab/>
        <w:t>to not commence or to discontinue any treatment of a patient.</w:t>
      </w:r>
    </w:p>
    <w:p>
      <w:pPr>
        <w:pStyle w:val="Subsection"/>
      </w:pPr>
      <w:r>
        <w:tab/>
        <w:t>(2)</w:t>
      </w:r>
      <w:r>
        <w:tab/>
        <w:t xml:space="preserve">If a health professional — </w:t>
      </w:r>
    </w:p>
    <w:p>
      <w:pPr>
        <w:pStyle w:val="Indenta"/>
      </w:pPr>
      <w:r>
        <w:tab/>
        <w:t>(a)</w:t>
      </w:r>
      <w:r>
        <w:tab/>
        <w:t xml:space="preserve">takes treatment action — </w:t>
      </w:r>
    </w:p>
    <w:p>
      <w:pPr>
        <w:pStyle w:val="Indenti"/>
      </w:pPr>
      <w:r>
        <w:tab/>
        <w:t>(i)</w:t>
      </w:r>
      <w:r>
        <w:tab/>
        <w:t>reasonably believing that the patient is unable to make reasonable judgments in respect of the treatment action; and</w:t>
      </w:r>
    </w:p>
    <w:p>
      <w:pPr>
        <w:pStyle w:val="Indenti"/>
        <w:keepNext/>
      </w:pPr>
      <w:r>
        <w:lastRenderedPageBreak/>
        <w:tab/>
        <w:t>(ii)</w:t>
      </w:r>
      <w:r>
        <w:tab/>
        <w:t xml:space="preserve">relying in good faith on what is purportedly a treatment decision — </w:t>
      </w:r>
    </w:p>
    <w:p>
      <w:pPr>
        <w:pStyle w:val="IndentI0"/>
      </w:pPr>
      <w:r>
        <w:tab/>
        <w:t>(I)</w:t>
      </w:r>
      <w:r>
        <w:tab/>
        <w:t>in an advance health directive made by the patient; or</w:t>
      </w:r>
    </w:p>
    <w:p>
      <w:pPr>
        <w:pStyle w:val="IndentI0"/>
      </w:pPr>
      <w:r>
        <w:tab/>
        <w:t>(II)</w:t>
      </w:r>
      <w:r>
        <w:tab/>
        <w:t>made by the patient’s guardian or enduring guardian or the person responsible for the patient under section 110ZD;</w:t>
      </w:r>
    </w:p>
    <w:p>
      <w:pPr>
        <w:pStyle w:val="Indenta"/>
      </w:pPr>
      <w:r>
        <w:tab/>
      </w:r>
      <w:r>
        <w:tab/>
        <w:t>or</w:t>
      </w:r>
    </w:p>
    <w:p>
      <w:pPr>
        <w:pStyle w:val="Indenta"/>
      </w:pPr>
      <w:r>
        <w:tab/>
        <w:t>(b)</w:t>
      </w:r>
      <w:r>
        <w:tab/>
        <w:t xml:space="preserve">takes treatment action — </w:t>
      </w:r>
    </w:p>
    <w:p>
      <w:pPr>
        <w:pStyle w:val="Indenti"/>
      </w:pPr>
      <w:r>
        <w:tab/>
        <w:t>(i)</w:t>
      </w:r>
      <w:r>
        <w:tab/>
        <w:t>in circumstances where it is reasonable for the health professional to rely on some other health professional having ascertained whether the treatment action is in accordance with a treatment decision; and</w:t>
      </w:r>
    </w:p>
    <w:p>
      <w:pPr>
        <w:pStyle w:val="Indenti"/>
      </w:pPr>
      <w:r>
        <w:tab/>
        <w:t>(ii)</w:t>
      </w:r>
      <w:r>
        <w:tab/>
        <w:t>reasonably assuming that some other health professional has ascertained that the treatment action is in accordance with a treatment decision,</w:t>
      </w:r>
    </w:p>
    <w:p>
      <w:pPr>
        <w:pStyle w:val="Subsection"/>
      </w:pPr>
      <w:r>
        <w:tab/>
      </w:r>
      <w:r>
        <w:tab/>
        <w:t xml:space="preserve">the health professional is taken for all purposes to take the treatment action in accordance with a treatment decision that has effect as if — </w:t>
      </w:r>
    </w:p>
    <w:p>
      <w:pPr>
        <w:pStyle w:val="Indenta"/>
      </w:pPr>
      <w:r>
        <w:tab/>
        <w:t>(c)</w:t>
      </w:r>
      <w:r>
        <w:tab/>
        <w:t>it had been made by the patient; and</w:t>
      </w:r>
    </w:p>
    <w:p>
      <w:pPr>
        <w:pStyle w:val="Indenta"/>
      </w:pPr>
      <w:r>
        <w:tab/>
        <w:t>(d)</w:t>
      </w:r>
      <w:r>
        <w:tab/>
        <w:t>the patient were of full legal capacity.</w:t>
      </w:r>
    </w:p>
    <w:p>
      <w:pPr>
        <w:pStyle w:val="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Subsection"/>
      </w:pPr>
      <w:r>
        <w:tab/>
        <w:t>(4)</w:t>
      </w:r>
      <w:r>
        <w:tab/>
        <w:t xml:space="preserve">For the purpose of determining under subsection (2)(b)(ii) whether the health professional’s assumption was reasonable, the following matters must be taken into account — </w:t>
      </w:r>
    </w:p>
    <w:p>
      <w:pPr>
        <w:pStyle w:val="Indenta"/>
      </w:pPr>
      <w:r>
        <w:tab/>
        <w:t>(a)</w:t>
      </w:r>
      <w:r>
        <w:tab/>
      </w:r>
      <w:r>
        <w:rPr>
          <w:szCs w:val="22"/>
        </w:rPr>
        <w:t xml:space="preserve">whether the health professional sighted any written evidence that some other health professional had </w:t>
      </w:r>
      <w:r>
        <w:rPr>
          <w:szCs w:val="22"/>
        </w:rPr>
        <w:lastRenderedPageBreak/>
        <w:t>ascertained that the treatment action was in accordance with the treatment decision;</w:t>
      </w:r>
    </w:p>
    <w:p>
      <w:pPr>
        <w:pStyle w:val="Indenta"/>
      </w:pPr>
      <w:r>
        <w:tab/>
        <w:t>(b)</w:t>
      </w:r>
      <w:r>
        <w:tab/>
        <w:t>anything else relevant to the determination.</w:t>
      </w:r>
    </w:p>
    <w:p>
      <w:pPr>
        <w:pStyle w:val="Footnotesection"/>
      </w:pPr>
      <w:r>
        <w:tab/>
        <w:t>[Section 110ZK inserted: No. 25 of 2008 s. 11.]</w:t>
      </w:r>
    </w:p>
    <w:p>
      <w:pPr>
        <w:pStyle w:val="Heading5"/>
      </w:pPr>
      <w:bookmarkStart w:id="362" w:name="_Toc175575949"/>
      <w:r>
        <w:rPr>
          <w:rStyle w:val="CharSectno"/>
        </w:rPr>
        <w:t>110ZL</w:t>
      </w:r>
      <w:r>
        <w:t>.</w:t>
      </w:r>
      <w:r>
        <w:tab/>
        <w:t>Validity of certain treatment decisions</w:t>
      </w:r>
      <w:bookmarkEnd w:id="362"/>
    </w:p>
    <w:p>
      <w:pPr>
        <w:pStyle w:val="Subsection"/>
      </w:pPr>
      <w:r>
        <w:tab/>
      </w:r>
      <w:r>
        <w:tab/>
        <w:t xml:space="preserve">If a health professional — </w:t>
      </w:r>
    </w:p>
    <w:p>
      <w:pPr>
        <w:pStyle w:val="Indenta"/>
      </w:pPr>
      <w:r>
        <w:tab/>
        <w:t>(a)</w:t>
      </w:r>
      <w:r>
        <w:tab/>
        <w:t>commences or continues palliative care in relation to a patient; or</w:t>
      </w:r>
    </w:p>
    <w:p>
      <w:pPr>
        <w:pStyle w:val="Indenta"/>
        <w:keepNext/>
        <w:keepLines/>
      </w:pPr>
      <w:r>
        <w:tab/>
        <w:t>(b)</w:t>
      </w:r>
      <w:r>
        <w:tab/>
        <w:t>does not commence or discontinues any treatment of a patient,</w:t>
      </w:r>
    </w:p>
    <w:p>
      <w:pPr>
        <w:pStyle w:val="Subsection"/>
        <w:keepLines/>
      </w:pPr>
      <w:r>
        <w:tab/>
      </w:r>
      <w:r>
        <w:tab/>
        <w:t xml:space="preserve">in accordance with a treatment decision that is — </w:t>
      </w:r>
    </w:p>
    <w:p>
      <w:pPr>
        <w:pStyle w:val="Indenta"/>
        <w:keepLines/>
      </w:pPr>
      <w:r>
        <w:tab/>
        <w:t>(c)</w:t>
      </w:r>
      <w:r>
        <w:tab/>
        <w:t>in an advance health directive made by the patient; or</w:t>
      </w:r>
    </w:p>
    <w:p>
      <w:pPr>
        <w:pStyle w:val="Indenta"/>
      </w:pPr>
      <w:r>
        <w:tab/>
        <w:t>(d)</w:t>
      </w:r>
      <w:r>
        <w:tab/>
        <w:t>made by the patient’s guardian or enduring guardian or the person responsible for the patient under section 110ZD,</w:t>
      </w:r>
    </w:p>
    <w:p>
      <w:pPr>
        <w:pStyle w:val="Subsection"/>
      </w:pPr>
      <w:r>
        <w:tab/>
      </w:r>
      <w:r>
        <w:tab/>
        <w:t>the health professional is taken for all purposes to have done so in accordance with a valid treatment decision, even if an effect of doing so is to hasten the death of the patient.</w:t>
      </w:r>
    </w:p>
    <w:p>
      <w:pPr>
        <w:pStyle w:val="Footnotesection"/>
      </w:pPr>
      <w:r>
        <w:tab/>
        <w:t>[Section 110ZL inserted: No. 25 of 2008 s. 11.]</w:t>
      </w:r>
    </w:p>
    <w:p>
      <w:pPr>
        <w:pStyle w:val="Heading4"/>
      </w:pPr>
      <w:bookmarkStart w:id="363" w:name="_Toc175234916"/>
      <w:bookmarkStart w:id="364" w:name="_Toc175235189"/>
      <w:bookmarkStart w:id="365" w:name="_Toc175235509"/>
      <w:bookmarkStart w:id="366" w:name="_Toc175575679"/>
      <w:bookmarkStart w:id="367" w:name="_Toc175575950"/>
      <w:r>
        <w:t>Subdivision 3 — Performance of abortion</w:t>
      </w:r>
      <w:bookmarkEnd w:id="363"/>
      <w:bookmarkEnd w:id="364"/>
      <w:bookmarkEnd w:id="365"/>
      <w:bookmarkEnd w:id="366"/>
      <w:bookmarkEnd w:id="367"/>
    </w:p>
    <w:p>
      <w:pPr>
        <w:pStyle w:val="Footnoteheading"/>
        <w:keepNext/>
        <w:keepLines/>
      </w:pPr>
      <w:r>
        <w:tab/>
        <w:t>[Heading inserted: No. 20 of 2023 s. 50.]</w:t>
      </w:r>
    </w:p>
    <w:p>
      <w:pPr>
        <w:pStyle w:val="Heading5"/>
        <w:tabs>
          <w:tab w:val="clear" w:pos="879"/>
          <w:tab w:val="left" w:pos="993"/>
        </w:tabs>
      </w:pPr>
      <w:bookmarkStart w:id="368" w:name="_Toc175575951"/>
      <w:r>
        <w:rPr>
          <w:rStyle w:val="CharSectno"/>
        </w:rPr>
        <w:t>110ZLA</w:t>
      </w:r>
      <w:r>
        <w:t>.</w:t>
      </w:r>
      <w:r>
        <w:tab/>
        <w:t>Treatment decisions in relation to performance of abortion</w:t>
      </w:r>
      <w:bookmarkEnd w:id="368"/>
    </w:p>
    <w:p>
      <w:pPr>
        <w:pStyle w:val="Subsection"/>
      </w:pPr>
      <w:r>
        <w:tab/>
        <w:t>(1)</w:t>
      </w:r>
      <w:r>
        <w:tab/>
        <w:t xml:space="preserve">Subject to Subdivision 1, this section applies if it is proposed to perform an abortion on a person who — </w:t>
      </w:r>
    </w:p>
    <w:p>
      <w:pPr>
        <w:pStyle w:val="Indenta"/>
      </w:pPr>
      <w:r>
        <w:tab/>
        <w:t>(a)</w:t>
      </w:r>
      <w:r>
        <w:tab/>
        <w:t xml:space="preserve">has reached 18 years of age; and </w:t>
      </w:r>
    </w:p>
    <w:p>
      <w:pPr>
        <w:pStyle w:val="Indenta"/>
      </w:pPr>
      <w:r>
        <w:tab/>
        <w:t>(b)</w:t>
      </w:r>
      <w:r>
        <w:tab/>
        <w:t>is unable to make reasonable judgments in respect of whether or not the abortion should be performed on them.</w:t>
      </w:r>
    </w:p>
    <w:p>
      <w:pPr>
        <w:pStyle w:val="Subsection"/>
      </w:pPr>
      <w:r>
        <w:lastRenderedPageBreak/>
        <w:tab/>
        <w:t>(2)</w:t>
      </w:r>
      <w:r>
        <w:tab/>
        <w:t>If the person has made an advance health directive containing a treatment decision in respect of the performance of the abortion on the person, whether or not the abortion is performed on the person must be decided in accordance with the treatment decision.</w:t>
      </w:r>
    </w:p>
    <w:p>
      <w:pPr>
        <w:pStyle w:val="Subsection"/>
      </w:pPr>
      <w:r>
        <w:tab/>
        <w:t>(3)</w:t>
      </w:r>
      <w:r>
        <w:tab/>
        <w:t>If subsection (2) does not apply, whether or not the abortion is performed on the person must be decided by the State Administrative Tribunal under Division 3 Subdivision 2.</w:t>
      </w:r>
    </w:p>
    <w:p>
      <w:pPr>
        <w:pStyle w:val="Footnotesection"/>
      </w:pPr>
      <w:r>
        <w:tab/>
        <w:t>[Section 110ZLA inserted: No. 20 of 2023 s. 50.]</w:t>
      </w:r>
    </w:p>
    <w:p>
      <w:pPr>
        <w:pStyle w:val="Heading5"/>
        <w:tabs>
          <w:tab w:val="clear" w:pos="879"/>
          <w:tab w:val="left" w:pos="993"/>
        </w:tabs>
      </w:pPr>
      <w:bookmarkStart w:id="369" w:name="_Toc175575952"/>
      <w:r>
        <w:rPr>
          <w:rStyle w:val="CharSectno"/>
        </w:rPr>
        <w:t>110ZLB</w:t>
      </w:r>
      <w:r>
        <w:t>.</w:t>
      </w:r>
      <w:r>
        <w:tab/>
        <w:t>Performance of abortion without advance health directive or State Administrative Tribunal consent an offence</w:t>
      </w:r>
      <w:bookmarkEnd w:id="369"/>
    </w:p>
    <w:p>
      <w:pPr>
        <w:pStyle w:val="Subsection"/>
      </w:pPr>
      <w:r>
        <w:tab/>
      </w:r>
      <w:r>
        <w:tab/>
        <w:t xml:space="preserve">Except where section 110ZLA(2) has effect, a health professional must not perform an abortion on a person referred to in section 110ZLA(1) unless — </w:t>
      </w:r>
    </w:p>
    <w:p>
      <w:pPr>
        <w:pStyle w:val="Indenta"/>
      </w:pPr>
      <w:r>
        <w:tab/>
        <w:t>(a)</w:t>
      </w:r>
      <w:r>
        <w:tab/>
        <w:t>the State Administrative Tribunal has, under section 110ZND, consented to the performance of the abortion on the person; and</w:t>
      </w:r>
    </w:p>
    <w:p>
      <w:pPr>
        <w:pStyle w:val="Indenta"/>
      </w:pPr>
      <w:r>
        <w:tab/>
        <w:t>(b)</w:t>
      </w:r>
      <w:r>
        <w:tab/>
        <w:t>no appeal from the decision to consent is instituted within the period provided under section 25A(3)(b) or, if an appeal is instituted,  the appeal is finally disposed of, or is discontinued or dismissed (and is not reinstated or capable of reinstatement); and</w:t>
      </w:r>
    </w:p>
    <w:p>
      <w:pPr>
        <w:pStyle w:val="Indenta"/>
      </w:pPr>
      <w:r>
        <w:tab/>
        <w:t>(c)</w:t>
      </w:r>
      <w:r>
        <w:tab/>
        <w:t>the abortion is performed in accordance with any condition imposed by the State Administrative Tribunal under section 110ZND.</w:t>
      </w:r>
    </w:p>
    <w:p>
      <w:pPr>
        <w:pStyle w:val="Penstart"/>
      </w:pPr>
      <w:r>
        <w:tab/>
        <w:t>Penalty for this section: imprisonment for 2 years and a fine of $4 000.</w:t>
      </w:r>
    </w:p>
    <w:p>
      <w:pPr>
        <w:pStyle w:val="Footnotesection"/>
      </w:pPr>
      <w:r>
        <w:tab/>
        <w:t>[Section 110ZLB inserted: No. 20 of 2023 s. 50.]</w:t>
      </w:r>
    </w:p>
    <w:p>
      <w:pPr>
        <w:pStyle w:val="Heading5"/>
        <w:tabs>
          <w:tab w:val="clear" w:pos="879"/>
          <w:tab w:val="left" w:pos="993"/>
        </w:tabs>
      </w:pPr>
      <w:bookmarkStart w:id="370" w:name="_Toc175575953"/>
      <w:r>
        <w:rPr>
          <w:rStyle w:val="CharSectno"/>
        </w:rPr>
        <w:t>110ZLC</w:t>
      </w:r>
      <w:r>
        <w:t>.</w:t>
      </w:r>
      <w:r>
        <w:tab/>
        <w:t>Effect of State Administrative Tribunal consent</w:t>
      </w:r>
      <w:bookmarkEnd w:id="370"/>
    </w:p>
    <w:p>
      <w:pPr>
        <w:pStyle w:val="Subsection"/>
      </w:pPr>
      <w:r>
        <w:tab/>
      </w:r>
      <w:r>
        <w:tab/>
        <w:t xml:space="preserve">A decision of the State Administrative Tribunal under Division 3 Subdivision 2 in relation to the performance of an </w:t>
      </w:r>
      <w:r>
        <w:lastRenderedPageBreak/>
        <w:t xml:space="preserve">abortion on a person referred to in section 110ZLA(1) has effect as if — </w:t>
      </w:r>
    </w:p>
    <w:p>
      <w:pPr>
        <w:pStyle w:val="Indenta"/>
      </w:pPr>
      <w:r>
        <w:tab/>
        <w:t>(a)</w:t>
      </w:r>
      <w:r>
        <w:tab/>
        <w:t>it were a treatment decision made by the person in respect of the performance of the abortion on the person; and</w:t>
      </w:r>
    </w:p>
    <w:p>
      <w:pPr>
        <w:pStyle w:val="Indenta"/>
      </w:pPr>
      <w:r>
        <w:tab/>
        <w:t>(b)</w:t>
      </w:r>
      <w:r>
        <w:tab/>
        <w:t>the person were of full legal capacity.</w:t>
      </w:r>
    </w:p>
    <w:p>
      <w:pPr>
        <w:pStyle w:val="Footnotesection"/>
      </w:pPr>
      <w:r>
        <w:tab/>
        <w:t>[Section 110ZLC inserted: No. 20 of 2023 s. 50.]</w:t>
      </w:r>
    </w:p>
    <w:p>
      <w:pPr>
        <w:pStyle w:val="Heading5"/>
        <w:tabs>
          <w:tab w:val="clear" w:pos="879"/>
          <w:tab w:val="left" w:pos="993"/>
        </w:tabs>
      </w:pPr>
      <w:bookmarkStart w:id="371" w:name="_Toc175575954"/>
      <w:r>
        <w:rPr>
          <w:rStyle w:val="CharSectno"/>
        </w:rPr>
        <w:t>110ZLD</w:t>
      </w:r>
      <w:r>
        <w:t>.</w:t>
      </w:r>
      <w:r>
        <w:tab/>
        <w:t>Reliance by health professional on treatment decisions in respect of performance of abortion</w:t>
      </w:r>
      <w:bookmarkEnd w:id="371"/>
    </w:p>
    <w:p>
      <w:pPr>
        <w:pStyle w:val="Subsection"/>
      </w:pPr>
      <w:r>
        <w:tab/>
        <w:t>(1)</w:t>
      </w:r>
      <w:r>
        <w:tab/>
        <w:t xml:space="preserve">In this section — </w:t>
      </w:r>
    </w:p>
    <w:p>
      <w:pPr>
        <w:pStyle w:val="Defstart"/>
      </w:pPr>
      <w:r>
        <w:tab/>
      </w:r>
      <w:r>
        <w:rPr>
          <w:rStyle w:val="CharDefText"/>
        </w:rPr>
        <w:t>abortion treatment decision</w:t>
      </w:r>
      <w:r>
        <w:t xml:space="preserve">, in relation to a person referred to in section 110ZLA(1)(a), means — </w:t>
      </w:r>
    </w:p>
    <w:p>
      <w:pPr>
        <w:pStyle w:val="Defpara"/>
      </w:pPr>
      <w:r>
        <w:tab/>
        <w:t>(a)</w:t>
      </w:r>
      <w:r>
        <w:tab/>
        <w:t>a treatment decision in respect of the performance of an abortion on the person, contained in an advance health directive made by the person; or</w:t>
      </w:r>
    </w:p>
    <w:p>
      <w:pPr>
        <w:pStyle w:val="Defpara"/>
      </w:pPr>
      <w:r>
        <w:tab/>
        <w:t>(b)</w:t>
      </w:r>
      <w:r>
        <w:tab/>
        <w:t>a decision of the State Administrative Tribunal under Division 3 Subdivision 2 in respect of the person;</w:t>
      </w:r>
    </w:p>
    <w:p>
      <w:pPr>
        <w:pStyle w:val="Defstart"/>
      </w:pPr>
      <w:r>
        <w:tab/>
      </w:r>
      <w:r>
        <w:rPr>
          <w:rStyle w:val="CharDefText"/>
        </w:rPr>
        <w:t>take abortion action</w:t>
      </w:r>
      <w:r>
        <w:t xml:space="preserve"> means to perform, or not to perform, an abortion on a person referred to in section 110ZLA(1)(a).</w:t>
      </w:r>
    </w:p>
    <w:p>
      <w:pPr>
        <w:pStyle w:val="Subsection"/>
      </w:pPr>
      <w:r>
        <w:tab/>
        <w:t>(2)</w:t>
      </w:r>
      <w:r>
        <w:tab/>
        <w:t xml:space="preserve">Subsection (3) applies if a health professional — </w:t>
      </w:r>
    </w:p>
    <w:p>
      <w:pPr>
        <w:pStyle w:val="Indenta"/>
      </w:pPr>
      <w:r>
        <w:tab/>
        <w:t>(a)</w:t>
      </w:r>
      <w:r>
        <w:tab/>
        <w:t xml:space="preserve">takes abortion action — </w:t>
      </w:r>
    </w:p>
    <w:p>
      <w:pPr>
        <w:pStyle w:val="Indenti"/>
      </w:pPr>
      <w:r>
        <w:tab/>
        <w:t>(i)</w:t>
      </w:r>
      <w:r>
        <w:tab/>
        <w:t>reasonably believing that the person is unable to make reasonable judgments in respect of the abortion action; and</w:t>
      </w:r>
    </w:p>
    <w:p>
      <w:pPr>
        <w:pStyle w:val="Indenti"/>
      </w:pPr>
      <w:r>
        <w:tab/>
        <w:t>(ii)</w:t>
      </w:r>
      <w:r>
        <w:tab/>
        <w:t xml:space="preserve">relying in good faith on what is purportedly an abortion treatment decision in respect of the person; </w:t>
      </w:r>
    </w:p>
    <w:p>
      <w:pPr>
        <w:pStyle w:val="Indenta"/>
      </w:pPr>
      <w:r>
        <w:tab/>
      </w:r>
      <w:r>
        <w:tab/>
        <w:t>or</w:t>
      </w:r>
    </w:p>
    <w:p>
      <w:pPr>
        <w:pStyle w:val="Indenta"/>
      </w:pPr>
      <w:r>
        <w:tab/>
        <w:t>(b)</w:t>
      </w:r>
      <w:r>
        <w:tab/>
        <w:t xml:space="preserve">takes abortion action — </w:t>
      </w:r>
    </w:p>
    <w:p>
      <w:pPr>
        <w:pStyle w:val="Indenti"/>
      </w:pPr>
      <w:r>
        <w:tab/>
        <w:t>(i)</w:t>
      </w:r>
      <w:r>
        <w:tab/>
        <w:t xml:space="preserve">in circumstances where it is reasonable for the health professional to rely on some other health </w:t>
      </w:r>
      <w:r>
        <w:lastRenderedPageBreak/>
        <w:t>professional having ascertained whether the taking of the abortion action is in accordance with an abortion treatment decision in respect of the person; and</w:t>
      </w:r>
    </w:p>
    <w:p>
      <w:pPr>
        <w:pStyle w:val="Indenti"/>
      </w:pPr>
      <w:r>
        <w:tab/>
        <w:t>(ii)</w:t>
      </w:r>
      <w:r>
        <w:tab/>
        <w:t>reasonably assuming that some other health professional has ascertained that the taking of the abortion action is in accordance with an abortion treatment decision in respect of the person.</w:t>
      </w:r>
    </w:p>
    <w:p>
      <w:pPr>
        <w:pStyle w:val="Subsection"/>
      </w:pPr>
      <w:r>
        <w:tab/>
        <w:t>(3)</w:t>
      </w:r>
      <w:r>
        <w:tab/>
        <w:t xml:space="preserve">The health professional is taken for all purposes to take the abortion action in accordance with a treatment decision that has effect as if — </w:t>
      </w:r>
    </w:p>
    <w:p>
      <w:pPr>
        <w:pStyle w:val="Indenta"/>
      </w:pPr>
      <w:r>
        <w:tab/>
        <w:t>(a)</w:t>
      </w:r>
      <w:r>
        <w:tab/>
        <w:t>it had been made by the person; and</w:t>
      </w:r>
    </w:p>
    <w:p>
      <w:pPr>
        <w:pStyle w:val="Indenta"/>
      </w:pPr>
      <w:r>
        <w:tab/>
        <w:t>(b)</w:t>
      </w:r>
      <w:r>
        <w:tab/>
        <w:t>the person were of full legal capacity.</w:t>
      </w:r>
    </w:p>
    <w:p>
      <w:pPr>
        <w:pStyle w:val="Subsection"/>
      </w:pPr>
      <w:r>
        <w:tab/>
        <w:t>(4)</w:t>
      </w:r>
      <w:r>
        <w:tab/>
        <w:t>Without limiting subsection (3), a health professional who takes abortion action as referred to in subsection (2) does not commit an offence under section 110ZLB.</w:t>
      </w:r>
    </w:p>
    <w:p>
      <w:pPr>
        <w:pStyle w:val="Subsection"/>
      </w:pPr>
      <w:r>
        <w:tab/>
        <w:t>(5)</w:t>
      </w:r>
      <w:r>
        <w:tab/>
        <w:t>For subsection (2)(a)(ii), a health professional is taken to have relied in good faith on what was purportedly an abortion treatment decision if, after considering whether or not to rely on it, the health professional acted honestly in relying on it.</w:t>
      </w:r>
    </w:p>
    <w:p>
      <w:pPr>
        <w:pStyle w:val="Subsection"/>
      </w:pPr>
      <w:r>
        <w:tab/>
        <w:t>(6)</w:t>
      </w:r>
      <w:r>
        <w:tab/>
        <w:t>For the purpose of determining under subsection (2)(b)(ii) whether the health professional’s assumption was reasonable, the following matters must be taken into account —</w:t>
      </w:r>
    </w:p>
    <w:p>
      <w:pPr>
        <w:pStyle w:val="Indenta"/>
      </w:pPr>
      <w:r>
        <w:tab/>
        <w:t>(a)</w:t>
      </w:r>
      <w:r>
        <w:tab/>
        <w:t>whether the health professional sighted any written evidence that some other health professional had ascertained that the taking of the abortion action was in accordance with the abortion treatment decision;</w:t>
      </w:r>
    </w:p>
    <w:p>
      <w:pPr>
        <w:pStyle w:val="Indenta"/>
      </w:pPr>
      <w:r>
        <w:tab/>
        <w:t>(b)</w:t>
      </w:r>
      <w:r>
        <w:tab/>
        <w:t>anything else relevant to the determination.</w:t>
      </w:r>
    </w:p>
    <w:p>
      <w:pPr>
        <w:pStyle w:val="Footnotesection"/>
      </w:pPr>
      <w:r>
        <w:tab/>
        <w:t>[Section 110ZLD inserted: No. 20 of 2023 s. 50.]</w:t>
      </w:r>
    </w:p>
    <w:p>
      <w:pPr>
        <w:pStyle w:val="Heading3"/>
      </w:pPr>
      <w:bookmarkStart w:id="372" w:name="_Toc175234921"/>
      <w:bookmarkStart w:id="373" w:name="_Toc175235194"/>
      <w:bookmarkStart w:id="374" w:name="_Toc175235514"/>
      <w:bookmarkStart w:id="375" w:name="_Toc175575684"/>
      <w:bookmarkStart w:id="376" w:name="_Toc175575955"/>
      <w:r>
        <w:rPr>
          <w:rStyle w:val="CharDivNo"/>
        </w:rPr>
        <w:lastRenderedPageBreak/>
        <w:t>Division 3</w:t>
      </w:r>
      <w:r>
        <w:t> — </w:t>
      </w:r>
      <w:r>
        <w:rPr>
          <w:rStyle w:val="CharDivText"/>
        </w:rPr>
        <w:t>Jurisdiction of State Administrative Tribunal</w:t>
      </w:r>
      <w:bookmarkEnd w:id="372"/>
      <w:bookmarkEnd w:id="373"/>
      <w:bookmarkEnd w:id="374"/>
      <w:bookmarkEnd w:id="375"/>
      <w:bookmarkEnd w:id="376"/>
    </w:p>
    <w:p>
      <w:pPr>
        <w:pStyle w:val="Footnoteheading"/>
        <w:keepNext/>
      </w:pPr>
      <w:r>
        <w:tab/>
        <w:t>[Heading inserted: No. 25 of 2008 s. 11.]</w:t>
      </w:r>
    </w:p>
    <w:p>
      <w:pPr>
        <w:pStyle w:val="Heading4"/>
      </w:pPr>
      <w:bookmarkStart w:id="377" w:name="_Toc175234922"/>
      <w:bookmarkStart w:id="378" w:name="_Toc175235195"/>
      <w:bookmarkStart w:id="379" w:name="_Toc175235515"/>
      <w:bookmarkStart w:id="380" w:name="_Toc175575685"/>
      <w:bookmarkStart w:id="381" w:name="_Toc175575956"/>
      <w:r>
        <w:t>Subdivision 1 — Declarations for purposes of s. 110ZJ</w:t>
      </w:r>
      <w:bookmarkEnd w:id="377"/>
      <w:bookmarkEnd w:id="378"/>
      <w:bookmarkEnd w:id="379"/>
      <w:bookmarkEnd w:id="380"/>
      <w:bookmarkEnd w:id="381"/>
    </w:p>
    <w:p>
      <w:pPr>
        <w:pStyle w:val="Footnoteheading"/>
        <w:keepNext/>
        <w:keepLines/>
      </w:pPr>
      <w:r>
        <w:tab/>
        <w:t>[Heading inserted: No. 20 of 2023 s. 51.]</w:t>
      </w:r>
    </w:p>
    <w:p>
      <w:pPr>
        <w:pStyle w:val="Heading5"/>
      </w:pPr>
      <w:bookmarkStart w:id="382" w:name="_Toc175575957"/>
      <w:r>
        <w:rPr>
          <w:rStyle w:val="CharSectno"/>
        </w:rPr>
        <w:t>110ZM</w:t>
      </w:r>
      <w:r>
        <w:rPr>
          <w:szCs w:val="22"/>
        </w:rPr>
        <w:t>.</w:t>
      </w:r>
      <w:r>
        <w:rPr>
          <w:szCs w:val="22"/>
        </w:rPr>
        <w:tab/>
        <w:t>Who may apply</w:t>
      </w:r>
      <w:bookmarkEnd w:id="382"/>
    </w:p>
    <w:p>
      <w:pPr>
        <w:pStyle w:val="Subsection"/>
      </w:pPr>
      <w:r>
        <w:rPr>
          <w:szCs w:val="22"/>
        </w:rPr>
        <w:tab/>
      </w:r>
      <w:r>
        <w:rPr>
          <w:szCs w:val="22"/>
        </w:rPr>
        <w:tab/>
        <w:t xml:space="preserve">A person who, in the opinion of the State Administrative Tribunal, has a proper interest in the matter may apply to the Tribunal for a decision under this </w:t>
      </w:r>
      <w:r>
        <w:t>Subdivision.</w:t>
      </w:r>
    </w:p>
    <w:p>
      <w:pPr>
        <w:pStyle w:val="Footnotesection"/>
      </w:pPr>
      <w:r>
        <w:tab/>
        <w:t>[Section 110ZM inserted: No. 25 of 2008 s. 11; amended: No. 20 of 2023 s. 52.]</w:t>
      </w:r>
    </w:p>
    <w:p>
      <w:pPr>
        <w:pStyle w:val="Heading5"/>
      </w:pPr>
      <w:bookmarkStart w:id="383" w:name="_Toc175575958"/>
      <w:r>
        <w:rPr>
          <w:rStyle w:val="CharSectno"/>
        </w:rPr>
        <w:t>110ZN</w:t>
      </w:r>
      <w:r>
        <w:rPr>
          <w:szCs w:val="22"/>
        </w:rPr>
        <w:t>.</w:t>
      </w:r>
      <w:r>
        <w:rPr>
          <w:szCs w:val="22"/>
        </w:rPr>
        <w:tab/>
        <w:t>Declaration as to who may make treatment decision</w:t>
      </w:r>
      <w:bookmarkEnd w:id="383"/>
    </w:p>
    <w:p>
      <w:pPr>
        <w:pStyle w:val="Subsection"/>
      </w:pPr>
      <w:r>
        <w:rPr>
          <w:szCs w:val="22"/>
        </w:rPr>
        <w:tab/>
        <w:t>(1)</w:t>
      </w:r>
      <w:r>
        <w:rPr>
          <w:szCs w:val="22"/>
        </w:rPr>
        <w:tab/>
        <w:t>The State Administrative Tribunal may declare whether section 110ZJ(2), (3), (4) or (5) applies in respect of any treatment proposed to be provided to a patient.</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110ZN inserted: No. 25 of 2008 s. 11.]</w:t>
      </w:r>
    </w:p>
    <w:p>
      <w:pPr>
        <w:pStyle w:val="Heading4"/>
      </w:pPr>
      <w:bookmarkStart w:id="384" w:name="_Toc175234925"/>
      <w:bookmarkStart w:id="385" w:name="_Toc175235198"/>
      <w:bookmarkStart w:id="386" w:name="_Toc175235518"/>
      <w:bookmarkStart w:id="387" w:name="_Toc175575688"/>
      <w:bookmarkStart w:id="388" w:name="_Toc175575959"/>
      <w:r>
        <w:t>Subdivision 2 — Decisions for purposes of s. 110ZLA</w:t>
      </w:r>
      <w:bookmarkEnd w:id="384"/>
      <w:bookmarkEnd w:id="385"/>
      <w:bookmarkEnd w:id="386"/>
      <w:bookmarkEnd w:id="387"/>
      <w:bookmarkEnd w:id="388"/>
    </w:p>
    <w:p>
      <w:pPr>
        <w:pStyle w:val="Footnoteheading"/>
        <w:keepNext/>
        <w:keepLines/>
      </w:pPr>
      <w:r>
        <w:tab/>
        <w:t>[Heading inserted: No. 20 of 2023 s. 53.]</w:t>
      </w:r>
    </w:p>
    <w:p>
      <w:pPr>
        <w:pStyle w:val="Heading5"/>
        <w:tabs>
          <w:tab w:val="clear" w:pos="879"/>
          <w:tab w:val="left" w:pos="993"/>
        </w:tabs>
      </w:pPr>
      <w:bookmarkStart w:id="389" w:name="_Toc175575960"/>
      <w:r>
        <w:rPr>
          <w:rStyle w:val="CharSectno"/>
        </w:rPr>
        <w:t>110ZNA</w:t>
      </w:r>
      <w:r>
        <w:t>.</w:t>
      </w:r>
      <w:r>
        <w:tab/>
        <w:t>Only Full Tribunal to act under this Subdivision</w:t>
      </w:r>
      <w:bookmarkEnd w:id="389"/>
    </w:p>
    <w:p>
      <w:pPr>
        <w:pStyle w:val="Subsection"/>
      </w:pPr>
      <w:r>
        <w:tab/>
      </w:r>
      <w:r>
        <w:tab/>
        <w:t>The functions of the State Administrative Tribunal under this Subdivision may only be performed by a Full Tribunal.</w:t>
      </w:r>
    </w:p>
    <w:p>
      <w:pPr>
        <w:pStyle w:val="Footnotesection"/>
      </w:pPr>
      <w:r>
        <w:tab/>
        <w:t>[Section 110ZNA inserted: No. 20 of 2023 s. 53.]</w:t>
      </w:r>
    </w:p>
    <w:p>
      <w:pPr>
        <w:pStyle w:val="Heading5"/>
        <w:tabs>
          <w:tab w:val="clear" w:pos="879"/>
          <w:tab w:val="left" w:pos="993"/>
        </w:tabs>
      </w:pPr>
      <w:bookmarkStart w:id="390" w:name="_Toc175575961"/>
      <w:r>
        <w:rPr>
          <w:rStyle w:val="CharSectno"/>
        </w:rPr>
        <w:lastRenderedPageBreak/>
        <w:t>110ZNB</w:t>
      </w:r>
      <w:r>
        <w:t>.</w:t>
      </w:r>
      <w:r>
        <w:tab/>
        <w:t>Who may apply for decision under this Subdivision</w:t>
      </w:r>
      <w:bookmarkEnd w:id="390"/>
    </w:p>
    <w:p>
      <w:pPr>
        <w:pStyle w:val="Subsection"/>
      </w:pPr>
      <w:r>
        <w:tab/>
        <w:t>(1)</w:t>
      </w:r>
      <w:r>
        <w:tab/>
        <w:t xml:space="preserve">The following persons may apply to the State Administrative Tribunal for a decision under this Subdivision for the purposes of section 110ZLA(3) — </w:t>
      </w:r>
    </w:p>
    <w:p>
      <w:pPr>
        <w:pStyle w:val="Indenta"/>
      </w:pPr>
      <w:r>
        <w:tab/>
        <w:t>(a)</w:t>
      </w:r>
      <w:r>
        <w:tab/>
        <w:t xml:space="preserve">the person on whom the abortion is proposed to be performed; </w:t>
      </w:r>
    </w:p>
    <w:p>
      <w:pPr>
        <w:pStyle w:val="Indenta"/>
      </w:pPr>
      <w:r>
        <w:tab/>
        <w:t>(b)</w:t>
      </w:r>
      <w:r>
        <w:tab/>
        <w:t>if the person has an enduring guardian or a guardian, that guardian;</w:t>
      </w:r>
    </w:p>
    <w:p>
      <w:pPr>
        <w:pStyle w:val="Indenta"/>
      </w:pPr>
      <w:r>
        <w:tab/>
        <w:t>(c)</w:t>
      </w:r>
      <w:r>
        <w:tab/>
        <w:t>a relative of the person as referred to in subsection (2);</w:t>
      </w:r>
    </w:p>
    <w:p>
      <w:pPr>
        <w:pStyle w:val="Indenta"/>
      </w:pPr>
      <w:r>
        <w:tab/>
        <w:t>(d)</w:t>
      </w:r>
      <w:r>
        <w:tab/>
        <w:t>the Public Advocate;</w:t>
      </w:r>
    </w:p>
    <w:p>
      <w:pPr>
        <w:pStyle w:val="Indenta"/>
      </w:pPr>
      <w:r>
        <w:tab/>
        <w:t>(e)</w:t>
      </w:r>
      <w:r>
        <w:tab/>
        <w:t>a person who, in the opinion of the Tribunal, has a proper interest in the matter.</w:t>
      </w:r>
    </w:p>
    <w:p>
      <w:pPr>
        <w:pStyle w:val="Subsection"/>
      </w:pPr>
      <w:r>
        <w:tab/>
        <w:t>(2)</w:t>
      </w:r>
      <w:r>
        <w:tab/>
        <w:t xml:space="preserve">For the purposes of subsection (1)(c), a relative of the person is any of the following relatives of the person who have reached 18 years of age — </w:t>
      </w:r>
    </w:p>
    <w:p>
      <w:pPr>
        <w:pStyle w:val="Indenta"/>
      </w:pPr>
      <w:r>
        <w:tab/>
        <w:t>(a)</w:t>
      </w:r>
      <w:r>
        <w:tab/>
        <w:t>a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Footnotesection"/>
      </w:pPr>
      <w:r>
        <w:tab/>
        <w:t>[Section 110ZNB inserted: No. 20 of 2023 s. 53.]</w:t>
      </w:r>
    </w:p>
    <w:p>
      <w:pPr>
        <w:pStyle w:val="Heading5"/>
        <w:tabs>
          <w:tab w:val="clear" w:pos="879"/>
          <w:tab w:val="left" w:pos="993"/>
        </w:tabs>
      </w:pPr>
      <w:bookmarkStart w:id="391" w:name="_Toc175575962"/>
      <w:r>
        <w:rPr>
          <w:rStyle w:val="CharSectno"/>
        </w:rPr>
        <w:t>110ZNC</w:t>
      </w:r>
      <w:r>
        <w:t>.</w:t>
      </w:r>
      <w:r>
        <w:tab/>
        <w:t>Notice of hearing</w:t>
      </w:r>
      <w:bookmarkEnd w:id="391"/>
    </w:p>
    <w:p>
      <w:pPr>
        <w:pStyle w:val="Subsection"/>
      </w:pPr>
      <w:r>
        <w:tab/>
        <w:t>(1)</w:t>
      </w:r>
      <w:r>
        <w:tab/>
        <w:t xml:space="preserve">If an application is made under section 110ZNB(1), the State Administrative Tribunal must give the following persons reasonable notice in writing of the hearing of the application — </w:t>
      </w:r>
    </w:p>
    <w:p>
      <w:pPr>
        <w:pStyle w:val="Indenta"/>
      </w:pPr>
      <w:r>
        <w:tab/>
        <w:t>(a)</w:t>
      </w:r>
      <w:r>
        <w:tab/>
        <w:t>the applicant;</w:t>
      </w:r>
    </w:p>
    <w:p>
      <w:pPr>
        <w:pStyle w:val="Indenta"/>
      </w:pPr>
      <w:r>
        <w:tab/>
        <w:t>(b)</w:t>
      </w:r>
      <w:r>
        <w:tab/>
        <w:t>the person on whom the abortion is proposed to be performed;</w:t>
      </w:r>
    </w:p>
    <w:p>
      <w:pPr>
        <w:pStyle w:val="Indenta"/>
      </w:pPr>
      <w:r>
        <w:tab/>
        <w:t>(c)</w:t>
      </w:r>
      <w:r>
        <w:tab/>
        <w:t>the nearest relative, as referred to in subsection (2) (if any), of the person;</w:t>
      </w:r>
    </w:p>
    <w:p>
      <w:pPr>
        <w:pStyle w:val="Indenta"/>
      </w:pPr>
      <w:r>
        <w:lastRenderedPageBreak/>
        <w:tab/>
        <w:t>(d)</w:t>
      </w:r>
      <w:r>
        <w:tab/>
        <w:t>if the person has an enduring guardian or guardian, that guardian;</w:t>
      </w:r>
    </w:p>
    <w:p>
      <w:pPr>
        <w:pStyle w:val="Indenta"/>
      </w:pPr>
      <w:r>
        <w:tab/>
        <w:t>(e)</w:t>
      </w:r>
      <w:r>
        <w:tab/>
        <w:t>the Public Advocate;</w:t>
      </w:r>
    </w:p>
    <w:p>
      <w:pPr>
        <w:pStyle w:val="Indenta"/>
      </w:pPr>
      <w:r>
        <w:tab/>
        <w:t>(f)</w:t>
      </w:r>
      <w:r>
        <w:tab/>
        <w:t>any other person who in the opinion of the State Administrative Tribunal has a proper interest in the proceedings.</w:t>
      </w:r>
    </w:p>
    <w:p>
      <w:pPr>
        <w:pStyle w:val="Subsection"/>
      </w:pPr>
      <w:r>
        <w:tab/>
        <w:t>(2)</w:t>
      </w:r>
      <w:r>
        <w:tab/>
        <w:t xml:space="preserve">For the purposes of subsection (1)(c), the nearest relative of the person is the first in order of priority of the following relatives of the person who have reached 18 years of age — </w:t>
      </w:r>
    </w:p>
    <w:p>
      <w:pPr>
        <w:pStyle w:val="Indenta"/>
      </w:pPr>
      <w:r>
        <w:tab/>
        <w:t>(a)</w:t>
      </w:r>
      <w:r>
        <w:tab/>
        <w:t>a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Subsection"/>
      </w:pPr>
      <w:r>
        <w:tab/>
        <w:t>(3)</w:t>
      </w:r>
      <w:r>
        <w:tab/>
        <w:t xml:space="preserve">A notice under subsection (1) must include — </w:t>
      </w:r>
    </w:p>
    <w:p>
      <w:pPr>
        <w:pStyle w:val="Indenta"/>
      </w:pPr>
      <w:r>
        <w:tab/>
        <w:t>(a)</w:t>
      </w:r>
      <w:r>
        <w:tab/>
        <w:t>particulars of the application and the time and place of the hearing; and</w:t>
      </w:r>
    </w:p>
    <w:p>
      <w:pPr>
        <w:pStyle w:val="Indenta"/>
      </w:pPr>
      <w:r>
        <w:tab/>
        <w:t>(b)</w:t>
      </w:r>
      <w:r>
        <w:tab/>
        <w:t>in the case of the notice given to the applicant or the person on whom the abortion is proposed to be performed, a summary of —</w:t>
      </w:r>
    </w:p>
    <w:p>
      <w:pPr>
        <w:pStyle w:val="Indenti"/>
      </w:pPr>
      <w:r>
        <w:tab/>
        <w:t>(i)</w:t>
      </w:r>
      <w:r>
        <w:tab/>
        <w:t xml:space="preserve">the provisions of section 16 and Schedule 1 clause 13, and the </w:t>
      </w:r>
      <w:r>
        <w:rPr>
          <w:i/>
        </w:rPr>
        <w:t xml:space="preserve">State Administrative Tribunal Act 2004 </w:t>
      </w:r>
      <w:r>
        <w:t>sections 39, 87 and 88, as they affect that person; and</w:t>
      </w:r>
    </w:p>
    <w:p>
      <w:pPr>
        <w:pStyle w:val="Indenti"/>
      </w:pPr>
      <w:r>
        <w:tab/>
        <w:t>(ii)</w:t>
      </w:r>
      <w:r>
        <w:tab/>
        <w:t>the functions of the State Administrative Tribunal under this Subdivision.</w:t>
      </w:r>
    </w:p>
    <w:p>
      <w:pPr>
        <w:pStyle w:val="Subsection"/>
      </w:pPr>
      <w:r>
        <w:tab/>
        <w:t>(4)</w:t>
      </w:r>
      <w:r>
        <w:tab/>
        <w:t xml:space="preserve">The State Administrative Tribunal is not required to give notice to a person referred to in subsection (1) if, after reasonable enquiry, the whereabouts of the person cannot be ascertained. </w:t>
      </w:r>
    </w:p>
    <w:p>
      <w:pPr>
        <w:pStyle w:val="Subsection"/>
        <w:keepNext/>
      </w:pPr>
      <w:r>
        <w:tab/>
        <w:t>(5)</w:t>
      </w:r>
      <w:r>
        <w:tab/>
        <w:t xml:space="preserve">If, by reason of circumstances of urgency, the State Administrative Tribunal considers it necessary to do so, the Tribunal may hear an application made under </w:t>
      </w:r>
      <w:r>
        <w:lastRenderedPageBreak/>
        <w:t>section 110ZNB(1) without giving notice to the persons referred to in subsection (1)(c), (d) and (f).</w:t>
      </w:r>
    </w:p>
    <w:p>
      <w:pPr>
        <w:pStyle w:val="Footnotesection"/>
      </w:pPr>
      <w:r>
        <w:tab/>
        <w:t>[Section 110ZNC inserted: No. 20 of 2023 s. 53.]</w:t>
      </w:r>
    </w:p>
    <w:p>
      <w:pPr>
        <w:pStyle w:val="Heading5"/>
        <w:tabs>
          <w:tab w:val="clear" w:pos="879"/>
          <w:tab w:val="left" w:pos="993"/>
        </w:tabs>
      </w:pPr>
      <w:bookmarkStart w:id="392" w:name="_Toc175575963"/>
      <w:r>
        <w:rPr>
          <w:rStyle w:val="CharSectno"/>
        </w:rPr>
        <w:t>110ZND</w:t>
      </w:r>
      <w:r>
        <w:t>.</w:t>
      </w:r>
      <w:r>
        <w:tab/>
        <w:t>State Administrative Tribunal consent to performance of abortion</w:t>
      </w:r>
      <w:bookmarkEnd w:id="392"/>
      <w:r>
        <w:t xml:space="preserve"> </w:t>
      </w:r>
    </w:p>
    <w:p>
      <w:pPr>
        <w:pStyle w:val="Subsection"/>
      </w:pPr>
      <w:r>
        <w:tab/>
        <w:t>(1)</w:t>
      </w:r>
      <w:r>
        <w:tab/>
        <w:t xml:space="preserve">On hearing an application under section 110ZNB(1), the State Administrative Tribunal may, by order in writing, consent to performance of the abortion on the person if the Tribunal is satisfied that — </w:t>
      </w:r>
    </w:p>
    <w:p>
      <w:pPr>
        <w:pStyle w:val="Indenta"/>
      </w:pPr>
      <w:r>
        <w:tab/>
        <w:t>(a)</w:t>
      </w:r>
      <w:r>
        <w:tab/>
        <w:t>the person has reached 18 years of age; and</w:t>
      </w:r>
    </w:p>
    <w:p>
      <w:pPr>
        <w:pStyle w:val="Indenta"/>
      </w:pPr>
      <w:r>
        <w:tab/>
        <w:t>(b)</w:t>
      </w:r>
      <w:r>
        <w:tab/>
        <w:t>the person is unable to make reasonable judgments in respect of whether or not the abortion should be performed on them; and</w:t>
      </w:r>
    </w:p>
    <w:p>
      <w:pPr>
        <w:pStyle w:val="Indenta"/>
      </w:pPr>
      <w:r>
        <w:tab/>
        <w:t>(c)</w:t>
      </w:r>
      <w:r>
        <w:tab/>
        <w:t>the person has not made an advance health directive containing a treatment decision that is inconsistent with the performance of the abortion on the person; and</w:t>
      </w:r>
    </w:p>
    <w:p>
      <w:pPr>
        <w:pStyle w:val="Indenta"/>
      </w:pPr>
      <w:r>
        <w:tab/>
        <w:t>(d)</w:t>
      </w:r>
      <w:r>
        <w:tab/>
        <w:t>the performance of the abortion on the person is in the best interests of the person.</w:t>
      </w:r>
    </w:p>
    <w:p>
      <w:pPr>
        <w:pStyle w:val="Subsection"/>
      </w:pPr>
      <w:r>
        <w:tab/>
        <w:t>(2)</w:t>
      </w:r>
      <w:r>
        <w:tab/>
        <w:t xml:space="preserve">Without limiting subsection (1)(d), in deciding whether the performance of the abortion on the person is in the best interests of the person, the Tribunal must take into account — </w:t>
      </w:r>
    </w:p>
    <w:p>
      <w:pPr>
        <w:pStyle w:val="Indenta"/>
      </w:pPr>
      <w:r>
        <w:tab/>
        <w:t>(a)</w:t>
      </w:r>
      <w:r>
        <w:tab/>
        <w:t>whether the person is likely within the foreseeable future to regain the ability to make reasonable judgments in respect of whether or not the abortion should be performed on them; and</w:t>
      </w:r>
    </w:p>
    <w:p>
      <w:pPr>
        <w:pStyle w:val="Indenta"/>
      </w:pPr>
      <w:r>
        <w:tab/>
        <w:t>(b)</w:t>
      </w:r>
      <w:r>
        <w:tab/>
        <w:t>any wishes of the person so far as they can be ascertained.</w:t>
      </w:r>
    </w:p>
    <w:p>
      <w:pPr>
        <w:pStyle w:val="Subsection"/>
      </w:pPr>
      <w:r>
        <w:tab/>
        <w:t>(3)</w:t>
      </w:r>
      <w:r>
        <w:tab/>
        <w:t>The consent of the State Administrative Tribunal under this section may be given subject to compliance with any condition that the Tribunal considers appropriate.</w:t>
      </w:r>
    </w:p>
    <w:p>
      <w:pPr>
        <w:pStyle w:val="Footnotesection"/>
      </w:pPr>
      <w:r>
        <w:tab/>
        <w:t>[Section 110ZND inserted: No. 20 of 2023 s. 53.]</w:t>
      </w:r>
    </w:p>
    <w:p>
      <w:pPr>
        <w:pStyle w:val="Heading2"/>
      </w:pPr>
      <w:bookmarkStart w:id="393" w:name="_Toc175234930"/>
      <w:bookmarkStart w:id="394" w:name="_Toc175235203"/>
      <w:bookmarkStart w:id="395" w:name="_Toc175235523"/>
      <w:bookmarkStart w:id="396" w:name="_Toc175575693"/>
      <w:bookmarkStart w:id="397" w:name="_Toc175575964"/>
      <w:r>
        <w:rPr>
          <w:rStyle w:val="CharPartNo"/>
        </w:rPr>
        <w:lastRenderedPageBreak/>
        <w:t>Part 9E</w:t>
      </w:r>
      <w:r>
        <w:rPr>
          <w:color w:val="000000" w:themeColor="text1"/>
        </w:rPr>
        <w:t> — </w:t>
      </w:r>
      <w:r>
        <w:rPr>
          <w:rStyle w:val="CharPartText"/>
        </w:rPr>
        <w:t>Medical research</w:t>
      </w:r>
      <w:bookmarkEnd w:id="393"/>
      <w:bookmarkEnd w:id="394"/>
      <w:bookmarkEnd w:id="395"/>
      <w:bookmarkEnd w:id="396"/>
      <w:bookmarkEnd w:id="397"/>
    </w:p>
    <w:p>
      <w:pPr>
        <w:pStyle w:val="Footnoteheading"/>
      </w:pPr>
      <w:r>
        <w:tab/>
        <w:t>[Heading inserted: No. 14 of 2020 s. 12.]</w:t>
      </w:r>
    </w:p>
    <w:p>
      <w:pPr>
        <w:pStyle w:val="Heading3"/>
      </w:pPr>
      <w:bookmarkStart w:id="398" w:name="_Toc175234931"/>
      <w:bookmarkStart w:id="399" w:name="_Toc175235204"/>
      <w:bookmarkStart w:id="400" w:name="_Toc175235524"/>
      <w:bookmarkStart w:id="401" w:name="_Toc175575694"/>
      <w:bookmarkStart w:id="402" w:name="_Toc175575965"/>
      <w:r>
        <w:rPr>
          <w:rStyle w:val="CharDivNo"/>
        </w:rPr>
        <w:t>Division 1</w:t>
      </w:r>
      <w:r>
        <w:rPr>
          <w:color w:val="000000" w:themeColor="text1"/>
        </w:rPr>
        <w:t> — </w:t>
      </w:r>
      <w:r>
        <w:rPr>
          <w:rStyle w:val="CharDivText"/>
        </w:rPr>
        <w:t>Preliminary</w:t>
      </w:r>
      <w:bookmarkEnd w:id="398"/>
      <w:bookmarkEnd w:id="399"/>
      <w:bookmarkEnd w:id="400"/>
      <w:bookmarkEnd w:id="401"/>
      <w:bookmarkEnd w:id="402"/>
    </w:p>
    <w:p>
      <w:pPr>
        <w:pStyle w:val="Footnoteheading"/>
      </w:pPr>
      <w:r>
        <w:tab/>
        <w:t>[Heading inserted: No. 14 of 2020 s. 12.]</w:t>
      </w:r>
    </w:p>
    <w:p>
      <w:pPr>
        <w:pStyle w:val="Heading5"/>
      </w:pPr>
      <w:bookmarkStart w:id="403" w:name="_Toc175575966"/>
      <w:r>
        <w:rPr>
          <w:rStyle w:val="CharSectno"/>
        </w:rPr>
        <w:t>110ZO</w:t>
      </w:r>
      <w:r>
        <w:rPr>
          <w:color w:val="000000" w:themeColor="text1"/>
        </w:rPr>
        <w:t>.</w:t>
      </w:r>
      <w:r>
        <w:rPr>
          <w:color w:val="000000" w:themeColor="text1"/>
        </w:rPr>
        <w:tab/>
        <w:t>Terms used</w:t>
      </w:r>
      <w:bookmarkEnd w:id="403"/>
    </w:p>
    <w:p>
      <w:pPr>
        <w:pStyle w:val="Subsection"/>
      </w:pPr>
      <w:r>
        <w:rPr>
          <w:color w:val="000000" w:themeColor="text1"/>
        </w:rPr>
        <w:tab/>
      </w:r>
      <w:r>
        <w:rPr>
          <w:color w:val="000000" w:themeColor="text1"/>
        </w:rPr>
        <w:tab/>
        <w:t xml:space="preserve">In this Part — </w:t>
      </w:r>
    </w:p>
    <w:p>
      <w:pPr>
        <w:pStyle w:val="Defstart"/>
      </w:pPr>
      <w:r>
        <w:rPr>
          <w:color w:val="000000" w:themeColor="text1"/>
        </w:rPr>
        <w:tab/>
      </w:r>
      <w:r>
        <w:rPr>
          <w:rStyle w:val="CharDefText"/>
          <w:color w:val="000000" w:themeColor="text1"/>
        </w:rPr>
        <w:t>Health Minister</w:t>
      </w:r>
      <w:r>
        <w:rPr>
          <w:color w:val="000000" w:themeColor="text1"/>
        </w:rPr>
        <w:t xml:space="preserve"> means the Minister administering the </w:t>
      </w:r>
      <w:r>
        <w:rPr>
          <w:i/>
          <w:color w:val="000000" w:themeColor="text1"/>
        </w:rPr>
        <w:t>Health Services Act 2016</w:t>
      </w:r>
      <w:r>
        <w:rPr>
          <w:color w:val="000000" w:themeColor="text1"/>
        </w:rPr>
        <w:t>;</w:t>
      </w:r>
    </w:p>
    <w:p>
      <w:pPr>
        <w:pStyle w:val="Defstart"/>
      </w:pPr>
      <w:r>
        <w:tab/>
      </w:r>
      <w:r>
        <w:rPr>
          <w:rStyle w:val="CharDefText"/>
          <w:color w:val="000000" w:themeColor="text1"/>
        </w:rPr>
        <w:t>HREC</w:t>
      </w:r>
      <w:r>
        <w:t xml:space="preserve"> means a human research ethics committee established in accordance with the National Statement;</w:t>
      </w:r>
    </w:p>
    <w:p>
      <w:pPr>
        <w:pStyle w:val="Defstart"/>
      </w:pPr>
      <w:r>
        <w:tab/>
      </w:r>
      <w:r>
        <w:rPr>
          <w:rStyle w:val="CharDefText"/>
          <w:color w:val="000000" w:themeColor="text1"/>
        </w:rPr>
        <w:t>independent medical practitioner</w:t>
      </w:r>
      <w:r>
        <w:t xml:space="preserve">, in relation to medical research, means a medical practitioner who — </w:t>
      </w:r>
    </w:p>
    <w:p>
      <w:pPr>
        <w:pStyle w:val="Defpara"/>
      </w:pPr>
      <w:r>
        <w:tab/>
        <w:t>(a)</w:t>
      </w:r>
      <w:r>
        <w:tab/>
        <w:t xml:space="preserve">is not involved in providing treatment under this Part to the research candidate whose participation is sought in the research; and </w:t>
      </w:r>
    </w:p>
    <w:p>
      <w:pPr>
        <w:pStyle w:val="Defpara"/>
      </w:pPr>
      <w:r>
        <w:tab/>
        <w:t>(b)</w:t>
      </w:r>
      <w:r>
        <w:tab/>
        <w:t xml:space="preserve">is not involved in, nor connected to, the research, other than having a professional interest in the area of the research; and </w:t>
      </w:r>
    </w:p>
    <w:p>
      <w:pPr>
        <w:pStyle w:val="Defpara"/>
      </w:pPr>
      <w:r>
        <w:tab/>
        <w:t>(c)</w:t>
      </w:r>
      <w:r>
        <w:tab/>
        <w:t>is not the spouse, de facto partner, parent, grandparent, sibling, child or grandchild of the research candidate whose participation is sought in the research; and</w:t>
      </w:r>
    </w:p>
    <w:p>
      <w:pPr>
        <w:pStyle w:val="Defpara"/>
      </w:pPr>
      <w:r>
        <w:tab/>
        <w:t>(d)</w:t>
      </w:r>
      <w:r>
        <w:tab/>
        <w:t>is not a member of the HREC that approved the research;</w:t>
      </w:r>
    </w:p>
    <w:p>
      <w:pPr>
        <w:pStyle w:val="Defstart"/>
      </w:pPr>
      <w:r>
        <w:rPr>
          <w:color w:val="000000" w:themeColor="text1"/>
        </w:rPr>
        <w:tab/>
      </w:r>
      <w:r>
        <w:rPr>
          <w:rStyle w:val="CharDefText"/>
          <w:color w:val="000000" w:themeColor="text1"/>
        </w:rPr>
        <w:t>lead researcher</w:t>
      </w:r>
      <w:r>
        <w:rPr>
          <w:color w:val="000000" w:themeColor="text1"/>
        </w:rPr>
        <w:t xml:space="preserve">, in relation to medical research, means a </w:t>
      </w:r>
      <w:r>
        <w:t>registered health practitioner</w:t>
      </w:r>
      <w:r>
        <w:rPr>
          <w:color w:val="000000" w:themeColor="text1"/>
        </w:rPr>
        <w:t xml:space="preserve"> who has sole or joint overall responsibility for conducting the research;</w:t>
      </w:r>
    </w:p>
    <w:p>
      <w:pPr>
        <w:pStyle w:val="Defstart"/>
      </w:pPr>
      <w:r>
        <w:tab/>
      </w:r>
      <w:r>
        <w:rPr>
          <w:rStyle w:val="CharDefText"/>
          <w:color w:val="000000" w:themeColor="text1"/>
        </w:rPr>
        <w:t>medical practitioner</w:t>
      </w:r>
      <w:r>
        <w:t xml:space="preserve"> means a person registered under the </w:t>
      </w:r>
      <w:r>
        <w:rPr>
          <w:i/>
        </w:rPr>
        <w:t>Health Practitioner Regulation National Law (Western Australia)</w:t>
      </w:r>
      <w:r>
        <w:t xml:space="preserve"> in the medical profession (other than as a student);</w:t>
      </w:r>
    </w:p>
    <w:p>
      <w:pPr>
        <w:pStyle w:val="Defstart"/>
        <w:keepNext/>
        <w:keepLines/>
      </w:pPr>
      <w:r>
        <w:lastRenderedPageBreak/>
        <w:tab/>
      </w:r>
      <w:r>
        <w:rPr>
          <w:rStyle w:val="CharDefText"/>
          <w:color w:val="000000" w:themeColor="text1"/>
        </w:rPr>
        <w:t>National Statement</w:t>
      </w:r>
      <w:r>
        <w:t xml:space="preserve"> means the National Statement on Ethical Conduct in Human Research (2007), as modified or replaced from time to time, issued under the </w:t>
      </w:r>
      <w:r>
        <w:rPr>
          <w:i/>
        </w:rPr>
        <w:t>National Health and Medical Research Council Act 1992</w:t>
      </w:r>
      <w:r>
        <w:t xml:space="preserve"> (Commonwealth) section 7(1)(a);</w:t>
      </w:r>
    </w:p>
    <w:p>
      <w:pPr>
        <w:pStyle w:val="Defstart"/>
      </w:pPr>
      <w:r>
        <w:tab/>
      </w:r>
      <w:r>
        <w:rPr>
          <w:rStyle w:val="CharDefText"/>
        </w:rPr>
        <w:t>registered health practitioner</w:t>
      </w:r>
      <w:r>
        <w:t xml:space="preserve"> has the meaning given in the </w:t>
      </w:r>
      <w:r>
        <w:rPr>
          <w:i/>
        </w:rPr>
        <w:t>Health Practitioner Regulation National Law (Western Australia)</w:t>
      </w:r>
      <w:r>
        <w:t xml:space="preserve"> section 5;</w:t>
      </w:r>
    </w:p>
    <w:p>
      <w:pPr>
        <w:pStyle w:val="Defstart"/>
      </w:pPr>
      <w:r>
        <w:tab/>
      </w:r>
      <w:r>
        <w:rPr>
          <w:rStyle w:val="CharDefText"/>
          <w:color w:val="000000" w:themeColor="text1"/>
        </w:rPr>
        <w:t>researcher</w:t>
      </w:r>
      <w:r>
        <w:t xml:space="preserve"> means — </w:t>
      </w:r>
    </w:p>
    <w:p>
      <w:pPr>
        <w:pStyle w:val="Defpara"/>
      </w:pPr>
      <w:r>
        <w:rPr>
          <w:color w:val="000000" w:themeColor="text1"/>
        </w:rPr>
        <w:tab/>
        <w:t>(a)</w:t>
      </w:r>
      <w:r>
        <w:rPr>
          <w:color w:val="000000" w:themeColor="text1"/>
        </w:rPr>
        <w:tab/>
        <w:t>a lead researcher; or</w:t>
      </w:r>
    </w:p>
    <w:p>
      <w:pPr>
        <w:pStyle w:val="Defpara"/>
      </w:pPr>
      <w:r>
        <w:tab/>
        <w:t>(b)</w:t>
      </w:r>
      <w:r>
        <w:tab/>
        <w:t>an individual who conducts, or assists with the conduct of, medical research;</w:t>
      </w:r>
    </w:p>
    <w:p>
      <w:pPr>
        <w:pStyle w:val="Defstart"/>
      </w:pPr>
      <w:r>
        <w:rPr>
          <w:color w:val="000000" w:themeColor="text1"/>
        </w:rPr>
        <w:tab/>
      </w:r>
      <w:r>
        <w:rPr>
          <w:rStyle w:val="CharDefText"/>
          <w:color w:val="000000" w:themeColor="text1"/>
        </w:rPr>
        <w:t>review application</w:t>
      </w:r>
      <w:r>
        <w:rPr>
          <w:color w:val="000000" w:themeColor="text1"/>
        </w:rPr>
        <w:t xml:space="preserve"> means an application for review made under section 110ZZ;</w:t>
      </w:r>
    </w:p>
    <w:p>
      <w:pPr>
        <w:pStyle w:val="Defstart"/>
      </w:pPr>
      <w:r>
        <w:tab/>
      </w:r>
      <w:r>
        <w:rPr>
          <w:rStyle w:val="CharDefText"/>
          <w:color w:val="000000" w:themeColor="text1"/>
        </w:rPr>
        <w:t>reviewed decision</w:t>
      </w:r>
      <w:r>
        <w:t xml:space="preserve"> means a decision made under this Part that is the subject of a review application;</w:t>
      </w:r>
    </w:p>
    <w:p>
      <w:pPr>
        <w:pStyle w:val="Defstart"/>
      </w:pPr>
      <w:r>
        <w:tab/>
      </w:r>
      <w:r>
        <w:rPr>
          <w:rStyle w:val="CharDefText"/>
          <w:color w:val="000000" w:themeColor="text1"/>
        </w:rPr>
        <w:t>urgent medical research decision</w:t>
      </w:r>
      <w:r>
        <w:t xml:space="preserve"> means a decision to conduct medical research under section 110ZS(1).</w:t>
      </w:r>
    </w:p>
    <w:p>
      <w:pPr>
        <w:pStyle w:val="Footnotesection"/>
      </w:pPr>
      <w:r>
        <w:tab/>
        <w:t>[Section 110ZO inserted: No. 14 of 2020 s. 12; amended: No. 32 of 2023 s. 4.]</w:t>
      </w:r>
    </w:p>
    <w:p>
      <w:pPr>
        <w:pStyle w:val="Heading5"/>
      </w:pPr>
      <w:bookmarkStart w:id="404" w:name="_Toc175575967"/>
      <w:r>
        <w:rPr>
          <w:rStyle w:val="CharSectno"/>
        </w:rPr>
        <w:t>110ZP</w:t>
      </w:r>
      <w:r>
        <w:rPr>
          <w:color w:val="000000" w:themeColor="text1"/>
        </w:rPr>
        <w:t>.</w:t>
      </w:r>
      <w:r>
        <w:rPr>
          <w:color w:val="000000" w:themeColor="text1"/>
        </w:rPr>
        <w:tab/>
        <w:t>Term used: research decision</w:t>
      </w:r>
      <w:r>
        <w:rPr>
          <w:color w:val="000000" w:themeColor="text1"/>
        </w:rPr>
        <w:noBreakHyphen/>
        <w:t>maker</w:t>
      </w:r>
      <w:bookmarkEnd w:id="404"/>
    </w:p>
    <w:p>
      <w:pPr>
        <w:pStyle w:val="Subsection"/>
      </w:pPr>
      <w:r>
        <w:rPr>
          <w:color w:val="000000" w:themeColor="text1"/>
        </w:rPr>
        <w:tab/>
        <w:t>(1)</w:t>
      </w:r>
      <w:r>
        <w:rPr>
          <w:color w:val="000000" w:themeColor="text1"/>
        </w:rPr>
        <w:tab/>
        <w:t xml:space="preserve">A person is a </w:t>
      </w:r>
      <w:r>
        <w:rPr>
          <w:rStyle w:val="CharDefText"/>
          <w:color w:val="000000" w:themeColor="text1"/>
        </w:rPr>
        <w:t>research decision</w:t>
      </w:r>
      <w:r>
        <w:rPr>
          <w:rStyle w:val="CharDefText"/>
          <w:color w:val="000000" w:themeColor="text1"/>
        </w:rPr>
        <w:noBreakHyphen/>
        <w:t>maker</w:t>
      </w:r>
      <w:r>
        <w:rPr>
          <w:color w:val="000000" w:themeColor="text1"/>
        </w:rPr>
        <w:t xml:space="preserve"> for a research candidate if — </w:t>
      </w:r>
    </w:p>
    <w:p>
      <w:pPr>
        <w:pStyle w:val="Indenta"/>
      </w:pPr>
      <w:r>
        <w:rPr>
          <w:color w:val="000000" w:themeColor="text1"/>
        </w:rPr>
        <w:tab/>
        <w:t>(a)</w:t>
      </w:r>
      <w:r>
        <w:rPr>
          <w:color w:val="000000" w:themeColor="text1"/>
        </w:rPr>
        <w:tab/>
        <w:t>the candidate is unable to make reasonable judgments in respect of their participation in medical research; and</w:t>
      </w:r>
    </w:p>
    <w:p>
      <w:pPr>
        <w:pStyle w:val="Indenta"/>
      </w:pPr>
      <w:r>
        <w:tab/>
        <w:t>(b)</w:t>
      </w:r>
      <w:r>
        <w:tab/>
        <w:t xml:space="preserve">the person is first in order of the following persons — </w:t>
      </w:r>
    </w:p>
    <w:p>
      <w:pPr>
        <w:pStyle w:val="Indenti"/>
      </w:pPr>
      <w:r>
        <w:rPr>
          <w:color w:val="000000" w:themeColor="text1"/>
        </w:rPr>
        <w:tab/>
        <w:t>(i)</w:t>
      </w:r>
      <w:r>
        <w:rPr>
          <w:color w:val="000000" w:themeColor="text1"/>
        </w:rPr>
        <w:tab/>
        <w:t xml:space="preserve">a person to whom subsection (2) applies; </w:t>
      </w:r>
    </w:p>
    <w:p>
      <w:pPr>
        <w:pStyle w:val="Indenti"/>
      </w:pPr>
      <w:r>
        <w:tab/>
        <w:t>(ii)</w:t>
      </w:r>
      <w:r>
        <w:tab/>
        <w:t xml:space="preserve">if there is no person to whom subsection (2) applies — a person to whom subsection (3) applies; </w:t>
      </w:r>
    </w:p>
    <w:p>
      <w:pPr>
        <w:pStyle w:val="Indenti"/>
      </w:pPr>
      <w:r>
        <w:lastRenderedPageBreak/>
        <w:tab/>
        <w:t>(iii)</w:t>
      </w:r>
      <w:r>
        <w:tab/>
        <w:t>if there is no person to whom either subsection (2) or (3) applies — a person to whom subsection (4) applies.</w:t>
      </w:r>
    </w:p>
    <w:p>
      <w:pPr>
        <w:pStyle w:val="Subsection"/>
        <w:keepNext/>
      </w:pPr>
      <w:r>
        <w:rPr>
          <w:color w:val="000000" w:themeColor="text1"/>
        </w:rPr>
        <w:tab/>
        <w:t>(2)</w:t>
      </w:r>
      <w:r>
        <w:rPr>
          <w:color w:val="000000" w:themeColor="text1"/>
        </w:rPr>
        <w:tab/>
        <w:t xml:space="preserve">This subsection applies to a person who is — </w:t>
      </w:r>
    </w:p>
    <w:p>
      <w:pPr>
        <w:pStyle w:val="Indenta"/>
        <w:keepNext/>
      </w:pPr>
      <w:r>
        <w:rPr>
          <w:color w:val="000000" w:themeColor="text1"/>
        </w:rPr>
        <w:tab/>
        <w:t>(a)</w:t>
      </w:r>
      <w:r>
        <w:rPr>
          <w:color w:val="000000" w:themeColor="text1"/>
        </w:rPr>
        <w:tab/>
        <w:t>an enduring guardian for the research candidate; and</w:t>
      </w:r>
    </w:p>
    <w:p>
      <w:pPr>
        <w:pStyle w:val="Indenta"/>
      </w:pPr>
      <w:r>
        <w:tab/>
        <w:t>(b)</w:t>
      </w:r>
      <w:r>
        <w:tab/>
        <w:t>authorised to make a research decision in relation to the candidate; and</w:t>
      </w:r>
    </w:p>
    <w:p>
      <w:pPr>
        <w:pStyle w:val="Indenta"/>
      </w:pPr>
      <w:r>
        <w:tab/>
        <w:t>(c)</w:t>
      </w:r>
      <w:r>
        <w:tab/>
        <w:t>reasonably available; and</w:t>
      </w:r>
    </w:p>
    <w:p>
      <w:pPr>
        <w:pStyle w:val="Indenta"/>
      </w:pPr>
      <w:r>
        <w:tab/>
        <w:t>(d)</w:t>
      </w:r>
      <w:r>
        <w:tab/>
        <w:t>willing to make a research decision in relation to the candidate.</w:t>
      </w:r>
    </w:p>
    <w:p>
      <w:pPr>
        <w:pStyle w:val="Subsection"/>
      </w:pPr>
      <w:r>
        <w:rPr>
          <w:color w:val="000000" w:themeColor="text1"/>
        </w:rPr>
        <w:tab/>
        <w:t>(3)</w:t>
      </w:r>
      <w:r>
        <w:rPr>
          <w:color w:val="000000" w:themeColor="text1"/>
        </w:rPr>
        <w:tab/>
        <w:t xml:space="preserve">This subsection applies to a person who is — </w:t>
      </w:r>
    </w:p>
    <w:p>
      <w:pPr>
        <w:pStyle w:val="Indenta"/>
      </w:pPr>
      <w:r>
        <w:rPr>
          <w:color w:val="000000" w:themeColor="text1"/>
        </w:rPr>
        <w:tab/>
        <w:t>(a)</w:t>
      </w:r>
      <w:r>
        <w:rPr>
          <w:color w:val="000000" w:themeColor="text1"/>
        </w:rPr>
        <w:tab/>
        <w:t>a guardian for the research candidate; and</w:t>
      </w:r>
    </w:p>
    <w:p>
      <w:pPr>
        <w:pStyle w:val="Indenta"/>
      </w:pPr>
      <w:r>
        <w:tab/>
        <w:t>(b)</w:t>
      </w:r>
      <w:r>
        <w:tab/>
        <w:t>authorised to make a research decision in relation to the candidate; and</w:t>
      </w:r>
    </w:p>
    <w:p>
      <w:pPr>
        <w:pStyle w:val="Indenta"/>
      </w:pPr>
      <w:r>
        <w:tab/>
        <w:t>(c)</w:t>
      </w:r>
      <w:r>
        <w:tab/>
        <w:t>reasonably available; and</w:t>
      </w:r>
    </w:p>
    <w:p>
      <w:pPr>
        <w:pStyle w:val="Indenta"/>
      </w:pPr>
      <w:r>
        <w:tab/>
        <w:t>(d)</w:t>
      </w:r>
      <w:r>
        <w:tab/>
        <w:t>willing to make a research decision in relation to the candidate.</w:t>
      </w:r>
    </w:p>
    <w:p>
      <w:pPr>
        <w:pStyle w:val="Subsection"/>
      </w:pPr>
      <w:r>
        <w:rPr>
          <w:color w:val="000000" w:themeColor="text1"/>
        </w:rPr>
        <w:tab/>
        <w:t>(4)</w:t>
      </w:r>
      <w:r>
        <w:rPr>
          <w:color w:val="000000" w:themeColor="text1"/>
        </w:rPr>
        <w:tab/>
        <w:t>This subsection applies to a person who is a substitute decision</w:t>
      </w:r>
      <w:r>
        <w:rPr>
          <w:color w:val="000000" w:themeColor="text1"/>
        </w:rPr>
        <w:noBreakHyphen/>
        <w:t xml:space="preserve">maker for the research candidate under section 110ZQ. </w:t>
      </w:r>
    </w:p>
    <w:p>
      <w:pPr>
        <w:pStyle w:val="Subsection"/>
      </w:pPr>
      <w:r>
        <w:tab/>
        <w:t>(5)</w:t>
      </w:r>
      <w:r>
        <w:tab/>
        <w:t>If there are 2 or more persons who are the research decision</w:t>
      </w:r>
      <w:r>
        <w:noBreakHyphen/>
        <w:t xml:space="preserve">makers for a research candidate under this section — </w:t>
      </w:r>
    </w:p>
    <w:p>
      <w:pPr>
        <w:pStyle w:val="Indenta"/>
      </w:pPr>
      <w:r>
        <w:rPr>
          <w:color w:val="000000" w:themeColor="text1"/>
        </w:rPr>
        <w:tab/>
        <w:t>(a)</w:t>
      </w:r>
      <w:r>
        <w:rPr>
          <w:color w:val="000000" w:themeColor="text1"/>
        </w:rPr>
        <w:tab/>
        <w:t>the persons are jointly the research decision</w:t>
      </w:r>
      <w:r>
        <w:rPr>
          <w:color w:val="000000" w:themeColor="text1"/>
        </w:rPr>
        <w:noBreakHyphen/>
        <w:t>maker for the candidate; and</w:t>
      </w:r>
    </w:p>
    <w:p>
      <w:pPr>
        <w:pStyle w:val="Indenta"/>
      </w:pPr>
      <w:r>
        <w:tab/>
        <w:t>(b)</w:t>
      </w:r>
      <w:r>
        <w:tab/>
        <w:t>if the persons cannot agree on a research decision for the candidate — the person next in order of priority under this section is the research decision</w:t>
      </w:r>
      <w:r>
        <w:noBreakHyphen/>
        <w:t xml:space="preserve">maker for the candidate. </w:t>
      </w:r>
    </w:p>
    <w:p>
      <w:pPr>
        <w:pStyle w:val="Footnotesection"/>
      </w:pPr>
      <w:r>
        <w:tab/>
        <w:t>[Section 110ZP inserted: No. 14 of 2020 s. 12.]</w:t>
      </w:r>
    </w:p>
    <w:p>
      <w:pPr>
        <w:pStyle w:val="Heading5"/>
      </w:pPr>
      <w:bookmarkStart w:id="405" w:name="_Toc175575968"/>
      <w:r>
        <w:rPr>
          <w:rStyle w:val="CharSectno"/>
        </w:rPr>
        <w:lastRenderedPageBreak/>
        <w:t>110ZQ</w:t>
      </w:r>
      <w:r>
        <w:rPr>
          <w:color w:val="000000" w:themeColor="text1"/>
        </w:rPr>
        <w:t>.</w:t>
      </w:r>
      <w:r>
        <w:rPr>
          <w:color w:val="000000" w:themeColor="text1"/>
        </w:rPr>
        <w:tab/>
        <w:t>Substitute decision</w:t>
      </w:r>
      <w:r>
        <w:rPr>
          <w:color w:val="000000" w:themeColor="text1"/>
        </w:rPr>
        <w:noBreakHyphen/>
        <w:t>maker for a research candidate</w:t>
      </w:r>
      <w:bookmarkEnd w:id="405"/>
    </w:p>
    <w:p>
      <w:pPr>
        <w:pStyle w:val="Subsection"/>
        <w:keepNext/>
        <w:keepLines/>
      </w:pPr>
      <w:r>
        <w:rPr>
          <w:color w:val="000000" w:themeColor="text1"/>
        </w:rPr>
        <w:tab/>
        <w:t>(1)</w:t>
      </w:r>
      <w:r>
        <w:rPr>
          <w:color w:val="000000" w:themeColor="text1"/>
        </w:rPr>
        <w:tab/>
        <w:t>For the purposes of section 110ZP(4), a person is a substitute decision</w:t>
      </w:r>
      <w:r>
        <w:rPr>
          <w:color w:val="000000" w:themeColor="text1"/>
        </w:rPr>
        <w:noBreakHyphen/>
        <w:t xml:space="preserve">maker for a research candidate if the person is the first in order of the persons listed in subsection (2) who is — </w:t>
      </w:r>
    </w:p>
    <w:p>
      <w:pPr>
        <w:pStyle w:val="Indenta"/>
        <w:keepLines/>
      </w:pPr>
      <w:r>
        <w:rPr>
          <w:color w:val="000000" w:themeColor="text1"/>
        </w:rPr>
        <w:tab/>
        <w:t>(a)</w:t>
      </w:r>
      <w:r>
        <w:rPr>
          <w:color w:val="000000" w:themeColor="text1"/>
        </w:rPr>
        <w:tab/>
        <w:t>of full legal capacity; and</w:t>
      </w:r>
    </w:p>
    <w:p>
      <w:pPr>
        <w:pStyle w:val="Indenta"/>
      </w:pPr>
      <w:r>
        <w:tab/>
        <w:t>(b)</w:t>
      </w:r>
      <w:r>
        <w:tab/>
        <w:t>reasonably available; and</w:t>
      </w:r>
    </w:p>
    <w:p>
      <w:pPr>
        <w:pStyle w:val="Indenta"/>
      </w:pPr>
      <w:r>
        <w:tab/>
        <w:t>(c)</w:t>
      </w:r>
      <w:r>
        <w:tab/>
        <w:t>willing to make a research decision in relation to the candidate.</w:t>
      </w:r>
    </w:p>
    <w:p>
      <w:pPr>
        <w:pStyle w:val="Subsection"/>
        <w:keepNext/>
      </w:pPr>
      <w:r>
        <w:rPr>
          <w:color w:val="000000" w:themeColor="text1"/>
        </w:rPr>
        <w:tab/>
        <w:t>(2)</w:t>
      </w:r>
      <w:r>
        <w:rPr>
          <w:color w:val="000000" w:themeColor="text1"/>
        </w:rPr>
        <w:tab/>
        <w:t xml:space="preserve">For subsection (1), the persons are the following — </w:t>
      </w:r>
    </w:p>
    <w:p>
      <w:pPr>
        <w:pStyle w:val="Indenta"/>
      </w:pPr>
      <w:r>
        <w:rPr>
          <w:color w:val="000000" w:themeColor="text1"/>
        </w:rPr>
        <w:tab/>
        <w:t>(a)</w:t>
      </w:r>
      <w:r>
        <w:rPr>
          <w:color w:val="000000" w:themeColor="text1"/>
        </w:rPr>
        <w:tab/>
        <w:t>the research candidate’s spouse or de facto partner if that person —</w:t>
      </w:r>
    </w:p>
    <w:p>
      <w:pPr>
        <w:pStyle w:val="Indenti"/>
      </w:pPr>
      <w:r>
        <w:rPr>
          <w:color w:val="000000" w:themeColor="text1"/>
        </w:rPr>
        <w:tab/>
        <w:t>(i)</w:t>
      </w:r>
      <w:r>
        <w:rPr>
          <w:color w:val="000000" w:themeColor="text1"/>
        </w:rPr>
        <w:tab/>
        <w:t>has reached 18 years of age; and</w:t>
      </w:r>
    </w:p>
    <w:p>
      <w:pPr>
        <w:pStyle w:val="Indenti"/>
      </w:pPr>
      <w:r>
        <w:tab/>
        <w:t>(ii)</w:t>
      </w:r>
      <w:r>
        <w:tab/>
        <w:t>is living with the candidate or maintains a close personal relationship with the candidate;</w:t>
      </w:r>
    </w:p>
    <w:p>
      <w:pPr>
        <w:pStyle w:val="Indenta"/>
      </w:pPr>
      <w:r>
        <w:rPr>
          <w:color w:val="000000" w:themeColor="text1"/>
        </w:rPr>
        <w:tab/>
        <w:t>(b)</w:t>
      </w:r>
      <w:r>
        <w:rPr>
          <w:color w:val="000000" w:themeColor="text1"/>
        </w:rPr>
        <w:tab/>
        <w:t xml:space="preserve">the person who is first in the following order of priority of relatives of the research candidate who has reached 18 years of age and maintains a close personal relationship with the candidate — </w:t>
      </w:r>
    </w:p>
    <w:p>
      <w:pPr>
        <w:pStyle w:val="Indenti"/>
      </w:pPr>
      <w:r>
        <w:rPr>
          <w:color w:val="000000" w:themeColor="text1"/>
        </w:rPr>
        <w:tab/>
        <w:t>(i)</w:t>
      </w:r>
      <w:r>
        <w:rPr>
          <w:color w:val="000000" w:themeColor="text1"/>
        </w:rPr>
        <w:tab/>
        <w:t>a child;</w:t>
      </w:r>
    </w:p>
    <w:p>
      <w:pPr>
        <w:pStyle w:val="Indenti"/>
      </w:pPr>
      <w:r>
        <w:tab/>
        <w:t>(ii)</w:t>
      </w:r>
      <w:r>
        <w:tab/>
        <w:t>a parent;</w:t>
      </w:r>
    </w:p>
    <w:p>
      <w:pPr>
        <w:pStyle w:val="Indenti"/>
      </w:pPr>
      <w:r>
        <w:tab/>
        <w:t>(iii)</w:t>
      </w:r>
      <w:r>
        <w:tab/>
        <w:t>a sibling;</w:t>
      </w:r>
    </w:p>
    <w:p>
      <w:pPr>
        <w:pStyle w:val="Indenta"/>
      </w:pPr>
      <w:r>
        <w:rPr>
          <w:color w:val="000000" w:themeColor="text1"/>
        </w:rPr>
        <w:tab/>
        <w:t>(c)</w:t>
      </w:r>
      <w:r>
        <w:rPr>
          <w:color w:val="000000" w:themeColor="text1"/>
        </w:rPr>
        <w:tab/>
        <w:t>the person who —</w:t>
      </w:r>
    </w:p>
    <w:p>
      <w:pPr>
        <w:pStyle w:val="Indenti"/>
      </w:pPr>
      <w:r>
        <w:rPr>
          <w:color w:val="000000" w:themeColor="text1"/>
        </w:rPr>
        <w:tab/>
        <w:t>(i)</w:t>
      </w:r>
      <w:r>
        <w:rPr>
          <w:color w:val="000000" w:themeColor="text1"/>
        </w:rPr>
        <w:tab/>
        <w:t>has reached 18 years of age; and</w:t>
      </w:r>
    </w:p>
    <w:p>
      <w:pPr>
        <w:pStyle w:val="Indenti"/>
      </w:pPr>
      <w:r>
        <w:tab/>
        <w:t>(ii)</w:t>
      </w:r>
      <w:r>
        <w:tab/>
        <w:t>is the primary provider of care and support (including emotional support) to the research candidate, but is not remunerated for providing that care and support;</w:t>
      </w:r>
    </w:p>
    <w:p>
      <w:pPr>
        <w:pStyle w:val="Indenta"/>
      </w:pPr>
      <w:r>
        <w:rPr>
          <w:color w:val="000000" w:themeColor="text1"/>
        </w:rPr>
        <w:tab/>
        <w:t>(d)</w:t>
      </w:r>
      <w:r>
        <w:rPr>
          <w:color w:val="000000" w:themeColor="text1"/>
        </w:rPr>
        <w:tab/>
        <w:t>any other person who —</w:t>
      </w:r>
    </w:p>
    <w:p>
      <w:pPr>
        <w:pStyle w:val="Indenti"/>
      </w:pPr>
      <w:r>
        <w:rPr>
          <w:color w:val="000000" w:themeColor="text1"/>
        </w:rPr>
        <w:tab/>
        <w:t>(i)</w:t>
      </w:r>
      <w:r>
        <w:rPr>
          <w:color w:val="000000" w:themeColor="text1"/>
        </w:rPr>
        <w:tab/>
        <w:t>has reached 18 years of age; and</w:t>
      </w:r>
    </w:p>
    <w:p>
      <w:pPr>
        <w:pStyle w:val="Indenti"/>
      </w:pPr>
      <w:r>
        <w:tab/>
        <w:t>(ii)</w:t>
      </w:r>
      <w:r>
        <w:tab/>
        <w:t>maintains a close personal relationship with the research candidate.</w:t>
      </w:r>
    </w:p>
    <w:p>
      <w:pPr>
        <w:pStyle w:val="Subsection"/>
      </w:pPr>
      <w:r>
        <w:rPr>
          <w:color w:val="000000" w:themeColor="text1"/>
        </w:rPr>
        <w:lastRenderedPageBreak/>
        <w:tab/>
        <w:t>(3)</w:t>
      </w:r>
      <w:r>
        <w:rPr>
          <w:color w:val="000000" w:themeColor="text1"/>
        </w:rPr>
        <w:tab/>
        <w:t xml:space="preserve">For subsection (2)(a)(ii), (b) and (d)(ii), a person maintains a close personal relationship with a research candidate only if the person — </w:t>
      </w:r>
    </w:p>
    <w:p>
      <w:pPr>
        <w:pStyle w:val="Indenta"/>
      </w:pPr>
      <w:r>
        <w:rPr>
          <w:color w:val="000000" w:themeColor="text1"/>
        </w:rPr>
        <w:tab/>
        <w:t>(a)</w:t>
      </w:r>
      <w:r>
        <w:rPr>
          <w:color w:val="000000" w:themeColor="text1"/>
        </w:rPr>
        <w:tab/>
        <w:t>has frequent contact of a personal (as opposed to a business or professional) nature with the candidate; and</w:t>
      </w:r>
    </w:p>
    <w:p>
      <w:pPr>
        <w:pStyle w:val="Indenta"/>
      </w:pPr>
      <w:r>
        <w:tab/>
        <w:t>(b)</w:t>
      </w:r>
      <w:r>
        <w:tab/>
        <w:t>takes a genuine interest in the candidate’s welfare.</w:t>
      </w:r>
    </w:p>
    <w:p>
      <w:pPr>
        <w:pStyle w:val="Subsection"/>
      </w:pPr>
      <w:r>
        <w:rPr>
          <w:color w:val="000000" w:themeColor="text1"/>
        </w:rPr>
        <w:tab/>
        <w:t>(4)</w:t>
      </w:r>
      <w:r>
        <w:rPr>
          <w:color w:val="000000" w:themeColor="text1"/>
        </w:rPr>
        <w:tab/>
        <w:t>For subsection (2)(c)(ii), a person is not remunerated for providing care and support to a research candidate only because the person receives a carer payment or other benefit from the Commonwealth or a State or Territory for providing home care for the candidate.</w:t>
      </w:r>
    </w:p>
    <w:p>
      <w:pPr>
        <w:pStyle w:val="Subsection"/>
      </w:pPr>
      <w:r>
        <w:tab/>
        <w:t>(5)</w:t>
      </w:r>
      <w:r>
        <w:tab/>
        <w:t>If there are 2 or more persons who are the substitute decision</w:t>
      </w:r>
      <w:r>
        <w:noBreakHyphen/>
        <w:t xml:space="preserve">makers for a research candidate under this section — </w:t>
      </w:r>
    </w:p>
    <w:p>
      <w:pPr>
        <w:pStyle w:val="Indenta"/>
      </w:pPr>
      <w:r>
        <w:rPr>
          <w:color w:val="000000" w:themeColor="text1"/>
        </w:rPr>
        <w:tab/>
        <w:t>(a)</w:t>
      </w:r>
      <w:r>
        <w:rPr>
          <w:color w:val="000000" w:themeColor="text1"/>
        </w:rPr>
        <w:tab/>
        <w:t>the persons are jointly the substitute decision</w:t>
      </w:r>
      <w:r>
        <w:rPr>
          <w:color w:val="000000" w:themeColor="text1"/>
        </w:rPr>
        <w:noBreakHyphen/>
        <w:t>maker for the candidate; and</w:t>
      </w:r>
    </w:p>
    <w:p>
      <w:pPr>
        <w:pStyle w:val="Indenta"/>
      </w:pPr>
      <w:r>
        <w:tab/>
        <w:t>(b)</w:t>
      </w:r>
      <w:r>
        <w:tab/>
        <w:t>if the persons cannot agree on a research decision for the candidate — the person next in order of priority under this section is the substitute decision</w:t>
      </w:r>
      <w:r>
        <w:noBreakHyphen/>
        <w:t xml:space="preserve">maker for the candidate. </w:t>
      </w:r>
    </w:p>
    <w:p>
      <w:pPr>
        <w:pStyle w:val="Footnotesection"/>
      </w:pPr>
      <w:r>
        <w:tab/>
        <w:t>[Section 110ZQ inserted: No. 14 of 2020 s. 12.]</w:t>
      </w:r>
    </w:p>
    <w:p>
      <w:pPr>
        <w:pStyle w:val="Heading3"/>
      </w:pPr>
      <w:bookmarkStart w:id="406" w:name="_Toc175234935"/>
      <w:bookmarkStart w:id="407" w:name="_Toc175235208"/>
      <w:bookmarkStart w:id="408" w:name="_Toc175235528"/>
      <w:bookmarkStart w:id="409" w:name="_Toc175575698"/>
      <w:bookmarkStart w:id="410" w:name="_Toc175575969"/>
      <w:r>
        <w:rPr>
          <w:rStyle w:val="CharDivNo"/>
        </w:rPr>
        <w:t>Division 2</w:t>
      </w:r>
      <w:r>
        <w:rPr>
          <w:color w:val="000000" w:themeColor="text1"/>
        </w:rPr>
        <w:t> — </w:t>
      </w:r>
      <w:r>
        <w:rPr>
          <w:rStyle w:val="CharDivText"/>
        </w:rPr>
        <w:t>Decisions about medical research</w:t>
      </w:r>
      <w:bookmarkEnd w:id="406"/>
      <w:bookmarkEnd w:id="407"/>
      <w:bookmarkEnd w:id="408"/>
      <w:bookmarkEnd w:id="409"/>
      <w:bookmarkEnd w:id="410"/>
    </w:p>
    <w:p>
      <w:pPr>
        <w:pStyle w:val="Footnoteheading"/>
      </w:pPr>
      <w:r>
        <w:tab/>
        <w:t>[Heading inserted: No. 14 of 2020 s. 12.]</w:t>
      </w:r>
    </w:p>
    <w:p>
      <w:pPr>
        <w:pStyle w:val="Heading5"/>
      </w:pPr>
      <w:bookmarkStart w:id="411" w:name="_Toc175575970"/>
      <w:r>
        <w:rPr>
          <w:rStyle w:val="CharSectno"/>
        </w:rPr>
        <w:t>110ZR</w:t>
      </w:r>
      <w:r>
        <w:rPr>
          <w:color w:val="000000" w:themeColor="text1"/>
        </w:rPr>
        <w:t>.</w:t>
      </w:r>
      <w:r>
        <w:rPr>
          <w:color w:val="000000" w:themeColor="text1"/>
        </w:rPr>
        <w:tab/>
        <w:t>Medical research with consent of research decision</w:t>
      </w:r>
      <w:r>
        <w:rPr>
          <w:color w:val="000000" w:themeColor="text1"/>
        </w:rPr>
        <w:noBreakHyphen/>
        <w:t>maker</w:t>
      </w:r>
      <w:bookmarkEnd w:id="411"/>
    </w:p>
    <w:p>
      <w:pPr>
        <w:pStyle w:val="Subsection"/>
      </w:pPr>
      <w:r>
        <w:rPr>
          <w:color w:val="000000" w:themeColor="text1"/>
        </w:rPr>
        <w:tab/>
        <w:t>(1)</w:t>
      </w:r>
      <w:r>
        <w:rPr>
          <w:color w:val="000000" w:themeColor="text1"/>
        </w:rPr>
        <w:tab/>
        <w:t>The research decision</w:t>
      </w:r>
      <w:r>
        <w:rPr>
          <w:color w:val="000000" w:themeColor="text1"/>
        </w:rPr>
        <w:noBreakHyphen/>
        <w:t xml:space="preserve">maker for a research candidate may make a research decision in relation to the candidate’s participation in medical research if — </w:t>
      </w:r>
    </w:p>
    <w:p>
      <w:pPr>
        <w:pStyle w:val="Indenta"/>
      </w:pPr>
      <w:r>
        <w:rPr>
          <w:color w:val="000000" w:themeColor="text1"/>
        </w:rPr>
        <w:tab/>
        <w:t>(a)</w:t>
      </w:r>
      <w:r>
        <w:rPr>
          <w:color w:val="000000" w:themeColor="text1"/>
        </w:rPr>
        <w:tab/>
        <w:t>the research has been approved by an HREC; and</w:t>
      </w:r>
    </w:p>
    <w:p>
      <w:pPr>
        <w:pStyle w:val="Indenta"/>
      </w:pPr>
      <w:r>
        <w:tab/>
        <w:t>(b)</w:t>
      </w:r>
      <w:r>
        <w:tab/>
        <w:t>the candidate is unable to make reasonable judgments in relation to participating in the research; and</w:t>
      </w:r>
    </w:p>
    <w:p>
      <w:pPr>
        <w:pStyle w:val="Indenta"/>
      </w:pPr>
      <w:r>
        <w:lastRenderedPageBreak/>
        <w:tab/>
        <w:t>(c)</w:t>
      </w:r>
      <w:r>
        <w:tab/>
        <w:t>an independent medical practitioner determines in accordance with section 110ZV that the candidate is not likely to be able to make reasonable judgments within the timeframe for the research approved by the HREC.</w:t>
      </w:r>
    </w:p>
    <w:p>
      <w:pPr>
        <w:pStyle w:val="Subsection"/>
        <w:keepNext/>
      </w:pPr>
      <w:r>
        <w:rPr>
          <w:color w:val="000000" w:themeColor="text1"/>
        </w:rPr>
        <w:tab/>
        <w:t>(2)</w:t>
      </w:r>
      <w:r>
        <w:rPr>
          <w:color w:val="000000" w:themeColor="text1"/>
        </w:rPr>
        <w:tab/>
        <w:t>The research decision</w:t>
      </w:r>
      <w:r>
        <w:rPr>
          <w:color w:val="000000" w:themeColor="text1"/>
        </w:rPr>
        <w:noBreakHyphen/>
        <w:t>maker for a research candidate must not consent to the candidate’s participation in medical research unless the research decision</w:t>
      </w:r>
      <w:r>
        <w:rPr>
          <w:color w:val="000000" w:themeColor="text1"/>
        </w:rPr>
        <w:noBreakHyphen/>
        <w:t xml:space="preserve">maker — </w:t>
      </w:r>
    </w:p>
    <w:p>
      <w:pPr>
        <w:pStyle w:val="Indenta"/>
      </w:pPr>
      <w:r>
        <w:rPr>
          <w:color w:val="000000" w:themeColor="text1"/>
        </w:rPr>
        <w:tab/>
        <w:t>(a)</w:t>
      </w:r>
      <w:r>
        <w:rPr>
          <w:color w:val="000000" w:themeColor="text1"/>
        </w:rPr>
        <w:tab/>
        <w:t>receives the determination of an independent medical practitioner under subsection (3); and</w:t>
      </w:r>
    </w:p>
    <w:p>
      <w:pPr>
        <w:pStyle w:val="Indenta"/>
      </w:pPr>
      <w:r>
        <w:tab/>
        <w:t>(b)</w:t>
      </w:r>
      <w:r>
        <w:tab/>
        <w:t>determines, having regard to the independent medical practitioner’s determination under subsection (3)(a), that the candidate’s participation in the research is in the best interests of the candidate or is not adverse to the interests of the candidate; and</w:t>
      </w:r>
    </w:p>
    <w:p>
      <w:pPr>
        <w:pStyle w:val="Indenta"/>
      </w:pPr>
      <w:r>
        <w:tab/>
        <w:t>(c)</w:t>
      </w:r>
      <w:r>
        <w:tab/>
        <w:t xml:space="preserve">determines, having regard to the independent medical practitioner’s determination under subsection (3)(b), that the candidate’s participation — </w:t>
      </w:r>
    </w:p>
    <w:p>
      <w:pPr>
        <w:pStyle w:val="Indenti"/>
      </w:pPr>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p>
    <w:p>
      <w:pPr>
        <w:pStyle w:val="Indenti"/>
      </w:pPr>
      <w:r>
        <w:tab/>
        <w:t>(ii)</w:t>
      </w:r>
      <w:r>
        <w:tab/>
        <w:t>if subparagraph (i) does not apply — will not involve any known substantial risks to the candidate; or</w:t>
      </w:r>
    </w:p>
    <w:p>
      <w:pPr>
        <w:pStyle w:val="Indenti"/>
      </w:pPr>
      <w:r>
        <w:tab/>
        <w:t>(iii)</w:t>
      </w:r>
      <w:r>
        <w:tab/>
        <w:t>if subparagraphs (i) and (ii) do not apply and there is an existing treatment available to the candidate — will not involve any known substantial risks to the candidate greater than the risks associated with that treatment; or</w:t>
      </w:r>
    </w:p>
    <w:p>
      <w:pPr>
        <w:pStyle w:val="Indenti"/>
      </w:pPr>
      <w:r>
        <w:tab/>
        <w:t>(iv)</w:t>
      </w:r>
      <w:r>
        <w:tab/>
        <w:t xml:space="preserve">if subparagraphs (i) to (iii) do not apply — will not involve substantial risks to the candidate greater than if the candidate did not participate in the research. </w:t>
      </w:r>
    </w:p>
    <w:p>
      <w:pPr>
        <w:pStyle w:val="Subsection"/>
        <w:keepNext/>
        <w:keepLines/>
      </w:pPr>
      <w:r>
        <w:rPr>
          <w:color w:val="000000" w:themeColor="text1"/>
        </w:rPr>
        <w:lastRenderedPageBreak/>
        <w:tab/>
        <w:t>(3)</w:t>
      </w:r>
      <w:r>
        <w:rPr>
          <w:color w:val="000000" w:themeColor="text1"/>
        </w:rPr>
        <w:tab/>
        <w:t xml:space="preserve">An independent medical practitioner must determine — </w:t>
      </w:r>
    </w:p>
    <w:p>
      <w:pPr>
        <w:pStyle w:val="Indenta"/>
      </w:pPr>
      <w:r>
        <w:rPr>
          <w:color w:val="000000" w:themeColor="text1"/>
        </w:rPr>
        <w:tab/>
        <w:t>(a)</w:t>
      </w:r>
      <w:r>
        <w:rPr>
          <w:color w:val="000000" w:themeColor="text1"/>
        </w:rPr>
        <w:tab/>
        <w:t>whether the research candidate’s participation will be in the best interests of the candidate or will not be adverse to the interests of the candidate in accordance with section 110ZU; and</w:t>
      </w:r>
    </w:p>
    <w:p>
      <w:pPr>
        <w:pStyle w:val="Indenta"/>
      </w:pPr>
      <w:r>
        <w:tab/>
        <w:t>(b)</w:t>
      </w:r>
      <w:r>
        <w:tab/>
        <w:t xml:space="preserve">the matters stated in subsection (2)(c) in accordance with section 110ZW. </w:t>
      </w:r>
    </w:p>
    <w:p>
      <w:pPr>
        <w:pStyle w:val="Subsection"/>
      </w:pPr>
      <w:r>
        <w:rPr>
          <w:color w:val="000000" w:themeColor="text1"/>
        </w:rPr>
        <w:tab/>
        <w:t>(4)</w:t>
      </w:r>
      <w:r>
        <w:rPr>
          <w:color w:val="000000" w:themeColor="text1"/>
        </w:rPr>
        <w:tab/>
        <w:t>A research decision</w:t>
      </w:r>
      <w:r>
        <w:rPr>
          <w:color w:val="000000" w:themeColor="text1"/>
        </w:rPr>
        <w:noBreakHyphen/>
        <w:t>maker for a research candidate cannot make a research decision under this section to consent to the candidate’s participation in the medical research if the participation is inconsistent with any advance health directive in operation in respect of the candidate.</w:t>
      </w:r>
    </w:p>
    <w:p>
      <w:pPr>
        <w:pStyle w:val="Subsection"/>
      </w:pPr>
      <w:r>
        <w:tab/>
        <w:t>(5)</w:t>
      </w:r>
      <w:r>
        <w:tab/>
        <w:t xml:space="preserve">A research decision made under this section has effect as if — </w:t>
      </w:r>
    </w:p>
    <w:p>
      <w:pPr>
        <w:pStyle w:val="Indenta"/>
      </w:pPr>
      <w:r>
        <w:rPr>
          <w:color w:val="000000" w:themeColor="text1"/>
        </w:rPr>
        <w:tab/>
        <w:t>(a)</w:t>
      </w:r>
      <w:r>
        <w:rPr>
          <w:color w:val="000000" w:themeColor="text1"/>
        </w:rPr>
        <w:tab/>
        <w:t>it were made by the research candidate or with the candidate’s consent; and</w:t>
      </w:r>
    </w:p>
    <w:p>
      <w:pPr>
        <w:pStyle w:val="Indenta"/>
      </w:pPr>
      <w:r>
        <w:tab/>
        <w:t>(b)</w:t>
      </w:r>
      <w:r>
        <w:tab/>
        <w:t>the research candidate were of full legal capacity.</w:t>
      </w:r>
    </w:p>
    <w:p>
      <w:pPr>
        <w:pStyle w:val="Subsection"/>
      </w:pPr>
      <w:r>
        <w:rPr>
          <w:color w:val="000000" w:themeColor="text1"/>
        </w:rPr>
        <w:tab/>
        <w:t>(6)</w:t>
      </w:r>
      <w:r>
        <w:rPr>
          <w:color w:val="000000" w:themeColor="text1"/>
        </w:rPr>
        <w:tab/>
        <w:t>If a research decision</w:t>
      </w:r>
      <w:r>
        <w:rPr>
          <w:color w:val="000000" w:themeColor="text1"/>
        </w:rPr>
        <w:noBreakHyphen/>
        <w:t>maker for a research candidate has made a research decision to consent to the candidate’s participation in the medical research under subsection (1), a research decision</w:t>
      </w:r>
      <w:r>
        <w:rPr>
          <w:color w:val="000000" w:themeColor="text1"/>
        </w:rPr>
        <w:noBreakHyphen/>
        <w:t xml:space="preserve">maker for the candidate may decide that, contrary to the research decision, the candidate will no longer participate in the research. </w:t>
      </w:r>
    </w:p>
    <w:p>
      <w:pPr>
        <w:pStyle w:val="Subsection"/>
      </w:pPr>
      <w:r>
        <w:tab/>
        <w:t>(7)</w:t>
      </w:r>
      <w:r>
        <w:tab/>
        <w:t>If a research candidate regains the ability to make reasonable judgments in respect of medical research while the candidate participates in the research or a research decision</w:t>
      </w:r>
      <w:r>
        <w:noBreakHyphen/>
        <w:t xml:space="preserve">maker makes a decision under subsection (6) — </w:t>
      </w:r>
    </w:p>
    <w:p>
      <w:pPr>
        <w:pStyle w:val="Indenta"/>
      </w:pPr>
      <w:r>
        <w:rPr>
          <w:color w:val="000000" w:themeColor="text1"/>
        </w:rPr>
        <w:tab/>
        <w:t>(a)</w:t>
      </w:r>
      <w:r>
        <w:rPr>
          <w:color w:val="000000" w:themeColor="text1"/>
        </w:rPr>
        <w:tab/>
        <w:t>the research decision made under subsection (1) ceases to have further effect; and</w:t>
      </w:r>
    </w:p>
    <w:p>
      <w:pPr>
        <w:pStyle w:val="Indenta"/>
      </w:pPr>
      <w:r>
        <w:tab/>
        <w:t>(b)</w:t>
      </w:r>
      <w:r>
        <w:tab/>
        <w:t xml:space="preserve">the lead researcher in relation to the research must ensure that — </w:t>
      </w:r>
    </w:p>
    <w:p>
      <w:pPr>
        <w:pStyle w:val="Indenti"/>
      </w:pPr>
      <w:r>
        <w:rPr>
          <w:color w:val="000000" w:themeColor="text1"/>
        </w:rPr>
        <w:tab/>
        <w:t>(i)</w:t>
      </w:r>
      <w:r>
        <w:rPr>
          <w:color w:val="000000" w:themeColor="text1"/>
        </w:rPr>
        <w:tab/>
        <w:t>the research is discontinued as soon as is safely practicable; and</w:t>
      </w:r>
    </w:p>
    <w:p>
      <w:pPr>
        <w:pStyle w:val="Indenti"/>
        <w:keepNext/>
      </w:pPr>
      <w:r>
        <w:lastRenderedPageBreak/>
        <w:tab/>
        <w:t>(ii)</w:t>
      </w:r>
      <w:r>
        <w:tab/>
        <w:t>the research is not recommenced unless a research decision is made by the candidate, or by the research decision</w:t>
      </w:r>
      <w:r>
        <w:noBreakHyphen/>
        <w:t>maker under subsection (1), to consent to continue to participate in the research.</w:t>
      </w:r>
    </w:p>
    <w:p>
      <w:pPr>
        <w:pStyle w:val="Footnotesection"/>
      </w:pPr>
      <w:r>
        <w:tab/>
        <w:t>[Section 110ZR inserted: No. 14 of 2020 s. 12.]</w:t>
      </w:r>
    </w:p>
    <w:p>
      <w:pPr>
        <w:pStyle w:val="Heading5"/>
      </w:pPr>
      <w:bookmarkStart w:id="412" w:name="_Toc175575971"/>
      <w:r>
        <w:rPr>
          <w:rStyle w:val="CharSectno"/>
        </w:rPr>
        <w:t>110ZS</w:t>
      </w:r>
      <w:r>
        <w:rPr>
          <w:color w:val="000000" w:themeColor="text1"/>
        </w:rPr>
        <w:t>.</w:t>
      </w:r>
      <w:r>
        <w:rPr>
          <w:color w:val="000000" w:themeColor="text1"/>
        </w:rPr>
        <w:tab/>
        <w:t>Urgent medical research without consent</w:t>
      </w:r>
      <w:bookmarkEnd w:id="412"/>
    </w:p>
    <w:p>
      <w:pPr>
        <w:pStyle w:val="Subsection"/>
      </w:pPr>
      <w:r>
        <w:rPr>
          <w:color w:val="000000" w:themeColor="text1"/>
        </w:rPr>
        <w:tab/>
        <w:t>(1)</w:t>
      </w:r>
      <w:r>
        <w:rPr>
          <w:color w:val="000000" w:themeColor="text1"/>
        </w:rPr>
        <w:tab/>
        <w:t xml:space="preserve">A researcher may conduct medical research in relation to a research candidate if — </w:t>
      </w:r>
    </w:p>
    <w:p>
      <w:pPr>
        <w:pStyle w:val="Indenta"/>
      </w:pPr>
      <w:r>
        <w:rPr>
          <w:color w:val="000000" w:themeColor="text1"/>
        </w:rPr>
        <w:tab/>
        <w:t>(a)</w:t>
      </w:r>
      <w:r>
        <w:rPr>
          <w:color w:val="000000" w:themeColor="text1"/>
        </w:rPr>
        <w:tab/>
        <w:t>the research has been approved by an HREC; and</w:t>
      </w:r>
    </w:p>
    <w:p>
      <w:pPr>
        <w:pStyle w:val="Indenta"/>
      </w:pPr>
      <w:r>
        <w:tab/>
        <w:t>(b)</w:t>
      </w:r>
      <w:r>
        <w:tab/>
        <w:t>the candidate requires urgent treatment as defined in section 110ZH; and</w:t>
      </w:r>
    </w:p>
    <w:p>
      <w:pPr>
        <w:pStyle w:val="Indenta"/>
      </w:pPr>
      <w:r>
        <w:tab/>
        <w:t>(c)</w:t>
      </w:r>
      <w:r>
        <w:tab/>
        <w:t>the candidate is unable to make reasonable judgments in respect of their participation in the research; and</w:t>
      </w:r>
    </w:p>
    <w:p>
      <w:pPr>
        <w:pStyle w:val="Indenta"/>
      </w:pPr>
      <w:r>
        <w:tab/>
        <w:t>(d)</w:t>
      </w:r>
      <w:r>
        <w:tab/>
        <w:t>there is no research decision in relation to the candidate in respect of their participation in the research; and</w:t>
      </w:r>
    </w:p>
    <w:p>
      <w:pPr>
        <w:pStyle w:val="Indenta"/>
      </w:pPr>
      <w:r>
        <w:tab/>
        <w:t>(e)</w:t>
      </w:r>
      <w:r>
        <w:tab/>
        <w:t>it is not practicable for the researcher to obtain a research decision in relation to the candidate from the research decision</w:t>
      </w:r>
      <w:r>
        <w:noBreakHyphen/>
        <w:t>maker for the candidate; and</w:t>
      </w:r>
    </w:p>
    <w:p>
      <w:pPr>
        <w:pStyle w:val="Indenta"/>
      </w:pPr>
      <w:r>
        <w:tab/>
        <w:t>(f)</w:t>
      </w:r>
      <w:r>
        <w:tab/>
        <w:t>it is unlikely that it will be practicable for the researcher to obtain a research decision in relation to the candidate from the research decision</w:t>
      </w:r>
      <w:r>
        <w:noBreakHyphen/>
        <w:t>maker for the candidate within the timeframe for the research approved by the HREC; and</w:t>
      </w:r>
    </w:p>
    <w:p>
      <w:pPr>
        <w:pStyle w:val="Indenta"/>
      </w:pPr>
      <w:r>
        <w:tab/>
        <w:t>(g)</w:t>
      </w:r>
      <w:r>
        <w:tab/>
        <w:t>the researcher receives an independent medical practitioner’s determination in accordance with section 110ZV that the candidate is not likely to be able to make reasonable judgments in respect of their participation in the research within the timeframe for the research approved by the HREC; and</w:t>
      </w:r>
    </w:p>
    <w:p>
      <w:pPr>
        <w:pStyle w:val="Indenta"/>
        <w:keepLines/>
      </w:pPr>
      <w:r>
        <w:lastRenderedPageBreak/>
        <w:tab/>
        <w:t>(h)</w:t>
      </w:r>
      <w:r>
        <w:tab/>
        <w:t>the researcher receives an independent medical practitioner’s determination in accordance with section 110ZU that the candidate’s participation is in the best interests of the candidate or is not adverse to the interests of the candidate; and</w:t>
      </w:r>
    </w:p>
    <w:p>
      <w:pPr>
        <w:pStyle w:val="Indenta"/>
      </w:pPr>
      <w:r>
        <w:tab/>
        <w:t>(i)</w:t>
      </w:r>
      <w:r>
        <w:tab/>
        <w:t xml:space="preserve">the researcher receives an independent medical practitioner’s determination in accordance with section 110ZW that the candidate’s participation in the research — </w:t>
      </w:r>
    </w:p>
    <w:p>
      <w:pPr>
        <w:pStyle w:val="Indenti"/>
      </w:pPr>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p>
    <w:p>
      <w:pPr>
        <w:pStyle w:val="Indenti"/>
      </w:pPr>
      <w:r>
        <w:tab/>
        <w:t>(ii)</w:t>
      </w:r>
      <w:r>
        <w:tab/>
        <w:t>if subparagraph (i) does not apply — will not involve any known substantial risks to the candidate; or</w:t>
      </w:r>
    </w:p>
    <w:p>
      <w:pPr>
        <w:pStyle w:val="Indenti"/>
      </w:pPr>
      <w:r>
        <w:tab/>
        <w:t>(iii)</w:t>
      </w:r>
      <w:r>
        <w:tab/>
        <w:t>if subparagraphs (i) and (ii) do not apply and there is an existing treatment available to the candidate — will not involve any known substantial risks to the candidate greater than the risks associated with that treatment; or</w:t>
      </w:r>
    </w:p>
    <w:p>
      <w:pPr>
        <w:pStyle w:val="Indenti"/>
      </w:pPr>
      <w:r>
        <w:tab/>
        <w:t>(iv)</w:t>
      </w:r>
      <w:r>
        <w:tab/>
        <w:t xml:space="preserve">if subparagraphs (i) to (iii) do not apply — will not involve substantial risks to the candidate greater than if the candidate did not participate in the research. </w:t>
      </w:r>
    </w:p>
    <w:p>
      <w:pPr>
        <w:pStyle w:val="Subsection"/>
      </w:pPr>
      <w:r>
        <w:rPr>
          <w:color w:val="000000" w:themeColor="text1"/>
        </w:rPr>
        <w:tab/>
        <w:t>(2)</w:t>
      </w:r>
      <w:r>
        <w:rPr>
          <w:color w:val="000000" w:themeColor="text1"/>
        </w:rPr>
        <w:tab/>
        <w:t xml:space="preserve">A researcher must not conduct medical research in relation to a research candidate in accordance with an urgent medical research decision if the researcher is aware, or ought reasonably to be aware, the research is inconsistent with any advance health directive in operation in respect of the candidate. </w:t>
      </w:r>
    </w:p>
    <w:p>
      <w:pPr>
        <w:pStyle w:val="Subsection"/>
      </w:pPr>
      <w:r>
        <w:tab/>
        <w:t>(3)</w:t>
      </w:r>
      <w:r>
        <w:tab/>
        <w:t xml:space="preserve">While a researcher conducts medical research in relation to a research candidate in accordance with an urgent medical research decision, the lead researcher in relation to the research must continue to take reasonable steps to obtain a research </w:t>
      </w:r>
      <w:r>
        <w:lastRenderedPageBreak/>
        <w:t>decision under section 110ZR in relation to the research candidate from the research decision</w:t>
      </w:r>
      <w:r>
        <w:noBreakHyphen/>
        <w:t xml:space="preserve">maker for the candidate. </w:t>
      </w:r>
    </w:p>
    <w:p>
      <w:pPr>
        <w:pStyle w:val="Subsection"/>
        <w:keepNext/>
      </w:pPr>
      <w:r>
        <w:tab/>
        <w:t>(4)</w:t>
      </w:r>
      <w:r>
        <w:tab/>
        <w:t xml:space="preserve">Subsection (5) applies if — </w:t>
      </w:r>
    </w:p>
    <w:p>
      <w:pPr>
        <w:pStyle w:val="Indenta"/>
      </w:pPr>
      <w:r>
        <w:rPr>
          <w:color w:val="000000" w:themeColor="text1"/>
        </w:rPr>
        <w:tab/>
        <w:t>(a)</w:t>
      </w:r>
      <w:r>
        <w:rPr>
          <w:color w:val="000000" w:themeColor="text1"/>
        </w:rPr>
        <w:tab/>
        <w:t>a researcher conducts medical research in relation to a research candidate in accordance with an urgent medical research decision; and</w:t>
      </w:r>
    </w:p>
    <w:p>
      <w:pPr>
        <w:pStyle w:val="Indenta"/>
      </w:pPr>
      <w:r>
        <w:tab/>
        <w:t>(b)</w:t>
      </w:r>
      <w:r>
        <w:tab/>
        <w:t xml:space="preserve">either — </w:t>
      </w:r>
    </w:p>
    <w:p>
      <w:pPr>
        <w:pStyle w:val="Indenti"/>
      </w:pPr>
      <w:r>
        <w:rPr>
          <w:color w:val="000000" w:themeColor="text1"/>
        </w:rPr>
        <w:tab/>
        <w:t>(i)</w:t>
      </w:r>
      <w:r>
        <w:rPr>
          <w:color w:val="000000" w:themeColor="text1"/>
        </w:rPr>
        <w:tab/>
        <w:t xml:space="preserve">the research candidate regains the ability to make reasonable judgments in respect of the medical research; or </w:t>
      </w:r>
    </w:p>
    <w:p>
      <w:pPr>
        <w:pStyle w:val="Indenti"/>
      </w:pPr>
      <w:r>
        <w:tab/>
        <w:t>(ii)</w:t>
      </w:r>
      <w:r>
        <w:tab/>
        <w:t>a research decision</w:t>
      </w:r>
      <w:r>
        <w:noBreakHyphen/>
        <w:t xml:space="preserve">maker makes a research decision under section 110ZR to refuse consent to the candidate’s participation in the research. </w:t>
      </w:r>
    </w:p>
    <w:p>
      <w:pPr>
        <w:pStyle w:val="Subsection"/>
      </w:pPr>
      <w:r>
        <w:rPr>
          <w:color w:val="000000" w:themeColor="text1"/>
        </w:rPr>
        <w:tab/>
        <w:t>(5)</w:t>
      </w:r>
      <w:r>
        <w:rPr>
          <w:color w:val="000000" w:themeColor="text1"/>
        </w:rPr>
        <w:tab/>
        <w:t>The lead researcher in relation to the medical research must ensure that —</w:t>
      </w:r>
    </w:p>
    <w:p>
      <w:pPr>
        <w:pStyle w:val="Indenta"/>
      </w:pPr>
      <w:r>
        <w:rPr>
          <w:color w:val="000000" w:themeColor="text1"/>
        </w:rPr>
        <w:tab/>
        <w:t>(a)</w:t>
      </w:r>
      <w:r>
        <w:rPr>
          <w:color w:val="000000" w:themeColor="text1"/>
        </w:rPr>
        <w:tab/>
        <w:t>the research is discontinued as soon as is safely practicable; and</w:t>
      </w:r>
    </w:p>
    <w:p>
      <w:pPr>
        <w:pStyle w:val="Indenta"/>
      </w:pPr>
      <w:r>
        <w:tab/>
        <w:t>(b)</w:t>
      </w:r>
      <w:r>
        <w:tab/>
        <w:t>the research is not recommenced unless the research candidate or research decision-maker consents to continue to participate in the research.</w:t>
      </w:r>
    </w:p>
    <w:p>
      <w:pPr>
        <w:pStyle w:val="Footnotesection"/>
      </w:pPr>
      <w:r>
        <w:tab/>
        <w:t>[Section 110ZS inserted: No. 14 of 2020 s. 12.]</w:t>
      </w:r>
    </w:p>
    <w:p>
      <w:pPr>
        <w:pStyle w:val="Heading5"/>
      </w:pPr>
      <w:bookmarkStart w:id="413" w:name="_Toc175575972"/>
      <w:r>
        <w:rPr>
          <w:rStyle w:val="CharSectno"/>
        </w:rPr>
        <w:t>110ZT</w:t>
      </w:r>
      <w:r>
        <w:rPr>
          <w:color w:val="000000" w:themeColor="text1"/>
        </w:rPr>
        <w:t>.</w:t>
      </w:r>
      <w:r>
        <w:rPr>
          <w:color w:val="000000" w:themeColor="text1"/>
        </w:rPr>
        <w:tab/>
        <w:t>Particular medical research not permitted</w:t>
      </w:r>
      <w:bookmarkEnd w:id="413"/>
    </w:p>
    <w:p>
      <w:pPr>
        <w:pStyle w:val="Subsection"/>
      </w:pPr>
      <w:r>
        <w:rPr>
          <w:color w:val="000000" w:themeColor="text1"/>
        </w:rPr>
        <w:tab/>
        <w:t>(1)</w:t>
      </w:r>
      <w:r>
        <w:rPr>
          <w:color w:val="000000" w:themeColor="text1"/>
        </w:rPr>
        <w:tab/>
        <w:t xml:space="preserve">In this section — </w:t>
      </w:r>
    </w:p>
    <w:p>
      <w:pPr>
        <w:pStyle w:val="Defstart"/>
      </w:pPr>
      <w:r>
        <w:rPr>
          <w:color w:val="000000" w:themeColor="text1"/>
        </w:rPr>
        <w:tab/>
      </w:r>
      <w:r>
        <w:rPr>
          <w:rStyle w:val="CharDefText"/>
          <w:color w:val="000000" w:themeColor="text1"/>
        </w:rPr>
        <w:t>procedure for the sterilisation</w:t>
      </w:r>
      <w:r>
        <w:rPr>
          <w:color w:val="000000" w:themeColor="text1"/>
        </w:rPr>
        <w:t xml:space="preserve"> has the meaning given in section 56.</w:t>
      </w:r>
    </w:p>
    <w:p>
      <w:pPr>
        <w:pStyle w:val="Subsection"/>
      </w:pPr>
      <w:r>
        <w:rPr>
          <w:color w:val="000000" w:themeColor="text1"/>
        </w:rPr>
        <w:tab/>
        <w:t>(2)</w:t>
      </w:r>
      <w:r>
        <w:rPr>
          <w:color w:val="000000" w:themeColor="text1"/>
        </w:rPr>
        <w:tab/>
        <w:t>A research decision</w:t>
      </w:r>
      <w:r>
        <w:rPr>
          <w:color w:val="000000" w:themeColor="text1"/>
        </w:rPr>
        <w:noBreakHyphen/>
        <w:t xml:space="preserve">maker for a research candidate cannot consent under this Part to — </w:t>
      </w:r>
    </w:p>
    <w:p>
      <w:pPr>
        <w:pStyle w:val="Indenta"/>
      </w:pPr>
      <w:r>
        <w:rPr>
          <w:color w:val="000000" w:themeColor="text1"/>
        </w:rPr>
        <w:tab/>
        <w:t>(a)</w:t>
      </w:r>
      <w:r>
        <w:rPr>
          <w:color w:val="000000" w:themeColor="text1"/>
        </w:rPr>
        <w:tab/>
        <w:t>a procedure for the sterilisation of the candidate; or</w:t>
      </w:r>
    </w:p>
    <w:p>
      <w:pPr>
        <w:pStyle w:val="Indenta"/>
        <w:keepNext/>
      </w:pPr>
      <w:r>
        <w:lastRenderedPageBreak/>
        <w:tab/>
        <w:t>(b)</w:t>
      </w:r>
      <w:r>
        <w:tab/>
        <w:t xml:space="preserve">electroconvulsive therapy being performed on the candidate; or </w:t>
      </w:r>
    </w:p>
    <w:p>
      <w:pPr>
        <w:pStyle w:val="Indenta"/>
      </w:pPr>
      <w:r>
        <w:tab/>
        <w:t>(c)</w:t>
      </w:r>
      <w:r>
        <w:tab/>
        <w:t>the performance of an abortion on the candidate.</w:t>
      </w:r>
    </w:p>
    <w:p>
      <w:pPr>
        <w:pStyle w:val="Subsection"/>
        <w:keepNext/>
      </w:pPr>
      <w:r>
        <w:rPr>
          <w:color w:val="000000" w:themeColor="text1"/>
        </w:rPr>
        <w:tab/>
        <w:t>(3)</w:t>
      </w:r>
      <w:r>
        <w:rPr>
          <w:color w:val="000000" w:themeColor="text1"/>
        </w:rPr>
        <w:tab/>
        <w:t xml:space="preserve">A person must not, for the purposes of medical research, carry out or take part in — </w:t>
      </w:r>
    </w:p>
    <w:p>
      <w:pPr>
        <w:pStyle w:val="Indenta"/>
      </w:pPr>
      <w:r>
        <w:rPr>
          <w:color w:val="000000" w:themeColor="text1"/>
        </w:rPr>
        <w:tab/>
        <w:t>(a)</w:t>
      </w:r>
      <w:r>
        <w:rPr>
          <w:color w:val="000000" w:themeColor="text1"/>
        </w:rPr>
        <w:tab/>
        <w:t>a procedure for the sterilisation of a research candidate; or</w:t>
      </w:r>
    </w:p>
    <w:p>
      <w:pPr>
        <w:pStyle w:val="Indenta"/>
      </w:pPr>
      <w:r>
        <w:tab/>
        <w:t>(b)</w:t>
      </w:r>
      <w:r>
        <w:tab/>
        <w:t>electroconvulsive therapy being performed on a research candidate.</w:t>
      </w:r>
    </w:p>
    <w:p>
      <w:pPr>
        <w:pStyle w:val="Penstart"/>
      </w:pPr>
      <w:r>
        <w:rPr>
          <w:color w:val="000000" w:themeColor="text1"/>
        </w:rPr>
        <w:tab/>
        <w:t xml:space="preserve">Penalty for this subsection: </w:t>
      </w:r>
      <w:r>
        <w:rPr>
          <w:snapToGrid w:val="0"/>
          <w:color w:val="000000" w:themeColor="text1"/>
        </w:rPr>
        <w:t>imprisonment for 2 years or a fine of $10 000.</w:t>
      </w:r>
    </w:p>
    <w:p>
      <w:pPr>
        <w:pStyle w:val="Subsection"/>
      </w:pPr>
      <w:r>
        <w:tab/>
        <w:t>(4)</w:t>
      </w:r>
      <w:r>
        <w:tab/>
        <w:t>A person must not, for the purposes of medical research, perform or assist in the performance of an abortion on a research candidate.</w:t>
      </w:r>
    </w:p>
    <w:p>
      <w:pPr>
        <w:pStyle w:val="Penstart"/>
      </w:pPr>
      <w:r>
        <w:tab/>
        <w:t>Penalty for this subsection: imprisonment for 2 years or a fine of $10 000.</w:t>
      </w:r>
    </w:p>
    <w:p>
      <w:pPr>
        <w:pStyle w:val="Footnotesection"/>
      </w:pPr>
      <w:r>
        <w:tab/>
        <w:t>[Section 110ZT inserted: No. 14 of 2020 s. 12; amended: No. 20 of 2023 s. 54.]</w:t>
      </w:r>
    </w:p>
    <w:p>
      <w:pPr>
        <w:pStyle w:val="Heading3"/>
        <w:keepLines/>
      </w:pPr>
      <w:bookmarkStart w:id="414" w:name="_Toc175234939"/>
      <w:bookmarkStart w:id="415" w:name="_Toc175235212"/>
      <w:bookmarkStart w:id="416" w:name="_Toc175235532"/>
      <w:bookmarkStart w:id="417" w:name="_Toc175575702"/>
      <w:bookmarkStart w:id="418" w:name="_Toc175575973"/>
      <w:r>
        <w:rPr>
          <w:rStyle w:val="CharDivNo"/>
        </w:rPr>
        <w:t>Division 3</w:t>
      </w:r>
      <w:r>
        <w:rPr>
          <w:color w:val="000000" w:themeColor="text1"/>
        </w:rPr>
        <w:t> — </w:t>
      </w:r>
      <w:r>
        <w:rPr>
          <w:rStyle w:val="CharDivText"/>
        </w:rPr>
        <w:t>Provisions about research decisions and urgent medical research decisions</w:t>
      </w:r>
      <w:bookmarkEnd w:id="414"/>
      <w:bookmarkEnd w:id="415"/>
      <w:bookmarkEnd w:id="416"/>
      <w:bookmarkEnd w:id="417"/>
      <w:bookmarkEnd w:id="418"/>
    </w:p>
    <w:p>
      <w:pPr>
        <w:pStyle w:val="Footnoteheading"/>
        <w:keepNext/>
        <w:keepLines/>
      </w:pPr>
      <w:r>
        <w:tab/>
        <w:t>[Heading inserted: No. 14 of 2020 s. 12.]</w:t>
      </w:r>
    </w:p>
    <w:p>
      <w:pPr>
        <w:pStyle w:val="Heading5"/>
      </w:pPr>
      <w:bookmarkStart w:id="419" w:name="_Toc175575974"/>
      <w:r>
        <w:rPr>
          <w:rStyle w:val="CharSectno"/>
        </w:rPr>
        <w:t>110ZU</w:t>
      </w:r>
      <w:r>
        <w:rPr>
          <w:color w:val="000000" w:themeColor="text1"/>
        </w:rPr>
        <w:t>.</w:t>
      </w:r>
      <w:r>
        <w:rPr>
          <w:color w:val="000000" w:themeColor="text1"/>
        </w:rPr>
        <w:tab/>
        <w:t>Assessment by independent medical practitioner of research candidate’s best interests</w:t>
      </w:r>
      <w:bookmarkEnd w:id="419"/>
    </w:p>
    <w:p>
      <w:pPr>
        <w:pStyle w:val="Subsection"/>
      </w:pPr>
      <w:r>
        <w:rPr>
          <w:color w:val="000000" w:themeColor="text1"/>
        </w:rPr>
        <w:tab/>
        <w:t>(1)</w:t>
      </w:r>
      <w:r>
        <w:rPr>
          <w:color w:val="000000" w:themeColor="text1"/>
        </w:rPr>
        <w:tab/>
        <w:t xml:space="preserve">An independent medical practitioner must take into account the following in making a determination under section 110ZR(3)(a) or 110ZS(1)(h) — </w:t>
      </w:r>
    </w:p>
    <w:p>
      <w:pPr>
        <w:pStyle w:val="Indenta"/>
      </w:pPr>
      <w:r>
        <w:rPr>
          <w:color w:val="000000" w:themeColor="text1"/>
        </w:rPr>
        <w:tab/>
        <w:t>(a)</w:t>
      </w:r>
      <w:r>
        <w:rPr>
          <w:color w:val="000000" w:themeColor="text1"/>
        </w:rPr>
        <w:tab/>
        <w:t>the wishes of the research candidate (to the extent they can be ascertained) as the paramount consideration;</w:t>
      </w:r>
    </w:p>
    <w:p>
      <w:pPr>
        <w:pStyle w:val="Indenta"/>
        <w:keepNext/>
      </w:pPr>
      <w:r>
        <w:lastRenderedPageBreak/>
        <w:tab/>
        <w:t>(b)</w:t>
      </w:r>
      <w:r>
        <w:tab/>
        <w:t xml:space="preserve">the likely effects of the research candidate’s participation, including — </w:t>
      </w:r>
    </w:p>
    <w:p>
      <w:pPr>
        <w:pStyle w:val="Indenti"/>
        <w:keepNext/>
      </w:pPr>
      <w:r>
        <w:rPr>
          <w:color w:val="000000" w:themeColor="text1"/>
        </w:rPr>
        <w:tab/>
        <w:t>(i)</w:t>
      </w:r>
      <w:r>
        <w:rPr>
          <w:color w:val="000000" w:themeColor="text1"/>
        </w:rPr>
        <w:tab/>
        <w:t>the existence, likelihood and severity of any potential risks to the candidate; and</w:t>
      </w:r>
    </w:p>
    <w:p>
      <w:pPr>
        <w:pStyle w:val="Indenti"/>
      </w:pPr>
      <w:r>
        <w:tab/>
        <w:t>(ii)</w:t>
      </w:r>
      <w:r>
        <w:tab/>
        <w:t>whether those risks are justified by any likely benefits of the research to the candidate or to the broader community;</w:t>
      </w:r>
    </w:p>
    <w:p>
      <w:pPr>
        <w:pStyle w:val="Indenta"/>
      </w:pPr>
      <w:r>
        <w:rPr>
          <w:color w:val="000000" w:themeColor="text1"/>
        </w:rPr>
        <w:tab/>
        <w:t>(c)</w:t>
      </w:r>
      <w:r>
        <w:rPr>
          <w:color w:val="000000" w:themeColor="text1"/>
        </w:rPr>
        <w:tab/>
        <w:t>any consequences for the research candidate if they are not involved in the research;</w:t>
      </w:r>
    </w:p>
    <w:p>
      <w:pPr>
        <w:pStyle w:val="Indenta"/>
      </w:pPr>
      <w:r>
        <w:tab/>
        <w:t>(d)</w:t>
      </w:r>
      <w:r>
        <w:tab/>
        <w:t>any alternative treatments available to the research candidate;</w:t>
      </w:r>
    </w:p>
    <w:p>
      <w:pPr>
        <w:pStyle w:val="Indenta"/>
      </w:pPr>
      <w:r>
        <w:tab/>
        <w:t>(e)</w:t>
      </w:r>
      <w:r>
        <w:tab/>
        <w:t>any other prescribed matters.</w:t>
      </w:r>
    </w:p>
    <w:p>
      <w:pPr>
        <w:pStyle w:val="Subsection"/>
      </w:pPr>
      <w:r>
        <w:rPr>
          <w:color w:val="000000" w:themeColor="text1"/>
        </w:rPr>
        <w:tab/>
        <w:t>(2)</w:t>
      </w:r>
      <w:r>
        <w:rPr>
          <w:color w:val="000000" w:themeColor="text1"/>
        </w:rPr>
        <w:tab/>
        <w:t>The fact that medical research may involve the giving of placebos does not prevent a research decision</w:t>
      </w:r>
      <w:r>
        <w:rPr>
          <w:color w:val="000000" w:themeColor="text1"/>
        </w:rPr>
        <w:noBreakHyphen/>
        <w:t>maker or an independent medical practitioner from being satisfied that it is in the best interests of a research candidate or is not adverse to the interests of the candidate that they participate in the research.</w:t>
      </w:r>
    </w:p>
    <w:p>
      <w:pPr>
        <w:pStyle w:val="Subsection"/>
      </w:pPr>
      <w:r>
        <w:tab/>
        <w:t>(3)</w:t>
      </w:r>
      <w:r>
        <w:tab/>
        <w:t>The independent medical practitioner must inform a research decision</w:t>
      </w:r>
      <w: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110ZU inserted: No. 14 of 2020 s. 12.]</w:t>
      </w:r>
    </w:p>
    <w:p>
      <w:pPr>
        <w:pStyle w:val="Heading5"/>
      </w:pPr>
      <w:bookmarkStart w:id="420" w:name="_Toc175575975"/>
      <w:r>
        <w:rPr>
          <w:rStyle w:val="CharSectno"/>
        </w:rPr>
        <w:lastRenderedPageBreak/>
        <w:t>110ZV</w:t>
      </w:r>
      <w:r>
        <w:rPr>
          <w:color w:val="000000" w:themeColor="text1"/>
        </w:rPr>
        <w:t>.</w:t>
      </w:r>
      <w:r>
        <w:rPr>
          <w:color w:val="000000" w:themeColor="text1"/>
        </w:rPr>
        <w:tab/>
        <w:t>Assessment by independent medical practitioner of likelihood of research candidate regaining ability to consent</w:t>
      </w:r>
      <w:bookmarkEnd w:id="420"/>
    </w:p>
    <w:p>
      <w:pPr>
        <w:pStyle w:val="Subsection"/>
        <w:keepNext/>
      </w:pPr>
      <w:r>
        <w:rPr>
          <w:color w:val="000000" w:themeColor="text1"/>
        </w:rPr>
        <w:tab/>
        <w:t>(1)</w:t>
      </w:r>
      <w:r>
        <w:rPr>
          <w:color w:val="000000" w:themeColor="text1"/>
        </w:rPr>
        <w:tab/>
        <w:t xml:space="preserve">An independent medical practitioner must take into account the following when making a determination under section 110ZR(1)(c) or 110ZS(1)(g) — </w:t>
      </w:r>
    </w:p>
    <w:p>
      <w:pPr>
        <w:pStyle w:val="Indenta"/>
      </w:pPr>
      <w:r>
        <w:rPr>
          <w:color w:val="000000" w:themeColor="text1"/>
        </w:rPr>
        <w:tab/>
        <w:t>(a)</w:t>
      </w:r>
      <w:r>
        <w:rPr>
          <w:color w:val="000000" w:themeColor="text1"/>
        </w:rPr>
        <w:tab/>
        <w:t>the research candidate’s medical, mental and physical condition;</w:t>
      </w:r>
    </w:p>
    <w:p>
      <w:pPr>
        <w:pStyle w:val="Indenta"/>
        <w:rPr>
          <w:sz w:val="20"/>
        </w:rPr>
      </w:pPr>
      <w:r>
        <w:tab/>
        <w:t>(b)</w:t>
      </w:r>
      <w:r>
        <w:tab/>
        <w:t>the severity of the research candidate’s condition and the prognosis for the candidate;</w:t>
      </w:r>
    </w:p>
    <w:p>
      <w:pPr>
        <w:pStyle w:val="Indenta"/>
      </w:pPr>
      <w:r>
        <w:tab/>
        <w:t>(c)</w:t>
      </w:r>
      <w:r>
        <w:tab/>
        <w:t>the current stage of treatment and care required for the research candidate;</w:t>
      </w:r>
    </w:p>
    <w:p>
      <w:pPr>
        <w:pStyle w:val="Indenta"/>
      </w:pPr>
      <w:r>
        <w:tab/>
        <w:t>(d)</w:t>
      </w:r>
      <w:r>
        <w:tab/>
        <w:t>any other circumstances relevant to the research candidate;</w:t>
      </w:r>
    </w:p>
    <w:p>
      <w:pPr>
        <w:pStyle w:val="Indenta"/>
      </w:pPr>
      <w:r>
        <w:tab/>
        <w:t>(e)</w:t>
      </w:r>
      <w:r>
        <w:tab/>
        <w:t>the nature of, and the timeframe approved by the HREC for, the medical research in which the research candidate is to participate.</w:t>
      </w:r>
    </w:p>
    <w:p>
      <w:pPr>
        <w:pStyle w:val="Subsection"/>
      </w:pPr>
      <w:r>
        <w:rPr>
          <w:color w:val="000000" w:themeColor="text1"/>
        </w:rPr>
        <w:tab/>
        <w:t>(2)</w:t>
      </w:r>
      <w:r>
        <w:rPr>
          <w:color w:val="000000" w:themeColor="text1"/>
        </w:rPr>
        <w:tab/>
        <w:t>The independent medical practitioner must inform a research decision</w:t>
      </w:r>
      <w:r>
        <w:rPr>
          <w:color w:val="000000" w:themeColor="text1"/>
        </w:rP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110ZV inserted: No. 14 of 2020 s. 12.]</w:t>
      </w:r>
    </w:p>
    <w:p>
      <w:pPr>
        <w:pStyle w:val="Heading5"/>
      </w:pPr>
      <w:bookmarkStart w:id="421" w:name="_Toc175575976"/>
      <w:r>
        <w:rPr>
          <w:rStyle w:val="CharSectno"/>
        </w:rPr>
        <w:lastRenderedPageBreak/>
        <w:t>110ZW</w:t>
      </w:r>
      <w:r>
        <w:rPr>
          <w:color w:val="000000" w:themeColor="text1"/>
        </w:rPr>
        <w:t>.</w:t>
      </w:r>
      <w:r>
        <w:rPr>
          <w:color w:val="000000" w:themeColor="text1"/>
        </w:rPr>
        <w:tab/>
        <w:t>Assessment by independent medical practitioner of risks</w:t>
      </w:r>
      <w:bookmarkEnd w:id="421"/>
    </w:p>
    <w:p>
      <w:pPr>
        <w:pStyle w:val="Subsection"/>
        <w:keepNext/>
      </w:pPr>
      <w:r>
        <w:rPr>
          <w:color w:val="000000" w:themeColor="text1"/>
        </w:rPr>
        <w:tab/>
        <w:t>(1)</w:t>
      </w:r>
      <w:r>
        <w:rPr>
          <w:color w:val="000000" w:themeColor="text1"/>
        </w:rPr>
        <w:tab/>
        <w:t xml:space="preserve">An independent medical practitioner must take into account the following in making a determination under section 110ZR(3)(b) or 110ZS(1)(i) — </w:t>
      </w:r>
    </w:p>
    <w:p>
      <w:pPr>
        <w:pStyle w:val="Indenta"/>
      </w:pPr>
      <w:r>
        <w:rPr>
          <w:color w:val="000000" w:themeColor="text1"/>
        </w:rPr>
        <w:tab/>
        <w:t>(a)</w:t>
      </w:r>
      <w:r>
        <w:rPr>
          <w:color w:val="000000" w:themeColor="text1"/>
        </w:rPr>
        <w:tab/>
        <w:t xml:space="preserve">whether the research candidate’s participation in medical research will involve any known substantial risks to the candidate; </w:t>
      </w:r>
    </w:p>
    <w:p>
      <w:pPr>
        <w:pStyle w:val="Indenta"/>
      </w:pPr>
      <w:r>
        <w:tab/>
        <w:t>(b)</w:t>
      </w:r>
      <w:r>
        <w:tab/>
        <w:t xml:space="preserve">whether there is an existing treatment available to the research candidate; </w:t>
      </w:r>
    </w:p>
    <w:p>
      <w:pPr>
        <w:pStyle w:val="Indenta"/>
      </w:pPr>
      <w:r>
        <w:tab/>
        <w:t>(c)</w:t>
      </w:r>
      <w:r>
        <w:tab/>
        <w:t xml:space="preserve">if there is an existing treatment available to the research candidate — </w:t>
      </w:r>
    </w:p>
    <w:p>
      <w:pPr>
        <w:pStyle w:val="Indenti"/>
      </w:pPr>
      <w:r>
        <w:rPr>
          <w:color w:val="000000" w:themeColor="text1"/>
        </w:rPr>
        <w:tab/>
        <w:t>(i)</w:t>
      </w:r>
      <w:r>
        <w:rPr>
          <w:color w:val="000000" w:themeColor="text1"/>
        </w:rPr>
        <w:tab/>
        <w:t>whether there are substantial risks to the candidate involved in the existing treatment available to the candidate; and</w:t>
      </w:r>
    </w:p>
    <w:p>
      <w:pPr>
        <w:pStyle w:val="Indenti"/>
      </w:pPr>
      <w:r>
        <w:tab/>
        <w:t>(ii)</w:t>
      </w:r>
      <w:r>
        <w:tab/>
        <w:t>if there are substantial risks involved in the existing treatment — whether those risks are greater than the risks involved in participating in the medical research;</w:t>
      </w:r>
    </w:p>
    <w:p>
      <w:pPr>
        <w:pStyle w:val="Indenta"/>
      </w:pPr>
      <w:r>
        <w:rPr>
          <w:color w:val="000000" w:themeColor="text1"/>
        </w:rPr>
        <w:tab/>
        <w:t>(d)</w:t>
      </w:r>
      <w:r>
        <w:rPr>
          <w:color w:val="000000" w:themeColor="text1"/>
        </w:rPr>
        <w:tab/>
        <w:t>if there is no existing treatment available — whether the risks involved in participating in the medical research are greater than not participating in the research.</w:t>
      </w:r>
    </w:p>
    <w:p>
      <w:pPr>
        <w:pStyle w:val="Subsection"/>
      </w:pPr>
      <w:r>
        <w:rPr>
          <w:color w:val="000000" w:themeColor="text1"/>
        </w:rPr>
        <w:tab/>
        <w:t>(2)</w:t>
      </w:r>
      <w:r>
        <w:rPr>
          <w:color w:val="000000" w:themeColor="text1"/>
        </w:rPr>
        <w:tab/>
        <w:t>The independent medical practitioner must inform the research decision</w:t>
      </w:r>
      <w:r>
        <w:rPr>
          <w:color w:val="000000" w:themeColor="text1"/>
        </w:rP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110ZW inserted: No. 14 of 2020 s. 12.]</w:t>
      </w:r>
    </w:p>
    <w:p>
      <w:pPr>
        <w:pStyle w:val="Heading3"/>
      </w:pPr>
      <w:bookmarkStart w:id="422" w:name="_Toc175234943"/>
      <w:bookmarkStart w:id="423" w:name="_Toc175235216"/>
      <w:bookmarkStart w:id="424" w:name="_Toc175235536"/>
      <w:bookmarkStart w:id="425" w:name="_Toc175575706"/>
      <w:bookmarkStart w:id="426" w:name="_Toc175575977"/>
      <w:r>
        <w:rPr>
          <w:rStyle w:val="CharDivNo"/>
        </w:rPr>
        <w:lastRenderedPageBreak/>
        <w:t>Division 4</w:t>
      </w:r>
      <w:r>
        <w:rPr>
          <w:color w:val="000000" w:themeColor="text1"/>
        </w:rPr>
        <w:t> — </w:t>
      </w:r>
      <w:r>
        <w:rPr>
          <w:rStyle w:val="CharDivText"/>
        </w:rPr>
        <w:t>Effect of research decisions and urgent medical research decisions</w:t>
      </w:r>
      <w:bookmarkEnd w:id="422"/>
      <w:bookmarkEnd w:id="423"/>
      <w:bookmarkEnd w:id="424"/>
      <w:bookmarkEnd w:id="425"/>
      <w:bookmarkEnd w:id="426"/>
    </w:p>
    <w:p>
      <w:pPr>
        <w:pStyle w:val="Footnoteheading"/>
      </w:pPr>
      <w:r>
        <w:tab/>
        <w:t>[Heading inserted: No. 14 of 2020 s. 12.]</w:t>
      </w:r>
    </w:p>
    <w:p>
      <w:pPr>
        <w:pStyle w:val="Heading5"/>
      </w:pPr>
      <w:bookmarkStart w:id="427" w:name="_Toc175575978"/>
      <w:r>
        <w:rPr>
          <w:rStyle w:val="CharSectno"/>
        </w:rPr>
        <w:t>110ZX</w:t>
      </w:r>
      <w:r>
        <w:rPr>
          <w:color w:val="000000" w:themeColor="text1"/>
        </w:rPr>
        <w:t>.</w:t>
      </w:r>
      <w:r>
        <w:rPr>
          <w:color w:val="000000" w:themeColor="text1"/>
        </w:rPr>
        <w:tab/>
        <w:t>Reliance by researcher on research decision or urgent medical research decision</w:t>
      </w:r>
      <w:bookmarkEnd w:id="427"/>
      <w:r>
        <w:rPr>
          <w:color w:val="000000" w:themeColor="text1"/>
        </w:rPr>
        <w:t xml:space="preserve"> </w:t>
      </w:r>
    </w:p>
    <w:p>
      <w:pPr>
        <w:pStyle w:val="Subsection"/>
      </w:pPr>
      <w:r>
        <w:rPr>
          <w:color w:val="000000" w:themeColor="text1"/>
        </w:rPr>
        <w:tab/>
        <w:t>(1)</w:t>
      </w:r>
      <w:r>
        <w:rPr>
          <w:color w:val="000000" w:themeColor="text1"/>
        </w:rPr>
        <w:tab/>
        <w:t xml:space="preserve">In this section — </w:t>
      </w:r>
    </w:p>
    <w:p>
      <w:pPr>
        <w:pStyle w:val="Defstart"/>
      </w:pPr>
      <w:r>
        <w:rPr>
          <w:color w:val="000000" w:themeColor="text1"/>
        </w:rPr>
        <w:tab/>
      </w:r>
      <w:r>
        <w:rPr>
          <w:rStyle w:val="CharDefText"/>
          <w:color w:val="000000" w:themeColor="text1"/>
        </w:rPr>
        <w:t>take research action</w:t>
      </w:r>
      <w:r>
        <w:rPr>
          <w:color w:val="000000" w:themeColor="text1"/>
        </w:rPr>
        <w:t xml:space="preserve"> means — </w:t>
      </w:r>
    </w:p>
    <w:p>
      <w:pPr>
        <w:pStyle w:val="Defpara"/>
      </w:pPr>
      <w:r>
        <w:rPr>
          <w:color w:val="000000" w:themeColor="text1"/>
        </w:rPr>
        <w:tab/>
        <w:t>(a)</w:t>
      </w:r>
      <w:r>
        <w:rPr>
          <w:color w:val="000000" w:themeColor="text1"/>
        </w:rPr>
        <w:tab/>
        <w:t>to commence or continue any medical research in relation to a research candidate; or</w:t>
      </w:r>
    </w:p>
    <w:p>
      <w:pPr>
        <w:pStyle w:val="Defpara"/>
      </w:pPr>
      <w:r>
        <w:tab/>
        <w:t>(b)</w:t>
      </w:r>
      <w:r>
        <w:tab/>
        <w:t>to not commence or to discontinue any medical research in relation to a research candidate.</w:t>
      </w:r>
    </w:p>
    <w:p>
      <w:pPr>
        <w:pStyle w:val="Subsection"/>
      </w:pPr>
      <w:r>
        <w:rPr>
          <w:color w:val="000000" w:themeColor="text1"/>
        </w:rPr>
        <w:tab/>
        <w:t>(2)</w:t>
      </w:r>
      <w:r>
        <w:rPr>
          <w:color w:val="000000" w:themeColor="text1"/>
        </w:rPr>
        <w:tab/>
        <w:t xml:space="preserve">This section applies if a researcher — </w:t>
      </w:r>
    </w:p>
    <w:p>
      <w:pPr>
        <w:pStyle w:val="Indenta"/>
      </w:pPr>
      <w:r>
        <w:rPr>
          <w:color w:val="000000" w:themeColor="text1"/>
        </w:rPr>
        <w:tab/>
        <w:t>(a)</w:t>
      </w:r>
      <w:r>
        <w:rPr>
          <w:color w:val="000000" w:themeColor="text1"/>
        </w:rPr>
        <w:tab/>
        <w:t xml:space="preserve">takes research action — </w:t>
      </w:r>
    </w:p>
    <w:p>
      <w:pPr>
        <w:pStyle w:val="Indenti"/>
      </w:pPr>
      <w:r>
        <w:rPr>
          <w:color w:val="000000" w:themeColor="text1"/>
        </w:rPr>
        <w:tab/>
        <w:t>(i)</w:t>
      </w:r>
      <w:r>
        <w:rPr>
          <w:color w:val="000000" w:themeColor="text1"/>
        </w:rPr>
        <w:tab/>
        <w:t>reasonably believing that a research candidate is unable to make reasonable judgments in respect of the research action; and</w:t>
      </w:r>
    </w:p>
    <w:p>
      <w:pPr>
        <w:pStyle w:val="Indenti"/>
      </w:pPr>
      <w:r>
        <w:tab/>
        <w:t>(ii)</w:t>
      </w:r>
      <w:r>
        <w:tab/>
        <w:t>relying in good faith on what is purportedly a research decision made by the research decision</w:t>
      </w:r>
      <w:r>
        <w:noBreakHyphen/>
        <w:t>maker for the research candidate under section 110ZR;</w:t>
      </w:r>
    </w:p>
    <w:p>
      <w:pPr>
        <w:pStyle w:val="Indenta"/>
      </w:pPr>
      <w:r>
        <w:rPr>
          <w:color w:val="000000" w:themeColor="text1"/>
        </w:rPr>
        <w:tab/>
      </w:r>
      <w:r>
        <w:rPr>
          <w:color w:val="000000" w:themeColor="text1"/>
        </w:rPr>
        <w:tab/>
        <w:t>or</w:t>
      </w:r>
    </w:p>
    <w:p>
      <w:pPr>
        <w:pStyle w:val="Indenta"/>
      </w:pPr>
      <w:r>
        <w:tab/>
        <w:t>(b)</w:t>
      </w:r>
      <w:r>
        <w:tab/>
        <w:t xml:space="preserve">takes research action — </w:t>
      </w:r>
    </w:p>
    <w:p>
      <w:pPr>
        <w:pStyle w:val="Indenti"/>
      </w:pPr>
      <w:r>
        <w:rPr>
          <w:color w:val="000000" w:themeColor="text1"/>
        </w:rPr>
        <w:tab/>
        <w:t>(i)</w:t>
      </w:r>
      <w:r>
        <w:rPr>
          <w:color w:val="000000" w:themeColor="text1"/>
        </w:rPr>
        <w:tab/>
        <w:t>in circumstances where it is reasonable for the researcher to rely on another researcher having ascertained whether the research action is in accordance with a research decision by the research decision</w:t>
      </w:r>
      <w:r>
        <w:rPr>
          <w:color w:val="000000" w:themeColor="text1"/>
        </w:rPr>
        <w:noBreakHyphen/>
        <w:t>maker for the research candidate under section 110ZR; and</w:t>
      </w:r>
    </w:p>
    <w:p>
      <w:pPr>
        <w:pStyle w:val="Indenti"/>
      </w:pPr>
      <w:r>
        <w:tab/>
        <w:t>(ii)</w:t>
      </w:r>
      <w:r>
        <w:tab/>
        <w:t xml:space="preserve">reasonably assuming that another researcher has ascertained that the research action is in accordance with a research decision by the </w:t>
      </w:r>
      <w:r>
        <w:lastRenderedPageBreak/>
        <w:t>research decision</w:t>
      </w:r>
      <w:r>
        <w:noBreakHyphen/>
        <w:t xml:space="preserve">maker for the research candidate under section 110ZR; </w:t>
      </w:r>
    </w:p>
    <w:p>
      <w:pPr>
        <w:pStyle w:val="Indenta"/>
      </w:pPr>
      <w:r>
        <w:rPr>
          <w:color w:val="000000" w:themeColor="text1"/>
        </w:rPr>
        <w:tab/>
      </w:r>
      <w:r>
        <w:rPr>
          <w:color w:val="000000" w:themeColor="text1"/>
        </w:rPr>
        <w:tab/>
        <w:t>or</w:t>
      </w:r>
    </w:p>
    <w:p>
      <w:pPr>
        <w:pStyle w:val="Indenta"/>
      </w:pPr>
      <w:r>
        <w:tab/>
        <w:t>(c)</w:t>
      </w:r>
      <w:r>
        <w:tab/>
        <w:t xml:space="preserve">takes research action — </w:t>
      </w:r>
    </w:p>
    <w:p>
      <w:pPr>
        <w:pStyle w:val="Indenti"/>
      </w:pPr>
      <w:r>
        <w:rPr>
          <w:color w:val="000000" w:themeColor="text1"/>
        </w:rPr>
        <w:tab/>
        <w:t>(i)</w:t>
      </w:r>
      <w:r>
        <w:rPr>
          <w:color w:val="000000" w:themeColor="text1"/>
        </w:rPr>
        <w:tab/>
        <w:t>reasonably believing that the research candidate is unable to make reasonable judgments in respect of the research action; and</w:t>
      </w:r>
    </w:p>
    <w:p>
      <w:pPr>
        <w:pStyle w:val="Indenti"/>
      </w:pPr>
      <w:r>
        <w:tab/>
        <w:t>(ii)</w:t>
      </w:r>
      <w:r>
        <w:tab/>
        <w:t>relying in good faith on what is purportedly an urgent medical research decision made by a researcher;</w:t>
      </w:r>
    </w:p>
    <w:p>
      <w:pPr>
        <w:pStyle w:val="Indenta"/>
      </w:pPr>
      <w:r>
        <w:rPr>
          <w:color w:val="000000" w:themeColor="text1"/>
        </w:rPr>
        <w:tab/>
      </w:r>
      <w:r>
        <w:rPr>
          <w:color w:val="000000" w:themeColor="text1"/>
        </w:rPr>
        <w:tab/>
        <w:t>or</w:t>
      </w:r>
    </w:p>
    <w:p>
      <w:pPr>
        <w:pStyle w:val="Indenta"/>
      </w:pPr>
      <w:r>
        <w:tab/>
        <w:t>(d)</w:t>
      </w:r>
      <w:r>
        <w:tab/>
        <w:t xml:space="preserve">takes research action — </w:t>
      </w:r>
    </w:p>
    <w:p>
      <w:pPr>
        <w:pStyle w:val="Indenti"/>
      </w:pPr>
      <w:r>
        <w:rPr>
          <w:color w:val="000000" w:themeColor="text1"/>
        </w:rPr>
        <w:tab/>
        <w:t>(i)</w:t>
      </w:r>
      <w:r>
        <w:rPr>
          <w:color w:val="000000" w:themeColor="text1"/>
        </w:rPr>
        <w:tab/>
        <w:t>in circumstances where it is reasonable for the researcher to rely on another researcher having ascertained whether the research action is in accordance with an urgent medical research decision; and</w:t>
      </w:r>
    </w:p>
    <w:p>
      <w:pPr>
        <w:pStyle w:val="Indenti"/>
        <w:keepNext/>
        <w:keepLines/>
      </w:pPr>
      <w:r>
        <w:tab/>
        <w:t>(ii)</w:t>
      </w:r>
      <w:r>
        <w:tab/>
        <w:t xml:space="preserve">reasonably assuming that another researcher has ascertained that the research action is in accordance with an urgent medical research decision. </w:t>
      </w:r>
    </w:p>
    <w:p>
      <w:pPr>
        <w:pStyle w:val="Subsection"/>
      </w:pPr>
      <w:r>
        <w:rPr>
          <w:color w:val="000000" w:themeColor="text1"/>
        </w:rPr>
        <w:tab/>
        <w:t>(3)</w:t>
      </w:r>
      <w:r>
        <w:rPr>
          <w:color w:val="000000" w:themeColor="text1"/>
        </w:rPr>
        <w:tab/>
        <w:t xml:space="preserve">However, this section does not apply to the extent that a researcher takes research action inconsistent with — </w:t>
      </w:r>
    </w:p>
    <w:p>
      <w:pPr>
        <w:pStyle w:val="Indenta"/>
      </w:pPr>
      <w:r>
        <w:rPr>
          <w:color w:val="000000" w:themeColor="text1"/>
        </w:rPr>
        <w:tab/>
        <w:t>(a)</w:t>
      </w:r>
      <w:r>
        <w:rPr>
          <w:color w:val="000000" w:themeColor="text1"/>
        </w:rPr>
        <w:tab/>
        <w:t>section 110ZR(4) or (7)(b) or 110ZS(2) or (5); or</w:t>
      </w:r>
    </w:p>
    <w:p>
      <w:pPr>
        <w:pStyle w:val="Indenta"/>
      </w:pPr>
      <w:r>
        <w:tab/>
        <w:t>(b)</w:t>
      </w:r>
      <w:r>
        <w:tab/>
        <w:t>section 110ZT; or</w:t>
      </w:r>
    </w:p>
    <w:p>
      <w:pPr>
        <w:pStyle w:val="Indenta"/>
      </w:pPr>
      <w:r>
        <w:tab/>
        <w:t>(c)</w:t>
      </w:r>
      <w:r>
        <w:tab/>
        <w:t>a decision made under Division 5.</w:t>
      </w:r>
    </w:p>
    <w:p>
      <w:pPr>
        <w:pStyle w:val="Subsection"/>
      </w:pPr>
      <w:r>
        <w:rPr>
          <w:color w:val="000000" w:themeColor="text1"/>
        </w:rPr>
        <w:tab/>
        <w:t>(4)</w:t>
      </w:r>
      <w:r>
        <w:rPr>
          <w:color w:val="000000" w:themeColor="text1"/>
        </w:rPr>
        <w:tab/>
        <w:t xml:space="preserve">If this section applies, the researcher is taken for all purposes to take the research action in accordance with a research decision or urgent medical research decision that has effect as if — </w:t>
      </w:r>
    </w:p>
    <w:p>
      <w:pPr>
        <w:pStyle w:val="Indenta"/>
      </w:pPr>
      <w:r>
        <w:rPr>
          <w:color w:val="000000" w:themeColor="text1"/>
        </w:rPr>
        <w:tab/>
        <w:t>(a)</w:t>
      </w:r>
      <w:r>
        <w:rPr>
          <w:color w:val="000000" w:themeColor="text1"/>
        </w:rPr>
        <w:tab/>
        <w:t xml:space="preserve">the decision were made by the research candidate; and </w:t>
      </w:r>
    </w:p>
    <w:p>
      <w:pPr>
        <w:pStyle w:val="Indenta"/>
      </w:pPr>
      <w:r>
        <w:tab/>
        <w:t>(b)</w:t>
      </w:r>
      <w:r>
        <w:tab/>
        <w:t>the research action is taken with the research candidate’s consent; and</w:t>
      </w:r>
    </w:p>
    <w:p>
      <w:pPr>
        <w:pStyle w:val="Indenta"/>
      </w:pPr>
      <w:r>
        <w:lastRenderedPageBreak/>
        <w:tab/>
        <w:t>(c)</w:t>
      </w:r>
      <w:r>
        <w:tab/>
        <w:t>the research candidate were of full legal capacity.</w:t>
      </w:r>
    </w:p>
    <w:p>
      <w:pPr>
        <w:pStyle w:val="Subsection"/>
      </w:pPr>
      <w:r>
        <w:rPr>
          <w:color w:val="000000" w:themeColor="text1"/>
        </w:rPr>
        <w:tab/>
        <w:t>(5)</w:t>
      </w:r>
      <w:r>
        <w:rPr>
          <w:color w:val="000000" w:themeColor="text1"/>
        </w:rPr>
        <w:tab/>
        <w:t>For the purposes of subsection (2)(a)(ii) and (c)(ii), a researcher is taken to have relied in good faith on what was purportedly a research decision or urgent medical research decision if, after considering whether or not to rely on it, the researcher acted honestly in relying on it.</w:t>
      </w:r>
    </w:p>
    <w:p>
      <w:pPr>
        <w:pStyle w:val="Subsection"/>
      </w:pPr>
      <w:r>
        <w:tab/>
        <w:t>(6)</w:t>
      </w:r>
      <w:r>
        <w:tab/>
        <w:t xml:space="preserve">For the purposes of determining under subsection (2)(b)(ii) and (d)(ii) whether the researcher’s assumption was reasonable, the following matters must be taken into account — </w:t>
      </w:r>
    </w:p>
    <w:p>
      <w:pPr>
        <w:pStyle w:val="Indenta"/>
      </w:pPr>
      <w:r>
        <w:rPr>
          <w:color w:val="000000" w:themeColor="text1"/>
        </w:rPr>
        <w:tab/>
        <w:t>(a)</w:t>
      </w:r>
      <w:r>
        <w:rPr>
          <w:color w:val="000000" w:themeColor="text1"/>
        </w:rPr>
        <w:tab/>
        <w:t>whether the researcher sighted any written evidence that another researcher had ascertained that the research action was in accordance with a research decision or urgent medical research decision;</w:t>
      </w:r>
    </w:p>
    <w:p>
      <w:pPr>
        <w:pStyle w:val="Indenta"/>
      </w:pPr>
      <w:r>
        <w:tab/>
        <w:t>(b)</w:t>
      </w:r>
      <w:r>
        <w:tab/>
        <w:t>anything else relevant to the determination.</w:t>
      </w:r>
    </w:p>
    <w:p>
      <w:pPr>
        <w:pStyle w:val="Footnotesection"/>
      </w:pPr>
      <w:r>
        <w:tab/>
        <w:t>[Section 110ZX inserted: No. 14 of 2020 s. 12.]</w:t>
      </w:r>
    </w:p>
    <w:p>
      <w:pPr>
        <w:pStyle w:val="Heading5"/>
      </w:pPr>
      <w:bookmarkStart w:id="428" w:name="_Toc175575979"/>
      <w:r>
        <w:rPr>
          <w:rStyle w:val="CharSectno"/>
        </w:rPr>
        <w:t>110ZY</w:t>
      </w:r>
      <w:r>
        <w:rPr>
          <w:color w:val="000000" w:themeColor="text1"/>
        </w:rPr>
        <w:t>.</w:t>
      </w:r>
      <w:r>
        <w:rPr>
          <w:color w:val="000000" w:themeColor="text1"/>
        </w:rPr>
        <w:tab/>
        <w:t>Validity of certain research decisions or urgent medical research decisions</w:t>
      </w:r>
      <w:bookmarkEnd w:id="428"/>
    </w:p>
    <w:p>
      <w:pPr>
        <w:pStyle w:val="Subsection"/>
      </w:pPr>
      <w:r>
        <w:rPr>
          <w:color w:val="000000" w:themeColor="text1"/>
        </w:rPr>
        <w:tab/>
        <w:t>(1)</w:t>
      </w:r>
      <w:r>
        <w:rPr>
          <w:color w:val="000000" w:themeColor="text1"/>
        </w:rPr>
        <w:tab/>
        <w:t>If a researcher does not commence or discontinues medical research in relation to a research candidate in accordance with a research decision or urgent medical research decision, the researcher is taken for all purposes to have done so in accordance with a valid decision, even if an effect of doing so is to worsen the severity of the candidate’s condition or the prognosis for the candidate.</w:t>
      </w:r>
    </w:p>
    <w:p>
      <w:pPr>
        <w:pStyle w:val="Subsection"/>
      </w:pPr>
      <w:r>
        <w:tab/>
        <w:t>(2)</w:t>
      </w:r>
      <w:r>
        <w:tab/>
        <w:t xml:space="preserve">However, subsection (1) does not apply to the extent that an act or omission of a researcher is inconsistent with — </w:t>
      </w:r>
    </w:p>
    <w:p>
      <w:pPr>
        <w:pStyle w:val="Indenta"/>
      </w:pPr>
      <w:r>
        <w:rPr>
          <w:color w:val="000000" w:themeColor="text1"/>
        </w:rPr>
        <w:tab/>
        <w:t>(a)</w:t>
      </w:r>
      <w:r>
        <w:rPr>
          <w:color w:val="000000" w:themeColor="text1"/>
        </w:rPr>
        <w:tab/>
        <w:t>section 110ZR(4) or (7)(b) or 110ZS(2) or (5); or</w:t>
      </w:r>
    </w:p>
    <w:p>
      <w:pPr>
        <w:pStyle w:val="Indenta"/>
      </w:pPr>
      <w:r>
        <w:tab/>
        <w:t>(b)</w:t>
      </w:r>
      <w:r>
        <w:tab/>
        <w:t>section 110ZT; or</w:t>
      </w:r>
    </w:p>
    <w:p>
      <w:pPr>
        <w:pStyle w:val="Indenta"/>
      </w:pPr>
      <w:r>
        <w:tab/>
        <w:t>(c)</w:t>
      </w:r>
      <w:r>
        <w:tab/>
        <w:t>a decision made under Division 5.</w:t>
      </w:r>
    </w:p>
    <w:p>
      <w:pPr>
        <w:pStyle w:val="Footnotesection"/>
      </w:pPr>
      <w:r>
        <w:tab/>
        <w:t>[Section 110ZY inserted: No. 14 of 2020 s. 12.]</w:t>
      </w:r>
    </w:p>
    <w:p>
      <w:pPr>
        <w:pStyle w:val="Heading3"/>
      </w:pPr>
      <w:bookmarkStart w:id="429" w:name="_Toc175234946"/>
      <w:bookmarkStart w:id="430" w:name="_Toc175235219"/>
      <w:bookmarkStart w:id="431" w:name="_Toc175235539"/>
      <w:bookmarkStart w:id="432" w:name="_Toc175575709"/>
      <w:bookmarkStart w:id="433" w:name="_Toc175575980"/>
      <w:r>
        <w:rPr>
          <w:rStyle w:val="CharDivNo"/>
        </w:rPr>
        <w:lastRenderedPageBreak/>
        <w:t>Division 5</w:t>
      </w:r>
      <w:r>
        <w:rPr>
          <w:color w:val="000000" w:themeColor="text1"/>
        </w:rPr>
        <w:t> — </w:t>
      </w:r>
      <w:r>
        <w:rPr>
          <w:rStyle w:val="CharDivText"/>
        </w:rPr>
        <w:t>Jurisdiction of State Administrative Tribunal</w:t>
      </w:r>
      <w:bookmarkEnd w:id="429"/>
      <w:bookmarkEnd w:id="430"/>
      <w:bookmarkEnd w:id="431"/>
      <w:bookmarkEnd w:id="432"/>
      <w:bookmarkEnd w:id="433"/>
    </w:p>
    <w:p>
      <w:pPr>
        <w:pStyle w:val="Footnoteheading"/>
      </w:pPr>
      <w:r>
        <w:tab/>
        <w:t>[Heading inserted: No. 14 of 2020 s. 12.]</w:t>
      </w:r>
    </w:p>
    <w:p>
      <w:pPr>
        <w:pStyle w:val="Heading5"/>
      </w:pPr>
      <w:bookmarkStart w:id="434" w:name="_Toc175575981"/>
      <w:r>
        <w:rPr>
          <w:rStyle w:val="CharSectno"/>
        </w:rPr>
        <w:t>110ZZ</w:t>
      </w:r>
      <w:r>
        <w:rPr>
          <w:color w:val="000000" w:themeColor="text1"/>
        </w:rPr>
        <w:t>.</w:t>
      </w:r>
      <w:r>
        <w:rPr>
          <w:color w:val="000000" w:themeColor="text1"/>
        </w:rPr>
        <w:tab/>
        <w:t>Applying for review of decision made under this Part</w:t>
      </w:r>
      <w:bookmarkEnd w:id="434"/>
    </w:p>
    <w:p>
      <w:pPr>
        <w:pStyle w:val="Subsection"/>
      </w:pPr>
      <w:r>
        <w:rPr>
          <w:color w:val="000000" w:themeColor="text1"/>
        </w:rPr>
        <w:tab/>
      </w:r>
      <w:r>
        <w:rPr>
          <w:color w:val="000000" w:themeColor="text1"/>
        </w:rPr>
        <w:tab/>
        <w:t>A person who, in the opinion of the State Administrative Tribunal, is interested in a decision made under this Part may apply for a review of a decision.</w:t>
      </w:r>
    </w:p>
    <w:p>
      <w:pPr>
        <w:pStyle w:val="Footnotesection"/>
      </w:pPr>
      <w:r>
        <w:tab/>
        <w:t>[Section 110ZZ inserted: No. 14 of 2020 s. 12.]</w:t>
      </w:r>
    </w:p>
    <w:p>
      <w:pPr>
        <w:pStyle w:val="Heading5"/>
      </w:pPr>
      <w:bookmarkStart w:id="435" w:name="_Toc175575982"/>
      <w:r>
        <w:rPr>
          <w:rStyle w:val="CharSectno"/>
        </w:rPr>
        <w:t>110ZZA</w:t>
      </w:r>
      <w:r>
        <w:rPr>
          <w:color w:val="000000" w:themeColor="text1"/>
        </w:rPr>
        <w:t>.</w:t>
      </w:r>
      <w:r>
        <w:rPr>
          <w:color w:val="000000" w:themeColor="text1"/>
        </w:rPr>
        <w:tab/>
        <w:t>Procedure on review</w:t>
      </w:r>
      <w:bookmarkEnd w:id="435"/>
    </w:p>
    <w:p>
      <w:pPr>
        <w:pStyle w:val="Subsection"/>
      </w:pPr>
      <w:r>
        <w:rPr>
          <w:color w:val="000000" w:themeColor="text1"/>
        </w:rPr>
        <w:tab/>
        <w:t>(1)</w:t>
      </w:r>
      <w:r>
        <w:rPr>
          <w:color w:val="000000" w:themeColor="text1"/>
        </w:rPr>
        <w:tab/>
        <w:t xml:space="preserve">The following provisions of the </w:t>
      </w:r>
      <w:r>
        <w:rPr>
          <w:i/>
          <w:color w:val="000000" w:themeColor="text1"/>
        </w:rPr>
        <w:t>State Administrative Tribunal Act 2004</w:t>
      </w:r>
      <w:r>
        <w:rPr>
          <w:color w:val="000000" w:themeColor="text1"/>
        </w:rPr>
        <w:t xml:space="preserve"> do not apply in relation to a review application — </w:t>
      </w:r>
    </w:p>
    <w:p>
      <w:pPr>
        <w:pStyle w:val="Indenta"/>
      </w:pPr>
      <w:r>
        <w:rPr>
          <w:color w:val="000000" w:themeColor="text1"/>
        </w:rPr>
        <w:tab/>
        <w:t>(a)</w:t>
      </w:r>
      <w:r>
        <w:rPr>
          <w:color w:val="000000" w:themeColor="text1"/>
        </w:rPr>
        <w:tab/>
        <w:t xml:space="preserve">section 20; </w:t>
      </w:r>
    </w:p>
    <w:p>
      <w:pPr>
        <w:pStyle w:val="Indenta"/>
      </w:pPr>
      <w:r>
        <w:tab/>
        <w:t>(b)</w:t>
      </w:r>
      <w:r>
        <w:tab/>
        <w:t>subject to subsection (4) — sections 21, 22 and 23;</w:t>
      </w:r>
    </w:p>
    <w:p>
      <w:pPr>
        <w:pStyle w:val="Indenta"/>
      </w:pPr>
      <w:r>
        <w:tab/>
        <w:t>(c)</w:t>
      </w:r>
      <w:r>
        <w:tab/>
        <w:t>sections 26(e) and 31;</w:t>
      </w:r>
    </w:p>
    <w:p>
      <w:pPr>
        <w:pStyle w:val="Indenta"/>
        <w:keepNext/>
      </w:pPr>
      <w:r>
        <w:tab/>
        <w:t>(d)</w:t>
      </w:r>
      <w:r>
        <w:tab/>
        <w:t>section 29(3)(c)(ii);</w:t>
      </w:r>
    </w:p>
    <w:p>
      <w:pPr>
        <w:pStyle w:val="Indenta"/>
      </w:pPr>
      <w:r>
        <w:tab/>
        <w:t>(e)</w:t>
      </w:r>
      <w:r>
        <w:tab/>
        <w:t>section 29(5)(b).</w:t>
      </w:r>
    </w:p>
    <w:p>
      <w:pPr>
        <w:pStyle w:val="Subsection"/>
      </w:pPr>
      <w:r>
        <w:rPr>
          <w:color w:val="000000" w:themeColor="text1"/>
        </w:rPr>
        <w:tab/>
        <w:t>(2)</w:t>
      </w:r>
      <w:r>
        <w:rPr>
          <w:color w:val="000000" w:themeColor="text1"/>
        </w:rPr>
        <w:tab/>
        <w:t xml:space="preserve">For the purposes of the </w:t>
      </w:r>
      <w:r>
        <w:rPr>
          <w:i/>
          <w:color w:val="000000" w:themeColor="text1"/>
        </w:rPr>
        <w:t>State Administrative Tribunal Act 2004</w:t>
      </w:r>
      <w:r>
        <w:rPr>
          <w:color w:val="000000" w:themeColor="text1"/>
        </w:rPr>
        <w:t xml:space="preserve"> section 26(c), a reviewed decision may be varied or ceased by the person making the decision.</w:t>
      </w:r>
    </w:p>
    <w:p>
      <w:pPr>
        <w:pStyle w:val="Subsection"/>
      </w:pPr>
      <w:r>
        <w:tab/>
        <w:t>(3)</w:t>
      </w:r>
      <w:r>
        <w:tab/>
        <w:t xml:space="preserve">A person who makes a review application may request (a </w:t>
      </w:r>
      <w:r>
        <w:rPr>
          <w:rStyle w:val="CharDefText"/>
          <w:color w:val="000000" w:themeColor="text1"/>
        </w:rPr>
        <w:t>report request</w:t>
      </w:r>
      <w:r>
        <w:t xml:space="preserve">) the independent medical practitioner’s written reports under Division 3 made in relation to the reviewed decision from — </w:t>
      </w:r>
    </w:p>
    <w:p>
      <w:pPr>
        <w:pStyle w:val="Indenta"/>
      </w:pPr>
      <w:r>
        <w:rPr>
          <w:color w:val="000000" w:themeColor="text1"/>
        </w:rPr>
        <w:tab/>
        <w:t>(a)</w:t>
      </w:r>
      <w:r>
        <w:rPr>
          <w:color w:val="000000" w:themeColor="text1"/>
        </w:rPr>
        <w:tab/>
        <w:t>the research decision</w:t>
      </w:r>
      <w:r>
        <w:rPr>
          <w:color w:val="000000" w:themeColor="text1"/>
        </w:rPr>
        <w:noBreakHyphen/>
        <w:t xml:space="preserve">maker or researcher who made the reviewed decision; or </w:t>
      </w:r>
    </w:p>
    <w:p>
      <w:pPr>
        <w:pStyle w:val="Indenta"/>
      </w:pPr>
      <w:r>
        <w:tab/>
        <w:t>(b)</w:t>
      </w:r>
      <w:r>
        <w:tab/>
        <w:t>the independent medical practitioner who made the report.</w:t>
      </w:r>
    </w:p>
    <w:p>
      <w:pPr>
        <w:pStyle w:val="Subsection"/>
        <w:keepNext/>
      </w:pPr>
      <w:r>
        <w:rPr>
          <w:color w:val="000000" w:themeColor="text1"/>
        </w:rPr>
        <w:lastRenderedPageBreak/>
        <w:tab/>
        <w:t>(4)</w:t>
      </w:r>
      <w:r>
        <w:rPr>
          <w:color w:val="000000" w:themeColor="text1"/>
        </w:rPr>
        <w:tab/>
        <w:t xml:space="preserve">The </w:t>
      </w:r>
      <w:r>
        <w:rPr>
          <w:i/>
          <w:color w:val="000000" w:themeColor="text1"/>
        </w:rPr>
        <w:t>State Administrative Tribunal Act 2004</w:t>
      </w:r>
      <w:r>
        <w:rPr>
          <w:color w:val="000000" w:themeColor="text1"/>
        </w:rPr>
        <w:t xml:space="preserve"> sections 21(3) to (5), 22 and 23 apply to a report request as if — </w:t>
      </w:r>
    </w:p>
    <w:p>
      <w:pPr>
        <w:pStyle w:val="Indenta"/>
      </w:pPr>
      <w:r>
        <w:rPr>
          <w:color w:val="000000" w:themeColor="text1"/>
        </w:rPr>
        <w:tab/>
        <w:t>(a)</w:t>
      </w:r>
      <w:r>
        <w:rPr>
          <w:color w:val="000000" w:themeColor="text1"/>
        </w:rPr>
        <w:tab/>
        <w:t>the report request were a request made under section 21(1) or 22(1) of that Act; and</w:t>
      </w:r>
    </w:p>
    <w:p>
      <w:pPr>
        <w:pStyle w:val="Indenta"/>
      </w:pPr>
      <w:r>
        <w:tab/>
        <w:t>(b)</w:t>
      </w:r>
      <w:r>
        <w:tab/>
        <w:t>the person to whom the report request is made were the decision</w:t>
      </w:r>
      <w:r>
        <w:noBreakHyphen/>
        <w:t>maker.</w:t>
      </w:r>
    </w:p>
    <w:p>
      <w:pPr>
        <w:pStyle w:val="Footnotesection"/>
      </w:pPr>
      <w:r>
        <w:tab/>
        <w:t>[Section 110ZZA inserted: No. 14 of 2020 s. 12.]</w:t>
      </w:r>
    </w:p>
    <w:p>
      <w:pPr>
        <w:pStyle w:val="Heading5"/>
      </w:pPr>
      <w:bookmarkStart w:id="436" w:name="_Toc175575983"/>
      <w:r>
        <w:rPr>
          <w:rStyle w:val="CharSectno"/>
        </w:rPr>
        <w:t>110ZZB</w:t>
      </w:r>
      <w:r>
        <w:rPr>
          <w:color w:val="000000" w:themeColor="text1"/>
        </w:rPr>
        <w:t>.</w:t>
      </w:r>
      <w:r>
        <w:rPr>
          <w:color w:val="000000" w:themeColor="text1"/>
        </w:rPr>
        <w:tab/>
        <w:t>Effect of State Administrative Tribunal’s decision under this Division</w:t>
      </w:r>
      <w:bookmarkEnd w:id="436"/>
    </w:p>
    <w:p>
      <w:pPr>
        <w:pStyle w:val="Subsection"/>
      </w:pPr>
      <w:r>
        <w:rPr>
          <w:color w:val="000000" w:themeColor="text1"/>
        </w:rPr>
        <w:tab/>
        <w:t>(1)</w:t>
      </w:r>
      <w:r>
        <w:rPr>
          <w:color w:val="000000" w:themeColor="text1"/>
        </w:rPr>
        <w:tab/>
        <w:t xml:space="preserve">A decision of the State Administrative Tribunal on a review application takes effect on the day on which the Tribunal’s decision is made. </w:t>
      </w:r>
    </w:p>
    <w:p>
      <w:pPr>
        <w:pStyle w:val="Subsection"/>
      </w:pPr>
      <w:r>
        <w:tab/>
        <w:t>(2)</w:t>
      </w:r>
      <w:r>
        <w:tab/>
        <w:t>If the State Administrative Tribunal sets aside a reviewed decision, the Tribunal’s decision does not affect the operation of sections 110ZX and 110ZY in relation to actions or omissions of a researcher before the day the Tribunal’s decision takes effect under subsection (1).</w:t>
      </w:r>
    </w:p>
    <w:p>
      <w:pPr>
        <w:pStyle w:val="Footnotesection"/>
      </w:pPr>
      <w:r>
        <w:tab/>
        <w:t>[Section 110ZZB inserted: No. 14 of 2020 s. 12.]</w:t>
      </w:r>
    </w:p>
    <w:p>
      <w:pPr>
        <w:pStyle w:val="Heading3"/>
      </w:pPr>
      <w:bookmarkStart w:id="437" w:name="_Toc175234950"/>
      <w:bookmarkStart w:id="438" w:name="_Toc175235223"/>
      <w:bookmarkStart w:id="439" w:name="_Toc175235543"/>
      <w:bookmarkStart w:id="440" w:name="_Toc175575713"/>
      <w:bookmarkStart w:id="441" w:name="_Toc175575984"/>
      <w:r>
        <w:rPr>
          <w:rStyle w:val="CharDivNo"/>
        </w:rPr>
        <w:t>Division 6</w:t>
      </w:r>
      <w:r>
        <w:rPr>
          <w:color w:val="000000" w:themeColor="text1"/>
        </w:rPr>
        <w:t> — </w:t>
      </w:r>
      <w:r>
        <w:rPr>
          <w:rStyle w:val="CharDivText"/>
        </w:rPr>
        <w:t>Reporting</w:t>
      </w:r>
      <w:bookmarkEnd w:id="437"/>
      <w:bookmarkEnd w:id="438"/>
      <w:bookmarkEnd w:id="439"/>
      <w:bookmarkEnd w:id="440"/>
      <w:bookmarkEnd w:id="441"/>
    </w:p>
    <w:p>
      <w:pPr>
        <w:pStyle w:val="Footnoteheading"/>
        <w:keepNext/>
      </w:pPr>
      <w:r>
        <w:tab/>
        <w:t>[Heading inserted: No. 14 of 2020 s. 12.]</w:t>
      </w:r>
    </w:p>
    <w:p>
      <w:pPr>
        <w:pStyle w:val="Heading5"/>
      </w:pPr>
      <w:bookmarkStart w:id="442" w:name="_Toc175575985"/>
      <w:r>
        <w:rPr>
          <w:rStyle w:val="CharSectno"/>
        </w:rPr>
        <w:t>110ZZC</w:t>
      </w:r>
      <w:r>
        <w:rPr>
          <w:color w:val="000000" w:themeColor="text1"/>
        </w:rPr>
        <w:t>.</w:t>
      </w:r>
      <w:r>
        <w:rPr>
          <w:color w:val="000000" w:themeColor="text1"/>
        </w:rPr>
        <w:tab/>
        <w:t>Researcher to report medical research conducted under this Part to Health Minister</w:t>
      </w:r>
      <w:bookmarkEnd w:id="442"/>
      <w:r>
        <w:rPr>
          <w:color w:val="000000" w:themeColor="text1"/>
        </w:rPr>
        <w:t xml:space="preserve"> </w:t>
      </w:r>
    </w:p>
    <w:p>
      <w:pPr>
        <w:pStyle w:val="Subsection"/>
        <w:keepNext/>
      </w:pPr>
      <w:r>
        <w:rPr>
          <w:color w:val="000000" w:themeColor="text1"/>
        </w:rPr>
        <w:tab/>
      </w:r>
      <w:r>
        <w:rPr>
          <w:color w:val="000000" w:themeColor="text1"/>
        </w:rPr>
        <w:tab/>
        <w:t xml:space="preserve">If a researcher conducts medical research in relation to a research candidate under this Part, the researcher must give the Health Minister a written notice, in the form approved by the Health Minister, stating the following — </w:t>
      </w:r>
    </w:p>
    <w:p>
      <w:pPr>
        <w:pStyle w:val="Indenta"/>
      </w:pPr>
      <w:r>
        <w:rPr>
          <w:color w:val="000000" w:themeColor="text1"/>
        </w:rPr>
        <w:tab/>
        <w:t>(a)</w:t>
      </w:r>
      <w:r>
        <w:rPr>
          <w:color w:val="000000" w:themeColor="text1"/>
        </w:rPr>
        <w:tab/>
        <w:t xml:space="preserve">that the researcher is conducting medical research in relation to the candidate; </w:t>
      </w:r>
    </w:p>
    <w:p>
      <w:pPr>
        <w:pStyle w:val="Indenta"/>
        <w:keepNext/>
      </w:pPr>
      <w:r>
        <w:lastRenderedPageBreak/>
        <w:tab/>
        <w:t>(b)</w:t>
      </w:r>
      <w:r>
        <w:tab/>
        <w:t xml:space="preserve">whether the medical research is carried out pursuant to — </w:t>
      </w:r>
    </w:p>
    <w:p>
      <w:pPr>
        <w:pStyle w:val="Indenti"/>
      </w:pPr>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p>
    <w:p>
      <w:pPr>
        <w:pStyle w:val="Indenti"/>
      </w:pPr>
      <w:r>
        <w:tab/>
        <w:t>(ii)</w:t>
      </w:r>
      <w:r>
        <w:tab/>
        <w:t xml:space="preserve">an urgent medical research decision; </w:t>
      </w:r>
    </w:p>
    <w:p>
      <w:pPr>
        <w:pStyle w:val="Indenta"/>
      </w:pPr>
      <w:r>
        <w:rPr>
          <w:color w:val="000000" w:themeColor="text1"/>
        </w:rPr>
        <w:tab/>
        <w:t>(c)</w:t>
      </w:r>
      <w:r>
        <w:rPr>
          <w:color w:val="000000" w:themeColor="text1"/>
        </w:rPr>
        <w:tab/>
        <w:t xml:space="preserve">the type of medical research the researcher is conducting in relation to the candidate; </w:t>
      </w:r>
    </w:p>
    <w:p>
      <w:pPr>
        <w:pStyle w:val="Indenta"/>
      </w:pPr>
      <w:r>
        <w:tab/>
        <w:t>(d)</w:t>
      </w:r>
      <w:r>
        <w:tab/>
        <w:t xml:space="preserve">the purpose of the medical research; </w:t>
      </w:r>
    </w:p>
    <w:p>
      <w:pPr>
        <w:pStyle w:val="Indenta"/>
      </w:pPr>
      <w:r>
        <w:tab/>
        <w:t>(e)</w:t>
      </w:r>
      <w:r>
        <w:tab/>
        <w:t>any other information required by the approved form.</w:t>
      </w:r>
    </w:p>
    <w:p>
      <w:pPr>
        <w:pStyle w:val="Footnotesection"/>
      </w:pPr>
      <w:r>
        <w:tab/>
        <w:t>[Section 110ZZC inserted: No. 14 of 2020 s. 12.]</w:t>
      </w:r>
    </w:p>
    <w:p>
      <w:pPr>
        <w:pStyle w:val="Heading5"/>
      </w:pPr>
      <w:bookmarkStart w:id="443" w:name="_Toc175575986"/>
      <w:r>
        <w:rPr>
          <w:rStyle w:val="CharSectno"/>
        </w:rPr>
        <w:t>110ZZD</w:t>
      </w:r>
      <w:r>
        <w:rPr>
          <w:color w:val="000000" w:themeColor="text1"/>
        </w:rPr>
        <w:t>.</w:t>
      </w:r>
      <w:r>
        <w:rPr>
          <w:color w:val="000000" w:themeColor="text1"/>
        </w:rPr>
        <w:tab/>
        <w:t>Health Minister to report to Parliament on medical research carried out under this Part</w:t>
      </w:r>
      <w:bookmarkEnd w:id="443"/>
    </w:p>
    <w:p>
      <w:pPr>
        <w:pStyle w:val="Subsection"/>
        <w:rPr>
          <w:snapToGrid w:val="0"/>
        </w:rPr>
      </w:pPr>
      <w:r>
        <w:rPr>
          <w:color w:val="000000" w:themeColor="text1"/>
        </w:rPr>
        <w:tab/>
        <w:t>(1)</w:t>
      </w:r>
      <w:r>
        <w:rPr>
          <w:color w:val="000000" w:themeColor="text1"/>
        </w:rPr>
        <w:tab/>
        <w:t xml:space="preserve">The Health Minister must, as soon as practicable after each anniversary of the day on which </w:t>
      </w:r>
      <w:r>
        <w:rPr>
          <w:snapToGrid w:val="0"/>
          <w:color w:val="000000" w:themeColor="text1"/>
        </w:rPr>
        <w:t xml:space="preserve">the </w:t>
      </w:r>
      <w:r>
        <w:rPr>
          <w:i/>
          <w:color w:val="000000" w:themeColor="text1"/>
        </w:rPr>
        <w:t>Guardianship and Administration Amendment (Medical Research) Act 2020</w:t>
      </w:r>
      <w:r>
        <w:rPr>
          <w:color w:val="000000" w:themeColor="text1"/>
        </w:rPr>
        <w:t xml:space="preserve"> section 12</w:t>
      </w:r>
      <w:r>
        <w:rPr>
          <w:snapToGrid w:val="0"/>
          <w:color w:val="000000" w:themeColor="text1"/>
        </w:rPr>
        <w:t xml:space="preserve"> comes into operation, report to Parliament on the following in relation to the year to which the report relates — </w:t>
      </w:r>
    </w:p>
    <w:p>
      <w:pPr>
        <w:pStyle w:val="Indenta"/>
      </w:pPr>
      <w:r>
        <w:rPr>
          <w:snapToGrid w:val="0"/>
          <w:color w:val="000000" w:themeColor="text1"/>
        </w:rPr>
        <w:tab/>
        <w:t>(a)</w:t>
      </w:r>
      <w:r>
        <w:rPr>
          <w:snapToGrid w:val="0"/>
          <w:color w:val="000000" w:themeColor="text1"/>
        </w:rPr>
        <w:tab/>
      </w:r>
      <w:r>
        <w:rPr>
          <w:color w:val="000000" w:themeColor="text1"/>
        </w:rPr>
        <w:t xml:space="preserve">the number of research candidates who have participated in medical research under this Part; </w:t>
      </w:r>
    </w:p>
    <w:p>
      <w:pPr>
        <w:pStyle w:val="Indenta"/>
      </w:pPr>
      <w:r>
        <w:tab/>
        <w:t>(b)</w:t>
      </w:r>
      <w:r>
        <w:tab/>
        <w:t xml:space="preserve">whether the medical research is carried out pursuant to — </w:t>
      </w:r>
    </w:p>
    <w:p>
      <w:pPr>
        <w:pStyle w:val="Indenti"/>
      </w:pPr>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p>
    <w:p>
      <w:pPr>
        <w:pStyle w:val="Indenti"/>
      </w:pPr>
      <w:r>
        <w:tab/>
        <w:t>(ii)</w:t>
      </w:r>
      <w:r>
        <w:tab/>
        <w:t xml:space="preserve">an urgent medical research decision; </w:t>
      </w:r>
    </w:p>
    <w:p>
      <w:pPr>
        <w:pStyle w:val="Indenta"/>
      </w:pPr>
      <w:r>
        <w:rPr>
          <w:color w:val="000000" w:themeColor="text1"/>
        </w:rPr>
        <w:tab/>
        <w:t>(c)</w:t>
      </w:r>
      <w:r>
        <w:rPr>
          <w:color w:val="000000" w:themeColor="text1"/>
        </w:rPr>
        <w:tab/>
        <w:t xml:space="preserve">the type of medical research the researcher is conducting in relation to the candidate; </w:t>
      </w:r>
    </w:p>
    <w:p>
      <w:pPr>
        <w:pStyle w:val="Indenta"/>
      </w:pPr>
      <w:r>
        <w:tab/>
        <w:t>(d)</w:t>
      </w:r>
      <w:r>
        <w:tab/>
        <w:t>the purpose of the medical research;</w:t>
      </w:r>
    </w:p>
    <w:p>
      <w:pPr>
        <w:pStyle w:val="Indenta"/>
      </w:pPr>
      <w:r>
        <w:tab/>
        <w:t>(e)</w:t>
      </w:r>
      <w:r>
        <w:tab/>
        <w:t>any other matter relating to the operation of this Part that the Health Minister considers appropriate.</w:t>
      </w:r>
    </w:p>
    <w:p>
      <w:pPr>
        <w:pStyle w:val="Subsection"/>
      </w:pPr>
      <w:r>
        <w:rPr>
          <w:color w:val="000000" w:themeColor="text1"/>
        </w:rPr>
        <w:lastRenderedPageBreak/>
        <w:tab/>
        <w:t>(2)</w:t>
      </w:r>
      <w:r>
        <w:rPr>
          <w:color w:val="000000" w:themeColor="text1"/>
        </w:rPr>
        <w:tab/>
        <w:t xml:space="preserve">The report under subsection (1) — </w:t>
      </w:r>
    </w:p>
    <w:p>
      <w:pPr>
        <w:pStyle w:val="Indenta"/>
        <w:rPr>
          <w:snapToGrid w:val="0"/>
        </w:rPr>
      </w:pPr>
      <w:r>
        <w:rPr>
          <w:color w:val="000000" w:themeColor="text1"/>
        </w:rPr>
        <w:tab/>
        <w:t>(a)</w:t>
      </w:r>
      <w:r>
        <w:rPr>
          <w:color w:val="000000" w:themeColor="text1"/>
        </w:rPr>
        <w:tab/>
        <w:t xml:space="preserve">may include statistics or other general information derived from a written notice the Health Minister receives under </w:t>
      </w:r>
      <w:r>
        <w:rPr>
          <w:snapToGrid w:val="0"/>
          <w:color w:val="000000" w:themeColor="text1"/>
        </w:rPr>
        <w:t>section 110ZZC; but</w:t>
      </w:r>
    </w:p>
    <w:p>
      <w:pPr>
        <w:pStyle w:val="Indenta"/>
      </w:pPr>
      <w:r>
        <w:tab/>
        <w:t>(b)</w:t>
      </w:r>
      <w:r>
        <w:tab/>
        <w:t>must not include personal information.</w:t>
      </w:r>
    </w:p>
    <w:p>
      <w:pPr>
        <w:pStyle w:val="Footnotesection"/>
      </w:pPr>
      <w:r>
        <w:tab/>
        <w:t>[Section 110ZZD inserted: No. 14 of 2020 s. 12.]</w:t>
      </w:r>
    </w:p>
    <w:p>
      <w:pPr>
        <w:pStyle w:val="Heading3"/>
      </w:pPr>
      <w:bookmarkStart w:id="444" w:name="_Toc175234953"/>
      <w:bookmarkStart w:id="445" w:name="_Toc175235226"/>
      <w:bookmarkStart w:id="446" w:name="_Toc175235546"/>
      <w:bookmarkStart w:id="447" w:name="_Toc175575716"/>
      <w:bookmarkStart w:id="448" w:name="_Toc175575987"/>
      <w:r>
        <w:rPr>
          <w:rStyle w:val="CharDivNo"/>
        </w:rPr>
        <w:t>Division 7</w:t>
      </w:r>
      <w:r>
        <w:rPr>
          <w:color w:val="000000" w:themeColor="text1"/>
        </w:rPr>
        <w:t> — </w:t>
      </w:r>
      <w:r>
        <w:rPr>
          <w:rStyle w:val="CharDivText"/>
        </w:rPr>
        <w:t>Reviews</w:t>
      </w:r>
      <w:bookmarkEnd w:id="444"/>
      <w:bookmarkEnd w:id="445"/>
      <w:bookmarkEnd w:id="446"/>
      <w:bookmarkEnd w:id="447"/>
      <w:bookmarkEnd w:id="448"/>
    </w:p>
    <w:p>
      <w:pPr>
        <w:pStyle w:val="Footnoteheading"/>
      </w:pPr>
      <w:r>
        <w:tab/>
        <w:t>[Heading inserted: No. 14 of 2020 s. 12.]</w:t>
      </w:r>
    </w:p>
    <w:p>
      <w:pPr>
        <w:pStyle w:val="Heading5"/>
      </w:pPr>
      <w:bookmarkStart w:id="449" w:name="_Toc175575988"/>
      <w:r>
        <w:rPr>
          <w:rStyle w:val="CharSectno"/>
        </w:rPr>
        <w:t>110ZZE</w:t>
      </w:r>
      <w:r>
        <w:rPr>
          <w:color w:val="000000" w:themeColor="text1"/>
        </w:rPr>
        <w:t>.</w:t>
      </w:r>
      <w:r>
        <w:rPr>
          <w:color w:val="000000" w:themeColor="text1"/>
        </w:rPr>
        <w:tab/>
        <w:t>Review of this Part</w:t>
      </w:r>
      <w:bookmarkEnd w:id="449"/>
    </w:p>
    <w:p>
      <w:pPr>
        <w:pStyle w:val="Subsection"/>
        <w:rPr>
          <w:snapToGrid w:val="0"/>
        </w:rPr>
      </w:pPr>
      <w:r>
        <w:rPr>
          <w:snapToGrid w:val="0"/>
          <w:color w:val="000000" w:themeColor="text1"/>
        </w:rPr>
        <w:tab/>
        <w:t>(1)</w:t>
      </w:r>
      <w:r>
        <w:rPr>
          <w:snapToGrid w:val="0"/>
          <w:color w:val="000000" w:themeColor="text1"/>
        </w:rPr>
        <w:tab/>
        <w:t xml:space="preserve">The Minister must review the operation and effectiveness of this Part and prepare a report based on the review — </w:t>
      </w:r>
    </w:p>
    <w:p>
      <w:pPr>
        <w:pStyle w:val="Indenta"/>
        <w:rPr>
          <w:snapToGrid w:val="0"/>
        </w:rPr>
      </w:pPr>
      <w:r>
        <w:rPr>
          <w:snapToGrid w:val="0"/>
          <w:color w:val="000000" w:themeColor="text1"/>
        </w:rPr>
        <w:tab/>
        <w:t>(a)</w:t>
      </w:r>
      <w:r>
        <w:rPr>
          <w:snapToGrid w:val="0"/>
          <w:color w:val="000000" w:themeColor="text1"/>
        </w:rPr>
        <w:tab/>
        <w:t>as soon as practicable after the 1</w:t>
      </w:r>
      <w:r>
        <w:rPr>
          <w:snapToGrid w:val="0"/>
          <w:color w:val="000000" w:themeColor="text1"/>
          <w:vertAlign w:val="superscript"/>
        </w:rPr>
        <w:t>st</w:t>
      </w:r>
      <w:r>
        <w:rPr>
          <w:snapToGrid w:val="0"/>
          <w:color w:val="000000" w:themeColor="text1"/>
        </w:rPr>
        <w:t xml:space="preserve"> anniversary of the day on </w:t>
      </w:r>
      <w:r>
        <w:rPr>
          <w:color w:val="000000" w:themeColor="text1"/>
        </w:rPr>
        <w:t>which</w:t>
      </w:r>
      <w:r>
        <w:rPr>
          <w:snapToGrid w:val="0"/>
          <w:color w:val="000000" w:themeColor="text1"/>
        </w:rPr>
        <w:t xml:space="preserve"> the </w:t>
      </w:r>
      <w:r>
        <w:rPr>
          <w:i/>
          <w:color w:val="000000" w:themeColor="text1"/>
        </w:rPr>
        <w:t>Guardianship and Administration Amendment (Medical Research) Act 2020</w:t>
      </w:r>
      <w:r>
        <w:rPr>
          <w:color w:val="000000" w:themeColor="text1"/>
        </w:rPr>
        <w:t xml:space="preserve"> section 12 </w:t>
      </w:r>
      <w:r>
        <w:rPr>
          <w:snapToGrid w:val="0"/>
          <w:color w:val="000000" w:themeColor="text1"/>
        </w:rPr>
        <w:t>comes into operation; and</w:t>
      </w:r>
    </w:p>
    <w:p>
      <w:pPr>
        <w:pStyle w:val="Indenta"/>
      </w:pPr>
      <w:r>
        <w:rPr>
          <w:snapToGrid w:val="0"/>
        </w:rPr>
        <w:tab/>
        <w:t>(b)</w:t>
      </w:r>
      <w:r>
        <w:rPr>
          <w:snapToGrid w:val="0"/>
        </w:rPr>
        <w:tab/>
        <w:t>after that, at intervals of not more than 3 years.</w:t>
      </w:r>
    </w:p>
    <w:p>
      <w:pPr>
        <w:pStyle w:val="Subsection"/>
        <w:keepNext/>
        <w:keepLines/>
        <w:rPr>
          <w:snapToGrid w:val="0"/>
        </w:rPr>
      </w:pPr>
      <w:r>
        <w:rPr>
          <w:snapToGrid w:val="0"/>
          <w:color w:val="000000" w:themeColor="text1"/>
        </w:rPr>
        <w:tab/>
        <w:t>(2)</w:t>
      </w:r>
      <w:r>
        <w:rPr>
          <w:snapToGrid w:val="0"/>
          <w:color w:val="000000" w:themeColor="text1"/>
        </w:rPr>
        <w:tab/>
        <w:t>The Minister must cause the report to be laid before each House of Parliament as soon as practicable after it is prepared, but not later than 12 months after the 1</w:t>
      </w:r>
      <w:r>
        <w:rPr>
          <w:snapToGrid w:val="0"/>
          <w:color w:val="000000" w:themeColor="text1"/>
          <w:vertAlign w:val="superscript"/>
        </w:rPr>
        <w:t>st</w:t>
      </w:r>
      <w:r>
        <w:rPr>
          <w:snapToGrid w:val="0"/>
          <w:color w:val="000000" w:themeColor="text1"/>
        </w:rPr>
        <w:t xml:space="preserve"> anniversary or the expiry of the period of 3 years, as the case may be.</w:t>
      </w:r>
    </w:p>
    <w:p>
      <w:pPr>
        <w:pStyle w:val="Footnotesection"/>
      </w:pPr>
      <w:r>
        <w:tab/>
        <w:t>[Section 110ZZE inserted: No. 14 of 2020 s. 12.]</w:t>
      </w:r>
    </w:p>
    <w:p>
      <w:pPr>
        <w:pStyle w:val="Heading2"/>
      </w:pPr>
      <w:bookmarkStart w:id="450" w:name="_Toc175234955"/>
      <w:bookmarkStart w:id="451" w:name="_Toc175235228"/>
      <w:bookmarkStart w:id="452" w:name="_Toc175235548"/>
      <w:bookmarkStart w:id="453" w:name="_Toc175575718"/>
      <w:bookmarkStart w:id="454" w:name="_Toc175575989"/>
      <w:r>
        <w:rPr>
          <w:rStyle w:val="CharPartNo"/>
        </w:rPr>
        <w:lastRenderedPageBreak/>
        <w:t>Part 10</w:t>
      </w:r>
      <w:r>
        <w:rPr>
          <w:rStyle w:val="CharDivNo"/>
        </w:rPr>
        <w:t> </w:t>
      </w:r>
      <w:r>
        <w:t>—</w:t>
      </w:r>
      <w:r>
        <w:rPr>
          <w:rStyle w:val="CharDivText"/>
        </w:rPr>
        <w:t> </w:t>
      </w:r>
      <w:r>
        <w:rPr>
          <w:rStyle w:val="CharPartText"/>
        </w:rPr>
        <w:t>Miscellaneous provisions</w:t>
      </w:r>
      <w:bookmarkEnd w:id="450"/>
      <w:bookmarkEnd w:id="451"/>
      <w:bookmarkEnd w:id="452"/>
      <w:bookmarkEnd w:id="453"/>
      <w:bookmarkEnd w:id="454"/>
      <w:r>
        <w:rPr>
          <w:rStyle w:val="CharPartText"/>
        </w:rPr>
        <w:t xml:space="preserve"> </w:t>
      </w:r>
    </w:p>
    <w:p>
      <w:pPr>
        <w:pStyle w:val="Heading5"/>
        <w:rPr>
          <w:snapToGrid w:val="0"/>
        </w:rPr>
      </w:pPr>
      <w:bookmarkStart w:id="455" w:name="_Toc175575990"/>
      <w:r>
        <w:rPr>
          <w:rStyle w:val="CharSectno"/>
        </w:rPr>
        <w:t>111</w:t>
      </w:r>
      <w:r>
        <w:rPr>
          <w:snapToGrid w:val="0"/>
        </w:rPr>
        <w:t>.</w:t>
      </w:r>
      <w:r>
        <w:rPr>
          <w:snapToGrid w:val="0"/>
        </w:rPr>
        <w:tab/>
        <w:t>Declaration as to capacity to vote</w:t>
      </w:r>
      <w:bookmarkEnd w:id="455"/>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w:t>
      </w:r>
      <w:r>
        <w:rPr>
          <w:snapToGrid w:val="0"/>
        </w:rPr>
        <w:lastRenderedPageBreak/>
        <w:t xml:space="preserve">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No. 16 of 1992 s. 18; No. 55 of 2004 s. 455 and 466.] </w:t>
      </w:r>
    </w:p>
    <w:p>
      <w:pPr>
        <w:pStyle w:val="Heading5"/>
      </w:pPr>
      <w:bookmarkStart w:id="456" w:name="_Toc175575991"/>
      <w:r>
        <w:rPr>
          <w:rStyle w:val="CharSectno"/>
        </w:rPr>
        <w:t>111A</w:t>
      </w:r>
      <w:r>
        <w:t>.</w:t>
      </w:r>
      <w:r>
        <w:tab/>
        <w:t xml:space="preserve">Applications under </w:t>
      </w:r>
      <w:r>
        <w:rPr>
          <w:i/>
          <w:iCs/>
        </w:rPr>
        <w:t xml:space="preserve">Wills Act 1970 </w:t>
      </w:r>
      <w:r>
        <w:t>s. 40</w:t>
      </w:r>
      <w:bookmarkEnd w:id="456"/>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No. 27 of 2007 s. 25.]</w:t>
      </w:r>
    </w:p>
    <w:p>
      <w:pPr>
        <w:pStyle w:val="Heading5"/>
        <w:rPr>
          <w:snapToGrid w:val="0"/>
        </w:rPr>
      </w:pPr>
      <w:bookmarkStart w:id="457" w:name="_Toc175575992"/>
      <w:r>
        <w:rPr>
          <w:rStyle w:val="CharSectno"/>
        </w:rPr>
        <w:t>112</w:t>
      </w:r>
      <w:r>
        <w:rPr>
          <w:snapToGrid w:val="0"/>
        </w:rPr>
        <w:t>.</w:t>
      </w:r>
      <w:r>
        <w:rPr>
          <w:snapToGrid w:val="0"/>
        </w:rPr>
        <w:tab/>
        <w:t>Inspection of records</w:t>
      </w:r>
      <w:bookmarkEnd w:id="457"/>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keepLines/>
        <w:rPr>
          <w:snapToGrid w:val="0"/>
        </w:rPr>
      </w:pPr>
      <w:r>
        <w:rPr>
          <w:snapToGrid w:val="0"/>
        </w:rPr>
        <w:lastRenderedPageBreak/>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No. 50 of 2003 s. 70(3); No. 55 of 2004 s. 456 and 466.]</w:t>
      </w:r>
    </w:p>
    <w:p>
      <w:pPr>
        <w:pStyle w:val="Heading5"/>
        <w:rPr>
          <w:snapToGrid w:val="0"/>
        </w:rPr>
      </w:pPr>
      <w:bookmarkStart w:id="458" w:name="_Toc175575993"/>
      <w:r>
        <w:rPr>
          <w:rStyle w:val="CharSectno"/>
        </w:rPr>
        <w:t>113</w:t>
      </w:r>
      <w:r>
        <w:rPr>
          <w:snapToGrid w:val="0"/>
        </w:rPr>
        <w:t>.</w:t>
      </w:r>
      <w:r>
        <w:rPr>
          <w:snapToGrid w:val="0"/>
        </w:rPr>
        <w:tab/>
        <w:t>Confidentiality</w:t>
      </w:r>
      <w:bookmarkEnd w:id="458"/>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keepNext/>
        <w:rPr>
          <w:snapToGrid w:val="0"/>
        </w:rPr>
      </w:pPr>
      <w:r>
        <w:rPr>
          <w:snapToGrid w:val="0"/>
        </w:rPr>
        <w:lastRenderedPageBreak/>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No. 50 of 2003 s. 70(4); No. 55 of 2004 s. 457.]</w:t>
      </w:r>
    </w:p>
    <w:p>
      <w:pPr>
        <w:pStyle w:val="Heading5"/>
        <w:rPr>
          <w:snapToGrid w:val="0"/>
        </w:rPr>
      </w:pPr>
      <w:bookmarkStart w:id="459" w:name="_Toc175575994"/>
      <w:r>
        <w:rPr>
          <w:rStyle w:val="CharSectno"/>
        </w:rPr>
        <w:t>114</w:t>
      </w:r>
      <w:r>
        <w:rPr>
          <w:snapToGrid w:val="0"/>
        </w:rPr>
        <w:t>.</w:t>
      </w:r>
      <w:r>
        <w:rPr>
          <w:snapToGrid w:val="0"/>
        </w:rPr>
        <w:tab/>
        <w:t>Immunity</w:t>
      </w:r>
      <w:bookmarkEnd w:id="459"/>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deleted]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No. 55 of 2004 s. 458 and 466.]</w:t>
      </w:r>
    </w:p>
    <w:p>
      <w:pPr>
        <w:pStyle w:val="Heading5"/>
        <w:rPr>
          <w:snapToGrid w:val="0"/>
        </w:rPr>
      </w:pPr>
      <w:bookmarkStart w:id="460" w:name="_Toc175575995"/>
      <w:r>
        <w:rPr>
          <w:rStyle w:val="CharSectno"/>
        </w:rPr>
        <w:t>115</w:t>
      </w:r>
      <w:r>
        <w:rPr>
          <w:snapToGrid w:val="0"/>
        </w:rPr>
        <w:t>.</w:t>
      </w:r>
      <w:r>
        <w:rPr>
          <w:snapToGrid w:val="0"/>
        </w:rPr>
        <w:tab/>
        <w:t>Service of notices</w:t>
      </w:r>
      <w:bookmarkEnd w:id="460"/>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 xml:space="preserve">The contents of any notice referred to in subsection (1) shall, at the time when the notice is given to the person, be explained to him by the person who gives the notice or some other person and, as far as is practicable, in the language, mode of </w:t>
      </w:r>
      <w:r>
        <w:rPr>
          <w:snapToGrid w:val="0"/>
        </w:rPr>
        <w:lastRenderedPageBreak/>
        <w:t>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Deleted: No. 55 of 2004 s. 459.] </w:t>
      </w:r>
    </w:p>
    <w:p>
      <w:pPr>
        <w:pStyle w:val="Heading5"/>
        <w:rPr>
          <w:snapToGrid w:val="0"/>
        </w:rPr>
      </w:pPr>
      <w:bookmarkStart w:id="461" w:name="_Toc175575996"/>
      <w:r>
        <w:rPr>
          <w:rStyle w:val="CharSectno"/>
        </w:rPr>
        <w:t>117</w:t>
      </w:r>
      <w:r>
        <w:rPr>
          <w:snapToGrid w:val="0"/>
        </w:rPr>
        <w:t>.</w:t>
      </w:r>
      <w:r>
        <w:rPr>
          <w:snapToGrid w:val="0"/>
        </w:rPr>
        <w:tab/>
        <w:t>Remuneration</w:t>
      </w:r>
      <w:bookmarkEnd w:id="461"/>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No. 55 of 2004 s. 460 and 466.]</w:t>
      </w:r>
    </w:p>
    <w:p>
      <w:pPr>
        <w:pStyle w:val="Heading5"/>
        <w:rPr>
          <w:snapToGrid w:val="0"/>
        </w:rPr>
      </w:pPr>
      <w:bookmarkStart w:id="462" w:name="_Toc175575997"/>
      <w:r>
        <w:rPr>
          <w:rStyle w:val="CharSectno"/>
        </w:rPr>
        <w:lastRenderedPageBreak/>
        <w:t>118</w:t>
      </w:r>
      <w:r>
        <w:rPr>
          <w:snapToGrid w:val="0"/>
        </w:rPr>
        <w:t>.</w:t>
      </w:r>
      <w:r>
        <w:rPr>
          <w:snapToGrid w:val="0"/>
        </w:rPr>
        <w:tab/>
        <w:t>Expenses</w:t>
      </w:r>
      <w:bookmarkEnd w:id="462"/>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No. 55 of 2004 s. 466(1).]</w:t>
      </w:r>
    </w:p>
    <w:p>
      <w:pPr>
        <w:pStyle w:val="Heading5"/>
      </w:pPr>
      <w:bookmarkStart w:id="463" w:name="_Toc175575998"/>
      <w:r>
        <w:rPr>
          <w:rStyle w:val="CharSectno"/>
        </w:rPr>
        <w:t>119</w:t>
      </w:r>
      <w:r>
        <w:t>.</w:t>
      </w:r>
      <w:r>
        <w:tab/>
        <w:t>Order of priority of enduring guardian and guardian for matters other than treatment decisions</w:t>
      </w:r>
      <w:bookmarkEnd w:id="463"/>
    </w:p>
    <w:p>
      <w:pPr>
        <w:pStyle w:val="Subsection"/>
      </w:pPr>
      <w:r>
        <w:rPr>
          <w:color w:val="000000" w:themeColor="text1"/>
        </w:rPr>
        <w:tab/>
        <w:t>(1)</w:t>
      </w:r>
      <w:r>
        <w:rPr>
          <w:color w:val="000000" w:themeColor="text1"/>
        </w:rPr>
        <w:tab/>
        <w:t xml:space="preserve">This section applies if a person is unable to make reasonable judgments in respect of a matter relating to their person other than — </w:t>
      </w:r>
    </w:p>
    <w:p>
      <w:pPr>
        <w:pStyle w:val="Indenta"/>
      </w:pPr>
      <w:r>
        <w:rPr>
          <w:color w:val="000000" w:themeColor="text1"/>
        </w:rPr>
        <w:tab/>
        <w:t>(a)</w:t>
      </w:r>
      <w:r>
        <w:rPr>
          <w:color w:val="000000" w:themeColor="text1"/>
        </w:rPr>
        <w:tab/>
        <w:t>treatment proposed to be provided to the person; or</w:t>
      </w:r>
    </w:p>
    <w:p>
      <w:pPr>
        <w:pStyle w:val="Indenta"/>
        <w:rPr>
          <w:sz w:val="20"/>
        </w:rPr>
      </w:pPr>
      <w:r>
        <w:tab/>
        <w:t>(b)</w:t>
      </w:r>
      <w:r>
        <w:tab/>
        <w:t>medical research proposed to be conducted in relation to the person.</w:t>
      </w:r>
    </w:p>
    <w:p>
      <w:pPr>
        <w:pStyle w:val="Subsection"/>
      </w:pPr>
      <w:r>
        <w:tab/>
        <w:t>(2)</w:t>
      </w:r>
      <w:r>
        <w:tab/>
        <w:t xml:space="preserve">If the person has an enduring guardian who — </w:t>
      </w:r>
    </w:p>
    <w:p>
      <w:pPr>
        <w:pStyle w:val="Indenta"/>
      </w:pPr>
      <w:r>
        <w:tab/>
        <w:t>(a)</w:t>
      </w:r>
      <w:r>
        <w:tab/>
        <w:t>is authorised to make a decision in respect of the matter; and</w:t>
      </w:r>
    </w:p>
    <w:p>
      <w:pPr>
        <w:pStyle w:val="Indenta"/>
      </w:pPr>
      <w:r>
        <w:tab/>
        <w:t>(b)</w:t>
      </w:r>
      <w:r>
        <w:tab/>
        <w:t>is reasonably available; and</w:t>
      </w:r>
    </w:p>
    <w:p>
      <w:pPr>
        <w:pStyle w:val="Indenta"/>
      </w:pPr>
      <w:r>
        <w:tab/>
        <w:t>(c)</w:t>
      </w:r>
      <w:r>
        <w:tab/>
        <w:t>is willing to make a decision in respect of the matter,</w:t>
      </w:r>
    </w:p>
    <w:p>
      <w:pPr>
        <w:pStyle w:val="Subsection"/>
      </w:pPr>
      <w:r>
        <w:tab/>
      </w:r>
      <w:r>
        <w:tab/>
        <w:t>a decision in respect of the matter must be made by the enduring guardian.</w:t>
      </w:r>
    </w:p>
    <w:p>
      <w:pPr>
        <w:pStyle w:val="Subsection"/>
        <w:keepNext/>
      </w:pPr>
      <w:r>
        <w:lastRenderedPageBreak/>
        <w:tab/>
        <w:t>(3)</w:t>
      </w:r>
      <w:r>
        <w:tab/>
        <w:t xml:space="preserve">If — </w:t>
      </w:r>
    </w:p>
    <w:p>
      <w:pPr>
        <w:pStyle w:val="Indenta"/>
        <w:keepNext/>
      </w:pPr>
      <w:r>
        <w:tab/>
        <w:t>(a)</w:t>
      </w:r>
      <w:r>
        <w:tab/>
        <w:t>subsection (2) does not apply; and</w:t>
      </w:r>
    </w:p>
    <w:p>
      <w:pPr>
        <w:pStyle w:val="Indenta"/>
      </w:pPr>
      <w:r>
        <w:tab/>
        <w:t>(b)</w:t>
      </w:r>
      <w:r>
        <w:tab/>
        <w:t xml:space="preserve">the person has a guardian who — </w:t>
      </w:r>
    </w:p>
    <w:p>
      <w:pPr>
        <w:pStyle w:val="Indenti"/>
      </w:pPr>
      <w:r>
        <w:tab/>
        <w:t>(i)</w:t>
      </w:r>
      <w:r>
        <w:tab/>
        <w:t>is authorised to make a decision in respect of the matter; and</w:t>
      </w:r>
    </w:p>
    <w:p>
      <w:pPr>
        <w:pStyle w:val="Indenti"/>
      </w:pPr>
      <w:r>
        <w:tab/>
        <w:t>(ii)</w:t>
      </w:r>
      <w:r>
        <w:tab/>
        <w:t>is reasonably available; and</w:t>
      </w:r>
    </w:p>
    <w:p>
      <w:pPr>
        <w:pStyle w:val="Indenti"/>
        <w:keepNext/>
        <w:keepLines/>
      </w:pPr>
      <w:r>
        <w:tab/>
        <w:t>(iii)</w:t>
      </w:r>
      <w:r>
        <w:tab/>
        <w:t>is willing to make a decision in respect of the matter,</w:t>
      </w:r>
    </w:p>
    <w:p>
      <w:pPr>
        <w:pStyle w:val="Subsection"/>
      </w:pPr>
      <w:r>
        <w:tab/>
      </w:r>
      <w:r>
        <w:tab/>
        <w:t>a decision in respect of the matter must be made by the guardian.</w:t>
      </w:r>
    </w:p>
    <w:p>
      <w:pPr>
        <w:pStyle w:val="Footnotesection"/>
      </w:pPr>
      <w:r>
        <w:tab/>
        <w:t>[Section 119 inserted: No. 25 of 2008 s. 13; amended: No. 14 of 2020 s. 14.]</w:t>
      </w:r>
    </w:p>
    <w:p>
      <w:pPr>
        <w:pStyle w:val="Heading5"/>
      </w:pPr>
      <w:bookmarkStart w:id="464" w:name="_Toc175575999"/>
      <w:r>
        <w:rPr>
          <w:rStyle w:val="CharSectno"/>
        </w:rPr>
        <w:t>119A</w:t>
      </w:r>
      <w:r>
        <w:t>.</w:t>
      </w:r>
      <w:r>
        <w:tab/>
        <w:t>No fee for application to State Administrative Tribunal</w:t>
      </w:r>
      <w:bookmarkEnd w:id="464"/>
    </w:p>
    <w:p>
      <w:pPr>
        <w:pStyle w:val="Subsection"/>
      </w:pPr>
      <w:r>
        <w:tab/>
      </w:r>
      <w:r>
        <w:tab/>
        <w:t>No fee is payable in respect of an application made to the State Administrative Tribunal under this Act.</w:t>
      </w:r>
    </w:p>
    <w:p>
      <w:pPr>
        <w:pStyle w:val="Footnotesection"/>
      </w:pPr>
      <w:r>
        <w:tab/>
        <w:t>[Section 119A inserted: No. 55 of 2004 s. 461.]</w:t>
      </w:r>
    </w:p>
    <w:p>
      <w:pPr>
        <w:pStyle w:val="Heading5"/>
        <w:rPr>
          <w:snapToGrid w:val="0"/>
        </w:rPr>
      </w:pPr>
      <w:bookmarkStart w:id="465" w:name="_Toc175576000"/>
      <w:r>
        <w:rPr>
          <w:rStyle w:val="CharSectno"/>
        </w:rPr>
        <w:t>120</w:t>
      </w:r>
      <w:r>
        <w:rPr>
          <w:snapToGrid w:val="0"/>
        </w:rPr>
        <w:t>.</w:t>
      </w:r>
      <w:r>
        <w:rPr>
          <w:snapToGrid w:val="0"/>
        </w:rPr>
        <w:tab/>
        <w:t>Regulations</w:t>
      </w:r>
      <w:bookmarkEnd w:id="46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deleted]</w:t>
      </w:r>
    </w:p>
    <w:p>
      <w:pPr>
        <w:pStyle w:val="Footnotesection"/>
      </w:pPr>
      <w:r>
        <w:tab/>
        <w:t>[Section 120 amended: No. 55 of 2004 s. 462.]</w:t>
      </w:r>
    </w:p>
    <w:p>
      <w:pPr>
        <w:pStyle w:val="Ednotesection"/>
      </w:pPr>
      <w:r>
        <w:t>[</w:t>
      </w:r>
      <w:r>
        <w:rPr>
          <w:b/>
        </w:rPr>
        <w:t>121</w:t>
      </w:r>
      <w:r>
        <w:rPr>
          <w:b/>
        </w:rPr>
        <w:noBreakHyphen/>
        <w:t>123.</w:t>
      </w:r>
      <w:r>
        <w:rPr>
          <w:b/>
        </w:rPr>
        <w:tab/>
      </w:r>
      <w:r>
        <w:t xml:space="preserve">Deleted: No. 55 of 2004 s. 463.] </w:t>
      </w:r>
    </w:p>
    <w:p>
      <w:pPr>
        <w:pStyle w:val="Heading5"/>
        <w:rPr>
          <w:snapToGrid w:val="0"/>
        </w:rPr>
      </w:pPr>
      <w:bookmarkStart w:id="466" w:name="_Toc175576001"/>
      <w:r>
        <w:rPr>
          <w:rStyle w:val="CharSectno"/>
        </w:rPr>
        <w:t>124</w:t>
      </w:r>
      <w:r>
        <w:rPr>
          <w:snapToGrid w:val="0"/>
        </w:rPr>
        <w:t>.</w:t>
      </w:r>
      <w:r>
        <w:rPr>
          <w:snapToGrid w:val="0"/>
        </w:rPr>
        <w:tab/>
        <w:t>Transitional provisions</w:t>
      </w:r>
      <w:bookmarkEnd w:id="466"/>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rPr>
          <w:rFonts w:eastAsia="MS Mincho"/>
        </w:rPr>
      </w:pPr>
      <w:bookmarkStart w:id="467" w:name="_Toc175234968"/>
      <w:bookmarkStart w:id="468" w:name="_Toc175235241"/>
      <w:bookmarkStart w:id="469" w:name="_Toc175235561"/>
      <w:bookmarkStart w:id="470" w:name="_Toc175575731"/>
      <w:bookmarkStart w:id="471" w:name="_Toc175576002"/>
      <w:r>
        <w:rPr>
          <w:rStyle w:val="CharSchNo"/>
          <w:rFonts w:eastAsia="MS Mincho"/>
        </w:rPr>
        <w:lastRenderedPageBreak/>
        <w:t>Schedule 1</w:t>
      </w:r>
      <w:r>
        <w:rPr>
          <w:rStyle w:val="CharSDivNo"/>
          <w:rFonts w:eastAsia="MS Mincho"/>
        </w:rPr>
        <w:t> </w:t>
      </w:r>
      <w:r>
        <w:rPr>
          <w:rFonts w:eastAsia="MS Mincho"/>
        </w:rPr>
        <w:t>—</w:t>
      </w:r>
      <w:r>
        <w:rPr>
          <w:rStyle w:val="CharSDivText"/>
          <w:rFonts w:eastAsia="MS Mincho"/>
        </w:rPr>
        <w:t> </w:t>
      </w:r>
      <w:r>
        <w:rPr>
          <w:rStyle w:val="CharSchText"/>
          <w:rFonts w:eastAsia="MS Mincho"/>
        </w:rPr>
        <w:t>Provisions as to proceedings of State Administrative Tribunal</w:t>
      </w:r>
      <w:bookmarkEnd w:id="467"/>
      <w:bookmarkEnd w:id="468"/>
      <w:bookmarkEnd w:id="469"/>
      <w:bookmarkEnd w:id="470"/>
      <w:bookmarkEnd w:id="471"/>
    </w:p>
    <w:p>
      <w:pPr>
        <w:pStyle w:val="yShoulderClause"/>
        <w:rPr>
          <w:rFonts w:eastAsia="MS Mincho"/>
        </w:rPr>
      </w:pPr>
      <w:r>
        <w:rPr>
          <w:rFonts w:eastAsia="MS Mincho"/>
        </w:rPr>
        <w:t>[s. 17]</w:t>
      </w:r>
    </w:p>
    <w:p>
      <w:pPr>
        <w:pStyle w:val="yFootnoteheading"/>
      </w:pPr>
      <w:r>
        <w:tab/>
        <w:t>[Heading inserted: No. 19 of 2010 s. 18(3).]</w:t>
      </w:r>
    </w:p>
    <w:p>
      <w:pPr>
        <w:pStyle w:val="yEdnotesection"/>
        <w:spacing w:before="180"/>
      </w:pPr>
      <w:r>
        <w:t>[</w:t>
      </w:r>
      <w:r>
        <w:rPr>
          <w:b/>
        </w:rPr>
        <w:t>1</w:t>
      </w:r>
      <w:r>
        <w:rPr>
          <w:b/>
        </w:rPr>
        <w:noBreakHyphen/>
        <w:t>10</w:t>
      </w:r>
      <w:r>
        <w:t>.</w:t>
      </w:r>
      <w:r>
        <w:tab/>
        <w:t>Deleted: No. 55 of 2004 s. 464(3).]</w:t>
      </w:r>
    </w:p>
    <w:p>
      <w:pPr>
        <w:pStyle w:val="yHeading5"/>
      </w:pPr>
      <w:bookmarkStart w:id="472" w:name="_Toc175576003"/>
      <w:r>
        <w:rPr>
          <w:rStyle w:val="CharSClsNo"/>
        </w:rPr>
        <w:t>11</w:t>
      </w:r>
      <w:r>
        <w:t>.</w:t>
      </w:r>
      <w:r>
        <w:tab/>
        <w:t>Hearings</w:t>
      </w:r>
      <w:bookmarkEnd w:id="472"/>
      <w:r>
        <w:t xml:space="preserve"> </w:t>
      </w:r>
    </w:p>
    <w:p>
      <w:pPr>
        <w:pStyle w:val="yEdnotesubsection"/>
        <w:spacing w:before="120"/>
      </w:pPr>
      <w:r>
        <w:tab/>
        <w:t>[(1)</w:t>
      </w:r>
      <w:r>
        <w:tab/>
        <w:t>deleted]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No. 50 of 2003 s. 70(5); No. 55 of 2004 s. 464(4)</w:t>
      </w:r>
      <w:r>
        <w:noBreakHyphen/>
        <w:t>(7) and 466.]</w:t>
      </w:r>
    </w:p>
    <w:p>
      <w:pPr>
        <w:pStyle w:val="yHeading5"/>
      </w:pPr>
      <w:bookmarkStart w:id="473" w:name="_Toc175576004"/>
      <w:r>
        <w:rPr>
          <w:rStyle w:val="CharSClsNo"/>
        </w:rPr>
        <w:t>12</w:t>
      </w:r>
      <w:r>
        <w:t>.</w:t>
      </w:r>
      <w:r>
        <w:tab/>
        <w:t>Limitations on publication of proceedings</w:t>
      </w:r>
      <w:bookmarkEnd w:id="473"/>
      <w: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lastRenderedPageBreak/>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lastRenderedPageBreak/>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deleted]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lastRenderedPageBreak/>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No. 50 of 2003 s. 70(6); No. 4 of 2004 s. 58; No. 55 of 2004 s. 464(8) and 466.]</w:t>
      </w:r>
    </w:p>
    <w:p>
      <w:pPr>
        <w:pStyle w:val="yHeading5"/>
      </w:pPr>
      <w:bookmarkStart w:id="474" w:name="_Toc175576005"/>
      <w:r>
        <w:rPr>
          <w:rStyle w:val="CharSClsNo"/>
        </w:rPr>
        <w:t>13</w:t>
      </w:r>
      <w:r>
        <w:t>.</w:t>
      </w:r>
      <w:r>
        <w:tab/>
        <w:t>Entitlement to appear, and representation</w:t>
      </w:r>
      <w:bookmarkEnd w:id="474"/>
      <w:r>
        <w:t xml:space="preserve"> </w:t>
      </w:r>
    </w:p>
    <w:p>
      <w:pPr>
        <w:pStyle w:val="yEdnotesubsection"/>
        <w:keepNext/>
        <w:keepLines/>
      </w:pPr>
      <w:r>
        <w:tab/>
        <w:t>[(1)</w:t>
      </w:r>
      <w:r>
        <w:tab/>
        <w:t>deleted]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lastRenderedPageBreak/>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deleted]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No. 16 of 1992 s. 18; No. 55 of 2004 s. 464(9)</w:t>
      </w:r>
      <w:r>
        <w:noBreakHyphen/>
        <w:t>(11) and 466.]</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rPr>
          <w:rFonts w:eastAsia="MS Mincho"/>
        </w:rPr>
      </w:pPr>
      <w:bookmarkStart w:id="476" w:name="_Toc175234972"/>
      <w:bookmarkStart w:id="477" w:name="_Toc175235245"/>
      <w:bookmarkStart w:id="478" w:name="_Toc175235565"/>
      <w:bookmarkStart w:id="479" w:name="_Toc175575735"/>
      <w:bookmarkStart w:id="480" w:name="_Toc175576006"/>
      <w:r>
        <w:rPr>
          <w:rStyle w:val="CharSchNo"/>
          <w:rFonts w:eastAsia="MS Mincho"/>
        </w:rPr>
        <w:lastRenderedPageBreak/>
        <w:t>Schedule 2</w:t>
      </w:r>
      <w:r>
        <w:rPr>
          <w:rFonts w:eastAsia="MS Mincho"/>
        </w:rPr>
        <w:t> — </w:t>
      </w:r>
      <w:r>
        <w:rPr>
          <w:rStyle w:val="CharSchText"/>
          <w:rFonts w:eastAsia="MS Mincho"/>
        </w:rPr>
        <w:t>Functions for administration of estates</w:t>
      </w:r>
      <w:bookmarkEnd w:id="476"/>
      <w:bookmarkEnd w:id="477"/>
      <w:bookmarkEnd w:id="478"/>
      <w:bookmarkEnd w:id="479"/>
      <w:bookmarkEnd w:id="480"/>
    </w:p>
    <w:p>
      <w:pPr>
        <w:pStyle w:val="yShoulderClause"/>
        <w:rPr>
          <w:rFonts w:eastAsia="MS Mincho"/>
        </w:rPr>
      </w:pPr>
      <w:r>
        <w:rPr>
          <w:rFonts w:eastAsia="MS Mincho"/>
        </w:rPr>
        <w:t>[s. 71(3) and 72(1)]</w:t>
      </w:r>
    </w:p>
    <w:p>
      <w:pPr>
        <w:pStyle w:val="yFootnoteheading"/>
      </w:pPr>
      <w:r>
        <w:tab/>
        <w:t>[Heading inserted: No. 19 of 2010 s. 18(4).]</w:t>
      </w:r>
    </w:p>
    <w:p>
      <w:pPr>
        <w:pStyle w:val="yHeading3"/>
        <w:rPr>
          <w:rFonts w:eastAsia="MS Mincho"/>
        </w:rPr>
      </w:pPr>
      <w:bookmarkStart w:id="481" w:name="_Toc175234973"/>
      <w:bookmarkStart w:id="482" w:name="_Toc175235246"/>
      <w:bookmarkStart w:id="483" w:name="_Toc175235566"/>
      <w:bookmarkStart w:id="484" w:name="_Toc175575736"/>
      <w:bookmarkStart w:id="485" w:name="_Toc175576007"/>
      <w:r>
        <w:rPr>
          <w:rStyle w:val="CharSDivNo"/>
          <w:rFonts w:eastAsia="MS Mincho"/>
        </w:rPr>
        <w:t>Part A</w:t>
      </w:r>
      <w:r>
        <w:rPr>
          <w:rFonts w:eastAsia="MS Mincho"/>
          <w:b w:val="0"/>
        </w:rPr>
        <w:t> </w:t>
      </w:r>
      <w:r>
        <w:rPr>
          <w:rFonts w:eastAsia="MS Mincho"/>
        </w:rPr>
        <w:t>— </w:t>
      </w:r>
      <w:r>
        <w:rPr>
          <w:rStyle w:val="CharSDivText"/>
          <w:rFonts w:eastAsia="MS Mincho"/>
        </w:rPr>
        <w:t>Administrator</w:t>
      </w:r>
      <w:bookmarkEnd w:id="481"/>
      <w:bookmarkEnd w:id="482"/>
      <w:bookmarkEnd w:id="483"/>
      <w:bookmarkEnd w:id="484"/>
      <w:bookmarkEnd w:id="485"/>
    </w:p>
    <w:p>
      <w:pPr>
        <w:pStyle w:val="yFootnoteheading"/>
      </w:pPr>
      <w:r>
        <w:tab/>
        <w:t>[Heading inserted: No. 19 of 2010 s. 18(4).]</w:t>
      </w:r>
    </w:p>
    <w:p>
      <w:pPr>
        <w:pStyle w:val="ySubsection"/>
        <w:rPr>
          <w:snapToGrid w:val="0"/>
        </w:rPr>
      </w:pPr>
      <w:r>
        <w:rPr>
          <w:snapToGrid w:val="0"/>
        </w:rPr>
        <w:t>1.</w:t>
      </w:r>
      <w:r>
        <w:rPr>
          <w:snapToGrid w:val="0"/>
        </w:rPr>
        <w:tab/>
      </w:r>
      <w:r>
        <w:rPr>
          <w:snapToGrid w:val="0"/>
        </w:rPr>
        <w:tab/>
        <w:t>To take possession of all or any of the property of the represented person.</w:t>
      </w:r>
    </w:p>
    <w:p>
      <w:pPr>
        <w:pStyle w:val="ySubsection"/>
        <w:rPr>
          <w:snapToGrid w:val="0"/>
        </w:rPr>
      </w:pPr>
      <w:r>
        <w:rPr>
          <w:snapToGrid w:val="0"/>
        </w:rPr>
        <w:t>2</w:t>
      </w:r>
      <w:r>
        <w:rPr>
          <w:b/>
          <w:bCs/>
          <w:snapToGrid w:val="0"/>
        </w:rPr>
        <w:t>.</w:t>
      </w: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r>
        <w:rPr>
          <w:snapToGrid w:val="0"/>
        </w:rPr>
        <w:t>3.</w:t>
      </w:r>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r>
        <w:rPr>
          <w:snapToGrid w:val="0"/>
        </w:rPr>
        <w:t>4.</w:t>
      </w:r>
      <w:r>
        <w:rPr>
          <w:snapToGrid w:val="0"/>
        </w:rPr>
        <w:tab/>
      </w:r>
      <w:r>
        <w:rPr>
          <w:snapToGrid w:val="0"/>
        </w:rPr>
        <w:tab/>
        <w:t>To invest any moneys forming part of the estate in any securities in which trustees may by law invest.</w:t>
      </w:r>
    </w:p>
    <w:p>
      <w:pPr>
        <w:pStyle w:val="ySubsection"/>
        <w:rPr>
          <w:snapToGrid w:val="0"/>
        </w:rPr>
      </w:pPr>
      <w:r>
        <w:rPr>
          <w:snapToGrid w:val="0"/>
        </w:rPr>
        <w:t>5.</w:t>
      </w: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6.</w:t>
      </w: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7.</w:t>
      </w:r>
      <w:r>
        <w:rPr>
          <w:snapToGrid w:val="0"/>
        </w:rPr>
        <w:tab/>
      </w:r>
      <w:r>
        <w:rPr>
          <w:snapToGrid w:val="0"/>
        </w:rPr>
        <w:tab/>
        <w:t>To surrender, or concur in surrendering any lease, accept any lease, accept the surrender of any lease or renew any lease.</w:t>
      </w:r>
    </w:p>
    <w:p>
      <w:pPr>
        <w:pStyle w:val="ySubsection"/>
        <w:rPr>
          <w:snapToGrid w:val="0"/>
        </w:rPr>
      </w:pPr>
      <w:r>
        <w:rPr>
          <w:snapToGrid w:val="0"/>
        </w:rPr>
        <w:t>8.</w:t>
      </w:r>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r>
        <w:rPr>
          <w:snapToGrid w:val="0"/>
        </w:rPr>
        <w:t>9.</w:t>
      </w:r>
      <w:r>
        <w:rPr>
          <w:snapToGrid w:val="0"/>
        </w:rPr>
        <w:tab/>
      </w:r>
      <w:r>
        <w:rPr>
          <w:snapToGrid w:val="0"/>
        </w:rPr>
        <w:tab/>
        <w:t>To repair, and effect any insurance necessary for the protection of, any of the property of the represented person.</w:t>
      </w:r>
    </w:p>
    <w:p>
      <w:pPr>
        <w:pStyle w:val="ySubsection"/>
        <w:rPr>
          <w:snapToGrid w:val="0"/>
        </w:rPr>
      </w:pPr>
      <w:r>
        <w:rPr>
          <w:snapToGrid w:val="0"/>
        </w:rPr>
        <w:lastRenderedPageBreak/>
        <w:t>10.</w:t>
      </w:r>
      <w:r>
        <w:rPr>
          <w:snapToGrid w:val="0"/>
        </w:rPr>
        <w:tab/>
      </w:r>
      <w:r>
        <w:rPr>
          <w:snapToGrid w:val="0"/>
        </w:rPr>
        <w:tab/>
        <w:t>To expend money in the improvement of any property of the represented person by way of building or otherwise.</w:t>
      </w:r>
    </w:p>
    <w:p>
      <w:pPr>
        <w:pStyle w:val="ySubsection"/>
        <w:rPr>
          <w:snapToGrid w:val="0"/>
        </w:rPr>
      </w:pPr>
      <w:r>
        <w:rPr>
          <w:snapToGrid w:val="0"/>
        </w:rPr>
        <w:t>11.</w:t>
      </w:r>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r>
        <w:rPr>
          <w:snapToGrid w:val="0"/>
        </w:rPr>
        <w:t>12.</w:t>
      </w: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r>
        <w:rPr>
          <w:snapToGrid w:val="0"/>
        </w:rPr>
        <w:t>13.</w:t>
      </w: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r>
        <w:rPr>
          <w:snapToGrid w:val="0"/>
        </w:rPr>
        <w:t>14.</w:t>
      </w:r>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r>
        <w:rPr>
          <w:snapToGrid w:val="0"/>
        </w:rPr>
        <w:t>15.</w:t>
      </w:r>
      <w:r>
        <w:rPr>
          <w:snapToGrid w:val="0"/>
        </w:rPr>
        <w:tab/>
      </w:r>
      <w:r>
        <w:rPr>
          <w:snapToGrid w:val="0"/>
        </w:rPr>
        <w:tab/>
        <w:t>To bring, and defend, actions, suits and other legal proceedings in the name of the represented person.</w:t>
      </w:r>
    </w:p>
    <w:p>
      <w:pPr>
        <w:pStyle w:val="ySubsection"/>
        <w:rPr>
          <w:snapToGrid w:val="0"/>
        </w:rPr>
      </w:pPr>
      <w:r>
        <w:rPr>
          <w:snapToGrid w:val="0"/>
        </w:rPr>
        <w:t>16.</w:t>
      </w: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r>
        <w:rPr>
          <w:snapToGrid w:val="0"/>
        </w:rPr>
        <w:t>17.</w:t>
      </w:r>
      <w:r>
        <w:rPr>
          <w:snapToGrid w:val="0"/>
        </w:rPr>
        <w:tab/>
      </w:r>
      <w:r>
        <w:rPr>
          <w:snapToGrid w:val="0"/>
        </w:rPr>
        <w:tab/>
        <w:t>To surrender, assign, or otherwise dispose of, with or without consideration, any onerous property of the represented person.</w:t>
      </w:r>
    </w:p>
    <w:p>
      <w:pPr>
        <w:pStyle w:val="ySubsection"/>
        <w:rPr>
          <w:snapToGrid w:val="0"/>
        </w:rPr>
      </w:pPr>
      <w:r>
        <w:rPr>
          <w:snapToGrid w:val="0"/>
        </w:rPr>
        <w:t>18.</w:t>
      </w:r>
      <w:r>
        <w:rPr>
          <w:snapToGrid w:val="0"/>
        </w:rPr>
        <w:tab/>
      </w:r>
      <w:r>
        <w:rPr>
          <w:snapToGrid w:val="0"/>
        </w:rPr>
        <w:tab/>
        <w:t>To sequestrate the estate of the represented person, under the provisions of the bankruptcy laws.</w:t>
      </w:r>
    </w:p>
    <w:p>
      <w:pPr>
        <w:pStyle w:val="ySubsection"/>
        <w:rPr>
          <w:snapToGrid w:val="0"/>
        </w:rPr>
      </w:pPr>
      <w:r>
        <w:rPr>
          <w:snapToGrid w:val="0"/>
        </w:rPr>
        <w:t>19.</w:t>
      </w: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r>
        <w:rPr>
          <w:snapToGrid w:val="0"/>
        </w:rPr>
        <w:t>20.</w:t>
      </w:r>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w:t>
      </w:r>
      <w:r>
        <w:rPr>
          <w:snapToGrid w:val="0"/>
        </w:rPr>
        <w:lastRenderedPageBreak/>
        <w:t>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r>
        <w:rPr>
          <w:snapToGrid w:val="0"/>
        </w:rPr>
        <w:t>22.</w:t>
      </w: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r>
        <w:rPr>
          <w:snapToGrid w:val="0"/>
        </w:rPr>
        <w:t>23.</w:t>
      </w: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No. 3 of 2002 s. 70; No. 55 of 2004 s. 466.]</w:t>
      </w:r>
    </w:p>
    <w:p>
      <w:pPr>
        <w:pStyle w:val="yHeading3"/>
        <w:rPr>
          <w:rFonts w:eastAsia="MS Mincho"/>
        </w:rPr>
      </w:pPr>
      <w:bookmarkStart w:id="486" w:name="_Toc175234974"/>
      <w:bookmarkStart w:id="487" w:name="_Toc175235247"/>
      <w:bookmarkStart w:id="488" w:name="_Toc175235567"/>
      <w:bookmarkStart w:id="489" w:name="_Toc175575737"/>
      <w:bookmarkStart w:id="490" w:name="_Toc175576008"/>
      <w:r>
        <w:rPr>
          <w:rStyle w:val="CharSDivNo"/>
          <w:rFonts w:eastAsia="MS Mincho"/>
        </w:rPr>
        <w:t>Part B</w:t>
      </w:r>
      <w:r>
        <w:rPr>
          <w:rFonts w:eastAsia="MS Mincho"/>
        </w:rPr>
        <w:t> — </w:t>
      </w:r>
      <w:r>
        <w:rPr>
          <w:rStyle w:val="CharSDivText"/>
          <w:rFonts w:eastAsia="MS Mincho"/>
        </w:rPr>
        <w:t>State Administrative Tribunal</w:t>
      </w:r>
      <w:bookmarkEnd w:id="486"/>
      <w:bookmarkEnd w:id="487"/>
      <w:bookmarkEnd w:id="488"/>
      <w:bookmarkEnd w:id="489"/>
      <w:bookmarkEnd w:id="490"/>
    </w:p>
    <w:p>
      <w:pPr>
        <w:pStyle w:val="yFootnoteheading"/>
      </w:pPr>
      <w:r>
        <w:tab/>
        <w:t>[Heading inserted: No. 19 of 2010 s. 18(5).]</w:t>
      </w:r>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lastRenderedPageBreak/>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No. 55 of 2004 s. 466.]</w:t>
      </w:r>
    </w:p>
    <w:p>
      <w:pPr>
        <w:pStyle w:val="yScheduleHeading"/>
        <w:rPr>
          <w:rFonts w:eastAsia="MS Mincho"/>
        </w:rPr>
      </w:pPr>
      <w:bookmarkStart w:id="491" w:name="_Toc175234975"/>
      <w:bookmarkStart w:id="492" w:name="_Toc175235248"/>
      <w:bookmarkStart w:id="493" w:name="_Toc175235568"/>
      <w:bookmarkStart w:id="494" w:name="_Toc175575738"/>
      <w:bookmarkStart w:id="495" w:name="_Toc175576009"/>
      <w:r>
        <w:rPr>
          <w:rStyle w:val="CharSchNo"/>
          <w:rFonts w:eastAsia="MS Mincho"/>
        </w:rPr>
        <w:lastRenderedPageBreak/>
        <w:t>Schedule 3</w:t>
      </w:r>
      <w:r>
        <w:rPr>
          <w:rStyle w:val="CharSDivNo"/>
          <w:rFonts w:eastAsia="MS Mincho"/>
        </w:rPr>
        <w:t> </w:t>
      </w:r>
      <w:r>
        <w:rPr>
          <w:rFonts w:eastAsia="MS Mincho"/>
        </w:rPr>
        <w:t>—</w:t>
      </w:r>
      <w:r>
        <w:rPr>
          <w:rStyle w:val="CharSDivText"/>
          <w:rFonts w:eastAsia="MS Mincho"/>
        </w:rPr>
        <w:t> </w:t>
      </w:r>
      <w:r>
        <w:rPr>
          <w:rStyle w:val="CharSchText"/>
          <w:rFonts w:eastAsia="MS Mincho"/>
        </w:rPr>
        <w:t>Forms for enduring power of attorney</w:t>
      </w:r>
      <w:bookmarkEnd w:id="491"/>
      <w:bookmarkEnd w:id="492"/>
      <w:bookmarkEnd w:id="493"/>
      <w:bookmarkEnd w:id="494"/>
      <w:bookmarkEnd w:id="495"/>
    </w:p>
    <w:p>
      <w:pPr>
        <w:pStyle w:val="yShoulderClause"/>
        <w:rPr>
          <w:rFonts w:eastAsia="MS Mincho"/>
        </w:rPr>
      </w:pPr>
      <w:r>
        <w:rPr>
          <w:rFonts w:eastAsia="MS Mincho"/>
        </w:rPr>
        <w:t>[s. 104]</w:t>
      </w:r>
    </w:p>
    <w:p>
      <w:pPr>
        <w:pStyle w:val="yFootnoteheading"/>
      </w:pPr>
      <w:r>
        <w:tab/>
        <w:t>[Heading inserted: No. 19 of 2010 s. 18(6).]</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No. 70 of 2000 s. 20(1); No. 55 of 2004 s. 465.]</w:t>
      </w:r>
    </w:p>
    <w:p>
      <w:pPr>
        <w:pStyle w:val="MiscellaneousHeading"/>
        <w:pageBreakBefore/>
        <w:rPr>
          <w:snapToGrid w:val="0"/>
          <w:sz w:val="22"/>
        </w:rPr>
      </w:pPr>
      <w:r>
        <w:rPr>
          <w:snapToGrid w:val="0"/>
          <w:sz w:val="22"/>
        </w:rPr>
        <w:lastRenderedPageBreak/>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No. 70 of 2000 s. 20(2); No. 55 of 2004 s. 465.]</w:t>
      </w:r>
    </w:p>
    <w:p>
      <w:pPr>
        <w:pStyle w:val="yEdnoteschedule"/>
      </w:pPr>
      <w:r>
        <w:t>[Schedule 4 omitted under the Reprints Act 1984 s. 7(4)(e).]</w:t>
      </w:r>
    </w:p>
    <w:p>
      <w:pPr>
        <w:sectPr>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pPr>
        <w:pStyle w:val="yScheduleHeading"/>
      </w:pPr>
      <w:bookmarkStart w:id="496" w:name="_Toc175234976"/>
      <w:bookmarkStart w:id="497" w:name="_Toc175235249"/>
      <w:bookmarkStart w:id="498" w:name="_Toc175235569"/>
      <w:bookmarkStart w:id="499" w:name="_Toc175575739"/>
      <w:bookmarkStart w:id="500" w:name="_Toc175576010"/>
      <w:r>
        <w:rPr>
          <w:rStyle w:val="CharSchNo"/>
        </w:rPr>
        <w:lastRenderedPageBreak/>
        <w:t>Schedule 5</w:t>
      </w:r>
      <w:r>
        <w:t> — </w:t>
      </w:r>
      <w:r>
        <w:rPr>
          <w:rStyle w:val="CharSchText"/>
        </w:rPr>
        <w:t>Transitional provisions</w:t>
      </w:r>
      <w:bookmarkEnd w:id="496"/>
      <w:bookmarkEnd w:id="497"/>
      <w:bookmarkEnd w:id="498"/>
      <w:bookmarkEnd w:id="499"/>
      <w:bookmarkEnd w:id="500"/>
    </w:p>
    <w:p>
      <w:pPr>
        <w:pStyle w:val="yShoulderClause"/>
      </w:pPr>
      <w:r>
        <w:t>[s. 124]</w:t>
      </w:r>
    </w:p>
    <w:p>
      <w:pPr>
        <w:pStyle w:val="yFootnoteheading"/>
      </w:pPr>
      <w:r>
        <w:tab/>
        <w:t>[Heading amended: No. 19 of 2010 s. 18(7).]</w:t>
      </w:r>
    </w:p>
    <w:p>
      <w:pPr>
        <w:pStyle w:val="yHeading3"/>
      </w:pPr>
      <w:bookmarkStart w:id="501" w:name="_Toc175234977"/>
      <w:bookmarkStart w:id="502" w:name="_Toc175235250"/>
      <w:bookmarkStart w:id="503" w:name="_Toc175235570"/>
      <w:bookmarkStart w:id="504" w:name="_Toc175575740"/>
      <w:bookmarkStart w:id="505" w:name="_Toc175576011"/>
      <w:r>
        <w:rPr>
          <w:rStyle w:val="CharSDivNo"/>
        </w:rPr>
        <w:t>Division 1</w:t>
      </w:r>
      <w:r>
        <w:t> — </w:t>
      </w:r>
      <w:r>
        <w:rPr>
          <w:rStyle w:val="CharSDivText"/>
        </w:rPr>
        <w:t xml:space="preserve">Transitional matters for </w:t>
      </w:r>
      <w:r>
        <w:rPr>
          <w:rStyle w:val="CharSDivText"/>
          <w:i/>
        </w:rPr>
        <w:t>Guardianship and Administration Act 1990</w:t>
      </w:r>
      <w:bookmarkEnd w:id="501"/>
      <w:bookmarkEnd w:id="502"/>
      <w:bookmarkEnd w:id="503"/>
      <w:bookmarkEnd w:id="504"/>
      <w:bookmarkEnd w:id="505"/>
    </w:p>
    <w:p>
      <w:pPr>
        <w:pStyle w:val="yFootnoteheading"/>
      </w:pPr>
      <w:r>
        <w:tab/>
        <w:t>[Heading inserted: No. 25 of 2014 s. 22.]</w:t>
      </w:r>
    </w:p>
    <w:p>
      <w:pPr>
        <w:pStyle w:val="yHeading5"/>
      </w:pPr>
      <w:bookmarkStart w:id="506" w:name="_Toc175576012"/>
      <w:r>
        <w:rPr>
          <w:rStyle w:val="CharSClsNo"/>
        </w:rPr>
        <w:t>1A</w:t>
      </w:r>
      <w:r>
        <w:t>.</w:t>
      </w:r>
      <w:r>
        <w:tab/>
        <w:t>Application of this Division</w:t>
      </w:r>
      <w:bookmarkEnd w:id="506"/>
    </w:p>
    <w:p>
      <w:pPr>
        <w:pStyle w:val="ySubsection"/>
      </w:pPr>
      <w:r>
        <w:tab/>
      </w:r>
      <w:r>
        <w:tab/>
        <w:t>This Division does not apply in relation to the estate of a person to whom Division 2 applies.</w:t>
      </w:r>
    </w:p>
    <w:p>
      <w:pPr>
        <w:pStyle w:val="yFootnotesection"/>
      </w:pPr>
      <w:r>
        <w:tab/>
        <w:t>[Clause 1A inserted: No. 25 of 2014 s. 23.]</w:t>
      </w:r>
    </w:p>
    <w:p>
      <w:pPr>
        <w:pStyle w:val="yHeading5"/>
      </w:pPr>
      <w:bookmarkStart w:id="507" w:name="_Toc175576013"/>
      <w:r>
        <w:rPr>
          <w:rStyle w:val="CharSClsNo"/>
        </w:rPr>
        <w:t>1</w:t>
      </w:r>
      <w:r>
        <w:t xml:space="preserve">. </w:t>
      </w:r>
      <w:r>
        <w:tab/>
        <w:t>Existing functions of Public Trustee to continue</w:t>
      </w:r>
      <w:bookmarkEnd w:id="507"/>
      <w: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keepNext/>
        <w:rPr>
          <w:snapToGrid w:val="0"/>
        </w:rPr>
      </w:pPr>
      <w:r>
        <w:rPr>
          <w:snapToGrid w:val="0"/>
        </w:rPr>
        <w:lastRenderedPageBreak/>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keepNext/>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w:t>
      </w:r>
      <w:r>
        <w:rPr>
          <w:snapToGrid w:val="0"/>
        </w:rPr>
        <w:lastRenderedPageBreak/>
        <w:t xml:space="preserve">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No. 69 of 1996 s. 37.]</w:t>
      </w:r>
    </w:p>
    <w:p>
      <w:pPr>
        <w:pStyle w:val="yHeading5"/>
      </w:pPr>
      <w:bookmarkStart w:id="508" w:name="_Toc175576014"/>
      <w:r>
        <w:rPr>
          <w:rStyle w:val="CharSClsNo"/>
        </w:rPr>
        <w:t>2</w:t>
      </w:r>
      <w:r>
        <w:t xml:space="preserve">. </w:t>
      </w:r>
      <w:r>
        <w:tab/>
        <w:t xml:space="preserve">Existing managers under </w:t>
      </w:r>
      <w:r>
        <w:rPr>
          <w:i/>
        </w:rPr>
        <w:t>Mental Health Act 1962</w:t>
      </w:r>
      <w:r>
        <w:t xml:space="preserve"> to continue</w:t>
      </w:r>
      <w:bookmarkEnd w:id="508"/>
      <w: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7</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7</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pPr>
      <w:bookmarkStart w:id="509" w:name="_Toc175576015"/>
      <w:r>
        <w:rPr>
          <w:rStyle w:val="CharSClsNo"/>
        </w:rPr>
        <w:t>3</w:t>
      </w:r>
      <w:r>
        <w:t xml:space="preserve">. </w:t>
      </w:r>
      <w:r>
        <w:tab/>
        <w:t>Application for administration order may be made</w:t>
      </w:r>
      <w:bookmarkEnd w:id="509"/>
      <w: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7</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keepNext/>
        <w:keepLines/>
        <w:rPr>
          <w:snapToGrid w:val="0"/>
        </w:rPr>
      </w:pPr>
      <w:r>
        <w:rPr>
          <w:snapToGrid w:val="0"/>
        </w:rPr>
        <w:lastRenderedPageBreak/>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No. 55 of 2004 s. 466(1).]</w:t>
      </w:r>
    </w:p>
    <w:p>
      <w:pPr>
        <w:pStyle w:val="yHeading5"/>
      </w:pPr>
      <w:bookmarkStart w:id="510" w:name="_Toc175576016"/>
      <w:r>
        <w:rPr>
          <w:rStyle w:val="CharSClsNo"/>
        </w:rPr>
        <w:t>4</w:t>
      </w:r>
      <w:r>
        <w:t xml:space="preserve">. </w:t>
      </w:r>
      <w:r>
        <w:tab/>
        <w:t>References in other laws</w:t>
      </w:r>
      <w:bookmarkEnd w:id="510"/>
      <w: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7</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pPr>
      <w:bookmarkStart w:id="511" w:name="_Toc175576017"/>
      <w:r>
        <w:rPr>
          <w:rStyle w:val="CharSClsNo"/>
        </w:rPr>
        <w:t>5</w:t>
      </w:r>
      <w:r>
        <w:t xml:space="preserve">. </w:t>
      </w:r>
      <w:r>
        <w:tab/>
        <w:t xml:space="preserve">Proceedings in progress under </w:t>
      </w:r>
      <w:r>
        <w:rPr>
          <w:i/>
        </w:rPr>
        <w:t>Mental Health Act 1962</w:t>
      </w:r>
      <w:r>
        <w:t xml:space="preserve"> Pt. VI</w:t>
      </w:r>
      <w:bookmarkEnd w:id="511"/>
      <w:r>
        <w:t>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7</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7</w:t>
      </w:r>
      <w:r>
        <w:rPr>
          <w:snapToGrid w:val="0"/>
        </w:rPr>
        <w:t xml:space="preserve"> after the commencement of section 123 as if that section had not come into operation.</w:t>
      </w:r>
    </w:p>
    <w:p>
      <w:pPr>
        <w:pStyle w:val="yHeading5"/>
      </w:pPr>
      <w:bookmarkStart w:id="512" w:name="_Toc175576018"/>
      <w:r>
        <w:rPr>
          <w:rStyle w:val="CharSClsNo"/>
        </w:rPr>
        <w:lastRenderedPageBreak/>
        <w:t>6</w:t>
      </w:r>
      <w:r>
        <w:t>.</w:t>
      </w:r>
      <w:r>
        <w:tab/>
        <w:t>Final accounts where administration order made</w:t>
      </w:r>
      <w:bookmarkEnd w:id="512"/>
      <w:r>
        <w:t xml:space="preserve"> </w:t>
      </w:r>
    </w:p>
    <w:p>
      <w:pPr>
        <w:pStyle w:val="ySubsection"/>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pStyle w:val="yHeading3"/>
      </w:pPr>
      <w:bookmarkStart w:id="513" w:name="_Toc175234985"/>
      <w:bookmarkStart w:id="514" w:name="_Toc175235258"/>
      <w:bookmarkStart w:id="515" w:name="_Toc175235578"/>
      <w:bookmarkStart w:id="516" w:name="_Toc175575748"/>
      <w:bookmarkStart w:id="517" w:name="_Toc175576019"/>
      <w:r>
        <w:rPr>
          <w:rStyle w:val="CharSDivNo"/>
        </w:rPr>
        <w:t>Division 2</w:t>
      </w:r>
      <w:r>
        <w:t> — </w:t>
      </w:r>
      <w:r>
        <w:rPr>
          <w:rStyle w:val="CharSDivText"/>
        </w:rPr>
        <w:t xml:space="preserve">Transitional matters in connection with </w:t>
      </w:r>
      <w:r>
        <w:rPr>
          <w:rStyle w:val="CharSDivText"/>
          <w:i/>
        </w:rPr>
        <w:t>Mental Health Act 2014</w:t>
      </w:r>
      <w:bookmarkEnd w:id="513"/>
      <w:bookmarkEnd w:id="514"/>
      <w:bookmarkEnd w:id="515"/>
      <w:bookmarkEnd w:id="516"/>
      <w:bookmarkEnd w:id="517"/>
    </w:p>
    <w:p>
      <w:pPr>
        <w:pStyle w:val="Footnoteheading"/>
      </w:pPr>
      <w:r>
        <w:tab/>
        <w:t>[Heading inserted: No. 25 of 2014 s. 24.]</w:t>
      </w:r>
    </w:p>
    <w:p>
      <w:pPr>
        <w:pStyle w:val="yHeading5"/>
      </w:pPr>
      <w:bookmarkStart w:id="518" w:name="_Toc175576020"/>
      <w:r>
        <w:rPr>
          <w:rStyle w:val="CharSClsNo"/>
        </w:rPr>
        <w:t>7</w:t>
      </w:r>
      <w:r>
        <w:t>.</w:t>
      </w:r>
      <w:r>
        <w:tab/>
        <w:t>Estates being managed by Public Trustee under Division 1</w:t>
      </w:r>
      <w:bookmarkEnd w:id="518"/>
    </w:p>
    <w:p>
      <w:pPr>
        <w:pStyle w:val="ySubsection"/>
      </w:pPr>
      <w:r>
        <w:tab/>
        <w:t>(1)</w:t>
      </w:r>
      <w:r>
        <w:tab/>
        <w:t xml:space="preserve">Subclause (2) applies to a person whose estate was, immediately before the day on which the </w:t>
      </w:r>
      <w:r>
        <w:rPr>
          <w:i/>
        </w:rPr>
        <w:t>Mental Health Legislation Amendment Act 2014</w:t>
      </w:r>
      <w:r>
        <w:t xml:space="preserve"> section 24 commences (the </w:t>
      </w:r>
      <w:r>
        <w:rPr>
          <w:rStyle w:val="CharDefText"/>
        </w:rPr>
        <w:t>prescribed day</w:t>
      </w:r>
      <w:r>
        <w:t xml:space="preserve">) — </w:t>
      </w:r>
    </w:p>
    <w:p>
      <w:pPr>
        <w:pStyle w:val="yIndenta"/>
      </w:pPr>
      <w:r>
        <w:tab/>
        <w:t>(a)</w:t>
      </w:r>
      <w:r>
        <w:tab/>
        <w:t>under the care and management of the Public Trustee as provided by clause 1; or</w:t>
      </w:r>
    </w:p>
    <w:p>
      <w:pPr>
        <w:pStyle w:val="yIndenta"/>
      </w:pPr>
      <w:r>
        <w:tab/>
        <w:t>(b)</w:t>
      </w:r>
      <w:r>
        <w:tab/>
        <w:t>being managed by the Public Trustee as provided by clause 2 or because of clause 5.</w:t>
      </w:r>
    </w:p>
    <w:p>
      <w:pPr>
        <w:pStyle w:val="ySubsection"/>
      </w:pPr>
      <w:r>
        <w:tab/>
        <w:t>(2)</w:t>
      </w:r>
      <w:r>
        <w:tab/>
        <w:t>The person is taken to be under an administration order appointing the Public Trustee as the administrator of the person’s estate.</w:t>
      </w:r>
    </w:p>
    <w:p>
      <w:pPr>
        <w:pStyle w:val="ySubsection"/>
      </w:pPr>
      <w:r>
        <w:tab/>
        <w:t>(3)</w:t>
      </w:r>
      <w:r>
        <w:tab/>
        <w:t xml:space="preserve">Despite any other provision of this Act or any provision of the </w:t>
      </w:r>
      <w:r>
        <w:rPr>
          <w:i/>
        </w:rPr>
        <w:t>Public Trustee Act 1941</w:t>
      </w:r>
      <w:r>
        <w:t>, the Public Trustee has the same functions, duties and powers in relation to the person’s estate that the Public Trustee had immediately before the prescribed day.</w:t>
      </w:r>
    </w:p>
    <w:p>
      <w:pPr>
        <w:pStyle w:val="ySubsection"/>
      </w:pPr>
      <w:r>
        <w:tab/>
        <w:t>(4)</w:t>
      </w:r>
      <w:r>
        <w:tab/>
        <w:t>An administration order referred to in subclause (2) must be reviewed under section 84 on or within 3 years after the prescribed day.</w:t>
      </w:r>
    </w:p>
    <w:p>
      <w:pPr>
        <w:pStyle w:val="ySubsection"/>
      </w:pPr>
      <w:r>
        <w:tab/>
        <w:t>(5)</w:t>
      </w:r>
      <w:r>
        <w:tab/>
        <w:t>The Public Trustee must, on or as soon as practicable after the prescribed day, give to the Public Advocate and the State Administrative Tribunal a list of the persons to whom subclause (2) applies.</w:t>
      </w:r>
    </w:p>
    <w:p>
      <w:pPr>
        <w:pStyle w:val="yFootnotesection"/>
      </w:pPr>
      <w:r>
        <w:tab/>
        <w:t>[Clause 7 inserted: No. 25 of 2014 s. 24.]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31"/>
          <w:headerReference w:type="default" r:id="rId32"/>
          <w:pgSz w:w="11907" w:h="16840" w:code="9"/>
          <w:pgMar w:top="2381" w:right="2410" w:bottom="3544" w:left="2410" w:header="720" w:footer="3544" w:gutter="0"/>
          <w:cols w:space="720"/>
        </w:sectPr>
      </w:pPr>
    </w:p>
    <w:p>
      <w:pPr>
        <w:pStyle w:val="nHeading2"/>
      </w:pPr>
      <w:bookmarkStart w:id="519" w:name="_Toc175234987"/>
      <w:bookmarkStart w:id="520" w:name="_Toc175235260"/>
      <w:bookmarkStart w:id="521" w:name="_Toc175235580"/>
      <w:bookmarkStart w:id="522" w:name="_Toc175575750"/>
      <w:bookmarkStart w:id="523" w:name="_Toc175576021"/>
      <w:r>
        <w:lastRenderedPageBreak/>
        <w:t>Notes</w:t>
      </w:r>
      <w:bookmarkEnd w:id="519"/>
      <w:bookmarkEnd w:id="520"/>
      <w:bookmarkEnd w:id="521"/>
      <w:bookmarkEnd w:id="522"/>
      <w:bookmarkEnd w:id="523"/>
    </w:p>
    <w:p>
      <w:pPr>
        <w:pStyle w:val="nStatement"/>
      </w:pPr>
      <w:r>
        <w:t xml:space="preserve">This is a compilation of the </w:t>
      </w:r>
      <w:r>
        <w:rPr>
          <w:i/>
          <w:noProof/>
        </w:rPr>
        <w:t>Guardianship and Administration Act 1990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24" w:name="_Toc175576022"/>
      <w:r>
        <w:t>Compilation table</w:t>
      </w:r>
      <w:bookmarkEnd w:id="524"/>
    </w:p>
    <w:tbl>
      <w:tblPr>
        <w:tblW w:w="7090" w:type="dxa"/>
        <w:tblInd w:w="141" w:type="dxa"/>
        <w:tblLayout w:type="fixed"/>
        <w:tblCellMar>
          <w:left w:w="56" w:type="dxa"/>
          <w:right w:w="56" w:type="dxa"/>
        </w:tblCellMar>
        <w:tblLook w:val="0000" w:firstRow="0" w:lastRow="0" w:firstColumn="0" w:lastColumn="0" w:noHBand="0" w:noVBand="0"/>
      </w:tblPr>
      <w:tblGrid>
        <w:gridCol w:w="2259"/>
        <w:gridCol w:w="1131"/>
        <w:gridCol w:w="1130"/>
        <w:gridCol w:w="2562"/>
        <w:gridCol w:w="8"/>
      </w:tblGrid>
      <w:tr>
        <w:trPr>
          <w:tblHeader/>
        </w:trPr>
        <w:tc>
          <w:tcPr>
            <w:tcW w:w="2259" w:type="dxa"/>
            <w:tcBorders>
              <w:top w:val="single" w:sz="8" w:space="0" w:color="auto"/>
              <w:bottom w:val="single" w:sz="8" w:space="0" w:color="auto"/>
            </w:tcBorders>
          </w:tcPr>
          <w:p>
            <w:pPr>
              <w:pStyle w:val="nTable"/>
              <w:spacing w:after="40"/>
              <w:rPr>
                <w:b/>
              </w:rPr>
            </w:pPr>
            <w:r>
              <w:rPr>
                <w:b/>
              </w:rPr>
              <w:t>Short title</w:t>
            </w:r>
          </w:p>
        </w:tc>
        <w:tc>
          <w:tcPr>
            <w:tcW w:w="1131" w:type="dxa"/>
            <w:tcBorders>
              <w:top w:val="single" w:sz="8" w:space="0" w:color="auto"/>
              <w:bottom w:val="single" w:sz="8" w:space="0" w:color="auto"/>
            </w:tcBorders>
          </w:tcPr>
          <w:p>
            <w:pPr>
              <w:pStyle w:val="nTable"/>
              <w:spacing w:after="40"/>
              <w:rPr>
                <w:b/>
              </w:rPr>
            </w:pPr>
            <w:r>
              <w:rPr>
                <w:b/>
              </w:rPr>
              <w:t>Number and year</w:t>
            </w:r>
          </w:p>
        </w:tc>
        <w:tc>
          <w:tcPr>
            <w:tcW w:w="1130" w:type="dxa"/>
            <w:tcBorders>
              <w:top w:val="single" w:sz="8" w:space="0" w:color="auto"/>
              <w:bottom w:val="single" w:sz="8" w:space="0" w:color="auto"/>
            </w:tcBorders>
          </w:tcPr>
          <w:p>
            <w:pPr>
              <w:pStyle w:val="nTable"/>
              <w:spacing w:after="40"/>
              <w:rPr>
                <w:b/>
              </w:rPr>
            </w:pPr>
            <w:r>
              <w:rPr>
                <w:b/>
              </w:rPr>
              <w:t>Assent</w:t>
            </w:r>
          </w:p>
        </w:tc>
        <w:tc>
          <w:tcPr>
            <w:tcW w:w="2570"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59" w:type="dxa"/>
          </w:tcPr>
          <w:p>
            <w:pPr>
              <w:pStyle w:val="nTable"/>
              <w:spacing w:after="40"/>
            </w:pPr>
            <w:r>
              <w:rPr>
                <w:i/>
              </w:rPr>
              <w:t>Guardianship and Administration Act 1990</w:t>
            </w:r>
          </w:p>
        </w:tc>
        <w:tc>
          <w:tcPr>
            <w:tcW w:w="1131" w:type="dxa"/>
          </w:tcPr>
          <w:p>
            <w:pPr>
              <w:pStyle w:val="nTable"/>
              <w:spacing w:after="40"/>
            </w:pPr>
            <w:r>
              <w:t>24 of 1990</w:t>
            </w:r>
          </w:p>
        </w:tc>
        <w:tc>
          <w:tcPr>
            <w:tcW w:w="1130" w:type="dxa"/>
          </w:tcPr>
          <w:p>
            <w:pPr>
              <w:pStyle w:val="nTable"/>
              <w:spacing w:after="40"/>
            </w:pPr>
            <w:r>
              <w:t>7 Sep 1990</w:t>
            </w:r>
          </w:p>
        </w:tc>
        <w:tc>
          <w:tcPr>
            <w:tcW w:w="2570" w:type="dxa"/>
            <w:gridSpan w:val="2"/>
          </w:tcPr>
          <w:p>
            <w:pPr>
              <w:pStyle w:val="nTable"/>
              <w:spacing w:after="40"/>
            </w:pPr>
            <w:r>
              <w:rPr>
                <w:color w:val="000000"/>
              </w:rPr>
              <w:t>s. 1 and 2: 7 Sep 1990;</w:t>
            </w:r>
            <w:r>
              <w:rPr>
                <w:color w:val="000000"/>
              </w:rPr>
              <w:br/>
            </w:r>
            <w:r>
              <w:t>Act other than s. 1 and 2, Pt. 4</w:t>
            </w:r>
            <w:r>
              <w:noBreakHyphen/>
              <w:t xml:space="preserve">7, s. 123, 124 and Sch. 2, 4 and 5: 1 Jul 1992 (see s. 2 and </w:t>
            </w:r>
            <w:r>
              <w:rPr>
                <w:i/>
              </w:rPr>
              <w:t>Gazette</w:t>
            </w:r>
            <w:r>
              <w:t xml:space="preserve"> 26 Jun 1992 p. 2649); </w:t>
            </w:r>
            <w:r>
              <w:br/>
              <w:t>Pt. 4</w:t>
            </w:r>
            <w:r>
              <w:noBreakHyphen/>
              <w:t xml:space="preserve">7, s. 123, 124 and Sch. 2, 4 and 5: 20 Oct 1992 (see s. 2 and </w:t>
            </w:r>
            <w:r>
              <w:rPr>
                <w:i/>
              </w:rPr>
              <w:t>Gazette</w:t>
            </w:r>
            <w:r>
              <w:t xml:space="preserve"> 2 Oct 1992 p. 4811)</w:t>
            </w:r>
          </w:p>
        </w:tc>
      </w:tr>
      <w:tr>
        <w:trPr>
          <w:cantSplit/>
        </w:trPr>
        <w:tc>
          <w:tcPr>
            <w:tcW w:w="2259" w:type="dxa"/>
          </w:tcPr>
          <w:p>
            <w:pPr>
              <w:pStyle w:val="nTable"/>
              <w:spacing w:after="40"/>
            </w:pPr>
            <w:r>
              <w:rPr>
                <w:i/>
              </w:rPr>
              <w:t>Guardianship and Administration Amendment Act 1992</w:t>
            </w:r>
          </w:p>
        </w:tc>
        <w:tc>
          <w:tcPr>
            <w:tcW w:w="1131" w:type="dxa"/>
          </w:tcPr>
          <w:p>
            <w:pPr>
              <w:pStyle w:val="nTable"/>
              <w:spacing w:after="40"/>
            </w:pPr>
            <w:r>
              <w:t>16 of 1992</w:t>
            </w:r>
          </w:p>
        </w:tc>
        <w:tc>
          <w:tcPr>
            <w:tcW w:w="1130" w:type="dxa"/>
          </w:tcPr>
          <w:p>
            <w:pPr>
              <w:pStyle w:val="nTable"/>
              <w:spacing w:after="40"/>
            </w:pPr>
            <w:r>
              <w:t>17 Jun 1992</w:t>
            </w:r>
          </w:p>
        </w:tc>
        <w:tc>
          <w:tcPr>
            <w:tcW w:w="2570" w:type="dxa"/>
            <w:gridSpan w:val="2"/>
          </w:tcPr>
          <w:p>
            <w:pPr>
              <w:pStyle w:val="nTable"/>
              <w:spacing w:after="40"/>
            </w:pPr>
            <w:r>
              <w:t>17 Jun 1992 (see s. 2)</w:t>
            </w:r>
          </w:p>
        </w:tc>
      </w:tr>
      <w:tr>
        <w:trPr>
          <w:cantSplit/>
        </w:trPr>
        <w:tc>
          <w:tcPr>
            <w:tcW w:w="2259" w:type="dxa"/>
          </w:tcPr>
          <w:p>
            <w:pPr>
              <w:pStyle w:val="nTable"/>
              <w:spacing w:after="40"/>
            </w:pPr>
            <w:r>
              <w:rPr>
                <w:i/>
              </w:rPr>
              <w:t>Acts Amendment (Public Sector Management) Act 1994</w:t>
            </w:r>
            <w:r>
              <w:t xml:space="preserve"> s. 3(2)</w:t>
            </w:r>
          </w:p>
        </w:tc>
        <w:tc>
          <w:tcPr>
            <w:tcW w:w="1131" w:type="dxa"/>
          </w:tcPr>
          <w:p>
            <w:pPr>
              <w:pStyle w:val="nTable"/>
              <w:spacing w:after="40"/>
            </w:pPr>
            <w:r>
              <w:t>32 of 1994</w:t>
            </w:r>
          </w:p>
        </w:tc>
        <w:tc>
          <w:tcPr>
            <w:tcW w:w="1130" w:type="dxa"/>
          </w:tcPr>
          <w:p>
            <w:pPr>
              <w:pStyle w:val="nTable"/>
              <w:spacing w:after="40"/>
            </w:pPr>
            <w:r>
              <w:t>29 Jun 1994</w:t>
            </w:r>
          </w:p>
        </w:tc>
        <w:tc>
          <w:tcPr>
            <w:tcW w:w="2570" w:type="dxa"/>
            <w:gridSpan w:val="2"/>
          </w:tcPr>
          <w:p>
            <w:pPr>
              <w:pStyle w:val="nTable"/>
              <w:spacing w:after="40"/>
            </w:pPr>
            <w:r>
              <w:t xml:space="preserve">1 Oct 1994 (see s. 2 and </w:t>
            </w:r>
            <w:r>
              <w:rPr>
                <w:i/>
              </w:rPr>
              <w:t>Gazette</w:t>
            </w:r>
            <w:r>
              <w:t xml:space="preserve"> 30 Sep 1994 p. 4948)</w:t>
            </w:r>
          </w:p>
        </w:tc>
      </w:tr>
      <w:tr>
        <w:trPr>
          <w:cantSplit/>
        </w:trPr>
        <w:tc>
          <w:tcPr>
            <w:tcW w:w="2259" w:type="dxa"/>
          </w:tcPr>
          <w:p>
            <w:pPr>
              <w:pStyle w:val="nTable"/>
              <w:spacing w:after="40"/>
            </w:pPr>
            <w:r>
              <w:rPr>
                <w:i/>
              </w:rPr>
              <w:t>Guardianship and Administration Amendment Act 1996</w:t>
            </w:r>
          </w:p>
        </w:tc>
        <w:tc>
          <w:tcPr>
            <w:tcW w:w="1131" w:type="dxa"/>
          </w:tcPr>
          <w:p>
            <w:pPr>
              <w:pStyle w:val="nTable"/>
              <w:spacing w:after="40"/>
            </w:pPr>
            <w:r>
              <w:t>7 of 1996</w:t>
            </w:r>
          </w:p>
        </w:tc>
        <w:tc>
          <w:tcPr>
            <w:tcW w:w="1130" w:type="dxa"/>
          </w:tcPr>
          <w:p>
            <w:pPr>
              <w:pStyle w:val="nTable"/>
              <w:spacing w:after="40"/>
            </w:pPr>
            <w:r>
              <w:t>24 May 1996</w:t>
            </w:r>
          </w:p>
        </w:tc>
        <w:tc>
          <w:tcPr>
            <w:tcW w:w="2570" w:type="dxa"/>
            <w:gridSpan w:val="2"/>
          </w:tcPr>
          <w:p>
            <w:pPr>
              <w:pStyle w:val="nTable"/>
              <w:spacing w:after="40"/>
            </w:pPr>
            <w:r>
              <w:rPr>
                <w:color w:val="000000"/>
              </w:rPr>
              <w:t>s. 1 and 2: 24 May 1996;</w:t>
            </w:r>
            <w:r>
              <w:rPr>
                <w:color w:val="000000"/>
              </w:rPr>
              <w:br/>
              <w:t xml:space="preserve">Act other than s. 1 and 2: </w:t>
            </w:r>
            <w:r>
              <w:t xml:space="preserve">1 Jul 1996 (see s. 2 and </w:t>
            </w:r>
            <w:r>
              <w:rPr>
                <w:i/>
              </w:rPr>
              <w:t>Gazette</w:t>
            </w:r>
            <w:r>
              <w:t xml:space="preserve"> 28 Jun 1996 p. 3014)</w:t>
            </w:r>
          </w:p>
        </w:tc>
      </w:tr>
      <w:tr>
        <w:trPr>
          <w:cantSplit/>
        </w:trPr>
        <w:tc>
          <w:tcPr>
            <w:tcW w:w="2259" w:type="dxa"/>
          </w:tcPr>
          <w:p>
            <w:pPr>
              <w:pStyle w:val="nTable"/>
              <w:spacing w:after="40"/>
            </w:pPr>
            <w:r>
              <w:rPr>
                <w:i/>
              </w:rPr>
              <w:t>Mental Health (Consequential Provisions) Act 1996</w:t>
            </w:r>
            <w:r>
              <w:t xml:space="preserve"> Pt. 8</w:t>
            </w:r>
          </w:p>
        </w:tc>
        <w:tc>
          <w:tcPr>
            <w:tcW w:w="1131" w:type="dxa"/>
          </w:tcPr>
          <w:p>
            <w:pPr>
              <w:pStyle w:val="nTable"/>
              <w:spacing w:after="40"/>
            </w:pPr>
            <w:r>
              <w:t>69 of 1996</w:t>
            </w:r>
          </w:p>
        </w:tc>
        <w:tc>
          <w:tcPr>
            <w:tcW w:w="1130" w:type="dxa"/>
          </w:tcPr>
          <w:p>
            <w:pPr>
              <w:pStyle w:val="nTable"/>
              <w:spacing w:after="40"/>
            </w:pPr>
            <w:r>
              <w:t>13 Nov 1996</w:t>
            </w:r>
          </w:p>
        </w:tc>
        <w:tc>
          <w:tcPr>
            <w:tcW w:w="2570" w:type="dxa"/>
            <w:gridSpan w:val="2"/>
          </w:tcPr>
          <w:p>
            <w:pPr>
              <w:pStyle w:val="nTable"/>
              <w:spacing w:after="40"/>
            </w:pPr>
            <w:r>
              <w:t>13 Nov 1997 (see s. 2)</w:t>
            </w:r>
          </w:p>
        </w:tc>
      </w:tr>
      <w:tr>
        <w:trPr>
          <w:cantSplit/>
        </w:trPr>
        <w:tc>
          <w:tcPr>
            <w:tcW w:w="7090" w:type="dxa"/>
            <w:gridSpan w:val="5"/>
          </w:tcPr>
          <w:p>
            <w:pPr>
              <w:pStyle w:val="nTable"/>
              <w:spacing w:after="40"/>
            </w:pPr>
            <w:r>
              <w:rPr>
                <w:b/>
              </w:rPr>
              <w:t xml:space="preserve">Reprint of the </w:t>
            </w:r>
            <w:r>
              <w:rPr>
                <w:b/>
                <w:i/>
              </w:rPr>
              <w:t>Guardianship and Administration Act 1990</w:t>
            </w:r>
            <w:r>
              <w:rPr>
                <w:b/>
              </w:rPr>
              <w:t xml:space="preserve"> as at 21 Apr 1997 </w:t>
            </w:r>
            <w:r>
              <w:br/>
              <w:t xml:space="preserve">(includes amendments listed above except those in the </w:t>
            </w:r>
            <w:r>
              <w:rPr>
                <w:i/>
              </w:rPr>
              <w:t>Mental Health (Consequential Provisions) Act 1996</w:t>
            </w:r>
            <w:r>
              <w:t>)</w:t>
            </w:r>
          </w:p>
        </w:tc>
      </w:tr>
      <w:tr>
        <w:trPr>
          <w:cantSplit/>
        </w:trPr>
        <w:tc>
          <w:tcPr>
            <w:tcW w:w="2259" w:type="dxa"/>
          </w:tcPr>
          <w:p>
            <w:pPr>
              <w:pStyle w:val="nTable"/>
              <w:spacing w:after="40"/>
            </w:pPr>
            <w:r>
              <w:rPr>
                <w:i/>
              </w:rPr>
              <w:t>Acts Amendment and Repeal (Family Court) Act 1997</w:t>
            </w:r>
            <w:r>
              <w:t xml:space="preserve"> s. 32</w:t>
            </w:r>
          </w:p>
        </w:tc>
        <w:tc>
          <w:tcPr>
            <w:tcW w:w="1131" w:type="dxa"/>
          </w:tcPr>
          <w:p>
            <w:pPr>
              <w:pStyle w:val="nTable"/>
              <w:spacing w:after="40"/>
            </w:pPr>
            <w:r>
              <w:t>41 of 1997</w:t>
            </w:r>
          </w:p>
        </w:tc>
        <w:tc>
          <w:tcPr>
            <w:tcW w:w="1130" w:type="dxa"/>
          </w:tcPr>
          <w:p>
            <w:pPr>
              <w:pStyle w:val="nTable"/>
              <w:spacing w:after="40"/>
            </w:pPr>
            <w:r>
              <w:t>9 Dec 1997</w:t>
            </w:r>
          </w:p>
        </w:tc>
        <w:tc>
          <w:tcPr>
            <w:tcW w:w="2570" w:type="dxa"/>
            <w:gridSpan w:val="2"/>
          </w:tcPr>
          <w:p>
            <w:pPr>
              <w:pStyle w:val="nTable"/>
              <w:spacing w:after="40"/>
            </w:pPr>
            <w:r>
              <w:t xml:space="preserve">26 Sep 1998 (see s. 2 and </w:t>
            </w:r>
            <w:r>
              <w:rPr>
                <w:i/>
              </w:rPr>
              <w:t>Gazette</w:t>
            </w:r>
            <w:r>
              <w:t xml:space="preserve"> 25 Sep 1998 p. 5295)</w:t>
            </w:r>
          </w:p>
        </w:tc>
      </w:tr>
      <w:tr>
        <w:trPr>
          <w:cantSplit/>
        </w:trPr>
        <w:tc>
          <w:tcPr>
            <w:tcW w:w="2259" w:type="dxa"/>
          </w:tcPr>
          <w:p>
            <w:pPr>
              <w:pStyle w:val="nTable"/>
              <w:spacing w:after="40"/>
            </w:pPr>
            <w:r>
              <w:rPr>
                <w:i/>
              </w:rPr>
              <w:t>Statutes (Repeals and Minor Amendments) Act 1997</w:t>
            </w:r>
            <w:r>
              <w:t xml:space="preserve"> s. 67</w:t>
            </w:r>
          </w:p>
        </w:tc>
        <w:tc>
          <w:tcPr>
            <w:tcW w:w="1131" w:type="dxa"/>
          </w:tcPr>
          <w:p>
            <w:pPr>
              <w:pStyle w:val="nTable"/>
              <w:spacing w:after="40"/>
            </w:pPr>
            <w:r>
              <w:t>57 of 1997</w:t>
            </w:r>
          </w:p>
        </w:tc>
        <w:tc>
          <w:tcPr>
            <w:tcW w:w="1130" w:type="dxa"/>
          </w:tcPr>
          <w:p>
            <w:pPr>
              <w:pStyle w:val="nTable"/>
              <w:spacing w:after="40"/>
            </w:pPr>
            <w:r>
              <w:t>15 Dec 1997</w:t>
            </w:r>
          </w:p>
        </w:tc>
        <w:tc>
          <w:tcPr>
            <w:tcW w:w="2570" w:type="dxa"/>
            <w:gridSpan w:val="2"/>
          </w:tcPr>
          <w:p>
            <w:pPr>
              <w:pStyle w:val="nTable"/>
              <w:spacing w:after="40"/>
            </w:pPr>
            <w:r>
              <w:t>15 Dec 1997 (see s. 2(1))</w:t>
            </w:r>
          </w:p>
        </w:tc>
      </w:tr>
      <w:tr>
        <w:trPr>
          <w:cantSplit/>
        </w:trPr>
        <w:tc>
          <w:tcPr>
            <w:tcW w:w="2259" w:type="dxa"/>
          </w:tcPr>
          <w:p>
            <w:pPr>
              <w:pStyle w:val="nTable"/>
              <w:spacing w:after="40"/>
            </w:pPr>
            <w:r>
              <w:rPr>
                <w:i/>
              </w:rPr>
              <w:lastRenderedPageBreak/>
              <w:t>Guardianship and Administration Amendment Act 1998</w:t>
            </w:r>
          </w:p>
        </w:tc>
        <w:tc>
          <w:tcPr>
            <w:tcW w:w="1131" w:type="dxa"/>
          </w:tcPr>
          <w:p>
            <w:pPr>
              <w:pStyle w:val="nTable"/>
              <w:spacing w:after="40"/>
            </w:pPr>
            <w:r>
              <w:t>8 of 1998</w:t>
            </w:r>
          </w:p>
        </w:tc>
        <w:tc>
          <w:tcPr>
            <w:tcW w:w="1130" w:type="dxa"/>
          </w:tcPr>
          <w:p>
            <w:pPr>
              <w:pStyle w:val="nTable"/>
              <w:spacing w:after="40"/>
            </w:pPr>
            <w:r>
              <w:t>30 Apr 1998</w:t>
            </w:r>
          </w:p>
        </w:tc>
        <w:tc>
          <w:tcPr>
            <w:tcW w:w="2570" w:type="dxa"/>
            <w:gridSpan w:val="2"/>
          </w:tcPr>
          <w:p>
            <w:pPr>
              <w:pStyle w:val="nTable"/>
              <w:spacing w:after="40"/>
            </w:pPr>
            <w:r>
              <w:t>30 Apr 1998 (see s. 2)</w:t>
            </w:r>
          </w:p>
        </w:tc>
      </w:tr>
      <w:tr>
        <w:trPr>
          <w:cantSplit/>
        </w:trPr>
        <w:tc>
          <w:tcPr>
            <w:tcW w:w="2259" w:type="dxa"/>
          </w:tcPr>
          <w:p>
            <w:pPr>
              <w:pStyle w:val="nTable"/>
              <w:spacing w:after="40"/>
            </w:pPr>
            <w:r>
              <w:rPr>
                <w:i/>
              </w:rPr>
              <w:t>Guardianship and Administration Amendment Act 2000</w:t>
            </w:r>
            <w:r>
              <w:rPr>
                <w:vertAlign w:val="superscript"/>
              </w:rPr>
              <w:t> 8</w:t>
            </w:r>
          </w:p>
        </w:tc>
        <w:tc>
          <w:tcPr>
            <w:tcW w:w="1131" w:type="dxa"/>
          </w:tcPr>
          <w:p>
            <w:pPr>
              <w:pStyle w:val="nTable"/>
              <w:spacing w:after="40"/>
            </w:pPr>
            <w:r>
              <w:t>70 of 2000</w:t>
            </w:r>
          </w:p>
        </w:tc>
        <w:tc>
          <w:tcPr>
            <w:tcW w:w="1130" w:type="dxa"/>
          </w:tcPr>
          <w:p>
            <w:pPr>
              <w:pStyle w:val="nTable"/>
              <w:spacing w:after="40"/>
            </w:pPr>
            <w:r>
              <w:t>4 Dec 2000</w:t>
            </w:r>
          </w:p>
        </w:tc>
        <w:tc>
          <w:tcPr>
            <w:tcW w:w="2570" w:type="dxa"/>
            <w:gridSpan w:val="2"/>
          </w:tcPr>
          <w:p>
            <w:pPr>
              <w:pStyle w:val="nTable"/>
              <w:spacing w:after="40"/>
            </w:pPr>
            <w:r>
              <w:t>4 Dec 2000 (see s. 2)</w:t>
            </w:r>
          </w:p>
        </w:tc>
      </w:tr>
      <w:tr>
        <w:trPr>
          <w:cantSplit/>
        </w:trPr>
        <w:tc>
          <w:tcPr>
            <w:tcW w:w="2259" w:type="dxa"/>
          </w:tcPr>
          <w:p>
            <w:pPr>
              <w:pStyle w:val="nTable"/>
              <w:spacing w:after="40"/>
              <w:rPr>
                <w:i/>
              </w:rPr>
            </w:pPr>
            <w:r>
              <w:rPr>
                <w:i/>
              </w:rPr>
              <w:t xml:space="preserve">Acts Amendment (Lesbian and Gay Law Reform) Act 2002 </w:t>
            </w:r>
            <w:r>
              <w:t>Pt. 10</w:t>
            </w:r>
          </w:p>
        </w:tc>
        <w:tc>
          <w:tcPr>
            <w:tcW w:w="1131" w:type="dxa"/>
          </w:tcPr>
          <w:p>
            <w:pPr>
              <w:pStyle w:val="nTable"/>
              <w:spacing w:after="40"/>
            </w:pPr>
            <w:r>
              <w:t>3 of 2002</w:t>
            </w:r>
          </w:p>
        </w:tc>
        <w:tc>
          <w:tcPr>
            <w:tcW w:w="1130" w:type="dxa"/>
          </w:tcPr>
          <w:p>
            <w:pPr>
              <w:pStyle w:val="nTable"/>
              <w:spacing w:after="40"/>
            </w:pPr>
            <w:r>
              <w:t>17 Apr 2002</w:t>
            </w:r>
          </w:p>
        </w:tc>
        <w:tc>
          <w:tcPr>
            <w:tcW w:w="2570" w:type="dxa"/>
            <w:gridSpan w:val="2"/>
          </w:tcPr>
          <w:p>
            <w:pPr>
              <w:pStyle w:val="nTable"/>
              <w:spacing w:after="40"/>
            </w:pPr>
            <w:r>
              <w:t xml:space="preserve">21 Sep 2002 (see s. 2 and </w:t>
            </w:r>
            <w:r>
              <w:rPr>
                <w:i/>
              </w:rPr>
              <w:t>Gazette</w:t>
            </w:r>
            <w:r>
              <w:t xml:space="preserve"> 20 Sep 2002 p. 4693)</w:t>
            </w:r>
          </w:p>
        </w:tc>
      </w:tr>
      <w:tr>
        <w:trPr>
          <w:cantSplit/>
        </w:trPr>
        <w:tc>
          <w:tcPr>
            <w:tcW w:w="7090" w:type="dxa"/>
            <w:gridSpan w:val="5"/>
          </w:tcPr>
          <w:p>
            <w:pPr>
              <w:pStyle w:val="nTable"/>
              <w:spacing w:after="40"/>
            </w:pPr>
            <w:r>
              <w:rPr>
                <w:b/>
              </w:rPr>
              <w:t xml:space="preserve">Reprint of the </w:t>
            </w:r>
            <w:r>
              <w:rPr>
                <w:b/>
                <w:i/>
              </w:rPr>
              <w:t>Guardianship and Administration Act 1990</w:t>
            </w:r>
            <w:r>
              <w:rPr>
                <w:b/>
              </w:rPr>
              <w:t xml:space="preserve"> as at 22 Nov 2002 </w:t>
            </w:r>
            <w:r>
              <w:br/>
              <w:t>(includes amendments listed above)</w:t>
            </w:r>
          </w:p>
        </w:tc>
      </w:tr>
      <w:tr>
        <w:trPr>
          <w:cantSplit/>
        </w:trPr>
        <w:tc>
          <w:tcPr>
            <w:tcW w:w="2259" w:type="dxa"/>
          </w:tcPr>
          <w:p>
            <w:pPr>
              <w:pStyle w:val="nTable"/>
              <w:spacing w:after="40"/>
              <w:rPr>
                <w:i/>
              </w:rPr>
            </w:pPr>
            <w:r>
              <w:rPr>
                <w:i/>
              </w:rPr>
              <w:t xml:space="preserve">Sentencing Legislation Amendment and Repeal Act 2003 </w:t>
            </w:r>
            <w:r>
              <w:t>s. 70</w:t>
            </w:r>
          </w:p>
        </w:tc>
        <w:tc>
          <w:tcPr>
            <w:tcW w:w="1131" w:type="dxa"/>
          </w:tcPr>
          <w:p>
            <w:pPr>
              <w:pStyle w:val="nTable"/>
              <w:spacing w:after="40"/>
            </w:pPr>
            <w:r>
              <w:t>50 of 2003</w:t>
            </w:r>
          </w:p>
        </w:tc>
        <w:tc>
          <w:tcPr>
            <w:tcW w:w="1130" w:type="dxa"/>
          </w:tcPr>
          <w:p>
            <w:pPr>
              <w:pStyle w:val="nTable"/>
              <w:spacing w:after="40"/>
            </w:pPr>
            <w:r>
              <w:t>9 Jul 2003</w:t>
            </w:r>
          </w:p>
        </w:tc>
        <w:tc>
          <w:tcPr>
            <w:tcW w:w="2570" w:type="dxa"/>
            <w:gridSpan w:val="2"/>
          </w:tcPr>
          <w:p>
            <w:pPr>
              <w:pStyle w:val="nTable"/>
              <w:spacing w:after="40"/>
            </w:pPr>
            <w:r>
              <w:t>15</w:t>
            </w:r>
            <w:r>
              <w:rPr>
                <w:i/>
              </w:rPr>
              <w:t> </w:t>
            </w:r>
            <w:r>
              <w:t>May 2004 (see s. 2 and</w:t>
            </w:r>
            <w:r>
              <w:rPr>
                <w:i/>
              </w:rPr>
              <w:t xml:space="preserve"> Gazette </w:t>
            </w:r>
            <w:r>
              <w:t>14 May 2004 p. 1445)</w:t>
            </w:r>
          </w:p>
        </w:tc>
      </w:tr>
      <w:tr>
        <w:trPr>
          <w:cantSplit/>
        </w:trPr>
        <w:tc>
          <w:tcPr>
            <w:tcW w:w="2259" w:type="dxa"/>
          </w:tcPr>
          <w:p>
            <w:pPr>
              <w:pStyle w:val="nTable"/>
              <w:spacing w:after="40"/>
            </w:pPr>
            <w:r>
              <w:rPr>
                <w:i/>
              </w:rPr>
              <w:t>Acts Amendment and Repeal (Courts and Legal Practice) Act 2003</w:t>
            </w:r>
            <w:r>
              <w:t xml:space="preserve"> s. 40</w:t>
            </w:r>
          </w:p>
        </w:tc>
        <w:tc>
          <w:tcPr>
            <w:tcW w:w="1131" w:type="dxa"/>
          </w:tcPr>
          <w:p>
            <w:pPr>
              <w:pStyle w:val="nTable"/>
              <w:spacing w:after="40"/>
            </w:pPr>
            <w:r>
              <w:t>65 of 2003</w:t>
            </w:r>
          </w:p>
        </w:tc>
        <w:tc>
          <w:tcPr>
            <w:tcW w:w="1130" w:type="dxa"/>
          </w:tcPr>
          <w:p>
            <w:pPr>
              <w:pStyle w:val="nTable"/>
              <w:spacing w:after="40"/>
            </w:pPr>
            <w:r>
              <w:t>4 Dec 2003</w:t>
            </w:r>
          </w:p>
        </w:tc>
        <w:tc>
          <w:tcPr>
            <w:tcW w:w="2570" w:type="dxa"/>
            <w:gridSpan w:val="2"/>
          </w:tcPr>
          <w:p>
            <w:pPr>
              <w:pStyle w:val="nTable"/>
              <w:spacing w:after="40"/>
            </w:pPr>
            <w:r>
              <w:t xml:space="preserve">1 Jan 2004 (see s. 2 and </w:t>
            </w:r>
            <w:r>
              <w:rPr>
                <w:i/>
              </w:rPr>
              <w:t>Gazette</w:t>
            </w:r>
            <w:r>
              <w:t xml:space="preserve"> 30 Dec 2003 p. 5722)</w:t>
            </w:r>
          </w:p>
        </w:tc>
      </w:tr>
      <w:tr>
        <w:trPr>
          <w:cantSplit/>
        </w:trPr>
        <w:tc>
          <w:tcPr>
            <w:tcW w:w="2259" w:type="dxa"/>
          </w:tcPr>
          <w:p>
            <w:pPr>
              <w:pStyle w:val="nTable"/>
              <w:spacing w:after="40"/>
              <w:rPr>
                <w:i/>
              </w:rPr>
            </w:pPr>
            <w:r>
              <w:rPr>
                <w:i/>
              </w:rPr>
              <w:t xml:space="preserve">Criminal Code Amendment Act 2004 </w:t>
            </w:r>
            <w:r>
              <w:t>s. 58</w:t>
            </w:r>
          </w:p>
        </w:tc>
        <w:tc>
          <w:tcPr>
            <w:tcW w:w="1131" w:type="dxa"/>
          </w:tcPr>
          <w:p>
            <w:pPr>
              <w:pStyle w:val="nTable"/>
              <w:spacing w:after="40"/>
            </w:pPr>
            <w:r>
              <w:t>4 of 2004</w:t>
            </w:r>
          </w:p>
        </w:tc>
        <w:tc>
          <w:tcPr>
            <w:tcW w:w="1130" w:type="dxa"/>
          </w:tcPr>
          <w:p>
            <w:pPr>
              <w:pStyle w:val="nTable"/>
              <w:spacing w:after="40"/>
            </w:pPr>
            <w:r>
              <w:t>23 Apr 2004</w:t>
            </w:r>
          </w:p>
        </w:tc>
        <w:tc>
          <w:tcPr>
            <w:tcW w:w="2570" w:type="dxa"/>
            <w:gridSpan w:val="2"/>
          </w:tcPr>
          <w:p>
            <w:pPr>
              <w:pStyle w:val="nTable"/>
              <w:spacing w:after="40"/>
            </w:pPr>
            <w:r>
              <w:t>21 May 2004 (see s. 2)</w:t>
            </w:r>
          </w:p>
        </w:tc>
      </w:tr>
      <w:tr>
        <w:trPr>
          <w:cantSplit/>
        </w:trPr>
        <w:tc>
          <w:tcPr>
            <w:tcW w:w="2259" w:type="dxa"/>
          </w:tcPr>
          <w:p>
            <w:pPr>
              <w:pStyle w:val="nTable"/>
              <w:spacing w:after="40"/>
              <w:rPr>
                <w:i/>
              </w:rPr>
            </w:pPr>
            <w:r>
              <w:rPr>
                <w:i/>
                <w:snapToGrid w:val="0"/>
              </w:rPr>
              <w:t>Children and Community Services Act 2004</w:t>
            </w:r>
            <w:r>
              <w:rPr>
                <w:snapToGrid w:val="0"/>
              </w:rPr>
              <w:t xml:space="preserve"> Sch. </w:t>
            </w:r>
            <w:r>
              <w:t>2 cl. 11</w:t>
            </w:r>
          </w:p>
        </w:tc>
        <w:tc>
          <w:tcPr>
            <w:tcW w:w="1131" w:type="dxa"/>
          </w:tcPr>
          <w:p>
            <w:pPr>
              <w:pStyle w:val="nTable"/>
              <w:spacing w:after="40"/>
            </w:pPr>
            <w:r>
              <w:rPr>
                <w:snapToGrid w:val="0"/>
              </w:rPr>
              <w:t>34 of 2004</w:t>
            </w:r>
          </w:p>
        </w:tc>
        <w:tc>
          <w:tcPr>
            <w:tcW w:w="1130" w:type="dxa"/>
          </w:tcPr>
          <w:p>
            <w:pPr>
              <w:pStyle w:val="nTable"/>
              <w:spacing w:after="40"/>
            </w:pPr>
            <w:r>
              <w:t>20 Oct 2004</w:t>
            </w:r>
          </w:p>
        </w:tc>
        <w:tc>
          <w:tcPr>
            <w:tcW w:w="2570" w:type="dxa"/>
            <w:gridSpan w:val="2"/>
          </w:tcPr>
          <w:p>
            <w:pPr>
              <w:pStyle w:val="nTable"/>
              <w:spacing w:after="40"/>
            </w:pPr>
            <w:r>
              <w:t xml:space="preserve">1 Mar 2006 (see s. 2 and </w:t>
            </w:r>
            <w:r>
              <w:rPr>
                <w:i/>
              </w:rPr>
              <w:t>Gazette</w:t>
            </w:r>
            <w:r>
              <w:t xml:space="preserve"> 14 Feb 2006 p. 695)</w:t>
            </w:r>
          </w:p>
        </w:tc>
      </w:tr>
      <w:tr>
        <w:trPr>
          <w:cantSplit/>
        </w:trPr>
        <w:tc>
          <w:tcPr>
            <w:tcW w:w="2259" w:type="dxa"/>
          </w:tcPr>
          <w:p>
            <w:pPr>
              <w:pStyle w:val="nTable"/>
              <w:spacing w:after="40"/>
              <w:rPr>
                <w:i/>
              </w:rPr>
            </w:pPr>
            <w:r>
              <w:rPr>
                <w:i/>
                <w:snapToGrid w:val="0"/>
              </w:rPr>
              <w:t>Acts Amendment (Court of Appeal) Act 2004</w:t>
            </w:r>
            <w:r>
              <w:rPr>
                <w:snapToGrid w:val="0"/>
              </w:rPr>
              <w:t xml:space="preserve"> s. 37</w:t>
            </w:r>
            <w:r>
              <w:t xml:space="preserve"> (Sch. 1 cl. 7)</w:t>
            </w:r>
            <w:r>
              <w:rPr>
                <w:snapToGrid w:val="0"/>
                <w:vertAlign w:val="superscript"/>
              </w:rPr>
              <w:t xml:space="preserve"> 9</w:t>
            </w:r>
          </w:p>
        </w:tc>
        <w:tc>
          <w:tcPr>
            <w:tcW w:w="1131" w:type="dxa"/>
          </w:tcPr>
          <w:p>
            <w:pPr>
              <w:pStyle w:val="nTable"/>
              <w:spacing w:after="40"/>
            </w:pPr>
            <w:r>
              <w:rPr>
                <w:snapToGrid w:val="0"/>
              </w:rPr>
              <w:t>45 of 2004 (as amended by No. 2 of 2008 s. 75(3))</w:t>
            </w:r>
          </w:p>
        </w:tc>
        <w:tc>
          <w:tcPr>
            <w:tcW w:w="1130" w:type="dxa"/>
          </w:tcPr>
          <w:p>
            <w:pPr>
              <w:pStyle w:val="nTable"/>
              <w:spacing w:after="40"/>
            </w:pPr>
            <w:r>
              <w:t>9 Nov 2004</w:t>
            </w:r>
          </w:p>
        </w:tc>
        <w:tc>
          <w:tcPr>
            <w:tcW w:w="2570" w:type="dxa"/>
            <w:gridSpan w:val="2"/>
          </w:tcPr>
          <w:p>
            <w:pPr>
              <w:pStyle w:val="nTable"/>
              <w:spacing w:after="40"/>
            </w:pPr>
            <w:r>
              <w:t>Sch. 1 cl. 7 (the amendments to s. 18(1) and 19(b)):</w:t>
            </w:r>
            <w:r>
              <w:br/>
            </w:r>
            <w:r>
              <w:rPr>
                <w:snapToGrid w:val="0"/>
              </w:rPr>
              <w:t xml:space="preserve">1 Feb 2005 (see s. 2 and </w:t>
            </w:r>
            <w:r>
              <w:rPr>
                <w:i/>
                <w:snapToGrid w:val="0"/>
              </w:rPr>
              <w:t>Gazette</w:t>
            </w:r>
            <w:r>
              <w:rPr>
                <w:snapToGrid w:val="0"/>
              </w:rPr>
              <w:t xml:space="preserve"> 14 Jan 2005 p. 163)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snapToGrid w:val="0"/>
              </w:rPr>
              <w:t xml:space="preserve">Courts Legislation Amendment and Repeal Act 2004 </w:t>
            </w:r>
            <w:r>
              <w:rPr>
                <w:snapToGrid w:val="0"/>
              </w:rPr>
              <w:t>s. 141</w:t>
            </w:r>
          </w:p>
        </w:tc>
        <w:tc>
          <w:tcPr>
            <w:tcW w:w="1131" w:type="dxa"/>
            <w:tcBorders>
              <w:top w:val="nil"/>
              <w:bottom w:val="nil"/>
            </w:tcBorders>
          </w:tcPr>
          <w:p>
            <w:pPr>
              <w:pStyle w:val="nTable"/>
              <w:spacing w:after="40"/>
              <w:rPr>
                <w:snapToGrid w:val="0"/>
              </w:rPr>
            </w:pPr>
            <w:r>
              <w:rPr>
                <w:snapToGrid w:val="0"/>
              </w:rPr>
              <w:t>59 of 2004</w:t>
            </w:r>
          </w:p>
        </w:tc>
        <w:tc>
          <w:tcPr>
            <w:tcW w:w="1130" w:type="dxa"/>
            <w:tcBorders>
              <w:top w:val="nil"/>
              <w:bottom w:val="nil"/>
            </w:tcBorders>
          </w:tcPr>
          <w:p>
            <w:pPr>
              <w:pStyle w:val="nTable"/>
              <w:spacing w:after="40"/>
            </w:pPr>
            <w:r>
              <w:rPr>
                <w:snapToGrid w:val="0"/>
              </w:rPr>
              <w:t>23 Nov 2004</w:t>
            </w:r>
          </w:p>
        </w:tc>
        <w:tc>
          <w:tcPr>
            <w:tcW w:w="2570" w:type="dxa"/>
            <w:gridSpan w:val="2"/>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pPr>
            <w:r>
              <w:rPr>
                <w:i/>
              </w:rPr>
              <w:t>State Administrative Tribunal (Conferral of Jurisdiction) Amendment and Repeal Act 2004</w:t>
            </w:r>
            <w:r>
              <w:t xml:space="preserve"> Pt. 2 Div. 56 Subdiv. 1</w:t>
            </w:r>
            <w:r>
              <w:rPr>
                <w:vertAlign w:val="superscript"/>
              </w:rPr>
              <w:t> 10, 11</w:t>
            </w:r>
          </w:p>
        </w:tc>
        <w:tc>
          <w:tcPr>
            <w:tcW w:w="1131" w:type="dxa"/>
            <w:tcBorders>
              <w:top w:val="nil"/>
              <w:bottom w:val="nil"/>
            </w:tcBorders>
          </w:tcPr>
          <w:p>
            <w:pPr>
              <w:pStyle w:val="nTable"/>
              <w:spacing w:after="40"/>
            </w:pPr>
            <w:r>
              <w:t>55 of 2004</w:t>
            </w:r>
          </w:p>
        </w:tc>
        <w:tc>
          <w:tcPr>
            <w:tcW w:w="1130" w:type="dxa"/>
            <w:tcBorders>
              <w:top w:val="nil"/>
              <w:bottom w:val="nil"/>
            </w:tcBorders>
          </w:tcPr>
          <w:p>
            <w:pPr>
              <w:pStyle w:val="nTable"/>
              <w:spacing w:after="40"/>
            </w:pPr>
            <w:r>
              <w:t>24 Nov 2004</w:t>
            </w:r>
          </w:p>
        </w:tc>
        <w:tc>
          <w:tcPr>
            <w:tcW w:w="2570" w:type="dxa"/>
            <w:gridSpan w:val="2"/>
            <w:tcBorders>
              <w:top w:val="nil"/>
              <w:bottom w:val="nil"/>
            </w:tcBorders>
          </w:tcPr>
          <w:p>
            <w:pPr>
              <w:pStyle w:val="nTable"/>
              <w:spacing w:after="40"/>
            </w:pPr>
            <w:r>
              <w:t xml:space="preserve">24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Criminal Procedure and Appeals (Consequential and Other Provisions) Act 2004</w:t>
            </w:r>
            <w:r>
              <w:rPr>
                <w:snapToGrid w:val="0"/>
              </w:rPr>
              <w:t xml:space="preserve"> s. 82</w:t>
            </w:r>
          </w:p>
        </w:tc>
        <w:tc>
          <w:tcPr>
            <w:tcW w:w="1131" w:type="dxa"/>
            <w:tcBorders>
              <w:top w:val="nil"/>
              <w:bottom w:val="nil"/>
            </w:tcBorders>
          </w:tcPr>
          <w:p>
            <w:pPr>
              <w:pStyle w:val="nTable"/>
              <w:spacing w:after="40"/>
            </w:pPr>
            <w:r>
              <w:rPr>
                <w:snapToGrid w:val="0"/>
              </w:rPr>
              <w:t>84 of 2004</w:t>
            </w:r>
          </w:p>
        </w:tc>
        <w:tc>
          <w:tcPr>
            <w:tcW w:w="1130" w:type="dxa"/>
            <w:tcBorders>
              <w:top w:val="nil"/>
              <w:bottom w:val="nil"/>
            </w:tcBorders>
          </w:tcPr>
          <w:p>
            <w:pPr>
              <w:pStyle w:val="nTable"/>
              <w:spacing w:after="40"/>
            </w:pPr>
            <w:r>
              <w:t>16 Dec 2004</w:t>
            </w:r>
          </w:p>
        </w:tc>
        <w:tc>
          <w:tcPr>
            <w:tcW w:w="2570" w:type="dxa"/>
            <w:gridSpan w:val="2"/>
            <w:tcBorders>
              <w:top w:val="nil"/>
              <w:bottom w:val="nil"/>
            </w:tcBorders>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cantSplit/>
        </w:trPr>
        <w:tc>
          <w:tcPr>
            <w:tcW w:w="7090" w:type="dxa"/>
            <w:gridSpan w:val="5"/>
            <w:tcBorders>
              <w:top w:val="nil"/>
              <w:bottom w:val="nil"/>
            </w:tcBorders>
          </w:tcPr>
          <w:p>
            <w:pPr>
              <w:pStyle w:val="nTable"/>
              <w:spacing w:after="40"/>
            </w:pPr>
            <w:r>
              <w:rPr>
                <w:b/>
              </w:rPr>
              <w:lastRenderedPageBreak/>
              <w:t xml:space="preserve">Reprint 3: The </w:t>
            </w:r>
            <w:r>
              <w:rPr>
                <w:b/>
                <w:i/>
              </w:rPr>
              <w:t>Guardianship and Administration Act 1990</w:t>
            </w:r>
            <w:r>
              <w:rPr>
                <w:b/>
              </w:rPr>
              <w:t xml:space="preserve"> as at 1 Apr 2005 </w:t>
            </w:r>
            <w:r>
              <w:br/>
              <w:t xml:space="preserve">(includes amendments listed above except those in </w:t>
            </w:r>
            <w:r>
              <w:rPr>
                <w:snapToGrid w:val="0"/>
              </w:rPr>
              <w:t xml:space="preserve">the </w:t>
            </w:r>
            <w:r>
              <w:rPr>
                <w:i/>
                <w:snapToGrid w:val="0"/>
              </w:rPr>
              <w:t>Children and Community Services Act 2004</w:t>
            </w:r>
            <w:r>
              <w:rPr>
                <w:iCs/>
                <w:snapToGrid w:val="0"/>
              </w:rPr>
              <w:t xml:space="preserve">, </w:t>
            </w:r>
            <w:r>
              <w:t xml:space="preserve">the </w:t>
            </w:r>
            <w:r>
              <w:rPr>
                <w:i/>
                <w:snapToGrid w:val="0"/>
              </w:rPr>
              <w:t>Courts Legislation Amendment and Repeal Act 2004</w:t>
            </w:r>
            <w:r>
              <w:rPr>
                <w:snapToGrid w:val="0"/>
              </w:rPr>
              <w:t xml:space="preserve"> and the </w:t>
            </w:r>
            <w:r>
              <w:rPr>
                <w:i/>
                <w:snapToGrid w:val="0"/>
              </w:rPr>
              <w:t>Criminal Procedure and Appeals (Consequential and Other Provisions) Act 2004</w:t>
            </w:r>
            <w:r>
              <w:t>)</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 xml:space="preserve">Family Legislation Amendment Act 2006 </w:t>
            </w:r>
            <w:r>
              <w:rPr>
                <w:snapToGrid w:val="0"/>
              </w:rPr>
              <w:t>Pt. 6 Div. 2</w:t>
            </w:r>
          </w:p>
        </w:tc>
        <w:tc>
          <w:tcPr>
            <w:tcW w:w="1131" w:type="dxa"/>
            <w:tcBorders>
              <w:top w:val="nil"/>
              <w:bottom w:val="nil"/>
            </w:tcBorders>
          </w:tcPr>
          <w:p>
            <w:pPr>
              <w:pStyle w:val="nTable"/>
              <w:spacing w:after="40"/>
            </w:pPr>
            <w:r>
              <w:t>35 of 2006</w:t>
            </w:r>
          </w:p>
        </w:tc>
        <w:tc>
          <w:tcPr>
            <w:tcW w:w="1130" w:type="dxa"/>
            <w:tcBorders>
              <w:top w:val="nil"/>
              <w:bottom w:val="nil"/>
            </w:tcBorders>
          </w:tcPr>
          <w:p>
            <w:pPr>
              <w:pStyle w:val="nTable"/>
              <w:spacing w:after="40"/>
            </w:pPr>
            <w:r>
              <w:t>4 Jul 2006</w:t>
            </w:r>
          </w:p>
        </w:tc>
        <w:tc>
          <w:tcPr>
            <w:tcW w:w="2570" w:type="dxa"/>
            <w:gridSpan w:val="2"/>
            <w:tcBorders>
              <w:top w:val="nil"/>
              <w:bottom w:val="nil"/>
            </w:tcBorders>
          </w:tcPr>
          <w:p>
            <w:pPr>
              <w:pStyle w:val="nTable"/>
              <w:spacing w:after="40"/>
            </w:pPr>
            <w:r>
              <w:rPr>
                <w:snapToGrid w:val="0"/>
              </w:rPr>
              <w:t xml:space="preserve">15 Jul 2006 (see s. 2 and </w:t>
            </w:r>
            <w:r>
              <w:rPr>
                <w:i/>
                <w:iCs/>
                <w:snapToGrid w:val="0"/>
              </w:rPr>
              <w:t>Gazette</w:t>
            </w:r>
            <w:r>
              <w:rPr>
                <w:snapToGrid w:val="0"/>
              </w:rPr>
              <w:t xml:space="preserve"> 14 Jul 2006 p. 2559)</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snapToGrid w:val="0"/>
              </w:rPr>
              <w:t>Criminal Investigation (Consequential Provisions) Act 2006</w:t>
            </w:r>
            <w:r>
              <w:rPr>
                <w:iCs/>
                <w:snapToGrid w:val="0"/>
              </w:rPr>
              <w:t xml:space="preserve"> s. 73</w:t>
            </w:r>
          </w:p>
        </w:tc>
        <w:tc>
          <w:tcPr>
            <w:tcW w:w="1131" w:type="dxa"/>
            <w:tcBorders>
              <w:top w:val="nil"/>
              <w:bottom w:val="nil"/>
            </w:tcBorders>
          </w:tcPr>
          <w:p>
            <w:pPr>
              <w:pStyle w:val="nTable"/>
              <w:spacing w:after="40"/>
            </w:pPr>
            <w:r>
              <w:rPr>
                <w:snapToGrid w:val="0"/>
              </w:rPr>
              <w:t>59 of 2006</w:t>
            </w:r>
          </w:p>
        </w:tc>
        <w:tc>
          <w:tcPr>
            <w:tcW w:w="1130" w:type="dxa"/>
            <w:tcBorders>
              <w:top w:val="nil"/>
              <w:bottom w:val="nil"/>
            </w:tcBorders>
          </w:tcPr>
          <w:p>
            <w:pPr>
              <w:pStyle w:val="nTable"/>
              <w:spacing w:after="40"/>
            </w:pPr>
            <w:r>
              <w:t>16 Nov 2006</w:t>
            </w:r>
          </w:p>
        </w:tc>
        <w:tc>
          <w:tcPr>
            <w:tcW w:w="2570" w:type="dxa"/>
            <w:gridSpan w:val="2"/>
            <w:tcBorders>
              <w:top w:val="nil"/>
              <w:bottom w:val="nil"/>
            </w:tcBorders>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rPr>
              <w:t>Wills Amendment Act 2007</w:t>
            </w:r>
            <w:r>
              <w:rPr>
                <w:iCs/>
              </w:rPr>
              <w:t xml:space="preserve"> s. 25</w:t>
            </w:r>
          </w:p>
        </w:tc>
        <w:tc>
          <w:tcPr>
            <w:tcW w:w="1131" w:type="dxa"/>
            <w:tcBorders>
              <w:top w:val="nil"/>
              <w:bottom w:val="nil"/>
            </w:tcBorders>
          </w:tcPr>
          <w:p>
            <w:pPr>
              <w:pStyle w:val="nTable"/>
              <w:spacing w:after="40"/>
              <w:rPr>
                <w:snapToGrid w:val="0"/>
              </w:rPr>
            </w:pPr>
            <w:r>
              <w:rPr>
                <w:snapToGrid w:val="0"/>
              </w:rPr>
              <w:t>27 of 2007</w:t>
            </w:r>
          </w:p>
        </w:tc>
        <w:tc>
          <w:tcPr>
            <w:tcW w:w="1130" w:type="dxa"/>
            <w:tcBorders>
              <w:top w:val="nil"/>
              <w:bottom w:val="nil"/>
            </w:tcBorders>
          </w:tcPr>
          <w:p>
            <w:pPr>
              <w:pStyle w:val="nTable"/>
              <w:spacing w:after="40"/>
            </w:pPr>
            <w:r>
              <w:rPr>
                <w:snapToGrid w:val="0"/>
              </w:rPr>
              <w:t>26 Oct 2007</w:t>
            </w:r>
          </w:p>
        </w:tc>
        <w:tc>
          <w:tcPr>
            <w:tcW w:w="2570" w:type="dxa"/>
            <w:gridSpan w:val="2"/>
            <w:tcBorders>
              <w:top w:val="nil"/>
              <w:bottom w:val="nil"/>
            </w:tcBorders>
          </w:tcPr>
          <w:p>
            <w:pPr>
              <w:pStyle w:val="nTable"/>
              <w:spacing w:after="40"/>
              <w:rPr>
                <w:snapToGrid w:val="0"/>
              </w:rPr>
            </w:pPr>
            <w:r>
              <w:rPr>
                <w:snapToGrid w:val="0"/>
              </w:rPr>
              <w:t xml:space="preserve">9 Feb 2008 (see s. 2 and </w:t>
            </w:r>
            <w:r>
              <w:rPr>
                <w:i/>
                <w:iCs/>
                <w:snapToGrid w:val="0"/>
              </w:rPr>
              <w:t>Gazette</w:t>
            </w:r>
            <w:r>
              <w:rPr>
                <w:snapToGrid w:val="0"/>
              </w:rPr>
              <w:t xml:space="preserve"> 8 Feb 2008 p. 313)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Acts Amendment (Justice) Act 2008</w:t>
            </w:r>
            <w:r>
              <w:rPr>
                <w:iCs/>
                <w:snapToGrid w:val="0"/>
              </w:rPr>
              <w:t xml:space="preserve"> Pt. 12</w:t>
            </w:r>
          </w:p>
        </w:tc>
        <w:tc>
          <w:tcPr>
            <w:tcW w:w="1131" w:type="dxa"/>
            <w:tcBorders>
              <w:top w:val="nil"/>
              <w:bottom w:val="nil"/>
            </w:tcBorders>
          </w:tcPr>
          <w:p>
            <w:pPr>
              <w:pStyle w:val="nTable"/>
              <w:spacing w:after="40"/>
              <w:rPr>
                <w:snapToGrid w:val="0"/>
              </w:rPr>
            </w:pPr>
            <w:r>
              <w:t>5 of 2008</w:t>
            </w:r>
          </w:p>
        </w:tc>
        <w:tc>
          <w:tcPr>
            <w:tcW w:w="1130" w:type="dxa"/>
            <w:tcBorders>
              <w:top w:val="nil"/>
              <w:bottom w:val="nil"/>
            </w:tcBorders>
          </w:tcPr>
          <w:p>
            <w:pPr>
              <w:pStyle w:val="nTable"/>
              <w:spacing w:after="40"/>
              <w:rPr>
                <w:snapToGrid w:val="0"/>
              </w:rPr>
            </w:pPr>
            <w:r>
              <w:t>31 Mar 2008</w:t>
            </w:r>
          </w:p>
        </w:tc>
        <w:tc>
          <w:tcPr>
            <w:tcW w:w="2570" w:type="dxa"/>
            <w:gridSpan w:val="2"/>
            <w:tcBorders>
              <w:top w:val="nil"/>
              <w:bottom w:val="nil"/>
            </w:tcBorders>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s. 667</w:t>
            </w:r>
          </w:p>
        </w:tc>
        <w:tc>
          <w:tcPr>
            <w:tcW w:w="1131" w:type="dxa"/>
            <w:tcBorders>
              <w:top w:val="nil"/>
              <w:bottom w:val="nil"/>
            </w:tcBorders>
          </w:tcPr>
          <w:p>
            <w:pPr>
              <w:pStyle w:val="nTable"/>
              <w:spacing w:after="40"/>
            </w:pPr>
            <w:r>
              <w:t>21 of 2008</w:t>
            </w:r>
          </w:p>
        </w:tc>
        <w:tc>
          <w:tcPr>
            <w:tcW w:w="1130" w:type="dxa"/>
            <w:tcBorders>
              <w:top w:val="nil"/>
              <w:bottom w:val="nil"/>
            </w:tcBorders>
          </w:tcPr>
          <w:p>
            <w:pPr>
              <w:pStyle w:val="nTable"/>
              <w:spacing w:after="40"/>
            </w:pPr>
            <w:r>
              <w:t>27 May 2008</w:t>
            </w:r>
          </w:p>
        </w:tc>
        <w:tc>
          <w:tcPr>
            <w:tcW w:w="257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pPr>
            <w:r>
              <w:rPr>
                <w:i/>
                <w:snapToGrid w:val="0"/>
              </w:rPr>
              <w:t>Medical Practitioners Act 2008</w:t>
            </w:r>
            <w:r>
              <w:t xml:space="preserve"> Sch. 3 cl. 22</w:t>
            </w:r>
          </w:p>
        </w:tc>
        <w:tc>
          <w:tcPr>
            <w:tcW w:w="1131" w:type="dxa"/>
            <w:tcBorders>
              <w:top w:val="nil"/>
              <w:bottom w:val="nil"/>
            </w:tcBorders>
          </w:tcPr>
          <w:p>
            <w:pPr>
              <w:pStyle w:val="nTable"/>
              <w:spacing w:after="40"/>
            </w:pPr>
            <w:r>
              <w:t>22 of 2008</w:t>
            </w:r>
          </w:p>
        </w:tc>
        <w:tc>
          <w:tcPr>
            <w:tcW w:w="1130" w:type="dxa"/>
            <w:tcBorders>
              <w:top w:val="nil"/>
              <w:bottom w:val="nil"/>
            </w:tcBorders>
          </w:tcPr>
          <w:p>
            <w:pPr>
              <w:pStyle w:val="nTable"/>
              <w:spacing w:after="40"/>
            </w:pPr>
            <w:r>
              <w:t>27 May 2008</w:t>
            </w:r>
          </w:p>
        </w:tc>
        <w:tc>
          <w:tcPr>
            <w:tcW w:w="2570"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rPr>
            </w:pPr>
            <w:r>
              <w:rPr>
                <w:i/>
                <w:snapToGrid w:val="0"/>
              </w:rPr>
              <w:t>Acts Amendment (Consent to Medical Treatment) Act 2008</w:t>
            </w:r>
            <w:r>
              <w:rPr>
                <w:iCs/>
                <w:snapToGrid w:val="0"/>
              </w:rPr>
              <w:t xml:space="preserve"> Pt. 2</w:t>
            </w:r>
            <w:r>
              <w:rPr>
                <w:iCs/>
                <w:snapToGrid w:val="0"/>
                <w:vertAlign w:val="superscript"/>
              </w:rPr>
              <w:t xml:space="preserve"> 12</w:t>
            </w:r>
          </w:p>
        </w:tc>
        <w:tc>
          <w:tcPr>
            <w:tcW w:w="1131" w:type="dxa"/>
            <w:tcBorders>
              <w:top w:val="nil"/>
              <w:bottom w:val="nil"/>
            </w:tcBorders>
          </w:tcPr>
          <w:p>
            <w:pPr>
              <w:pStyle w:val="nTable"/>
              <w:spacing w:after="40"/>
            </w:pPr>
            <w:r>
              <w:t>25 of 2008</w:t>
            </w:r>
          </w:p>
        </w:tc>
        <w:tc>
          <w:tcPr>
            <w:tcW w:w="1130" w:type="dxa"/>
            <w:tcBorders>
              <w:top w:val="nil"/>
              <w:bottom w:val="nil"/>
            </w:tcBorders>
          </w:tcPr>
          <w:p>
            <w:pPr>
              <w:pStyle w:val="nTable"/>
              <w:spacing w:after="40"/>
            </w:pPr>
            <w:r>
              <w:t>19 Jun 2008</w:t>
            </w:r>
          </w:p>
        </w:tc>
        <w:tc>
          <w:tcPr>
            <w:tcW w:w="2570" w:type="dxa"/>
            <w:gridSpan w:val="2"/>
            <w:tcBorders>
              <w:top w:val="nil"/>
              <w:bottom w:val="nil"/>
            </w:tcBorders>
          </w:tcPr>
          <w:p>
            <w:pPr>
              <w:pStyle w:val="nTable"/>
              <w:spacing w:after="40"/>
              <w:rPr>
                <w:snapToGrid w:val="0"/>
              </w:rPr>
            </w:pPr>
            <w:r>
              <w:t xml:space="preserve">Pt. 2 other than s. 11 (to the extent that it inserts s. 110RA, 110ZAA, 110ZAB and 110ZAC) and s. 12: 15 Feb 2010 (see s. 2 and </w:t>
            </w:r>
            <w:r>
              <w:rPr>
                <w:i/>
                <w:iCs/>
              </w:rPr>
              <w:t>Gazette</w:t>
            </w:r>
            <w:r>
              <w:t xml:space="preserve"> 8 Jan 2010 p. 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rPr>
            </w:pPr>
            <w:r>
              <w:rPr>
                <w:i/>
                <w:snapToGrid w:val="0"/>
              </w:rPr>
              <w:t xml:space="preserve">Surrogacy Act 2008 </w:t>
            </w:r>
            <w:r>
              <w:rPr>
                <w:snapToGrid w:val="0"/>
              </w:rPr>
              <w:t>Pt. 4 Div. 4</w:t>
            </w:r>
          </w:p>
        </w:tc>
        <w:tc>
          <w:tcPr>
            <w:tcW w:w="1131" w:type="dxa"/>
            <w:tcBorders>
              <w:top w:val="nil"/>
              <w:bottom w:val="nil"/>
            </w:tcBorders>
          </w:tcPr>
          <w:p>
            <w:pPr>
              <w:pStyle w:val="nTable"/>
              <w:spacing w:after="40"/>
            </w:pPr>
            <w:r>
              <w:t>47 of 2008</w:t>
            </w:r>
          </w:p>
        </w:tc>
        <w:tc>
          <w:tcPr>
            <w:tcW w:w="1130" w:type="dxa"/>
            <w:tcBorders>
              <w:top w:val="nil"/>
              <w:bottom w:val="nil"/>
            </w:tcBorders>
          </w:tcPr>
          <w:p>
            <w:pPr>
              <w:pStyle w:val="nTable"/>
              <w:spacing w:after="40"/>
            </w:pPr>
            <w:r>
              <w:t>10 Dec 2008</w:t>
            </w:r>
          </w:p>
        </w:tc>
        <w:tc>
          <w:tcPr>
            <w:tcW w:w="257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512)</w:t>
            </w:r>
          </w:p>
        </w:tc>
      </w:tr>
      <w:tr>
        <w:tblPrEx>
          <w:tblBorders>
            <w:top w:val="single" w:sz="8" w:space="0" w:color="auto"/>
            <w:bottom w:val="single" w:sz="8" w:space="0" w:color="auto"/>
            <w:insideH w:val="single" w:sz="8" w:space="0" w:color="auto"/>
          </w:tblBorders>
        </w:tblPrEx>
        <w:trPr>
          <w:cantSplit/>
        </w:trPr>
        <w:tc>
          <w:tcPr>
            <w:tcW w:w="7090" w:type="dxa"/>
            <w:gridSpan w:val="5"/>
            <w:tcBorders>
              <w:top w:val="nil"/>
              <w:bottom w:val="nil"/>
            </w:tcBorders>
          </w:tcPr>
          <w:p>
            <w:pPr>
              <w:pStyle w:val="nTable"/>
              <w:spacing w:after="40"/>
              <w:rPr>
                <w:snapToGrid w:val="0"/>
              </w:rPr>
            </w:pPr>
            <w:r>
              <w:rPr>
                <w:b/>
              </w:rPr>
              <w:t xml:space="preserve">Reprint 4: The </w:t>
            </w:r>
            <w:r>
              <w:rPr>
                <w:b/>
                <w:i/>
              </w:rPr>
              <w:t>Guardianship and Administration Act 1990</w:t>
            </w:r>
            <w:r>
              <w:rPr>
                <w:b/>
              </w:rPr>
              <w:t xml:space="preserve"> as at 6 Feb 2009 </w:t>
            </w:r>
            <w:r>
              <w:br/>
              <w:t xml:space="preserve">(includes amendments listed above except those in the </w:t>
            </w:r>
            <w:r>
              <w:rPr>
                <w:i/>
                <w:iCs/>
              </w:rPr>
              <w:t>Legal Profession Act 2008</w:t>
            </w:r>
            <w:r>
              <w:t xml:space="preserve">, the </w:t>
            </w:r>
            <w:r>
              <w:rPr>
                <w:i/>
                <w:snapToGrid w:val="0"/>
              </w:rPr>
              <w:t xml:space="preserve">Surrogacy Act 2008 </w:t>
            </w:r>
            <w:r>
              <w:rPr>
                <w:iCs/>
                <w:snapToGrid w:val="0"/>
              </w:rPr>
              <w:t xml:space="preserve">and the </w:t>
            </w:r>
            <w:r>
              <w:rPr>
                <w:i/>
                <w:snapToGrid w:val="0"/>
              </w:rPr>
              <w:t>Acts Amendment (Consent to Medical Treatment) Act 2008</w:t>
            </w:r>
            <w:r>
              <w:t>)</w:t>
            </w:r>
          </w:p>
        </w:tc>
      </w:tr>
      <w:tr>
        <w:trPr>
          <w:cantSplit/>
        </w:trPr>
        <w:tc>
          <w:tcPr>
            <w:tcW w:w="2259" w:type="dxa"/>
          </w:tcPr>
          <w:p>
            <w:pPr>
              <w:pStyle w:val="nTable"/>
              <w:spacing w:after="40"/>
              <w:ind w:right="113"/>
              <w:rPr>
                <w:iCs/>
              </w:rPr>
            </w:pPr>
            <w:r>
              <w:rPr>
                <w:i/>
              </w:rPr>
              <w:t>Statutes (Repeals and Miscellaneous Amendments) Act 2009</w:t>
            </w:r>
            <w:r>
              <w:rPr>
                <w:iCs/>
              </w:rPr>
              <w:t xml:space="preserve"> s. 68</w:t>
            </w:r>
          </w:p>
        </w:tc>
        <w:tc>
          <w:tcPr>
            <w:tcW w:w="1131" w:type="dxa"/>
          </w:tcPr>
          <w:p>
            <w:pPr>
              <w:pStyle w:val="nTable"/>
              <w:spacing w:after="40"/>
            </w:pPr>
            <w:r>
              <w:t xml:space="preserve">8 of 2009 </w:t>
            </w:r>
          </w:p>
        </w:tc>
        <w:tc>
          <w:tcPr>
            <w:tcW w:w="1130" w:type="dxa"/>
          </w:tcPr>
          <w:p>
            <w:pPr>
              <w:pStyle w:val="nTable"/>
              <w:spacing w:after="40"/>
            </w:pPr>
            <w:r>
              <w:t>21 May 2009</w:t>
            </w:r>
          </w:p>
        </w:tc>
        <w:tc>
          <w:tcPr>
            <w:tcW w:w="2570" w:type="dxa"/>
            <w:gridSpan w:val="2"/>
          </w:tcPr>
          <w:p>
            <w:pPr>
              <w:pStyle w:val="nTable"/>
              <w:spacing w:after="40"/>
            </w:pPr>
            <w:r>
              <w:t>22 May 2009 (see s. 2(b))</w:t>
            </w:r>
          </w:p>
        </w:tc>
      </w:tr>
      <w:tr>
        <w:trPr>
          <w:cantSplit/>
        </w:trPr>
        <w:tc>
          <w:tcPr>
            <w:tcW w:w="2259" w:type="dxa"/>
          </w:tcPr>
          <w:p>
            <w:pPr>
              <w:pStyle w:val="nTable"/>
              <w:spacing w:after="40"/>
              <w:rPr>
                <w:iCs/>
                <w:snapToGrid w:val="0"/>
              </w:rPr>
            </w:pPr>
            <w:r>
              <w:rPr>
                <w:i/>
                <w:snapToGrid w:val="0"/>
              </w:rPr>
              <w:t>Acts Amendment (Bankruptcy) Act 2009</w:t>
            </w:r>
            <w:r>
              <w:rPr>
                <w:iCs/>
                <w:snapToGrid w:val="0"/>
              </w:rPr>
              <w:t xml:space="preserve"> s. 38</w:t>
            </w:r>
          </w:p>
        </w:tc>
        <w:tc>
          <w:tcPr>
            <w:tcW w:w="1131" w:type="dxa"/>
          </w:tcPr>
          <w:p>
            <w:pPr>
              <w:pStyle w:val="nTable"/>
              <w:spacing w:after="40"/>
            </w:pPr>
            <w:r>
              <w:t>18 of 2009</w:t>
            </w:r>
          </w:p>
        </w:tc>
        <w:tc>
          <w:tcPr>
            <w:tcW w:w="1130" w:type="dxa"/>
          </w:tcPr>
          <w:p>
            <w:pPr>
              <w:pStyle w:val="nTable"/>
              <w:spacing w:after="40"/>
            </w:pPr>
            <w:r>
              <w:t>16 Sep 2009</w:t>
            </w:r>
          </w:p>
        </w:tc>
        <w:tc>
          <w:tcPr>
            <w:tcW w:w="2570" w:type="dxa"/>
            <w:gridSpan w:val="2"/>
          </w:tcPr>
          <w:p>
            <w:pPr>
              <w:pStyle w:val="nTable"/>
              <w:spacing w:after="40"/>
            </w:pPr>
            <w:r>
              <w:t>17 Sep 2009 (see s. 2(b))</w:t>
            </w:r>
          </w:p>
        </w:tc>
      </w:tr>
      <w:tr>
        <w:trPr>
          <w:cantSplit/>
        </w:trPr>
        <w:tc>
          <w:tcPr>
            <w:tcW w:w="7090" w:type="dxa"/>
            <w:gridSpan w:val="5"/>
          </w:tcPr>
          <w:p>
            <w:pPr>
              <w:pStyle w:val="nTable"/>
              <w:spacing w:after="40"/>
            </w:pPr>
            <w:r>
              <w:rPr>
                <w:b/>
              </w:rPr>
              <w:t xml:space="preserve">Reprint 5: The </w:t>
            </w:r>
            <w:r>
              <w:rPr>
                <w:b/>
                <w:i/>
              </w:rPr>
              <w:t>Guardianship and Administration Act 1990</w:t>
            </w:r>
            <w:r>
              <w:rPr>
                <w:b/>
              </w:rPr>
              <w:t xml:space="preserve"> as at 5 Mar 2010 </w:t>
            </w:r>
            <w:r>
              <w:t>(includes amendments listed above)</w:t>
            </w:r>
          </w:p>
        </w:tc>
      </w:tr>
      <w:tr>
        <w:trPr>
          <w:gridAfter w:val="1"/>
          <w:wAfter w:w="8" w:type="dxa"/>
          <w:cantSplit/>
        </w:trPr>
        <w:tc>
          <w:tcPr>
            <w:tcW w:w="2259" w:type="dxa"/>
          </w:tcPr>
          <w:p>
            <w:pPr>
              <w:pStyle w:val="nTable"/>
              <w:spacing w:after="40"/>
              <w:ind w:right="113"/>
              <w:rPr>
                <w:iCs/>
                <w:snapToGrid w:val="0"/>
              </w:rPr>
            </w:pPr>
            <w:r>
              <w:rPr>
                <w:i/>
                <w:snapToGrid w:val="0"/>
              </w:rPr>
              <w:lastRenderedPageBreak/>
              <w:t>Standardisation of Formatting Act 2010</w:t>
            </w:r>
            <w:r>
              <w:rPr>
                <w:iCs/>
                <w:snapToGrid w:val="0"/>
              </w:rPr>
              <w:t xml:space="preserve"> s. 18 and 51</w:t>
            </w:r>
          </w:p>
        </w:tc>
        <w:tc>
          <w:tcPr>
            <w:tcW w:w="1131" w:type="dxa"/>
          </w:tcPr>
          <w:p>
            <w:pPr>
              <w:pStyle w:val="nTable"/>
              <w:spacing w:after="40"/>
              <w:rPr>
                <w:snapToGrid w:val="0"/>
              </w:rPr>
            </w:pPr>
            <w:r>
              <w:rPr>
                <w:snapToGrid w:val="0"/>
              </w:rPr>
              <w:t>19 of 2010</w:t>
            </w:r>
          </w:p>
        </w:tc>
        <w:tc>
          <w:tcPr>
            <w:tcW w:w="1130" w:type="dxa"/>
          </w:tcPr>
          <w:p>
            <w:pPr>
              <w:pStyle w:val="nTable"/>
              <w:spacing w:after="40"/>
              <w:rPr>
                <w:snapToGrid w:val="0"/>
              </w:rPr>
            </w:pPr>
            <w:r>
              <w:rPr>
                <w:snapToGrid w:val="0"/>
              </w:rPr>
              <w:t>28 Jun 2010</w:t>
            </w:r>
          </w:p>
        </w:tc>
        <w:tc>
          <w:tcPr>
            <w:tcW w:w="256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8" w:type="dxa"/>
          <w:cantSplit/>
        </w:trPr>
        <w:tc>
          <w:tcPr>
            <w:tcW w:w="2259"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1" w:type="dxa"/>
          </w:tcPr>
          <w:p>
            <w:pPr>
              <w:pStyle w:val="nTable"/>
              <w:spacing w:after="40"/>
              <w:rPr>
                <w:snapToGrid w:val="0"/>
              </w:rPr>
            </w:pPr>
            <w:r>
              <w:rPr>
                <w:snapToGrid w:val="0"/>
              </w:rPr>
              <w:t>39 of 2010</w:t>
            </w:r>
          </w:p>
        </w:tc>
        <w:tc>
          <w:tcPr>
            <w:tcW w:w="1130" w:type="dxa"/>
          </w:tcPr>
          <w:p>
            <w:pPr>
              <w:pStyle w:val="nTable"/>
              <w:spacing w:after="40"/>
              <w:rPr>
                <w:snapToGrid w:val="0"/>
              </w:rPr>
            </w:pPr>
            <w:r>
              <w:rPr>
                <w:snapToGrid w:val="0"/>
              </w:rPr>
              <w:t>1 Oct 2010</w:t>
            </w:r>
          </w:p>
        </w:tc>
        <w:tc>
          <w:tcPr>
            <w:tcW w:w="256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8" w:type="dxa"/>
          <w:cantSplit/>
        </w:trPr>
        <w:tc>
          <w:tcPr>
            <w:tcW w:w="2259" w:type="dxa"/>
          </w:tcPr>
          <w:p>
            <w:pPr>
              <w:pStyle w:val="nTable"/>
              <w:spacing w:after="40"/>
              <w:ind w:right="113"/>
              <w:rPr>
                <w:i/>
                <w:iCs/>
                <w:snapToGrid w:val="0"/>
              </w:rPr>
            </w:pPr>
            <w:r>
              <w:rPr>
                <w:i/>
                <w:iCs/>
                <w:snapToGrid w:val="0"/>
              </w:rPr>
              <w:t>Statutes (Repeals and Minor Amendments) Act 2014</w:t>
            </w:r>
            <w:r>
              <w:rPr>
                <w:iCs/>
                <w:snapToGrid w:val="0"/>
              </w:rPr>
              <w:t xml:space="preserve"> s. 12 and 22</w:t>
            </w:r>
          </w:p>
        </w:tc>
        <w:tc>
          <w:tcPr>
            <w:tcW w:w="1131" w:type="dxa"/>
          </w:tcPr>
          <w:p>
            <w:pPr>
              <w:pStyle w:val="nTable"/>
              <w:spacing w:after="40"/>
              <w:rPr>
                <w:snapToGrid w:val="0"/>
              </w:rPr>
            </w:pPr>
            <w:r>
              <w:rPr>
                <w:snapToGrid w:val="0"/>
              </w:rPr>
              <w:t>17 of 2014</w:t>
            </w:r>
          </w:p>
        </w:tc>
        <w:tc>
          <w:tcPr>
            <w:tcW w:w="1130" w:type="dxa"/>
          </w:tcPr>
          <w:p>
            <w:pPr>
              <w:pStyle w:val="nTable"/>
              <w:spacing w:after="40"/>
              <w:rPr>
                <w:snapToGrid w:val="0"/>
              </w:rPr>
            </w:pPr>
            <w:r>
              <w:rPr>
                <w:snapToGrid w:val="0"/>
              </w:rPr>
              <w:t>2 Jul 2014</w:t>
            </w:r>
          </w:p>
        </w:tc>
        <w:tc>
          <w:tcPr>
            <w:tcW w:w="256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gridAfter w:val="1"/>
          <w:wAfter w:w="8" w:type="dxa"/>
          <w:cantSplit/>
        </w:trPr>
        <w:tc>
          <w:tcPr>
            <w:tcW w:w="2259" w:type="dxa"/>
          </w:tcPr>
          <w:p>
            <w:pPr>
              <w:pStyle w:val="nTable"/>
              <w:spacing w:after="40"/>
              <w:ind w:right="113"/>
              <w:rPr>
                <w:i/>
                <w:iCs/>
                <w:snapToGrid w:val="0"/>
              </w:rPr>
            </w:pPr>
            <w:r>
              <w:rPr>
                <w:i/>
              </w:rPr>
              <w:t>Mental Health Legislation Amendment Act 2014</w:t>
            </w:r>
            <w:r>
              <w:t xml:space="preserve"> Pt. 4 Div. 2</w:t>
            </w:r>
          </w:p>
        </w:tc>
        <w:tc>
          <w:tcPr>
            <w:tcW w:w="1131" w:type="dxa"/>
          </w:tcPr>
          <w:p>
            <w:pPr>
              <w:pStyle w:val="nTable"/>
              <w:spacing w:after="40"/>
              <w:rPr>
                <w:snapToGrid w:val="0"/>
              </w:rPr>
            </w:pPr>
            <w:r>
              <w:rPr>
                <w:snapToGrid w:val="0"/>
              </w:rPr>
              <w:t>25 of 2014</w:t>
            </w:r>
          </w:p>
        </w:tc>
        <w:tc>
          <w:tcPr>
            <w:tcW w:w="1130" w:type="dxa"/>
          </w:tcPr>
          <w:p>
            <w:pPr>
              <w:pStyle w:val="nTable"/>
              <w:spacing w:after="40"/>
              <w:rPr>
                <w:snapToGrid w:val="0"/>
              </w:rPr>
            </w:pPr>
            <w:r>
              <w:t>3 Nov 2014</w:t>
            </w:r>
          </w:p>
        </w:tc>
        <w:tc>
          <w:tcPr>
            <w:tcW w:w="256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gridAfter w:val="1"/>
          <w:wAfter w:w="8" w:type="dxa"/>
          <w:cantSplit/>
        </w:trPr>
        <w:tc>
          <w:tcPr>
            <w:tcW w:w="2259" w:type="dxa"/>
          </w:tcPr>
          <w:p>
            <w:pPr>
              <w:pStyle w:val="nTable"/>
              <w:spacing w:after="40"/>
              <w:ind w:right="113"/>
              <w:rPr>
                <w:i/>
              </w:rPr>
            </w:pPr>
            <w:r>
              <w:rPr>
                <w:i/>
                <w:snapToGrid w:val="0"/>
              </w:rPr>
              <w:t>Voluntary Assisted Dying Act 2019</w:t>
            </w:r>
            <w:r>
              <w:rPr>
                <w:snapToGrid w:val="0"/>
              </w:rPr>
              <w:t xml:space="preserve"> Pt. 12 Div. 3</w:t>
            </w:r>
          </w:p>
        </w:tc>
        <w:tc>
          <w:tcPr>
            <w:tcW w:w="1131" w:type="dxa"/>
          </w:tcPr>
          <w:p>
            <w:pPr>
              <w:pStyle w:val="nTable"/>
              <w:spacing w:after="40"/>
              <w:rPr>
                <w:snapToGrid w:val="0"/>
              </w:rPr>
            </w:pPr>
            <w:r>
              <w:t>27 of 2019</w:t>
            </w:r>
          </w:p>
        </w:tc>
        <w:tc>
          <w:tcPr>
            <w:tcW w:w="1130" w:type="dxa"/>
          </w:tcPr>
          <w:p>
            <w:pPr>
              <w:pStyle w:val="nTable"/>
              <w:spacing w:after="40"/>
            </w:pPr>
            <w:r>
              <w:t>19 Dec 2019</w:t>
            </w:r>
          </w:p>
        </w:tc>
        <w:tc>
          <w:tcPr>
            <w:tcW w:w="2562" w:type="dxa"/>
          </w:tcPr>
          <w:p>
            <w:pPr>
              <w:pStyle w:val="nTable"/>
              <w:spacing w:after="40"/>
              <w:rPr>
                <w:snapToGrid w:val="0"/>
              </w:rPr>
            </w:pPr>
            <w:r>
              <w:t>1 Jul 2021 (see s. 2(b) and SL 2021/83 cl. 2)</w:t>
            </w:r>
          </w:p>
        </w:tc>
      </w:tr>
      <w:tr>
        <w:trPr>
          <w:gridAfter w:val="1"/>
          <w:wAfter w:w="8" w:type="dxa"/>
          <w:cantSplit/>
        </w:trPr>
        <w:tc>
          <w:tcPr>
            <w:tcW w:w="2259" w:type="dxa"/>
          </w:tcPr>
          <w:p>
            <w:pPr>
              <w:pStyle w:val="nTable"/>
              <w:spacing w:after="40"/>
              <w:ind w:right="113"/>
            </w:pPr>
            <w:r>
              <w:rPr>
                <w:i/>
                <w:color w:val="000000" w:themeColor="text1"/>
              </w:rPr>
              <w:t>Guardianship and Administration Amendment (Medical Research) Act 2020 </w:t>
            </w:r>
            <w:r>
              <w:rPr>
                <w:iCs/>
                <w:color w:val="000000" w:themeColor="text1"/>
                <w:vertAlign w:val="superscript"/>
              </w:rPr>
              <w:t>13</w:t>
            </w:r>
          </w:p>
        </w:tc>
        <w:tc>
          <w:tcPr>
            <w:tcW w:w="1131" w:type="dxa"/>
          </w:tcPr>
          <w:p>
            <w:pPr>
              <w:pStyle w:val="nTable"/>
              <w:spacing w:after="40"/>
              <w:rPr>
                <w:snapToGrid w:val="0"/>
              </w:rPr>
            </w:pPr>
            <w:r>
              <w:rPr>
                <w:snapToGrid w:val="0"/>
              </w:rPr>
              <w:t>14 of 2020 (as amended by No. 32 of 2023 Pt. 3)</w:t>
            </w:r>
          </w:p>
        </w:tc>
        <w:tc>
          <w:tcPr>
            <w:tcW w:w="1130" w:type="dxa"/>
          </w:tcPr>
          <w:p>
            <w:pPr>
              <w:pStyle w:val="nTable"/>
              <w:spacing w:after="40"/>
            </w:pPr>
            <w:r>
              <w:t>6 Apr 2020</w:t>
            </w:r>
          </w:p>
        </w:tc>
        <w:tc>
          <w:tcPr>
            <w:tcW w:w="2562" w:type="dxa"/>
          </w:tcPr>
          <w:p>
            <w:pPr>
              <w:pStyle w:val="nTable"/>
              <w:spacing w:after="40"/>
              <w:rPr>
                <w:snapToGrid w:val="0"/>
              </w:rPr>
            </w:pPr>
            <w:r>
              <w:rPr>
                <w:snapToGrid w:val="0"/>
              </w:rPr>
              <w:t>s. 1 and 2: 6 Apr 2020 (see s. 2(a));</w:t>
            </w:r>
            <w:r>
              <w:rPr>
                <w:snapToGrid w:val="0"/>
              </w:rPr>
              <w:br/>
              <w:t>Act other than s. 1, 2, 13 and 15: 7 Apr 2020 (see s. 2(c))</w:t>
            </w:r>
          </w:p>
        </w:tc>
      </w:tr>
      <w:tr>
        <w:trPr>
          <w:gridAfter w:val="1"/>
          <w:wAfter w:w="8" w:type="dxa"/>
          <w:cantSplit/>
        </w:trPr>
        <w:tc>
          <w:tcPr>
            <w:tcW w:w="2259" w:type="dxa"/>
          </w:tcPr>
          <w:p>
            <w:pPr>
              <w:pStyle w:val="nTable"/>
              <w:spacing w:after="40"/>
              <w:ind w:right="113"/>
              <w:rPr>
                <w:i/>
                <w:color w:val="000000" w:themeColor="text1"/>
              </w:rPr>
            </w:pPr>
            <w:r>
              <w:rPr>
                <w:i/>
                <w:color w:val="000000" w:themeColor="text1"/>
              </w:rPr>
              <w:t>Legal Profession Uniform Law Application Act 2022</w:t>
            </w:r>
            <w:r>
              <w:rPr>
                <w:color w:val="000000" w:themeColor="text1"/>
              </w:rPr>
              <w:t xml:space="preserve"> s. 424</w:t>
            </w:r>
          </w:p>
        </w:tc>
        <w:tc>
          <w:tcPr>
            <w:tcW w:w="1131" w:type="dxa"/>
          </w:tcPr>
          <w:p>
            <w:pPr>
              <w:pStyle w:val="nTable"/>
              <w:spacing w:after="40"/>
              <w:rPr>
                <w:snapToGrid w:val="0"/>
              </w:rPr>
            </w:pPr>
            <w:r>
              <w:rPr>
                <w:snapToGrid w:val="0"/>
              </w:rPr>
              <w:t>9 of 2022</w:t>
            </w:r>
          </w:p>
        </w:tc>
        <w:tc>
          <w:tcPr>
            <w:tcW w:w="1130" w:type="dxa"/>
          </w:tcPr>
          <w:p>
            <w:pPr>
              <w:pStyle w:val="nTable"/>
              <w:spacing w:after="40"/>
            </w:pPr>
            <w:r>
              <w:t>14 Apr 2022</w:t>
            </w:r>
          </w:p>
        </w:tc>
        <w:tc>
          <w:tcPr>
            <w:tcW w:w="2562" w:type="dxa"/>
          </w:tcPr>
          <w:p>
            <w:pPr>
              <w:pStyle w:val="nTable"/>
              <w:spacing w:after="40"/>
              <w:rPr>
                <w:snapToGrid w:val="0"/>
              </w:rPr>
            </w:pPr>
            <w:r>
              <w:rPr>
                <w:snapToGrid w:val="0"/>
              </w:rPr>
              <w:t>1 Jul 2022 (see s. 2(c) and SL 2022/113 cl. 2)</w:t>
            </w:r>
          </w:p>
        </w:tc>
      </w:tr>
      <w:tr>
        <w:trPr>
          <w:gridAfter w:val="1"/>
          <w:wAfter w:w="8" w:type="dxa"/>
          <w:cantSplit/>
        </w:trPr>
        <w:tc>
          <w:tcPr>
            <w:tcW w:w="2259" w:type="dxa"/>
          </w:tcPr>
          <w:p>
            <w:pPr>
              <w:pStyle w:val="nTable"/>
              <w:spacing w:after="40"/>
              <w:ind w:right="113"/>
              <w:rPr>
                <w:i/>
              </w:rPr>
            </w:pPr>
            <w:r>
              <w:rPr>
                <w:i/>
                <w:color w:val="000000" w:themeColor="text1"/>
              </w:rPr>
              <w:t>Criminal Law (Mental Impairment) Act 2023</w:t>
            </w:r>
            <w:r>
              <w:rPr>
                <w:color w:val="000000" w:themeColor="text1"/>
              </w:rPr>
              <w:t xml:space="preserve"> Pt. 15 Div. 16</w:t>
            </w:r>
          </w:p>
        </w:tc>
        <w:tc>
          <w:tcPr>
            <w:tcW w:w="1131" w:type="dxa"/>
          </w:tcPr>
          <w:p>
            <w:pPr>
              <w:pStyle w:val="nTable"/>
              <w:spacing w:after="40"/>
              <w:rPr>
                <w:snapToGrid w:val="0"/>
              </w:rPr>
            </w:pPr>
            <w:r>
              <w:rPr>
                <w:snapToGrid w:val="0"/>
              </w:rPr>
              <w:t>10 of 2023</w:t>
            </w:r>
          </w:p>
        </w:tc>
        <w:tc>
          <w:tcPr>
            <w:tcW w:w="1130" w:type="dxa"/>
          </w:tcPr>
          <w:p>
            <w:pPr>
              <w:pStyle w:val="nTable"/>
              <w:spacing w:after="40"/>
            </w:pPr>
            <w:r>
              <w:t>13 Apr 2023</w:t>
            </w:r>
          </w:p>
        </w:tc>
        <w:tc>
          <w:tcPr>
            <w:tcW w:w="2562" w:type="dxa"/>
          </w:tcPr>
          <w:p>
            <w:pPr>
              <w:pStyle w:val="nTable"/>
              <w:spacing w:after="40"/>
              <w:rPr>
                <w:snapToGrid w:val="0"/>
              </w:rPr>
            </w:pPr>
            <w:r>
              <w:t>1 Sep 2024 (see s. 2(b) and SL 2024/175 cl. 2)</w:t>
            </w:r>
          </w:p>
        </w:tc>
      </w:tr>
      <w:tr>
        <w:trPr>
          <w:gridAfter w:val="1"/>
          <w:wAfter w:w="8" w:type="dxa"/>
          <w:cantSplit/>
        </w:trPr>
        <w:tc>
          <w:tcPr>
            <w:tcW w:w="2259" w:type="dxa"/>
          </w:tcPr>
          <w:p>
            <w:pPr>
              <w:pStyle w:val="nTable"/>
              <w:spacing w:after="40"/>
              <w:ind w:right="113"/>
              <w:rPr>
                <w:i/>
                <w:color w:val="000000" w:themeColor="text1"/>
              </w:rPr>
            </w:pPr>
            <w:r>
              <w:rPr>
                <w:i/>
                <w:color w:val="000000" w:themeColor="text1"/>
              </w:rPr>
              <w:t xml:space="preserve">Abortion Legislation Reform Act 2023 </w:t>
            </w:r>
            <w:r>
              <w:rPr>
                <w:color w:val="000000" w:themeColor="text1"/>
              </w:rPr>
              <w:t>Pt. 4 Div. 5</w:t>
            </w:r>
          </w:p>
        </w:tc>
        <w:tc>
          <w:tcPr>
            <w:tcW w:w="1131" w:type="dxa"/>
          </w:tcPr>
          <w:p>
            <w:pPr>
              <w:pStyle w:val="nTable"/>
              <w:spacing w:after="40"/>
              <w:rPr>
                <w:snapToGrid w:val="0"/>
              </w:rPr>
            </w:pPr>
            <w:r>
              <w:rPr>
                <w:snapToGrid w:val="0"/>
              </w:rPr>
              <w:t>20 of 2023</w:t>
            </w:r>
          </w:p>
        </w:tc>
        <w:tc>
          <w:tcPr>
            <w:tcW w:w="1130" w:type="dxa"/>
          </w:tcPr>
          <w:p>
            <w:pPr>
              <w:pStyle w:val="nTable"/>
              <w:spacing w:after="40"/>
            </w:pPr>
            <w:r>
              <w:t>27 Sep 2023</w:t>
            </w:r>
          </w:p>
        </w:tc>
        <w:tc>
          <w:tcPr>
            <w:tcW w:w="2562" w:type="dxa"/>
          </w:tcPr>
          <w:p>
            <w:pPr>
              <w:pStyle w:val="nTable"/>
              <w:spacing w:after="40"/>
              <w:rPr>
                <w:snapToGrid w:val="0"/>
              </w:rPr>
            </w:pPr>
            <w:r>
              <w:t>27 Mar 2024 (see s. 2(b) and SL 2024/21 cl. 2)</w:t>
            </w:r>
          </w:p>
        </w:tc>
      </w:tr>
      <w:tr>
        <w:trPr>
          <w:gridAfter w:val="1"/>
          <w:wAfter w:w="8" w:type="dxa"/>
          <w:cantSplit/>
        </w:trPr>
        <w:tc>
          <w:tcPr>
            <w:tcW w:w="2259" w:type="dxa"/>
            <w:tcBorders>
              <w:bottom w:val="single" w:sz="4" w:space="0" w:color="auto"/>
            </w:tcBorders>
          </w:tcPr>
          <w:p>
            <w:pPr>
              <w:pStyle w:val="nTable"/>
              <w:spacing w:after="40"/>
              <w:ind w:right="113"/>
              <w:rPr>
                <w:iCs/>
                <w:color w:val="000000" w:themeColor="text1"/>
              </w:rPr>
            </w:pPr>
            <w:r>
              <w:rPr>
                <w:i/>
              </w:rPr>
              <w:t>Guardianship and Administration Amendment (Medical Research) Act 2023</w:t>
            </w:r>
            <w:r>
              <w:rPr>
                <w:iCs/>
              </w:rPr>
              <w:t xml:space="preserve"> Pt. 2</w:t>
            </w:r>
          </w:p>
        </w:tc>
        <w:tc>
          <w:tcPr>
            <w:tcW w:w="1131" w:type="dxa"/>
            <w:tcBorders>
              <w:bottom w:val="single" w:sz="4" w:space="0" w:color="auto"/>
            </w:tcBorders>
          </w:tcPr>
          <w:p>
            <w:pPr>
              <w:pStyle w:val="nTable"/>
              <w:spacing w:after="40"/>
              <w:rPr>
                <w:snapToGrid w:val="0"/>
              </w:rPr>
            </w:pPr>
            <w:r>
              <w:rPr>
                <w:snapToGrid w:val="0"/>
              </w:rPr>
              <w:t>32 of 2023</w:t>
            </w:r>
          </w:p>
        </w:tc>
        <w:tc>
          <w:tcPr>
            <w:tcW w:w="1130" w:type="dxa"/>
            <w:tcBorders>
              <w:bottom w:val="single" w:sz="4" w:space="0" w:color="auto"/>
            </w:tcBorders>
          </w:tcPr>
          <w:p>
            <w:pPr>
              <w:pStyle w:val="nTable"/>
              <w:spacing w:after="40"/>
            </w:pPr>
            <w:r>
              <w:t>11 Dec 2023</w:t>
            </w:r>
          </w:p>
        </w:tc>
        <w:tc>
          <w:tcPr>
            <w:tcW w:w="2562" w:type="dxa"/>
            <w:tcBorders>
              <w:bottom w:val="single" w:sz="4" w:space="0" w:color="auto"/>
            </w:tcBorders>
          </w:tcPr>
          <w:p>
            <w:pPr>
              <w:pStyle w:val="nTable"/>
              <w:spacing w:after="40"/>
              <w:rPr>
                <w:snapToGrid w:val="0"/>
              </w:rPr>
            </w:pPr>
            <w:r>
              <w:rPr>
                <w:snapToGrid w:val="0"/>
              </w:rPr>
              <w:t>12 Dec 2023 (see s. 2(b))</w:t>
            </w:r>
          </w:p>
        </w:tc>
      </w:tr>
    </w:tbl>
    <w:p>
      <w:pPr>
        <w:pStyle w:val="nHeading3"/>
      </w:pPr>
      <w:bookmarkStart w:id="525" w:name="_Toc175576023"/>
      <w:r>
        <w:lastRenderedPageBreak/>
        <w:t>Uncommenced provisions table</w:t>
      </w:r>
      <w:bookmarkEnd w:id="525"/>
    </w:p>
    <w:p>
      <w:pPr>
        <w:pStyle w:val="nStatement"/>
        <w:keepNext/>
        <w:spacing w:after="240"/>
      </w:pPr>
      <w:r>
        <w:t xml:space="preserve">To view the text of the uncommenced provisions see </w:t>
      </w:r>
      <w:r>
        <w:rPr>
          <w:i/>
        </w:rPr>
        <w:t>Acts as passed</w:t>
      </w:r>
      <w:r>
        <w:t xml:space="preserve"> on the WA Legislation website.</w:t>
      </w:r>
    </w:p>
    <w:tbl>
      <w:tblPr>
        <w:tblW w:w="7103" w:type="dxa"/>
        <w:tblInd w:w="28" w:type="dxa"/>
        <w:tblLayout w:type="fixed"/>
        <w:tblCellMar>
          <w:left w:w="56" w:type="dxa"/>
          <w:right w:w="56" w:type="dxa"/>
        </w:tblCellMar>
        <w:tblLook w:val="0000" w:firstRow="0" w:lastRow="0" w:firstColumn="0" w:lastColumn="0" w:noHBand="0" w:noVBand="0"/>
      </w:tblPr>
      <w:tblGrid>
        <w:gridCol w:w="2278"/>
        <w:gridCol w:w="1138"/>
        <w:gridCol w:w="1135"/>
        <w:gridCol w:w="2552"/>
      </w:tblGrid>
      <w:tr>
        <w:trPr>
          <w:cantSplit/>
          <w:tblHeader/>
        </w:trPr>
        <w:tc>
          <w:tcPr>
            <w:tcW w:w="2278" w:type="dxa"/>
            <w:tcBorders>
              <w:top w:val="single" w:sz="8" w:space="0" w:color="auto"/>
              <w:bottom w:val="single" w:sz="8" w:space="0" w:color="auto"/>
            </w:tcBorders>
          </w:tcPr>
          <w:p>
            <w:pPr>
              <w:pStyle w:val="nTable"/>
              <w:spacing w:after="40"/>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78" w:type="dxa"/>
            <w:tcBorders>
              <w:top w:val="single" w:sz="8" w:space="0" w:color="auto"/>
              <w:bottom w:val="single" w:sz="4" w:space="0" w:color="auto"/>
            </w:tcBorders>
          </w:tcPr>
          <w:p>
            <w:pPr>
              <w:pStyle w:val="nTable"/>
              <w:spacing w:after="40"/>
              <w:rPr>
                <w:iCs/>
                <w:snapToGrid w:val="0"/>
                <w:vertAlign w:val="superscript"/>
              </w:rPr>
            </w:pPr>
            <w:r>
              <w:rPr>
                <w:i/>
                <w:snapToGrid w:val="0"/>
              </w:rPr>
              <w:t>Acts Amendment (Consent to Medical Treatment) Act 2008</w:t>
            </w:r>
            <w:r>
              <w:rPr>
                <w:iCs/>
                <w:snapToGrid w:val="0"/>
              </w:rPr>
              <w:t xml:space="preserve"> Pt. 2</w:t>
            </w:r>
          </w:p>
        </w:tc>
        <w:tc>
          <w:tcPr>
            <w:tcW w:w="1138" w:type="dxa"/>
            <w:tcBorders>
              <w:top w:val="single" w:sz="8" w:space="0" w:color="auto"/>
              <w:bottom w:val="single" w:sz="4" w:space="0" w:color="auto"/>
            </w:tcBorders>
          </w:tcPr>
          <w:p>
            <w:pPr>
              <w:pStyle w:val="nTable"/>
              <w:spacing w:after="40"/>
            </w:pPr>
            <w:r>
              <w:t>25 of 2008</w:t>
            </w:r>
          </w:p>
        </w:tc>
        <w:tc>
          <w:tcPr>
            <w:tcW w:w="1135" w:type="dxa"/>
            <w:tcBorders>
              <w:top w:val="single" w:sz="8" w:space="0" w:color="auto"/>
              <w:bottom w:val="single" w:sz="4" w:space="0" w:color="auto"/>
            </w:tcBorders>
          </w:tcPr>
          <w:p>
            <w:pPr>
              <w:pStyle w:val="nTable"/>
              <w:spacing w:after="40"/>
            </w:pPr>
            <w:r>
              <w:t>19 Jun 2008</w:t>
            </w:r>
          </w:p>
        </w:tc>
        <w:tc>
          <w:tcPr>
            <w:tcW w:w="2552" w:type="dxa"/>
            <w:tcBorders>
              <w:top w:val="single" w:sz="8" w:space="0" w:color="auto"/>
              <w:bottom w:val="single" w:sz="4" w:space="0" w:color="auto"/>
            </w:tcBorders>
          </w:tcPr>
          <w:p>
            <w:pPr>
              <w:pStyle w:val="nTable"/>
              <w:spacing w:after="40"/>
            </w:pPr>
            <w:r>
              <w:t>s. 11 (to the extent that it inserts s. 110RA, 110ZAA, 110ZAB and 110ZAC) and s. 12: to be proclaimed (see s. 2)</w:t>
            </w:r>
          </w:p>
        </w:tc>
      </w:tr>
    </w:tbl>
    <w:p>
      <w:pPr>
        <w:pStyle w:val="nHeading3"/>
      </w:pPr>
      <w:bookmarkStart w:id="526" w:name="_Toc175576024"/>
      <w:r>
        <w:t>Other notes</w:t>
      </w:r>
      <w:bookmarkEnd w:id="526"/>
    </w:p>
    <w:p>
      <w:pPr>
        <w:pStyle w:val="nNote"/>
        <w:spacing w:before="160"/>
        <w:rPr>
          <w:iCs/>
          <w:snapToGrid w:val="0"/>
        </w:rPr>
      </w:pPr>
      <w:r>
        <w:rPr>
          <w:snapToGrid w:val="0"/>
          <w:vertAlign w:val="superscript"/>
        </w:rPr>
        <w:t>1-3</w:t>
      </w:r>
      <w:r>
        <w:rPr>
          <w:snapToGrid w:val="0"/>
          <w:vertAlign w:val="superscript"/>
        </w:rPr>
        <w:tab/>
      </w:r>
      <w:r>
        <w:rPr>
          <w:snapToGrid w:val="0"/>
        </w:rPr>
        <w:t>Footnotes no longer applicable.</w:t>
      </w:r>
    </w:p>
    <w:p>
      <w:pPr>
        <w:pStyle w:val="nNote"/>
        <w:keepLines/>
        <w:rPr>
          <w:snapToGrid w:val="0"/>
        </w:rPr>
      </w:pPr>
      <w:r>
        <w:rPr>
          <w:snapToGrid w:val="0"/>
          <w:vertAlign w:val="superscript"/>
        </w:rPr>
        <w:t>4</w:t>
      </w:r>
      <w:r>
        <w:rPr>
          <w:snapToGrid w:val="0"/>
          <w:vertAlign w:val="superscript"/>
        </w:rPr>
        <w:tab/>
      </w:r>
      <w:r>
        <w:rPr>
          <w:snapToGrid w:val="0"/>
        </w:rPr>
        <w:t xml:space="preserve">The </w:t>
      </w:r>
      <w:r>
        <w:rPr>
          <w:i/>
          <w:iCs/>
          <w:snapToGrid w:val="0"/>
        </w:rPr>
        <w:t xml:space="preserve">Public Trustee Act 1941 </w:t>
      </w:r>
      <w:r>
        <w:rPr>
          <w:snapToGrid w:val="0"/>
        </w:rPr>
        <w:t xml:space="preserve">s. 53 was deleted by the </w:t>
      </w:r>
      <w:r>
        <w:rPr>
          <w:i/>
          <w:iCs/>
          <w:snapToGrid w:val="0"/>
        </w:rPr>
        <w:t>Public Trustee and Trustee Companies Amendment Act 2008</w:t>
      </w:r>
      <w:r>
        <w:rPr>
          <w:snapToGrid w:val="0"/>
        </w:rPr>
        <w:t xml:space="preserve"> s. 31.</w:t>
      </w:r>
    </w:p>
    <w:p>
      <w:pPr>
        <w:pStyle w:val="nNote"/>
        <w:keepLines/>
        <w:rPr>
          <w:snapToGrid w:val="0"/>
        </w:rPr>
      </w:pPr>
      <w:r>
        <w:rPr>
          <w:snapToGrid w:val="0"/>
          <w:vertAlign w:val="superscript"/>
        </w:rPr>
        <w:t>5, 6</w:t>
      </w:r>
      <w:r>
        <w:rPr>
          <w:snapToGrid w:val="0"/>
          <w:vertAlign w:val="superscript"/>
        </w:rPr>
        <w:tab/>
      </w:r>
      <w:r>
        <w:rPr>
          <w:snapToGrid w:val="0"/>
        </w:rPr>
        <w:t>Footnotes no longer applicable.</w:t>
      </w:r>
    </w:p>
    <w:p>
      <w:pPr>
        <w:pStyle w:val="nNote"/>
        <w:spacing w:before="200"/>
      </w:pPr>
      <w:r>
        <w:rPr>
          <w:vertAlign w:val="superscript"/>
        </w:rPr>
        <w:t>7</w:t>
      </w:r>
      <w:r>
        <w:tab/>
        <w:t xml:space="preserve">Repealed by the </w:t>
      </w:r>
      <w:r>
        <w:rPr>
          <w:i/>
        </w:rPr>
        <w:t>Mental Health (Consequential Provisions) Act 1996</w:t>
      </w:r>
      <w:r>
        <w:t>.</w:t>
      </w:r>
    </w:p>
    <w:p>
      <w:pPr>
        <w:pStyle w:val="nNote"/>
        <w:keepNext/>
        <w:rPr>
          <w:snapToGrid w:val="0"/>
        </w:rPr>
      </w:pPr>
      <w:r>
        <w:rPr>
          <w:snapToGrid w:val="0"/>
          <w:vertAlign w:val="superscript"/>
        </w:rPr>
        <w:t>8</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BlankOpen"/>
        <w:rPr>
          <w:snapToGrid w:val="0"/>
        </w:rPr>
      </w:pP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lastRenderedPageBreak/>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BlankClose"/>
      </w:pPr>
    </w:p>
    <w:p>
      <w:pPr>
        <w:pStyle w:val="nNote"/>
        <w:rPr>
          <w:snapToGrid w:val="0"/>
        </w:rPr>
      </w:pPr>
      <w:r>
        <w:rPr>
          <w:snapToGrid w:val="0"/>
          <w:vertAlign w:val="superscript"/>
        </w:rPr>
        <w:t>9</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Note"/>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11</w:t>
      </w:r>
      <w:r>
        <w:tab/>
        <w:t xml:space="preserve">The </w:t>
      </w:r>
      <w:r>
        <w:rPr>
          <w:i/>
        </w:rPr>
        <w:t>State Administrative Tribunal Regulations 2004</w:t>
      </w:r>
      <w:r>
        <w:t xml:space="preserve"> r. 52 reads as follows:</w:t>
      </w:r>
    </w:p>
    <w:p>
      <w:pPr>
        <w:pStyle w:val="BlankOpen"/>
      </w:pPr>
    </w:p>
    <w:p>
      <w:pPr>
        <w:pStyle w:val="nzHeading5"/>
      </w:pPr>
      <w:r>
        <w:rPr>
          <w:rStyle w:val="CharSectno"/>
        </w:rPr>
        <w:t>52</w:t>
      </w:r>
      <w:r>
        <w:t>.</w:t>
      </w:r>
      <w:r>
        <w:tab/>
      </w:r>
      <w:r>
        <w:rPr>
          <w:i/>
        </w:rPr>
        <w:t>Guardianship and Administration Act 1990</w:t>
      </w:r>
    </w:p>
    <w:p>
      <w:pPr>
        <w:pStyle w:val="nzSubsection"/>
        <w:keepNext/>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lastRenderedPageBreak/>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lastRenderedPageBreak/>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BlankClose"/>
      </w:pPr>
    </w:p>
    <w:p>
      <w:pPr>
        <w:pStyle w:val="nNote"/>
        <w:keepNext/>
      </w:pPr>
      <w:r>
        <w:rPr>
          <w:vertAlign w:val="superscript"/>
        </w:rPr>
        <w:t>12</w:t>
      </w:r>
      <w:r>
        <w:tab/>
        <w:t xml:space="preserve">The </w:t>
      </w:r>
      <w:r>
        <w:rPr>
          <w:i/>
          <w:iCs/>
        </w:rPr>
        <w:t xml:space="preserve">Acts Amendment (Consent to Medical Treatment) Act 2008 </w:t>
      </w:r>
      <w:r>
        <w:t>s. 14 reads as follows:</w:t>
      </w:r>
    </w:p>
    <w:p>
      <w:pPr>
        <w:pStyle w:val="BlankOpen"/>
      </w:pPr>
    </w:p>
    <w:p>
      <w:pPr>
        <w:pStyle w:val="nzHeading5"/>
      </w:pPr>
      <w:r>
        <w:t>14.</w:t>
      </w:r>
      <w:r>
        <w:tab/>
        <w:t xml:space="preserve">Review of the </w:t>
      </w:r>
      <w:r>
        <w:rPr>
          <w:i/>
        </w:rPr>
        <w:t>Guardianship and Administration Act 1990</w:t>
      </w:r>
    </w:p>
    <w:p>
      <w:pPr>
        <w:pStyle w:val="nzSubsection"/>
      </w:pPr>
      <w:r>
        <w:tab/>
        <w:t>(1)</w:t>
      </w:r>
      <w:r>
        <w:tab/>
        <w:t xml:space="preserve">The Minister administering the </w:t>
      </w:r>
      <w:r>
        <w:rPr>
          <w:i/>
          <w:iCs/>
        </w:rPr>
        <w:t>Guardianship and Administration Act 1990</w:t>
      </w:r>
      <w:r>
        <w:t xml:space="preserve"> is to carry out a review of the operation and effectiveness of the provisions of the </w:t>
      </w:r>
      <w:r>
        <w:rPr>
          <w:i/>
          <w:iCs/>
        </w:rPr>
        <w:t>Guardianship and Administration Act 1990</w:t>
      </w:r>
      <w:r>
        <w:t xml:space="preserve"> and the relevant sections of </w:t>
      </w:r>
      <w:r>
        <w:rPr>
          <w:i/>
          <w:iCs/>
        </w:rPr>
        <w:t>The 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BlankClose"/>
      </w:pPr>
    </w:p>
    <w:p>
      <w:pPr>
        <w:pStyle w:val="nNote"/>
        <w:keepNext/>
        <w:spacing w:before="160"/>
      </w:pPr>
      <w:r>
        <w:rPr>
          <w:vertAlign w:val="superscript"/>
        </w:rPr>
        <w:t>13</w:t>
      </w:r>
      <w:r>
        <w:tab/>
        <w:t xml:space="preserve">The </w:t>
      </w:r>
      <w:r>
        <w:rPr>
          <w:i/>
          <w:color w:val="000000" w:themeColor="text1"/>
        </w:rPr>
        <w:t xml:space="preserve">Guardianship and Administration Amendment (Medical Research) Act 2020 </w:t>
      </w:r>
      <w:r>
        <w:rPr>
          <w:iCs/>
          <w:color w:val="000000" w:themeColor="text1"/>
        </w:rPr>
        <w:t xml:space="preserve">s. 13 and 15 were deleted before they came into operation by the </w:t>
      </w:r>
      <w:r>
        <w:rPr>
          <w:i/>
        </w:rPr>
        <w:t xml:space="preserve">Guardianship and Administration Amendment (Medical Research) Act 2023 </w:t>
      </w:r>
      <w:r>
        <w:rPr>
          <w:iCs/>
        </w:rPr>
        <w:t>s. 7 and 8</w:t>
      </w:r>
      <w:bookmarkStart w:id="527" w:name="_Toc175234991"/>
      <w:bookmarkStart w:id="528" w:name="_Toc175235264"/>
      <w:bookmarkStart w:id="529" w:name="_Toc175235584"/>
      <w:r>
        <w:rPr>
          <w:iCs/>
        </w:rPr>
        <w:t>.</w:t>
      </w:r>
    </w:p>
    <w:p>
      <w:pPr>
        <w:sectPr>
          <w:headerReference w:type="even" r:id="rId33"/>
          <w:headerReference w:type="default" r:id="rId34"/>
          <w:type w:val="continuous"/>
          <w:pgSz w:w="11907" w:h="16840" w:code="9"/>
          <w:pgMar w:top="2376" w:right="2405" w:bottom="3542" w:left="2405" w:header="706" w:footer="3544" w:gutter="0"/>
          <w:cols w:space="720"/>
          <w:noEndnote/>
          <w:docGrid w:linePitch="326"/>
        </w:sectPr>
      </w:pPr>
    </w:p>
    <w:p>
      <w:pPr>
        <w:pStyle w:val="nNote"/>
        <w:pageBreakBefore/>
        <w:jc w:val="center"/>
        <w:rPr>
          <w:b/>
          <w:bCs/>
          <w:sz w:val="28"/>
        </w:rPr>
      </w:pPr>
      <w:r>
        <w:rPr>
          <w:b/>
          <w:bCs/>
          <w:sz w:val="28"/>
        </w:rPr>
        <w:lastRenderedPageBreak/>
        <w:t>Defined terms</w:t>
      </w:r>
      <w:bookmarkEnd w:id="527"/>
      <w:bookmarkEnd w:id="528"/>
      <w:bookmarkEnd w:id="5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114(4)</w:t>
      </w:r>
    </w:p>
    <w:p>
      <w:pPr>
        <w:pStyle w:val="DefinedTerms"/>
      </w:pPr>
      <w:r>
        <w:t>administration order</w:t>
      </w:r>
      <w:r>
        <w:tab/>
        <w:t>3(1)</w:t>
      </w:r>
    </w:p>
    <w:p>
      <w:pPr>
        <w:pStyle w:val="DefinedTerms"/>
      </w:pPr>
      <w:r>
        <w:t>administrator</w:t>
      </w:r>
      <w:r>
        <w:tab/>
        <w:t>3(1)</w:t>
      </w:r>
    </w:p>
    <w:p>
      <w:pPr>
        <w:pStyle w:val="DefinedTerms"/>
      </w:pPr>
      <w:r>
        <w:t>advance health directive</w:t>
      </w:r>
      <w:r>
        <w:tab/>
        <w:t>3(1), 110ZH</w:t>
      </w:r>
    </w:p>
    <w:p>
      <w:pPr>
        <w:pStyle w:val="DefinedTerms"/>
      </w:pPr>
      <w:r>
        <w:t>application</w:t>
      </w:r>
      <w:r>
        <w:tab/>
        <w:t>3(1)</w:t>
      </w:r>
    </w:p>
    <w:p>
      <w:pPr>
        <w:pStyle w:val="DefinedTerms"/>
      </w:pPr>
      <w:r>
        <w:t>appointee</w:t>
      </w:r>
      <w:r>
        <w:tab/>
        <w:t>110E(1)</w:t>
      </w:r>
    </w:p>
    <w:p>
      <w:pPr>
        <w:pStyle w:val="DefinedTerms"/>
      </w:pPr>
      <w:r>
        <w:t>appointor</w:t>
      </w:r>
      <w:r>
        <w:tab/>
        <w:t>110A</w:t>
      </w:r>
    </w:p>
    <w:p>
      <w:pPr>
        <w:pStyle w:val="DefinedTerms"/>
      </w:pPr>
      <w:r>
        <w:t>corporate trustee</w:t>
      </w:r>
      <w:r>
        <w:tab/>
        <w:t>3(1)</w:t>
      </w:r>
    </w:p>
    <w:p>
      <w:pPr>
        <w:pStyle w:val="DefinedTerms"/>
      </w:pPr>
      <w:r>
        <w:t>Court</w:t>
      </w:r>
      <w:r>
        <w:tab/>
        <w:t>18(1)</w:t>
      </w:r>
    </w:p>
    <w:p>
      <w:pPr>
        <w:pStyle w:val="DefinedTerms"/>
      </w:pPr>
      <w:r>
        <w:t>Deputy President</w:t>
      </w:r>
      <w:r>
        <w:tab/>
        <w:t>3(1)</w:t>
      </w:r>
    </w:p>
    <w:p>
      <w:pPr>
        <w:pStyle w:val="DefinedTerms"/>
      </w:pPr>
      <w:r>
        <w:t>designated country</w:t>
      </w:r>
      <w:r>
        <w:tab/>
        <w:t>67(5)</w:t>
      </w:r>
    </w:p>
    <w:p>
      <w:pPr>
        <w:pStyle w:val="DefinedTerms"/>
      </w:pPr>
      <w:r>
        <w:t>determination</w:t>
      </w:r>
      <w:r>
        <w:tab/>
        <w:t>3(1)</w:t>
      </w:r>
    </w:p>
    <w:p>
      <w:pPr>
        <w:pStyle w:val="DefinedTerms"/>
      </w:pPr>
      <w:r>
        <w:t>donee</w:t>
      </w:r>
      <w:r>
        <w:tab/>
        <w:t>102</w:t>
      </w:r>
    </w:p>
    <w:p>
      <w:pPr>
        <w:pStyle w:val="DefinedTerms"/>
      </w:pPr>
      <w:r>
        <w:t>electroconvulsive therapy</w:t>
      </w:r>
      <w:r>
        <w:tab/>
        <w:t>3(1)</w:t>
      </w:r>
    </w:p>
    <w:p>
      <w:pPr>
        <w:pStyle w:val="DefinedTerms"/>
      </w:pPr>
      <w:r>
        <w:t>enduring guardian</w:t>
      </w:r>
      <w:r>
        <w:tab/>
        <w:t>3(1)</w:t>
      </w:r>
    </w:p>
    <w:p>
      <w:pPr>
        <w:pStyle w:val="DefinedTerms"/>
      </w:pPr>
      <w:r>
        <w:t>enduring power of attorney</w:t>
      </w:r>
      <w:r>
        <w:tab/>
        <w:t>102</w:t>
      </w:r>
    </w:p>
    <w:p>
      <w:pPr>
        <w:pStyle w:val="DefinedTerms"/>
      </w:pPr>
      <w:r>
        <w:t>enduring power of guardianship</w:t>
      </w:r>
      <w:r>
        <w:tab/>
        <w:t>3(1)</w:t>
      </w:r>
    </w:p>
    <w:p>
      <w:pPr>
        <w:pStyle w:val="DefinedTerms"/>
      </w:pPr>
      <w:r>
        <w:t>executive officer</w:t>
      </w:r>
      <w:r>
        <w:tab/>
        <w:t>3(1)</w:t>
      </w:r>
    </w:p>
    <w:p>
      <w:pPr>
        <w:pStyle w:val="DefinedTerms"/>
      </w:pPr>
      <w:r>
        <w:t>foreign administrator</w:t>
      </w:r>
      <w:r>
        <w:tab/>
        <w:t>83B(4)</w:t>
      </w:r>
    </w:p>
    <w:p>
      <w:pPr>
        <w:pStyle w:val="DefinedTerms"/>
      </w:pPr>
      <w:r>
        <w:t>Full Tribunal</w:t>
      </w:r>
      <w:r>
        <w:tab/>
        <w:t>3(1)</w:t>
      </w:r>
    </w:p>
    <w:p>
      <w:pPr>
        <w:pStyle w:val="DefinedTerms"/>
      </w:pPr>
      <w:r>
        <w:t>guardian</w:t>
      </w:r>
      <w:r>
        <w:tab/>
        <w:t>3(1)</w:t>
      </w:r>
    </w:p>
    <w:p>
      <w:pPr>
        <w:pStyle w:val="DefinedTerms"/>
      </w:pPr>
      <w:r>
        <w:t>guardianship order</w:t>
      </w:r>
      <w:r>
        <w:tab/>
        <w:t>3(1)</w:t>
      </w:r>
    </w:p>
    <w:p>
      <w:pPr>
        <w:pStyle w:val="DefinedTerms"/>
      </w:pPr>
      <w:r>
        <w:t>Health Minister</w:t>
      </w:r>
      <w:r>
        <w:tab/>
        <w:t>110ZO</w:t>
      </w:r>
    </w:p>
    <w:p>
      <w:pPr>
        <w:pStyle w:val="DefinedTerms"/>
      </w:pPr>
      <w:r>
        <w:t>health professional</w:t>
      </w:r>
      <w:r>
        <w:tab/>
        <w:t>110ZH</w:t>
      </w:r>
    </w:p>
    <w:p>
      <w:pPr>
        <w:pStyle w:val="DefinedTerms"/>
      </w:pPr>
      <w:r>
        <w:t>HREC</w:t>
      </w:r>
      <w:r>
        <w:tab/>
        <w:t>110ZO</w:t>
      </w:r>
    </w:p>
    <w:p>
      <w:pPr>
        <w:pStyle w:val="DefinedTerms"/>
      </w:pPr>
      <w:r>
        <w:t>independent medical practitioner</w:t>
      </w:r>
      <w:r>
        <w:tab/>
        <w:t>110ZO</w:t>
      </w:r>
    </w:p>
    <w:p>
      <w:pPr>
        <w:pStyle w:val="DefinedTerms"/>
      </w:pPr>
      <w:r>
        <w:t>lead researcher</w:t>
      </w:r>
      <w:r>
        <w:tab/>
        <w:t>110ZO</w:t>
      </w:r>
    </w:p>
    <w:p>
      <w:pPr>
        <w:pStyle w:val="DefinedTerms"/>
      </w:pPr>
      <w:r>
        <w:t>life sustaining measure</w:t>
      </w:r>
      <w:r>
        <w:tab/>
        <w:t>3(1)</w:t>
      </w:r>
    </w:p>
    <w:p>
      <w:pPr>
        <w:pStyle w:val="DefinedTerms"/>
      </w:pPr>
      <w:r>
        <w:t>medical practitioner</w:t>
      </w:r>
      <w:r>
        <w:tab/>
        <w:t>110ZO</w:t>
      </w:r>
    </w:p>
    <w:p>
      <w:pPr>
        <w:pStyle w:val="DefinedTerms"/>
      </w:pPr>
      <w:r>
        <w:t>medical research</w:t>
      </w:r>
      <w:r>
        <w:tab/>
        <w:t>3(1), 3AA(1), (2), (3)</w:t>
      </w:r>
    </w:p>
    <w:p>
      <w:pPr>
        <w:pStyle w:val="DefinedTerms"/>
      </w:pPr>
      <w:r>
        <w:t>member</w:t>
      </w:r>
      <w:r>
        <w:tab/>
        <w:t>3(1)</w:t>
      </w:r>
    </w:p>
    <w:p>
      <w:pPr>
        <w:pStyle w:val="DefinedTerms"/>
      </w:pPr>
      <w:r>
        <w:t>mental disability</w:t>
      </w:r>
      <w:r>
        <w:tab/>
        <w:t>3(1)</w:t>
      </w:r>
    </w:p>
    <w:p>
      <w:pPr>
        <w:pStyle w:val="DefinedTerms"/>
      </w:pPr>
      <w:r>
        <w:t>National Statement</w:t>
      </w:r>
      <w:r>
        <w:tab/>
        <w:t>110ZO</w:t>
      </w:r>
    </w:p>
    <w:p>
      <w:pPr>
        <w:pStyle w:val="DefinedTerms"/>
      </w:pPr>
      <w:r>
        <w:t>nearest relative</w:t>
      </w:r>
      <w:r>
        <w:tab/>
        <w:t>3(1)</w:t>
      </w:r>
    </w:p>
    <w:p>
      <w:pPr>
        <w:pStyle w:val="DefinedTerms"/>
      </w:pPr>
      <w:r>
        <w:t>palliative care</w:t>
      </w:r>
      <w:r>
        <w:tab/>
        <w:t>3(1)</w:t>
      </w:r>
    </w:p>
    <w:p>
      <w:pPr>
        <w:pStyle w:val="DefinedTerms"/>
      </w:pPr>
      <w:r>
        <w:t>party</w:t>
      </w:r>
      <w:r>
        <w:tab/>
        <w:t>3(1)</w:t>
      </w:r>
    </w:p>
    <w:p>
      <w:pPr>
        <w:pStyle w:val="DefinedTerms"/>
      </w:pPr>
      <w:r>
        <w:t>patient</w:t>
      </w:r>
      <w:r>
        <w:tab/>
        <w:t>110ZC, 110ZH</w:t>
      </w:r>
    </w:p>
    <w:p>
      <w:pPr>
        <w:pStyle w:val="DefinedTerms"/>
      </w:pPr>
      <w:r>
        <w:t>personal information</w:t>
      </w:r>
      <w:r>
        <w:tab/>
        <w:t>3(1)</w:t>
      </w:r>
    </w:p>
    <w:p>
      <w:pPr>
        <w:pStyle w:val="DefinedTerms"/>
      </w:pPr>
      <w:r>
        <w:lastRenderedPageBreak/>
        <w:t>placebo</w:t>
      </w:r>
      <w:r>
        <w:tab/>
        <w:t>3(1)</w:t>
      </w:r>
    </w:p>
    <w:p>
      <w:pPr>
        <w:pStyle w:val="DefinedTerms"/>
      </w:pPr>
      <w:r>
        <w:t>prescribed day</w:t>
      </w:r>
      <w:r>
        <w:tab/>
        <w:t>Sch. 5 cl. 7(1)</w:t>
      </w:r>
    </w:p>
    <w:p>
      <w:pPr>
        <w:pStyle w:val="DefinedTerms"/>
      </w:pPr>
      <w:r>
        <w:t>President</w:t>
      </w:r>
      <w:r>
        <w:tab/>
        <w:t>3(1)</w:t>
      </w:r>
    </w:p>
    <w:p>
      <w:pPr>
        <w:pStyle w:val="DefinedTerms"/>
      </w:pPr>
      <w:r>
        <w:t>procedure for the sterilisation</w:t>
      </w:r>
      <w:r>
        <w:tab/>
        <w:t>56, 110ZT(1)</w:t>
      </w:r>
    </w:p>
    <w:p>
      <w:pPr>
        <w:pStyle w:val="DefinedTerms"/>
      </w:pPr>
      <w:r>
        <w:t>Public Advocate</w:t>
      </w:r>
      <w:r>
        <w:tab/>
        <w:t>3(1)</w:t>
      </w:r>
    </w:p>
    <w:p>
      <w:pPr>
        <w:pStyle w:val="DefinedTerms"/>
      </w:pPr>
      <w:r>
        <w:t>Public Trustee</w:t>
      </w:r>
      <w:r>
        <w:tab/>
        <w:t>3(1)</w:t>
      </w:r>
    </w:p>
    <w:p>
      <w:pPr>
        <w:pStyle w:val="DefinedTerms"/>
      </w:pPr>
      <w:r>
        <w:t>registered health practitioner</w:t>
      </w:r>
      <w:r>
        <w:tab/>
        <w:t>110ZO</w:t>
      </w:r>
    </w:p>
    <w:p>
      <w:pPr>
        <w:pStyle w:val="DefinedTerms"/>
      </w:pPr>
      <w:r>
        <w:t>relevant finding</w:t>
      </w:r>
      <w:r>
        <w:tab/>
        <w:t>67(5)</w:t>
      </w:r>
    </w:p>
    <w:p>
      <w:pPr>
        <w:pStyle w:val="DefinedTerms"/>
      </w:pPr>
      <w:r>
        <w:t>relevant official</w:t>
      </w:r>
      <w:r>
        <w:tab/>
        <w:t>83C(4)</w:t>
      </w:r>
    </w:p>
    <w:p>
      <w:pPr>
        <w:pStyle w:val="DefinedTerms"/>
      </w:pPr>
      <w:r>
        <w:t>report request</w:t>
      </w:r>
      <w:r>
        <w:tab/>
        <w:t>110ZZA(3)</w:t>
      </w:r>
    </w:p>
    <w:p>
      <w:pPr>
        <w:pStyle w:val="DefinedTerms"/>
      </w:pPr>
      <w:r>
        <w:t>represented person</w:t>
      </w:r>
      <w:r>
        <w:tab/>
        <w:t>3(1), 56</w:t>
      </w:r>
    </w:p>
    <w:p>
      <w:pPr>
        <w:pStyle w:val="DefinedTerms"/>
      </w:pPr>
      <w:r>
        <w:t>research candidate</w:t>
      </w:r>
      <w:r>
        <w:tab/>
        <w:t>3(1)</w:t>
      </w:r>
    </w:p>
    <w:p>
      <w:pPr>
        <w:pStyle w:val="DefinedTerms"/>
      </w:pPr>
      <w:r>
        <w:t>research decision</w:t>
      </w:r>
      <w:r>
        <w:tab/>
        <w:t>3(1)</w:t>
      </w:r>
    </w:p>
    <w:p>
      <w:pPr>
        <w:pStyle w:val="DefinedTerms"/>
      </w:pPr>
      <w:r>
        <w:t>research decision-maker</w:t>
      </w:r>
      <w:r>
        <w:tab/>
        <w:t>3(1), 110ZP(1)</w:t>
      </w:r>
    </w:p>
    <w:p>
      <w:pPr>
        <w:pStyle w:val="DefinedTerms"/>
      </w:pPr>
      <w:r>
        <w:t>researcher</w:t>
      </w:r>
      <w:r>
        <w:tab/>
        <w:t>110ZO</w:t>
      </w:r>
    </w:p>
    <w:p>
      <w:pPr>
        <w:pStyle w:val="DefinedTerms"/>
      </w:pPr>
      <w:r>
        <w:t>review application</w:t>
      </w:r>
      <w:r>
        <w:tab/>
        <w:t>110ZO</w:t>
      </w:r>
    </w:p>
    <w:p>
      <w:pPr>
        <w:pStyle w:val="DefinedTerms"/>
      </w:pPr>
      <w:r>
        <w:t>reviewed decision</w:t>
      </w:r>
      <w:r>
        <w:tab/>
        <w:t>110ZO</w:t>
      </w:r>
    </w:p>
    <w:p>
      <w:pPr>
        <w:pStyle w:val="DefinedTerms"/>
      </w:pPr>
      <w:r>
        <w:t>substitute enduring guardian</w:t>
      </w:r>
      <w:r>
        <w:tab/>
        <w:t>3(1)</w:t>
      </w:r>
    </w:p>
    <w:p>
      <w:pPr>
        <w:pStyle w:val="DefinedTerms"/>
      </w:pPr>
      <w:r>
        <w:t>take research action</w:t>
      </w:r>
      <w:r>
        <w:tab/>
        <w:t>110ZX(1)</w:t>
      </w:r>
    </w:p>
    <w:p>
      <w:pPr>
        <w:pStyle w:val="DefinedTerms"/>
      </w:pPr>
      <w:r>
        <w:t>take treatment action</w:t>
      </w:r>
      <w:r>
        <w:tab/>
        <w:t>110ZK(1)</w:t>
      </w:r>
    </w:p>
    <w:p>
      <w:pPr>
        <w:pStyle w:val="DefinedTerms"/>
      </w:pPr>
      <w:r>
        <w:t>treatment</w:t>
      </w:r>
      <w:r>
        <w:tab/>
        <w:t>3(1)</w:t>
      </w:r>
    </w:p>
    <w:p>
      <w:pPr>
        <w:pStyle w:val="DefinedTerms"/>
      </w:pPr>
      <w:r>
        <w:t>treatment decision</w:t>
      </w:r>
      <w:r>
        <w:tab/>
        <w:t>3(1)</w:t>
      </w:r>
    </w:p>
    <w:p>
      <w:pPr>
        <w:pStyle w:val="DefinedTerms"/>
      </w:pPr>
      <w:r>
        <w:t>urgent medical research decision</w:t>
      </w:r>
      <w:r>
        <w:tab/>
        <w:t>110ZO</w:t>
      </w:r>
    </w:p>
    <w:p>
      <w:pPr>
        <w:pStyle w:val="DefinedTerms"/>
      </w:pPr>
      <w:r>
        <w:t>urgent treatment</w:t>
      </w:r>
      <w:r>
        <w:tab/>
        <w:t>110ZH</w:t>
      </w:r>
    </w:p>
    <w:p>
      <w:pPr>
        <w:sectPr>
          <w:headerReference w:type="even" r:id="rId35"/>
          <w:headerReference w:type="default" r:id="rId36"/>
          <w:type w:val="continuous"/>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0"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AF30BB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41558DE" w14:textId="6F360E9D" w:rsidR="009E5DD6" w:rsidRDefault="009E5DD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B6476">
                        <w:rPr>
                          <w:sz w:val="16"/>
                        </w:rPr>
                        <w:t>2024</w:t>
                      </w:r>
                      <w:r>
                        <w:rPr>
                          <w:sz w:val="16"/>
                        </w:rPr>
                        <w:fldChar w:fldCharType="end"/>
                      </w:r>
                      <w:r>
                        <w:rPr>
                          <w:sz w:val="16"/>
                        </w:rPr>
                        <w:t>.</w:t>
                      </w:r>
                    </w:p>
                    <w:p w14:paraId="41FF009C" w14:textId="77777777" w:rsidR="009E5DD6" w:rsidRDefault="009E5DD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EC730D8" w14:textId="2750D354" w:rsidR="009E5DD6" w:rsidRDefault="009E5DD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B6476">
                        <w:rPr>
                          <w:sz w:val="16"/>
                        </w:rPr>
                        <w:t>2024</w:t>
                      </w:r>
                      <w:r>
                        <w:rPr>
                          <w:sz w:val="16"/>
                        </w:rPr>
                        <w:fldChar w:fldCharType="end"/>
                      </w:r>
                      <w:r>
                        <w:rPr>
                          <w:sz w:val="16"/>
                        </w:rPr>
                        <w:t>.</w:t>
                      </w:r>
                    </w:p>
                    <w:p w14:paraId="6AA9B5F1" w14:textId="77777777" w:rsidR="009E5DD6" w:rsidRDefault="009E5DD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05-t0-00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05-t0-00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05-t0-00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05-t0-00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05-t0-00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05-t0-00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STYLEREF CharPartText</w:instrTex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bookmarkStart w:id="475" w:name="Schedule"/>
    <w:bookmarkEnd w:id="47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Provisions as to proceedings of State Administrative Tribunal</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as to proceedings of State Administrative Tribunal</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 for enduring power of attorney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ind w:right="315"/>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 for enduring power of attorney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ind w:left="567"/>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30" w:name="Compilation"/>
    <w:bookmarkEnd w:id="530"/>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31" w:name="Coversheet"/>
    <w:bookmarkEnd w:id="5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D0DE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48475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004D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3A604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3A35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BC262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0AAC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AACA48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4F852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66649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9DE8C5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55631"/>
    <w:docVar w:name="WAFER_20140128102602" w:val="RemoveTocBookmarks,RemoveUnusedBookmarks,RemoveLanguageTags,UsedStyles,ResetPageSize,UpdateArrangement"/>
    <w:docVar w:name="WAFER_20140128102602_GUID" w:val="a795142a-09d6-4add-8b19-0ef529083058"/>
    <w:docVar w:name="WAFER_20140128102614" w:val="RemoveTocBookmarks,RunningHeaders"/>
    <w:docVar w:name="WAFER_20140128102614_GUID" w:val="6256d5a9-2cad-4c1e-941a-7ca7ebfbb313"/>
    <w:docVar w:name="WAFER_20141104172538" w:val="RemoveTocBookmarks,RemoveUnusedBookmarks,RemoveLanguageTags,UsedStyles,ResetPageSize,UpdateArrangement"/>
    <w:docVar w:name="WAFER_20141104172538_GUID" w:val="42e6d4ea-540b-4bc8-a5a3-981bec00fe12"/>
    <w:docVar w:name="WAFER_20150512151304" w:val="ResetPageSize,UpdateArrangement,UpdateNTable"/>
    <w:docVar w:name="WAFER_20150512151304_GUID" w:val="fe43496a-7cd6-4fba-b639-ac60ec529e58"/>
    <w:docVar w:name="WAFER_20151105132048" w:val="UpdateStyles,UsedStyles"/>
    <w:docVar w:name="WAFER_20151105132048_GUID" w:val="3c4bbd94-dc46-4106-b3d1-cc826ce900e5"/>
    <w:docVar w:name="WAFER_20191220111350" w:val="RemoveTocBookmarks,RemoveUnusedBookmarks,RemoveLanguageTags,ResetPageSize,RunningHeaders,UpdateStyles,UsedStyles"/>
    <w:docVar w:name="WAFER_20191220111350_GUID" w:val="e06d3b40-539c-4532-8034-5a530124f5bc"/>
    <w:docVar w:name="WAFER_202002101543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4324_GUID" w:val="e7891727-48de-43c2-9082-133c18223edb"/>
    <w:docVar w:name="WAFER_20200407102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407102852_GUID" w:val="9acd8b7f-e1b6-4eca-b52e-e7bd828534fc"/>
    <w:docVar w:name="WAFER_202106171159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908_GUID" w:val="a5b5dab8-42e2-455d-9ec9-9a1b37c3d84b"/>
    <w:docVar w:name="WAFER_202106251445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31_GUID" w:val="1e806d13-42a4-4b27-9e9f-45d6c52ff7c3"/>
    <w:docVar w:name="WAFER_202204081549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4953_GUID" w:val="99fc1bfd-1748-4242-8a0f-0df2bca627d4"/>
    <w:docVar w:name="WAFER_202206290952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5240_GUID" w:val="3e4d3338-2059-45eb-bd43-b12821f296bb"/>
    <w:docVar w:name="WAFER_202304121152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254_GUID" w:val="5b3de0cd-d8fd-4a3d-beca-526ec38a48f9"/>
    <w:docVar w:name="WAFER_20230922120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2120335_GUID" w:val="fde69854-a570-4ed4-88f6-0d817c1a2d1c"/>
    <w:docVar w:name="WAFER_202312061158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15824_GUID" w:val="742331c1-a3ba-47f0-bc32-246de81c377a"/>
    <w:docVar w:name="WAFER_20231206120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20121_GUID" w:val="7f4bce85-5565-4493-9ece-c4179439548b"/>
    <w:docVar w:name="WAFER_202402161233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3337_GUID" w:val="a9f54619-0bc8-473f-a5af-ea596fea12f6"/>
    <w:docVar w:name="WAFER_202403201604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60404_GUID" w:val="3af54310-4368-4367-b7bf-646a62fe1d4d"/>
    <w:docVar w:name="WAFER_202408221556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5631_GUID" w:val="2b0dc585-3733-4808-a087-fe1f8a1e16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497"/>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jpeg"/><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AA54E-5A37-46FC-83D8-4DA48A4F1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43611</Words>
  <Characters>213698</Characters>
  <Application>Microsoft Office Word</Application>
  <DocSecurity>0</DocSecurity>
  <Lines>5775</Lines>
  <Paragraphs>3385</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253924</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1990 - 05-t0-00</dc:title>
  <dc:subject/>
  <dc:creator/>
  <cp:keywords/>
  <dc:description/>
  <cp:lastModifiedBy>Master Repository Process</cp:lastModifiedBy>
  <cp:revision>4</cp:revision>
  <cp:lastPrinted>2014-09-11T02:46:00Z</cp:lastPrinted>
  <dcterms:created xsi:type="dcterms:W3CDTF">2025-06-26T01:52:00Z</dcterms:created>
  <dcterms:modified xsi:type="dcterms:W3CDTF">2025-06-26T01:53:00Z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DocumentType">
    <vt:lpwstr>Act</vt:lpwstr>
  </property>
  <property fmtid="{D5CDD505-2E9C-101B-9397-08002B2CF9AE}" pid="4" name="OwlsUID">
    <vt:i4>336</vt:i4>
  </property>
  <property fmtid="{D5CDD505-2E9C-101B-9397-08002B2CF9AE}" pid="5" name="ReprintNo">
    <vt:lpwstr>5</vt:lpwstr>
  </property>
  <property fmtid="{D5CDD505-2E9C-101B-9397-08002B2CF9AE}" pid="6" name="AsAtDate">
    <vt:lpwstr>01 Sep 2024</vt:lpwstr>
  </property>
  <property fmtid="{D5CDD505-2E9C-101B-9397-08002B2CF9AE}" pid="7" name="Suffix">
    <vt:lpwstr>05-t0-00</vt:lpwstr>
  </property>
  <property fmtid="{D5CDD505-2E9C-101B-9397-08002B2CF9AE}" pid="8" name="Official">
    <vt:lpwstr/>
  </property>
  <property fmtid="{D5CDD505-2E9C-101B-9397-08002B2CF9AE}" pid="9" name="CommencementDate">
    <vt:lpwstr>20240901</vt:lpwstr>
  </property>
  <property fmtid="{D5CDD505-2E9C-101B-9397-08002B2CF9AE}" pid="10" name="CommencementAsAt">
    <vt:filetime>2024-08-31T16:00:00Z</vt:filetime>
  </property>
  <property fmtid="{D5CDD505-2E9C-101B-9397-08002B2CF9AE}" pid="11" name="CommencementYear">
    <vt:lpwstr>2024</vt:lpwstr>
  </property>
</Properties>
</file>