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(Vehicles) Act 2012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Amendment Regulations (No. 3)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Amendment Regulations (No. 3)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_Toc176252789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_Toc176252790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_Toc176252791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171 amended</w:t>
      </w:r>
      <w:r>
        <w:tab/>
      </w:r>
      <w:r>
        <w:fldChar w:fldCharType="begin"/>
      </w:r>
      <w:r>
        <w:instrText xml:space="preserve"> PAGEREF _Toc176252792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180 amended</w:t>
      </w:r>
      <w:r>
        <w:tab/>
      </w:r>
      <w:r>
        <w:fldChar w:fldCharType="begin"/>
      </w:r>
      <w:r>
        <w:instrText xml:space="preserve"> PAGEREF _Toc176252793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(Vehicles) Act 2012</w:t>
      </w:r>
    </w:p>
    <w:p>
      <w:pPr>
        <w:pStyle w:val="NameofActReg"/>
      </w:pPr>
      <w:r>
        <w:t>Road Traffic (Vehicles) Amendment Regulations (No. 3)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5825418"/>
      <w:bookmarkStart w:id="3" w:name="_Toc17625278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(Vehicles) Amendment Regulations (No. 3) 2024</w:t>
      </w:r>
      <w:r>
        <w:t>.</w:t>
      </w:r>
    </w:p>
    <w:p>
      <w:pPr>
        <w:pStyle w:val="Heading5"/>
        <w:rPr>
          <w:spacing w:val="-2"/>
        </w:rPr>
      </w:pPr>
      <w:bookmarkStart w:id="5" w:name="_Toc175825419"/>
      <w:bookmarkStart w:id="6" w:name="_Toc17625279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75825420"/>
      <w:bookmarkStart w:id="8" w:name="_Toc17625279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Road Traffic (Vehicles) Regulations 2014</w:t>
      </w:r>
      <w:r>
        <w:t>.</w:t>
      </w:r>
    </w:p>
    <w:p>
      <w:pPr>
        <w:pStyle w:val="Heading5"/>
      </w:pPr>
      <w:bookmarkStart w:id="9" w:name="_Toc175825421"/>
      <w:bookmarkStart w:id="10" w:name="_Toc176252792"/>
      <w:r>
        <w:rPr>
          <w:rStyle w:val="CharSectno"/>
        </w:rPr>
        <w:t>4</w:t>
      </w:r>
      <w:r>
        <w:t>.</w:t>
      </w:r>
      <w:r>
        <w:tab/>
        <w:t>Regulation 171 amended</w:t>
      </w:r>
      <w:bookmarkEnd w:id="9"/>
      <w:bookmarkEnd w:id="10"/>
    </w:p>
    <w:p>
      <w:pPr>
        <w:pStyle w:val="Subsection"/>
      </w:pPr>
      <w:r>
        <w:tab/>
      </w:r>
      <w:r>
        <w:tab/>
        <w:t>Delete regulation 171(1) and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safer freight vehicle</w:t>
      </w:r>
      <w:r>
        <w:t xml:space="preserve"> means a heavy vehicle, other than a trailer or bus, that — </w:t>
      </w:r>
    </w:p>
    <w:p>
      <w:pPr>
        <w:pStyle w:val="zDefpara"/>
        <w:keepNext/>
      </w:pPr>
      <w:r>
        <w:lastRenderedPageBreak/>
        <w:tab/>
        <w:t>(a)</w:t>
      </w:r>
      <w:r>
        <w:tab/>
        <w:t xml:space="preserve">meets the requirements of the following ADRs, so far as they are applicable — </w:t>
      </w:r>
    </w:p>
    <w:p>
      <w:pPr>
        <w:pStyle w:val="zDefsubpara"/>
      </w:pPr>
      <w:r>
        <w:tab/>
        <w:t>(i)</w:t>
      </w:r>
      <w:r>
        <w:tab/>
        <w:t>ADR 14/03 or a later version of ADR 14;</w:t>
      </w:r>
    </w:p>
    <w:p>
      <w:pPr>
        <w:pStyle w:val="zDefsubpara"/>
      </w:pPr>
      <w:r>
        <w:tab/>
        <w:t>(ii)</w:t>
      </w:r>
      <w:r>
        <w:tab/>
        <w:t>ADR 35/07 or a later version of ADR 35;</w:t>
      </w:r>
    </w:p>
    <w:p>
      <w:pPr>
        <w:pStyle w:val="zDefsubpara"/>
      </w:pPr>
      <w:r>
        <w:tab/>
        <w:t>(iii)</w:t>
      </w:r>
      <w:r>
        <w:tab/>
        <w:t>ADR 97;</w:t>
      </w:r>
    </w:p>
    <w:p>
      <w:pPr>
        <w:pStyle w:val="zDefsubpara"/>
      </w:pPr>
      <w:r>
        <w:tab/>
        <w:t>(iv)</w:t>
      </w:r>
      <w:r>
        <w:tab/>
        <w:t>ADR 99;</w:t>
      </w:r>
    </w:p>
    <w:p>
      <w:pPr>
        <w:pStyle w:val="zDefpara"/>
      </w:pPr>
      <w:r>
        <w:tab/>
      </w:r>
      <w:r>
        <w:tab/>
        <w:t>and</w:t>
      </w:r>
    </w:p>
    <w:p>
      <w:pPr>
        <w:pStyle w:val="zDefpara"/>
        <w:rPr>
          <w:color w:val="000000"/>
          <w:szCs w:val="24"/>
          <w:shd w:val="clear" w:color="auto" w:fill="FFFFFF"/>
        </w:rPr>
      </w:pPr>
      <w:r>
        <w:tab/>
        <w:t>(b)</w:t>
      </w:r>
      <w:r>
        <w:tab/>
      </w:r>
      <w:r>
        <w:rPr>
          <w:szCs w:val="24"/>
        </w:rPr>
        <w:t xml:space="preserve">if </w:t>
      </w:r>
      <w:r>
        <w:rPr>
          <w:color w:val="000000"/>
          <w:szCs w:val="24"/>
          <w:shd w:val="clear" w:color="auto" w:fill="FFFFFF"/>
        </w:rPr>
        <w:t>the vehicle has a GVM of more than 8 t —</w:t>
      </w:r>
      <w:r>
        <w:rPr>
          <w:color w:val="000000"/>
          <w:sz w:val="27"/>
          <w:szCs w:val="27"/>
          <w:shd w:val="clear" w:color="auto" w:fill="FFFFFF"/>
        </w:rPr>
        <w:t xml:space="preserve"> </w:t>
      </w:r>
      <w:r>
        <w:t xml:space="preserve">meets the requirements of </w:t>
      </w:r>
      <w:r>
        <w:rPr>
          <w:color w:val="000000"/>
          <w:szCs w:val="24"/>
          <w:shd w:val="clear" w:color="auto" w:fill="FFFFFF"/>
        </w:rPr>
        <w:t>ADR 105,</w:t>
      </w:r>
      <w:r>
        <w:rPr>
          <w:snapToGrid/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Cs w:val="24"/>
          <w:shd w:val="clear" w:color="auto" w:fill="FFFFFF"/>
        </w:rPr>
        <w:t>so far as it is applicable; and</w:t>
      </w:r>
    </w:p>
    <w:p>
      <w:pPr>
        <w:pStyle w:val="zDefpara"/>
      </w:pPr>
      <w:r>
        <w:tab/>
        <w:t>(c)</w:t>
      </w:r>
      <w:r>
        <w:tab/>
        <w:t xml:space="preserve">if the vehicle is not a prime mover — </w:t>
      </w:r>
    </w:p>
    <w:p>
      <w:pPr>
        <w:pStyle w:val="zDefsubpara"/>
      </w:pPr>
      <w:r>
        <w:tab/>
        <w:t>(i)</w:t>
      </w:r>
      <w:r>
        <w:tab/>
        <w:t>meets the requirements of ADR 106; and</w:t>
      </w:r>
    </w:p>
    <w:p>
      <w:pPr>
        <w:pStyle w:val="zDefsubpara"/>
      </w:pPr>
      <w:r>
        <w:tab/>
        <w:t>(ii)</w:t>
      </w:r>
      <w:r>
        <w:tab/>
        <w:t>is fitted with conspicuity markings that comply with the requirements of ADR 13.</w:t>
      </w:r>
    </w:p>
    <w:p>
      <w:pPr>
        <w:pStyle w:val="zSubsection"/>
      </w:pPr>
      <w:r>
        <w:tab/>
        <w:t>(1)</w:t>
      </w:r>
      <w:r>
        <w:tab/>
        <w:t xml:space="preserve">A motor vehicle, trailer or any vehicle in a combination must not be over — </w:t>
      </w:r>
    </w:p>
    <w:p>
      <w:pPr>
        <w:pStyle w:val="zIndenta"/>
      </w:pPr>
      <w:r>
        <w:tab/>
        <w:t>(a)</w:t>
      </w:r>
      <w:r>
        <w:tab/>
        <w:t>if the vehicle is a safer freight vehicle — 2.55 m wide; or</w:t>
      </w:r>
    </w:p>
    <w:p>
      <w:pPr>
        <w:pStyle w:val="zIndenta"/>
      </w:pPr>
      <w:r>
        <w:tab/>
        <w:t>(b)</w:t>
      </w:r>
      <w:r>
        <w:tab/>
        <w:t>otherwise — 2.5 m wide.</w:t>
      </w:r>
    </w:p>
    <w:p>
      <w:pPr>
        <w:pStyle w:val="BlankClose"/>
      </w:pPr>
    </w:p>
    <w:p>
      <w:pPr>
        <w:pStyle w:val="Heading5"/>
      </w:pPr>
      <w:bookmarkStart w:id="11" w:name="_Toc175825422"/>
      <w:bookmarkStart w:id="12" w:name="_Toc176252793"/>
      <w:r>
        <w:rPr>
          <w:rStyle w:val="CharSectno"/>
        </w:rPr>
        <w:lastRenderedPageBreak/>
        <w:t>5</w:t>
      </w:r>
      <w:r>
        <w:t>.</w:t>
      </w:r>
      <w:r>
        <w:tab/>
        <w:t>Regulation 180 amended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In regulation 180(2) delete:</w:t>
      </w:r>
    </w:p>
    <w:p>
      <w:pPr>
        <w:pStyle w:val="DeleteOpen"/>
      </w:pPr>
    </w:p>
    <w:p>
      <w:pPr>
        <w:pStyle w:val="yMiscellaneousHeading"/>
        <w:spacing w:before="120"/>
        <w:rPr>
          <w:b/>
          <w:bCs/>
        </w:rPr>
      </w:pPr>
      <w:r>
        <w:rPr>
          <w:b/>
          <w:bCs/>
        </w:rPr>
        <w:t>Vehicle loaded to width limits mentioned in r. </w:t>
      </w:r>
      <w:r>
        <w:rPr>
          <w:b/>
        </w:rPr>
        <w:t>170</w:t>
      </w:r>
      <w:r>
        <w:rPr>
          <w:b/>
          <w:bCs/>
        </w:rPr>
        <w:t xml:space="preserve">, </w:t>
      </w:r>
      <w:r>
        <w:rPr>
          <w:b/>
          <w:bCs/>
        </w:rPr>
        <w:br/>
        <w:t>with maximum side projection of load allowed under r. 180</w:t>
      </w:r>
    </w:p>
    <w:p>
      <w:pPr>
        <w:pStyle w:val="DeleteClose"/>
        <w:keepNext/>
      </w:pPr>
    </w:p>
    <w:p>
      <w:pPr>
        <w:pStyle w:val="Subsection"/>
        <w:keepNext/>
      </w:pPr>
      <w:r>
        <w:tab/>
      </w:r>
      <w:r>
        <w:tab/>
        <w:t>and insert:</w:t>
      </w:r>
    </w:p>
    <w:p>
      <w:pPr>
        <w:pStyle w:val="BlankOpen"/>
      </w:pPr>
    </w:p>
    <w:p>
      <w:pPr>
        <w:pStyle w:val="zMiscellaneousBody"/>
        <w:jc w:val="center"/>
        <w:rPr>
          <w:b/>
          <w:bCs/>
        </w:rPr>
      </w:pPr>
      <w:r>
        <w:rPr>
          <w:b/>
          <w:bCs/>
        </w:rPr>
        <w:t>Maximum width limit of vehicle and its load set under r. 171(1)(b), with maximum side projection of load allowed under r. 180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2912025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020901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02090140_GUID" w:val="e61c627d-5cba-48d2-9e79-a535c9d7719f"/>
    <w:docVar w:name="WAFER_202407300919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30091915_GUID" w:val="3f3fa6fe-7150-4bc6-a28d-24a115ac22e8"/>
    <w:docVar w:name="WAFER_202408291202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29120251_GUID" w:val="e8de7d9f-bd3a-4685-90bb-d3d35ddfb90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C678D65D-EBE7-4BBD-8725-A5ADB8124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2212</Characters>
  <Application>Microsoft Office Word</Application>
  <DocSecurity>0</DocSecurity>
  <Lines>105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(Vehicles) Amendment Regulations (No. 3) 2024 - 00-00-00</dc:title>
  <dc:subject/>
  <dc:creator/>
  <cp:keywords/>
  <dc:description/>
  <cp:lastModifiedBy>Master Repository Process</cp:lastModifiedBy>
  <cp:revision>4</cp:revision>
  <cp:lastPrinted>2024-06-28T06:35:00Z</cp:lastPrinted>
  <dcterms:created xsi:type="dcterms:W3CDTF">2025-06-23T04:33:00Z</dcterms:created>
  <dcterms:modified xsi:type="dcterms:W3CDTF">2025-06-23T04:33:00Z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54975</vt:lpwstr>
  </property>
  <property fmtid="{D5CDD505-2E9C-101B-9397-08002B2CF9AE}" pid="3" name="DocumentType">
    <vt:lpwstr>Reg</vt:lpwstr>
  </property>
  <property fmtid="{D5CDD505-2E9C-101B-9397-08002B2CF9AE}" pid="4" name="AsAtDate">
    <vt:lpwstr>04 Sep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2024/180</vt:lpwstr>
  </property>
  <property fmtid="{D5CDD505-2E9C-101B-9397-08002B2CF9AE}" pid="8" name="PublishDate">
    <vt:lpwstr>4 Sep 2024</vt:lpwstr>
  </property>
  <property fmtid="{D5CDD505-2E9C-101B-9397-08002B2CF9AE}" pid="9" name="CommencementDate">
    <vt:lpwstr>20240904</vt:lpwstr>
  </property>
  <property fmtid="{D5CDD505-2E9C-101B-9397-08002B2CF9AE}" pid="10" name="CommencementAsAt">
    <vt:filetime>2024-09-03T16:00:00Z</vt:filetime>
  </property>
  <property fmtid="{D5CDD505-2E9C-101B-9397-08002B2CF9AE}" pid="11" name="CommencementYear">
    <vt:lpwstr>2024</vt:lpwstr>
  </property>
</Properties>
</file>