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Regulations (No. 4)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Regulations (No. 4)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_Toc176252532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_Toc176252533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_Toc176252534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_Toc176252535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120A amended</w:t>
      </w:r>
      <w:r>
        <w:tab/>
      </w:r>
      <w:r>
        <w:fldChar w:fldCharType="begin"/>
      </w:r>
      <w:r>
        <w:instrText xml:space="preserve"> PAGEREF _Toc176252536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146 amended</w:t>
      </w:r>
      <w:r>
        <w:tab/>
      </w:r>
      <w:r>
        <w:fldChar w:fldCharType="begin"/>
      </w:r>
      <w:r>
        <w:instrText xml:space="preserve"> PAGEREF _Toc176252537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1 Form 16 amended</w:t>
      </w:r>
      <w:r>
        <w:tab/>
      </w:r>
      <w:r>
        <w:fldChar w:fldCharType="begin"/>
      </w:r>
      <w:r>
        <w:instrText xml:space="preserve"> PAGEREF _Toc176252538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_Toc176252539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Act 1978</w:t>
      </w:r>
    </w:p>
    <w:p>
      <w:pPr>
        <w:pStyle w:val="NameofActReg"/>
      </w:pPr>
      <w:r>
        <w:t>Mining Amendment Regulations (No. 4)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5826472"/>
      <w:bookmarkStart w:id="3" w:name="_Toc1762525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Mining Amendment Regulations (No. 4) 2024</w:t>
      </w:r>
      <w:r>
        <w:t>.</w:t>
      </w:r>
    </w:p>
    <w:p>
      <w:pPr>
        <w:pStyle w:val="Heading5"/>
        <w:rPr>
          <w:spacing w:val="-2"/>
        </w:rPr>
      </w:pPr>
      <w:bookmarkStart w:id="5" w:name="_Toc175826473"/>
      <w:bookmarkStart w:id="6" w:name="_Toc1762525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 16 September 2024.</w:t>
      </w:r>
    </w:p>
    <w:p>
      <w:pPr>
        <w:pStyle w:val="Heading5"/>
        <w:rPr>
          <w:snapToGrid w:val="0"/>
        </w:rPr>
      </w:pPr>
      <w:bookmarkStart w:id="7" w:name="_Toc175826474"/>
      <w:bookmarkStart w:id="8" w:name="_Toc1762525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Mining Regulations 1981</w:t>
      </w:r>
      <w:r>
        <w:t>.</w:t>
      </w:r>
    </w:p>
    <w:p>
      <w:pPr>
        <w:pStyle w:val="Heading5"/>
      </w:pPr>
      <w:bookmarkStart w:id="9" w:name="_Toc175826475"/>
      <w:bookmarkStart w:id="10" w:name="_Toc176252535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9"/>
      <w:bookmarkEnd w:id="1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Centrelink</w:t>
      </w:r>
      <w:r>
        <w:t xml:space="preserve"> means the agency of the Commonwealth principally assisting in the administration of the </w:t>
      </w:r>
      <w:r>
        <w:rPr>
          <w:i/>
          <w:iCs/>
        </w:rPr>
        <w:t>Human Services (Centrelink) Act 1997</w:t>
      </w:r>
      <w:r>
        <w:t xml:space="preserve"> (Commonwealth);</w:t>
      </w:r>
    </w:p>
    <w:p>
      <w:pPr>
        <w:pStyle w:val="zDefstart"/>
      </w:pPr>
      <w:r>
        <w:tab/>
      </w:r>
      <w:r>
        <w:rPr>
          <w:rStyle w:val="CharDefText"/>
        </w:rPr>
        <w:t>eligible individual</w:t>
      </w:r>
      <w:r>
        <w:t xml:space="preserve"> means an individual who — </w:t>
      </w:r>
    </w:p>
    <w:p>
      <w:pPr>
        <w:pStyle w:val="zDefpara"/>
      </w:pPr>
      <w:r>
        <w:tab/>
        <w:t>(a)</w:t>
      </w:r>
      <w:r>
        <w:tab/>
        <w:t xml:space="preserve">holds 1 or more of the following cards issued by Centrelink — </w:t>
      </w:r>
    </w:p>
    <w:p>
      <w:pPr>
        <w:pStyle w:val="zDefsubpara"/>
      </w:pPr>
      <w:r>
        <w:tab/>
        <w:t>(i)</w:t>
      </w:r>
      <w:r>
        <w:tab/>
        <w:t>a health care card;</w:t>
      </w:r>
    </w:p>
    <w:p>
      <w:pPr>
        <w:pStyle w:val="zDefsubpara"/>
      </w:pPr>
      <w:r>
        <w:tab/>
        <w:t>(ii)</w:t>
      </w:r>
      <w:r>
        <w:tab/>
        <w:t>a health benefit card;</w:t>
      </w:r>
    </w:p>
    <w:p>
      <w:pPr>
        <w:pStyle w:val="zDefsubpara"/>
      </w:pPr>
      <w:r>
        <w:lastRenderedPageBreak/>
        <w:tab/>
        <w:t>(iii)</w:t>
      </w:r>
      <w:r>
        <w:tab/>
        <w:t>a pensioner concession card;</w:t>
      </w:r>
    </w:p>
    <w:p>
      <w:pPr>
        <w:pStyle w:val="zDefsubpara"/>
        <w:rPr>
          <w:rStyle w:val="DraftersNotes"/>
          <w:b w:val="0"/>
          <w:i w:val="0"/>
          <w:sz w:val="24"/>
        </w:rPr>
      </w:pPr>
      <w:r>
        <w:tab/>
        <w:t>(iv)</w:t>
      </w:r>
      <w:r>
        <w:tab/>
        <w:t>a Commonwealth seniors health card;</w:t>
      </w:r>
    </w:p>
    <w:p>
      <w:pPr>
        <w:pStyle w:val="zDefpara"/>
      </w:pPr>
      <w:r>
        <w:tab/>
      </w:r>
      <w:r>
        <w:tab/>
        <w:t>or</w:t>
      </w:r>
    </w:p>
    <w:p>
      <w:pPr>
        <w:pStyle w:val="zDefpara"/>
      </w:pPr>
      <w:r>
        <w:tab/>
        <w:t>(b)</w:t>
      </w:r>
      <w:r>
        <w:tab/>
        <w:t>holds any other card issued by Centrelink, or a card issued by the Department of Veterans’ Affairs of the Commonwealth, that certifies entitlement to Commonwealth health concessions; or</w:t>
      </w:r>
    </w:p>
    <w:p>
      <w:pPr>
        <w:pStyle w:val="zDefpara"/>
      </w:pPr>
      <w:r>
        <w:tab/>
        <w:t>(c)</w:t>
      </w:r>
      <w:r>
        <w:tab/>
        <w:t xml:space="preserve">is in receipt of a youth training allowance or an AUSTUDY allowance (as those terms are defined in the </w:t>
      </w:r>
      <w:r>
        <w:rPr>
          <w:i/>
          <w:iCs/>
        </w:rPr>
        <w:t>Social Security Act 1991</w:t>
      </w:r>
      <w:r>
        <w:t xml:space="preserve"> (Commonwealth) section 23(1)); or</w:t>
      </w:r>
    </w:p>
    <w:p>
      <w:pPr>
        <w:pStyle w:val="zDefpara"/>
      </w:pPr>
      <w:r>
        <w:tab/>
        <w:t>(d)</w:t>
      </w:r>
      <w:r>
        <w:tab/>
        <w:t>is in receipt of benefits under the Commonwealth student assistance scheme known as the ABSTUDY Scheme; or</w:t>
      </w:r>
    </w:p>
    <w:p>
      <w:pPr>
        <w:pStyle w:val="zDefpara"/>
        <w:rPr>
          <w:rStyle w:val="DraftersNotes"/>
        </w:rPr>
      </w:pPr>
      <w:r>
        <w:tab/>
        <w:t>(e)</w:t>
      </w:r>
      <w:r>
        <w:tab/>
        <w:t xml:space="preserve">has been granted legal aid under the </w:t>
      </w:r>
      <w:r>
        <w:rPr>
          <w:i/>
          <w:iCs/>
        </w:rPr>
        <w:t>Legal Aid Commission Act 1976</w:t>
      </w:r>
      <w:r>
        <w:t xml:space="preserve"> or a legal aid scheme or service established under a Commonwealth, State or Territory law in respect of the proceedings under Part IV of the Act in relation to which a fee would otherwise be payable.</w:t>
      </w:r>
      <w:r>
        <w:rPr>
          <w:rStyle w:val="DraftersNotes"/>
        </w:rPr>
        <w:t xml:space="preserve"> </w:t>
      </w:r>
    </w:p>
    <w:p>
      <w:pPr>
        <w:pStyle w:val="zDefstart"/>
      </w:pPr>
      <w:r>
        <w:tab/>
      </w:r>
      <w:r>
        <w:rPr>
          <w:rStyle w:val="CharDefText"/>
        </w:rPr>
        <w:t>Land Register</w:t>
      </w:r>
      <w:r>
        <w:t xml:space="preserve"> means the Register referred to in the </w:t>
      </w:r>
      <w:r>
        <w:rPr>
          <w:i/>
          <w:iCs/>
        </w:rPr>
        <w:t>Transfer of Land Act 1893</w:t>
      </w:r>
      <w:r>
        <w:t xml:space="preserve"> section 48;</w:t>
      </w:r>
    </w:p>
    <w:p>
      <w:pPr>
        <w:pStyle w:val="zDefstart"/>
      </w:pPr>
      <w:r>
        <w:tab/>
      </w:r>
      <w:r>
        <w:rPr>
          <w:rStyle w:val="CharDefText"/>
        </w:rPr>
        <w:t>proprietor</w:t>
      </w:r>
      <w:r>
        <w:t xml:space="preserve"> means —</w:t>
      </w:r>
    </w:p>
    <w:p>
      <w:pPr>
        <w:pStyle w:val="zDefpara"/>
      </w:pPr>
      <w:r>
        <w:tab/>
        <w:t>(a)</w:t>
      </w:r>
      <w:r>
        <w:tab/>
        <w:t xml:space="preserve">in relation to freehold land under the </w:t>
      </w:r>
      <w:r>
        <w:rPr>
          <w:i/>
          <w:iCs/>
        </w:rPr>
        <w:t>Transfer of Land Act 1893</w:t>
      </w:r>
      <w:r>
        <w:t xml:space="preserve">, the owner, whether in possession, remainder, reversion or otherwise, of land whose name appears in the Land Register; and </w:t>
      </w:r>
    </w:p>
    <w:p>
      <w:pPr>
        <w:pStyle w:val="zDefpara"/>
        <w:keepLines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in relation to freehold land not under the </w:t>
      </w:r>
      <w:r>
        <w:rPr>
          <w:i/>
          <w:iCs/>
        </w:rPr>
        <w:t>Transfer of Land Act 1893</w:t>
      </w:r>
      <w:r>
        <w:t>, the owner of the fee simple in the land or the person entitled to the equity of redemption in the land;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registered native title body corporate</w:t>
      </w:r>
      <w:r>
        <w:t xml:space="preserve"> has the meaning given in the </w:t>
      </w:r>
      <w:bookmarkStart w:id="11" w:name="RuleErr_0001"/>
      <w:r>
        <w:rPr>
          <w:i/>
        </w:rPr>
        <w:t xml:space="preserve">Native Title Act 1993 </w:t>
      </w:r>
      <w:bookmarkEnd w:id="11"/>
      <w:r>
        <w:t>(Commonwealth) section 253;</w:t>
      </w:r>
    </w:p>
    <w:p>
      <w:pPr>
        <w:pStyle w:val="BlankClose"/>
      </w:pPr>
    </w:p>
    <w:p>
      <w:pPr>
        <w:pStyle w:val="Heading5"/>
      </w:pPr>
      <w:bookmarkStart w:id="12" w:name="_Toc175826476"/>
      <w:bookmarkStart w:id="13" w:name="_Toc176252536"/>
      <w:r>
        <w:rPr>
          <w:rStyle w:val="CharSectno"/>
        </w:rPr>
        <w:t>5</w:t>
      </w:r>
      <w:r>
        <w:t>.</w:t>
      </w:r>
      <w:r>
        <w:tab/>
        <w:t>Regulation 120A amended</w:t>
      </w:r>
      <w:bookmarkEnd w:id="12"/>
      <w:bookmarkEnd w:id="13"/>
    </w:p>
    <w:p>
      <w:pPr>
        <w:pStyle w:val="Subsection"/>
      </w:pPr>
      <w:r>
        <w:tab/>
      </w:r>
      <w:r>
        <w:tab/>
        <w:t>After regulation 120A(3a) insert:</w:t>
      </w:r>
    </w:p>
    <w:p>
      <w:pPr>
        <w:pStyle w:val="BlankOpen"/>
      </w:pPr>
    </w:p>
    <w:p>
      <w:pPr>
        <w:pStyle w:val="zSubsection"/>
      </w:pPr>
      <w:r>
        <w:tab/>
        <w:t>(3B)</w:t>
      </w:r>
      <w:r>
        <w:tab/>
        <w:t>An objection lodged under subregulation (3a) must be accompanied by the fee set out in Schedule 2 item 23.</w:t>
      </w:r>
    </w:p>
    <w:p>
      <w:pPr>
        <w:pStyle w:val="BlankClose"/>
      </w:pPr>
    </w:p>
    <w:p>
      <w:pPr>
        <w:pStyle w:val="Heading5"/>
      </w:pPr>
      <w:bookmarkStart w:id="14" w:name="_Toc175826477"/>
      <w:bookmarkStart w:id="15" w:name="_Toc176252537"/>
      <w:r>
        <w:rPr>
          <w:rStyle w:val="CharSectno"/>
        </w:rPr>
        <w:t>6</w:t>
      </w:r>
      <w:r>
        <w:t>.</w:t>
      </w:r>
      <w:r>
        <w:tab/>
        <w:t>Regulation 146 amended</w:t>
      </w:r>
      <w:bookmarkEnd w:id="14"/>
      <w:bookmarkEnd w:id="15"/>
    </w:p>
    <w:p>
      <w:pPr>
        <w:pStyle w:val="Subsection"/>
      </w:pPr>
      <w:r>
        <w:tab/>
      </w:r>
      <w:r>
        <w:tab/>
        <w:t>After regulation 146(1) insert:</w:t>
      </w:r>
    </w:p>
    <w:p>
      <w:pPr>
        <w:pStyle w:val="BlankOpen"/>
      </w:pP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(1A)</w:t>
      </w:r>
      <w:r>
        <w:tab/>
        <w:t>The fee set out in Schedule 2 item 23 is the prescribed fee for the purposes of each of the sections set out in the Table.</w:t>
      </w: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</w:tcPr>
          <w:p>
            <w:pPr>
              <w:pStyle w:val="TableNAm"/>
              <w:rPr>
                <w:rStyle w:val="DraftersNotes"/>
                <w:b w:val="0"/>
                <w:i w:val="0"/>
                <w:sz w:val="24"/>
              </w:rPr>
            </w:pPr>
            <w:r>
              <w:t>s. 42(1A)(b)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s. 56A(4)(a)(ii)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s. 59(1A)(b)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s. 70(4)(a)(ii)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s. 70D(1A)(b)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s. 75(1AA)(b)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s. 97A(6A)(b)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s. 102(4B)(b)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6" w:name="_Toc175826478"/>
      <w:bookmarkStart w:id="17" w:name="_Toc176252538"/>
      <w:r>
        <w:rPr>
          <w:rStyle w:val="CharSectno"/>
        </w:rPr>
        <w:lastRenderedPageBreak/>
        <w:t>7</w:t>
      </w:r>
      <w:r>
        <w:t>.</w:t>
      </w:r>
      <w:r>
        <w:tab/>
        <w:t>Schedule 1 Form 16 amended</w:t>
      </w:r>
      <w:bookmarkEnd w:id="16"/>
      <w:bookmarkEnd w:id="17"/>
    </w:p>
    <w:p>
      <w:pPr>
        <w:pStyle w:val="Subsection"/>
        <w:keepNext/>
      </w:pPr>
      <w:r>
        <w:tab/>
      </w:r>
      <w:r>
        <w:tab/>
        <w:t>In Schedule 1 Form 16 after paragraph (d)(iv) insert:</w:t>
      </w:r>
    </w:p>
    <w:p>
      <w:pPr>
        <w:pStyle w:val="BlankOpen"/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120"/>
        <w:gridCol w:w="4002"/>
      </w:tblGrid>
      <w:tr>
        <w:trPr>
          <w:cantSplit/>
        </w:trPr>
        <w:tc>
          <w:tcPr>
            <w:tcW w:w="3120" w:type="dxa"/>
          </w:tcPr>
          <w:p>
            <w:pPr>
              <w:pStyle w:val="zyTableNAm"/>
              <w:tabs>
                <w:tab w:val="clear" w:pos="567"/>
                <w:tab w:val="left" w:pos="712"/>
              </w:tabs>
              <w:spacing w:before="60" w:line="180" w:lineRule="atLeast"/>
              <w:ind w:left="544" w:right="743" w:hanging="3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(v)</w:t>
            </w:r>
            <w:r>
              <w:rPr>
                <w:sz w:val="18"/>
                <w:szCs w:val="18"/>
              </w:rPr>
              <w:tab/>
              <w:t>Registered native title body corporate whose land is included or partly included in or shares a common boundary with land the subject of a mining tenement application</w:t>
            </w:r>
          </w:p>
          <w:p>
            <w:pPr>
              <w:pStyle w:val="zyTableNAm"/>
              <w:tabs>
                <w:tab w:val="clear" w:pos="567"/>
                <w:tab w:val="left" w:pos="612"/>
              </w:tabs>
              <w:spacing w:before="60" w:line="180" w:lineRule="atLeast"/>
              <w:ind w:left="544" w:right="743" w:hanging="3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(vi)</w:t>
            </w:r>
            <w:r>
              <w:rPr>
                <w:sz w:val="18"/>
                <w:szCs w:val="18"/>
              </w:rPr>
              <w:tab/>
              <w:t>Proprietor of land included or partly included in or sharing a common boundary with land the subject of a mining tenement application</w:t>
            </w:r>
          </w:p>
          <w:p>
            <w:pPr>
              <w:pStyle w:val="zyTableNAm"/>
              <w:tabs>
                <w:tab w:val="clear" w:pos="567"/>
                <w:tab w:val="left" w:pos="378"/>
              </w:tabs>
              <w:spacing w:before="60" w:line="180" w:lineRule="atLeast"/>
              <w:ind w:left="544" w:right="743" w:hanging="3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(vii) Eligible individual</w:t>
            </w:r>
          </w:p>
        </w:tc>
        <w:tc>
          <w:tcPr>
            <w:tcW w:w="4002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Yes/No</w:t>
            </w:r>
          </w:p>
          <w:p>
            <w:pPr>
              <w:pStyle w:val="zyTableNAm"/>
              <w:spacing w:before="109"/>
              <w:rPr>
                <w:sz w:val="18"/>
                <w:szCs w:val="18"/>
              </w:rPr>
            </w:pPr>
          </w:p>
          <w:p>
            <w:pPr>
              <w:pStyle w:val="zyTableNAm"/>
              <w:spacing w:before="109"/>
              <w:rPr>
                <w:sz w:val="18"/>
                <w:szCs w:val="18"/>
              </w:rPr>
            </w:pPr>
          </w:p>
          <w:p>
            <w:pPr>
              <w:pStyle w:val="zyTableNAm"/>
              <w:spacing w:before="109"/>
              <w:rPr>
                <w:sz w:val="18"/>
                <w:szCs w:val="18"/>
              </w:rPr>
            </w:pPr>
          </w:p>
          <w:p>
            <w:pPr>
              <w:pStyle w:val="zyTableNAm"/>
              <w:spacing w:before="109"/>
              <w:rPr>
                <w:sz w:val="18"/>
                <w:szCs w:val="18"/>
              </w:rPr>
            </w:pPr>
          </w:p>
          <w:p>
            <w:pPr>
              <w:pStyle w:val="zyTableNAm"/>
              <w:spacing w:before="109"/>
              <w:rPr>
                <w:sz w:val="18"/>
                <w:szCs w:val="18"/>
              </w:rPr>
            </w:pPr>
          </w:p>
          <w:p>
            <w:pPr>
              <w:pStyle w:val="zyTableNA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Yes/No</w:t>
            </w:r>
          </w:p>
          <w:p>
            <w:pPr>
              <w:pStyle w:val="zyTableNAm"/>
              <w:spacing w:before="80"/>
              <w:rPr>
                <w:sz w:val="18"/>
                <w:szCs w:val="18"/>
              </w:rPr>
            </w:pPr>
          </w:p>
          <w:p>
            <w:pPr>
              <w:pStyle w:val="zyTableNAm"/>
              <w:spacing w:before="80"/>
              <w:rPr>
                <w:sz w:val="18"/>
                <w:szCs w:val="18"/>
              </w:rPr>
            </w:pPr>
          </w:p>
          <w:p>
            <w:pPr>
              <w:pStyle w:val="zyTableNAm"/>
              <w:spacing w:before="80"/>
              <w:rPr>
                <w:sz w:val="18"/>
                <w:szCs w:val="18"/>
              </w:rPr>
            </w:pPr>
          </w:p>
          <w:p>
            <w:pPr>
              <w:pStyle w:val="zyTableNAm"/>
              <w:spacing w:before="80"/>
              <w:rPr>
                <w:sz w:val="18"/>
                <w:szCs w:val="18"/>
              </w:rPr>
            </w:pPr>
          </w:p>
          <w:p>
            <w:pPr>
              <w:pStyle w:val="zyTableNA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Yes/No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8" w:name="_Toc175826479"/>
      <w:bookmarkStart w:id="19" w:name="_Toc176252539"/>
      <w:r>
        <w:rPr>
          <w:rStyle w:val="CharSectno"/>
        </w:rPr>
        <w:t>8</w:t>
      </w:r>
      <w:r>
        <w:t>.</w:t>
      </w:r>
      <w:r>
        <w:tab/>
        <w:t>Schedule 2 amended</w:t>
      </w:r>
      <w:bookmarkEnd w:id="18"/>
      <w:bookmarkEnd w:id="19"/>
      <w:r>
        <w:t xml:space="preserve"> </w:t>
      </w:r>
    </w:p>
    <w:p>
      <w:pPr>
        <w:pStyle w:val="Subsection"/>
      </w:pPr>
      <w:r>
        <w:tab/>
        <w:t>(1)</w:t>
      </w:r>
      <w:r>
        <w:tab/>
        <w:t>Delete the reference after the heading to Schedule 2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[r. 2, 4D(2), 16C(2), 23BA(2), 25B, 28A(1), 64(1b), (1C) and (8), 84D, 109(1), (3) and (3A), 120A(3B), 121(2), 146(1A), 163(2) and (4) and 165(7)(f)]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Schedule 2 item 22 insert:</w:t>
      </w:r>
    </w:p>
    <w:p>
      <w:pPr>
        <w:pStyle w:val="BlankOpen"/>
      </w:pPr>
    </w:p>
    <w:tbl>
      <w:tblPr>
        <w:tblW w:w="0" w:type="auto"/>
        <w:tblInd w:w="22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20"/>
        <w:gridCol w:w="1984"/>
      </w:tblGrid>
      <w:tr>
        <w:trPr>
          <w:cantSplit/>
        </w:trPr>
        <w:tc>
          <w:tcPr>
            <w:tcW w:w="4820" w:type="dxa"/>
            <w:noWrap/>
          </w:tcPr>
          <w:p>
            <w:pPr>
              <w:pStyle w:val="zyTableNAmLeft0cm"/>
            </w:pPr>
            <w:r>
              <w:t>23.</w:t>
            </w:r>
            <w:r>
              <w:tab/>
              <w:t>Fee for notice of objection — </w:t>
            </w:r>
          </w:p>
        </w:tc>
        <w:tc>
          <w:tcPr>
            <w:tcW w:w="1984" w:type="dxa"/>
            <w:noWrap/>
            <w:vAlign w:val="center"/>
          </w:tcPr>
          <w:p>
            <w:pPr>
              <w:pStyle w:val="zyTableNAmLeft0cm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Left0cm"/>
            </w:pPr>
            <w:r>
              <w:tab/>
              <w:t>(a)</w:t>
            </w:r>
            <w:r>
              <w:tab/>
              <w:t>general</w:t>
            </w:r>
          </w:p>
        </w:tc>
        <w:tc>
          <w:tcPr>
            <w:tcW w:w="1984" w:type="dxa"/>
            <w:noWrap/>
            <w:vAlign w:val="center"/>
          </w:tcPr>
          <w:p>
            <w:pPr>
              <w:pStyle w:val="zyTableNAmLeft0cm"/>
              <w:jc w:val="right"/>
            </w:pPr>
            <w:r>
              <w:t>430.00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Left0cm"/>
            </w:pPr>
            <w:r>
              <w:tab/>
              <w:t>(b)</w:t>
            </w:r>
            <w:r>
              <w:tab/>
              <w:t>eligible individual</w:t>
            </w:r>
          </w:p>
        </w:tc>
        <w:tc>
          <w:tcPr>
            <w:tcW w:w="1984" w:type="dxa"/>
            <w:noWrap/>
            <w:vAlign w:val="center"/>
          </w:tcPr>
          <w:p>
            <w:pPr>
              <w:pStyle w:val="zyTableNAmLeft0cm"/>
              <w:jc w:val="right"/>
            </w:pPr>
            <w:r>
              <w:t>100.00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Left0cm"/>
            </w:pPr>
            <w:r>
              <w:lastRenderedPageBreak/>
              <w:tab/>
              <w:t>(c)</w:t>
            </w:r>
            <w:r>
              <w:tab/>
              <w:t>registered native title body corporate whose land is included or partly included in or shares a common boundary with land the subject of the mining tenement application</w:t>
            </w:r>
          </w:p>
        </w:tc>
        <w:tc>
          <w:tcPr>
            <w:tcW w:w="1984" w:type="dxa"/>
            <w:noWrap/>
            <w:vAlign w:val="center"/>
          </w:tcPr>
          <w:p>
            <w:pPr>
              <w:pStyle w:val="zyTableNAmLeft0cm"/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Nil fee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Left0cm"/>
            </w:pPr>
            <w:r>
              <w:tab/>
              <w:t>(d)</w:t>
            </w:r>
            <w:r>
              <w:tab/>
              <w:t>proprietor of land included or partly included in or sharing a common boundary with land the subject of the mining tenement application</w:t>
            </w:r>
          </w:p>
        </w:tc>
        <w:tc>
          <w:tcPr>
            <w:tcW w:w="1984" w:type="dxa"/>
            <w:noWrap/>
            <w:vAlign w:val="center"/>
          </w:tcPr>
          <w:p>
            <w:pPr>
              <w:pStyle w:val="zyTableNAmLeft0cm"/>
              <w:jc w:val="right"/>
            </w:pPr>
            <w:r>
              <w:br/>
            </w:r>
            <w:r>
              <w:br/>
            </w:r>
            <w:r>
              <w:br/>
              <w:t>Nil fee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21"/>
  </w:num>
  <w:num w:numId="4">
    <w:abstractNumId w:val="19"/>
  </w:num>
  <w:num w:numId="5">
    <w:abstractNumId w:val="14"/>
  </w:num>
  <w:num w:numId="6">
    <w:abstractNumId w:val="18"/>
  </w:num>
  <w:num w:numId="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0&lt;/Current&gt;&lt;Maximum&gt;1&lt;/Maximum&gt;&lt;/AllLaws&gt;"/>
    <w:docVar w:name="WAFER" w:val="202408291220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051104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05110426_GUID" w:val="561e0d69-f377-4e76-8d9d-dfc1bb210b13"/>
    <w:docVar w:name="WAFER_20240805150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05150117_GUID" w:val="0f719a98-2297-466e-abe5-c72c2a43c0c0"/>
    <w:docVar w:name="WAFER_20240829122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29122026_GUID" w:val="2f910bcc-3039-41d6-b16d-3d7ea8f164a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38A25E60-6612-4189-B70C-9D34562E3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anko">
    <w:name w:val="Blank o"/>
    <w:basedOn w:val="BlankOpen"/>
  </w:style>
  <w:style w:type="paragraph" w:customStyle="1" w:styleId="zyTableNAmLeft0cm">
    <w:name w:val="zyTableNAm + Left:  0 cm"/>
    <w:aliases w:val="Hanging:  2.02 cm"/>
    <w:basedOn w:val="yTableNAm"/>
    <w:pPr>
      <w:ind w:left="1147" w:hanging="1147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4211</Characters>
  <Application>Microsoft Office Word</Application>
  <DocSecurity>0</DocSecurity>
  <Lines>210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Amendment Regulations (No. 4) 2024 - 00-00-00</dc:title>
  <dc:subject/>
  <dc:creator/>
  <cp:keywords/>
  <dc:description/>
  <cp:lastModifiedBy>Master Repository Process</cp:lastModifiedBy>
  <cp:revision>4</cp:revision>
  <cp:lastPrinted>2024-07-26T08:06:00Z</cp:lastPrinted>
  <dcterms:created xsi:type="dcterms:W3CDTF">2025-06-04T04:44:00Z</dcterms:created>
  <dcterms:modified xsi:type="dcterms:W3CDTF">2025-06-04T04:44:00Z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54896</vt:lpwstr>
  </property>
  <property fmtid="{D5CDD505-2E9C-101B-9397-08002B2CF9AE}" pid="3" name="DocumentType">
    <vt:lpwstr>Reg</vt:lpwstr>
  </property>
  <property fmtid="{D5CDD505-2E9C-101B-9397-08002B2CF9AE}" pid="4" name="AsAtDate">
    <vt:lpwstr>04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2024/183</vt:lpwstr>
  </property>
  <property fmtid="{D5CDD505-2E9C-101B-9397-08002B2CF9AE}" pid="8" name="PublishDate">
    <vt:lpwstr>4 Sep 2024</vt:lpwstr>
  </property>
  <property fmtid="{D5CDD505-2E9C-101B-9397-08002B2CF9AE}" pid="9" name="CommencementDate">
    <vt:lpwstr>20240904</vt:lpwstr>
  </property>
  <property fmtid="{D5CDD505-2E9C-101B-9397-08002B2CF9AE}" pid="10" name="CommencementAsAt">
    <vt:filetime>2024-09-03T16:00:00Z</vt:filetime>
  </property>
  <property fmtid="{D5CDD505-2E9C-101B-9397-08002B2CF9AE}" pid="11" name="CommencementYear">
    <vt:lpwstr>2024</vt:lpwstr>
  </property>
</Properties>
</file>