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National Gas Access (WA) Act 2009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National Gas Access (WA) (Part 3)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National Gas Access (WA) (Part 3)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_Toc176252635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_Toc176252636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_Toc176252637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_Toc176252638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6 replaced</w:t>
      </w:r>
      <w:r>
        <w:tab/>
      </w:r>
      <w:r>
        <w:fldChar w:fldCharType="begin"/>
      </w:r>
      <w:r>
        <w:instrText xml:space="preserve"> PAGEREF _Toc176252639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noProof/>
        </w:rPr>
        <w:tab/>
        <w:t>Civil penalty provisions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_Toc176252640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13A inserted</w:t>
      </w:r>
      <w:r>
        <w:tab/>
      </w:r>
      <w:r>
        <w:fldChar w:fldCharType="begin"/>
      </w:r>
      <w:r>
        <w:instrText xml:space="preserve"> PAGEREF _Toc176252641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13A.</w:t>
      </w:r>
      <w:r>
        <w:rPr>
          <w:noProof/>
        </w:rPr>
        <w:tab/>
        <w:t>Indexation of civil and criminal penalty amounts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_Toc176252642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_Toc176252643 \h </w:instrText>
      </w:r>
      <w:r>
        <w:fldChar w:fldCharType="separate"/>
      </w:r>
      <w:r>
        <w:t>4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Civil penalties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Tier 1 civil penalty provisions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Tier 2 civil penalty provisions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3 — Tier 3 civil penalty provisions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National Gas Access (WA) Act 2009</w:t>
      </w:r>
    </w:p>
    <w:p>
      <w:pPr>
        <w:pStyle w:val="NameofActReg"/>
      </w:pPr>
      <w:r>
        <w:t>National Gas Access (WA) (Part 3)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5827807"/>
      <w:bookmarkStart w:id="3" w:name="_Toc17625263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National Gas Access (WA) (Part 3)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75827808"/>
      <w:bookmarkStart w:id="6" w:name="_Toc17625263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National Gas Access (WA) Adoption of Amendments Order 2024</w:t>
      </w:r>
      <w:r>
        <w:t xml:space="preserve"> clause 3 comes into operation.</w:t>
      </w:r>
    </w:p>
    <w:p>
      <w:pPr>
        <w:pStyle w:val="Heading5"/>
        <w:rPr>
          <w:snapToGrid w:val="0"/>
        </w:rPr>
      </w:pPr>
      <w:bookmarkStart w:id="7" w:name="_Toc175827809"/>
      <w:bookmarkStart w:id="8" w:name="_Toc17625263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National Gas Access (WA) (Part 3) Regulations 2009</w:t>
      </w:r>
      <w:r>
        <w:t>.</w:t>
      </w:r>
    </w:p>
    <w:p>
      <w:pPr>
        <w:pStyle w:val="Heading5"/>
      </w:pPr>
      <w:bookmarkStart w:id="9" w:name="_Toc175827810"/>
      <w:bookmarkStart w:id="10" w:name="_Toc176252638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regulation 3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tier 1 civil penalty provision</w:t>
      </w:r>
      <w:r>
        <w:t xml:space="preserve"> has the meaning given in regulation 6(2);</w:t>
      </w:r>
    </w:p>
    <w:p>
      <w:pPr>
        <w:pStyle w:val="zDefstart"/>
      </w:pPr>
      <w:r>
        <w:tab/>
      </w:r>
      <w:r>
        <w:rPr>
          <w:rStyle w:val="CharDefText"/>
        </w:rPr>
        <w:t>tier 2 civil penalty provision</w:t>
      </w:r>
      <w:r>
        <w:t xml:space="preserve"> has the meaning given in regulation 6(3);</w:t>
      </w:r>
    </w:p>
    <w:p>
      <w:pPr>
        <w:pStyle w:val="zDefstart"/>
      </w:pPr>
      <w:r>
        <w:lastRenderedPageBreak/>
        <w:tab/>
      </w:r>
      <w:r>
        <w:rPr>
          <w:rStyle w:val="CharDefText"/>
        </w:rPr>
        <w:t>tier 3 civil penalty provision</w:t>
      </w:r>
      <w:r>
        <w:t xml:space="preserve"> has the meaning given in regulation 6(4).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3 in the definition of </w:t>
      </w:r>
      <w:r>
        <w:rPr>
          <w:b/>
          <w:i/>
        </w:rPr>
        <w:t>NGL</w:t>
      </w:r>
      <w:r>
        <w:t xml:space="preserve"> delete “Law.”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Law;</w:t>
      </w:r>
    </w:p>
    <w:p>
      <w:pPr>
        <w:pStyle w:val="BlankClose"/>
      </w:pPr>
    </w:p>
    <w:p>
      <w:pPr>
        <w:pStyle w:val="Heading5"/>
      </w:pPr>
      <w:bookmarkStart w:id="11" w:name="_Toc175827811"/>
      <w:bookmarkStart w:id="12" w:name="_Toc176252639"/>
      <w:r>
        <w:rPr>
          <w:rStyle w:val="CharSectno"/>
        </w:rPr>
        <w:t>5</w:t>
      </w:r>
      <w:r>
        <w:t>.</w:t>
      </w:r>
      <w:r>
        <w:tab/>
        <w:t>Regulation 6 replaced</w:t>
      </w:r>
      <w:bookmarkEnd w:id="11"/>
      <w:bookmarkEnd w:id="12"/>
    </w:p>
    <w:p>
      <w:pPr>
        <w:pStyle w:val="Subsection"/>
      </w:pPr>
      <w:r>
        <w:tab/>
      </w:r>
      <w:r>
        <w:tab/>
        <w:t>Delete regulation 6 and insert:</w:t>
      </w:r>
    </w:p>
    <w:p>
      <w:pPr>
        <w:pStyle w:val="BlankOpen"/>
      </w:pPr>
    </w:p>
    <w:p>
      <w:pPr>
        <w:pStyle w:val="zHeading5"/>
      </w:pPr>
      <w:bookmarkStart w:id="13" w:name="_Toc175827812"/>
      <w:bookmarkStart w:id="14" w:name="_Toc176252640"/>
      <w:r>
        <w:t>6.</w:t>
      </w:r>
      <w:r>
        <w:tab/>
        <w:t>Civil penalty provisions</w:t>
      </w:r>
      <w:bookmarkEnd w:id="13"/>
      <w:bookmarkEnd w:id="14"/>
    </w:p>
    <w:p>
      <w:pPr>
        <w:pStyle w:val="zSubsection"/>
      </w:pPr>
      <w:r>
        <w:tab/>
        <w:t>(1)</w:t>
      </w:r>
      <w:r>
        <w:tab/>
        <w:t>For the purposes of section 3(b) of the NGL, a provision of the NGL, other than a civil penalty provision under section 3(a) of the NGL, or Rules listed in Schedule 3 is prescribed to be a civil penalty provision.</w:t>
      </w:r>
    </w:p>
    <w:p>
      <w:pPr>
        <w:pStyle w:val="zSubsection"/>
      </w:pPr>
      <w:r>
        <w:tab/>
        <w:t>(2)</w:t>
      </w:r>
      <w:r>
        <w:tab/>
        <w:t xml:space="preserve">A civil penalty provision listed in Schedule 3 Division 1 is prescribed for the purposes of section 3A(1)(c) of the NGL and is a </w:t>
      </w:r>
      <w:r>
        <w:rPr>
          <w:rStyle w:val="CharDefText"/>
        </w:rPr>
        <w:t>tier 1 civil penalty provision</w:t>
      </w:r>
      <w:r>
        <w:t>.</w:t>
      </w:r>
    </w:p>
    <w:p>
      <w:pPr>
        <w:pStyle w:val="zSubsection"/>
      </w:pPr>
      <w:r>
        <w:tab/>
        <w:t>(3)</w:t>
      </w:r>
      <w:r>
        <w:tab/>
        <w:t xml:space="preserve">A civil penalty provision listed in Schedule 3 Division 2 is prescribed for the purposes of section 3A(1)(b) of the NGL and is a </w:t>
      </w:r>
      <w:r>
        <w:rPr>
          <w:rStyle w:val="CharDefText"/>
        </w:rPr>
        <w:t>tier 2 civil penalty provision</w:t>
      </w:r>
      <w:r>
        <w:t>.</w:t>
      </w:r>
    </w:p>
    <w:p>
      <w:pPr>
        <w:pStyle w:val="zSubsection"/>
      </w:pPr>
      <w:r>
        <w:tab/>
        <w:t>(4)</w:t>
      </w:r>
      <w:r>
        <w:tab/>
        <w:t xml:space="preserve">A civil penalty provision to which section 3A(1)(a) of the NGL applies is a </w:t>
      </w:r>
      <w:r>
        <w:rPr>
          <w:rStyle w:val="CharDefText"/>
        </w:rPr>
        <w:t>tier 3 civil penalty provision</w:t>
      </w:r>
      <w:r>
        <w:t>.</w:t>
      </w:r>
    </w:p>
    <w:p>
      <w:pPr>
        <w:pStyle w:val="BlankClose"/>
      </w:pPr>
    </w:p>
    <w:p>
      <w:pPr>
        <w:pStyle w:val="Heading5"/>
      </w:pPr>
      <w:bookmarkStart w:id="15" w:name="_Toc175827813"/>
      <w:bookmarkStart w:id="16" w:name="_Toc176252641"/>
      <w:r>
        <w:rPr>
          <w:rStyle w:val="CharSectno"/>
        </w:rPr>
        <w:lastRenderedPageBreak/>
        <w:t>6</w:t>
      </w:r>
      <w:r>
        <w:t>.</w:t>
      </w:r>
      <w:r>
        <w:tab/>
        <w:t>Regulation 13A inserted</w:t>
      </w:r>
      <w:bookmarkEnd w:id="15"/>
      <w:bookmarkEnd w:id="16"/>
    </w:p>
    <w:p>
      <w:pPr>
        <w:pStyle w:val="Subsection"/>
        <w:keepNext/>
      </w:pPr>
      <w:r>
        <w:tab/>
      </w:r>
      <w:r>
        <w:tab/>
        <w:t>After regulation 13 insert:</w:t>
      </w:r>
    </w:p>
    <w:p>
      <w:pPr>
        <w:pStyle w:val="BlankOpen"/>
      </w:pPr>
    </w:p>
    <w:p>
      <w:pPr>
        <w:pStyle w:val="zHeading5"/>
      </w:pPr>
      <w:bookmarkStart w:id="17" w:name="_Toc175827814"/>
      <w:bookmarkStart w:id="18" w:name="_Toc176252642"/>
      <w:r>
        <w:t>13A.</w:t>
      </w:r>
      <w:r>
        <w:tab/>
        <w:t>Indexation of civil and criminal penalty amounts</w:t>
      </w:r>
      <w:bookmarkEnd w:id="17"/>
      <w:bookmarkEnd w:id="18"/>
    </w:p>
    <w:p>
      <w:pPr>
        <w:pStyle w:val="zSubsection"/>
      </w:pPr>
      <w:r>
        <w:tab/>
        <w:t>(1)</w:t>
      </w:r>
      <w:r>
        <w:tab/>
        <w:t xml:space="preserve">For the purposes of clauses 47A and 47B of Schedule 2 to the NGL, each civil penalty amount and criminal penalty amount is to be adjusted in accordance with the following formula — </w:t>
      </w:r>
    </w:p>
    <w:p>
      <w:pPr>
        <w:pStyle w:val="Equation"/>
        <w:spacing w:before="120"/>
        <w:ind w:left="1418" w:hanging="1418"/>
      </w:pPr>
      <w:r>
        <w:tab/>
      </w:r>
      <m:oMath>
        <m:r>
          <m:rPr>
            <m:sty m:val="p"/>
          </m:rPr>
          <w:rPr>
            <w:rFonts w:ascii="Cambria Math" w:hAnsi="Cambria Math"/>
          </w:rPr>
          <m:t xml:space="preserve">P=Pc x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B</m:t>
            </m:r>
          </m:den>
        </m:f>
      </m:oMath>
    </w:p>
    <w:p>
      <w:pPr>
        <w:pStyle w:val="zMiscellaneousBodyLeft235cm"/>
        <w:tabs>
          <w:tab w:val="left" w:pos="1456"/>
        </w:tabs>
        <w:ind w:left="1946" w:hanging="1351"/>
      </w:pPr>
      <w:r>
        <w:tab/>
        <w:t>where —</w:t>
      </w:r>
    </w:p>
    <w:p>
      <w:pPr>
        <w:pStyle w:val="zMiscellaneousBodyLeft235cm"/>
        <w:tabs>
          <w:tab w:val="left" w:pos="1456"/>
        </w:tabs>
        <w:ind w:left="1946" w:hanging="1351"/>
      </w:pPr>
      <w:r>
        <w:tab/>
        <w:t>P</w:t>
      </w:r>
      <w:r>
        <w:tab/>
        <w:t>is the amount that applies on and from the date of the adjustment;</w:t>
      </w:r>
    </w:p>
    <w:p>
      <w:pPr>
        <w:pStyle w:val="zMiscellaneousBodyLeft235cm"/>
        <w:tabs>
          <w:tab w:val="left" w:pos="1456"/>
        </w:tabs>
        <w:ind w:left="1946" w:hanging="1351"/>
      </w:pPr>
      <w:r>
        <w:tab/>
        <w:t>Pc</w:t>
      </w:r>
      <w:r>
        <w:tab/>
        <w:t>is the amount that applied immediately before the first adjustment;</w:t>
      </w:r>
    </w:p>
    <w:p>
      <w:pPr>
        <w:pStyle w:val="zMiscellaneousBodyLeft235cm"/>
        <w:tabs>
          <w:tab w:val="left" w:pos="1456"/>
        </w:tabs>
        <w:ind w:left="1946" w:hanging="1351"/>
        <w:rPr>
          <w:b/>
          <w:i/>
        </w:rPr>
      </w:pPr>
      <w:r>
        <w:tab/>
        <w:t>A</w:t>
      </w:r>
      <w:r>
        <w:tab/>
        <w:t>is —</w:t>
      </w:r>
    </w:p>
    <w:p>
      <w:pPr>
        <w:pStyle w:val="zMiscellaneousBodyLeft235cm"/>
        <w:tabs>
          <w:tab w:val="left" w:pos="1985"/>
        </w:tabs>
        <w:ind w:left="2410" w:hanging="1815"/>
      </w:pPr>
      <w:r>
        <w:tab/>
        <w:t>(a)</w:t>
      </w:r>
      <w:r>
        <w:tab/>
        <w:t>for the 1</w:t>
      </w:r>
      <w:r>
        <w:rPr>
          <w:vertAlign w:val="superscript"/>
        </w:rPr>
        <w:t>st</w:t>
      </w:r>
      <w:r>
        <w:t xml:space="preserve"> adjustment — the sum of the index numbers for the 4 quarters in the 2022 calendar year; and</w:t>
      </w:r>
    </w:p>
    <w:p>
      <w:pPr>
        <w:pStyle w:val="zMiscellaneousBodyLeft235cm"/>
        <w:tabs>
          <w:tab w:val="left" w:pos="1985"/>
        </w:tabs>
        <w:ind w:left="2410" w:hanging="1815"/>
      </w:pPr>
      <w:r>
        <w:tab/>
        <w:t>(b)</w:t>
      </w:r>
      <w:r>
        <w:tab/>
        <w:t>for each subsequent adjustment — the sum of the index numbers for the 4 quarters in the calendar year that ended most recently before the date of the adjustment;</w:t>
      </w:r>
    </w:p>
    <w:p>
      <w:pPr>
        <w:pStyle w:val="zMiscellaneousBodyLeft235cm"/>
        <w:tabs>
          <w:tab w:val="left" w:pos="1456"/>
        </w:tabs>
        <w:ind w:left="1946" w:hanging="1351"/>
      </w:pPr>
      <w:r>
        <w:tab/>
        <w:t>B</w:t>
      </w:r>
      <w:r>
        <w:tab/>
        <w:t>is the sum of the index numbers for the 4 quarters in the 2019 calendar year;</w:t>
      </w:r>
    </w:p>
    <w:p>
      <w:pPr>
        <w:pStyle w:val="zMiscellaneousBodyLeft235cm"/>
        <w:tabs>
          <w:tab w:val="left" w:pos="1456"/>
        </w:tabs>
        <w:ind w:left="1946" w:hanging="1351"/>
      </w:pP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B</m:t>
            </m:r>
          </m:den>
        </m:f>
      </m:oMath>
      <w:r>
        <w:tab/>
        <w:t>is calculated to the nearest 3 decimal places (and a 4</w:t>
      </w:r>
      <w:r>
        <w:rPr>
          <w:vertAlign w:val="superscript"/>
        </w:rPr>
        <w:t>th</w:t>
      </w:r>
      <w:r>
        <w:t xml:space="preserve"> decimal place of 5 is to be rounded up).</w:t>
      </w:r>
    </w:p>
    <w:p>
      <w:pPr>
        <w:pStyle w:val="zSubsection"/>
        <w:keepNext/>
      </w:pPr>
      <w:r>
        <w:lastRenderedPageBreak/>
        <w:tab/>
        <w:t>(2)</w:t>
      </w:r>
      <w:r>
        <w:tab/>
        <w:t xml:space="preserve">An amount adjusted under this regulation is to be rounded up or down as follows — </w:t>
      </w:r>
    </w:p>
    <w:p>
      <w:pPr>
        <w:pStyle w:val="zIndenta"/>
      </w:pPr>
      <w:r>
        <w:tab/>
        <w:t>(a)</w:t>
      </w:r>
      <w:r>
        <w:tab/>
        <w:t>in the case of an amount that is $10 000 or greater — to the nearest multiple of $100 (with an amount of $50 rounded up);</w:t>
      </w:r>
    </w:p>
    <w:p>
      <w:pPr>
        <w:pStyle w:val="zIndenta"/>
      </w:pPr>
      <w:r>
        <w:tab/>
        <w:t>(b)</w:t>
      </w:r>
      <w:r>
        <w:tab/>
        <w:t>in the case of an amount that is less than $10 000 — to the nearest multiple of $10 (with an amount of $5 rounded up).</w:t>
      </w:r>
    </w:p>
    <w:p>
      <w:pPr>
        <w:pStyle w:val="zSubsection"/>
      </w:pPr>
      <w:r>
        <w:tab/>
        <w:t>(3)</w:t>
      </w:r>
      <w:r>
        <w:tab/>
        <w:t>If an amount adjusted under this regulation is less than the amount that applied immediately before the adjustment, the amount that applied immediately before the adjustment applies instead.</w:t>
      </w:r>
    </w:p>
    <w:p>
      <w:pPr>
        <w:pStyle w:val="zSubsection"/>
      </w:pPr>
      <w:r>
        <w:tab/>
        <w:t>(4)</w:t>
      </w:r>
      <w:r>
        <w:tab/>
        <w:t>In this regulation —</w:t>
      </w:r>
    </w:p>
    <w:p>
      <w:pPr>
        <w:pStyle w:val="zDefstart"/>
      </w:pPr>
      <w:r>
        <w:tab/>
      </w:r>
      <w:r>
        <w:rPr>
          <w:rStyle w:val="CharDefText"/>
        </w:rPr>
        <w:t>index number</w:t>
      </w:r>
      <w:r>
        <w:t>, for a quarter, means —</w:t>
      </w:r>
    </w:p>
    <w:p>
      <w:pPr>
        <w:pStyle w:val="zDefpara"/>
      </w:pPr>
      <w:r>
        <w:tab/>
        <w:t>(a)</w:t>
      </w:r>
      <w:r>
        <w:tab/>
        <w:t>the All Groups Consumer Price Index number that is the weighted average of the 8 capital cities and is published by the Australian Statistician for that quarter; or</w:t>
      </w:r>
    </w:p>
    <w:p>
      <w:pPr>
        <w:pStyle w:val="zDefpara"/>
      </w:pPr>
      <w:r>
        <w:tab/>
        <w:t>(b)</w:t>
      </w:r>
      <w:r>
        <w:tab/>
        <w:t>if the Australian Statistician fails or ceases to publish that Index, another index number determined by the MCE for that quarter.</w:t>
      </w:r>
    </w:p>
    <w:p>
      <w:pPr>
        <w:pStyle w:val="BlankClose"/>
      </w:pPr>
    </w:p>
    <w:p>
      <w:pPr>
        <w:pStyle w:val="Heading5"/>
      </w:pPr>
      <w:bookmarkStart w:id="19" w:name="_Toc175827815"/>
      <w:bookmarkStart w:id="20" w:name="_Toc176252643"/>
      <w:r>
        <w:rPr>
          <w:rStyle w:val="CharSectno"/>
        </w:rPr>
        <w:t>7</w:t>
      </w:r>
      <w:r>
        <w:t>.</w:t>
      </w:r>
      <w:r>
        <w:tab/>
        <w:t>Schedule 3 replaced</w:t>
      </w:r>
      <w:bookmarkEnd w:id="19"/>
      <w:bookmarkEnd w:id="20"/>
    </w:p>
    <w:p>
      <w:pPr>
        <w:pStyle w:val="Subsection"/>
      </w:pPr>
      <w:r>
        <w:tab/>
      </w:r>
      <w:r>
        <w:tab/>
        <w:t>Delete Schedule 3 and insert:</w:t>
      </w:r>
    </w:p>
    <w:p>
      <w:pPr>
        <w:pStyle w:val="BlankOpen"/>
      </w:pPr>
    </w:p>
    <w:p>
      <w:pPr>
        <w:pStyle w:val="zyHeading2"/>
      </w:pPr>
      <w:bookmarkStart w:id="21" w:name="_Toc175827816"/>
      <w:bookmarkStart w:id="22" w:name="_Toc175827897"/>
      <w:bookmarkStart w:id="23" w:name="_Toc175827985"/>
      <w:bookmarkStart w:id="24" w:name="_Toc176252644"/>
      <w:r>
        <w:t>Schedule 3</w:t>
      </w:r>
      <w:r>
        <w:rPr>
          <w:sz w:val="24"/>
        </w:rPr>
        <w:t> </w:t>
      </w:r>
      <w:r>
        <w:t>—</w:t>
      </w:r>
      <w:r>
        <w:rPr>
          <w:sz w:val="24"/>
        </w:rPr>
        <w:t> </w:t>
      </w:r>
      <w:r>
        <w:t>Civil penalties</w:t>
      </w:r>
      <w:bookmarkEnd w:id="21"/>
      <w:bookmarkEnd w:id="22"/>
      <w:bookmarkEnd w:id="23"/>
      <w:bookmarkEnd w:id="24"/>
    </w:p>
    <w:p>
      <w:pPr>
        <w:pStyle w:val="zyShoulderClause"/>
      </w:pPr>
      <w:r>
        <w:t>[r. 6]</w:t>
      </w:r>
    </w:p>
    <w:p>
      <w:pPr>
        <w:pStyle w:val="zyHeading3"/>
      </w:pPr>
      <w:bookmarkStart w:id="25" w:name="_Toc175827817"/>
      <w:bookmarkStart w:id="26" w:name="_Toc175827898"/>
      <w:bookmarkStart w:id="27" w:name="_Toc175827986"/>
      <w:bookmarkStart w:id="28" w:name="_Toc176252645"/>
      <w:r>
        <w:t>Division 1 — Tier 1 civil penalty provisions</w:t>
      </w:r>
      <w:bookmarkEnd w:id="25"/>
      <w:bookmarkEnd w:id="26"/>
      <w:bookmarkEnd w:id="27"/>
      <w:bookmarkEnd w:id="28"/>
    </w:p>
    <w:p>
      <w:pPr>
        <w:pStyle w:val="zyMiscellaneousHeading"/>
        <w:ind w:left="851"/>
        <w:jc w:val="left"/>
        <w:rPr>
          <w:b/>
        </w:rPr>
      </w:pPr>
      <w:r>
        <w:rPr>
          <w:b/>
        </w:rPr>
        <w:t>Provisions of the NGL</w:t>
      </w:r>
    </w:p>
    <w:p>
      <w:pPr>
        <w:pStyle w:val="zyNumberedItem"/>
        <w:ind w:left="851"/>
      </w:pPr>
      <w:r>
        <w:tab/>
        <w:t>Section 56</w:t>
      </w:r>
    </w:p>
    <w:p>
      <w:pPr>
        <w:pStyle w:val="zyNumberedItem"/>
        <w:ind w:left="851"/>
      </w:pPr>
      <w:r>
        <w:lastRenderedPageBreak/>
        <w:tab/>
        <w:t>Section 57</w:t>
      </w:r>
    </w:p>
    <w:p>
      <w:pPr>
        <w:pStyle w:val="zyNumberedItem"/>
        <w:ind w:left="851"/>
      </w:pPr>
      <w:r>
        <w:tab/>
        <w:t>Section 133</w:t>
      </w:r>
    </w:p>
    <w:p>
      <w:pPr>
        <w:pStyle w:val="zyNumberedItem"/>
        <w:ind w:left="851"/>
      </w:pPr>
      <w:r>
        <w:tab/>
        <w:t>Section 134</w:t>
      </w:r>
    </w:p>
    <w:p>
      <w:pPr>
        <w:pStyle w:val="zyNumberedItem"/>
        <w:ind w:left="851"/>
      </w:pPr>
      <w:r>
        <w:tab/>
        <w:t>Section 135</w:t>
      </w:r>
    </w:p>
    <w:p>
      <w:pPr>
        <w:pStyle w:val="zyNumberedItem"/>
        <w:ind w:left="851"/>
      </w:pPr>
      <w:r>
        <w:tab/>
        <w:t>Section 136</w:t>
      </w:r>
    </w:p>
    <w:p>
      <w:pPr>
        <w:pStyle w:val="zyNumberedItem"/>
        <w:ind w:left="851"/>
      </w:pPr>
      <w:r>
        <w:tab/>
        <w:t>Section 139</w:t>
      </w:r>
    </w:p>
    <w:p>
      <w:pPr>
        <w:pStyle w:val="zyNumberedItem"/>
        <w:ind w:left="851"/>
      </w:pPr>
      <w:r>
        <w:tab/>
        <w:t>Section 140</w:t>
      </w:r>
    </w:p>
    <w:p>
      <w:pPr>
        <w:pStyle w:val="zyNumberedItem"/>
        <w:ind w:left="851"/>
      </w:pPr>
      <w:r>
        <w:tab/>
        <w:t>Section 141</w:t>
      </w:r>
    </w:p>
    <w:p>
      <w:pPr>
        <w:pStyle w:val="zyNumberedItem"/>
        <w:ind w:left="851"/>
      </w:pPr>
      <w:r>
        <w:tab/>
        <w:t>Section 143(6)</w:t>
      </w:r>
    </w:p>
    <w:p>
      <w:pPr>
        <w:pStyle w:val="zyNumberedItem"/>
        <w:ind w:left="851"/>
      </w:pPr>
      <w:r>
        <w:tab/>
        <w:t>Section 147</w:t>
      </w:r>
    </w:p>
    <w:p>
      <w:pPr>
        <w:pStyle w:val="zyNumberedItem"/>
        <w:ind w:left="851"/>
      </w:pPr>
      <w:r>
        <w:tab/>
        <w:t>Section 148</w:t>
      </w:r>
    </w:p>
    <w:p>
      <w:pPr>
        <w:pStyle w:val="zyNumberedItem"/>
        <w:ind w:left="851"/>
      </w:pPr>
      <w:r>
        <w:tab/>
        <w:t>Section 169(3)</w:t>
      </w:r>
    </w:p>
    <w:p>
      <w:pPr>
        <w:pStyle w:val="zyNumberedItem"/>
        <w:ind w:left="851"/>
      </w:pPr>
      <w:r>
        <w:tab/>
        <w:t>Section 170</w:t>
      </w:r>
    </w:p>
    <w:p>
      <w:pPr>
        <w:pStyle w:val="zyNumberedItem"/>
        <w:ind w:left="851"/>
      </w:pPr>
      <w:r>
        <w:tab/>
        <w:t>Section 195</w:t>
      </w:r>
    </w:p>
    <w:p>
      <w:pPr>
        <w:pStyle w:val="zyNumberedItem"/>
        <w:ind w:left="851"/>
      </w:pPr>
      <w:r>
        <w:tab/>
        <w:t>Section 225</w:t>
      </w:r>
    </w:p>
    <w:p>
      <w:pPr>
        <w:pStyle w:val="zyMiscellaneousHeading"/>
        <w:ind w:left="851"/>
        <w:jc w:val="left"/>
        <w:rPr>
          <w:b/>
        </w:rPr>
      </w:pPr>
      <w:r>
        <w:rPr>
          <w:b/>
        </w:rPr>
        <w:t>Provisions of the Rules</w:t>
      </w:r>
    </w:p>
    <w:p>
      <w:pPr>
        <w:pStyle w:val="zyNumberedItem"/>
        <w:ind w:left="851"/>
      </w:pPr>
      <w:r>
        <w:tab/>
        <w:t>Rule 109</w:t>
      </w:r>
    </w:p>
    <w:p>
      <w:pPr>
        <w:pStyle w:val="zyNumberedItem"/>
        <w:ind w:left="851"/>
      </w:pPr>
      <w:r>
        <w:tab/>
        <w:t>Rule 137</w:t>
      </w:r>
    </w:p>
    <w:p>
      <w:pPr>
        <w:pStyle w:val="zyNumberedItem"/>
        <w:ind w:left="851"/>
      </w:pPr>
      <w:r>
        <w:tab/>
        <w:t>Rule 560(1)</w:t>
      </w:r>
    </w:p>
    <w:p>
      <w:pPr>
        <w:pStyle w:val="zyNumberedItem"/>
        <w:ind w:left="851"/>
      </w:pPr>
      <w:r>
        <w:tab/>
        <w:t>Rule 562(3)</w:t>
      </w:r>
    </w:p>
    <w:p>
      <w:pPr>
        <w:pStyle w:val="zyNumberedItem"/>
        <w:ind w:left="851"/>
      </w:pPr>
      <w:r>
        <w:tab/>
        <w:t>Rule 586(2)</w:t>
      </w:r>
    </w:p>
    <w:p>
      <w:pPr>
        <w:pStyle w:val="zyHeading3"/>
      </w:pPr>
      <w:bookmarkStart w:id="29" w:name="_Toc175827818"/>
      <w:bookmarkStart w:id="30" w:name="_Toc175827899"/>
      <w:bookmarkStart w:id="31" w:name="_Toc175827987"/>
      <w:bookmarkStart w:id="32" w:name="_Toc176252646"/>
      <w:r>
        <w:t>Division 2 — Tier 2 civil penalty provisions</w:t>
      </w:r>
      <w:bookmarkEnd w:id="29"/>
      <w:bookmarkEnd w:id="30"/>
      <w:bookmarkEnd w:id="31"/>
      <w:bookmarkEnd w:id="32"/>
    </w:p>
    <w:p>
      <w:pPr>
        <w:pStyle w:val="zyMiscellaneousHeading"/>
        <w:ind w:left="851"/>
        <w:jc w:val="left"/>
        <w:rPr>
          <w:b/>
        </w:rPr>
      </w:pPr>
      <w:r>
        <w:rPr>
          <w:b/>
        </w:rPr>
        <w:t>Provisions of the NGL</w:t>
      </w:r>
    </w:p>
    <w:p>
      <w:pPr>
        <w:pStyle w:val="zyNumberedItem"/>
        <w:ind w:left="851"/>
      </w:pPr>
      <w:r>
        <w:tab/>
        <w:t>Section 131</w:t>
      </w:r>
    </w:p>
    <w:p>
      <w:pPr>
        <w:pStyle w:val="zyNumberedItem"/>
        <w:ind w:left="851"/>
      </w:pPr>
      <w:r>
        <w:tab/>
        <w:t>Section 168</w:t>
      </w:r>
    </w:p>
    <w:p>
      <w:pPr>
        <w:pStyle w:val="zyNumberedItem"/>
        <w:ind w:left="851"/>
      </w:pPr>
      <w:r>
        <w:tab/>
        <w:t>Section 223</w:t>
      </w:r>
    </w:p>
    <w:p>
      <w:pPr>
        <w:pStyle w:val="zyMiscellaneousHeading"/>
        <w:ind w:left="851"/>
        <w:jc w:val="left"/>
        <w:rPr>
          <w:b/>
        </w:rPr>
      </w:pPr>
      <w:r>
        <w:rPr>
          <w:b/>
        </w:rPr>
        <w:lastRenderedPageBreak/>
        <w:t>Provisions of the Rules</w:t>
      </w:r>
    </w:p>
    <w:p>
      <w:pPr>
        <w:pStyle w:val="zyNumberedItem"/>
        <w:ind w:left="851"/>
      </w:pPr>
      <w:r>
        <w:tab/>
        <w:t>Rule 33(1)</w:t>
      </w:r>
    </w:p>
    <w:p>
      <w:pPr>
        <w:pStyle w:val="zyNumberedItem"/>
        <w:ind w:left="851"/>
      </w:pPr>
      <w:r>
        <w:tab/>
        <w:t>Rule 36</w:t>
      </w:r>
    </w:p>
    <w:p>
      <w:pPr>
        <w:pStyle w:val="zyNumberedItem"/>
        <w:ind w:left="851"/>
      </w:pPr>
      <w:r>
        <w:tab/>
        <w:t>Rule 37</w:t>
      </w:r>
    </w:p>
    <w:p>
      <w:pPr>
        <w:pStyle w:val="zyNumberedItem"/>
        <w:ind w:left="851"/>
      </w:pPr>
      <w:r>
        <w:tab/>
        <w:t>Rule 43(1)</w:t>
      </w:r>
    </w:p>
    <w:p>
      <w:pPr>
        <w:pStyle w:val="zyNumberedItem"/>
        <w:ind w:left="851"/>
      </w:pPr>
      <w:r>
        <w:tab/>
        <w:t>Rule 46</w:t>
      </w:r>
    </w:p>
    <w:p>
      <w:pPr>
        <w:pStyle w:val="zyNumberedItem"/>
        <w:ind w:left="851"/>
      </w:pPr>
      <w:r>
        <w:tab/>
        <w:t>Rule 52(1)</w:t>
      </w:r>
    </w:p>
    <w:p>
      <w:pPr>
        <w:pStyle w:val="zyNumberedItem"/>
        <w:ind w:left="851"/>
      </w:pPr>
      <w:r>
        <w:tab/>
        <w:t>Rule 53(6)</w:t>
      </w:r>
    </w:p>
    <w:p>
      <w:pPr>
        <w:pStyle w:val="zyNumberedItem"/>
        <w:ind w:left="851"/>
      </w:pPr>
      <w:r>
        <w:tab/>
        <w:t>Rule 107</w:t>
      </w:r>
    </w:p>
    <w:p>
      <w:pPr>
        <w:pStyle w:val="zyNumberedItem"/>
        <w:ind w:left="851"/>
      </w:pPr>
      <w:r>
        <w:tab/>
        <w:t>Rule 108</w:t>
      </w:r>
    </w:p>
    <w:p>
      <w:pPr>
        <w:pStyle w:val="zyNumberedItem"/>
        <w:ind w:left="851"/>
      </w:pPr>
      <w:r>
        <w:tab/>
        <w:t>Rule 110</w:t>
      </w:r>
    </w:p>
    <w:p>
      <w:pPr>
        <w:pStyle w:val="zyNumberedItem"/>
        <w:ind w:left="851"/>
      </w:pPr>
      <w:r>
        <w:tab/>
        <w:t>Rule 112</w:t>
      </w:r>
    </w:p>
    <w:p>
      <w:pPr>
        <w:pStyle w:val="zyNumberedItem"/>
        <w:ind w:left="851"/>
      </w:pPr>
      <w:r>
        <w:tab/>
        <w:t>Rule 138</w:t>
      </w:r>
    </w:p>
    <w:p>
      <w:pPr>
        <w:pStyle w:val="zyNumberedItem"/>
        <w:ind w:left="851"/>
      </w:pPr>
      <w:r>
        <w:tab/>
        <w:t>Rule 551(1)</w:t>
      </w:r>
    </w:p>
    <w:p>
      <w:pPr>
        <w:pStyle w:val="zyNumberedItem"/>
        <w:ind w:left="851"/>
      </w:pPr>
      <w:r>
        <w:tab/>
        <w:t>Rule 551(3)</w:t>
      </w:r>
    </w:p>
    <w:p>
      <w:pPr>
        <w:pStyle w:val="zyNumberedItem"/>
        <w:ind w:left="851"/>
      </w:pPr>
      <w:r>
        <w:tab/>
        <w:t>Rule 552(1)</w:t>
      </w:r>
    </w:p>
    <w:p>
      <w:pPr>
        <w:pStyle w:val="zyNumberedItem"/>
        <w:ind w:left="851"/>
      </w:pPr>
      <w:r>
        <w:tab/>
        <w:t>Rule 558(1)</w:t>
      </w:r>
    </w:p>
    <w:p>
      <w:pPr>
        <w:pStyle w:val="zyNumberedItem"/>
        <w:ind w:left="851"/>
      </w:pPr>
      <w:r>
        <w:tab/>
        <w:t>Rule 558(2)</w:t>
      </w:r>
    </w:p>
    <w:p>
      <w:pPr>
        <w:pStyle w:val="zyNumberedItem"/>
        <w:ind w:left="851"/>
      </w:pPr>
      <w:r>
        <w:tab/>
        <w:t>Rule 585(8)</w:t>
      </w:r>
    </w:p>
    <w:p>
      <w:pPr>
        <w:pStyle w:val="zyHeading3"/>
      </w:pPr>
      <w:bookmarkStart w:id="33" w:name="_Toc175827819"/>
      <w:bookmarkStart w:id="34" w:name="_Toc175827900"/>
      <w:bookmarkStart w:id="35" w:name="_Toc175827988"/>
      <w:bookmarkStart w:id="36" w:name="_Toc176252647"/>
      <w:r>
        <w:t>Division 3 — Tier 3 civil penalty provisions</w:t>
      </w:r>
      <w:bookmarkEnd w:id="33"/>
      <w:bookmarkEnd w:id="34"/>
      <w:bookmarkEnd w:id="35"/>
      <w:bookmarkEnd w:id="36"/>
    </w:p>
    <w:p>
      <w:pPr>
        <w:pStyle w:val="zyMiscellaneousHeading"/>
        <w:ind w:left="851"/>
        <w:jc w:val="left"/>
        <w:rPr>
          <w:b/>
        </w:rPr>
      </w:pPr>
      <w:r>
        <w:rPr>
          <w:b/>
        </w:rPr>
        <w:t>Provisions of the NGL</w:t>
      </w:r>
    </w:p>
    <w:p>
      <w:pPr>
        <w:pStyle w:val="zyNumberedItem"/>
        <w:ind w:left="851"/>
      </w:pPr>
      <w:r>
        <w:tab/>
        <w:t>Section 227</w:t>
      </w:r>
    </w:p>
    <w:p>
      <w:pPr>
        <w:pStyle w:val="zyNumberedItem"/>
        <w:ind w:left="851"/>
      </w:pPr>
      <w:r>
        <w:tab/>
        <w:t>Section 228</w:t>
      </w:r>
    </w:p>
    <w:p>
      <w:pPr>
        <w:pStyle w:val="zyMiscellaneousHeading"/>
        <w:ind w:left="851"/>
        <w:jc w:val="left"/>
        <w:rPr>
          <w:b/>
        </w:rPr>
      </w:pPr>
      <w:r>
        <w:rPr>
          <w:b/>
        </w:rPr>
        <w:lastRenderedPageBreak/>
        <w:t>Provisions of the Rules</w:t>
      </w:r>
    </w:p>
    <w:p>
      <w:pPr>
        <w:pStyle w:val="zyNumberedItem"/>
        <w:keepNext/>
        <w:ind w:left="851"/>
      </w:pPr>
      <w:r>
        <w:tab/>
        <w:t>Rule 27(4)</w:t>
      </w:r>
    </w:p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626C3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312D3A1" w14:textId="2C869A3D" w:rsidR="00EA4AA6" w:rsidRDefault="00EA4AA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D660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44DA5BF" w14:textId="77777777" w:rsidR="00EA4AA6" w:rsidRDefault="00EA4AA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DC7D8E" w14:textId="00A06252" w:rsidR="00EA4AA6" w:rsidRDefault="00EA4AA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D660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C9A373" w14:textId="77777777" w:rsidR="00EA4AA6" w:rsidRDefault="00EA4AA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(Part 3)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(Part 3)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(Part 3)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(Part 3)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0DAC233E"/>
    <w:multiLevelType w:val="hybridMultilevel"/>
    <w:tmpl w:val="78E8E3B2"/>
    <w:lvl w:ilvl="0" w:tplc="0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1"/>
  </w:num>
  <w:num w:numId="3">
    <w:abstractNumId w:val="19"/>
  </w:num>
  <w:num w:numId="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4082912424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113009002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130090022_GUID" w:val="b0ff3d1a-4cba-4d47-95ec-3152573f452d"/>
    <w:docVar w:name="WAFER_202403181159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318115913_GUID" w:val="bfdd0e96-217c-47b3-abae-df2356d291e6"/>
    <w:docVar w:name="WAFER_202408291242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29124248_GUID" w:val="0bda8442-a157-4354-9462-d4c1b411a6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5:docId w15:val="{2EB396DF-8618-4784-9E70-EE86531A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MiscellaneousBodyLeft235cm">
    <w:name w:val="zMiscellaneous Body + Left:  2.35 cm"/>
    <w:aliases w:val="Hanging:  2 cm,Right:  0.5 cm,Before: ..."/>
    <w:basedOn w:val="MiscellaneousBody"/>
    <w:pPr>
      <w:ind w:left="1446" w:right="284" w:hanging="85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CA5EF-CE1B-49B9-82C9-0C2401909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1025</Words>
  <Characters>4892</Characters>
  <Application>Microsoft Office Word</Application>
  <DocSecurity>0</DocSecurity>
  <Lines>222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Gas Access (WA) (Part 3) Amendment Regulations 2024 - 00-00-00</dc:title>
  <dc:subject/>
  <dc:creator/>
  <cp:keywords/>
  <dc:description/>
  <cp:lastModifiedBy>Master Repository Process</cp:lastModifiedBy>
  <cp:revision>4</cp:revision>
  <cp:lastPrinted>2024-02-07T01:35:00Z</cp:lastPrinted>
  <dcterms:created xsi:type="dcterms:W3CDTF">2025-06-26T01:58:00Z</dcterms:created>
  <dcterms:modified xsi:type="dcterms:W3CDTF">2025-06-26T01:59:00Z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53310</vt:lpwstr>
  </property>
  <property fmtid="{D5CDD505-2E9C-101B-9397-08002B2CF9AE}" pid="3" name="DocumentType">
    <vt:lpwstr>Reg</vt:lpwstr>
  </property>
  <property fmtid="{D5CDD505-2E9C-101B-9397-08002B2CF9AE}" pid="4" name="AsAtDate">
    <vt:lpwstr>04 Sep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2024/185</vt:lpwstr>
  </property>
  <property fmtid="{D5CDD505-2E9C-101B-9397-08002B2CF9AE}" pid="8" name="PublishDate">
    <vt:lpwstr>4 Sep 2024</vt:lpwstr>
  </property>
  <property fmtid="{D5CDD505-2E9C-101B-9397-08002B2CF9AE}" pid="9" name="CommencementDate">
    <vt:lpwstr>20240904</vt:lpwstr>
  </property>
  <property fmtid="{D5CDD505-2E9C-101B-9397-08002B2CF9AE}" pid="10" name="CommencementAsAt">
    <vt:filetime>2024-09-03T16:00:00Z</vt:filetime>
  </property>
  <property fmtid="{D5CDD505-2E9C-101B-9397-08002B2CF9AE}" pid="11" name="CommencementYear">
    <vt:lpwstr>2024</vt:lpwstr>
  </property>
</Properties>
</file>