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National Gas Access (WA) Act 2009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_Toc176259149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_Toc176259150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_Toc176259151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_Toc176259152 \h </w:instrText>
      </w:r>
      <w:r>
        <w:fldChar w:fldCharType="separate"/>
      </w:r>
      <w:r>
        <w:t>2</w:t>
      </w:r>
      <w:r>
        <w:fldChar w:fldCharType="end"/>
      </w:r>
    </w:p>
    <w:p>
      <w:pPr>
        <w:pStyle w:val="TOC8"/>
        <w:rPr>
          <w:rFonts w:asciiTheme="minorHAnsi" w:eastAsiaTheme="minorEastAsia" w:hAnsiTheme="minorHAnsi" w:cstheme="minorBidi"/>
          <w:szCs w:val="22"/>
        </w:rPr>
      </w:pPr>
      <w:r>
        <w:t>5.</w:t>
      </w:r>
      <w:r>
        <w:tab/>
        <w:t>Application to coastal waters</w:t>
      </w:r>
      <w:r>
        <w:tab/>
      </w:r>
      <w:r>
        <w:fldChar w:fldCharType="begin"/>
      </w:r>
      <w:r>
        <w:instrText xml:space="preserve"> PAGEREF _Toc176259153 \h </w:instrText>
      </w:r>
      <w:r>
        <w:fldChar w:fldCharType="separate"/>
      </w:r>
      <w:r>
        <w:t>3</w:t>
      </w:r>
      <w:r>
        <w:fldChar w:fldCharType="end"/>
      </w:r>
    </w:p>
    <w:p>
      <w:pPr>
        <w:pStyle w:val="TOC8"/>
        <w:rPr>
          <w:rFonts w:asciiTheme="minorHAnsi" w:eastAsiaTheme="minorEastAsia" w:hAnsiTheme="minorHAnsi" w:cstheme="minorBidi"/>
          <w:szCs w:val="22"/>
        </w:rPr>
      </w:pPr>
      <w:r>
        <w:t>6.</w:t>
      </w:r>
      <w:r>
        <w:tab/>
        <w:t>Extra</w:t>
      </w:r>
      <w:r>
        <w:noBreakHyphen/>
        <w:t>territorial operation</w:t>
      </w:r>
      <w:r>
        <w:tab/>
      </w:r>
      <w:r>
        <w:fldChar w:fldCharType="begin"/>
      </w:r>
      <w:r>
        <w:instrText xml:space="preserve"> PAGEREF _Toc176259154 \h </w:instrText>
      </w:r>
      <w:r>
        <w:fldChar w:fldCharType="separate"/>
      </w:r>
      <w:r>
        <w:t>3</w:t>
      </w:r>
      <w:r>
        <w:fldChar w:fldCharType="end"/>
      </w:r>
    </w:p>
    <w:p>
      <w:pPr>
        <w:pStyle w:val="TOC8"/>
        <w:rPr>
          <w:rFonts w:asciiTheme="minorHAnsi" w:eastAsiaTheme="minorEastAsia" w:hAnsiTheme="minorHAnsi" w:cstheme="minorBidi"/>
          <w:szCs w:val="22"/>
        </w:rPr>
      </w:pPr>
      <w:r>
        <w:rPr>
          <w:bCs/>
        </w:rPr>
        <w:t>6A</w:t>
      </w:r>
      <w:r>
        <w:t>.</w:t>
      </w:r>
      <w:r>
        <w:tab/>
        <w:t>Extension to certain pipelines for hauling gas other than natural gas</w:t>
      </w:r>
      <w:r>
        <w:tab/>
      </w:r>
      <w:r>
        <w:fldChar w:fldCharType="begin"/>
      </w:r>
      <w:r>
        <w:instrText xml:space="preserve"> PAGEREF _Toc176259155 \h </w:instrText>
      </w:r>
      <w:r>
        <w:fldChar w:fldCharType="separate"/>
      </w:r>
      <w:r>
        <w:t>3</w:t>
      </w:r>
      <w:r>
        <w:fldChar w:fldCharType="end"/>
      </w:r>
    </w:p>
    <w:p>
      <w:pPr>
        <w:pStyle w:val="TOC8"/>
        <w:rPr>
          <w:rFonts w:asciiTheme="minorHAnsi" w:eastAsiaTheme="minorEastAsia" w:hAnsiTheme="minorHAnsi" w:cstheme="minorBidi"/>
          <w:szCs w:val="22"/>
        </w:rPr>
      </w:pPr>
      <w:r>
        <w:t>6B.</w:t>
      </w:r>
      <w:r>
        <w:tab/>
      </w:r>
      <w:r>
        <w:rPr>
          <w:i/>
          <w:iCs/>
        </w:rPr>
        <w:t>Interpretation Act 1984</w:t>
      </w:r>
      <w:r>
        <w:t xml:space="preserve"> does not apply</w:t>
      </w:r>
      <w:r>
        <w:tab/>
      </w:r>
      <w:r>
        <w:fldChar w:fldCharType="begin"/>
      </w:r>
      <w:r>
        <w:instrText xml:space="preserve"> PAGEREF _Toc176259156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National Gas Access (Western Australia) Law and its regulations</w:t>
      </w:r>
    </w:p>
    <w:p>
      <w:pPr>
        <w:pStyle w:val="TOC8"/>
        <w:rPr>
          <w:rFonts w:asciiTheme="minorHAnsi" w:eastAsiaTheme="minorEastAsia" w:hAnsiTheme="minorHAnsi" w:cstheme="minorBidi"/>
          <w:szCs w:val="22"/>
        </w:rPr>
      </w:pPr>
      <w:r>
        <w:t>7.</w:t>
      </w:r>
      <w:r>
        <w:tab/>
        <w:t>National Gas Access (Western Australia) Law</w:t>
      </w:r>
      <w:r>
        <w:tab/>
      </w:r>
      <w:r>
        <w:fldChar w:fldCharType="begin"/>
      </w:r>
      <w:r>
        <w:instrText xml:space="preserve"> PAGEREF _Toc176259158 \h </w:instrText>
      </w:r>
      <w:r>
        <w:fldChar w:fldCharType="separate"/>
      </w:r>
      <w:r>
        <w:t>5</w:t>
      </w:r>
      <w:r>
        <w:fldChar w:fldCharType="end"/>
      </w:r>
    </w:p>
    <w:p>
      <w:pPr>
        <w:pStyle w:val="TOC8"/>
        <w:rPr>
          <w:rFonts w:asciiTheme="minorHAnsi" w:eastAsiaTheme="minorEastAsia" w:hAnsiTheme="minorHAnsi" w:cstheme="minorBidi"/>
          <w:szCs w:val="22"/>
        </w:rPr>
      </w:pPr>
      <w:r>
        <w:t>7A.</w:t>
      </w:r>
      <w:r>
        <w:tab/>
        <w:t>Amendments to Schedule to South Australian Act</w:t>
      </w:r>
      <w:r>
        <w:tab/>
      </w:r>
      <w:r>
        <w:fldChar w:fldCharType="begin"/>
      </w:r>
      <w:r>
        <w:instrText xml:space="preserve"> PAGEREF _Toc176259159 \h </w:instrText>
      </w:r>
      <w:r>
        <w:fldChar w:fldCharType="separate"/>
      </w:r>
      <w:r>
        <w:t>5</w:t>
      </w:r>
      <w:r>
        <w:fldChar w:fldCharType="end"/>
      </w:r>
    </w:p>
    <w:p>
      <w:pPr>
        <w:pStyle w:val="TOC8"/>
        <w:rPr>
          <w:rFonts w:asciiTheme="minorHAnsi" w:eastAsiaTheme="minorEastAsia" w:hAnsiTheme="minorHAnsi" w:cstheme="minorBidi"/>
          <w:szCs w:val="22"/>
        </w:rPr>
      </w:pPr>
      <w:r>
        <w:t>7B.</w:t>
      </w:r>
      <w:r>
        <w:tab/>
        <w:t>Regulations amending Schedule 1 consequentially</w:t>
      </w:r>
      <w:r>
        <w:tab/>
      </w:r>
      <w:r>
        <w:fldChar w:fldCharType="begin"/>
      </w:r>
      <w:r>
        <w:instrText xml:space="preserve"> PAGEREF _Toc176259160 \h </w:instrText>
      </w:r>
      <w:r>
        <w:fldChar w:fldCharType="separate"/>
      </w:r>
      <w:r>
        <w:t>6</w:t>
      </w:r>
      <w:r>
        <w:fldChar w:fldCharType="end"/>
      </w:r>
    </w:p>
    <w:p>
      <w:pPr>
        <w:pStyle w:val="TOC8"/>
        <w:rPr>
          <w:rFonts w:asciiTheme="minorHAnsi" w:eastAsiaTheme="minorEastAsia" w:hAnsiTheme="minorHAnsi" w:cstheme="minorBidi"/>
          <w:szCs w:val="22"/>
        </w:rPr>
      </w:pPr>
      <w:r>
        <w:rPr>
          <w:bCs/>
        </w:rPr>
        <w:t>8</w:t>
      </w:r>
      <w:r>
        <w:t>.</w:t>
      </w:r>
      <w:r>
        <w:tab/>
        <w:t>National Gas Access (Western Australia) Regulations</w:t>
      </w:r>
      <w:r>
        <w:tab/>
      </w:r>
      <w:r>
        <w:fldChar w:fldCharType="begin"/>
      </w:r>
      <w:r>
        <w:instrText xml:space="preserve"> PAGEREF _Toc176259161 \h </w:instrText>
      </w:r>
      <w:r>
        <w:fldChar w:fldCharType="separate"/>
      </w:r>
      <w:r>
        <w:t>6</w:t>
      </w:r>
      <w:r>
        <w:fldChar w:fldCharType="end"/>
      </w:r>
    </w:p>
    <w:p>
      <w:pPr>
        <w:pStyle w:val="TOC8"/>
        <w:rPr>
          <w:rFonts w:asciiTheme="minorHAnsi" w:eastAsiaTheme="minorEastAsia" w:hAnsiTheme="minorHAnsi" w:cstheme="minorBidi"/>
          <w:szCs w:val="22"/>
        </w:rPr>
      </w:pPr>
      <w:r>
        <w:t>9.</w:t>
      </w:r>
      <w:r>
        <w:tab/>
        <w:t>Terms used in National Gas Access (Western Australia) Law and its regulations</w:t>
      </w:r>
      <w:r>
        <w:tab/>
      </w:r>
      <w:r>
        <w:fldChar w:fldCharType="begin"/>
      </w:r>
      <w:r>
        <w:instrText xml:space="preserve"> PAGEREF _Toc176259162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Regulations for the National Gas Access (Western Australia) Law</w:t>
      </w:r>
    </w:p>
    <w:p>
      <w:pPr>
        <w:pStyle w:val="TOC8"/>
        <w:rPr>
          <w:rFonts w:asciiTheme="minorHAnsi" w:eastAsiaTheme="minorEastAsia" w:hAnsiTheme="minorHAnsi" w:cstheme="minorBidi"/>
          <w:szCs w:val="22"/>
        </w:rPr>
      </w:pPr>
      <w:r>
        <w:t>10.</w:t>
      </w:r>
      <w:r>
        <w:tab/>
        <w:t>Making regulations</w:t>
      </w:r>
      <w:r>
        <w:tab/>
      </w:r>
      <w:r>
        <w:fldChar w:fldCharType="begin"/>
      </w:r>
      <w:r>
        <w:instrText xml:space="preserve"> PAGEREF _Toc176259164 \h </w:instrText>
      </w:r>
      <w:r>
        <w:fldChar w:fldCharType="separate"/>
      </w:r>
      <w:r>
        <w:t>9</w:t>
      </w:r>
      <w:r>
        <w:fldChar w:fldCharType="end"/>
      </w:r>
    </w:p>
    <w:p>
      <w:pPr>
        <w:pStyle w:val="TOC8"/>
        <w:rPr>
          <w:rFonts w:asciiTheme="minorHAnsi" w:eastAsiaTheme="minorEastAsia" w:hAnsiTheme="minorHAnsi" w:cstheme="minorBidi"/>
          <w:szCs w:val="22"/>
        </w:rPr>
      </w:pPr>
      <w:r>
        <w:t>11.</w:t>
      </w:r>
      <w:r>
        <w:tab/>
        <w:t>Regulations may deal with transitional matters</w:t>
      </w:r>
      <w:r>
        <w:tab/>
      </w:r>
      <w:r>
        <w:fldChar w:fldCharType="begin"/>
      </w:r>
      <w:r>
        <w:instrText xml:space="preserve"> PAGEREF _Toc176259165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Cross vesting of functions and powers</w:t>
      </w:r>
    </w:p>
    <w:p>
      <w:pPr>
        <w:pStyle w:val="TOC8"/>
        <w:rPr>
          <w:rFonts w:asciiTheme="minorHAnsi" w:eastAsiaTheme="minorEastAsia" w:hAnsiTheme="minorHAnsi" w:cstheme="minorBidi"/>
          <w:szCs w:val="22"/>
        </w:rPr>
      </w:pPr>
      <w:r>
        <w:t>12.</w:t>
      </w:r>
      <w:r>
        <w:tab/>
        <w:t>Conferral of powers on Commonwealth Minister and Commonwealth bodies to act in this State</w:t>
      </w:r>
      <w:r>
        <w:tab/>
      </w:r>
      <w:r>
        <w:fldChar w:fldCharType="begin"/>
      </w:r>
      <w:r>
        <w:instrText xml:space="preserve"> PAGEREF _Toc176259167 \h </w:instrText>
      </w:r>
      <w:r>
        <w:fldChar w:fldCharType="separate"/>
      </w:r>
      <w:r>
        <w:t>12</w:t>
      </w:r>
      <w:r>
        <w:fldChar w:fldCharType="end"/>
      </w:r>
    </w:p>
    <w:p>
      <w:pPr>
        <w:pStyle w:val="TOC8"/>
        <w:rPr>
          <w:rFonts w:asciiTheme="minorHAnsi" w:eastAsiaTheme="minorEastAsia" w:hAnsiTheme="minorHAnsi" w:cstheme="minorBidi"/>
          <w:szCs w:val="22"/>
        </w:rPr>
      </w:pPr>
      <w:r>
        <w:t>13.</w:t>
      </w:r>
      <w:r>
        <w:tab/>
        <w:t>Conferral of powers on Ministers of other</w:t>
      </w:r>
      <w:r>
        <w:rPr>
          <w:bCs/>
        </w:rPr>
        <w:t xml:space="preserve"> </w:t>
      </w:r>
      <w:r>
        <w:t>participating States and Territories to act in this State</w:t>
      </w:r>
      <w:r>
        <w:tab/>
      </w:r>
      <w:r>
        <w:fldChar w:fldCharType="begin"/>
      </w:r>
      <w:r>
        <w:instrText xml:space="preserve"> PAGEREF _Toc176259168 \h </w:instrText>
      </w:r>
      <w:r>
        <w:fldChar w:fldCharType="separate"/>
      </w:r>
      <w:r>
        <w:t>12</w:t>
      </w:r>
      <w:r>
        <w:fldChar w:fldCharType="end"/>
      </w:r>
    </w:p>
    <w:p>
      <w:pPr>
        <w:pStyle w:val="TOC8"/>
        <w:rPr>
          <w:rFonts w:asciiTheme="minorHAnsi" w:eastAsiaTheme="minorEastAsia" w:hAnsiTheme="minorHAnsi" w:cstheme="minorBidi"/>
          <w:szCs w:val="22"/>
        </w:rPr>
      </w:pPr>
      <w:r>
        <w:t>14.</w:t>
      </w:r>
      <w:r>
        <w:tab/>
        <w:t>Conferral of functions or powers on State bodies</w:t>
      </w:r>
      <w:r>
        <w:tab/>
      </w:r>
      <w:r>
        <w:fldChar w:fldCharType="begin"/>
      </w:r>
      <w:r>
        <w:instrText xml:space="preserve"> PAGEREF _Toc176259169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15.</w:t>
      </w:r>
      <w:r>
        <w:tab/>
        <w:t>Exemption from taxes</w:t>
      </w:r>
      <w:r>
        <w:tab/>
      </w:r>
      <w:r>
        <w:fldChar w:fldCharType="begin"/>
      </w:r>
      <w:r>
        <w:instrText xml:space="preserve"> PAGEREF _Toc176259171 \h </w:instrText>
      </w:r>
      <w:r>
        <w:fldChar w:fldCharType="separate"/>
      </w:r>
      <w:r>
        <w:t>13</w:t>
      </w:r>
      <w:r>
        <w:fldChar w:fldCharType="end"/>
      </w:r>
    </w:p>
    <w:p>
      <w:pPr>
        <w:pStyle w:val="TOC8"/>
        <w:rPr>
          <w:rFonts w:asciiTheme="minorHAnsi" w:eastAsiaTheme="minorEastAsia" w:hAnsiTheme="minorHAnsi" w:cstheme="minorBidi"/>
          <w:szCs w:val="22"/>
        </w:rPr>
      </w:pPr>
      <w:r>
        <w:t>16.</w:t>
      </w:r>
      <w:r>
        <w:tab/>
        <w:t>Actions in relation to cross boundary pipelines</w:t>
      </w:r>
      <w:r>
        <w:tab/>
      </w:r>
      <w:r>
        <w:fldChar w:fldCharType="begin"/>
      </w:r>
      <w:r>
        <w:instrText xml:space="preserve"> PAGEREF _Toc176259172 \h </w:instrText>
      </w:r>
      <w:r>
        <w:fldChar w:fldCharType="separate"/>
      </w:r>
      <w:r>
        <w:t>13</w:t>
      </w:r>
      <w:r>
        <w:fldChar w:fldCharType="end"/>
      </w:r>
    </w:p>
    <w:p>
      <w:pPr>
        <w:pStyle w:val="TOC8"/>
        <w:rPr>
          <w:rFonts w:asciiTheme="minorHAnsi" w:eastAsiaTheme="minorEastAsia" w:hAnsiTheme="minorHAnsi" w:cstheme="minorBidi"/>
          <w:szCs w:val="22"/>
        </w:rPr>
      </w:pPr>
      <w:r>
        <w:t>17.</w:t>
      </w:r>
      <w:r>
        <w:tab/>
        <w:t>Conferral of functions and powers on Commonwealth bodies</w:t>
      </w:r>
      <w:r>
        <w:tab/>
      </w:r>
      <w:r>
        <w:fldChar w:fldCharType="begin"/>
      </w:r>
      <w:r>
        <w:instrText xml:space="preserve"> PAGEREF _Toc176259173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6 — Other local provisions</w:t>
      </w:r>
    </w:p>
    <w:p>
      <w:pPr>
        <w:pStyle w:val="TOC4"/>
        <w:tabs>
          <w:tab w:val="right" w:leader="dot" w:pos="7077"/>
        </w:tabs>
        <w:rPr>
          <w:rFonts w:asciiTheme="minorHAnsi" w:eastAsiaTheme="minorEastAsia" w:hAnsiTheme="minorHAnsi" w:cstheme="minorBidi"/>
          <w:b w:val="0"/>
          <w:szCs w:val="22"/>
        </w:rPr>
      </w:pPr>
      <w:r>
        <w:t>Division 1 — Economic Regulation Authority</w:t>
      </w:r>
    </w:p>
    <w:p>
      <w:pPr>
        <w:pStyle w:val="TOC8"/>
        <w:rPr>
          <w:rFonts w:asciiTheme="minorHAnsi" w:eastAsiaTheme="minorEastAsia" w:hAnsiTheme="minorHAnsi" w:cstheme="minorBidi"/>
          <w:szCs w:val="22"/>
        </w:rPr>
      </w:pPr>
      <w:r>
        <w:t>18.</w:t>
      </w:r>
      <w:r>
        <w:tab/>
        <w:t>Expertise of Director of Energy Safety to be used</w:t>
      </w:r>
      <w:r>
        <w:tab/>
      </w:r>
      <w:r>
        <w:fldChar w:fldCharType="begin"/>
      </w:r>
      <w:r>
        <w:instrText xml:space="preserve"> PAGEREF _Toc176259176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19</w:t>
      </w:r>
      <w:r>
        <w:rPr>
          <w:snapToGrid w:val="0"/>
        </w:rPr>
        <w:t>.</w:t>
      </w:r>
      <w:r>
        <w:rPr>
          <w:snapToGrid w:val="0"/>
        </w:rPr>
        <w:tab/>
        <w:t>Preservation of certain contracts relating to privatised DBNGP system</w:t>
      </w:r>
      <w:r>
        <w:tab/>
      </w:r>
      <w:r>
        <w:fldChar w:fldCharType="begin"/>
      </w:r>
      <w:r>
        <w:instrText xml:space="preserve"> PAGEREF _Toc176259178 \h </w:instrText>
      </w:r>
      <w:r>
        <w:fldChar w:fldCharType="separate"/>
      </w:r>
      <w:r>
        <w:t>16</w:t>
      </w:r>
      <w:r>
        <w:fldChar w:fldCharType="end"/>
      </w:r>
    </w:p>
    <w:p>
      <w:pPr>
        <w:pStyle w:val="TOC8"/>
        <w:rPr>
          <w:rFonts w:asciiTheme="minorHAnsi" w:eastAsiaTheme="minorEastAsia" w:hAnsiTheme="minorHAnsi" w:cstheme="minorBidi"/>
          <w:szCs w:val="22"/>
        </w:rPr>
      </w:pPr>
      <w:r>
        <w:t>20.</w:t>
      </w:r>
      <w:r>
        <w:tab/>
        <w:t>Transitional provisions for Kalgoorlie to Kambalda pipeline</w:t>
      </w:r>
      <w:r>
        <w:tab/>
      </w:r>
      <w:r>
        <w:fldChar w:fldCharType="begin"/>
      </w:r>
      <w:r>
        <w:instrText xml:space="preserve"> PAGEREF _Toc176259179 \h </w:instrText>
      </w:r>
      <w:r>
        <w:fldChar w:fldCharType="separate"/>
      </w:r>
      <w:r>
        <w:t>17</w:t>
      </w:r>
      <w:r>
        <w:fldChar w:fldCharType="end"/>
      </w:r>
    </w:p>
    <w:p>
      <w:pPr>
        <w:pStyle w:val="TOC8"/>
        <w:rPr>
          <w:rFonts w:asciiTheme="minorHAnsi" w:eastAsiaTheme="minorEastAsia" w:hAnsiTheme="minorHAnsi" w:cstheme="minorBidi"/>
          <w:szCs w:val="22"/>
        </w:rPr>
      </w:pPr>
      <w:r>
        <w:t>21.</w:t>
      </w:r>
      <w:r>
        <w:tab/>
        <w:t>Regulations</w:t>
      </w:r>
      <w:r>
        <w:tab/>
      </w:r>
      <w:r>
        <w:fldChar w:fldCharType="begin"/>
      </w:r>
      <w:r>
        <w:instrText xml:space="preserve"> PAGEREF _Toc176259180 \h </w:instrText>
      </w:r>
      <w:r>
        <w:fldChar w:fldCharType="separate"/>
      </w:r>
      <w:r>
        <w:t>17</w:t>
      </w:r>
      <w:r>
        <w:fldChar w:fldCharType="end"/>
      </w:r>
    </w:p>
    <w:p>
      <w:pPr>
        <w:pStyle w:val="TOC8"/>
        <w:rPr>
          <w:rFonts w:asciiTheme="minorHAnsi" w:eastAsiaTheme="minorEastAsia" w:hAnsiTheme="minorHAnsi" w:cstheme="minorBidi"/>
          <w:szCs w:val="22"/>
        </w:rPr>
      </w:pPr>
      <w:r>
        <w:t>22.</w:t>
      </w:r>
      <w:r>
        <w:tab/>
        <w:t>Review of Act</w:t>
      </w:r>
      <w:r>
        <w:tab/>
      </w:r>
      <w:r>
        <w:fldChar w:fldCharType="begin"/>
      </w:r>
      <w:r>
        <w:instrText xml:space="preserve"> PAGEREF _Toc176259181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7 — Various Acts amended</w:t>
      </w:r>
    </w:p>
    <w:p>
      <w:pPr>
        <w:pStyle w:val="TOC4"/>
        <w:tabs>
          <w:tab w:val="right" w:leader="dot" w:pos="7077"/>
        </w:tabs>
        <w:rPr>
          <w:rFonts w:asciiTheme="minorHAnsi" w:eastAsiaTheme="minorEastAsia" w:hAnsiTheme="minorHAnsi" w:cstheme="minorBidi"/>
          <w:b w:val="0"/>
          <w:szCs w:val="22"/>
        </w:rPr>
      </w:pPr>
      <w:r>
        <w:t>Division 1 — </w:t>
      </w:r>
      <w:r>
        <w:rPr>
          <w:i/>
        </w:rPr>
        <w:t>Gas Pipelines Access (Western Australia) Act 1998</w:t>
      </w:r>
    </w:p>
    <w:p>
      <w:pPr>
        <w:pStyle w:val="TOC8"/>
        <w:rPr>
          <w:rFonts w:asciiTheme="minorHAnsi" w:eastAsiaTheme="minorEastAsia" w:hAnsiTheme="minorHAnsi" w:cstheme="minorBidi"/>
          <w:szCs w:val="22"/>
        </w:rPr>
      </w:pPr>
      <w:r>
        <w:t>23.</w:t>
      </w:r>
      <w:r>
        <w:tab/>
        <w:t>Act amended</w:t>
      </w:r>
      <w:r>
        <w:tab/>
      </w:r>
      <w:r>
        <w:fldChar w:fldCharType="begin"/>
      </w:r>
      <w:r>
        <w:instrText xml:space="preserve"> PAGEREF _Toc176259184 \h </w:instrText>
      </w:r>
      <w:r>
        <w:fldChar w:fldCharType="separate"/>
      </w:r>
      <w:r>
        <w:t>20</w:t>
      </w:r>
      <w:r>
        <w:fldChar w:fldCharType="end"/>
      </w:r>
    </w:p>
    <w:p>
      <w:pPr>
        <w:pStyle w:val="TOC8"/>
        <w:rPr>
          <w:rFonts w:asciiTheme="minorHAnsi" w:eastAsiaTheme="minorEastAsia" w:hAnsiTheme="minorHAnsi" w:cstheme="minorBidi"/>
          <w:szCs w:val="22"/>
        </w:rPr>
      </w:pPr>
      <w:r>
        <w:t>24.</w:t>
      </w:r>
      <w:r>
        <w:tab/>
        <w:t>Long title replaced</w:t>
      </w:r>
      <w:r>
        <w:tab/>
      </w:r>
      <w:r>
        <w:fldChar w:fldCharType="begin"/>
      </w:r>
      <w:r>
        <w:instrText xml:space="preserve"> PAGEREF _Toc176259185 \h </w:instrText>
      </w:r>
      <w:r>
        <w:fldChar w:fldCharType="separate"/>
      </w:r>
      <w:r>
        <w:t>20</w:t>
      </w:r>
      <w:r>
        <w:fldChar w:fldCharType="end"/>
      </w:r>
    </w:p>
    <w:p>
      <w:pPr>
        <w:pStyle w:val="TOC8"/>
        <w:rPr>
          <w:rFonts w:asciiTheme="minorHAnsi" w:eastAsiaTheme="minorEastAsia" w:hAnsiTheme="minorHAnsi" w:cstheme="minorBidi"/>
          <w:szCs w:val="22"/>
        </w:rPr>
      </w:pPr>
      <w:r>
        <w:t>25.</w:t>
      </w:r>
      <w:r>
        <w:tab/>
        <w:t>Preamble deleted</w:t>
      </w:r>
      <w:r>
        <w:tab/>
      </w:r>
      <w:r>
        <w:fldChar w:fldCharType="begin"/>
      </w:r>
      <w:r>
        <w:instrText xml:space="preserve"> PAGEREF _Toc176259186 \h </w:instrText>
      </w:r>
      <w:r>
        <w:fldChar w:fldCharType="separate"/>
      </w:r>
      <w:r>
        <w:t>20</w:t>
      </w:r>
      <w:r>
        <w:fldChar w:fldCharType="end"/>
      </w:r>
    </w:p>
    <w:p>
      <w:pPr>
        <w:pStyle w:val="TOC8"/>
        <w:rPr>
          <w:rFonts w:asciiTheme="minorHAnsi" w:eastAsiaTheme="minorEastAsia" w:hAnsiTheme="minorHAnsi" w:cstheme="minorBidi"/>
          <w:szCs w:val="22"/>
        </w:rPr>
      </w:pPr>
      <w:r>
        <w:t>26.</w:t>
      </w:r>
      <w:r>
        <w:tab/>
        <w:t>Section 1 amended</w:t>
      </w:r>
      <w:r>
        <w:tab/>
      </w:r>
      <w:r>
        <w:fldChar w:fldCharType="begin"/>
      </w:r>
      <w:r>
        <w:instrText xml:space="preserve"> PAGEREF _Toc176259187 \h </w:instrText>
      </w:r>
      <w:r>
        <w:fldChar w:fldCharType="separate"/>
      </w:r>
      <w:r>
        <w:t>20</w:t>
      </w:r>
      <w:r>
        <w:fldChar w:fldCharType="end"/>
      </w:r>
    </w:p>
    <w:p>
      <w:pPr>
        <w:pStyle w:val="TOC8"/>
        <w:rPr>
          <w:rFonts w:asciiTheme="minorHAnsi" w:eastAsiaTheme="minorEastAsia" w:hAnsiTheme="minorHAnsi" w:cstheme="minorBidi"/>
          <w:szCs w:val="22"/>
        </w:rPr>
      </w:pPr>
      <w:r>
        <w:t>27.</w:t>
      </w:r>
      <w:r>
        <w:tab/>
        <w:t>Sections 2 to 4 deleted</w:t>
      </w:r>
      <w:r>
        <w:tab/>
      </w:r>
      <w:r>
        <w:fldChar w:fldCharType="begin"/>
      </w:r>
      <w:r>
        <w:instrText xml:space="preserve"> PAGEREF _Toc176259188 \h </w:instrText>
      </w:r>
      <w:r>
        <w:fldChar w:fldCharType="separate"/>
      </w:r>
      <w:r>
        <w:t>20</w:t>
      </w:r>
      <w:r>
        <w:fldChar w:fldCharType="end"/>
      </w:r>
    </w:p>
    <w:p>
      <w:pPr>
        <w:pStyle w:val="TOC8"/>
        <w:rPr>
          <w:rFonts w:asciiTheme="minorHAnsi" w:eastAsiaTheme="minorEastAsia" w:hAnsiTheme="minorHAnsi" w:cstheme="minorBidi"/>
          <w:szCs w:val="22"/>
        </w:rPr>
      </w:pPr>
      <w:r>
        <w:t>28.</w:t>
      </w:r>
      <w:r>
        <w:tab/>
        <w:t>Section 5 amended</w:t>
      </w:r>
      <w:r>
        <w:tab/>
      </w:r>
      <w:r>
        <w:fldChar w:fldCharType="begin"/>
      </w:r>
      <w:r>
        <w:instrText xml:space="preserve"> PAGEREF _Toc176259189 \h </w:instrText>
      </w:r>
      <w:r>
        <w:fldChar w:fldCharType="separate"/>
      </w:r>
      <w:r>
        <w:t>20</w:t>
      </w:r>
      <w:r>
        <w:fldChar w:fldCharType="end"/>
      </w:r>
    </w:p>
    <w:p>
      <w:pPr>
        <w:pStyle w:val="TOC8"/>
        <w:rPr>
          <w:rFonts w:asciiTheme="minorHAnsi" w:eastAsiaTheme="minorEastAsia" w:hAnsiTheme="minorHAnsi" w:cstheme="minorBidi"/>
          <w:szCs w:val="22"/>
        </w:rPr>
      </w:pPr>
      <w:r>
        <w:t>29.</w:t>
      </w:r>
      <w:r>
        <w:tab/>
        <w:t>Sections 6 to 8 deleted</w:t>
      </w:r>
      <w:r>
        <w:tab/>
      </w:r>
      <w:r>
        <w:fldChar w:fldCharType="begin"/>
      </w:r>
      <w:r>
        <w:instrText xml:space="preserve"> PAGEREF _Toc176259190 \h </w:instrText>
      </w:r>
      <w:r>
        <w:fldChar w:fldCharType="separate"/>
      </w:r>
      <w:r>
        <w:t>21</w:t>
      </w:r>
      <w:r>
        <w:fldChar w:fldCharType="end"/>
      </w:r>
    </w:p>
    <w:p>
      <w:pPr>
        <w:pStyle w:val="TOC8"/>
        <w:rPr>
          <w:rFonts w:asciiTheme="minorHAnsi" w:eastAsiaTheme="minorEastAsia" w:hAnsiTheme="minorHAnsi" w:cstheme="minorBidi"/>
          <w:szCs w:val="22"/>
        </w:rPr>
      </w:pPr>
      <w:r>
        <w:t>30.</w:t>
      </w:r>
      <w:r>
        <w:tab/>
        <w:t>Parts 2 to 5 deleted</w:t>
      </w:r>
      <w:r>
        <w:tab/>
      </w:r>
      <w:r>
        <w:fldChar w:fldCharType="begin"/>
      </w:r>
      <w:r>
        <w:instrText xml:space="preserve"> PAGEREF _Toc176259191 \h </w:instrText>
      </w:r>
      <w:r>
        <w:fldChar w:fldCharType="separate"/>
      </w:r>
      <w:r>
        <w:t>21</w:t>
      </w:r>
      <w:r>
        <w:fldChar w:fldCharType="end"/>
      </w:r>
    </w:p>
    <w:p>
      <w:pPr>
        <w:pStyle w:val="TOC8"/>
        <w:rPr>
          <w:rFonts w:asciiTheme="minorHAnsi" w:eastAsiaTheme="minorEastAsia" w:hAnsiTheme="minorHAnsi" w:cstheme="minorBidi"/>
          <w:szCs w:val="22"/>
        </w:rPr>
      </w:pPr>
      <w:r>
        <w:t>31.</w:t>
      </w:r>
      <w:r>
        <w:tab/>
        <w:t>Part 6 heading replaced</w:t>
      </w:r>
      <w:r>
        <w:tab/>
      </w:r>
      <w:r>
        <w:fldChar w:fldCharType="begin"/>
      </w:r>
      <w:r>
        <w:instrText xml:space="preserve"> PAGEREF _Toc176259192 \h </w:instrText>
      </w:r>
      <w:r>
        <w:fldChar w:fldCharType="separate"/>
      </w:r>
      <w:r>
        <w:t>21</w:t>
      </w:r>
      <w:r>
        <w:fldChar w:fldCharType="end"/>
      </w:r>
    </w:p>
    <w:p>
      <w:pPr>
        <w:pStyle w:val="TOC3"/>
        <w:tabs>
          <w:tab w:val="right" w:leader="dot" w:pos="7077"/>
        </w:tabs>
        <w:rPr>
          <w:rFonts w:asciiTheme="minorHAnsi" w:eastAsiaTheme="minorEastAsia" w:hAnsiTheme="minorHAnsi" w:cstheme="minorBidi"/>
          <w:b w:val="0"/>
          <w:sz w:val="22"/>
          <w:szCs w:val="22"/>
        </w:rPr>
      </w:pPr>
      <w:r>
        <w:lastRenderedPageBreak/>
        <w:t>Part 6</w:t>
      </w:r>
      <w:r>
        <w:rPr>
          <w:b w:val="0"/>
        </w:rPr>
        <w:t> </w:t>
      </w:r>
      <w:r>
        <w:t>—</w:t>
      </w:r>
      <w:r>
        <w:rPr>
          <w:b w:val="0"/>
        </w:rPr>
        <w:t> </w:t>
      </w:r>
      <w:r>
        <w:t>Review board and arbitrator</w:t>
      </w:r>
    </w:p>
    <w:p>
      <w:pPr>
        <w:pStyle w:val="TOC8"/>
        <w:rPr>
          <w:rFonts w:asciiTheme="minorHAnsi" w:eastAsiaTheme="minorEastAsia" w:hAnsiTheme="minorHAnsi" w:cstheme="minorBidi"/>
          <w:szCs w:val="22"/>
        </w:rPr>
      </w:pPr>
      <w:r>
        <w:t>32.</w:t>
      </w:r>
      <w:r>
        <w:tab/>
        <w:t>Part 6 Division 1 deleted</w:t>
      </w:r>
      <w:r>
        <w:tab/>
      </w:r>
      <w:r>
        <w:fldChar w:fldCharType="begin"/>
      </w:r>
      <w:r>
        <w:instrText xml:space="preserve"> PAGEREF _Toc176259194 \h </w:instrText>
      </w:r>
      <w:r>
        <w:fldChar w:fldCharType="separate"/>
      </w:r>
      <w:r>
        <w:t>21</w:t>
      </w:r>
      <w:r>
        <w:fldChar w:fldCharType="end"/>
      </w:r>
    </w:p>
    <w:p>
      <w:pPr>
        <w:pStyle w:val="TOC8"/>
        <w:rPr>
          <w:rFonts w:asciiTheme="minorHAnsi" w:eastAsiaTheme="minorEastAsia" w:hAnsiTheme="minorHAnsi" w:cstheme="minorBidi"/>
          <w:szCs w:val="22"/>
        </w:rPr>
      </w:pPr>
      <w:r>
        <w:t>33.</w:t>
      </w:r>
      <w:r>
        <w:tab/>
        <w:t>Part 6 Division 2 heading replaced</w:t>
      </w:r>
      <w:r>
        <w:tab/>
      </w:r>
      <w:r>
        <w:fldChar w:fldCharType="begin"/>
      </w:r>
      <w:r>
        <w:instrText xml:space="preserve"> PAGEREF _Toc176259195 \h </w:instrText>
      </w:r>
      <w:r>
        <w:fldChar w:fldCharType="separate"/>
      </w:r>
      <w:r>
        <w:t>21</w:t>
      </w:r>
      <w:r>
        <w:fldChar w:fldCharType="end"/>
      </w:r>
    </w:p>
    <w:p>
      <w:pPr>
        <w:pStyle w:val="TOC5"/>
        <w:tabs>
          <w:tab w:val="right" w:leader="dot" w:pos="7077"/>
        </w:tabs>
        <w:rPr>
          <w:rFonts w:asciiTheme="minorHAnsi" w:eastAsiaTheme="minorEastAsia" w:hAnsiTheme="minorHAnsi" w:cstheme="minorBidi"/>
          <w:b w:val="0"/>
          <w:sz w:val="22"/>
          <w:szCs w:val="22"/>
        </w:rPr>
      </w:pPr>
      <w:r>
        <w:t>Division 2 — Review board</w:t>
      </w:r>
    </w:p>
    <w:p>
      <w:pPr>
        <w:pStyle w:val="TOC8"/>
        <w:rPr>
          <w:rFonts w:asciiTheme="minorHAnsi" w:eastAsiaTheme="minorEastAsia" w:hAnsiTheme="minorHAnsi" w:cstheme="minorBidi"/>
          <w:szCs w:val="22"/>
        </w:rPr>
      </w:pPr>
      <w:r>
        <w:t>34.</w:t>
      </w:r>
      <w:r>
        <w:tab/>
        <w:t>Section 49 amended</w:t>
      </w:r>
      <w:r>
        <w:tab/>
      </w:r>
      <w:r>
        <w:fldChar w:fldCharType="begin"/>
      </w:r>
      <w:r>
        <w:instrText xml:space="preserve"> PAGEREF _Toc176259197 \h </w:instrText>
      </w:r>
      <w:r>
        <w:fldChar w:fldCharType="separate"/>
      </w:r>
      <w:r>
        <w:t>21</w:t>
      </w:r>
      <w:r>
        <w:fldChar w:fldCharType="end"/>
      </w:r>
    </w:p>
    <w:p>
      <w:pPr>
        <w:pStyle w:val="TOC8"/>
        <w:rPr>
          <w:rFonts w:asciiTheme="minorHAnsi" w:eastAsiaTheme="minorEastAsia" w:hAnsiTheme="minorHAnsi" w:cstheme="minorBidi"/>
          <w:szCs w:val="22"/>
        </w:rPr>
      </w:pPr>
      <w:r>
        <w:t>35.</w:t>
      </w:r>
      <w:r>
        <w:tab/>
        <w:t>Part 6 Division 2 Subdivision 2 heading replaced</w:t>
      </w:r>
      <w:r>
        <w:tab/>
      </w:r>
      <w:r>
        <w:fldChar w:fldCharType="begin"/>
      </w:r>
      <w:r>
        <w:instrText xml:space="preserve"> PAGEREF _Toc176259198 \h </w:instrText>
      </w:r>
      <w:r>
        <w:fldChar w:fldCharType="separate"/>
      </w:r>
      <w:r>
        <w:t>21</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Western Australian Electricity Review Board established</w:t>
      </w:r>
    </w:p>
    <w:p>
      <w:pPr>
        <w:pStyle w:val="TOC8"/>
        <w:rPr>
          <w:rFonts w:asciiTheme="minorHAnsi" w:eastAsiaTheme="minorEastAsia" w:hAnsiTheme="minorHAnsi" w:cstheme="minorBidi"/>
          <w:szCs w:val="22"/>
        </w:rPr>
      </w:pPr>
      <w:r>
        <w:t>36.</w:t>
      </w:r>
      <w:r>
        <w:tab/>
        <w:t>Section 50 amended</w:t>
      </w:r>
      <w:r>
        <w:tab/>
      </w:r>
      <w:r>
        <w:fldChar w:fldCharType="begin"/>
      </w:r>
      <w:r>
        <w:instrText xml:space="preserve"> PAGEREF _Toc176259200 \h </w:instrText>
      </w:r>
      <w:r>
        <w:fldChar w:fldCharType="separate"/>
      </w:r>
      <w:r>
        <w:t>22</w:t>
      </w:r>
      <w:r>
        <w:fldChar w:fldCharType="end"/>
      </w:r>
    </w:p>
    <w:p>
      <w:pPr>
        <w:pStyle w:val="TOC8"/>
        <w:rPr>
          <w:rFonts w:asciiTheme="minorHAnsi" w:eastAsiaTheme="minorEastAsia" w:hAnsiTheme="minorHAnsi" w:cstheme="minorBidi"/>
          <w:szCs w:val="22"/>
        </w:rPr>
      </w:pPr>
      <w:r>
        <w:t>37.</w:t>
      </w:r>
      <w:r>
        <w:tab/>
        <w:t>Section 57 amended</w:t>
      </w:r>
      <w:r>
        <w:tab/>
      </w:r>
      <w:r>
        <w:fldChar w:fldCharType="begin"/>
      </w:r>
      <w:r>
        <w:instrText xml:space="preserve"> PAGEREF _Toc176259201 \h </w:instrText>
      </w:r>
      <w:r>
        <w:fldChar w:fldCharType="separate"/>
      </w:r>
      <w:r>
        <w:t>22</w:t>
      </w:r>
      <w:r>
        <w:fldChar w:fldCharType="end"/>
      </w:r>
    </w:p>
    <w:p>
      <w:pPr>
        <w:pStyle w:val="TOC8"/>
        <w:rPr>
          <w:rFonts w:asciiTheme="minorHAnsi" w:eastAsiaTheme="minorEastAsia" w:hAnsiTheme="minorHAnsi" w:cstheme="minorBidi"/>
          <w:szCs w:val="22"/>
        </w:rPr>
      </w:pPr>
      <w:r>
        <w:t>38.</w:t>
      </w:r>
      <w:r>
        <w:tab/>
        <w:t>Section 59 amended</w:t>
      </w:r>
      <w:r>
        <w:tab/>
      </w:r>
      <w:r>
        <w:fldChar w:fldCharType="begin"/>
      </w:r>
      <w:r>
        <w:instrText xml:space="preserve"> PAGEREF _Toc176259202 \h </w:instrText>
      </w:r>
      <w:r>
        <w:fldChar w:fldCharType="separate"/>
      </w:r>
      <w:r>
        <w:t>22</w:t>
      </w:r>
      <w:r>
        <w:fldChar w:fldCharType="end"/>
      </w:r>
    </w:p>
    <w:p>
      <w:pPr>
        <w:pStyle w:val="TOC8"/>
        <w:rPr>
          <w:rFonts w:asciiTheme="minorHAnsi" w:eastAsiaTheme="minorEastAsia" w:hAnsiTheme="minorHAnsi" w:cstheme="minorBidi"/>
          <w:szCs w:val="22"/>
        </w:rPr>
      </w:pPr>
      <w:r>
        <w:t>39.</w:t>
      </w:r>
      <w:r>
        <w:tab/>
        <w:t>Section 61 amended</w:t>
      </w:r>
      <w:r>
        <w:tab/>
      </w:r>
      <w:r>
        <w:fldChar w:fldCharType="begin"/>
      </w:r>
      <w:r>
        <w:instrText xml:space="preserve"> PAGEREF _Toc176259203 \h </w:instrText>
      </w:r>
      <w:r>
        <w:fldChar w:fldCharType="separate"/>
      </w:r>
      <w:r>
        <w:t>22</w:t>
      </w:r>
      <w:r>
        <w:fldChar w:fldCharType="end"/>
      </w:r>
    </w:p>
    <w:p>
      <w:pPr>
        <w:pStyle w:val="TOC8"/>
        <w:rPr>
          <w:rFonts w:asciiTheme="minorHAnsi" w:eastAsiaTheme="minorEastAsia" w:hAnsiTheme="minorHAnsi" w:cstheme="minorBidi"/>
          <w:szCs w:val="22"/>
        </w:rPr>
      </w:pPr>
      <w:r>
        <w:t>40.</w:t>
      </w:r>
      <w:r>
        <w:tab/>
        <w:t>Part 6 Division 3 Subdivision 2 heading amended</w:t>
      </w:r>
      <w:r>
        <w:tab/>
      </w:r>
      <w:r>
        <w:fldChar w:fldCharType="begin"/>
      </w:r>
      <w:r>
        <w:instrText xml:space="preserve"> PAGEREF _Toc176259204 \h </w:instrText>
      </w:r>
      <w:r>
        <w:fldChar w:fldCharType="separate"/>
      </w:r>
      <w:r>
        <w:t>23</w:t>
      </w:r>
      <w:r>
        <w:fldChar w:fldCharType="end"/>
      </w:r>
    </w:p>
    <w:p>
      <w:pPr>
        <w:pStyle w:val="TOC8"/>
        <w:rPr>
          <w:rFonts w:asciiTheme="minorHAnsi" w:eastAsiaTheme="minorEastAsia" w:hAnsiTheme="minorHAnsi" w:cstheme="minorBidi"/>
          <w:szCs w:val="22"/>
        </w:rPr>
      </w:pPr>
      <w:r>
        <w:t>41.</w:t>
      </w:r>
      <w:r>
        <w:tab/>
        <w:t>Section 62 amended</w:t>
      </w:r>
      <w:r>
        <w:tab/>
      </w:r>
      <w:r>
        <w:fldChar w:fldCharType="begin"/>
      </w:r>
      <w:r>
        <w:instrText xml:space="preserve"> PAGEREF _Toc176259205 \h </w:instrText>
      </w:r>
      <w:r>
        <w:fldChar w:fldCharType="separate"/>
      </w:r>
      <w:r>
        <w:t>23</w:t>
      </w:r>
      <w:r>
        <w:fldChar w:fldCharType="end"/>
      </w:r>
    </w:p>
    <w:p>
      <w:pPr>
        <w:pStyle w:val="TOC8"/>
        <w:rPr>
          <w:rFonts w:asciiTheme="minorHAnsi" w:eastAsiaTheme="minorEastAsia" w:hAnsiTheme="minorHAnsi" w:cstheme="minorBidi"/>
          <w:szCs w:val="22"/>
        </w:rPr>
      </w:pPr>
      <w:r>
        <w:t>42.</w:t>
      </w:r>
      <w:r>
        <w:tab/>
        <w:t>Section 73 amended</w:t>
      </w:r>
      <w:r>
        <w:tab/>
      </w:r>
      <w:r>
        <w:fldChar w:fldCharType="begin"/>
      </w:r>
      <w:r>
        <w:instrText xml:space="preserve"> PAGEREF _Toc176259206 \h </w:instrText>
      </w:r>
      <w:r>
        <w:fldChar w:fldCharType="separate"/>
      </w:r>
      <w:r>
        <w:t>23</w:t>
      </w:r>
      <w:r>
        <w:fldChar w:fldCharType="end"/>
      </w:r>
    </w:p>
    <w:p>
      <w:pPr>
        <w:pStyle w:val="TOC8"/>
        <w:rPr>
          <w:rFonts w:asciiTheme="minorHAnsi" w:eastAsiaTheme="minorEastAsia" w:hAnsiTheme="minorHAnsi" w:cstheme="minorBidi"/>
          <w:szCs w:val="22"/>
        </w:rPr>
      </w:pPr>
      <w:r>
        <w:t>43.</w:t>
      </w:r>
      <w:r>
        <w:tab/>
        <w:t>Section 74 amended</w:t>
      </w:r>
      <w:r>
        <w:tab/>
      </w:r>
      <w:r>
        <w:fldChar w:fldCharType="begin"/>
      </w:r>
      <w:r>
        <w:instrText xml:space="preserve"> PAGEREF _Toc176259207 \h </w:instrText>
      </w:r>
      <w:r>
        <w:fldChar w:fldCharType="separate"/>
      </w:r>
      <w:r>
        <w:t>23</w:t>
      </w:r>
      <w:r>
        <w:fldChar w:fldCharType="end"/>
      </w:r>
    </w:p>
    <w:p>
      <w:pPr>
        <w:pStyle w:val="TOC8"/>
        <w:rPr>
          <w:rFonts w:asciiTheme="minorHAnsi" w:eastAsiaTheme="minorEastAsia" w:hAnsiTheme="minorHAnsi" w:cstheme="minorBidi"/>
          <w:szCs w:val="22"/>
        </w:rPr>
      </w:pPr>
      <w:r>
        <w:t>44.</w:t>
      </w:r>
      <w:r>
        <w:tab/>
        <w:t>Section 76 amended</w:t>
      </w:r>
      <w:r>
        <w:tab/>
      </w:r>
      <w:r>
        <w:fldChar w:fldCharType="begin"/>
      </w:r>
      <w:r>
        <w:instrText xml:space="preserve"> PAGEREF _Toc176259208 \h </w:instrText>
      </w:r>
      <w:r>
        <w:fldChar w:fldCharType="separate"/>
      </w:r>
      <w:r>
        <w:t>24</w:t>
      </w:r>
      <w:r>
        <w:fldChar w:fldCharType="end"/>
      </w:r>
    </w:p>
    <w:p>
      <w:pPr>
        <w:pStyle w:val="TOC8"/>
        <w:rPr>
          <w:rFonts w:asciiTheme="minorHAnsi" w:eastAsiaTheme="minorEastAsia" w:hAnsiTheme="minorHAnsi" w:cstheme="minorBidi"/>
          <w:szCs w:val="22"/>
        </w:rPr>
      </w:pPr>
      <w:r>
        <w:t>45.</w:t>
      </w:r>
      <w:r>
        <w:tab/>
        <w:t>Section 77 amended</w:t>
      </w:r>
      <w:r>
        <w:tab/>
      </w:r>
      <w:r>
        <w:fldChar w:fldCharType="begin"/>
      </w:r>
      <w:r>
        <w:instrText xml:space="preserve"> PAGEREF _Toc176259209 \h </w:instrText>
      </w:r>
      <w:r>
        <w:fldChar w:fldCharType="separate"/>
      </w:r>
      <w:r>
        <w:t>24</w:t>
      </w:r>
      <w:r>
        <w:fldChar w:fldCharType="end"/>
      </w:r>
    </w:p>
    <w:p>
      <w:pPr>
        <w:pStyle w:val="TOC8"/>
        <w:rPr>
          <w:rFonts w:asciiTheme="minorHAnsi" w:eastAsiaTheme="minorEastAsia" w:hAnsiTheme="minorHAnsi" w:cstheme="minorBidi"/>
          <w:szCs w:val="22"/>
        </w:rPr>
      </w:pPr>
      <w:r>
        <w:t>46.</w:t>
      </w:r>
      <w:r>
        <w:tab/>
        <w:t>Section 81 amended</w:t>
      </w:r>
      <w:r>
        <w:tab/>
      </w:r>
      <w:r>
        <w:fldChar w:fldCharType="begin"/>
      </w:r>
      <w:r>
        <w:instrText xml:space="preserve"> PAGEREF _Toc176259210 \h </w:instrText>
      </w:r>
      <w:r>
        <w:fldChar w:fldCharType="separate"/>
      </w:r>
      <w:r>
        <w:t>24</w:t>
      </w:r>
      <w:r>
        <w:fldChar w:fldCharType="end"/>
      </w:r>
    </w:p>
    <w:p>
      <w:pPr>
        <w:pStyle w:val="TOC8"/>
        <w:rPr>
          <w:rFonts w:asciiTheme="minorHAnsi" w:eastAsiaTheme="minorEastAsia" w:hAnsiTheme="minorHAnsi" w:cstheme="minorBidi"/>
          <w:szCs w:val="22"/>
        </w:rPr>
      </w:pPr>
      <w:r>
        <w:t>47.</w:t>
      </w:r>
      <w:r>
        <w:tab/>
        <w:t>Section 82 amended</w:t>
      </w:r>
      <w:r>
        <w:tab/>
      </w:r>
      <w:r>
        <w:fldChar w:fldCharType="begin"/>
      </w:r>
      <w:r>
        <w:instrText xml:space="preserve"> PAGEREF _Toc176259211 \h </w:instrText>
      </w:r>
      <w:r>
        <w:fldChar w:fldCharType="separate"/>
      </w:r>
      <w:r>
        <w:t>25</w:t>
      </w:r>
      <w:r>
        <w:fldChar w:fldCharType="end"/>
      </w:r>
    </w:p>
    <w:p>
      <w:pPr>
        <w:pStyle w:val="TOC8"/>
        <w:rPr>
          <w:rFonts w:asciiTheme="minorHAnsi" w:eastAsiaTheme="minorEastAsia" w:hAnsiTheme="minorHAnsi" w:cstheme="minorBidi"/>
          <w:szCs w:val="22"/>
        </w:rPr>
      </w:pPr>
      <w:r>
        <w:t>48.</w:t>
      </w:r>
      <w:r>
        <w:tab/>
        <w:t>Section 87 deleted</w:t>
      </w:r>
      <w:r>
        <w:tab/>
      </w:r>
      <w:r>
        <w:fldChar w:fldCharType="begin"/>
      </w:r>
      <w:r>
        <w:instrText xml:space="preserve"> PAGEREF _Toc176259212 \h </w:instrText>
      </w:r>
      <w:r>
        <w:fldChar w:fldCharType="separate"/>
      </w:r>
      <w:r>
        <w:t>25</w:t>
      </w:r>
      <w:r>
        <w:fldChar w:fldCharType="end"/>
      </w:r>
    </w:p>
    <w:p>
      <w:pPr>
        <w:pStyle w:val="TOC8"/>
        <w:rPr>
          <w:rFonts w:asciiTheme="minorHAnsi" w:eastAsiaTheme="minorEastAsia" w:hAnsiTheme="minorHAnsi" w:cstheme="minorBidi"/>
          <w:szCs w:val="22"/>
        </w:rPr>
      </w:pPr>
      <w:r>
        <w:t>49.</w:t>
      </w:r>
      <w:r>
        <w:tab/>
        <w:t>Section 88 deleted</w:t>
      </w:r>
      <w:r>
        <w:tab/>
      </w:r>
      <w:r>
        <w:fldChar w:fldCharType="begin"/>
      </w:r>
      <w:r>
        <w:instrText xml:space="preserve"> PAGEREF _Toc176259213 \h </w:instrText>
      </w:r>
      <w:r>
        <w:fldChar w:fldCharType="separate"/>
      </w:r>
      <w:r>
        <w:t>25</w:t>
      </w:r>
      <w:r>
        <w:fldChar w:fldCharType="end"/>
      </w:r>
    </w:p>
    <w:p>
      <w:pPr>
        <w:pStyle w:val="TOC8"/>
        <w:rPr>
          <w:rFonts w:asciiTheme="minorHAnsi" w:eastAsiaTheme="minorEastAsia" w:hAnsiTheme="minorHAnsi" w:cstheme="minorBidi"/>
          <w:szCs w:val="22"/>
        </w:rPr>
      </w:pPr>
      <w:r>
        <w:t>50.</w:t>
      </w:r>
      <w:r>
        <w:tab/>
        <w:t>Parts 7 and 8 deleted</w:t>
      </w:r>
      <w:r>
        <w:tab/>
      </w:r>
      <w:r>
        <w:fldChar w:fldCharType="begin"/>
      </w:r>
      <w:r>
        <w:instrText xml:space="preserve"> PAGEREF _Toc176259214 \h </w:instrText>
      </w:r>
      <w:r>
        <w:fldChar w:fldCharType="separate"/>
      </w:r>
      <w:r>
        <w:t>25</w:t>
      </w:r>
      <w:r>
        <w:fldChar w:fldCharType="end"/>
      </w:r>
    </w:p>
    <w:p>
      <w:pPr>
        <w:pStyle w:val="TOC8"/>
        <w:rPr>
          <w:rFonts w:asciiTheme="minorHAnsi" w:eastAsiaTheme="minorEastAsia" w:hAnsiTheme="minorHAnsi" w:cstheme="minorBidi"/>
          <w:szCs w:val="22"/>
        </w:rPr>
      </w:pPr>
      <w:r>
        <w:t>51.</w:t>
      </w:r>
      <w:r>
        <w:tab/>
        <w:t>Schedules deleted</w:t>
      </w:r>
      <w:r>
        <w:tab/>
      </w:r>
      <w:r>
        <w:fldChar w:fldCharType="begin"/>
      </w:r>
      <w:r>
        <w:instrText xml:space="preserve"> PAGEREF _Toc176259215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Economic Regulation Authority Act 2003</w:t>
      </w:r>
    </w:p>
    <w:p>
      <w:pPr>
        <w:pStyle w:val="TOC8"/>
        <w:rPr>
          <w:rFonts w:asciiTheme="minorHAnsi" w:eastAsiaTheme="minorEastAsia" w:hAnsiTheme="minorHAnsi" w:cstheme="minorBidi"/>
          <w:szCs w:val="22"/>
        </w:rPr>
      </w:pPr>
      <w:r>
        <w:t>52.</w:t>
      </w:r>
      <w:r>
        <w:tab/>
        <w:t>Act amended</w:t>
      </w:r>
      <w:r>
        <w:tab/>
      </w:r>
      <w:r>
        <w:fldChar w:fldCharType="begin"/>
      </w:r>
      <w:r>
        <w:instrText xml:space="preserve"> PAGEREF _Toc176259217 \h </w:instrText>
      </w:r>
      <w:r>
        <w:fldChar w:fldCharType="separate"/>
      </w:r>
      <w:r>
        <w:t>25</w:t>
      </w:r>
      <w:r>
        <w:fldChar w:fldCharType="end"/>
      </w:r>
    </w:p>
    <w:p>
      <w:pPr>
        <w:pStyle w:val="TOC8"/>
        <w:rPr>
          <w:rFonts w:asciiTheme="minorHAnsi" w:eastAsiaTheme="minorEastAsia" w:hAnsiTheme="minorHAnsi" w:cstheme="minorBidi"/>
          <w:szCs w:val="22"/>
        </w:rPr>
      </w:pPr>
      <w:r>
        <w:t>53.</w:t>
      </w:r>
      <w:r>
        <w:tab/>
        <w:t>Section 25 amended</w:t>
      </w:r>
      <w:r>
        <w:tab/>
      </w:r>
      <w:r>
        <w:fldChar w:fldCharType="begin"/>
      </w:r>
      <w:r>
        <w:instrText xml:space="preserve"> PAGEREF _Toc176259218 \h </w:instrText>
      </w:r>
      <w:r>
        <w:fldChar w:fldCharType="separate"/>
      </w:r>
      <w:r>
        <w:t>26</w:t>
      </w:r>
      <w:r>
        <w:fldChar w:fldCharType="end"/>
      </w:r>
    </w:p>
    <w:p>
      <w:pPr>
        <w:pStyle w:val="TOC8"/>
        <w:rPr>
          <w:rFonts w:asciiTheme="minorHAnsi" w:eastAsiaTheme="minorEastAsia" w:hAnsiTheme="minorHAnsi" w:cstheme="minorBidi"/>
          <w:szCs w:val="22"/>
        </w:rPr>
      </w:pPr>
      <w:r>
        <w:t>54.</w:t>
      </w:r>
      <w:r>
        <w:tab/>
        <w:t>Section 28 amended</w:t>
      </w:r>
      <w:r>
        <w:tab/>
      </w:r>
      <w:r>
        <w:fldChar w:fldCharType="begin"/>
      </w:r>
      <w:r>
        <w:instrText xml:space="preserve"> PAGEREF _Toc176259219 \h </w:instrText>
      </w:r>
      <w:r>
        <w:fldChar w:fldCharType="separate"/>
      </w:r>
      <w:r>
        <w:t>26</w:t>
      </w:r>
      <w:r>
        <w:fldChar w:fldCharType="end"/>
      </w:r>
    </w:p>
    <w:p>
      <w:pPr>
        <w:pStyle w:val="TOC8"/>
        <w:rPr>
          <w:rFonts w:asciiTheme="minorHAnsi" w:eastAsiaTheme="minorEastAsia" w:hAnsiTheme="minorHAnsi" w:cstheme="minorBidi"/>
          <w:szCs w:val="22"/>
        </w:rPr>
      </w:pPr>
      <w:r>
        <w:t>55.</w:t>
      </w:r>
      <w:r>
        <w:tab/>
        <w:t>Section 32 amended</w:t>
      </w:r>
      <w:r>
        <w:tab/>
      </w:r>
      <w:r>
        <w:fldChar w:fldCharType="begin"/>
      </w:r>
      <w:r>
        <w:instrText xml:space="preserve"> PAGEREF _Toc176259220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Electricity Industry Act 2004</w:t>
      </w:r>
    </w:p>
    <w:p>
      <w:pPr>
        <w:pStyle w:val="TOC8"/>
        <w:rPr>
          <w:rFonts w:asciiTheme="minorHAnsi" w:eastAsiaTheme="minorEastAsia" w:hAnsiTheme="minorHAnsi" w:cstheme="minorBidi"/>
          <w:szCs w:val="22"/>
        </w:rPr>
      </w:pPr>
      <w:r>
        <w:t>56.</w:t>
      </w:r>
      <w:r>
        <w:tab/>
        <w:t>Act amended</w:t>
      </w:r>
      <w:r>
        <w:tab/>
      </w:r>
      <w:r>
        <w:fldChar w:fldCharType="begin"/>
      </w:r>
      <w:r>
        <w:instrText xml:space="preserve"> PAGEREF _Toc176259222 \h </w:instrText>
      </w:r>
      <w:r>
        <w:fldChar w:fldCharType="separate"/>
      </w:r>
      <w:r>
        <w:t>27</w:t>
      </w:r>
      <w:r>
        <w:fldChar w:fldCharType="end"/>
      </w:r>
    </w:p>
    <w:p>
      <w:pPr>
        <w:pStyle w:val="TOC8"/>
        <w:rPr>
          <w:rFonts w:asciiTheme="minorHAnsi" w:eastAsiaTheme="minorEastAsia" w:hAnsiTheme="minorHAnsi" w:cstheme="minorBidi"/>
          <w:szCs w:val="22"/>
        </w:rPr>
      </w:pPr>
      <w:r>
        <w:t>57.</w:t>
      </w:r>
      <w:r>
        <w:tab/>
        <w:t>Section 3 amended</w:t>
      </w:r>
      <w:r>
        <w:tab/>
      </w:r>
      <w:r>
        <w:fldChar w:fldCharType="begin"/>
      </w:r>
      <w:r>
        <w:instrText xml:space="preserve"> PAGEREF _Toc176259223 \h </w:instrText>
      </w:r>
      <w:r>
        <w:fldChar w:fldCharType="separate"/>
      </w:r>
      <w:r>
        <w:t>27</w:t>
      </w:r>
      <w:r>
        <w:fldChar w:fldCharType="end"/>
      </w:r>
    </w:p>
    <w:p>
      <w:pPr>
        <w:pStyle w:val="TOC8"/>
        <w:rPr>
          <w:rFonts w:asciiTheme="minorHAnsi" w:eastAsiaTheme="minorEastAsia" w:hAnsiTheme="minorHAnsi" w:cstheme="minorBidi"/>
          <w:szCs w:val="22"/>
        </w:rPr>
      </w:pPr>
      <w:r>
        <w:t>58.</w:t>
      </w:r>
      <w:r>
        <w:tab/>
        <w:t>Section 113 deleted</w:t>
      </w:r>
      <w:r>
        <w:tab/>
      </w:r>
      <w:r>
        <w:fldChar w:fldCharType="begin"/>
      </w:r>
      <w:r>
        <w:instrText xml:space="preserve"> PAGEREF _Toc176259224 \h </w:instrText>
      </w:r>
      <w:r>
        <w:fldChar w:fldCharType="separate"/>
      </w:r>
      <w:r>
        <w:t>27</w:t>
      </w:r>
      <w:r>
        <w:fldChar w:fldCharType="end"/>
      </w:r>
    </w:p>
    <w:p>
      <w:pPr>
        <w:pStyle w:val="TOC8"/>
        <w:rPr>
          <w:rFonts w:asciiTheme="minorHAnsi" w:eastAsiaTheme="minorEastAsia" w:hAnsiTheme="minorHAnsi" w:cstheme="minorBidi"/>
          <w:szCs w:val="22"/>
        </w:rPr>
      </w:pPr>
      <w:r>
        <w:t>59.</w:t>
      </w:r>
      <w:r>
        <w:tab/>
        <w:t>Section 125 amended</w:t>
      </w:r>
      <w:r>
        <w:tab/>
      </w:r>
      <w:r>
        <w:fldChar w:fldCharType="begin"/>
      </w:r>
      <w:r>
        <w:instrText xml:space="preserve"> PAGEREF _Toc176259225 \h </w:instrText>
      </w:r>
      <w:r>
        <w:fldChar w:fldCharType="separate"/>
      </w:r>
      <w:r>
        <w:t>27</w:t>
      </w:r>
      <w:r>
        <w:fldChar w:fldCharType="end"/>
      </w:r>
    </w:p>
    <w:p>
      <w:pPr>
        <w:pStyle w:val="TOC8"/>
        <w:rPr>
          <w:rFonts w:asciiTheme="minorHAnsi" w:eastAsiaTheme="minorEastAsia" w:hAnsiTheme="minorHAnsi" w:cstheme="minorBidi"/>
          <w:szCs w:val="22"/>
        </w:rPr>
      </w:pPr>
      <w:r>
        <w:t>60.</w:t>
      </w:r>
      <w:r>
        <w:tab/>
        <w:t>Section 130 amended</w:t>
      </w:r>
      <w:r>
        <w:tab/>
      </w:r>
      <w:r>
        <w:fldChar w:fldCharType="begin"/>
      </w:r>
      <w:r>
        <w:instrText xml:space="preserve"> PAGEREF _Toc176259226 \h </w:instrText>
      </w:r>
      <w:r>
        <w:fldChar w:fldCharType="separate"/>
      </w:r>
      <w:r>
        <w:t>28</w:t>
      </w:r>
      <w:r>
        <w:fldChar w:fldCharType="end"/>
      </w:r>
    </w:p>
    <w:p>
      <w:pPr>
        <w:pStyle w:val="TOC8"/>
        <w:rPr>
          <w:rFonts w:asciiTheme="minorHAnsi" w:eastAsiaTheme="minorEastAsia" w:hAnsiTheme="minorHAnsi" w:cstheme="minorBidi"/>
          <w:szCs w:val="22"/>
        </w:rPr>
      </w:pPr>
      <w:r>
        <w:t>61.</w:t>
      </w:r>
      <w:r>
        <w:tab/>
        <w:t>Section 133 amended</w:t>
      </w:r>
      <w:r>
        <w:tab/>
      </w:r>
      <w:r>
        <w:fldChar w:fldCharType="begin"/>
      </w:r>
      <w:r>
        <w:instrText xml:space="preserve"> PAGEREF _Toc176259227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iCs/>
        </w:rPr>
        <w:t>Energy Coordination Act 1994</w:t>
      </w:r>
    </w:p>
    <w:p>
      <w:pPr>
        <w:pStyle w:val="TOC8"/>
        <w:rPr>
          <w:rFonts w:asciiTheme="minorHAnsi" w:eastAsiaTheme="minorEastAsia" w:hAnsiTheme="minorHAnsi" w:cstheme="minorBidi"/>
          <w:szCs w:val="22"/>
        </w:rPr>
      </w:pPr>
      <w:r>
        <w:t>62.</w:t>
      </w:r>
      <w:r>
        <w:tab/>
        <w:t>Act amended</w:t>
      </w:r>
      <w:r>
        <w:tab/>
      </w:r>
      <w:r>
        <w:fldChar w:fldCharType="begin"/>
      </w:r>
      <w:r>
        <w:instrText xml:space="preserve"> PAGEREF _Toc176259229 \h </w:instrText>
      </w:r>
      <w:r>
        <w:fldChar w:fldCharType="separate"/>
      </w:r>
      <w:r>
        <w:t>29</w:t>
      </w:r>
      <w:r>
        <w:fldChar w:fldCharType="end"/>
      </w:r>
    </w:p>
    <w:p>
      <w:pPr>
        <w:pStyle w:val="TOC8"/>
        <w:rPr>
          <w:rFonts w:asciiTheme="minorHAnsi" w:eastAsiaTheme="minorEastAsia" w:hAnsiTheme="minorHAnsi" w:cstheme="minorBidi"/>
          <w:szCs w:val="22"/>
        </w:rPr>
      </w:pPr>
      <w:r>
        <w:lastRenderedPageBreak/>
        <w:t>63.</w:t>
      </w:r>
      <w:r>
        <w:tab/>
        <w:t>Section 11J deleted</w:t>
      </w:r>
      <w:r>
        <w:tab/>
      </w:r>
      <w:r>
        <w:fldChar w:fldCharType="begin"/>
      </w:r>
      <w:r>
        <w:instrText xml:space="preserve"> PAGEREF _Toc176259230 \h </w:instrText>
      </w:r>
      <w:r>
        <w:fldChar w:fldCharType="separate"/>
      </w:r>
      <w:r>
        <w:t>29</w:t>
      </w:r>
      <w:r>
        <w:fldChar w:fldCharType="end"/>
      </w:r>
    </w:p>
    <w:p>
      <w:pPr>
        <w:pStyle w:val="TOC8"/>
        <w:rPr>
          <w:rFonts w:asciiTheme="minorHAnsi" w:eastAsiaTheme="minorEastAsia" w:hAnsiTheme="minorHAnsi" w:cstheme="minorBidi"/>
          <w:szCs w:val="22"/>
        </w:rPr>
      </w:pPr>
      <w:r>
        <w:t>64.</w:t>
      </w:r>
      <w:r>
        <w:tab/>
        <w:t>Section 11M amended</w:t>
      </w:r>
      <w:r>
        <w:tab/>
      </w:r>
      <w:r>
        <w:fldChar w:fldCharType="begin"/>
      </w:r>
      <w:r>
        <w:instrText xml:space="preserve"> PAGEREF _Toc176259231 \h </w:instrText>
      </w:r>
      <w:r>
        <w:fldChar w:fldCharType="separate"/>
      </w:r>
      <w:r>
        <w:t>29</w:t>
      </w:r>
      <w:r>
        <w:fldChar w:fldCharType="end"/>
      </w:r>
    </w:p>
    <w:p>
      <w:pPr>
        <w:pStyle w:val="TOC8"/>
        <w:rPr>
          <w:rFonts w:asciiTheme="minorHAnsi" w:eastAsiaTheme="minorEastAsia" w:hAnsiTheme="minorHAnsi" w:cstheme="minorBidi"/>
          <w:szCs w:val="22"/>
        </w:rPr>
      </w:pPr>
      <w:r>
        <w:t>65.</w:t>
      </w:r>
      <w:r>
        <w:tab/>
        <w:t>Section 11V amended</w:t>
      </w:r>
      <w:r>
        <w:tab/>
      </w:r>
      <w:r>
        <w:fldChar w:fldCharType="begin"/>
      </w:r>
      <w:r>
        <w:instrText xml:space="preserve"> PAGEREF _Toc176259232 \h </w:instrText>
      </w:r>
      <w:r>
        <w:fldChar w:fldCharType="separate"/>
      </w:r>
      <w:r>
        <w:t>29</w:t>
      </w:r>
      <w:r>
        <w:fldChar w:fldCharType="end"/>
      </w:r>
    </w:p>
    <w:p>
      <w:pPr>
        <w:pStyle w:val="TOC8"/>
        <w:rPr>
          <w:rFonts w:asciiTheme="minorHAnsi" w:eastAsiaTheme="minorEastAsia" w:hAnsiTheme="minorHAnsi" w:cstheme="minorBidi"/>
          <w:szCs w:val="22"/>
        </w:rPr>
      </w:pPr>
      <w:r>
        <w:t>66.</w:t>
      </w:r>
      <w:r>
        <w:tab/>
        <w:t>Section 11ZAC amended</w:t>
      </w:r>
      <w:r>
        <w:tab/>
      </w:r>
      <w:r>
        <w:fldChar w:fldCharType="begin"/>
      </w:r>
      <w:r>
        <w:instrText xml:space="preserve"> PAGEREF _Toc176259233 \h </w:instrText>
      </w:r>
      <w:r>
        <w:fldChar w:fldCharType="separate"/>
      </w:r>
      <w:r>
        <w:t>30</w:t>
      </w:r>
      <w:r>
        <w:fldChar w:fldCharType="end"/>
      </w:r>
    </w:p>
    <w:p>
      <w:pPr>
        <w:pStyle w:val="TOC8"/>
        <w:rPr>
          <w:rFonts w:asciiTheme="minorHAnsi" w:eastAsiaTheme="minorEastAsia" w:hAnsiTheme="minorHAnsi" w:cstheme="minorBidi"/>
          <w:szCs w:val="22"/>
        </w:rPr>
      </w:pPr>
      <w:r>
        <w:t>67.</w:t>
      </w:r>
      <w:r>
        <w:tab/>
        <w:t>Schedule 1A amended</w:t>
      </w:r>
      <w:r>
        <w:tab/>
      </w:r>
      <w:r>
        <w:fldChar w:fldCharType="begin"/>
      </w:r>
      <w:r>
        <w:instrText xml:space="preserve"> PAGEREF _Toc176259234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Cs/>
        </w:rPr>
        <w:t>Other Acts amended</w:t>
      </w:r>
    </w:p>
    <w:p>
      <w:pPr>
        <w:pStyle w:val="TOC8"/>
        <w:rPr>
          <w:rFonts w:asciiTheme="minorHAnsi" w:eastAsiaTheme="minorEastAsia" w:hAnsiTheme="minorHAnsi" w:cstheme="minorBidi"/>
          <w:szCs w:val="22"/>
        </w:rPr>
      </w:pPr>
      <w:r>
        <w:t>68.</w:t>
      </w:r>
      <w:r>
        <w:tab/>
      </w:r>
      <w:r>
        <w:rPr>
          <w:i/>
          <w:iCs/>
        </w:rPr>
        <w:t>Constitution Acts Amendment Act 1899 amended</w:t>
      </w:r>
      <w:r>
        <w:tab/>
      </w:r>
      <w:r>
        <w:fldChar w:fldCharType="begin"/>
      </w:r>
      <w:r>
        <w:instrText xml:space="preserve"> PAGEREF _Toc176259236 \h </w:instrText>
      </w:r>
      <w:r>
        <w:fldChar w:fldCharType="separate"/>
      </w:r>
      <w:r>
        <w:t>30</w:t>
      </w:r>
      <w:r>
        <w:fldChar w:fldCharType="end"/>
      </w:r>
    </w:p>
    <w:p>
      <w:pPr>
        <w:pStyle w:val="TOC8"/>
        <w:rPr>
          <w:rFonts w:asciiTheme="minorHAnsi" w:eastAsiaTheme="minorEastAsia" w:hAnsiTheme="minorHAnsi" w:cstheme="minorBidi"/>
          <w:szCs w:val="22"/>
        </w:rPr>
      </w:pPr>
      <w:r>
        <w:t>69.</w:t>
      </w:r>
      <w:r>
        <w:tab/>
      </w:r>
      <w:r>
        <w:rPr>
          <w:i/>
          <w:iCs/>
        </w:rPr>
        <w:t>Financial Management Act 2006 amended</w:t>
      </w:r>
      <w:r>
        <w:tab/>
      </w:r>
      <w:r>
        <w:fldChar w:fldCharType="begin"/>
      </w:r>
      <w:r>
        <w:instrText xml:space="preserve"> PAGEREF _Toc176259237 \h </w:instrText>
      </w:r>
      <w:r>
        <w:fldChar w:fldCharType="separate"/>
      </w:r>
      <w:r>
        <w:t>30</w:t>
      </w:r>
      <w:r>
        <w:fldChar w:fldCharType="end"/>
      </w:r>
    </w:p>
    <w:p>
      <w:pPr>
        <w:pStyle w:val="TOC8"/>
        <w:rPr>
          <w:rFonts w:asciiTheme="minorHAnsi" w:eastAsiaTheme="minorEastAsia" w:hAnsiTheme="minorHAnsi" w:cstheme="minorBidi"/>
          <w:szCs w:val="22"/>
        </w:rPr>
      </w:pPr>
      <w:r>
        <w:t>70.</w:t>
      </w:r>
      <w:r>
        <w:tab/>
      </w:r>
      <w:r>
        <w:rPr>
          <w:i/>
          <w:iCs/>
        </w:rPr>
        <w:t>Freedom of Information Act 1992 amended</w:t>
      </w:r>
      <w:r>
        <w:tab/>
      </w:r>
      <w:r>
        <w:fldChar w:fldCharType="begin"/>
      </w:r>
      <w:r>
        <w:instrText xml:space="preserve"> PAGEREF _Toc176259238 \h </w:instrText>
      </w:r>
      <w:r>
        <w:fldChar w:fldCharType="separate"/>
      </w:r>
      <w:r>
        <w:t>31</w:t>
      </w:r>
      <w:r>
        <w:fldChar w:fldCharType="end"/>
      </w:r>
    </w:p>
    <w:p>
      <w:pPr>
        <w:pStyle w:val="TOC8"/>
        <w:rPr>
          <w:rFonts w:asciiTheme="minorHAnsi" w:eastAsiaTheme="minorEastAsia" w:hAnsiTheme="minorHAnsi" w:cstheme="minorBidi"/>
          <w:szCs w:val="22"/>
        </w:rPr>
      </w:pPr>
      <w:r>
        <w:t>71.</w:t>
      </w:r>
      <w:r>
        <w:tab/>
      </w:r>
      <w:r>
        <w:rPr>
          <w:i/>
        </w:rPr>
        <w:t>Parliamentary Commissioner Act 1971</w:t>
      </w:r>
      <w:r>
        <w:rPr>
          <w:i/>
          <w:iCs/>
        </w:rPr>
        <w:t xml:space="preserve"> amended</w:t>
      </w:r>
      <w:r>
        <w:tab/>
      </w:r>
      <w:r>
        <w:fldChar w:fldCharType="begin"/>
      </w:r>
      <w:r>
        <w:instrText xml:space="preserve"> PAGEREF _Toc176259239 \h </w:instrText>
      </w:r>
      <w:r>
        <w:fldChar w:fldCharType="separate"/>
      </w:r>
      <w:r>
        <w:t>31</w:t>
      </w:r>
      <w:r>
        <w:fldChar w:fldCharType="end"/>
      </w:r>
    </w:p>
    <w:p>
      <w:pPr>
        <w:pStyle w:val="TOC8"/>
        <w:rPr>
          <w:rFonts w:asciiTheme="minorHAnsi" w:eastAsiaTheme="minorEastAsia" w:hAnsiTheme="minorHAnsi" w:cstheme="minorBidi"/>
          <w:szCs w:val="22"/>
        </w:rPr>
      </w:pPr>
      <w:r>
        <w:t>72.</w:t>
      </w:r>
      <w:r>
        <w:tab/>
      </w:r>
      <w:r>
        <w:rPr>
          <w:i/>
          <w:iCs/>
        </w:rPr>
        <w:t>Petroleum Pipelines Act 1969 amended</w:t>
      </w:r>
      <w:r>
        <w:tab/>
      </w:r>
      <w:r>
        <w:fldChar w:fldCharType="begin"/>
      </w:r>
      <w:r>
        <w:instrText xml:space="preserve"> PAGEREF _Toc176259240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Schedule 1 — Some modifications to National Gas Law as in Schedule to South Australian Act</w:t>
      </w:r>
    </w:p>
    <w:p>
      <w:pPr>
        <w:pStyle w:val="TOC8"/>
        <w:rPr>
          <w:rFonts w:asciiTheme="minorHAnsi" w:eastAsiaTheme="minorEastAsia" w:hAnsiTheme="minorHAnsi" w:cstheme="minorBidi"/>
          <w:szCs w:val="22"/>
        </w:rPr>
      </w:pPr>
      <w:r>
        <w:t>1.</w:t>
      </w:r>
      <w:r>
        <w:tab/>
        <w:t>Purpose of this Schedule</w:t>
      </w:r>
      <w:r>
        <w:tab/>
      </w:r>
      <w:r>
        <w:fldChar w:fldCharType="begin"/>
      </w:r>
      <w:r>
        <w:instrText xml:space="preserve"> PAGEREF _Toc176259242 \h </w:instrText>
      </w:r>
      <w:r>
        <w:fldChar w:fldCharType="separate"/>
      </w:r>
      <w:r>
        <w:t>33</w:t>
      </w:r>
      <w:r>
        <w:fldChar w:fldCharType="end"/>
      </w:r>
    </w:p>
    <w:p>
      <w:pPr>
        <w:pStyle w:val="TOC8"/>
        <w:rPr>
          <w:rFonts w:asciiTheme="minorHAnsi" w:eastAsiaTheme="minorEastAsia" w:hAnsiTheme="minorHAnsi" w:cstheme="minorBidi"/>
          <w:szCs w:val="22"/>
        </w:rPr>
      </w:pPr>
      <w:r>
        <w:t>2.</w:t>
      </w:r>
      <w:r>
        <w:tab/>
        <w:t>Section 1 modified</w:t>
      </w:r>
      <w:r>
        <w:tab/>
      </w:r>
      <w:r>
        <w:fldChar w:fldCharType="begin"/>
      </w:r>
      <w:r>
        <w:instrText xml:space="preserve"> PAGEREF _Toc176259243 \h </w:instrText>
      </w:r>
      <w:r>
        <w:fldChar w:fldCharType="separate"/>
      </w:r>
      <w:r>
        <w:t>33</w:t>
      </w:r>
      <w:r>
        <w:fldChar w:fldCharType="end"/>
      </w:r>
    </w:p>
    <w:p>
      <w:pPr>
        <w:pStyle w:val="TOC8"/>
        <w:rPr>
          <w:rFonts w:asciiTheme="minorHAnsi" w:eastAsiaTheme="minorEastAsia" w:hAnsiTheme="minorHAnsi" w:cstheme="minorBidi"/>
          <w:szCs w:val="22"/>
        </w:rPr>
      </w:pPr>
      <w:r>
        <w:t>3.</w:t>
      </w:r>
      <w:r>
        <w:tab/>
        <w:t>Section 2 modified</w:t>
      </w:r>
      <w:r>
        <w:tab/>
      </w:r>
      <w:r>
        <w:fldChar w:fldCharType="begin"/>
      </w:r>
      <w:r>
        <w:instrText xml:space="preserve"> PAGEREF _Toc176259244 \h </w:instrText>
      </w:r>
      <w:r>
        <w:fldChar w:fldCharType="separate"/>
      </w:r>
      <w:r>
        <w:t>33</w:t>
      </w:r>
      <w:r>
        <w:fldChar w:fldCharType="end"/>
      </w:r>
    </w:p>
    <w:p>
      <w:pPr>
        <w:pStyle w:val="TOC8"/>
        <w:rPr>
          <w:rFonts w:asciiTheme="minorHAnsi" w:eastAsiaTheme="minorEastAsia" w:hAnsiTheme="minorHAnsi" w:cstheme="minorBidi"/>
          <w:szCs w:val="22"/>
        </w:rPr>
      </w:pPr>
      <w:r>
        <w:t>4.</w:t>
      </w:r>
      <w:r>
        <w:tab/>
        <w:t>Sections 2A and 2B inserted</w:t>
      </w:r>
      <w:r>
        <w:tab/>
      </w:r>
      <w:r>
        <w:fldChar w:fldCharType="begin"/>
      </w:r>
      <w:r>
        <w:instrText xml:space="preserve"> PAGEREF _Toc176259245 \h </w:instrText>
      </w:r>
      <w:r>
        <w:fldChar w:fldCharType="separate"/>
      </w:r>
      <w:r>
        <w:t>35</w:t>
      </w:r>
      <w:r>
        <w:fldChar w:fldCharType="end"/>
      </w:r>
    </w:p>
    <w:p>
      <w:pPr>
        <w:pStyle w:val="TOC9"/>
        <w:rPr>
          <w:rFonts w:asciiTheme="minorHAnsi" w:eastAsiaTheme="minorEastAsia" w:hAnsiTheme="minorHAnsi" w:cstheme="minorBidi"/>
          <w:noProof/>
          <w:sz w:val="22"/>
          <w:szCs w:val="22"/>
        </w:rPr>
      </w:pPr>
      <w:r>
        <w:rPr>
          <w:noProof/>
        </w:rPr>
        <w:t>2A.</w:t>
      </w:r>
      <w:r>
        <w:rPr>
          <w:noProof/>
        </w:rPr>
        <w:tab/>
        <w:t>Meaning of AER modified</w:t>
      </w:r>
      <w:r>
        <w:rPr>
          <w:noProof/>
        </w:rPr>
        <w:tab/>
      </w:r>
      <w:r>
        <w:rPr>
          <w:noProof/>
        </w:rPr>
        <w:fldChar w:fldCharType="begin"/>
      </w:r>
      <w:r>
        <w:rPr>
          <w:noProof/>
        </w:rPr>
        <w:instrText xml:space="preserve"> PAGEREF _Toc176259246 \h </w:instrText>
      </w:r>
      <w:r>
        <w:rPr>
          <w:noProof/>
        </w:rPr>
      </w:r>
      <w:r>
        <w:rPr>
          <w:noProof/>
        </w:rPr>
        <w:fldChar w:fldCharType="separate"/>
      </w:r>
      <w:r>
        <w:rPr>
          <w:noProof/>
        </w:rPr>
        <w:t>35</w:t>
      </w:r>
      <w:r>
        <w:rPr>
          <w:noProof/>
        </w:rPr>
        <w:fldChar w:fldCharType="end"/>
      </w:r>
    </w:p>
    <w:p>
      <w:pPr>
        <w:pStyle w:val="TOC9"/>
        <w:rPr>
          <w:rFonts w:asciiTheme="minorHAnsi" w:eastAsiaTheme="minorEastAsia" w:hAnsiTheme="minorHAnsi" w:cstheme="minorBidi"/>
          <w:noProof/>
          <w:sz w:val="22"/>
          <w:szCs w:val="22"/>
        </w:rPr>
      </w:pPr>
      <w:r>
        <w:rPr>
          <w:noProof/>
        </w:rPr>
        <w:t>2B.</w:t>
      </w:r>
      <w:r>
        <w:rPr>
          <w:noProof/>
        </w:rPr>
        <w:tab/>
        <w:t>References to WA application Act</w:t>
      </w:r>
      <w:r>
        <w:rPr>
          <w:noProof/>
        </w:rPr>
        <w:tab/>
      </w:r>
      <w:r>
        <w:rPr>
          <w:noProof/>
        </w:rPr>
        <w:fldChar w:fldCharType="begin"/>
      </w:r>
      <w:r>
        <w:rPr>
          <w:noProof/>
        </w:rPr>
        <w:instrText xml:space="preserve"> PAGEREF _Toc176259247 \h </w:instrText>
      </w:r>
      <w:r>
        <w:rPr>
          <w:noProof/>
        </w:rPr>
      </w:r>
      <w:r>
        <w:rPr>
          <w:noProof/>
        </w:rPr>
        <w:fldChar w:fldCharType="separate"/>
      </w:r>
      <w:r>
        <w:rPr>
          <w:noProof/>
        </w:rPr>
        <w:t>35</w:t>
      </w:r>
      <w:r>
        <w:rPr>
          <w:noProof/>
        </w:rPr>
        <w:fldChar w:fldCharType="end"/>
      </w:r>
    </w:p>
    <w:p>
      <w:pPr>
        <w:pStyle w:val="TOC8"/>
        <w:rPr>
          <w:rFonts w:asciiTheme="minorHAnsi" w:eastAsiaTheme="minorEastAsia" w:hAnsiTheme="minorHAnsi" w:cstheme="minorBidi"/>
          <w:szCs w:val="22"/>
        </w:rPr>
      </w:pPr>
      <w:r>
        <w:t>5.</w:t>
      </w:r>
      <w:r>
        <w:tab/>
        <w:t>Chapter 1 Part 1A inserted</w:t>
      </w:r>
      <w:r>
        <w:tab/>
      </w:r>
      <w:r>
        <w:fldChar w:fldCharType="begin"/>
      </w:r>
      <w:r>
        <w:instrText xml:space="preserve"> PAGEREF _Toc176259248 \h </w:instrText>
      </w:r>
      <w:r>
        <w:fldChar w:fldCharType="separate"/>
      </w:r>
      <w:r>
        <w:t>36</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Postponement of Natural Gas Services Bulletin Board provisions</w:t>
      </w:r>
    </w:p>
    <w:p>
      <w:pPr>
        <w:pStyle w:val="TOC9"/>
        <w:rPr>
          <w:rFonts w:asciiTheme="minorHAnsi" w:eastAsiaTheme="minorEastAsia" w:hAnsiTheme="minorHAnsi" w:cstheme="minorBidi"/>
          <w:noProof/>
          <w:sz w:val="22"/>
          <w:szCs w:val="22"/>
        </w:rPr>
      </w:pPr>
      <w:r>
        <w:rPr>
          <w:noProof/>
        </w:rPr>
        <w:t>20A.</w:t>
      </w:r>
      <w:r>
        <w:rPr>
          <w:noProof/>
        </w:rPr>
        <w:tab/>
        <w:t>Minister may fix day on which provisions apply</w:t>
      </w:r>
      <w:r>
        <w:rPr>
          <w:noProof/>
        </w:rPr>
        <w:tab/>
      </w:r>
      <w:r>
        <w:rPr>
          <w:noProof/>
        </w:rPr>
        <w:fldChar w:fldCharType="begin"/>
      </w:r>
      <w:r>
        <w:rPr>
          <w:noProof/>
        </w:rPr>
        <w:instrText xml:space="preserve"> PAGEREF _Toc176259250 \h </w:instrText>
      </w:r>
      <w:r>
        <w:rPr>
          <w:noProof/>
        </w:rPr>
      </w:r>
      <w:r>
        <w:rPr>
          <w:noProof/>
        </w:rPr>
        <w:fldChar w:fldCharType="separate"/>
      </w:r>
      <w:r>
        <w:rPr>
          <w:noProof/>
        </w:rPr>
        <w:t>36</w:t>
      </w:r>
      <w:r>
        <w:rPr>
          <w:noProof/>
        </w:rPr>
        <w:fldChar w:fldCharType="end"/>
      </w:r>
    </w:p>
    <w:p>
      <w:pPr>
        <w:pStyle w:val="TOC8"/>
        <w:rPr>
          <w:rFonts w:asciiTheme="minorHAnsi" w:eastAsiaTheme="minorEastAsia" w:hAnsiTheme="minorHAnsi" w:cstheme="minorBidi"/>
          <w:szCs w:val="22"/>
        </w:rPr>
      </w:pPr>
      <w:r>
        <w:t>5A.</w:t>
      </w:r>
      <w:r>
        <w:tab/>
        <w:t>Section 23A modified</w:t>
      </w:r>
      <w:r>
        <w:tab/>
      </w:r>
      <w:r>
        <w:fldChar w:fldCharType="begin"/>
      </w:r>
      <w:r>
        <w:instrText xml:space="preserve"> PAGEREF _Toc176259251 \h </w:instrText>
      </w:r>
      <w:r>
        <w:fldChar w:fldCharType="separate"/>
      </w:r>
      <w:r>
        <w:t>36</w:t>
      </w:r>
      <w:r>
        <w:fldChar w:fldCharType="end"/>
      </w:r>
    </w:p>
    <w:p>
      <w:pPr>
        <w:pStyle w:val="TOC8"/>
        <w:rPr>
          <w:rFonts w:asciiTheme="minorHAnsi" w:eastAsiaTheme="minorEastAsia" w:hAnsiTheme="minorHAnsi" w:cstheme="minorBidi"/>
          <w:szCs w:val="22"/>
        </w:rPr>
      </w:pPr>
      <w:r>
        <w:t>6.</w:t>
      </w:r>
      <w:r>
        <w:tab/>
        <w:t>Section 29 modified</w:t>
      </w:r>
      <w:r>
        <w:tab/>
      </w:r>
      <w:r>
        <w:fldChar w:fldCharType="begin"/>
      </w:r>
      <w:r>
        <w:instrText xml:space="preserve"> PAGEREF _Toc176259252 \h </w:instrText>
      </w:r>
      <w:r>
        <w:fldChar w:fldCharType="separate"/>
      </w:r>
      <w:r>
        <w:t>36</w:t>
      </w:r>
      <w:r>
        <w:fldChar w:fldCharType="end"/>
      </w:r>
    </w:p>
    <w:p>
      <w:pPr>
        <w:pStyle w:val="TOC8"/>
        <w:rPr>
          <w:rFonts w:asciiTheme="minorHAnsi" w:eastAsiaTheme="minorEastAsia" w:hAnsiTheme="minorHAnsi" w:cstheme="minorBidi"/>
          <w:szCs w:val="22"/>
        </w:rPr>
      </w:pPr>
      <w:r>
        <w:t>7.</w:t>
      </w:r>
      <w:r>
        <w:tab/>
        <w:t>Section 30 modified</w:t>
      </w:r>
      <w:r>
        <w:tab/>
      </w:r>
      <w:r>
        <w:fldChar w:fldCharType="begin"/>
      </w:r>
      <w:r>
        <w:instrText xml:space="preserve"> PAGEREF _Toc176259253 \h </w:instrText>
      </w:r>
      <w:r>
        <w:fldChar w:fldCharType="separate"/>
      </w:r>
      <w:r>
        <w:t>36</w:t>
      </w:r>
      <w:r>
        <w:fldChar w:fldCharType="end"/>
      </w:r>
    </w:p>
    <w:p>
      <w:pPr>
        <w:pStyle w:val="TOC8"/>
        <w:rPr>
          <w:rFonts w:asciiTheme="minorHAnsi" w:eastAsiaTheme="minorEastAsia" w:hAnsiTheme="minorHAnsi" w:cstheme="minorBidi"/>
          <w:szCs w:val="22"/>
        </w:rPr>
      </w:pPr>
      <w:r>
        <w:t>7A.</w:t>
      </w:r>
      <w:r>
        <w:tab/>
        <w:t>Section 30R deleted</w:t>
      </w:r>
      <w:r>
        <w:tab/>
      </w:r>
      <w:r>
        <w:fldChar w:fldCharType="begin"/>
      </w:r>
      <w:r>
        <w:instrText xml:space="preserve"> PAGEREF _Toc176259254 \h </w:instrText>
      </w:r>
      <w:r>
        <w:fldChar w:fldCharType="separate"/>
      </w:r>
      <w:r>
        <w:t>37</w:t>
      </w:r>
      <w:r>
        <w:fldChar w:fldCharType="end"/>
      </w:r>
    </w:p>
    <w:p>
      <w:pPr>
        <w:pStyle w:val="TOC8"/>
        <w:rPr>
          <w:rFonts w:asciiTheme="minorHAnsi" w:eastAsiaTheme="minorEastAsia" w:hAnsiTheme="minorHAnsi" w:cstheme="minorBidi"/>
          <w:szCs w:val="22"/>
        </w:rPr>
      </w:pPr>
      <w:r>
        <w:t>7B.</w:t>
      </w:r>
      <w:r>
        <w:tab/>
        <w:t>Section 42 modified</w:t>
      </w:r>
      <w:r>
        <w:tab/>
      </w:r>
      <w:r>
        <w:fldChar w:fldCharType="begin"/>
      </w:r>
      <w:r>
        <w:instrText xml:space="preserve"> PAGEREF _Toc176259255 \h </w:instrText>
      </w:r>
      <w:r>
        <w:fldChar w:fldCharType="separate"/>
      </w:r>
      <w:r>
        <w:t>37</w:t>
      </w:r>
      <w:r>
        <w:fldChar w:fldCharType="end"/>
      </w:r>
    </w:p>
    <w:p>
      <w:pPr>
        <w:pStyle w:val="TOC8"/>
        <w:rPr>
          <w:rFonts w:asciiTheme="minorHAnsi" w:eastAsiaTheme="minorEastAsia" w:hAnsiTheme="minorHAnsi" w:cstheme="minorBidi"/>
          <w:szCs w:val="22"/>
        </w:rPr>
      </w:pPr>
      <w:r>
        <w:t>8.</w:t>
      </w:r>
      <w:r>
        <w:tab/>
        <w:t>Chapter 2 Part 1A inserted</w:t>
      </w:r>
      <w:r>
        <w:tab/>
      </w:r>
      <w:r>
        <w:fldChar w:fldCharType="begin"/>
      </w:r>
      <w:r>
        <w:instrText xml:space="preserve"> PAGEREF _Toc176259256 \h </w:instrText>
      </w:r>
      <w:r>
        <w:fldChar w:fldCharType="separate"/>
      </w:r>
      <w:r>
        <w:t>38</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Functions and powers of WA arbitrator</w:t>
      </w:r>
    </w:p>
    <w:p>
      <w:pPr>
        <w:pStyle w:val="TOC9"/>
        <w:rPr>
          <w:rFonts w:asciiTheme="minorHAnsi" w:eastAsiaTheme="minorEastAsia" w:hAnsiTheme="minorHAnsi" w:cstheme="minorBidi"/>
          <w:noProof/>
          <w:sz w:val="22"/>
          <w:szCs w:val="22"/>
        </w:rPr>
      </w:pPr>
      <w:r>
        <w:rPr>
          <w:noProof/>
        </w:rPr>
        <w:t>68A.</w:t>
      </w:r>
      <w:r>
        <w:rPr>
          <w:noProof/>
        </w:rPr>
        <w:tab/>
        <w:t>Manner in which WA arbitrator must perform or exercise certain functions or powers</w:t>
      </w:r>
      <w:r>
        <w:rPr>
          <w:noProof/>
        </w:rPr>
        <w:tab/>
      </w:r>
      <w:r>
        <w:rPr>
          <w:noProof/>
        </w:rPr>
        <w:fldChar w:fldCharType="begin"/>
      </w:r>
      <w:r>
        <w:rPr>
          <w:noProof/>
        </w:rPr>
        <w:instrText xml:space="preserve"> PAGEREF _Toc176259258 \h </w:instrText>
      </w:r>
      <w:r>
        <w:rPr>
          <w:noProof/>
        </w:rPr>
      </w:r>
      <w:r>
        <w:rPr>
          <w:noProof/>
        </w:rPr>
        <w:fldChar w:fldCharType="separate"/>
      </w:r>
      <w:r>
        <w:rPr>
          <w:noProof/>
        </w:rPr>
        <w:t>38</w:t>
      </w:r>
      <w:r>
        <w:rPr>
          <w:noProof/>
        </w:rPr>
        <w:fldChar w:fldCharType="end"/>
      </w:r>
    </w:p>
    <w:p>
      <w:pPr>
        <w:pStyle w:val="TOC8"/>
        <w:rPr>
          <w:rFonts w:asciiTheme="minorHAnsi" w:eastAsiaTheme="minorEastAsia" w:hAnsiTheme="minorHAnsi" w:cstheme="minorBidi"/>
          <w:szCs w:val="22"/>
        </w:rPr>
      </w:pPr>
      <w:r>
        <w:t>9.</w:t>
      </w:r>
      <w:r>
        <w:tab/>
        <w:t>Section 181A inserted</w:t>
      </w:r>
      <w:r>
        <w:tab/>
      </w:r>
      <w:r>
        <w:fldChar w:fldCharType="begin"/>
      </w:r>
      <w:r>
        <w:instrText xml:space="preserve"> PAGEREF _Toc176259259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181A.</w:t>
      </w:r>
      <w:r>
        <w:rPr>
          <w:noProof/>
        </w:rPr>
        <w:tab/>
        <w:t>Providing information for certain disputes</w:t>
      </w:r>
      <w:r>
        <w:rPr>
          <w:noProof/>
        </w:rPr>
        <w:tab/>
      </w:r>
      <w:r>
        <w:rPr>
          <w:noProof/>
        </w:rPr>
        <w:fldChar w:fldCharType="begin"/>
      </w:r>
      <w:r>
        <w:rPr>
          <w:noProof/>
        </w:rPr>
        <w:instrText xml:space="preserve"> PAGEREF _Toc176259260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10.</w:t>
      </w:r>
      <w:r>
        <w:tab/>
        <w:t>Section 231 modified</w:t>
      </w:r>
      <w:r>
        <w:tab/>
      </w:r>
      <w:r>
        <w:fldChar w:fldCharType="begin"/>
      </w:r>
      <w:r>
        <w:instrText xml:space="preserve"> PAGEREF _Toc176259261 \h </w:instrText>
      </w:r>
      <w:r>
        <w:fldChar w:fldCharType="separate"/>
      </w:r>
      <w:r>
        <w:t>40</w:t>
      </w:r>
      <w:r>
        <w:fldChar w:fldCharType="end"/>
      </w:r>
    </w:p>
    <w:p>
      <w:pPr>
        <w:pStyle w:val="TOC8"/>
        <w:rPr>
          <w:rFonts w:asciiTheme="minorHAnsi" w:eastAsiaTheme="minorEastAsia" w:hAnsiTheme="minorHAnsi" w:cstheme="minorBidi"/>
          <w:szCs w:val="22"/>
        </w:rPr>
      </w:pPr>
      <w:r>
        <w:t>11.</w:t>
      </w:r>
      <w:r>
        <w:tab/>
        <w:t>Section 240 modified</w:t>
      </w:r>
      <w:r>
        <w:tab/>
      </w:r>
      <w:r>
        <w:fldChar w:fldCharType="begin"/>
      </w:r>
      <w:r>
        <w:instrText xml:space="preserve"> PAGEREF _Toc176259262 \h </w:instrText>
      </w:r>
      <w:r>
        <w:fldChar w:fldCharType="separate"/>
      </w:r>
      <w:r>
        <w:t>40</w:t>
      </w:r>
      <w:r>
        <w:fldChar w:fldCharType="end"/>
      </w:r>
    </w:p>
    <w:p>
      <w:pPr>
        <w:pStyle w:val="TOC8"/>
        <w:rPr>
          <w:rFonts w:asciiTheme="minorHAnsi" w:eastAsiaTheme="minorEastAsia" w:hAnsiTheme="minorHAnsi" w:cstheme="minorBidi"/>
          <w:szCs w:val="22"/>
        </w:rPr>
      </w:pPr>
      <w:r>
        <w:t>12.</w:t>
      </w:r>
      <w:r>
        <w:tab/>
        <w:t>Section 290 modified</w:t>
      </w:r>
      <w:r>
        <w:tab/>
      </w:r>
      <w:r>
        <w:fldChar w:fldCharType="begin"/>
      </w:r>
      <w:r>
        <w:instrText xml:space="preserve"> PAGEREF _Toc176259263 \h </w:instrText>
      </w:r>
      <w:r>
        <w:fldChar w:fldCharType="separate"/>
      </w:r>
      <w:r>
        <w:t>40</w:t>
      </w:r>
      <w:r>
        <w:fldChar w:fldCharType="end"/>
      </w:r>
    </w:p>
    <w:p>
      <w:pPr>
        <w:pStyle w:val="TOC8"/>
        <w:rPr>
          <w:rFonts w:asciiTheme="minorHAnsi" w:eastAsiaTheme="minorEastAsia" w:hAnsiTheme="minorHAnsi" w:cstheme="minorBidi"/>
          <w:szCs w:val="22"/>
        </w:rPr>
      </w:pPr>
      <w:r>
        <w:lastRenderedPageBreak/>
        <w:t>13.</w:t>
      </w:r>
      <w:r>
        <w:tab/>
        <w:t>Section 294 replaced</w:t>
      </w:r>
      <w:r>
        <w:tab/>
      </w:r>
      <w:r>
        <w:fldChar w:fldCharType="begin"/>
      </w:r>
      <w:r>
        <w:instrText xml:space="preserve"> PAGEREF _Toc176259264 \h </w:instrText>
      </w:r>
      <w:r>
        <w:fldChar w:fldCharType="separate"/>
      </w:r>
      <w:r>
        <w:t>41</w:t>
      </w:r>
      <w:r>
        <w:fldChar w:fldCharType="end"/>
      </w:r>
    </w:p>
    <w:p>
      <w:pPr>
        <w:pStyle w:val="TOC9"/>
        <w:rPr>
          <w:rFonts w:asciiTheme="minorHAnsi" w:eastAsiaTheme="minorEastAsia" w:hAnsiTheme="minorHAnsi" w:cstheme="minorBidi"/>
          <w:noProof/>
          <w:sz w:val="22"/>
          <w:szCs w:val="22"/>
        </w:rPr>
      </w:pPr>
      <w:r>
        <w:rPr>
          <w:noProof/>
        </w:rPr>
        <w:t>294.</w:t>
      </w:r>
      <w:r>
        <w:rPr>
          <w:noProof/>
        </w:rPr>
        <w:tab/>
        <w:t>Initial National Gas Rules for WA</w:t>
      </w:r>
      <w:r>
        <w:rPr>
          <w:noProof/>
        </w:rPr>
        <w:tab/>
      </w:r>
      <w:r>
        <w:rPr>
          <w:noProof/>
        </w:rPr>
        <w:fldChar w:fldCharType="begin"/>
      </w:r>
      <w:r>
        <w:rPr>
          <w:noProof/>
        </w:rPr>
        <w:instrText xml:space="preserve"> PAGEREF _Toc176259265 \h </w:instrText>
      </w:r>
      <w:r>
        <w:rPr>
          <w:noProof/>
        </w:rPr>
      </w:r>
      <w:r>
        <w:rPr>
          <w:noProof/>
        </w:rPr>
        <w:fldChar w:fldCharType="separate"/>
      </w:r>
      <w:r>
        <w:rPr>
          <w:noProof/>
        </w:rPr>
        <w:t>41</w:t>
      </w:r>
      <w:r>
        <w:rPr>
          <w:noProof/>
        </w:rPr>
        <w:fldChar w:fldCharType="end"/>
      </w:r>
    </w:p>
    <w:p>
      <w:pPr>
        <w:pStyle w:val="TOC8"/>
        <w:rPr>
          <w:rFonts w:asciiTheme="minorHAnsi" w:eastAsiaTheme="minorEastAsia" w:hAnsiTheme="minorHAnsi" w:cstheme="minorBidi"/>
          <w:szCs w:val="22"/>
        </w:rPr>
      </w:pPr>
      <w:r>
        <w:t>13A.</w:t>
      </w:r>
      <w:r>
        <w:tab/>
        <w:t>Section 294FC modified</w:t>
      </w:r>
      <w:r>
        <w:tab/>
      </w:r>
      <w:r>
        <w:fldChar w:fldCharType="begin"/>
      </w:r>
      <w:r>
        <w:instrText xml:space="preserve"> PAGEREF _Toc176259266 \h </w:instrText>
      </w:r>
      <w:r>
        <w:fldChar w:fldCharType="separate"/>
      </w:r>
      <w:r>
        <w:t>41</w:t>
      </w:r>
      <w:r>
        <w:fldChar w:fldCharType="end"/>
      </w:r>
    </w:p>
    <w:p>
      <w:pPr>
        <w:pStyle w:val="TOC8"/>
        <w:rPr>
          <w:rFonts w:asciiTheme="minorHAnsi" w:eastAsiaTheme="minorEastAsia" w:hAnsiTheme="minorHAnsi" w:cstheme="minorBidi"/>
          <w:szCs w:val="22"/>
        </w:rPr>
      </w:pPr>
      <w:r>
        <w:t>14.</w:t>
      </w:r>
      <w:r>
        <w:tab/>
        <w:t>Schedule 1 modified</w:t>
      </w:r>
      <w:r>
        <w:tab/>
      </w:r>
      <w:r>
        <w:fldChar w:fldCharType="begin"/>
      </w:r>
      <w:r>
        <w:instrText xml:space="preserve"> PAGEREF _Toc176259267 \h </w:instrText>
      </w:r>
      <w:r>
        <w:fldChar w:fldCharType="separate"/>
      </w:r>
      <w:r>
        <w:t>42</w:t>
      </w:r>
      <w:r>
        <w:fldChar w:fldCharType="end"/>
      </w:r>
    </w:p>
    <w:p>
      <w:pPr>
        <w:pStyle w:val="TOC8"/>
        <w:rPr>
          <w:rFonts w:asciiTheme="minorHAnsi" w:eastAsiaTheme="minorEastAsia" w:hAnsiTheme="minorHAnsi" w:cstheme="minorBidi"/>
          <w:szCs w:val="22"/>
        </w:rPr>
      </w:pPr>
      <w:r>
        <w:t>15.</w:t>
      </w:r>
      <w:r>
        <w:tab/>
        <w:t>Schedule 2 clause 27A inserted</w:t>
      </w:r>
      <w:r>
        <w:tab/>
      </w:r>
      <w:r>
        <w:fldChar w:fldCharType="begin"/>
      </w:r>
      <w:r>
        <w:instrText xml:space="preserve"> PAGEREF _Toc176259268 \h </w:instrText>
      </w:r>
      <w:r>
        <w:fldChar w:fldCharType="separate"/>
      </w:r>
      <w:r>
        <w:t>42</w:t>
      </w:r>
      <w:r>
        <w:fldChar w:fldCharType="end"/>
      </w:r>
    </w:p>
    <w:p>
      <w:pPr>
        <w:pStyle w:val="TOC9"/>
        <w:rPr>
          <w:rFonts w:asciiTheme="minorHAnsi" w:eastAsiaTheme="minorEastAsia" w:hAnsiTheme="minorHAnsi" w:cstheme="minorBidi"/>
          <w:noProof/>
          <w:sz w:val="22"/>
          <w:szCs w:val="22"/>
        </w:rPr>
      </w:pPr>
      <w:r>
        <w:rPr>
          <w:noProof/>
        </w:rPr>
        <w:t>27A.</w:t>
      </w:r>
      <w:r>
        <w:rPr>
          <w:noProof/>
        </w:rPr>
        <w:tab/>
        <w:t>WA modifications of clause 27</w:t>
      </w:r>
      <w:r>
        <w:rPr>
          <w:noProof/>
        </w:rPr>
        <w:tab/>
      </w:r>
      <w:r>
        <w:rPr>
          <w:noProof/>
        </w:rPr>
        <w:fldChar w:fldCharType="begin"/>
      </w:r>
      <w:r>
        <w:rPr>
          <w:noProof/>
        </w:rPr>
        <w:instrText xml:space="preserve"> PAGEREF _Toc176259269 \h </w:instrText>
      </w:r>
      <w:r>
        <w:rPr>
          <w:noProof/>
        </w:rPr>
      </w:r>
      <w:r>
        <w:rPr>
          <w:noProof/>
        </w:rPr>
        <w:fldChar w:fldCharType="separate"/>
      </w:r>
      <w:r>
        <w:rPr>
          <w:noProof/>
        </w:rPr>
        <w:t>42</w:t>
      </w:r>
      <w:r>
        <w:rPr>
          <w:noProof/>
        </w:rPr>
        <w:fldChar w:fldCharType="end"/>
      </w:r>
    </w:p>
    <w:p>
      <w:pPr>
        <w:pStyle w:val="TOC8"/>
        <w:rPr>
          <w:rFonts w:asciiTheme="minorHAnsi" w:eastAsiaTheme="minorEastAsia" w:hAnsiTheme="minorHAnsi" w:cstheme="minorBidi"/>
          <w:szCs w:val="22"/>
        </w:rPr>
      </w:pPr>
      <w:r>
        <w:t>16.</w:t>
      </w:r>
      <w:r>
        <w:tab/>
        <w:t>Schedule 2 clause 34 modified</w:t>
      </w:r>
      <w:r>
        <w:tab/>
      </w:r>
      <w:r>
        <w:fldChar w:fldCharType="begin"/>
      </w:r>
      <w:r>
        <w:instrText xml:space="preserve"> PAGEREF _Toc176259270 \h </w:instrText>
      </w:r>
      <w:r>
        <w:fldChar w:fldCharType="separate"/>
      </w:r>
      <w:r>
        <w:t>43</w:t>
      </w:r>
      <w:r>
        <w:fldChar w:fldCharType="end"/>
      </w:r>
    </w:p>
    <w:p>
      <w:pPr>
        <w:pStyle w:val="TOC8"/>
        <w:rPr>
          <w:rFonts w:asciiTheme="minorHAnsi" w:eastAsiaTheme="minorEastAsia" w:hAnsiTheme="minorHAnsi" w:cstheme="minorBidi"/>
          <w:szCs w:val="22"/>
        </w:rPr>
      </w:pPr>
      <w:r>
        <w:t>16A.</w:t>
      </w:r>
      <w:r>
        <w:tab/>
        <w:t>Schedule 2 clause 47A modified</w:t>
      </w:r>
      <w:r>
        <w:tab/>
      </w:r>
      <w:r>
        <w:fldChar w:fldCharType="begin"/>
      </w:r>
      <w:r>
        <w:instrText xml:space="preserve"> PAGEREF _Toc176259271 \h </w:instrText>
      </w:r>
      <w:r>
        <w:fldChar w:fldCharType="separate"/>
      </w:r>
      <w:r>
        <w:t>44</w:t>
      </w:r>
      <w:r>
        <w:fldChar w:fldCharType="end"/>
      </w:r>
    </w:p>
    <w:p>
      <w:pPr>
        <w:pStyle w:val="TOC8"/>
        <w:rPr>
          <w:rFonts w:asciiTheme="minorHAnsi" w:eastAsiaTheme="minorEastAsia" w:hAnsiTheme="minorHAnsi" w:cstheme="minorBidi"/>
          <w:szCs w:val="22"/>
        </w:rPr>
      </w:pPr>
      <w:r>
        <w:t>16B.</w:t>
      </w:r>
      <w:r>
        <w:tab/>
        <w:t>Schedule 2 clause 47B modified</w:t>
      </w:r>
      <w:r>
        <w:tab/>
      </w:r>
      <w:r>
        <w:fldChar w:fldCharType="begin"/>
      </w:r>
      <w:r>
        <w:instrText xml:space="preserve"> PAGEREF _Toc176259272 \h </w:instrText>
      </w:r>
      <w:r>
        <w:fldChar w:fldCharType="separate"/>
      </w:r>
      <w:r>
        <w:t>44</w:t>
      </w:r>
      <w:r>
        <w:fldChar w:fldCharType="end"/>
      </w:r>
    </w:p>
    <w:p>
      <w:pPr>
        <w:pStyle w:val="TOC8"/>
        <w:rPr>
          <w:rFonts w:asciiTheme="minorHAnsi" w:eastAsiaTheme="minorEastAsia" w:hAnsiTheme="minorHAnsi" w:cstheme="minorBidi"/>
          <w:szCs w:val="22"/>
        </w:rPr>
      </w:pPr>
      <w:r>
        <w:t>17.</w:t>
      </w:r>
      <w:r>
        <w:tab/>
        <w:t>Schedule 2 clause 50 replaced</w:t>
      </w:r>
      <w:r>
        <w:tab/>
      </w:r>
      <w:r>
        <w:fldChar w:fldCharType="begin"/>
      </w:r>
      <w:r>
        <w:instrText xml:space="preserve"> PAGEREF _Toc176259273 \h </w:instrText>
      </w:r>
      <w:r>
        <w:fldChar w:fldCharType="separate"/>
      </w:r>
      <w:r>
        <w:t>44</w:t>
      </w:r>
      <w:r>
        <w:fldChar w:fldCharType="end"/>
      </w:r>
    </w:p>
    <w:p>
      <w:pPr>
        <w:pStyle w:val="TOC9"/>
        <w:rPr>
          <w:rFonts w:asciiTheme="minorHAnsi" w:eastAsiaTheme="minorEastAsia" w:hAnsiTheme="minorHAnsi" w:cstheme="minorBidi"/>
          <w:noProof/>
          <w:sz w:val="22"/>
          <w:szCs w:val="22"/>
        </w:rPr>
      </w:pPr>
      <w:r>
        <w:rPr>
          <w:noProof/>
        </w:rPr>
        <w:t>50.</w:t>
      </w:r>
      <w:r>
        <w:rPr>
          <w:noProof/>
        </w:rPr>
        <w:tab/>
        <w:t>Attempts and incitement</w:t>
      </w:r>
      <w:r>
        <w:rPr>
          <w:noProof/>
        </w:rPr>
        <w:tab/>
      </w:r>
      <w:r>
        <w:rPr>
          <w:noProof/>
        </w:rPr>
        <w:fldChar w:fldCharType="begin"/>
      </w:r>
      <w:r>
        <w:rPr>
          <w:noProof/>
        </w:rPr>
        <w:instrText xml:space="preserve"> PAGEREF _Toc176259274 \h </w:instrText>
      </w:r>
      <w:r>
        <w:rPr>
          <w:noProof/>
        </w:rPr>
      </w:r>
      <w:r>
        <w:rPr>
          <w:noProof/>
        </w:rPr>
        <w:fldChar w:fldCharType="separate"/>
      </w:r>
      <w:r>
        <w:rPr>
          <w:noProof/>
        </w:rPr>
        <w:t>44</w:t>
      </w:r>
      <w:r>
        <w:rPr>
          <w:noProof/>
        </w:rPr>
        <w:fldChar w:fldCharType="end"/>
      </w:r>
    </w:p>
    <w:p>
      <w:pPr>
        <w:pStyle w:val="TOC8"/>
        <w:rPr>
          <w:rFonts w:asciiTheme="minorHAnsi" w:eastAsiaTheme="minorEastAsia" w:hAnsiTheme="minorHAnsi" w:cstheme="minorBidi"/>
          <w:szCs w:val="22"/>
        </w:rPr>
      </w:pPr>
      <w:r>
        <w:t>17A.</w:t>
      </w:r>
      <w:r>
        <w:tab/>
        <w:t>Schedule 2 clause 51 modified</w:t>
      </w:r>
      <w:r>
        <w:tab/>
      </w:r>
      <w:r>
        <w:fldChar w:fldCharType="begin"/>
      </w:r>
      <w:r>
        <w:instrText xml:space="preserve"> PAGEREF _Toc176259275 \h </w:instrText>
      </w:r>
      <w:r>
        <w:fldChar w:fldCharType="separate"/>
      </w:r>
      <w:r>
        <w:t>44</w:t>
      </w:r>
      <w:r>
        <w:fldChar w:fldCharType="end"/>
      </w:r>
    </w:p>
    <w:p>
      <w:pPr>
        <w:pStyle w:val="TOC8"/>
        <w:rPr>
          <w:rFonts w:asciiTheme="minorHAnsi" w:eastAsiaTheme="minorEastAsia" w:hAnsiTheme="minorHAnsi" w:cstheme="minorBidi"/>
          <w:szCs w:val="22"/>
        </w:rPr>
      </w:pPr>
      <w:r>
        <w:t>18.</w:t>
      </w:r>
      <w:r>
        <w:tab/>
        <w:t>Schedule 3 modified</w:t>
      </w:r>
      <w:r>
        <w:tab/>
      </w:r>
      <w:r>
        <w:fldChar w:fldCharType="begin"/>
      </w:r>
      <w:r>
        <w:instrText xml:space="preserve"> PAGEREF _Toc176259276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Notes about </w:t>
      </w:r>
      <w:r>
        <w:rPr>
          <w:i/>
          <w:iCs/>
        </w:rPr>
        <w:t>National Gas Access (WA) Act 2009</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_Toc176259278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Note — Western Australian National Gas Access Law text</w:t>
      </w:r>
    </w:p>
    <w:p>
      <w:pPr>
        <w:pStyle w:val="TOC2"/>
        <w:tabs>
          <w:tab w:val="right" w:leader="dot" w:pos="7077"/>
        </w:tabs>
        <w:rPr>
          <w:rFonts w:asciiTheme="minorHAnsi" w:eastAsiaTheme="minorEastAsia" w:hAnsiTheme="minorHAnsi" w:cstheme="minorBidi"/>
          <w:b w:val="0"/>
          <w:sz w:val="22"/>
          <w:szCs w:val="22"/>
        </w:rPr>
      </w:pP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_Toc176259282 \h </w:instrText>
      </w:r>
      <w:r>
        <w:fldChar w:fldCharType="separate"/>
      </w:r>
      <w:r>
        <w:t>51</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_Toc176259283 \h </w:instrText>
      </w:r>
      <w:r>
        <w:fldChar w:fldCharType="separate"/>
      </w:r>
      <w:r>
        <w:t>51</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_Toc176259284 \h </w:instrText>
      </w:r>
      <w:r>
        <w:fldChar w:fldCharType="separate"/>
      </w:r>
      <w:r>
        <w:t>72</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_Toc176259285 \h </w:instrText>
      </w:r>
      <w:r>
        <w:fldChar w:fldCharType="separate"/>
      </w:r>
      <w:r>
        <w:t>73</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_Toc176259286 \h </w:instrText>
      </w:r>
      <w:r>
        <w:fldChar w:fldCharType="separate"/>
      </w:r>
      <w:r>
        <w:t>73</w:t>
      </w:r>
      <w:r>
        <w:fldChar w:fldCharType="end"/>
      </w:r>
    </w:p>
    <w:p>
      <w:pPr>
        <w:pStyle w:val="TOC8"/>
        <w:rPr>
          <w:rFonts w:asciiTheme="minorHAnsi" w:eastAsiaTheme="minorEastAsia" w:hAnsiTheme="minorHAnsi" w:cstheme="minorBidi"/>
          <w:szCs w:val="22"/>
        </w:rPr>
      </w:pPr>
      <w:r>
        <w:t>3A.</w:t>
      </w:r>
      <w:r>
        <w:tab/>
        <w:t>Civil penalty amounts for breaches of civil penalty provisions</w:t>
      </w:r>
      <w:r>
        <w:tab/>
      </w:r>
      <w:r>
        <w:fldChar w:fldCharType="begin"/>
      </w:r>
      <w:r>
        <w:instrText xml:space="preserve"> PAGEREF _Toc176259287 \h </w:instrText>
      </w:r>
      <w:r>
        <w:fldChar w:fldCharType="separate"/>
      </w:r>
      <w:r>
        <w:t>74</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_Toc176259288 \h </w:instrText>
      </w:r>
      <w:r>
        <w:fldChar w:fldCharType="separate"/>
      </w:r>
      <w:r>
        <w:t>76</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_Toc176259289 \h </w:instrText>
      </w:r>
      <w:r>
        <w:fldChar w:fldCharType="separate"/>
      </w:r>
      <w:r>
        <w:t>77</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_Toc176259290 \h </w:instrText>
      </w:r>
      <w:r>
        <w:fldChar w:fldCharType="separate"/>
      </w:r>
      <w:r>
        <w:t>77</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_Toc176259291 \h </w:instrText>
      </w:r>
      <w:r>
        <w:fldChar w:fldCharType="separate"/>
      </w:r>
      <w:r>
        <w:t>79</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_Toc176259292 \h </w:instrText>
      </w:r>
      <w:r>
        <w:fldChar w:fldCharType="separate"/>
      </w:r>
      <w:r>
        <w:t>79</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_Toc176259293 \h </w:instrText>
      </w:r>
      <w:r>
        <w:fldChar w:fldCharType="separate"/>
      </w:r>
      <w:r>
        <w:t>80</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_Toc176259294 \h </w:instrText>
      </w:r>
      <w:r>
        <w:fldChar w:fldCharType="separate"/>
      </w:r>
      <w:r>
        <w:t>80</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_Toc176259295 \h </w:instrText>
      </w:r>
      <w:r>
        <w:fldChar w:fldCharType="separate"/>
      </w:r>
      <w:r>
        <w:t>81</w:t>
      </w:r>
      <w:r>
        <w:fldChar w:fldCharType="end"/>
      </w:r>
    </w:p>
    <w:p>
      <w:pPr>
        <w:pStyle w:val="TOC8"/>
        <w:rPr>
          <w:rFonts w:asciiTheme="minorHAnsi" w:eastAsiaTheme="minorEastAsia" w:hAnsiTheme="minorHAnsi" w:cstheme="minorBidi"/>
          <w:szCs w:val="22"/>
        </w:rPr>
      </w:pPr>
      <w:r>
        <w:lastRenderedPageBreak/>
        <w:t>12</w:t>
      </w:r>
      <w:r>
        <w:rPr>
          <w:bCs/>
        </w:rPr>
        <w:t>.</w:t>
      </w:r>
      <w:r>
        <w:rPr>
          <w:bCs/>
        </w:rPr>
        <w:tab/>
      </w:r>
      <w:r>
        <w:t>Commissioning of a pipeline</w:t>
      </w:r>
      <w:r>
        <w:tab/>
      </w:r>
      <w:r>
        <w:fldChar w:fldCharType="begin"/>
      </w:r>
      <w:r>
        <w:instrText xml:space="preserve"> PAGEREF _Toc176259296 \h </w:instrText>
      </w:r>
      <w:r>
        <w:fldChar w:fldCharType="separate"/>
      </w:r>
      <w:r>
        <w:t>81</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_Toc176259297 \h </w:instrText>
      </w:r>
      <w:r>
        <w:fldChar w:fldCharType="separate"/>
      </w:r>
      <w:r>
        <w:t>82</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_Toc176259298 \h </w:instrText>
      </w:r>
      <w:r>
        <w:fldChar w:fldCharType="separate"/>
      </w:r>
      <w:r>
        <w:t>83</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_Toc176259299 \h </w:instrText>
      </w:r>
      <w:r>
        <w:fldChar w:fldCharType="separate"/>
      </w:r>
      <w:r>
        <w:t>83</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_Toc176259300 \h </w:instrText>
      </w:r>
      <w:r>
        <w:fldChar w:fldCharType="separate"/>
      </w:r>
      <w:r>
        <w:t>84</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_Toc176259301 \h </w:instrText>
      </w:r>
      <w:r>
        <w:fldChar w:fldCharType="separate"/>
      </w:r>
      <w:r>
        <w:t>85</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_Toc176259302 \h </w:instrText>
      </w:r>
      <w:r>
        <w:fldChar w:fldCharType="separate"/>
      </w:r>
      <w:r>
        <w:t>86</w:t>
      </w:r>
      <w:r>
        <w:fldChar w:fldCharType="end"/>
      </w:r>
    </w:p>
    <w:p>
      <w:pPr>
        <w:pStyle w:val="TOC8"/>
        <w:rPr>
          <w:rFonts w:asciiTheme="minorHAnsi" w:eastAsiaTheme="minorEastAsia" w:hAnsiTheme="minorHAnsi" w:cstheme="minorBidi"/>
          <w:szCs w:val="22"/>
        </w:rPr>
      </w:pPr>
      <w:r>
        <w:t>19</w:t>
      </w:r>
      <w:r>
        <w:rPr>
          <w:bCs/>
        </w:rPr>
        <w:t>.</w:t>
      </w:r>
      <w:r>
        <w:rPr>
          <w:bCs/>
        </w:rPr>
        <w:tab/>
      </w:r>
      <w:r>
        <w:t>Expansions of and extensions to covered pipeline by which light regulation services are provided</w:t>
      </w:r>
      <w:r>
        <w:tab/>
      </w:r>
      <w:r>
        <w:fldChar w:fldCharType="begin"/>
      </w:r>
      <w:r>
        <w:instrText xml:space="preserve"> PAGEREF _Toc176259303 \h </w:instrText>
      </w:r>
      <w:r>
        <w:fldChar w:fldCharType="separate"/>
      </w:r>
      <w:r>
        <w:t>86</w:t>
      </w:r>
      <w:r>
        <w:fldChar w:fldCharType="end"/>
      </w:r>
    </w:p>
    <w:p>
      <w:pPr>
        <w:pStyle w:val="TOC8"/>
        <w:rPr>
          <w:rFonts w:asciiTheme="minorHAnsi" w:eastAsiaTheme="minorEastAsia" w:hAnsiTheme="minorHAnsi" w:cstheme="minorBidi"/>
          <w:szCs w:val="22"/>
        </w:rPr>
      </w:pPr>
      <w:r>
        <w:t>19A.</w:t>
      </w:r>
      <w:r>
        <w:tab/>
        <w:t>Related bodies corporate</w:t>
      </w:r>
      <w:r>
        <w:tab/>
      </w:r>
      <w:r>
        <w:fldChar w:fldCharType="begin"/>
      </w:r>
      <w:r>
        <w:instrText xml:space="preserve"> PAGEREF _Toc176259304 \h </w:instrText>
      </w:r>
      <w:r>
        <w:fldChar w:fldCharType="separate"/>
      </w:r>
      <w:r>
        <w:t>86</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_Toc176259305 \h </w:instrText>
      </w:r>
      <w:r>
        <w:fldChar w:fldCharType="separate"/>
      </w:r>
      <w:r>
        <w:t>86</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_Toc176259307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_Toc176259309 \h </w:instrText>
      </w:r>
      <w:r>
        <w:fldChar w:fldCharType="separate"/>
      </w:r>
      <w:r>
        <w:t>87</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_Toc176259310 \h </w:instrText>
      </w:r>
      <w:r>
        <w:fldChar w:fldCharType="separate"/>
      </w:r>
      <w:r>
        <w:t>87</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_Toc176259313 \h </w:instrText>
      </w:r>
      <w:r>
        <w:fldChar w:fldCharType="separate"/>
      </w:r>
      <w:r>
        <w:t>88</w:t>
      </w:r>
      <w:r>
        <w:fldChar w:fldCharType="end"/>
      </w:r>
    </w:p>
    <w:p>
      <w:pPr>
        <w:pStyle w:val="TOC8"/>
        <w:rPr>
          <w:rFonts w:asciiTheme="minorHAnsi" w:eastAsiaTheme="minorEastAsia" w:hAnsiTheme="minorHAnsi" w:cstheme="minorBidi"/>
          <w:szCs w:val="22"/>
        </w:rPr>
      </w:pPr>
      <w:r>
        <w:t>23A.</w:t>
      </w:r>
      <w:r>
        <w:tab/>
        <w:t>Regulations may prescribe matters for national gas objective</w:t>
      </w:r>
      <w:r>
        <w:tab/>
      </w:r>
      <w:r>
        <w:fldChar w:fldCharType="begin"/>
      </w:r>
      <w:r>
        <w:instrText xml:space="preserve"> PAGEREF _Toc176259314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_Toc176259316 \h </w:instrText>
      </w:r>
      <w:r>
        <w:fldChar w:fldCharType="separate"/>
      </w:r>
      <w:r>
        <w:t>89</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_Toc176259318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_Toc176259320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_Toc176259324 \h </w:instrText>
      </w:r>
      <w:r>
        <w:fldChar w:fldCharType="separate"/>
      </w:r>
      <w:r>
        <w:t>92</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_Toc176259325 \h </w:instrText>
      </w:r>
      <w:r>
        <w:fldChar w:fldCharType="separate"/>
      </w:r>
      <w:r>
        <w:t>93</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_Toc176259326 \h </w:instrText>
      </w:r>
      <w:r>
        <w:fldChar w:fldCharType="separate"/>
      </w:r>
      <w:r>
        <w:t>95</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_Toc176259327 \h </w:instrText>
      </w:r>
      <w:r>
        <w:fldChar w:fldCharType="separate"/>
      </w:r>
      <w:r>
        <w:t>96</w:t>
      </w:r>
      <w:r>
        <w:fldChar w:fldCharType="end"/>
      </w:r>
    </w:p>
    <w:p>
      <w:pPr>
        <w:pStyle w:val="TOC6"/>
        <w:tabs>
          <w:tab w:val="right" w:leader="dot" w:pos="7077"/>
        </w:tabs>
        <w:rPr>
          <w:rFonts w:asciiTheme="minorHAnsi" w:eastAsiaTheme="minorEastAsia" w:hAnsiTheme="minorHAnsi" w:cstheme="minorBidi"/>
          <w:b w:val="0"/>
          <w:sz w:val="22"/>
          <w:szCs w:val="22"/>
        </w:rPr>
      </w:pPr>
      <w:r>
        <w:t>Division 1A—Rate of return instrument</w:t>
      </w:r>
    </w:p>
    <w:p>
      <w:pPr>
        <w:pStyle w:val="TOC6"/>
        <w:tabs>
          <w:tab w:val="right" w:leader="dot" w:pos="7077"/>
        </w:tabs>
        <w:rPr>
          <w:rFonts w:asciiTheme="minorHAnsi" w:eastAsiaTheme="minorEastAsia" w:hAnsiTheme="minorHAnsi" w:cstheme="minorBidi"/>
          <w:b w:val="0"/>
          <w:sz w:val="22"/>
          <w:szCs w:val="22"/>
        </w:rPr>
      </w:pPr>
      <w:r>
        <w:t>Subdivision 1—Preliminary</w:t>
      </w:r>
    </w:p>
    <w:p>
      <w:pPr>
        <w:pStyle w:val="TOC8"/>
        <w:rPr>
          <w:rFonts w:asciiTheme="minorHAnsi" w:eastAsiaTheme="minorEastAsia" w:hAnsiTheme="minorHAnsi" w:cstheme="minorBidi"/>
          <w:szCs w:val="22"/>
        </w:rPr>
      </w:pPr>
      <w:r>
        <w:t>30A.</w:t>
      </w:r>
      <w:r>
        <w:tab/>
        <w:t>Definitions</w:t>
      </w:r>
      <w:r>
        <w:tab/>
      </w:r>
      <w:r>
        <w:fldChar w:fldCharType="begin"/>
      </w:r>
      <w:r>
        <w:instrText xml:space="preserve"> PAGEREF _Toc176259330 \h </w:instrText>
      </w:r>
      <w:r>
        <w:fldChar w:fldCharType="separate"/>
      </w:r>
      <w:r>
        <w:t>97</w:t>
      </w:r>
      <w:r>
        <w:fldChar w:fldCharType="end"/>
      </w:r>
    </w:p>
    <w:p>
      <w:pPr>
        <w:pStyle w:val="TOC8"/>
        <w:rPr>
          <w:rFonts w:asciiTheme="minorHAnsi" w:eastAsiaTheme="minorEastAsia" w:hAnsiTheme="minorHAnsi" w:cstheme="minorBidi"/>
          <w:szCs w:val="22"/>
        </w:rPr>
      </w:pPr>
      <w:r>
        <w:t>30B.</w:t>
      </w:r>
      <w:r>
        <w:tab/>
        <w:t>Rate of return instrument has force of law</w:t>
      </w:r>
      <w:r>
        <w:tab/>
      </w:r>
      <w:r>
        <w:fldChar w:fldCharType="begin"/>
      </w:r>
      <w:r>
        <w:instrText xml:space="preserve"> PAGEREF _Toc176259331 \h </w:instrText>
      </w:r>
      <w:r>
        <w:fldChar w:fldCharType="separate"/>
      </w:r>
      <w:r>
        <w:t>98</w:t>
      </w:r>
      <w:r>
        <w:fldChar w:fldCharType="end"/>
      </w:r>
    </w:p>
    <w:p>
      <w:pPr>
        <w:pStyle w:val="TOC8"/>
        <w:rPr>
          <w:rFonts w:asciiTheme="minorHAnsi" w:eastAsiaTheme="minorEastAsia" w:hAnsiTheme="minorHAnsi" w:cstheme="minorBidi"/>
          <w:szCs w:val="22"/>
        </w:rPr>
      </w:pPr>
      <w:r>
        <w:t>30C.</w:t>
      </w:r>
      <w:r>
        <w:tab/>
        <w:t>Rate of return instrument is binding on AER and covered pipeline service providers</w:t>
      </w:r>
      <w:r>
        <w:tab/>
      </w:r>
      <w:r>
        <w:fldChar w:fldCharType="begin"/>
      </w:r>
      <w:r>
        <w:instrText xml:space="preserve"> PAGEREF _Toc176259332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Subdivision 2—Requirement to make rate of return instrument</w:t>
      </w:r>
    </w:p>
    <w:p>
      <w:pPr>
        <w:pStyle w:val="TOC8"/>
        <w:rPr>
          <w:rFonts w:asciiTheme="minorHAnsi" w:eastAsiaTheme="minorEastAsia" w:hAnsiTheme="minorHAnsi" w:cstheme="minorBidi"/>
          <w:szCs w:val="22"/>
        </w:rPr>
      </w:pPr>
      <w:r>
        <w:t>30D.</w:t>
      </w:r>
      <w:r>
        <w:tab/>
        <w:t>AER to make rate of return instrument</w:t>
      </w:r>
      <w:r>
        <w:tab/>
      </w:r>
      <w:r>
        <w:fldChar w:fldCharType="begin"/>
      </w:r>
      <w:r>
        <w:instrText xml:space="preserve"> PAGEREF _Toc176259334 \h </w:instrText>
      </w:r>
      <w:r>
        <w:fldChar w:fldCharType="separate"/>
      </w:r>
      <w:r>
        <w:t>99</w:t>
      </w:r>
      <w:r>
        <w:fldChar w:fldCharType="end"/>
      </w:r>
    </w:p>
    <w:p>
      <w:pPr>
        <w:pStyle w:val="TOC8"/>
        <w:rPr>
          <w:rFonts w:asciiTheme="minorHAnsi" w:eastAsiaTheme="minorEastAsia" w:hAnsiTheme="minorHAnsi" w:cstheme="minorBidi"/>
          <w:szCs w:val="22"/>
        </w:rPr>
      </w:pPr>
      <w:r>
        <w:t>30E.</w:t>
      </w:r>
      <w:r>
        <w:tab/>
        <w:t>Content of rate of return instrument</w:t>
      </w:r>
      <w:r>
        <w:tab/>
      </w:r>
      <w:r>
        <w:fldChar w:fldCharType="begin"/>
      </w:r>
      <w:r>
        <w:instrText xml:space="preserve"> PAGEREF _Toc176259335 \h </w:instrText>
      </w:r>
      <w:r>
        <w:fldChar w:fldCharType="separate"/>
      </w:r>
      <w:r>
        <w:t>99</w:t>
      </w:r>
      <w:r>
        <w:fldChar w:fldCharType="end"/>
      </w:r>
    </w:p>
    <w:p>
      <w:pPr>
        <w:pStyle w:val="TOC6"/>
        <w:tabs>
          <w:tab w:val="right" w:leader="dot" w:pos="7077"/>
        </w:tabs>
        <w:rPr>
          <w:rFonts w:asciiTheme="minorHAnsi" w:eastAsiaTheme="minorEastAsia" w:hAnsiTheme="minorHAnsi" w:cstheme="minorBidi"/>
          <w:b w:val="0"/>
          <w:sz w:val="22"/>
          <w:szCs w:val="22"/>
        </w:rPr>
      </w:pPr>
      <w:r>
        <w:t>Subdivision 3—Consultation requirements</w:t>
      </w:r>
    </w:p>
    <w:p>
      <w:pPr>
        <w:pStyle w:val="TOC8"/>
        <w:rPr>
          <w:rFonts w:asciiTheme="minorHAnsi" w:eastAsiaTheme="minorEastAsia" w:hAnsiTheme="minorHAnsi" w:cstheme="minorBidi"/>
          <w:szCs w:val="22"/>
        </w:rPr>
      </w:pPr>
      <w:r>
        <w:t>30F.</w:t>
      </w:r>
      <w:r>
        <w:tab/>
        <w:t>Process for making rate of return instrument</w:t>
      </w:r>
      <w:r>
        <w:tab/>
      </w:r>
      <w:r>
        <w:fldChar w:fldCharType="begin"/>
      </w:r>
      <w:r>
        <w:instrText xml:space="preserve"> PAGEREF _Toc176259337 \h </w:instrText>
      </w:r>
      <w:r>
        <w:fldChar w:fldCharType="separate"/>
      </w:r>
      <w:r>
        <w:t>100</w:t>
      </w:r>
      <w:r>
        <w:fldChar w:fldCharType="end"/>
      </w:r>
    </w:p>
    <w:p>
      <w:pPr>
        <w:pStyle w:val="TOC8"/>
        <w:rPr>
          <w:rFonts w:asciiTheme="minorHAnsi" w:eastAsiaTheme="minorEastAsia" w:hAnsiTheme="minorHAnsi" w:cstheme="minorBidi"/>
          <w:szCs w:val="22"/>
        </w:rPr>
      </w:pPr>
      <w:r>
        <w:t>30G.</w:t>
      </w:r>
      <w:r>
        <w:tab/>
        <w:t>Other matters AER must have regard to in making instrument</w:t>
      </w:r>
      <w:r>
        <w:tab/>
      </w:r>
      <w:r>
        <w:fldChar w:fldCharType="begin"/>
      </w:r>
      <w:r>
        <w:instrText xml:space="preserve"> PAGEREF _Toc176259338 \h </w:instrText>
      </w:r>
      <w:r>
        <w:fldChar w:fldCharType="separate"/>
      </w:r>
      <w:r>
        <w:t>101</w:t>
      </w:r>
      <w:r>
        <w:fldChar w:fldCharType="end"/>
      </w:r>
    </w:p>
    <w:p>
      <w:pPr>
        <w:pStyle w:val="TOC8"/>
        <w:rPr>
          <w:rFonts w:asciiTheme="minorHAnsi" w:eastAsiaTheme="minorEastAsia" w:hAnsiTheme="minorHAnsi" w:cstheme="minorBidi"/>
          <w:szCs w:val="22"/>
        </w:rPr>
      </w:pPr>
      <w:r>
        <w:t>30H.</w:t>
      </w:r>
      <w:r>
        <w:tab/>
        <w:t>Requirements before publishing draft instrument</w:t>
      </w:r>
      <w:r>
        <w:tab/>
      </w:r>
      <w:r>
        <w:fldChar w:fldCharType="begin"/>
      </w:r>
      <w:r>
        <w:instrText xml:space="preserve"> PAGEREF _Toc176259339 \h </w:instrText>
      </w:r>
      <w:r>
        <w:fldChar w:fldCharType="separate"/>
      </w:r>
      <w:r>
        <w:t>101</w:t>
      </w:r>
      <w:r>
        <w:fldChar w:fldCharType="end"/>
      </w:r>
    </w:p>
    <w:p>
      <w:pPr>
        <w:pStyle w:val="TOC8"/>
        <w:rPr>
          <w:rFonts w:asciiTheme="minorHAnsi" w:eastAsiaTheme="minorEastAsia" w:hAnsiTheme="minorHAnsi" w:cstheme="minorBidi"/>
          <w:szCs w:val="22"/>
        </w:rPr>
      </w:pPr>
      <w:r>
        <w:t>30I.</w:t>
      </w:r>
      <w:r>
        <w:tab/>
        <w:t>Consumer reference group</w:t>
      </w:r>
      <w:r>
        <w:tab/>
      </w:r>
      <w:r>
        <w:fldChar w:fldCharType="begin"/>
      </w:r>
      <w:r>
        <w:instrText xml:space="preserve"> PAGEREF _Toc176259340 \h </w:instrText>
      </w:r>
      <w:r>
        <w:fldChar w:fldCharType="separate"/>
      </w:r>
      <w:r>
        <w:t>102</w:t>
      </w:r>
      <w:r>
        <w:fldChar w:fldCharType="end"/>
      </w:r>
    </w:p>
    <w:p>
      <w:pPr>
        <w:pStyle w:val="TOC8"/>
        <w:rPr>
          <w:rFonts w:asciiTheme="minorHAnsi" w:eastAsiaTheme="minorEastAsia" w:hAnsiTheme="minorHAnsi" w:cstheme="minorBidi"/>
          <w:szCs w:val="22"/>
        </w:rPr>
      </w:pPr>
      <w:r>
        <w:t>30J.</w:t>
      </w:r>
      <w:r>
        <w:tab/>
        <w:t>Publication of draft instrument and other information</w:t>
      </w:r>
      <w:r>
        <w:tab/>
      </w:r>
      <w:r>
        <w:fldChar w:fldCharType="begin"/>
      </w:r>
      <w:r>
        <w:instrText xml:space="preserve"> PAGEREF _Toc176259341 \h </w:instrText>
      </w:r>
      <w:r>
        <w:fldChar w:fldCharType="separate"/>
      </w:r>
      <w:r>
        <w:t>103</w:t>
      </w:r>
      <w:r>
        <w:fldChar w:fldCharType="end"/>
      </w:r>
    </w:p>
    <w:p>
      <w:pPr>
        <w:pStyle w:val="TOC8"/>
        <w:rPr>
          <w:rFonts w:asciiTheme="minorHAnsi" w:eastAsiaTheme="minorEastAsia" w:hAnsiTheme="minorHAnsi" w:cstheme="minorBidi"/>
          <w:szCs w:val="22"/>
        </w:rPr>
      </w:pPr>
      <w:r>
        <w:t>30K.</w:t>
      </w:r>
      <w:r>
        <w:tab/>
        <w:t>Report about draft instrument by independent panel</w:t>
      </w:r>
      <w:r>
        <w:tab/>
      </w:r>
      <w:r>
        <w:fldChar w:fldCharType="begin"/>
      </w:r>
      <w:r>
        <w:instrText xml:space="preserve"> PAGEREF _Toc176259342 \h </w:instrText>
      </w:r>
      <w:r>
        <w:fldChar w:fldCharType="separate"/>
      </w:r>
      <w:r>
        <w:t>104</w:t>
      </w:r>
      <w:r>
        <w:fldChar w:fldCharType="end"/>
      </w:r>
    </w:p>
    <w:p>
      <w:pPr>
        <w:pStyle w:val="TOC8"/>
        <w:rPr>
          <w:rFonts w:asciiTheme="minorHAnsi" w:eastAsiaTheme="minorEastAsia" w:hAnsiTheme="minorHAnsi" w:cstheme="minorBidi"/>
          <w:szCs w:val="22"/>
        </w:rPr>
      </w:pPr>
      <w:r>
        <w:t>30L.</w:t>
      </w:r>
      <w:r>
        <w:tab/>
        <w:t>Publication of explanatory information</w:t>
      </w:r>
      <w:r>
        <w:tab/>
      </w:r>
      <w:r>
        <w:fldChar w:fldCharType="begin"/>
      </w:r>
      <w:r>
        <w:instrText xml:space="preserve"> PAGEREF _Toc176259343 \h </w:instrText>
      </w:r>
      <w:r>
        <w:fldChar w:fldCharType="separate"/>
      </w:r>
      <w:r>
        <w:t>105</w:t>
      </w:r>
      <w:r>
        <w:fldChar w:fldCharType="end"/>
      </w:r>
    </w:p>
    <w:p>
      <w:pPr>
        <w:pStyle w:val="TOC8"/>
        <w:rPr>
          <w:rFonts w:asciiTheme="minorHAnsi" w:eastAsiaTheme="minorEastAsia" w:hAnsiTheme="minorHAnsi" w:cstheme="minorBidi"/>
          <w:szCs w:val="22"/>
        </w:rPr>
      </w:pPr>
      <w:r>
        <w:t>30M.</w:t>
      </w:r>
      <w:r>
        <w:tab/>
        <w:t>Failure to comply does not affect validity</w:t>
      </w:r>
      <w:r>
        <w:tab/>
      </w:r>
      <w:r>
        <w:fldChar w:fldCharType="begin"/>
      </w:r>
      <w:r>
        <w:instrText xml:space="preserve"> PAGEREF _Toc176259344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4—Publication, review and other matters</w:t>
      </w:r>
    </w:p>
    <w:p>
      <w:pPr>
        <w:pStyle w:val="TOC8"/>
        <w:rPr>
          <w:rFonts w:asciiTheme="minorHAnsi" w:eastAsiaTheme="minorEastAsia" w:hAnsiTheme="minorHAnsi" w:cstheme="minorBidi"/>
          <w:szCs w:val="22"/>
        </w:rPr>
      </w:pPr>
      <w:r>
        <w:t>30N.</w:t>
      </w:r>
      <w:r>
        <w:tab/>
        <w:t>Publication of rate of return instrument</w:t>
      </w:r>
      <w:r>
        <w:tab/>
      </w:r>
      <w:r>
        <w:fldChar w:fldCharType="begin"/>
      </w:r>
      <w:r>
        <w:instrText xml:space="preserve"> PAGEREF _Toc176259346 \h </w:instrText>
      </w:r>
      <w:r>
        <w:fldChar w:fldCharType="separate"/>
      </w:r>
      <w:r>
        <w:t>105</w:t>
      </w:r>
      <w:r>
        <w:fldChar w:fldCharType="end"/>
      </w:r>
    </w:p>
    <w:p>
      <w:pPr>
        <w:pStyle w:val="TOC8"/>
        <w:rPr>
          <w:rFonts w:asciiTheme="minorHAnsi" w:eastAsiaTheme="minorEastAsia" w:hAnsiTheme="minorHAnsi" w:cstheme="minorBidi"/>
          <w:szCs w:val="22"/>
        </w:rPr>
      </w:pPr>
      <w:r>
        <w:t>30O.</w:t>
      </w:r>
      <w:r>
        <w:tab/>
        <w:t>Commencement and duration of instrument</w:t>
      </w:r>
      <w:r>
        <w:tab/>
      </w:r>
      <w:r>
        <w:fldChar w:fldCharType="begin"/>
      </w:r>
      <w:r>
        <w:instrText xml:space="preserve"> PAGEREF _Toc176259347 \h </w:instrText>
      </w:r>
      <w:r>
        <w:fldChar w:fldCharType="separate"/>
      </w:r>
      <w:r>
        <w:t>106</w:t>
      </w:r>
      <w:r>
        <w:fldChar w:fldCharType="end"/>
      </w:r>
    </w:p>
    <w:p>
      <w:pPr>
        <w:pStyle w:val="TOC8"/>
        <w:rPr>
          <w:rFonts w:asciiTheme="minorHAnsi" w:eastAsiaTheme="minorEastAsia" w:hAnsiTheme="minorHAnsi" w:cstheme="minorBidi"/>
          <w:szCs w:val="22"/>
        </w:rPr>
      </w:pPr>
      <w:r>
        <w:t>30P.</w:t>
      </w:r>
      <w:r>
        <w:tab/>
        <w:t>Review and replacement of instrument</w:t>
      </w:r>
      <w:r>
        <w:tab/>
      </w:r>
      <w:r>
        <w:fldChar w:fldCharType="begin"/>
      </w:r>
      <w:r>
        <w:instrText xml:space="preserve"> PAGEREF _Toc176259348 \h </w:instrText>
      </w:r>
      <w:r>
        <w:fldChar w:fldCharType="separate"/>
      </w:r>
      <w:r>
        <w:t>106</w:t>
      </w:r>
      <w:r>
        <w:fldChar w:fldCharType="end"/>
      </w:r>
    </w:p>
    <w:p>
      <w:pPr>
        <w:pStyle w:val="TOC8"/>
        <w:rPr>
          <w:rFonts w:asciiTheme="minorHAnsi" w:eastAsiaTheme="minorEastAsia" w:hAnsiTheme="minorHAnsi" w:cstheme="minorBidi"/>
          <w:szCs w:val="22"/>
        </w:rPr>
      </w:pPr>
      <w:r>
        <w:t>30Q.</w:t>
      </w:r>
      <w:r>
        <w:tab/>
        <w:t>Application of instrument</w:t>
      </w:r>
      <w:r>
        <w:tab/>
      </w:r>
      <w:r>
        <w:fldChar w:fldCharType="begin"/>
      </w:r>
      <w:r>
        <w:instrText xml:space="preserve"> PAGEREF _Toc176259349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5—Confidentiality of information</w:t>
      </w:r>
    </w:p>
    <w:p>
      <w:pPr>
        <w:pStyle w:val="TOC8"/>
        <w:rPr>
          <w:rFonts w:asciiTheme="minorHAnsi" w:eastAsiaTheme="minorEastAsia" w:hAnsiTheme="minorHAnsi" w:cstheme="minorBidi"/>
          <w:szCs w:val="22"/>
        </w:rPr>
      </w:pPr>
      <w:r>
        <w:t>30S.</w:t>
      </w:r>
      <w:r>
        <w:tab/>
        <w:t>Confidentiality</w:t>
      </w:r>
      <w:r>
        <w:tab/>
      </w:r>
      <w:r>
        <w:fldChar w:fldCharType="begin"/>
      </w:r>
      <w:r>
        <w:instrText xml:space="preserve"> PAGEREF _Toc176259351 \h </w:instrText>
      </w:r>
      <w:r>
        <w:fldChar w:fldCharType="separate"/>
      </w:r>
      <w:r>
        <w:t>107</w:t>
      </w:r>
      <w:r>
        <w:fldChar w:fldCharType="end"/>
      </w:r>
    </w:p>
    <w:p>
      <w:pPr>
        <w:pStyle w:val="TOC8"/>
        <w:rPr>
          <w:rFonts w:asciiTheme="minorHAnsi" w:eastAsiaTheme="minorEastAsia" w:hAnsiTheme="minorHAnsi" w:cstheme="minorBidi"/>
          <w:szCs w:val="22"/>
        </w:rPr>
      </w:pPr>
      <w:r>
        <w:t>30T.</w:t>
      </w:r>
      <w:r>
        <w:tab/>
        <w:t>Disclosure of information given in confidence</w:t>
      </w:r>
      <w:r>
        <w:tab/>
      </w:r>
      <w:r>
        <w:fldChar w:fldCharType="begin"/>
      </w:r>
      <w:r>
        <w:instrText xml:space="preserve"> PAGEREF _Toc176259352 \h </w:instrText>
      </w:r>
      <w:r>
        <w:fldChar w:fldCharType="separate"/>
      </w:r>
      <w:r>
        <w:t>108</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_Toc176259354 \h </w:instrText>
      </w:r>
      <w:r>
        <w:fldChar w:fldCharType="separate"/>
      </w:r>
      <w:r>
        <w:t>109</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_Toc176259355 \h </w:instrText>
      </w:r>
      <w:r>
        <w:fldChar w:fldCharType="separate"/>
      </w:r>
      <w:r>
        <w:t>109</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_Toc176259356 \h </w:instrText>
      </w:r>
      <w:r>
        <w:fldChar w:fldCharType="separate"/>
      </w:r>
      <w:r>
        <w:t>109</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_Toc176259357 \h </w:instrText>
      </w:r>
      <w:r>
        <w:fldChar w:fldCharType="separate"/>
      </w:r>
      <w:r>
        <w:t>110</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_Toc176259358 \h </w:instrText>
      </w:r>
      <w:r>
        <w:fldChar w:fldCharType="separate"/>
      </w:r>
      <w:r>
        <w:t>110</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_Toc176259359 \h </w:instrText>
      </w:r>
      <w:r>
        <w:fldChar w:fldCharType="separate"/>
      </w:r>
      <w:r>
        <w:t>112</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_Toc176259360 \h </w:instrText>
      </w:r>
      <w:r>
        <w:fldChar w:fldCharType="separate"/>
      </w:r>
      <w:r>
        <w:t>112</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_Toc176259361 \h </w:instrText>
      </w:r>
      <w:r>
        <w:fldChar w:fldCharType="separate"/>
      </w:r>
      <w:r>
        <w:t>113</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_Toc176259362 \h </w:instrText>
      </w:r>
      <w:r>
        <w:fldChar w:fldCharType="separate"/>
      </w:r>
      <w:r>
        <w:t>113</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_Toc176259363 \h </w:instrText>
      </w:r>
      <w:r>
        <w:fldChar w:fldCharType="separate"/>
      </w:r>
      <w:r>
        <w:t>114</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_Toc176259364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_Toc176259366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_Toc176259369 \h </w:instrText>
      </w:r>
      <w:r>
        <w:fldChar w:fldCharType="separate"/>
      </w:r>
      <w:r>
        <w:t>122</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_Toc176259370 \h </w:instrText>
      </w:r>
      <w:r>
        <w:fldChar w:fldCharType="separate"/>
      </w:r>
      <w:r>
        <w:t>122</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_Toc176259371 \h </w:instrText>
      </w:r>
      <w:r>
        <w:fldChar w:fldCharType="separate"/>
      </w:r>
      <w:r>
        <w:t>123</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_Toc176259372 \h </w:instrText>
      </w:r>
      <w:r>
        <w:fldChar w:fldCharType="separate"/>
      </w:r>
      <w:r>
        <w:t>124</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_Toc176259373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_Toc176259375 \h </w:instrText>
      </w:r>
      <w:r>
        <w:fldChar w:fldCharType="separate"/>
      </w:r>
      <w:r>
        <w:t>124</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_Toc176259376 \h </w:instrText>
      </w:r>
      <w:r>
        <w:fldChar w:fldCharType="separate"/>
      </w:r>
      <w:r>
        <w:t>125</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_Toc176259377 \h </w:instrText>
      </w:r>
      <w:r>
        <w:fldChar w:fldCharType="separate"/>
      </w:r>
      <w:r>
        <w:t>127</w:t>
      </w:r>
      <w:r>
        <w:fldChar w:fldCharType="end"/>
      </w:r>
    </w:p>
    <w:p>
      <w:pPr>
        <w:pStyle w:val="TOC8"/>
        <w:rPr>
          <w:rFonts w:asciiTheme="minorHAnsi" w:eastAsiaTheme="minorEastAsia" w:hAnsiTheme="minorHAnsi" w:cstheme="minorBidi"/>
          <w:szCs w:val="22"/>
        </w:rPr>
      </w:pPr>
      <w:r>
        <w:lastRenderedPageBreak/>
        <w:t>51.</w:t>
      </w:r>
      <w:r>
        <w:tab/>
        <w:t>Publication requirements for general regulatory information orders</w:t>
      </w:r>
      <w:r>
        <w:tab/>
      </w:r>
      <w:r>
        <w:fldChar w:fldCharType="begin"/>
      </w:r>
      <w:r>
        <w:instrText xml:space="preserve"> PAGEREF _Toc176259378 \h </w:instrText>
      </w:r>
      <w:r>
        <w:fldChar w:fldCharType="separate"/>
      </w:r>
      <w:r>
        <w:t>127</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_Toc176259379 \h </w:instrText>
      </w:r>
      <w:r>
        <w:fldChar w:fldCharType="separate"/>
      </w:r>
      <w:r>
        <w:t>128</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_Toc176259381 \h </w:instrText>
      </w:r>
      <w:r>
        <w:fldChar w:fldCharType="separate"/>
      </w:r>
      <w:r>
        <w:t>129</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_Toc176259382 \h </w:instrText>
      </w:r>
      <w:r>
        <w:fldChar w:fldCharType="separate"/>
      </w:r>
      <w:r>
        <w:t>130</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_Toc176259383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_Toc176259385 \h </w:instrText>
      </w:r>
      <w:r>
        <w:fldChar w:fldCharType="separate"/>
      </w:r>
      <w:r>
        <w:t>132</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_Toc176259386 \h </w:instrText>
      </w:r>
      <w:r>
        <w:fldChar w:fldCharType="separate"/>
      </w:r>
      <w:r>
        <w:t>133</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_Toc176259387 \h </w:instrText>
      </w:r>
      <w:r>
        <w:fldChar w:fldCharType="separate"/>
      </w:r>
      <w:r>
        <w:t>133</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_Toc176259388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_Toc176259390 \h </w:instrText>
      </w:r>
      <w:r>
        <w:fldChar w:fldCharType="separate"/>
      </w:r>
      <w:r>
        <w:t>135</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_Toc176259391 \h </w:instrText>
      </w:r>
      <w:r>
        <w:fldChar w:fldCharType="separate"/>
      </w:r>
      <w:r>
        <w:t>135</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_Toc176259392 \h </w:instrText>
      </w:r>
      <w:r>
        <w:fldChar w:fldCharType="separate"/>
      </w:r>
      <w:r>
        <w:t>135</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_Toc176259393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_Toc176259395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_Toc176259397 \h </w:instrText>
      </w:r>
      <w:r>
        <w:fldChar w:fldCharType="separate"/>
      </w:r>
      <w:r>
        <w:t>138</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_Toc176259398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67.</w:t>
      </w:r>
      <w:r>
        <w:tab/>
        <w:t>AER to inform certain persons of decisions not to investigate breaches, institute proceedings or serve infringement notices</w:t>
      </w:r>
      <w:r>
        <w:tab/>
      </w:r>
      <w:r>
        <w:fldChar w:fldCharType="begin"/>
      </w:r>
      <w:r>
        <w:instrText xml:space="preserve"> PAGEREF _Toc176259399 \h </w:instrText>
      </w:r>
      <w:r>
        <w:fldChar w:fldCharType="separate"/>
      </w:r>
      <w:r>
        <w:t>138</w:t>
      </w:r>
      <w:r>
        <w:fldChar w:fldCharType="end"/>
      </w:r>
    </w:p>
    <w:p>
      <w:pPr>
        <w:pStyle w:val="TOC8"/>
        <w:rPr>
          <w:rFonts w:asciiTheme="minorHAnsi" w:eastAsiaTheme="minorEastAsia" w:hAnsiTheme="minorHAnsi" w:cstheme="minorBidi"/>
          <w:szCs w:val="22"/>
        </w:rPr>
      </w:pPr>
      <w:r>
        <w:t>68.</w:t>
      </w:r>
      <w:r>
        <w:tab/>
        <w:t>AER guidelines</w:t>
      </w:r>
      <w:r>
        <w:tab/>
      </w:r>
      <w:r>
        <w:fldChar w:fldCharType="begin"/>
      </w:r>
      <w:r>
        <w:instrText xml:space="preserve"> PAGEREF _Toc176259400 \h </w:instrText>
      </w:r>
      <w:r>
        <w:fldChar w:fldCharType="separate"/>
      </w:r>
      <w:r>
        <w:t>139</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_Toc176259401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_Toc176259403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_Toc176259406 \h </w:instrText>
      </w:r>
      <w:r>
        <w:fldChar w:fldCharType="separate"/>
      </w:r>
      <w:r>
        <w:t>142</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_Toc176259407 \h </w:instrText>
      </w:r>
      <w:r>
        <w:fldChar w:fldCharType="separate"/>
      </w:r>
      <w:r>
        <w:t>142</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_Toc176259408 \h </w:instrText>
      </w:r>
      <w:r>
        <w:fldChar w:fldCharType="separate"/>
      </w:r>
      <w:r>
        <w:t>142</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_Toc176259409 \h </w:instrText>
      </w:r>
      <w:r>
        <w:fldChar w:fldCharType="separate"/>
      </w:r>
      <w:r>
        <w:t>143</w:t>
      </w:r>
      <w:r>
        <w:fldChar w:fldCharType="end"/>
      </w:r>
    </w:p>
    <w:p>
      <w:pPr>
        <w:pStyle w:val="TOC8"/>
        <w:rPr>
          <w:rFonts w:asciiTheme="minorHAnsi" w:eastAsiaTheme="minorEastAsia" w:hAnsiTheme="minorHAnsi" w:cstheme="minorBidi"/>
          <w:szCs w:val="22"/>
        </w:rPr>
      </w:pPr>
      <w:r>
        <w:t>72A.</w:t>
      </w:r>
      <w:r>
        <w:tab/>
        <w:t>Targets statement for greenhouse gas emissions targets</w:t>
      </w:r>
      <w:r>
        <w:tab/>
      </w:r>
      <w:r>
        <w:fldChar w:fldCharType="begin"/>
      </w:r>
      <w:r>
        <w:instrText xml:space="preserve"> PAGEREF _Toc176259410 \h </w:instrText>
      </w:r>
      <w:r>
        <w:fldChar w:fldCharType="separate"/>
      </w:r>
      <w:r>
        <w:t>143</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_Toc176259411 \h </w:instrText>
      </w:r>
      <w:r>
        <w:fldChar w:fldCharType="separate"/>
      </w:r>
      <w:r>
        <w:t>144</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_Toc176259413 \h </w:instrText>
      </w:r>
      <w:r>
        <w:fldChar w:fldCharType="separate"/>
      </w:r>
      <w:r>
        <w:t>144</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_Toc176259414 \h </w:instrText>
      </w:r>
      <w:r>
        <w:fldChar w:fldCharType="separate"/>
      </w:r>
      <w:r>
        <w:t>147</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_Toc176259415 \h </w:instrText>
      </w:r>
      <w:r>
        <w:fldChar w:fldCharType="separate"/>
      </w:r>
      <w:r>
        <w:t>148</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_Toc176259416 \h </w:instrText>
      </w:r>
      <w:r>
        <w:fldChar w:fldCharType="separate"/>
      </w:r>
      <w:r>
        <w:t>148</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_Toc176259418 \h </w:instrText>
      </w:r>
      <w:r>
        <w:fldChar w:fldCharType="separate"/>
      </w:r>
      <w:r>
        <w:t>149</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_Toc176259420 \h </w:instrText>
      </w:r>
      <w:r>
        <w:fldChar w:fldCharType="separate"/>
      </w:r>
      <w:r>
        <w:t>149</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_Toc176259421 \h </w:instrText>
      </w:r>
      <w:r>
        <w:fldChar w:fldCharType="separate"/>
      </w:r>
      <w:r>
        <w:t>150</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_Toc176259422 \h </w:instrText>
      </w:r>
      <w:r>
        <w:fldChar w:fldCharType="separate"/>
      </w:r>
      <w:r>
        <w:t>151</w:t>
      </w:r>
      <w:r>
        <w:fldChar w:fldCharType="end"/>
      </w:r>
    </w:p>
    <w:p>
      <w:pPr>
        <w:pStyle w:val="TOC8"/>
        <w:rPr>
          <w:rFonts w:asciiTheme="minorHAnsi" w:eastAsiaTheme="minorEastAsia" w:hAnsiTheme="minorHAnsi" w:cstheme="minorBidi"/>
          <w:szCs w:val="22"/>
        </w:rPr>
      </w:pPr>
      <w:r>
        <w:lastRenderedPageBreak/>
        <w:t>82.</w:t>
      </w:r>
      <w:r>
        <w:tab/>
        <w:t>Conduct of MCE directed review</w:t>
      </w:r>
      <w:r>
        <w:tab/>
      </w:r>
      <w:r>
        <w:fldChar w:fldCharType="begin"/>
      </w:r>
      <w:r>
        <w:instrText xml:space="preserve"> PAGEREF _Toc176259423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_Toc176259425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_Toc176259427 \h </w:instrText>
      </w:r>
      <w:r>
        <w:fldChar w:fldCharType="separate"/>
      </w:r>
      <w:r>
        <w:t>152</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_Toc176259428 \h </w:instrText>
      </w:r>
      <w:r>
        <w:fldChar w:fldCharType="separate"/>
      </w:r>
      <w:r>
        <w:t>154</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_Toc176259429 \h </w:instrText>
      </w:r>
      <w:r>
        <w:fldChar w:fldCharType="separate"/>
      </w:r>
      <w:r>
        <w:t>155</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_Toc176259430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_Toc176259432 \h </w:instrText>
      </w:r>
      <w:r>
        <w:fldChar w:fldCharType="separate"/>
      </w:r>
      <w:r>
        <w:t>155</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_Toc176259433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_Toc176259435 \h </w:instrText>
      </w:r>
      <w:r>
        <w:fldChar w:fldCharType="separate"/>
      </w:r>
      <w:r>
        <w:t>156</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_Toc176259436 \h </w:instrText>
      </w:r>
      <w:r>
        <w:fldChar w:fldCharType="separate"/>
      </w:r>
      <w:r>
        <w:t>156</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_Toc176259438 \h </w:instrText>
      </w:r>
      <w:r>
        <w:fldChar w:fldCharType="separate"/>
      </w:r>
      <w:r>
        <w:t>158</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_Toc176259442 \h </w:instrText>
      </w:r>
      <w:r>
        <w:fldChar w:fldCharType="separate"/>
      </w:r>
      <w:r>
        <w:t>159</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_Toc176259443 \h </w:instrText>
      </w:r>
      <w:r>
        <w:fldChar w:fldCharType="separate"/>
      </w:r>
      <w:r>
        <w:t>159</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_Toc176259444 \h </w:instrText>
      </w:r>
      <w:r>
        <w:fldChar w:fldCharType="separate"/>
      </w:r>
      <w:r>
        <w:t>159</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_Toc176259445 \h </w:instrText>
      </w:r>
      <w:r>
        <w:fldChar w:fldCharType="separate"/>
      </w:r>
      <w:r>
        <w:t>160</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_Toc176259446 \h </w:instrText>
      </w:r>
      <w:r>
        <w:fldChar w:fldCharType="separate"/>
      </w:r>
      <w:r>
        <w:t>161</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_Toc176259447 \h </w:instrText>
      </w:r>
      <w:r>
        <w:fldChar w:fldCharType="separate"/>
      </w:r>
      <w:r>
        <w:t>161</w:t>
      </w:r>
      <w:r>
        <w:fldChar w:fldCharType="end"/>
      </w:r>
    </w:p>
    <w:p>
      <w:pPr>
        <w:pStyle w:val="TOC8"/>
        <w:rPr>
          <w:rFonts w:asciiTheme="minorHAnsi" w:eastAsiaTheme="minorEastAsia" w:hAnsiTheme="minorHAnsi" w:cstheme="minorBidi"/>
          <w:szCs w:val="22"/>
        </w:rPr>
      </w:pPr>
      <w:r>
        <w:lastRenderedPageBreak/>
        <w:t>98.</w:t>
      </w:r>
      <w:r>
        <w:tab/>
        <w:t>Initial classification decision to be made as part of recommendation</w:t>
      </w:r>
      <w:r>
        <w:tab/>
      </w:r>
      <w:r>
        <w:fldChar w:fldCharType="begin"/>
      </w:r>
      <w:r>
        <w:instrText xml:space="preserve"> PAGEREF _Toc176259448 \h </w:instrText>
      </w:r>
      <w:r>
        <w:fldChar w:fldCharType="separate"/>
      </w:r>
      <w:r>
        <w:t>162</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_Toc176259449 \h </w:instrText>
      </w:r>
      <w:r>
        <w:fldChar w:fldCharType="separate"/>
      </w:r>
      <w:r>
        <w:t>163</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_Toc176259450 \h </w:instrText>
      </w:r>
      <w:r>
        <w:fldChar w:fldCharType="separate"/>
      </w:r>
      <w:r>
        <w:t>164</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_Toc176259451 \h </w:instrText>
      </w:r>
      <w:r>
        <w:fldChar w:fldCharType="separate"/>
      </w:r>
      <w:r>
        <w:t>165</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_Toc176259453 \h </w:instrText>
      </w:r>
      <w:r>
        <w:fldChar w:fldCharType="separate"/>
      </w:r>
      <w:r>
        <w:t>165</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_Toc176259454 \h </w:instrText>
      </w:r>
      <w:r>
        <w:fldChar w:fldCharType="separate"/>
      </w:r>
      <w:r>
        <w:t>165</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_Toc176259455 \h </w:instrText>
      </w:r>
      <w:r>
        <w:fldChar w:fldCharType="separate"/>
      </w:r>
      <w:r>
        <w:t>166</w:t>
      </w:r>
      <w:r>
        <w:fldChar w:fldCharType="end"/>
      </w:r>
    </w:p>
    <w:p>
      <w:pPr>
        <w:pStyle w:val="TOC8"/>
        <w:rPr>
          <w:rFonts w:asciiTheme="minorHAnsi" w:eastAsiaTheme="minorEastAsia" w:hAnsiTheme="minorHAnsi" w:cstheme="minorBidi"/>
          <w:szCs w:val="22"/>
        </w:rPr>
      </w:pPr>
      <w:r>
        <w:t>105.</w:t>
      </w:r>
      <w:r>
        <w:tab/>
        <w:t>Principles governing the making of a coverage revocation recommendation</w:t>
      </w:r>
      <w:r>
        <w:tab/>
      </w:r>
      <w:r>
        <w:fldChar w:fldCharType="begin"/>
      </w:r>
      <w:r>
        <w:instrText xml:space="preserve"> PAGEREF _Toc176259456 \h </w:instrText>
      </w:r>
      <w:r>
        <w:fldChar w:fldCharType="separate"/>
      </w:r>
      <w:r>
        <w:t>167</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_Toc176259457 \h </w:instrText>
      </w:r>
      <w:r>
        <w:fldChar w:fldCharType="separate"/>
      </w:r>
      <w:r>
        <w:t>167</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_Toc176259458 \h </w:instrText>
      </w:r>
      <w:r>
        <w:fldChar w:fldCharType="separate"/>
      </w:r>
      <w:r>
        <w:t>168</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_Toc176259459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_Toc176259463 \h </w:instrText>
      </w:r>
      <w:r>
        <w:fldChar w:fldCharType="separate"/>
      </w:r>
      <w:r>
        <w:t>170</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_Toc176259464 \h </w:instrText>
      </w:r>
      <w:r>
        <w:fldChar w:fldCharType="separate"/>
      </w:r>
      <w:r>
        <w:t>170</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_Toc176259466 \h </w:instrText>
      </w:r>
      <w:r>
        <w:fldChar w:fldCharType="separate"/>
      </w:r>
      <w:r>
        <w:t>171</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_Toc176259467 \h </w:instrText>
      </w:r>
      <w:r>
        <w:fldChar w:fldCharType="separate"/>
      </w:r>
      <w:r>
        <w:t>171</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_Toc176259468 \h </w:instrText>
      </w:r>
      <w:r>
        <w:fldChar w:fldCharType="separate"/>
      </w:r>
      <w:r>
        <w:t>171</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_Toc176259469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_Toc176259471 \h </w:instrText>
      </w:r>
      <w:r>
        <w:fldChar w:fldCharType="separate"/>
      </w:r>
      <w:r>
        <w:t>172</w:t>
      </w:r>
      <w:r>
        <w:fldChar w:fldCharType="end"/>
      </w:r>
    </w:p>
    <w:p>
      <w:pPr>
        <w:pStyle w:val="TOC8"/>
        <w:rPr>
          <w:rFonts w:asciiTheme="minorHAnsi" w:eastAsiaTheme="minorEastAsia" w:hAnsiTheme="minorHAnsi" w:cstheme="minorBidi"/>
          <w:szCs w:val="22"/>
        </w:rPr>
      </w:pPr>
      <w:r>
        <w:lastRenderedPageBreak/>
        <w:t>116.</w:t>
      </w:r>
      <w:r>
        <w:tab/>
        <w:t>Submission of limited access arrangement for light regulation services</w:t>
      </w:r>
      <w:r>
        <w:tab/>
      </w:r>
      <w:r>
        <w:fldChar w:fldCharType="begin"/>
      </w:r>
      <w:r>
        <w:instrText xml:space="preserve"> PAGEREF _Toc176259472 \h </w:instrText>
      </w:r>
      <w:r>
        <w:fldChar w:fldCharType="separate"/>
      </w:r>
      <w:r>
        <w:t>173</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_Toc176259475 \h </w:instrText>
      </w:r>
      <w:r>
        <w:fldChar w:fldCharType="separate"/>
      </w:r>
      <w:r>
        <w:t>174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_Toc176259477 \h </w:instrText>
      </w:r>
      <w:r>
        <w:fldChar w:fldCharType="separate"/>
      </w:r>
      <w:r>
        <w:t>175</w:t>
      </w:r>
      <w:r>
        <w:fldChar w:fldCharType="end"/>
      </w:r>
    </w:p>
    <w:p>
      <w:pPr>
        <w:pStyle w:val="TOC8"/>
        <w:rPr>
          <w:rFonts w:asciiTheme="minorHAnsi" w:eastAsiaTheme="minorEastAsia" w:hAnsiTheme="minorHAnsi" w:cstheme="minorBidi"/>
          <w:szCs w:val="22"/>
        </w:rPr>
      </w:pPr>
      <w:r>
        <w:t>119.</w:t>
      </w:r>
      <w:r>
        <w:tab/>
        <w:t>Decisions on applications made around time of applications for coverage revocation determinations</w:t>
      </w:r>
      <w:r>
        <w:tab/>
      </w:r>
      <w:r>
        <w:fldChar w:fldCharType="begin"/>
      </w:r>
      <w:r>
        <w:instrText xml:space="preserve"> PAGEREF _Toc176259478 \h </w:instrText>
      </w:r>
      <w:r>
        <w:fldChar w:fldCharType="separate"/>
      </w:r>
      <w:r>
        <w:t>175</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_Toc176259479 \h </w:instrText>
      </w:r>
      <w:r>
        <w:fldChar w:fldCharType="separate"/>
      </w:r>
      <w:r>
        <w:t>176</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_Toc176259480 \h </w:instrText>
      </w:r>
      <w:r>
        <w:fldChar w:fldCharType="separate"/>
      </w:r>
      <w:r>
        <w:t>177</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_Toc176259482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_Toc176259484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_Toc176259486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_Toc176259488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_Toc176259490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_Toc176259492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_Toc176259494 \h </w:instrText>
      </w:r>
      <w:r>
        <w:fldChar w:fldCharType="separate"/>
      </w:r>
      <w:r>
        <w:t>183</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_Toc176259495 \h </w:instrText>
      </w:r>
      <w:r>
        <w:fldChar w:fldCharType="separate"/>
      </w:r>
      <w:r>
        <w:t>183</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_Toc176259496 \h </w:instrText>
      </w:r>
      <w:r>
        <w:fldChar w:fldCharType="separate"/>
      </w:r>
      <w:r>
        <w:t>184</w:t>
      </w:r>
      <w:r>
        <w:fldChar w:fldCharType="end"/>
      </w:r>
    </w:p>
    <w:p>
      <w:pPr>
        <w:pStyle w:val="TOC2"/>
        <w:tabs>
          <w:tab w:val="right" w:leader="dot" w:pos="7077"/>
        </w:tabs>
        <w:rPr>
          <w:rFonts w:asciiTheme="minorHAnsi" w:eastAsiaTheme="minorEastAsia" w:hAnsiTheme="minorHAnsi" w:cstheme="minorBidi"/>
          <w:b w:val="0"/>
          <w:sz w:val="22"/>
          <w:szCs w:val="22"/>
        </w:rPr>
      </w:pPr>
      <w:r>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_Toc176259499 \h </w:instrText>
      </w:r>
      <w:r>
        <w:fldChar w:fldCharType="separate"/>
      </w:r>
      <w:r>
        <w:t>185</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_Toc176259500 \h </w:instrText>
      </w:r>
      <w:r>
        <w:fldChar w:fldCharType="separate"/>
      </w:r>
      <w:r>
        <w:t>185</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_Toc176259501 \h </w:instrText>
      </w:r>
      <w:r>
        <w:fldChar w:fldCharType="separate"/>
      </w:r>
      <w:r>
        <w:t>186</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_Toc176259502 \h </w:instrText>
      </w:r>
      <w:r>
        <w:fldChar w:fldCharType="separate"/>
      </w:r>
      <w:r>
        <w:t>188</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_Toc176259503 \h </w:instrText>
      </w:r>
      <w:r>
        <w:fldChar w:fldCharType="separate"/>
      </w:r>
      <w:r>
        <w:t>189</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_Toc176259504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_Toc176259507 \h </w:instrText>
      </w:r>
      <w:r>
        <w:fldChar w:fldCharType="separate"/>
      </w:r>
      <w:r>
        <w:t>189</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_Toc176259508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_Toc176259510 \h </w:instrText>
      </w:r>
      <w:r>
        <w:fldChar w:fldCharType="separate"/>
      </w:r>
      <w:r>
        <w:t>191</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_Toc176259511 \h </w:instrText>
      </w:r>
      <w:r>
        <w:fldChar w:fldCharType="separate"/>
      </w:r>
      <w:r>
        <w:t>191</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_Toc176259512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_Toc176259514 \h </w:instrText>
      </w:r>
      <w:r>
        <w:fldChar w:fldCharType="separate"/>
      </w:r>
      <w:r>
        <w:t>192</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_Toc176259515 \h </w:instrText>
      </w:r>
      <w:r>
        <w:fldChar w:fldCharType="separate"/>
      </w:r>
      <w:r>
        <w:t>192</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_Toc176259516 \h </w:instrText>
      </w:r>
      <w:r>
        <w:fldChar w:fldCharType="separate"/>
      </w:r>
      <w:r>
        <w:t>194</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_Toc176259517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_Toc176259519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_Toc176259521 \h </w:instrText>
      </w:r>
      <w:r>
        <w:fldChar w:fldCharType="separate"/>
      </w:r>
      <w:r>
        <w:t>196</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_Toc176259522 \h </w:instrText>
      </w:r>
      <w:r>
        <w:fldChar w:fldCharType="separate"/>
      </w:r>
      <w:r>
        <w:t>196</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_Toc176259525 \h </w:instrText>
      </w:r>
      <w:r>
        <w:fldChar w:fldCharType="separate"/>
      </w:r>
      <w:r>
        <w:t>198</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_Toc176259526 \h </w:instrText>
      </w:r>
      <w:r>
        <w:fldChar w:fldCharType="separate"/>
      </w:r>
      <w:r>
        <w:t>198</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_Toc176259528 \h </w:instrText>
      </w:r>
      <w:r>
        <w:fldChar w:fldCharType="separate"/>
      </w:r>
      <w:r>
        <w:t>199</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_Toc176259529 \h </w:instrText>
      </w:r>
      <w:r>
        <w:fldChar w:fldCharType="separate"/>
      </w:r>
      <w:r>
        <w:t>200</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_Toc176259530 \h </w:instrText>
      </w:r>
      <w:r>
        <w:fldChar w:fldCharType="separate"/>
      </w:r>
      <w:r>
        <w:t>200</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_Toc176259531 \h </w:instrText>
      </w:r>
      <w:r>
        <w:fldChar w:fldCharType="separate"/>
      </w:r>
      <w:r>
        <w:t>201</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_Toc176259532 \h </w:instrText>
      </w:r>
      <w:r>
        <w:fldChar w:fldCharType="separate"/>
      </w:r>
      <w:r>
        <w:t>201</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_Toc176259533 \h </w:instrText>
      </w:r>
      <w:r>
        <w:fldChar w:fldCharType="separate"/>
      </w:r>
      <w:r>
        <w:t>202</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_Toc176259534 \h </w:instrText>
      </w:r>
      <w:r>
        <w:fldChar w:fldCharType="separate"/>
      </w:r>
      <w:r>
        <w:t>203</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_Toc176259535 \h </w:instrText>
      </w:r>
      <w:r>
        <w:fldChar w:fldCharType="separate"/>
      </w:r>
      <w:r>
        <w:t>204</w:t>
      </w:r>
      <w:r>
        <w:fldChar w:fldCharType="end"/>
      </w:r>
    </w:p>
    <w:p>
      <w:pPr>
        <w:pStyle w:val="TOC8"/>
        <w:rPr>
          <w:rFonts w:asciiTheme="minorHAnsi" w:eastAsiaTheme="minorEastAsia" w:hAnsiTheme="minorHAnsi" w:cstheme="minorBidi"/>
          <w:szCs w:val="22"/>
        </w:rPr>
      </w:pPr>
      <w:r>
        <w:lastRenderedPageBreak/>
        <w:t>159.</w:t>
      </w:r>
      <w:r>
        <w:tab/>
        <w:t>Consequences of Minister deciding against making 15</w:t>
      </w:r>
      <w:r>
        <w:noBreakHyphen/>
        <w:t>year no</w:t>
      </w:r>
      <w:r>
        <w:noBreakHyphen/>
        <w:t>coverage determination for international pipeline</w:t>
      </w:r>
      <w:r>
        <w:tab/>
      </w:r>
      <w:r>
        <w:fldChar w:fldCharType="begin"/>
      </w:r>
      <w:r>
        <w:instrText xml:space="preserve"> PAGEREF _Toc176259536 \h </w:instrText>
      </w:r>
      <w:r>
        <w:fldChar w:fldCharType="separate"/>
      </w:r>
      <w:r>
        <w:t>204</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_Toc176259539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_Toc176259541 \h </w:instrText>
      </w:r>
      <w:r>
        <w:fldChar w:fldCharType="separate"/>
      </w:r>
      <w:r>
        <w:t>206</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_Toc176259542 \h </w:instrText>
      </w:r>
      <w:r>
        <w:fldChar w:fldCharType="separate"/>
      </w:r>
      <w:r>
        <w:t>206</w:t>
      </w:r>
      <w:r>
        <w:fldChar w:fldCharType="end"/>
      </w:r>
    </w:p>
    <w:p>
      <w:pPr>
        <w:pStyle w:val="TOC8"/>
        <w:rPr>
          <w:rFonts w:asciiTheme="minorHAnsi" w:eastAsiaTheme="minorEastAsia" w:hAnsiTheme="minorHAnsi" w:cstheme="minorBidi"/>
          <w:szCs w:val="22"/>
        </w:rPr>
      </w:pPr>
      <w:r>
        <w:t>163.</w:t>
      </w:r>
      <w:r>
        <w:tab/>
        <w:t>General principle governing NCC’s recommendation</w:t>
      </w:r>
      <w:r>
        <w:tab/>
      </w:r>
      <w:r>
        <w:fldChar w:fldCharType="begin"/>
      </w:r>
      <w:r>
        <w:instrText xml:space="preserve"> PAGEREF _Toc176259543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_Toc176259545 \h </w:instrText>
      </w:r>
      <w:r>
        <w:fldChar w:fldCharType="separate"/>
      </w:r>
      <w:r>
        <w:t>207</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_Toc176259546 \h </w:instrText>
      </w:r>
      <w:r>
        <w:fldChar w:fldCharType="separate"/>
      </w:r>
      <w:r>
        <w:t>208</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_Toc176259547 \h </w:instrText>
      </w:r>
      <w:r>
        <w:fldChar w:fldCharType="separate"/>
      </w:r>
      <w:r>
        <w:t>208</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_Toc176259548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_Toc176259550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_Toc176259552 \h </w:instrText>
      </w:r>
      <w:r>
        <w:fldChar w:fldCharType="separate"/>
      </w:r>
      <w:r>
        <w:t>210</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_Toc176259553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_Toc176259555 \h </w:instrText>
      </w:r>
      <w:r>
        <w:fldChar w:fldCharType="separate"/>
      </w:r>
      <w:r>
        <w:t>212</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_Toc176259556 \h </w:instrText>
      </w:r>
      <w:r>
        <w:fldChar w:fldCharType="separate"/>
      </w:r>
      <w:r>
        <w:t>212</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_Toc176259558 \h </w:instrText>
      </w:r>
      <w:r>
        <w:fldChar w:fldCharType="separate"/>
      </w:r>
      <w:r>
        <w:t>213</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_Toc176259559 \h </w:instrText>
      </w:r>
      <w:r>
        <w:fldChar w:fldCharType="separate"/>
      </w:r>
      <w:r>
        <w:t>213</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_Toc176259560 \h </w:instrText>
      </w:r>
      <w:r>
        <w:fldChar w:fldCharType="separate"/>
      </w:r>
      <w:r>
        <w:t>213</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_Toc176259561 \h </w:instrText>
      </w:r>
      <w:r>
        <w:fldChar w:fldCharType="separate"/>
      </w:r>
      <w:r>
        <w:t>214</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_Toc176259562 \h </w:instrText>
      </w:r>
      <w:r>
        <w:fldChar w:fldCharType="separate"/>
      </w:r>
      <w:r>
        <w:t>214</w:t>
      </w:r>
      <w:r>
        <w:fldChar w:fldCharType="end"/>
      </w:r>
    </w:p>
    <w:p>
      <w:pPr>
        <w:pStyle w:val="TOC2"/>
        <w:tabs>
          <w:tab w:val="right" w:leader="dot" w:pos="7077"/>
        </w:tabs>
        <w:rPr>
          <w:rFonts w:asciiTheme="minorHAnsi" w:eastAsiaTheme="minorEastAsia" w:hAnsiTheme="minorHAnsi" w:cstheme="minorBidi"/>
          <w:b w:val="0"/>
          <w:sz w:val="22"/>
          <w:szCs w:val="22"/>
        </w:rPr>
      </w:pPr>
      <w:r>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_Toc176259565 \h </w:instrText>
      </w:r>
      <w:r>
        <w:fldChar w:fldCharType="separate"/>
      </w:r>
      <w:r>
        <w:t>215</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_Toc176259566 \h </w:instrText>
      </w:r>
      <w:r>
        <w:fldChar w:fldCharType="separate"/>
      </w:r>
      <w:r>
        <w:t>215</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_Toc176259567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_Toc176259569 \h </w:instrText>
      </w:r>
      <w:r>
        <w:fldChar w:fldCharType="separate"/>
      </w:r>
      <w:r>
        <w:t>216</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_Toc176259570 \h </w:instrText>
      </w:r>
      <w:r>
        <w:fldChar w:fldCharType="separate"/>
      </w:r>
      <w:r>
        <w:t>216</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_Toc176259571 \h </w:instrText>
      </w:r>
      <w:r>
        <w:fldChar w:fldCharType="separate"/>
      </w:r>
      <w:r>
        <w:t>217</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_Toc176259572 \h </w:instrText>
      </w:r>
      <w:r>
        <w:fldChar w:fldCharType="separate"/>
      </w:r>
      <w:r>
        <w:t>217</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_Toc176259574 \h </w:instrText>
      </w:r>
      <w:r>
        <w:fldChar w:fldCharType="separate"/>
      </w:r>
      <w:r>
        <w:t>218</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_Toc176259575 \h </w:instrText>
      </w:r>
      <w:r>
        <w:fldChar w:fldCharType="separate"/>
      </w:r>
      <w:r>
        <w:t>218</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_Toc176259576 \h </w:instrText>
      </w:r>
      <w:r>
        <w:fldChar w:fldCharType="separate"/>
      </w:r>
      <w:r>
        <w:t>219</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_Toc176259577 \h </w:instrText>
      </w:r>
      <w:r>
        <w:fldChar w:fldCharType="separate"/>
      </w:r>
      <w:r>
        <w:t>220</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_Toc176259578 \h </w:instrText>
      </w:r>
      <w:r>
        <w:fldChar w:fldCharType="separate"/>
      </w:r>
      <w:r>
        <w:t>220</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_Toc176259579 \h </w:instrText>
      </w:r>
      <w:r>
        <w:fldChar w:fldCharType="separate"/>
      </w:r>
      <w:r>
        <w:t>221</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_Toc176259580 \h </w:instrText>
      </w:r>
      <w:r>
        <w:fldChar w:fldCharType="separate"/>
      </w:r>
      <w:r>
        <w:t>221</w:t>
      </w:r>
      <w:r>
        <w:fldChar w:fldCharType="end"/>
      </w:r>
    </w:p>
    <w:p>
      <w:pPr>
        <w:pStyle w:val="TOC8"/>
        <w:rPr>
          <w:rFonts w:asciiTheme="minorHAnsi" w:eastAsiaTheme="minorEastAsia" w:hAnsiTheme="minorHAnsi" w:cstheme="minorBidi"/>
          <w:szCs w:val="22"/>
        </w:rPr>
      </w:pPr>
      <w:r>
        <w:lastRenderedPageBreak/>
        <w:t>191.</w:t>
      </w:r>
      <w:r>
        <w:tab/>
        <w:t>Rules may allow determination that varies applicable access arrangement for installation of a new facility</w:t>
      </w:r>
      <w:r>
        <w:tab/>
      </w:r>
      <w:r>
        <w:fldChar w:fldCharType="begin"/>
      </w:r>
      <w:r>
        <w:instrText xml:space="preserve"> PAGEREF _Toc176259581 \h </w:instrText>
      </w:r>
      <w:r>
        <w:fldChar w:fldCharType="separate"/>
      </w:r>
      <w:r>
        <w:t>222</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_Toc176259582 \h </w:instrText>
      </w:r>
      <w:r>
        <w:fldChar w:fldCharType="separate"/>
      </w:r>
      <w:r>
        <w:t>223</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_Toc176259583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_Toc176259585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_Toc176259587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_Toc176259589 \h </w:instrText>
      </w:r>
      <w:r>
        <w:fldChar w:fldCharType="separate"/>
      </w:r>
      <w:r>
        <w:t>224</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_Toc176259590 \h </w:instrText>
      </w:r>
      <w:r>
        <w:fldChar w:fldCharType="separate"/>
      </w:r>
      <w:r>
        <w:t>224</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_Toc176259591 \h </w:instrText>
      </w:r>
      <w:r>
        <w:fldChar w:fldCharType="separate"/>
      </w:r>
      <w:r>
        <w:t>224</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_Toc176259592 \h </w:instrText>
      </w:r>
      <w:r>
        <w:fldChar w:fldCharType="separate"/>
      </w:r>
      <w:r>
        <w:t>225</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_Toc176259593 \h </w:instrText>
      </w:r>
      <w:r>
        <w:fldChar w:fldCharType="separate"/>
      </w:r>
      <w:r>
        <w:t>226</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_Toc176259594 \h </w:instrText>
      </w:r>
      <w:r>
        <w:fldChar w:fldCharType="separate"/>
      </w:r>
      <w:r>
        <w:t>226</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_Toc176259595 \h </w:instrText>
      </w:r>
      <w:r>
        <w:fldChar w:fldCharType="separate"/>
      </w:r>
      <w:r>
        <w:t>227</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_Toc176259596 \h </w:instrText>
      </w:r>
      <w:r>
        <w:fldChar w:fldCharType="separate"/>
      </w:r>
      <w:r>
        <w:t>227</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_Toc176259597 \h </w:instrText>
      </w:r>
      <w:r>
        <w:fldChar w:fldCharType="separate"/>
      </w:r>
      <w:r>
        <w:t>228</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_Toc176259598 \h </w:instrText>
      </w:r>
      <w:r>
        <w:fldChar w:fldCharType="separate"/>
      </w:r>
      <w:r>
        <w:t>229</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_Toc176259599 \h </w:instrText>
      </w:r>
      <w:r>
        <w:fldChar w:fldCharType="separate"/>
      </w:r>
      <w:r>
        <w:t>230</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_Toc176259600 \h </w:instrText>
      </w:r>
      <w:r>
        <w:fldChar w:fldCharType="separate"/>
      </w:r>
      <w:r>
        <w:t>232</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_Toc176259602 \h </w:instrText>
      </w:r>
      <w:r>
        <w:fldChar w:fldCharType="separate"/>
      </w:r>
      <w:r>
        <w:t>232</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_Toc176259603 \h </w:instrText>
      </w:r>
      <w:r>
        <w:fldChar w:fldCharType="separate"/>
      </w:r>
      <w:r>
        <w:t>232</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_Toc176259604 \h </w:instrText>
      </w:r>
      <w:r>
        <w:fldChar w:fldCharType="separate"/>
      </w:r>
      <w:r>
        <w:t>233</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_Toc176259605 \h </w:instrText>
      </w:r>
      <w:r>
        <w:fldChar w:fldCharType="separate"/>
      </w:r>
      <w:r>
        <w:t>233</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_Toc176259606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_Toc176259608 \h </w:instrText>
      </w:r>
      <w:r>
        <w:fldChar w:fldCharType="separate"/>
      </w:r>
      <w:r>
        <w:t>234</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_Toc176259609 \h </w:instrText>
      </w:r>
      <w:r>
        <w:fldChar w:fldCharType="separate"/>
      </w:r>
      <w:r>
        <w:t>234</w:t>
      </w:r>
      <w:r>
        <w:fldChar w:fldCharType="end"/>
      </w:r>
    </w:p>
    <w:p>
      <w:pPr>
        <w:pStyle w:val="TOC8"/>
        <w:rPr>
          <w:rFonts w:asciiTheme="minorHAnsi" w:eastAsiaTheme="minorEastAsia" w:hAnsiTheme="minorHAnsi" w:cstheme="minorBidi"/>
          <w:szCs w:val="22"/>
        </w:rPr>
      </w:pPr>
      <w:r>
        <w:lastRenderedPageBreak/>
        <w:t>215.</w:t>
      </w:r>
      <w:r>
        <w:tab/>
        <w:t>Subsequent service providers bound by access determinations</w:t>
      </w:r>
      <w:r>
        <w:tab/>
      </w:r>
      <w:r>
        <w:fldChar w:fldCharType="begin"/>
      </w:r>
      <w:r>
        <w:instrText xml:space="preserve"> PAGEREF _Toc176259610 \h </w:instrText>
      </w:r>
      <w:r>
        <w:fldChar w:fldCharType="separate"/>
      </w:r>
      <w:r>
        <w:t>234</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_Toc176259611 \h </w:instrText>
      </w:r>
      <w:r>
        <w:fldChar w:fldCharType="separate"/>
      </w:r>
      <w:r>
        <w:t>235</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_Toc176259614 \h </w:instrText>
      </w:r>
      <w:r>
        <w:fldChar w:fldCharType="separate"/>
      </w:r>
      <w:r>
        <w:t>236</w:t>
      </w:r>
      <w:r>
        <w:fldChar w:fldCharType="end"/>
      </w:r>
    </w:p>
    <w:p>
      <w:pPr>
        <w:pStyle w:val="TOC8"/>
        <w:rPr>
          <w:rFonts w:asciiTheme="minorHAnsi" w:eastAsiaTheme="minorEastAsia" w:hAnsiTheme="minorHAnsi" w:cstheme="minorBidi"/>
          <w:szCs w:val="22"/>
        </w:rPr>
      </w:pPr>
      <w:r>
        <w:t>216B.</w:t>
      </w:r>
      <w:r>
        <w:tab/>
        <w:t>Meaning of prospective user</w:t>
      </w:r>
      <w:r>
        <w:tab/>
      </w:r>
      <w:r>
        <w:fldChar w:fldCharType="begin"/>
      </w:r>
      <w:r>
        <w:instrText xml:space="preserve"> PAGEREF _Toc176259615 \h </w:instrText>
      </w:r>
      <w:r>
        <w:fldChar w:fldCharType="separate"/>
      </w:r>
      <w:r>
        <w:t>237</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_Toc176259616 \h </w:instrText>
      </w:r>
      <w:r>
        <w:fldChar w:fldCharType="separate"/>
      </w:r>
      <w:r>
        <w:t>238</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_Toc176259617 \h </w:instrText>
      </w:r>
      <w:r>
        <w:fldChar w:fldCharType="separate"/>
      </w:r>
      <w:r>
        <w:t>238</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_Toc176259618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_Toc176259620 \h </w:instrText>
      </w:r>
      <w:r>
        <w:fldChar w:fldCharType="separate"/>
      </w:r>
      <w:r>
        <w:t>239</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_Toc176259621 \h </w:instrText>
      </w:r>
      <w:r>
        <w:fldChar w:fldCharType="separate"/>
      </w:r>
      <w:r>
        <w:t>239</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_Toc176259622 \h </w:instrText>
      </w:r>
      <w:r>
        <w:fldChar w:fldCharType="separate"/>
      </w:r>
      <w:r>
        <w:t>240</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_Toc176259623 \h </w:instrText>
      </w:r>
      <w:r>
        <w:fldChar w:fldCharType="separate"/>
      </w:r>
      <w:r>
        <w:t>240</w:t>
      </w:r>
      <w:r>
        <w:fldChar w:fldCharType="end"/>
      </w:r>
    </w:p>
    <w:p>
      <w:pPr>
        <w:pStyle w:val="TOC4"/>
        <w:tabs>
          <w:tab w:val="right" w:leader="dot" w:pos="7077"/>
        </w:tabs>
        <w:rPr>
          <w:rFonts w:asciiTheme="minorHAnsi" w:eastAsiaTheme="minorEastAsia" w:hAnsiTheme="minorHAnsi" w:cstheme="minorBidi"/>
          <w:b w:val="0"/>
          <w:szCs w:val="22"/>
        </w:rPr>
      </w:pPr>
      <w:r>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_Toc176259625 \h </w:instrText>
      </w:r>
      <w:r>
        <w:fldChar w:fldCharType="separate"/>
      </w:r>
      <w:r>
        <w:t>241</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_Toc176259626 \h </w:instrText>
      </w:r>
      <w:r>
        <w:fldChar w:fldCharType="separate"/>
      </w:r>
      <w:r>
        <w:t>241</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_Toc176259627 \h </w:instrText>
      </w:r>
      <w:r>
        <w:fldChar w:fldCharType="separate"/>
      </w:r>
      <w:r>
        <w:t>242</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_Toc176259628 \h </w:instrText>
      </w:r>
      <w:r>
        <w:fldChar w:fldCharType="separate"/>
      </w:r>
      <w:r>
        <w:t>243</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_Toc176259629 \h </w:instrText>
      </w:r>
      <w:r>
        <w:fldChar w:fldCharType="separate"/>
      </w:r>
      <w:r>
        <w:t>243</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_Toc176259630 \h </w:instrText>
      </w:r>
      <w:r>
        <w:fldChar w:fldCharType="separate"/>
      </w:r>
      <w:r>
        <w:t>244</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_Toc176259631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_Toc176259633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_Toc176259635 \h </w:instrText>
      </w:r>
      <w:r>
        <w:fldChar w:fldCharType="separate"/>
      </w:r>
      <w:r>
        <w:t>246</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_Toc176259637 \h </w:instrText>
      </w:r>
      <w:r>
        <w:fldChar w:fldCharType="separate"/>
      </w:r>
      <w:r>
        <w:t>247</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_Toc176259639 \h </w:instrText>
      </w:r>
      <w:r>
        <w:fldChar w:fldCharType="separate"/>
      </w:r>
      <w:r>
        <w:t>248</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_Toc176259640 \h </w:instrText>
      </w:r>
      <w:r>
        <w:fldChar w:fldCharType="separate"/>
      </w:r>
      <w:r>
        <w:t>248</w:t>
      </w:r>
      <w:r>
        <w:fldChar w:fldCharType="end"/>
      </w:r>
    </w:p>
    <w:p>
      <w:pPr>
        <w:pStyle w:val="TOC8"/>
        <w:rPr>
          <w:rFonts w:asciiTheme="minorHAnsi" w:eastAsiaTheme="minorEastAsia" w:hAnsiTheme="minorHAnsi" w:cstheme="minorBidi"/>
          <w:szCs w:val="22"/>
        </w:rPr>
      </w:pPr>
      <w:r>
        <w:lastRenderedPageBreak/>
        <w:t>216V.</w:t>
      </w:r>
      <w:r>
        <w:tab/>
        <w:t>Costs of arbitration</w:t>
      </w:r>
      <w:r>
        <w:tab/>
      </w:r>
      <w:r>
        <w:fldChar w:fldCharType="begin"/>
      </w:r>
      <w:r>
        <w:instrText xml:space="preserve"> PAGEREF _Toc176259641 \h </w:instrText>
      </w:r>
      <w:r>
        <w:fldChar w:fldCharType="separate"/>
      </w:r>
      <w:r>
        <w:t>248</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_Toc176259644 \h </w:instrText>
      </w:r>
      <w:r>
        <w:fldChar w:fldCharType="separate"/>
      </w:r>
      <w:r>
        <w:t>250</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_Toc176259645 \h </w:instrText>
      </w:r>
      <w:r>
        <w:fldChar w:fldCharType="separate"/>
      </w:r>
      <w:r>
        <w:t>250</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_Toc176259646 \h </w:instrText>
      </w:r>
      <w:r>
        <w:fldChar w:fldCharType="separate"/>
      </w:r>
      <w:r>
        <w:t>250</w:t>
      </w:r>
      <w:r>
        <w:fldChar w:fldCharType="end"/>
      </w:r>
    </w:p>
    <w:p>
      <w:pPr>
        <w:pStyle w:val="TOC8"/>
        <w:rPr>
          <w:rFonts w:asciiTheme="minorHAnsi" w:eastAsiaTheme="minorEastAsia" w:hAnsiTheme="minorHAnsi" w:cstheme="minorBidi"/>
          <w:szCs w:val="22"/>
        </w:rPr>
      </w:pPr>
      <w:r>
        <w:t>220.</w:t>
      </w:r>
      <w:r>
        <w:tab/>
        <w:t>Powers of the Bulletin Board operator</w:t>
      </w:r>
      <w:r>
        <w:tab/>
      </w:r>
      <w:r>
        <w:fldChar w:fldCharType="begin"/>
      </w:r>
      <w:r>
        <w:instrText xml:space="preserve"> PAGEREF _Toc176259647 \h </w:instrText>
      </w:r>
      <w:r>
        <w:fldChar w:fldCharType="separate"/>
      </w:r>
      <w:r>
        <w:t>251</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_Toc176259648 \h </w:instrText>
      </w:r>
      <w:r>
        <w:fldChar w:fldCharType="separate"/>
      </w:r>
      <w:r>
        <w:t>251</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_Toc176259649 \h </w:instrText>
      </w:r>
      <w:r>
        <w:fldChar w:fldCharType="separate"/>
      </w:r>
      <w:r>
        <w:t>252</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_Toc176259651 \h </w:instrText>
      </w:r>
      <w:r>
        <w:fldChar w:fldCharType="separate"/>
      </w:r>
      <w:r>
        <w:t>252</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_Toc176259652 \h </w:instrText>
      </w:r>
      <w:r>
        <w:fldChar w:fldCharType="separate"/>
      </w:r>
      <w:r>
        <w:t>253</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_Toc176259653 \h </w:instrText>
      </w:r>
      <w:r>
        <w:fldChar w:fldCharType="separate"/>
      </w:r>
      <w:r>
        <w:t>253</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_Toc176259654 \h </w:instrText>
      </w:r>
      <w:r>
        <w:fldChar w:fldCharType="separate"/>
      </w:r>
      <w:r>
        <w:t>253</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_Toc176259656 \h </w:instrText>
      </w:r>
      <w:r>
        <w:fldChar w:fldCharType="separate"/>
      </w:r>
      <w:r>
        <w:t>254</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_Toc176259657 \h </w:instrText>
      </w:r>
      <w:r>
        <w:fldChar w:fldCharType="separate"/>
      </w:r>
      <w:r>
        <w:t>255</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_Toc176259660 \h </w:instrText>
      </w:r>
      <w:r>
        <w:fldChar w:fldCharType="separate"/>
      </w:r>
      <w:r>
        <w:t>258</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_Toc176259661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_Toc176259663 \h </w:instrText>
      </w:r>
      <w:r>
        <w:fldChar w:fldCharType="separate"/>
      </w:r>
      <w:r>
        <w:t>259</w:t>
      </w:r>
      <w:r>
        <w:fldChar w:fldCharType="end"/>
      </w:r>
    </w:p>
    <w:p>
      <w:pPr>
        <w:pStyle w:val="TOC8"/>
        <w:rPr>
          <w:rFonts w:asciiTheme="minorHAnsi" w:eastAsiaTheme="minorEastAsia" w:hAnsiTheme="minorHAnsi" w:cstheme="minorBidi"/>
          <w:szCs w:val="22"/>
        </w:rPr>
      </w:pPr>
      <w:r>
        <w:lastRenderedPageBreak/>
        <w:t>232.</w:t>
      </w:r>
      <w:r>
        <w:tab/>
        <w:t>Proceedings for declaration that a person has breached a conduct provision</w:t>
      </w:r>
      <w:r>
        <w:tab/>
      </w:r>
      <w:r>
        <w:fldChar w:fldCharType="begin"/>
      </w:r>
      <w:r>
        <w:instrText xml:space="preserve"> PAGEREF _Toc176259664 \h </w:instrText>
      </w:r>
      <w:r>
        <w:fldChar w:fldCharType="separate"/>
      </w:r>
      <w:r>
        <w:t>262</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_Toc176259665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_Toc176259667 \h </w:instrText>
      </w:r>
      <w:r>
        <w:fldChar w:fldCharType="separate"/>
      </w:r>
      <w:r>
        <w:t>264</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_Toc176259668 \h </w:instrText>
      </w:r>
      <w:r>
        <w:fldChar w:fldCharType="separate"/>
      </w:r>
      <w:r>
        <w:t>265</w:t>
      </w:r>
      <w:r>
        <w:fldChar w:fldCharType="end"/>
      </w:r>
    </w:p>
    <w:p>
      <w:pPr>
        <w:pStyle w:val="TOC8"/>
        <w:rPr>
          <w:rFonts w:asciiTheme="minorHAnsi" w:eastAsiaTheme="minorEastAsia" w:hAnsiTheme="minorHAnsi" w:cstheme="minorBidi"/>
          <w:szCs w:val="22"/>
        </w:rPr>
      </w:pPr>
      <w:r>
        <w:t>236.</w:t>
      </w:r>
      <w:r>
        <w:tab/>
        <w:t>Breaches of civil penalty provisions involving continuing failure</w:t>
      </w:r>
      <w:r>
        <w:tab/>
      </w:r>
      <w:r>
        <w:fldChar w:fldCharType="begin"/>
      </w:r>
      <w:r>
        <w:instrText xml:space="preserve"> PAGEREF _Toc176259669 \h </w:instrText>
      </w:r>
      <w:r>
        <w:fldChar w:fldCharType="separate"/>
      </w:r>
      <w:r>
        <w:t>265</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_Toc176259670 \h </w:instrText>
      </w:r>
      <w:r>
        <w:fldChar w:fldCharType="separate"/>
      </w:r>
      <w:r>
        <w:t>265</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_Toc176259671 \h </w:instrText>
      </w:r>
      <w:r>
        <w:fldChar w:fldCharType="separate"/>
      </w:r>
      <w:r>
        <w:t>265</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_Toc176259672 \h </w:instrText>
      </w:r>
      <w:r>
        <w:fldChar w:fldCharType="separate"/>
      </w:r>
      <w:r>
        <w:t>266</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_Toc176259673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_Toc176259675 \h </w:instrText>
      </w:r>
      <w:r>
        <w:fldChar w:fldCharType="separate"/>
      </w:r>
      <w:r>
        <w:t>266</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_Toc176259676 \h </w:instrText>
      </w:r>
      <w:r>
        <w:fldChar w:fldCharType="separate"/>
      </w:r>
      <w:r>
        <w:t>266</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_Toc176259677 \h </w:instrText>
      </w:r>
      <w:r>
        <w:fldChar w:fldCharType="separate"/>
      </w:r>
      <w:r>
        <w:t>267</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_Toc176259680 \h </w:instrText>
      </w:r>
      <w:r>
        <w:fldChar w:fldCharType="separate"/>
      </w:r>
      <w:r>
        <w:t>268</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_Toc176259682 \h </w:instrText>
      </w:r>
      <w:r>
        <w:fldChar w:fldCharType="separate"/>
      </w:r>
      <w:r>
        <w:t>272</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_Toc176259683 \h </w:instrText>
      </w:r>
      <w:r>
        <w:fldChar w:fldCharType="separate"/>
      </w:r>
      <w:r>
        <w:t>273</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_Toc176259684 \h </w:instrText>
      </w:r>
      <w:r>
        <w:fldChar w:fldCharType="separate"/>
      </w:r>
      <w:r>
        <w:t>274</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_Toc176259685 \h </w:instrText>
      </w:r>
      <w:r>
        <w:fldChar w:fldCharType="separate"/>
      </w:r>
      <w:r>
        <w:t>274</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_Toc176259686 \h </w:instrText>
      </w:r>
      <w:r>
        <w:fldChar w:fldCharType="separate"/>
      </w:r>
      <w:r>
        <w:t>275</w:t>
      </w:r>
      <w:r>
        <w:fldChar w:fldCharType="end"/>
      </w:r>
    </w:p>
    <w:p>
      <w:pPr>
        <w:pStyle w:val="TOC8"/>
        <w:rPr>
          <w:rFonts w:asciiTheme="minorHAnsi" w:eastAsiaTheme="minorEastAsia" w:hAnsiTheme="minorHAnsi" w:cstheme="minorBidi"/>
          <w:szCs w:val="22"/>
        </w:rPr>
      </w:pPr>
      <w:r>
        <w:lastRenderedPageBreak/>
        <w:t>250.</w:t>
      </w:r>
      <w:r>
        <w:tab/>
        <w:t>Tribunal must refuse to grant leave if submission not made or is made late</w:t>
      </w:r>
      <w:r>
        <w:tab/>
      </w:r>
      <w:r>
        <w:fldChar w:fldCharType="begin"/>
      </w:r>
      <w:r>
        <w:instrText xml:space="preserve"> PAGEREF _Toc176259687 \h </w:instrText>
      </w:r>
      <w:r>
        <w:fldChar w:fldCharType="separate"/>
      </w:r>
      <w:r>
        <w:t>275</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_Toc176259688 \h </w:instrText>
      </w:r>
      <w:r>
        <w:fldChar w:fldCharType="separate"/>
      </w:r>
      <w:r>
        <w:t>276</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_Toc176259689 \h </w:instrText>
      </w:r>
      <w:r>
        <w:fldChar w:fldCharType="separate"/>
      </w:r>
      <w:r>
        <w:t>277</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_Toc176259690 \h </w:instrText>
      </w:r>
      <w:r>
        <w:fldChar w:fldCharType="separate"/>
      </w:r>
      <w:r>
        <w:t>278</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_Toc176259691 \h </w:instrText>
      </w:r>
      <w:r>
        <w:fldChar w:fldCharType="separate"/>
      </w:r>
      <w:r>
        <w:t>278</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_Toc176259692 \h </w:instrText>
      </w:r>
      <w:r>
        <w:fldChar w:fldCharType="separate"/>
      </w:r>
      <w:r>
        <w:t>278</w:t>
      </w:r>
      <w:r>
        <w:fldChar w:fldCharType="end"/>
      </w:r>
    </w:p>
    <w:p>
      <w:pPr>
        <w:pStyle w:val="TOC8"/>
        <w:rPr>
          <w:rFonts w:asciiTheme="minorHAnsi" w:eastAsiaTheme="minorEastAsia" w:hAnsiTheme="minorHAnsi" w:cstheme="minorBidi"/>
          <w:szCs w:val="22"/>
        </w:rPr>
      </w:pPr>
      <w:r>
        <w:t>256.</w:t>
      </w:r>
      <w:r>
        <w:tab/>
        <w:t>Interveners may raise new grounds for review</w:t>
      </w:r>
      <w:r>
        <w:tab/>
      </w:r>
      <w:r>
        <w:fldChar w:fldCharType="begin"/>
      </w:r>
      <w:r>
        <w:instrText xml:space="preserve"> PAGEREF _Toc176259693 \h </w:instrText>
      </w:r>
      <w:r>
        <w:fldChar w:fldCharType="separate"/>
      </w:r>
      <w:r>
        <w:t>279</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_Toc176259694 \h </w:instrText>
      </w:r>
      <w:r>
        <w:fldChar w:fldCharType="separate"/>
      </w:r>
      <w:r>
        <w:t>280</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_Toc176259695 \h </w:instrText>
      </w:r>
      <w:r>
        <w:fldChar w:fldCharType="separate"/>
      </w:r>
      <w:r>
        <w:t>280</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_Toc176259696 \h </w:instrText>
      </w:r>
      <w:r>
        <w:fldChar w:fldCharType="separate"/>
      </w:r>
      <w:r>
        <w:t>281</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_Toc176259697 \h </w:instrText>
      </w:r>
      <w:r>
        <w:fldChar w:fldCharType="separate"/>
      </w:r>
      <w:r>
        <w:t>283</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_Toc176259698 \h </w:instrText>
      </w:r>
      <w:r>
        <w:fldChar w:fldCharType="separate"/>
      </w:r>
      <w:r>
        <w:t>286</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_Toc176259699 \h </w:instrText>
      </w:r>
      <w:r>
        <w:fldChar w:fldCharType="separate"/>
      </w:r>
      <w:r>
        <w:t>287</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_Toc176259700 \h </w:instrText>
      </w:r>
      <w:r>
        <w:fldChar w:fldCharType="separate"/>
      </w:r>
      <w:r>
        <w:t>291</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_Toc176259702 \h </w:instrText>
      </w:r>
      <w:r>
        <w:fldChar w:fldCharType="separate"/>
      </w:r>
      <w:r>
        <w:t>291</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_Toc176259703 \h </w:instrText>
      </w:r>
      <w:r>
        <w:fldChar w:fldCharType="separate"/>
      </w:r>
      <w:r>
        <w:t>292</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_Toc176259704 \h </w:instrText>
      </w:r>
      <w:r>
        <w:fldChar w:fldCharType="separate"/>
      </w:r>
      <w:r>
        <w:t>292</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_Toc176259705 \h </w:instrText>
      </w:r>
      <w:r>
        <w:fldChar w:fldCharType="separate"/>
      </w:r>
      <w:r>
        <w:t>293</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_Toc176259706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_Toc176259708 \h </w:instrText>
      </w:r>
      <w:r>
        <w:fldChar w:fldCharType="separate"/>
      </w:r>
      <w:r>
        <w:t>293</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_Toc176259709 \h </w:instrText>
      </w:r>
      <w:r>
        <w:fldChar w:fldCharType="separate"/>
      </w:r>
      <w:r>
        <w:t>294</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_Toc176259710 \h </w:instrText>
      </w:r>
      <w:r>
        <w:fldChar w:fldCharType="separate"/>
      </w:r>
      <w:r>
        <w:t>295</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_Toc176259711 \h </w:instrText>
      </w:r>
      <w:r>
        <w:fldChar w:fldCharType="separate"/>
      </w:r>
      <w:r>
        <w:t>296</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_Toc176259713 \h </w:instrText>
      </w:r>
      <w:r>
        <w:fldChar w:fldCharType="separate"/>
      </w:r>
      <w:r>
        <w:t>296</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_Toc176259714 \h </w:instrText>
      </w:r>
      <w:r>
        <w:fldChar w:fldCharType="separate"/>
      </w:r>
      <w:r>
        <w:t>298</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_Toc176259715 \h </w:instrText>
      </w:r>
      <w:r>
        <w:fldChar w:fldCharType="separate"/>
      </w:r>
      <w:r>
        <w:t>298</w:t>
      </w:r>
      <w:r>
        <w:fldChar w:fldCharType="end"/>
      </w:r>
    </w:p>
    <w:p>
      <w:pPr>
        <w:pStyle w:val="TOC8"/>
        <w:rPr>
          <w:rFonts w:asciiTheme="minorHAnsi" w:eastAsiaTheme="minorEastAsia" w:hAnsiTheme="minorHAnsi" w:cstheme="minorBidi"/>
          <w:szCs w:val="22"/>
        </w:rPr>
      </w:pPr>
      <w:r>
        <w:lastRenderedPageBreak/>
        <w:t>274.</w:t>
      </w:r>
      <w:r>
        <w:tab/>
        <w:t>Factors relevant to granting a restraining injunction</w:t>
      </w:r>
      <w:r>
        <w:tab/>
      </w:r>
      <w:r>
        <w:fldChar w:fldCharType="begin"/>
      </w:r>
      <w:r>
        <w:instrText xml:space="preserve"> PAGEREF _Toc176259716 \h </w:instrText>
      </w:r>
      <w:r>
        <w:fldChar w:fldCharType="separate"/>
      </w:r>
      <w:r>
        <w:t>298</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_Toc176259717 \h </w:instrText>
      </w:r>
      <w:r>
        <w:fldChar w:fldCharType="separate"/>
      </w:r>
      <w:r>
        <w:t>298</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_Toc176259718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_Toc176259720 \h </w:instrText>
      </w:r>
      <w:r>
        <w:fldChar w:fldCharType="separate"/>
      </w:r>
      <w:r>
        <w:t>299</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_Toc176259721 \h </w:instrText>
      </w:r>
      <w:r>
        <w:fldChar w:fldCharType="separate"/>
      </w:r>
      <w:r>
        <w:t>300</w:t>
      </w:r>
      <w:r>
        <w:fldChar w:fldCharType="end"/>
      </w:r>
    </w:p>
    <w:p>
      <w:pPr>
        <w:pStyle w:val="TOC8"/>
        <w:rPr>
          <w:rFonts w:asciiTheme="minorHAnsi" w:eastAsiaTheme="minorEastAsia" w:hAnsiTheme="minorHAnsi" w:cstheme="minorBidi"/>
          <w:szCs w:val="22"/>
        </w:rPr>
      </w:pPr>
      <w:r>
        <w:t>279.</w:t>
      </w:r>
      <w:r>
        <w:tab/>
        <w:t>Infringement penalties</w:t>
      </w:r>
      <w:r>
        <w:tab/>
      </w:r>
      <w:r>
        <w:fldChar w:fldCharType="begin"/>
      </w:r>
      <w:r>
        <w:instrText xml:space="preserve"> PAGEREF _Toc176259722 \h </w:instrText>
      </w:r>
      <w:r>
        <w:fldChar w:fldCharType="separate"/>
      </w:r>
      <w:r>
        <w:t>300</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_Toc176259723 \h </w:instrText>
      </w:r>
      <w:r>
        <w:fldChar w:fldCharType="separate"/>
      </w:r>
      <w:r>
        <w:t>302</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_Toc176259724 \h </w:instrText>
      </w:r>
      <w:r>
        <w:fldChar w:fldCharType="separate"/>
      </w:r>
      <w:r>
        <w:t>303</w:t>
      </w:r>
      <w:r>
        <w:fldChar w:fldCharType="end"/>
      </w:r>
    </w:p>
    <w:p>
      <w:pPr>
        <w:pStyle w:val="TOC8"/>
        <w:rPr>
          <w:rFonts w:asciiTheme="minorHAnsi" w:eastAsiaTheme="minorEastAsia" w:hAnsiTheme="minorHAnsi" w:cstheme="minorBidi"/>
          <w:szCs w:val="22"/>
        </w:rPr>
      </w:pPr>
      <w:r>
        <w:t>282.</w:t>
      </w:r>
      <w:r>
        <w:tab/>
        <w:t>Withdrawal of notice</w:t>
      </w:r>
      <w:r>
        <w:tab/>
      </w:r>
      <w:r>
        <w:fldChar w:fldCharType="begin"/>
      </w:r>
      <w:r>
        <w:instrText xml:space="preserve"> PAGEREF _Toc176259725 \h </w:instrText>
      </w:r>
      <w:r>
        <w:fldChar w:fldCharType="separate"/>
      </w:r>
      <w:r>
        <w:t>303</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_Toc176259726 \h </w:instrText>
      </w:r>
      <w:r>
        <w:fldChar w:fldCharType="separate"/>
      </w:r>
      <w:r>
        <w:t>304</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_Toc176259727 \h </w:instrText>
      </w:r>
      <w:r>
        <w:fldChar w:fldCharType="separate"/>
      </w:r>
      <w:r>
        <w:t>304</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_Toc176259728 \h </w:instrText>
      </w:r>
      <w:r>
        <w:fldChar w:fldCharType="separate"/>
      </w:r>
      <w:r>
        <w:t>304</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_Toc176259729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_Toc176259731 \h </w:instrText>
      </w:r>
      <w:r>
        <w:fldChar w:fldCharType="separate"/>
      </w:r>
      <w:r>
        <w:t>305</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_Toc176259732 \h </w:instrText>
      </w:r>
      <w:r>
        <w:fldChar w:fldCharType="separate"/>
      </w:r>
      <w:r>
        <w:t>305</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_Toc176259733 \h </w:instrText>
      </w:r>
      <w:r>
        <w:fldChar w:fldCharType="separate"/>
      </w:r>
      <w:r>
        <w:t>305</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_Toc176259737 \h </w:instrText>
      </w:r>
      <w:r>
        <w:fldChar w:fldCharType="separate"/>
      </w:r>
      <w:r>
        <w:t>306</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_Toc176259739 \h </w:instrText>
      </w:r>
      <w:r>
        <w:fldChar w:fldCharType="separate"/>
      </w:r>
      <w:r>
        <w:t>308</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_Toc176259740 \h </w:instrText>
      </w:r>
      <w:r>
        <w:fldChar w:fldCharType="separate"/>
      </w:r>
      <w:r>
        <w:t>308</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_Toc176259741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_Toc176259743 \h </w:instrText>
      </w:r>
      <w:r>
        <w:fldChar w:fldCharType="separate"/>
      </w:r>
      <w:r>
        <w:t>309</w:t>
      </w:r>
      <w:r>
        <w:fldChar w:fldCharType="end"/>
      </w:r>
    </w:p>
    <w:p>
      <w:pPr>
        <w:pStyle w:val="TOC8"/>
        <w:rPr>
          <w:rFonts w:asciiTheme="minorHAnsi" w:eastAsiaTheme="minorEastAsia" w:hAnsiTheme="minorHAnsi" w:cstheme="minorBidi"/>
          <w:szCs w:val="22"/>
        </w:rPr>
      </w:pPr>
      <w:r>
        <w:t>294CA.</w:t>
      </w:r>
      <w:r>
        <w:tab/>
        <w:t>South Australian Minister may make consequential Rules relating to rate of return instrument</w:t>
      </w:r>
      <w:r>
        <w:tab/>
      </w:r>
      <w:r>
        <w:fldChar w:fldCharType="begin"/>
      </w:r>
      <w:r>
        <w:instrText xml:space="preserve"> PAGEREF _Toc176259744 \h </w:instrText>
      </w:r>
      <w:r>
        <w:fldChar w:fldCharType="separate"/>
      </w:r>
      <w:r>
        <w:t>310</w:t>
      </w:r>
      <w:r>
        <w:fldChar w:fldCharType="end"/>
      </w:r>
    </w:p>
    <w:p>
      <w:pPr>
        <w:pStyle w:val="TOC8"/>
        <w:rPr>
          <w:rFonts w:asciiTheme="minorHAnsi" w:eastAsiaTheme="minorEastAsia" w:hAnsiTheme="minorHAnsi" w:cstheme="minorBidi"/>
          <w:szCs w:val="22"/>
        </w:rPr>
      </w:pPr>
      <w:r>
        <w:lastRenderedPageBreak/>
        <w:t>294F.</w:t>
      </w:r>
      <w:r>
        <w:tab/>
        <w:t>South Australian Minister to make initial Rules relating to access to non</w:t>
      </w:r>
      <w:r>
        <w:noBreakHyphen/>
        <w:t>scheme pipelines</w:t>
      </w:r>
      <w:r>
        <w:tab/>
      </w:r>
      <w:r>
        <w:fldChar w:fldCharType="begin"/>
      </w:r>
      <w:r>
        <w:instrText xml:space="preserve"> PAGEREF _Toc176259745 \h </w:instrText>
      </w:r>
      <w:r>
        <w:fldChar w:fldCharType="separate"/>
      </w:r>
      <w:r>
        <w:t>311</w:t>
      </w:r>
      <w:r>
        <w:fldChar w:fldCharType="end"/>
      </w:r>
    </w:p>
    <w:p>
      <w:pPr>
        <w:pStyle w:val="TOC8"/>
        <w:rPr>
          <w:rFonts w:asciiTheme="minorHAnsi" w:eastAsiaTheme="minorEastAsia" w:hAnsiTheme="minorHAnsi" w:cstheme="minorBidi"/>
          <w:szCs w:val="22"/>
        </w:rPr>
      </w:pPr>
      <w:r>
        <w:t>294FC.</w:t>
      </w:r>
      <w:r>
        <w:tab/>
        <w:t>South Australian Minister to make initial Rules relating to national gas objective</w:t>
      </w:r>
      <w:r>
        <w:tab/>
      </w:r>
      <w:r>
        <w:fldChar w:fldCharType="begin"/>
      </w:r>
      <w:r>
        <w:instrText xml:space="preserve"> PAGEREF _Toc176259746 \h </w:instrText>
      </w:r>
      <w:r>
        <w:fldChar w:fldCharType="separate"/>
      </w:r>
      <w:r>
        <w:t>312</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_Toc176259748 \h </w:instrText>
      </w:r>
      <w:r>
        <w:fldChar w:fldCharType="separate"/>
      </w:r>
      <w:r>
        <w:t>314</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_Toc176259749 \h </w:instrText>
      </w:r>
      <w:r>
        <w:fldChar w:fldCharType="separate"/>
      </w:r>
      <w:r>
        <w:t>314</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_Toc176259750 \h </w:instrText>
      </w:r>
      <w:r>
        <w:fldChar w:fldCharType="separate"/>
      </w:r>
      <w:r>
        <w:t>315</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_Toc176259751 \h </w:instrText>
      </w:r>
      <w:r>
        <w:fldChar w:fldCharType="separate"/>
      </w:r>
      <w:r>
        <w:t>315</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_Toc176259752 \h </w:instrText>
      </w:r>
      <w:r>
        <w:fldChar w:fldCharType="separate"/>
      </w:r>
      <w:r>
        <w:t>315</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_Toc176259753 \h </w:instrText>
      </w:r>
      <w:r>
        <w:fldChar w:fldCharType="separate"/>
      </w:r>
      <w:r>
        <w:t>315</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_Toc176259754 \h </w:instrText>
      </w:r>
      <w:r>
        <w:fldChar w:fldCharType="separate"/>
      </w:r>
      <w:r>
        <w:t>316</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_Toc176259755 \h </w:instrText>
      </w:r>
      <w:r>
        <w:fldChar w:fldCharType="separate"/>
      </w:r>
      <w:r>
        <w:t>317</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_Toc176259756 \h </w:instrText>
      </w:r>
      <w:r>
        <w:fldChar w:fldCharType="separate"/>
      </w:r>
      <w:r>
        <w:t>318</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_Toc176259757 \h </w:instrText>
      </w:r>
      <w:r>
        <w:fldChar w:fldCharType="separate"/>
      </w:r>
      <w:r>
        <w:t>319</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_Toc176259758 \h </w:instrText>
      </w:r>
      <w:r>
        <w:fldChar w:fldCharType="separate"/>
      </w:r>
      <w:r>
        <w:t>320</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_Toc176259759 \h </w:instrText>
      </w:r>
      <w:r>
        <w:fldChar w:fldCharType="separate"/>
      </w:r>
      <w:r>
        <w:t>322</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_Toc176259760 \h </w:instrText>
      </w:r>
      <w:r>
        <w:fldChar w:fldCharType="separate"/>
      </w:r>
      <w:r>
        <w:t>322</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_Toc176259761 \h </w:instrText>
      </w:r>
      <w:r>
        <w:fldChar w:fldCharType="separate"/>
      </w:r>
      <w:r>
        <w:t>322</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_Toc176259762 \h </w:instrText>
      </w:r>
      <w:r>
        <w:fldChar w:fldCharType="separate"/>
      </w:r>
      <w:r>
        <w:t>324</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_Toc176259763 \h </w:instrText>
      </w:r>
      <w:r>
        <w:fldChar w:fldCharType="separate"/>
      </w:r>
      <w:r>
        <w:t>325</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_Toc176259764 \h </w:instrText>
      </w:r>
      <w:r>
        <w:fldChar w:fldCharType="separate"/>
      </w:r>
      <w:r>
        <w:t>326</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_Toc176259765 \h </w:instrText>
      </w:r>
      <w:r>
        <w:fldChar w:fldCharType="separate"/>
      </w:r>
      <w:r>
        <w:t>327</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_Toc176259766 \h </w:instrText>
      </w:r>
      <w:r>
        <w:fldChar w:fldCharType="separate"/>
      </w:r>
      <w:r>
        <w:t>327</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_Toc176259767 \h </w:instrText>
      </w:r>
      <w:r>
        <w:fldChar w:fldCharType="separate"/>
      </w:r>
      <w:r>
        <w:t>328</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_Toc176259768 \h </w:instrText>
      </w:r>
      <w:r>
        <w:fldChar w:fldCharType="separate"/>
      </w:r>
      <w:r>
        <w:t>328</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_Toc176259769 \h </w:instrText>
      </w:r>
      <w:r>
        <w:fldChar w:fldCharType="separate"/>
      </w:r>
      <w:r>
        <w:t>328</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_Toc176259771 \h </w:instrText>
      </w:r>
      <w:r>
        <w:fldChar w:fldCharType="separate"/>
      </w:r>
      <w:r>
        <w:t>329</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_Toc176259772 \h </w:instrText>
      </w:r>
      <w:r>
        <w:fldChar w:fldCharType="separate"/>
      </w:r>
      <w:r>
        <w:t>329</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_Toc176259773 \h </w:instrText>
      </w:r>
      <w:r>
        <w:fldChar w:fldCharType="separate"/>
      </w:r>
      <w:r>
        <w:t>330</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_Toc176259774 \h </w:instrText>
      </w:r>
      <w:r>
        <w:fldChar w:fldCharType="separate"/>
      </w:r>
      <w:r>
        <w:t>331</w:t>
      </w:r>
      <w:r>
        <w:fldChar w:fldCharType="end"/>
      </w:r>
    </w:p>
    <w:p>
      <w:pPr>
        <w:pStyle w:val="TOC2"/>
        <w:tabs>
          <w:tab w:val="right" w:leader="dot" w:pos="7077"/>
        </w:tabs>
        <w:rPr>
          <w:rFonts w:asciiTheme="minorHAnsi" w:eastAsiaTheme="minorEastAsia" w:hAnsiTheme="minorHAnsi" w:cstheme="minorBidi"/>
          <w:b w:val="0"/>
          <w:sz w:val="22"/>
          <w:szCs w:val="22"/>
        </w:rPr>
      </w:pPr>
      <w:r>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_Toc176259777 \h </w:instrText>
      </w:r>
      <w:r>
        <w:fldChar w:fldCharType="separate"/>
      </w:r>
      <w:r>
        <w:t>333</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_Toc176259778 \h </w:instrText>
      </w:r>
      <w:r>
        <w:fldChar w:fldCharType="separate"/>
      </w:r>
      <w:r>
        <w:t>334</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_Toc176259779 \h </w:instrText>
      </w:r>
      <w:r>
        <w:fldChar w:fldCharType="separate"/>
      </w:r>
      <w:r>
        <w:t>334</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_Toc176259782 \h </w:instrText>
      </w:r>
      <w:r>
        <w:fldChar w:fldCharType="separate"/>
      </w:r>
      <w:r>
        <w:t>335</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_Toc176259783 \h </w:instrText>
      </w:r>
      <w:r>
        <w:fldChar w:fldCharType="separate"/>
      </w:r>
      <w:r>
        <w:t>335</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_Toc176259784 \h </w:instrText>
      </w:r>
      <w:r>
        <w:fldChar w:fldCharType="separate"/>
      </w:r>
      <w:r>
        <w:t>335</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_Toc176259785 \h </w:instrText>
      </w:r>
      <w:r>
        <w:fldChar w:fldCharType="separate"/>
      </w:r>
      <w:r>
        <w:t>336</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_Toc176259786 \h </w:instrText>
      </w:r>
      <w:r>
        <w:fldChar w:fldCharType="separate"/>
      </w:r>
      <w:r>
        <w:t>336</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_Toc176259787 \h </w:instrText>
      </w:r>
      <w:r>
        <w:fldChar w:fldCharType="separate"/>
      </w:r>
      <w:r>
        <w:t>337</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_Toc176259789 \h </w:instrText>
      </w:r>
      <w:r>
        <w:fldChar w:fldCharType="separate"/>
      </w:r>
      <w:r>
        <w:t>339</w:t>
      </w:r>
      <w:r>
        <w:fldChar w:fldCharType="end"/>
      </w:r>
    </w:p>
    <w:p>
      <w:pPr>
        <w:pStyle w:val="TOC8"/>
        <w:rPr>
          <w:rFonts w:asciiTheme="minorHAnsi" w:eastAsiaTheme="minorEastAsia" w:hAnsiTheme="minorHAnsi" w:cstheme="minorBidi"/>
          <w:szCs w:val="22"/>
        </w:rPr>
      </w:pPr>
      <w:r>
        <w:lastRenderedPageBreak/>
        <w:t>331.</w:t>
      </w:r>
      <w:r>
        <w:tab/>
        <w:t>Confidentiality of information received for scheme procedure purpose and for making of scheme decision</w:t>
      </w:r>
      <w:r>
        <w:tab/>
      </w:r>
      <w:r>
        <w:fldChar w:fldCharType="begin"/>
      </w:r>
      <w:r>
        <w:instrText xml:space="preserve"> PAGEREF _Toc176259790 \h </w:instrText>
      </w:r>
      <w:r>
        <w:fldChar w:fldCharType="separate"/>
      </w:r>
      <w:r>
        <w:t>340</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_Toc176259792 \h </w:instrText>
      </w:r>
      <w:r>
        <w:fldChar w:fldCharType="separate"/>
      </w:r>
      <w:r>
        <w:t>342</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_Toc176259793 \h </w:instrText>
      </w:r>
      <w:r>
        <w:fldChar w:fldCharType="separate"/>
      </w:r>
      <w:r>
        <w:t>343</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_Toc176259794 \h </w:instrText>
      </w:r>
      <w:r>
        <w:fldChar w:fldCharType="separate"/>
      </w:r>
      <w:r>
        <w:t>343</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_Toc176259795 \h </w:instrText>
      </w:r>
      <w:r>
        <w:fldChar w:fldCharType="separate"/>
      </w:r>
      <w:r>
        <w:t>344</w:t>
      </w:r>
      <w:r>
        <w:fldChar w:fldCharType="end"/>
      </w:r>
    </w:p>
    <w:p>
      <w:pPr>
        <w:pStyle w:val="TOC8"/>
        <w:rPr>
          <w:rFonts w:asciiTheme="minorHAnsi" w:eastAsiaTheme="minorEastAsia" w:hAnsiTheme="minorHAnsi" w:cstheme="minorBidi"/>
          <w:szCs w:val="22"/>
        </w:rPr>
      </w:pPr>
      <w:r>
        <w:t>335A.</w:t>
      </w:r>
      <w:r>
        <w:tab/>
        <w:t>Penalty privilege</w:t>
      </w:r>
      <w:r>
        <w:tab/>
      </w:r>
      <w:r>
        <w:fldChar w:fldCharType="begin"/>
      </w:r>
      <w:r>
        <w:instrText xml:space="preserve"> PAGEREF _Toc176259796 \h </w:instrText>
      </w:r>
      <w:r>
        <w:fldChar w:fldCharType="separate"/>
      </w:r>
      <w:r>
        <w:t>344</w:t>
      </w:r>
      <w:r>
        <w:fldChar w:fldCharType="end"/>
      </w:r>
    </w:p>
    <w:p>
      <w:pPr>
        <w:pStyle w:val="TOC8"/>
        <w:rPr>
          <w:rFonts w:asciiTheme="minorHAnsi" w:eastAsiaTheme="minorEastAsia" w:hAnsiTheme="minorHAnsi" w:cstheme="minorBidi"/>
          <w:szCs w:val="22"/>
        </w:rPr>
      </w:pPr>
      <w:r>
        <w:t>335B.</w:t>
      </w:r>
      <w:r>
        <w:tab/>
        <w:t>Court may grant relief from liability</w:t>
      </w:r>
      <w:r>
        <w:tab/>
      </w:r>
      <w:r>
        <w:fldChar w:fldCharType="begin"/>
      </w:r>
      <w:r>
        <w:instrText xml:space="preserve"> PAGEREF _Toc176259797 \h </w:instrText>
      </w:r>
      <w:r>
        <w:fldChar w:fldCharType="separate"/>
      </w:r>
      <w:r>
        <w:t>345</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_Toc176259798 \h </w:instrText>
      </w:r>
      <w:r>
        <w:fldChar w:fldCharType="separate"/>
      </w:r>
      <w:r>
        <w:t>345</w:t>
      </w:r>
      <w:r>
        <w:fldChar w:fldCharType="end"/>
      </w:r>
    </w:p>
    <w:p>
      <w:pPr>
        <w:pStyle w:val="TOC2"/>
        <w:tabs>
          <w:tab w:val="right" w:leader="dot" w:pos="7077"/>
        </w:tabs>
        <w:rPr>
          <w:rFonts w:asciiTheme="minorHAnsi" w:eastAsiaTheme="minorEastAsia" w:hAnsiTheme="minorHAnsi" w:cstheme="minorBidi"/>
          <w:b w:val="0"/>
          <w:sz w:val="22"/>
          <w:szCs w:val="22"/>
        </w:rPr>
      </w:pPr>
      <w:r>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_Toc176259802 \h </w:instrText>
      </w:r>
      <w:r>
        <w:fldChar w:fldCharType="separate"/>
      </w:r>
      <w:r>
        <w:t>356</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_Toc176259804 \h </w:instrText>
      </w:r>
      <w:r>
        <w:fldChar w:fldCharType="separate"/>
      </w:r>
      <w:r>
        <w:t>356</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_Toc176259805 \h </w:instrText>
      </w:r>
      <w:r>
        <w:fldChar w:fldCharType="separate"/>
      </w:r>
      <w:r>
        <w:t>357</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_Toc176259806 \h </w:instrText>
      </w:r>
      <w:r>
        <w:fldChar w:fldCharType="separate"/>
      </w:r>
      <w:r>
        <w:t>358</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_Toc176259807 \h </w:instrText>
      </w:r>
      <w:r>
        <w:fldChar w:fldCharType="separate"/>
      </w:r>
      <w:r>
        <w:t>358</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_Toc176259808 \h </w:instrText>
      </w:r>
      <w:r>
        <w:fldChar w:fldCharType="separate"/>
      </w:r>
      <w:r>
        <w:t>359</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_Toc176259809 \h </w:instrText>
      </w:r>
      <w:r>
        <w:fldChar w:fldCharType="separate"/>
      </w:r>
      <w:r>
        <w:t>359</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_Toc176259810 \h </w:instrText>
      </w:r>
      <w:r>
        <w:fldChar w:fldCharType="separate"/>
      </w:r>
      <w:r>
        <w:t>360</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_Toc176259811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_Toc176259813 \h </w:instrText>
      </w:r>
      <w:r>
        <w:fldChar w:fldCharType="separate"/>
      </w:r>
      <w:r>
        <w:t>362</w:t>
      </w:r>
      <w:r>
        <w:fldChar w:fldCharType="end"/>
      </w:r>
    </w:p>
    <w:p>
      <w:pPr>
        <w:pStyle w:val="TOC8"/>
        <w:rPr>
          <w:rFonts w:asciiTheme="minorHAnsi" w:eastAsiaTheme="minorEastAsia" w:hAnsiTheme="minorHAnsi" w:cstheme="minorBidi"/>
          <w:szCs w:val="22"/>
        </w:rPr>
      </w:pPr>
      <w:r>
        <w:lastRenderedPageBreak/>
        <w:t>11.</w:t>
      </w:r>
      <w:r>
        <w:tab/>
        <w:t>Provisions relating to defined terms and gender and number</w:t>
      </w:r>
      <w:r>
        <w:tab/>
      </w:r>
      <w:r>
        <w:fldChar w:fldCharType="begin"/>
      </w:r>
      <w:r>
        <w:instrText xml:space="preserve"> PAGEREF _Toc176259814 \h </w:instrText>
      </w:r>
      <w:r>
        <w:fldChar w:fldCharType="separate"/>
      </w:r>
      <w:r>
        <w:t>367</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_Toc176259815 \h </w:instrText>
      </w:r>
      <w:r>
        <w:fldChar w:fldCharType="separate"/>
      </w:r>
      <w:r>
        <w:t>367</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_Toc176259816 \h </w:instrText>
      </w:r>
      <w:r>
        <w:fldChar w:fldCharType="separate"/>
      </w:r>
      <w:r>
        <w:t>367</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_Toc176259817 \h </w:instrText>
      </w:r>
      <w:r>
        <w:fldChar w:fldCharType="separate"/>
      </w:r>
      <w:r>
        <w:t>368</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_Toc176259818 \h </w:instrText>
      </w:r>
      <w:r>
        <w:fldChar w:fldCharType="separate"/>
      </w:r>
      <w:r>
        <w:t>369</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_Toc176259819 \h </w:instrText>
      </w:r>
      <w:r>
        <w:fldChar w:fldCharType="separate"/>
      </w:r>
      <w:r>
        <w:t>369</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_Toc176259820 \h </w:instrText>
      </w:r>
      <w:r>
        <w:fldChar w:fldCharType="separate"/>
      </w:r>
      <w:r>
        <w:t>370</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_Toc176259821 \h </w:instrText>
      </w:r>
      <w:r>
        <w:fldChar w:fldCharType="separate"/>
      </w:r>
      <w:r>
        <w:t>370</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_Toc176259823 \h </w:instrText>
      </w:r>
      <w:r>
        <w:fldChar w:fldCharType="separate"/>
      </w:r>
      <w:r>
        <w:t>371</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_Toc176259824 \h </w:instrText>
      </w:r>
      <w:r>
        <w:fldChar w:fldCharType="separate"/>
      </w:r>
      <w:r>
        <w:t>372</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_Toc176259825 \h </w:instrText>
      </w:r>
      <w:r>
        <w:fldChar w:fldCharType="separate"/>
      </w:r>
      <w:r>
        <w:t>372</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_Toc176259826 \h </w:instrText>
      </w:r>
      <w:r>
        <w:fldChar w:fldCharType="separate"/>
      </w:r>
      <w:r>
        <w:t>373</w:t>
      </w:r>
      <w:r>
        <w:fldChar w:fldCharType="end"/>
      </w:r>
    </w:p>
    <w:p>
      <w:pPr>
        <w:pStyle w:val="TOC8"/>
        <w:rPr>
          <w:rFonts w:asciiTheme="minorHAnsi" w:eastAsiaTheme="minorEastAsia" w:hAnsiTheme="minorHAnsi" w:cstheme="minorBidi"/>
          <w:szCs w:val="22"/>
        </w:rPr>
      </w:pPr>
      <w:r>
        <w:t>23.</w:t>
      </w:r>
      <w:r>
        <w:tab/>
        <w:t>Appointments may be made by name or office</w:t>
      </w:r>
      <w:r>
        <w:tab/>
      </w:r>
      <w:r>
        <w:fldChar w:fldCharType="begin"/>
      </w:r>
      <w:r>
        <w:instrText xml:space="preserve"> PAGEREF _Toc176259827 \h </w:instrText>
      </w:r>
      <w:r>
        <w:fldChar w:fldCharType="separate"/>
      </w:r>
      <w:r>
        <w:t>374</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_Toc176259828 \h </w:instrText>
      </w:r>
      <w:r>
        <w:fldChar w:fldCharType="separate"/>
      </w:r>
      <w:r>
        <w:t>374</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_Toc176259829 \h </w:instrText>
      </w:r>
      <w:r>
        <w:fldChar w:fldCharType="separate"/>
      </w:r>
      <w:r>
        <w:t>376</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_Toc176259830 \h </w:instrText>
      </w:r>
      <w:r>
        <w:fldChar w:fldCharType="separate"/>
      </w:r>
      <w:r>
        <w:t>377</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_Toc176259831 \h </w:instrText>
      </w:r>
      <w:r>
        <w:fldChar w:fldCharType="separate"/>
      </w:r>
      <w:r>
        <w:t>378</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_Toc176259832 \h </w:instrText>
      </w:r>
      <w:r>
        <w:fldChar w:fldCharType="separate"/>
      </w:r>
      <w:r>
        <w:t>381</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_Toc176259834 \h </w:instrText>
      </w:r>
      <w:r>
        <w:fldChar w:fldCharType="separate"/>
      </w:r>
      <w:r>
        <w:t>381</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_Toc176259836 \h </w:instrText>
      </w:r>
      <w:r>
        <w:fldChar w:fldCharType="separate"/>
      </w:r>
      <w:r>
        <w:t>382</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_Toc176259837 \h </w:instrText>
      </w:r>
      <w:r>
        <w:fldChar w:fldCharType="separate"/>
      </w:r>
      <w:r>
        <w:t>384</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_Toc176259840 \h </w:instrText>
      </w:r>
      <w:r>
        <w:fldChar w:fldCharType="separate"/>
      </w:r>
      <w:r>
        <w:t>384</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_Toc176259841 \h </w:instrText>
      </w:r>
      <w:r>
        <w:fldChar w:fldCharType="separate"/>
      </w:r>
      <w:r>
        <w:t>385</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_Toc176259843 \h </w:instrText>
      </w:r>
      <w:r>
        <w:fldChar w:fldCharType="separate"/>
      </w:r>
      <w:r>
        <w:t>385</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_Toc176259844 \h </w:instrText>
      </w:r>
      <w:r>
        <w:fldChar w:fldCharType="separate"/>
      </w:r>
      <w:r>
        <w:t>386</w:t>
      </w:r>
      <w:r>
        <w:fldChar w:fldCharType="end"/>
      </w:r>
    </w:p>
    <w:p>
      <w:pPr>
        <w:pStyle w:val="TOC8"/>
        <w:rPr>
          <w:rFonts w:asciiTheme="minorHAnsi" w:eastAsiaTheme="minorEastAsia" w:hAnsiTheme="minorHAnsi" w:cstheme="minorBidi"/>
          <w:szCs w:val="22"/>
        </w:rPr>
      </w:pPr>
      <w:r>
        <w:lastRenderedPageBreak/>
        <w:t>35.</w:t>
      </w:r>
      <w:r>
        <w:tab/>
        <w:t>Evidentiary certificates—AEMC</w:t>
      </w:r>
      <w:r>
        <w:tab/>
      </w:r>
      <w:r>
        <w:fldChar w:fldCharType="begin"/>
      </w:r>
      <w:r>
        <w:instrText xml:space="preserve"> PAGEREF _Toc176259845 \h </w:instrText>
      </w:r>
      <w:r>
        <w:fldChar w:fldCharType="separate"/>
      </w:r>
      <w:r>
        <w:t>388</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_Toc176259846 \h </w:instrText>
      </w:r>
      <w:r>
        <w:fldChar w:fldCharType="separate"/>
      </w:r>
      <w:r>
        <w:t>388</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_Toc176259847 \h </w:instrText>
      </w:r>
      <w:r>
        <w:fldChar w:fldCharType="separate"/>
      </w:r>
      <w:r>
        <w:t>389</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_Toc176259848 \h </w:instrText>
      </w:r>
      <w:r>
        <w:fldChar w:fldCharType="separate"/>
      </w:r>
      <w:r>
        <w:t>389</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_Toc176259850 \h </w:instrText>
      </w:r>
      <w:r>
        <w:fldChar w:fldCharType="separate"/>
      </w:r>
      <w:r>
        <w:t>390</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_Toc176259851 \h </w:instrText>
      </w:r>
      <w:r>
        <w:fldChar w:fldCharType="separate"/>
      </w:r>
      <w:r>
        <w:t>390</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_Toc176259853 \h </w:instrText>
      </w:r>
      <w:r>
        <w:fldChar w:fldCharType="separate"/>
      </w:r>
      <w:r>
        <w:t>390</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_Toc176259854 \h </w:instrText>
      </w:r>
      <w:r>
        <w:fldChar w:fldCharType="separate"/>
      </w:r>
      <w:r>
        <w:t>391</w:t>
      </w:r>
      <w:r>
        <w:fldChar w:fldCharType="end"/>
      </w:r>
    </w:p>
    <w:p>
      <w:pPr>
        <w:pStyle w:val="TOC8"/>
        <w:rPr>
          <w:rFonts w:asciiTheme="minorHAnsi" w:eastAsiaTheme="minorEastAsia" w:hAnsiTheme="minorHAnsi" w:cstheme="minorBidi"/>
          <w:szCs w:val="22"/>
        </w:rPr>
      </w:pPr>
      <w:r>
        <w:t>43.</w:t>
      </w:r>
      <w:r>
        <w:tab/>
        <w:t>Saving of operation of repealed Law, Regulation or Rule provisions</w:t>
      </w:r>
      <w:r>
        <w:tab/>
      </w:r>
      <w:r>
        <w:fldChar w:fldCharType="begin"/>
      </w:r>
      <w:r>
        <w:instrText xml:space="preserve"> PAGEREF _Toc176259855 \h </w:instrText>
      </w:r>
      <w:r>
        <w:fldChar w:fldCharType="separate"/>
      </w:r>
      <w:r>
        <w:t>391</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_Toc176259856 \h </w:instrText>
      </w:r>
      <w:r>
        <w:fldChar w:fldCharType="separate"/>
      </w:r>
      <w:r>
        <w:t>392</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_Toc176259857 \h </w:instrText>
      </w:r>
      <w:r>
        <w:fldChar w:fldCharType="separate"/>
      </w:r>
      <w:r>
        <w:t>392</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_Toc176259859 \h </w:instrText>
      </w:r>
      <w:r>
        <w:fldChar w:fldCharType="separate"/>
      </w:r>
      <w:r>
        <w:t>392</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_Toc176259860 \h </w:instrText>
      </w:r>
      <w:r>
        <w:fldChar w:fldCharType="separate"/>
      </w:r>
      <w:r>
        <w:t>393</w:t>
      </w:r>
      <w:r>
        <w:fldChar w:fldCharType="end"/>
      </w:r>
    </w:p>
    <w:p>
      <w:pPr>
        <w:pStyle w:val="TOC8"/>
        <w:rPr>
          <w:rFonts w:asciiTheme="minorHAnsi" w:eastAsiaTheme="minorEastAsia" w:hAnsiTheme="minorHAnsi" w:cstheme="minorBidi"/>
          <w:szCs w:val="22"/>
        </w:rPr>
      </w:pPr>
      <w:r>
        <w:t>47A.</w:t>
      </w:r>
      <w:r>
        <w:tab/>
        <w:t>Indexation of civil penalty amounts</w:t>
      </w:r>
      <w:r>
        <w:tab/>
      </w:r>
      <w:r>
        <w:fldChar w:fldCharType="begin"/>
      </w:r>
      <w:r>
        <w:instrText xml:space="preserve"> PAGEREF _Toc176259861 \h </w:instrText>
      </w:r>
      <w:r>
        <w:fldChar w:fldCharType="separate"/>
      </w:r>
      <w:r>
        <w:t>393</w:t>
      </w:r>
      <w:r>
        <w:fldChar w:fldCharType="end"/>
      </w:r>
    </w:p>
    <w:p>
      <w:pPr>
        <w:pStyle w:val="TOC8"/>
        <w:rPr>
          <w:rFonts w:asciiTheme="minorHAnsi" w:eastAsiaTheme="minorEastAsia" w:hAnsiTheme="minorHAnsi" w:cstheme="minorBidi"/>
          <w:szCs w:val="22"/>
        </w:rPr>
      </w:pPr>
      <w:r>
        <w:t>47B.</w:t>
      </w:r>
      <w:r>
        <w:tab/>
        <w:t>Indexation of criminal penalties</w:t>
      </w:r>
      <w:r>
        <w:tab/>
      </w:r>
      <w:r>
        <w:fldChar w:fldCharType="begin"/>
      </w:r>
      <w:r>
        <w:instrText xml:space="preserve"> PAGEREF _Toc176259862 \h </w:instrText>
      </w:r>
      <w:r>
        <w:fldChar w:fldCharType="separate"/>
      </w:r>
      <w:r>
        <w:t>394</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_Toc176259863 \h </w:instrText>
      </w:r>
      <w:r>
        <w:fldChar w:fldCharType="separate"/>
      </w:r>
      <w:r>
        <w:t>395</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_Toc176259864 \h </w:instrText>
      </w:r>
      <w:r>
        <w:fldChar w:fldCharType="separate"/>
      </w:r>
      <w:r>
        <w:t>395</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_Toc176259865 \h </w:instrText>
      </w:r>
      <w:r>
        <w:fldChar w:fldCharType="separate"/>
      </w:r>
      <w:r>
        <w:t>397</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_Toc176259867 \h </w:instrText>
      </w:r>
      <w:r>
        <w:fldChar w:fldCharType="separate"/>
      </w:r>
      <w:r>
        <w:t>397</w:t>
      </w:r>
      <w:r>
        <w:fldChar w:fldCharType="end"/>
      </w:r>
    </w:p>
    <w:p>
      <w:pPr>
        <w:pStyle w:val="TOC8"/>
        <w:rPr>
          <w:rFonts w:asciiTheme="minorHAnsi" w:eastAsiaTheme="minorEastAsia" w:hAnsiTheme="minorHAnsi" w:cstheme="minorBidi"/>
          <w:szCs w:val="22"/>
        </w:rPr>
      </w:pPr>
      <w:r>
        <w:t>51A.</w:t>
      </w:r>
      <w:r>
        <w:tab/>
        <w:t>Rate of return instrument construed not to exceed the legislative power of the Legislature of this jurisdiction or the powers conferred by this Law</w:t>
      </w:r>
      <w:r>
        <w:tab/>
      </w:r>
      <w:r>
        <w:fldChar w:fldCharType="begin"/>
      </w:r>
      <w:r>
        <w:instrText xml:space="preserve"> PAGEREF _Toc176259868 \h </w:instrText>
      </w:r>
      <w:r>
        <w:fldChar w:fldCharType="separate"/>
      </w:r>
      <w:r>
        <w:t>397</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_Toc176259869 \h </w:instrText>
      </w:r>
      <w:r>
        <w:fldChar w:fldCharType="separate"/>
      </w:r>
      <w:r>
        <w:t>398</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_Toc176259870 \h </w:instrText>
      </w:r>
      <w:r>
        <w:fldChar w:fldCharType="separate"/>
      </w:r>
      <w:r>
        <w:t>399</w:t>
      </w:r>
      <w:r>
        <w:fldChar w:fldCharType="end"/>
      </w:r>
    </w:p>
    <w:p>
      <w:pPr>
        <w:pStyle w:val="TOC8"/>
        <w:rPr>
          <w:rFonts w:asciiTheme="minorHAnsi" w:eastAsiaTheme="minorEastAsia" w:hAnsiTheme="minorHAnsi" w:cstheme="minorBidi"/>
          <w:szCs w:val="22"/>
        </w:rPr>
      </w:pPr>
      <w:r>
        <w:t>53A.</w:t>
      </w:r>
      <w:r>
        <w:tab/>
        <w:t>Invalid rate of return instrument</w:t>
      </w:r>
      <w:r>
        <w:tab/>
      </w:r>
      <w:r>
        <w:fldChar w:fldCharType="begin"/>
      </w:r>
      <w:r>
        <w:instrText xml:space="preserve"> PAGEREF _Toc176259871 \h </w:instrText>
      </w:r>
      <w:r>
        <w:fldChar w:fldCharType="separate"/>
      </w:r>
      <w:r>
        <w:t>400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_Toc176259874 \h </w:instrText>
      </w:r>
      <w:r>
        <w:fldChar w:fldCharType="separate"/>
      </w:r>
      <w:r>
        <w:t>402</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_Toc176259875 \h </w:instrText>
      </w:r>
      <w:r>
        <w:fldChar w:fldCharType="separate"/>
      </w:r>
      <w:r>
        <w:t>405</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_Toc176259877 \h </w:instrText>
      </w:r>
      <w:r>
        <w:fldChar w:fldCharType="separate"/>
      </w:r>
      <w:r>
        <w:t>405</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_Toc176259879 \h </w:instrText>
      </w:r>
      <w:r>
        <w:fldChar w:fldCharType="separate"/>
      </w:r>
      <w:r>
        <w:t>406</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_Toc176259880 \h </w:instrText>
      </w:r>
      <w:r>
        <w:fldChar w:fldCharType="separate"/>
      </w:r>
      <w:r>
        <w:t>406</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_Toc176259881 \h </w:instrText>
      </w:r>
      <w:r>
        <w:fldChar w:fldCharType="separate"/>
      </w:r>
      <w:r>
        <w:t>406</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_Toc176259882 \h </w:instrText>
      </w:r>
      <w:r>
        <w:fldChar w:fldCharType="separate"/>
      </w:r>
      <w:r>
        <w:t>406</w:t>
      </w:r>
      <w:r>
        <w:fldChar w:fldCharType="end"/>
      </w:r>
    </w:p>
    <w:p>
      <w:pPr>
        <w:pStyle w:val="TOC8"/>
        <w:rPr>
          <w:rFonts w:asciiTheme="minorHAnsi" w:eastAsiaTheme="minorEastAsia" w:hAnsiTheme="minorHAnsi" w:cstheme="minorBidi"/>
          <w:szCs w:val="22"/>
        </w:rPr>
      </w:pPr>
      <w:r>
        <w:t>8.</w:t>
      </w:r>
      <w:r>
        <w:tab/>
        <w:t>Pending coverage applications under old scheme (before NCC recommendation)</w:t>
      </w:r>
      <w:r>
        <w:tab/>
      </w:r>
      <w:r>
        <w:fldChar w:fldCharType="begin"/>
      </w:r>
      <w:r>
        <w:instrText xml:space="preserve"> PAGEREF _Toc176259883 \h </w:instrText>
      </w:r>
      <w:r>
        <w:fldChar w:fldCharType="separate"/>
      </w:r>
      <w:r>
        <w:t>407</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_Toc176259884 \h </w:instrText>
      </w:r>
      <w:r>
        <w:fldChar w:fldCharType="separate"/>
      </w:r>
      <w:r>
        <w:t>407</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_Toc176259885 \h </w:instrText>
      </w:r>
      <w:r>
        <w:fldChar w:fldCharType="separate"/>
      </w:r>
      <w:r>
        <w:t>408</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_Toc176259886 \h </w:instrText>
      </w:r>
      <w:r>
        <w:fldChar w:fldCharType="separate"/>
      </w:r>
      <w:r>
        <w:t>410</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_Toc176259887 \h </w:instrText>
      </w:r>
      <w:r>
        <w:fldChar w:fldCharType="separate"/>
      </w:r>
      <w:r>
        <w:t>410</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_Toc176259888 \h </w:instrText>
      </w:r>
      <w:r>
        <w:fldChar w:fldCharType="separate"/>
      </w:r>
      <w:r>
        <w:t>411</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_Toc176259889 \h </w:instrText>
      </w:r>
      <w:r>
        <w:fldChar w:fldCharType="separate"/>
      </w:r>
      <w:r>
        <w:t>412</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_Toc176259890 \h </w:instrText>
      </w:r>
      <w:r>
        <w:fldChar w:fldCharType="separate"/>
      </w:r>
      <w:r>
        <w:t>413</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_Toc176259891 \h </w:instrText>
      </w:r>
      <w:r>
        <w:fldChar w:fldCharType="separate"/>
      </w:r>
      <w:r>
        <w:t>414</w:t>
      </w:r>
      <w:r>
        <w:fldChar w:fldCharType="end"/>
      </w:r>
    </w:p>
    <w:p>
      <w:pPr>
        <w:pStyle w:val="TOC8"/>
        <w:rPr>
          <w:rFonts w:asciiTheme="minorHAnsi" w:eastAsiaTheme="minorEastAsia" w:hAnsiTheme="minorHAnsi" w:cstheme="minorBidi"/>
          <w:szCs w:val="22"/>
        </w:rPr>
      </w:pPr>
      <w:r>
        <w:lastRenderedPageBreak/>
        <w:t>17.</w:t>
      </w:r>
      <w:r>
        <w:tab/>
        <w:t>Pending relevant Minister decisions in relation to coverage revocation that are reviewed under old scheme</w:t>
      </w:r>
      <w:r>
        <w:tab/>
      </w:r>
      <w:r>
        <w:fldChar w:fldCharType="begin"/>
      </w:r>
      <w:r>
        <w:instrText xml:space="preserve"> PAGEREF _Toc176259892 \h </w:instrText>
      </w:r>
      <w:r>
        <w:fldChar w:fldCharType="separate"/>
      </w:r>
      <w:r>
        <w:t>415</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_Toc176259893 \h </w:instrText>
      </w:r>
      <w:r>
        <w:fldChar w:fldCharType="separate"/>
      </w:r>
      <w:r>
        <w:t>416</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_Toc176259894 \h </w:instrText>
      </w:r>
      <w:r>
        <w:fldChar w:fldCharType="separate"/>
      </w:r>
      <w:r>
        <w:t>417</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_Toc176259895 \h </w:instrText>
      </w:r>
      <w:r>
        <w:fldChar w:fldCharType="separate"/>
      </w:r>
      <w:r>
        <w:t>418</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_Toc176259896 \h </w:instrText>
      </w:r>
      <w:r>
        <w:fldChar w:fldCharType="separate"/>
      </w:r>
      <w:r>
        <w:t>419</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_Toc176259897 \h </w:instrText>
      </w:r>
      <w:r>
        <w:fldChar w:fldCharType="separate"/>
      </w:r>
      <w:r>
        <w:t>420</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_Toc176259898 \h </w:instrText>
      </w:r>
      <w:r>
        <w:fldChar w:fldCharType="separate"/>
      </w:r>
      <w:r>
        <w:t>420</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_Toc176259899 \h </w:instrText>
      </w:r>
      <w:r>
        <w:fldChar w:fldCharType="separate"/>
      </w:r>
      <w:r>
        <w:t>421</w:t>
      </w:r>
      <w:r>
        <w:fldChar w:fldCharType="end"/>
      </w:r>
    </w:p>
    <w:p>
      <w:pPr>
        <w:pStyle w:val="TOC8"/>
        <w:rPr>
          <w:rFonts w:asciiTheme="minorHAnsi" w:eastAsiaTheme="minorEastAsia" w:hAnsiTheme="minorHAnsi" w:cstheme="minorBidi"/>
          <w:szCs w:val="22"/>
        </w:rPr>
      </w:pPr>
      <w:r>
        <w:t>25.</w:t>
      </w:r>
      <w:r>
        <w:tab/>
        <w:t>Pending relevant Minister decisions in relation to binding no</w:t>
      </w:r>
      <w:r>
        <w:noBreakHyphen/>
        <w:t>coverage determinations that are reviewed under old scheme</w:t>
      </w:r>
      <w:r>
        <w:tab/>
      </w:r>
      <w:r>
        <w:fldChar w:fldCharType="begin"/>
      </w:r>
      <w:r>
        <w:instrText xml:space="preserve"> PAGEREF _Toc176259900 \h </w:instrText>
      </w:r>
      <w:r>
        <w:fldChar w:fldCharType="separate"/>
      </w:r>
      <w:r>
        <w:t>422</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_Toc176259902 \h </w:instrText>
      </w:r>
      <w:r>
        <w:fldChar w:fldCharType="separate"/>
      </w:r>
      <w:r>
        <w:t>424</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_Toc176259903 \h </w:instrText>
      </w:r>
      <w:r>
        <w:fldChar w:fldCharType="separate"/>
      </w:r>
      <w:r>
        <w:t>424</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_Toc176259904 \h </w:instrText>
      </w:r>
      <w:r>
        <w:fldChar w:fldCharType="separate"/>
      </w:r>
      <w:r>
        <w:t>424</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_Toc176259905 \h </w:instrText>
      </w:r>
      <w:r>
        <w:fldChar w:fldCharType="separate"/>
      </w:r>
      <w:r>
        <w:t>426</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_Toc176259906 \h </w:instrText>
      </w:r>
      <w:r>
        <w:fldChar w:fldCharType="separate"/>
      </w:r>
      <w:r>
        <w:t>427</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_Toc176259907 \h </w:instrText>
      </w:r>
      <w:r>
        <w:fldChar w:fldCharType="separate"/>
      </w:r>
      <w:r>
        <w:t>428</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_Toc176259908 \h </w:instrText>
      </w:r>
      <w:r>
        <w:fldChar w:fldCharType="separate"/>
      </w:r>
      <w:r>
        <w:t>429</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_Toc176259909 \h </w:instrText>
      </w:r>
      <w:r>
        <w:fldChar w:fldCharType="separate"/>
      </w:r>
      <w:r>
        <w:t>430</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_Toc176259910 \h </w:instrText>
      </w:r>
      <w:r>
        <w:fldChar w:fldCharType="separate"/>
      </w:r>
      <w:r>
        <w:t>430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_Toc176259912 \h </w:instrText>
      </w:r>
      <w:r>
        <w:fldChar w:fldCharType="separate"/>
      </w:r>
      <w:r>
        <w:t>430</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_Toc176259913 \h </w:instrText>
      </w:r>
      <w:r>
        <w:fldChar w:fldCharType="separate"/>
      </w:r>
      <w:r>
        <w:t>430</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_Toc176259914 \h </w:instrText>
      </w:r>
      <w:r>
        <w:fldChar w:fldCharType="separate"/>
      </w:r>
      <w:r>
        <w:t>431</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_Toc176259916 \h </w:instrText>
      </w:r>
      <w:r>
        <w:fldChar w:fldCharType="separate"/>
      </w:r>
      <w:r>
        <w:t>431</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_Toc176259917 \h </w:instrText>
      </w:r>
      <w:r>
        <w:fldChar w:fldCharType="separate"/>
      </w:r>
      <w:r>
        <w:t>432</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_Toc176259918 \h </w:instrText>
      </w:r>
      <w:r>
        <w:fldChar w:fldCharType="separate"/>
      </w:r>
      <w:r>
        <w:t>433</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_Toc176259919 \h </w:instrText>
      </w:r>
      <w:r>
        <w:fldChar w:fldCharType="separate"/>
      </w:r>
      <w:r>
        <w:t>434</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_Toc176259921 \h </w:instrText>
      </w:r>
      <w:r>
        <w:fldChar w:fldCharType="separate"/>
      </w:r>
      <w:r>
        <w:t>434</w:t>
      </w:r>
      <w:r>
        <w:fldChar w:fldCharType="end"/>
      </w:r>
    </w:p>
    <w:p>
      <w:pPr>
        <w:pStyle w:val="TOC4"/>
        <w:tabs>
          <w:tab w:val="right" w:leader="dot" w:pos="707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_Toc176259923 \h </w:instrText>
      </w:r>
      <w:r>
        <w:fldChar w:fldCharType="separate"/>
      </w:r>
      <w:r>
        <w:t>435</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_Toc176259924 \h </w:instrText>
      </w:r>
      <w:r>
        <w:fldChar w:fldCharType="separate"/>
      </w:r>
      <w:r>
        <w:t>436</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_Toc176259925 \h </w:instrText>
      </w:r>
      <w:r>
        <w:fldChar w:fldCharType="separate"/>
      </w:r>
      <w:r>
        <w:t>436</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_Toc176259927 \h </w:instrText>
      </w:r>
      <w:r>
        <w:fldChar w:fldCharType="separate"/>
      </w:r>
      <w:r>
        <w:t>437</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_Toc176259928 \h </w:instrText>
      </w:r>
      <w:r>
        <w:fldChar w:fldCharType="separate"/>
      </w:r>
      <w:r>
        <w:t>437</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_Toc176259929 \h </w:instrText>
      </w:r>
      <w:r>
        <w:fldChar w:fldCharType="separate"/>
      </w:r>
      <w:r>
        <w:t>439</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_Toc176259931 \h </w:instrText>
      </w:r>
      <w:r>
        <w:fldChar w:fldCharType="separate"/>
      </w:r>
      <w:r>
        <w:t>439</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_Toc176259932 \h </w:instrText>
      </w:r>
      <w:r>
        <w:fldChar w:fldCharType="separate"/>
      </w:r>
      <w:r>
        <w:t>440</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_Toc176259933 \h </w:instrText>
      </w:r>
      <w:r>
        <w:fldChar w:fldCharType="separate"/>
      </w:r>
      <w:r>
        <w:t>440</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_Toc176259934 \h </w:instrText>
      </w:r>
      <w:r>
        <w:fldChar w:fldCharType="separate"/>
      </w:r>
      <w:r>
        <w:t>440</w:t>
      </w:r>
      <w:r>
        <w:fldChar w:fldCharType="end"/>
      </w:r>
    </w:p>
    <w:p>
      <w:pPr>
        <w:pStyle w:val="TOC8"/>
        <w:rPr>
          <w:rFonts w:asciiTheme="minorHAnsi" w:eastAsiaTheme="minorEastAsia" w:hAnsiTheme="minorHAnsi" w:cstheme="minorBidi"/>
          <w:szCs w:val="22"/>
        </w:rPr>
      </w:pPr>
      <w:r>
        <w:lastRenderedPageBreak/>
        <w:t>53.</w:t>
      </w:r>
      <w:r>
        <w:tab/>
        <w:t>Old scheme classifications and scheme participant determinations</w:t>
      </w:r>
      <w:r>
        <w:tab/>
      </w:r>
      <w:r>
        <w:fldChar w:fldCharType="begin"/>
      </w:r>
      <w:r>
        <w:instrText xml:space="preserve"> PAGEREF _Toc176259935 \h </w:instrText>
      </w:r>
      <w:r>
        <w:fldChar w:fldCharType="separate"/>
      </w:r>
      <w:r>
        <w:t>441</w:t>
      </w:r>
      <w:r>
        <w:fldChar w:fldCharType="end"/>
      </w:r>
    </w:p>
    <w:p>
      <w:pPr>
        <w:pStyle w:val="TOC4"/>
        <w:tabs>
          <w:tab w:val="right" w:leader="dot" w:pos="7077"/>
        </w:tabs>
        <w:rPr>
          <w:rFonts w:asciiTheme="minorHAnsi" w:eastAsiaTheme="minorEastAsia" w:hAnsiTheme="minorHAnsi" w:cstheme="minorBidi"/>
          <w:b w:val="0"/>
          <w:szCs w:val="22"/>
        </w:rPr>
      </w:pPr>
      <w:r>
        <w:t>Part 15—Transitional provision related to AEMC rule making powers</w:t>
      </w:r>
    </w:p>
    <w:p>
      <w:pPr>
        <w:pStyle w:val="TOC8"/>
        <w:rPr>
          <w:rFonts w:asciiTheme="minorHAnsi" w:eastAsiaTheme="minorEastAsia" w:hAnsiTheme="minorHAnsi" w:cstheme="minorBidi"/>
          <w:szCs w:val="22"/>
        </w:rPr>
      </w:pPr>
      <w:r>
        <w:t>90.</w:t>
      </w:r>
      <w:r>
        <w:tab/>
        <w:t>AEMC rule making powers</w:t>
      </w:r>
      <w:r>
        <w:tab/>
      </w:r>
      <w:r>
        <w:fldChar w:fldCharType="begin"/>
      </w:r>
      <w:r>
        <w:instrText xml:space="preserve"> PAGEREF _Toc176259937 \h </w:instrText>
      </w:r>
      <w:r>
        <w:fldChar w:fldCharType="separate"/>
      </w:r>
      <w:r>
        <w:t>441</w:t>
      </w:r>
      <w:r>
        <w:fldChar w:fldCharType="end"/>
      </w:r>
    </w:p>
    <w:p>
      <w:pPr>
        <w:pStyle w:val="TOC4"/>
        <w:tabs>
          <w:tab w:val="right" w:leader="dot" w:pos="7077"/>
        </w:tabs>
        <w:rPr>
          <w:rFonts w:asciiTheme="minorHAnsi" w:eastAsiaTheme="minorEastAsia" w:hAnsiTheme="minorHAnsi" w:cstheme="minorBidi"/>
          <w:b w:val="0"/>
          <w:szCs w:val="22"/>
        </w:rPr>
      </w:pPr>
      <w:r>
        <w:t>Part 17—Transitional provisions for rate of return instrument</w:t>
      </w:r>
    </w:p>
    <w:p>
      <w:pPr>
        <w:pStyle w:val="TOC8"/>
        <w:rPr>
          <w:rFonts w:asciiTheme="minorHAnsi" w:eastAsiaTheme="minorEastAsia" w:hAnsiTheme="minorHAnsi" w:cstheme="minorBidi"/>
          <w:szCs w:val="22"/>
        </w:rPr>
      </w:pPr>
      <w:r>
        <w:t>95.</w:t>
      </w:r>
      <w:r>
        <w:tab/>
        <w:t>Definitions</w:t>
      </w:r>
      <w:r>
        <w:tab/>
      </w:r>
      <w:r>
        <w:fldChar w:fldCharType="begin"/>
      </w:r>
      <w:r>
        <w:instrText xml:space="preserve"> PAGEREF _Toc176259939 \h </w:instrText>
      </w:r>
      <w:r>
        <w:fldChar w:fldCharType="separate"/>
      </w:r>
      <w:r>
        <w:t>442</w:t>
      </w:r>
      <w:r>
        <w:fldChar w:fldCharType="end"/>
      </w:r>
    </w:p>
    <w:p>
      <w:pPr>
        <w:pStyle w:val="TOC8"/>
        <w:rPr>
          <w:rFonts w:asciiTheme="minorHAnsi" w:eastAsiaTheme="minorEastAsia" w:hAnsiTheme="minorHAnsi" w:cstheme="minorBidi"/>
          <w:szCs w:val="22"/>
        </w:rPr>
      </w:pPr>
      <w:r>
        <w:t>96.</w:t>
      </w:r>
      <w:r>
        <w:tab/>
        <w:t>Making first rate of return instrument if review not completed before commencement</w:t>
      </w:r>
      <w:r>
        <w:tab/>
      </w:r>
      <w:r>
        <w:fldChar w:fldCharType="begin"/>
      </w:r>
      <w:r>
        <w:instrText xml:space="preserve"> PAGEREF _Toc176259940 \h </w:instrText>
      </w:r>
      <w:r>
        <w:fldChar w:fldCharType="separate"/>
      </w:r>
      <w:r>
        <w:t>443</w:t>
      </w:r>
      <w:r>
        <w:fldChar w:fldCharType="end"/>
      </w:r>
    </w:p>
    <w:p>
      <w:pPr>
        <w:pStyle w:val="TOC8"/>
        <w:rPr>
          <w:rFonts w:asciiTheme="minorHAnsi" w:eastAsiaTheme="minorEastAsia" w:hAnsiTheme="minorHAnsi" w:cstheme="minorBidi"/>
          <w:szCs w:val="22"/>
        </w:rPr>
      </w:pPr>
      <w:r>
        <w:t>97.</w:t>
      </w:r>
      <w:r>
        <w:tab/>
        <w:t>Making first rate of return instrument if review completed before commencement</w:t>
      </w:r>
      <w:r>
        <w:tab/>
      </w:r>
      <w:r>
        <w:fldChar w:fldCharType="begin"/>
      </w:r>
      <w:r>
        <w:instrText xml:space="preserve"> PAGEREF _Toc176259941 \h </w:instrText>
      </w:r>
      <w:r>
        <w:fldChar w:fldCharType="separate"/>
      </w:r>
      <w:r>
        <w:t>444</w:t>
      </w:r>
      <w:r>
        <w:fldChar w:fldCharType="end"/>
      </w:r>
    </w:p>
    <w:p>
      <w:pPr>
        <w:pStyle w:val="TOC8"/>
        <w:rPr>
          <w:rFonts w:asciiTheme="minorHAnsi" w:eastAsiaTheme="minorEastAsia" w:hAnsiTheme="minorHAnsi" w:cstheme="minorBidi"/>
          <w:szCs w:val="22"/>
        </w:rPr>
      </w:pPr>
      <w:r>
        <w:t>98.</w:t>
      </w:r>
      <w:r>
        <w:tab/>
        <w:t>Application of this Law to particular decisions</w:t>
      </w:r>
      <w:r>
        <w:tab/>
      </w:r>
      <w:r>
        <w:fldChar w:fldCharType="begin"/>
      </w:r>
      <w:r>
        <w:instrText xml:space="preserve"> PAGEREF _Toc176259942 \h </w:instrText>
      </w:r>
      <w:r>
        <w:fldChar w:fldCharType="separate"/>
      </w:r>
      <w:r>
        <w:t>445</w:t>
      </w:r>
      <w:r>
        <w:fldChar w:fldCharType="end"/>
      </w:r>
    </w:p>
    <w:p>
      <w:pPr>
        <w:pStyle w:val="TOC4"/>
        <w:tabs>
          <w:tab w:val="right" w:leader="dot" w:pos="7077"/>
        </w:tabs>
        <w:rPr>
          <w:rFonts w:asciiTheme="minorHAnsi" w:eastAsiaTheme="minorEastAsia" w:hAnsiTheme="minorHAnsi" w:cstheme="minorBidi"/>
          <w:b w:val="0"/>
          <w:szCs w:val="22"/>
        </w:rPr>
      </w:pPr>
      <w:r>
        <w:t>Part 20—Transitional provisions related to national gas objective amendments</w:t>
      </w:r>
    </w:p>
    <w:p>
      <w:pPr>
        <w:pStyle w:val="TOC8"/>
        <w:rPr>
          <w:rFonts w:asciiTheme="minorHAnsi" w:eastAsiaTheme="minorEastAsia" w:hAnsiTheme="minorHAnsi" w:cstheme="minorBidi"/>
          <w:szCs w:val="22"/>
        </w:rPr>
      </w:pPr>
      <w:r>
        <w:t>133.</w:t>
      </w:r>
      <w:r>
        <w:tab/>
        <w:t>Definitions</w:t>
      </w:r>
      <w:r>
        <w:tab/>
      </w:r>
      <w:r>
        <w:fldChar w:fldCharType="begin"/>
      </w:r>
      <w:r>
        <w:instrText xml:space="preserve"> PAGEREF _Toc176259944 \h </w:instrText>
      </w:r>
      <w:r>
        <w:fldChar w:fldCharType="separate"/>
      </w:r>
      <w:r>
        <w:t>445</w:t>
      </w:r>
      <w:r>
        <w:fldChar w:fldCharType="end"/>
      </w:r>
    </w:p>
    <w:p>
      <w:pPr>
        <w:pStyle w:val="TOC8"/>
        <w:rPr>
          <w:rFonts w:asciiTheme="minorHAnsi" w:eastAsiaTheme="minorEastAsia" w:hAnsiTheme="minorHAnsi" w:cstheme="minorBidi"/>
          <w:szCs w:val="22"/>
        </w:rPr>
      </w:pPr>
      <w:r>
        <w:t>134.</w:t>
      </w:r>
      <w:r>
        <w:tab/>
        <w:t>When amended objective takes effect for particular matters</w:t>
      </w:r>
      <w:r>
        <w:tab/>
      </w:r>
      <w:r>
        <w:fldChar w:fldCharType="begin"/>
      </w:r>
      <w:r>
        <w:instrText xml:space="preserve"> PAGEREF _Toc176259945 \h </w:instrText>
      </w:r>
      <w:r>
        <w:fldChar w:fldCharType="separate"/>
      </w:r>
      <w:r>
        <w:t>446</w:t>
      </w:r>
      <w:r>
        <w:fldChar w:fldCharType="end"/>
      </w:r>
    </w:p>
    <w:p>
      <w:pPr>
        <w:pStyle w:val="TOC8"/>
        <w:rPr>
          <w:rFonts w:asciiTheme="minorHAnsi" w:eastAsiaTheme="minorEastAsia" w:hAnsiTheme="minorHAnsi" w:cstheme="minorBidi"/>
          <w:szCs w:val="22"/>
        </w:rPr>
      </w:pPr>
      <w:r>
        <w:t>135.</w:t>
      </w:r>
      <w:r>
        <w:tab/>
        <w:t>Application of national gas objective to particular matters in progress on start day</w:t>
      </w:r>
      <w:r>
        <w:tab/>
      </w:r>
      <w:r>
        <w:fldChar w:fldCharType="begin"/>
      </w:r>
      <w:r>
        <w:instrText xml:space="preserve"> PAGEREF _Toc176259946 \h </w:instrText>
      </w:r>
      <w:r>
        <w:fldChar w:fldCharType="separate"/>
      </w:r>
      <w:r>
        <w:t>448</w:t>
      </w:r>
      <w:r>
        <w:fldChar w:fldCharType="end"/>
      </w:r>
    </w:p>
    <w:p>
      <w:pPr>
        <w:pStyle w:val="TOC8"/>
        <w:rPr>
          <w:rFonts w:asciiTheme="minorHAnsi" w:eastAsiaTheme="minorEastAsia" w:hAnsiTheme="minorHAnsi" w:cstheme="minorBidi"/>
          <w:szCs w:val="22"/>
        </w:rPr>
      </w:pPr>
      <w:r>
        <w:t>136.</w:t>
      </w:r>
      <w:r>
        <w:tab/>
        <w:t>Administrative guidance for decisions under clause 135(3)</w:t>
      </w:r>
      <w:r>
        <w:tab/>
      </w:r>
      <w:r>
        <w:fldChar w:fldCharType="begin"/>
      </w:r>
      <w:r>
        <w:instrText xml:space="preserve"> PAGEREF _Toc176259947 \h </w:instrText>
      </w:r>
      <w:r>
        <w:fldChar w:fldCharType="separate"/>
      </w:r>
      <w:r>
        <w:t>449</w:t>
      </w:r>
      <w:r>
        <w:fldChar w:fldCharType="end"/>
      </w:r>
    </w:p>
    <w:p>
      <w:pPr>
        <w:pStyle w:val="TOC8"/>
        <w:rPr>
          <w:rFonts w:asciiTheme="minorHAnsi" w:eastAsiaTheme="minorEastAsia" w:hAnsiTheme="minorHAnsi" w:cstheme="minorBidi"/>
          <w:szCs w:val="22"/>
        </w:rPr>
      </w:pPr>
      <w:r>
        <w:t>137.</w:t>
      </w:r>
      <w:r>
        <w:tab/>
        <w:t>Administrative guidance about value of greenhouse gas</w:t>
      </w:r>
      <w:r>
        <w:rPr>
          <w:bCs/>
          <w:color w:val="000000"/>
        </w:rPr>
        <w:t xml:space="preserve"> </w:t>
      </w:r>
      <w:r>
        <w:t>emissions</w:t>
      </w:r>
      <w:r>
        <w:tab/>
      </w:r>
      <w:r>
        <w:fldChar w:fldCharType="begin"/>
      </w:r>
      <w:r>
        <w:instrText xml:space="preserve"> PAGEREF _Toc176259948 \h </w:instrText>
      </w:r>
      <w:r>
        <w:fldChar w:fldCharType="separate"/>
      </w:r>
      <w:r>
        <w:t>449</w:t>
      </w:r>
      <w:r>
        <w:fldChar w:fldCharType="end"/>
      </w:r>
    </w:p>
    <w:p>
      <w:pPr>
        <w:pStyle w:val="TOC8"/>
        <w:rPr>
          <w:rFonts w:asciiTheme="minorHAnsi" w:eastAsiaTheme="minorEastAsia" w:hAnsiTheme="minorHAnsi" w:cstheme="minorBidi"/>
          <w:szCs w:val="22"/>
        </w:rPr>
      </w:pPr>
      <w:r>
        <w:t>138.</w:t>
      </w:r>
      <w:r>
        <w:tab/>
        <w:t>Validation of things done in relation to Rules before commencement</w:t>
      </w:r>
      <w:r>
        <w:tab/>
      </w:r>
      <w:r>
        <w:fldChar w:fldCharType="begin"/>
      </w:r>
      <w:r>
        <w:instrText xml:space="preserve"> PAGEREF _Toc176259949 \h </w:instrText>
      </w:r>
      <w:r>
        <w:fldChar w:fldCharType="separate"/>
      </w:r>
      <w:r>
        <w:t>450</w:t>
      </w:r>
      <w:r>
        <w:fldChar w:fldCharType="end"/>
      </w:r>
    </w:p>
    <w:p>
      <w:pPr>
        <w:pStyle w:val="TOC2"/>
        <w:tabs>
          <w:tab w:val="right" w:leader="dot" w:pos="7077"/>
        </w:tabs>
        <w:rPr>
          <w:rFonts w:asciiTheme="minorHAnsi" w:eastAsiaTheme="minorEastAsia" w:hAnsiTheme="minorHAnsi" w:cstheme="minorBidi"/>
          <w:b w:val="0"/>
          <w:sz w:val="22"/>
          <w:szCs w:val="22"/>
        </w:rPr>
      </w:pPr>
      <w:r>
        <w:t>Notes about the Western Australian National Gas Access Law text</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_Toc176259951 \h </w:instrText>
      </w:r>
      <w:r>
        <w:fldChar w:fldCharType="separate"/>
      </w:r>
      <w:r>
        <w:t>452</w:t>
      </w:r>
      <w:r>
        <w:fldChar w:fldCharType="end"/>
      </w:r>
    </w:p>
    <w:p>
      <w:pPr>
        <w:pStyle w:val="TOC8"/>
        <w:rPr>
          <w:rFonts w:asciiTheme="minorHAnsi" w:eastAsiaTheme="minorEastAsia" w:hAnsiTheme="minorHAnsi" w:cstheme="minorBidi"/>
          <w:szCs w:val="22"/>
        </w:rPr>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pPr>
      <w:r>
        <w:t>National Gas Access (WA) Act 2009</w:t>
      </w:r>
    </w:p>
    <w:p>
      <w:pPr>
        <w:pStyle w:val="LongTitle"/>
        <w:suppressLineNumbers/>
        <w:rPr>
          <w:rFonts w:ascii="Times" w:hAnsi="Times"/>
        </w:rPr>
      </w:pPr>
      <w:bookmarkStart w:id="2" w:name="BillCited"/>
      <w:bookmarkEnd w:id="2"/>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75836193"/>
      <w:bookmarkStart w:id="4" w:name="_Toc175837302"/>
      <w:bookmarkStart w:id="5" w:name="_Toc175842010"/>
      <w:bookmarkStart w:id="6" w:name="_Toc175913611"/>
      <w:bookmarkStart w:id="7" w:name="_Toc175914415"/>
      <w:bookmarkStart w:id="8" w:name="_Toc175922306"/>
      <w:bookmarkStart w:id="9" w:name="_Toc176256610"/>
      <w:bookmarkStart w:id="10" w:name="_Toc176259148"/>
      <w:bookmarkStart w:id="11" w:name="_Hlk176258360"/>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p>
    <w:p>
      <w:pPr>
        <w:pStyle w:val="Heading5"/>
      </w:pPr>
      <w:bookmarkStart w:id="12" w:name="_Toc176259149"/>
      <w:r>
        <w:rPr>
          <w:rStyle w:val="CharSectno"/>
        </w:rPr>
        <w:t>1</w:t>
      </w:r>
      <w:r>
        <w:t>.</w:t>
      </w:r>
      <w:r>
        <w:tab/>
      </w:r>
      <w:r>
        <w:rPr>
          <w:snapToGrid w:val="0"/>
        </w:rPr>
        <w:t>Short title</w:t>
      </w:r>
      <w:bookmarkEnd w:id="12"/>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13" w:name="_Toc176259150"/>
      <w:r>
        <w:rPr>
          <w:rStyle w:val="CharSectno"/>
        </w:rPr>
        <w:t>2</w:t>
      </w:r>
      <w:r>
        <w:rPr>
          <w:snapToGrid w:val="0"/>
        </w:rPr>
        <w:t>.</w:t>
      </w:r>
      <w:r>
        <w:rPr>
          <w:snapToGrid w:val="0"/>
        </w:rPr>
        <w:tab/>
      </w:r>
      <w:r>
        <w:t>Commencement</w:t>
      </w:r>
      <w:bookmarkEnd w:id="13"/>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14" w:name="_Toc176259151"/>
      <w:r>
        <w:rPr>
          <w:rStyle w:val="CharSectno"/>
        </w:rPr>
        <w:t>3</w:t>
      </w:r>
      <w:r>
        <w:t>.</w:t>
      </w:r>
      <w:r>
        <w:tab/>
        <w:t>Terms used in this Act</w:t>
      </w:r>
      <w:bookmarkEnd w:id="14"/>
    </w:p>
    <w:p>
      <w:pPr>
        <w:pStyle w:val="Subsection"/>
      </w:pPr>
      <w:r>
        <w:tab/>
        <w:t>(1)</w:t>
      </w:r>
      <w:r>
        <w:tab/>
        <w:t xml:space="preserve">In this Act — </w:t>
      </w:r>
    </w:p>
    <w:p>
      <w:pPr>
        <w:pStyle w:val="Defstart"/>
        <w:tabs>
          <w:tab w:val="left" w:pos="960"/>
        </w:tabs>
      </w:pPr>
      <w:r>
        <w:rPr>
          <w:b/>
        </w:rPr>
        <w:tab/>
      </w:r>
      <w:r>
        <w:rPr>
          <w:rStyle w:val="CharDefText"/>
        </w:rPr>
        <w:t>National Gas Access (Western Australia)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15" w:name="_Toc176259152"/>
      <w:r>
        <w:rPr>
          <w:rStyle w:val="CharSectno"/>
        </w:rPr>
        <w:t>4</w:t>
      </w:r>
      <w:r>
        <w:t>.</w:t>
      </w:r>
      <w:r>
        <w:tab/>
        <w:t>Crown bound</w:t>
      </w:r>
      <w:bookmarkEnd w:id="15"/>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16" w:name="_Toc176259153"/>
      <w:r>
        <w:rPr>
          <w:rStyle w:val="CharSectno"/>
        </w:rPr>
        <w:lastRenderedPageBreak/>
        <w:t>5</w:t>
      </w:r>
      <w:r>
        <w:t>.</w:t>
      </w:r>
      <w:r>
        <w:tab/>
        <w:t>Application to coastal waters</w:t>
      </w:r>
      <w:bookmarkEnd w:id="16"/>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17" w:name="_Toc176259154"/>
      <w:r>
        <w:rPr>
          <w:rStyle w:val="CharSectno"/>
        </w:rPr>
        <w:t>6</w:t>
      </w:r>
      <w:r>
        <w:t>.</w:t>
      </w:r>
      <w:r>
        <w:tab/>
        <w:t>Extra</w:t>
      </w:r>
      <w:r>
        <w:noBreakHyphen/>
        <w:t>territorial operation</w:t>
      </w:r>
      <w:bookmarkEnd w:id="17"/>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18" w:name="_Toc176259155"/>
      <w:r>
        <w:rPr>
          <w:bCs/>
        </w:rPr>
        <w:t>6A</w:t>
      </w:r>
      <w:r>
        <w:t>.</w:t>
      </w:r>
      <w:r>
        <w:tab/>
        <w:t>Extension to certain pipelines for hauling gas other than natural gas</w:t>
      </w:r>
      <w:bookmarkEnd w:id="18"/>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 xml:space="preserve">as if, for the purposes of that subsection, a reference in that Law and those Regulations to natural gas were </w:t>
      </w:r>
      <w:r>
        <w:lastRenderedPageBreak/>
        <w:t>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19" w:name="_Toc176259156"/>
      <w:r>
        <w:rPr>
          <w:rStyle w:val="CharSectno"/>
        </w:rPr>
        <w:t>6B</w:t>
      </w:r>
      <w:r>
        <w:t>.</w:t>
      </w:r>
      <w:r>
        <w:tab/>
      </w:r>
      <w:r>
        <w:rPr>
          <w:i/>
          <w:iCs/>
        </w:rPr>
        <w:t>Interpretation Act 1984</w:t>
      </w:r>
      <w:r>
        <w:t xml:space="preserve"> does not apply</w:t>
      </w:r>
      <w:bookmarkEnd w:id="19"/>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20" w:name="_Toc175836202"/>
      <w:bookmarkStart w:id="21" w:name="_Toc175837311"/>
      <w:bookmarkStart w:id="22" w:name="_Toc175842019"/>
      <w:bookmarkStart w:id="23" w:name="_Toc175913620"/>
      <w:bookmarkStart w:id="24" w:name="_Toc175914424"/>
      <w:bookmarkStart w:id="25" w:name="_Toc175922315"/>
      <w:bookmarkStart w:id="26" w:name="_Toc176256619"/>
      <w:bookmarkStart w:id="27" w:name="_Toc176259157"/>
      <w:r>
        <w:rPr>
          <w:rStyle w:val="CharPartNo"/>
        </w:rPr>
        <w:lastRenderedPageBreak/>
        <w:t>Part 2</w:t>
      </w:r>
      <w:r>
        <w:rPr>
          <w:rStyle w:val="CharDivNo"/>
        </w:rPr>
        <w:t> </w:t>
      </w:r>
      <w:r>
        <w:t>—</w:t>
      </w:r>
      <w:r>
        <w:rPr>
          <w:rStyle w:val="CharDivText"/>
        </w:rPr>
        <w:t> </w:t>
      </w:r>
      <w:r>
        <w:rPr>
          <w:rStyle w:val="CharPartText"/>
        </w:rPr>
        <w:t>National Gas Access (Western Australia) Law and its regulations</w:t>
      </w:r>
      <w:bookmarkEnd w:id="20"/>
      <w:bookmarkEnd w:id="21"/>
      <w:bookmarkEnd w:id="22"/>
      <w:bookmarkEnd w:id="23"/>
      <w:bookmarkEnd w:id="24"/>
      <w:bookmarkEnd w:id="25"/>
      <w:bookmarkEnd w:id="26"/>
      <w:bookmarkEnd w:id="27"/>
    </w:p>
    <w:p>
      <w:pPr>
        <w:pStyle w:val="Heading5"/>
      </w:pPr>
      <w:bookmarkStart w:id="28" w:name="_Toc176259158"/>
      <w:r>
        <w:rPr>
          <w:rStyle w:val="CharSectno"/>
        </w:rPr>
        <w:t>7</w:t>
      </w:r>
      <w:r>
        <w:t>.</w:t>
      </w:r>
      <w:r>
        <w:tab/>
        <w:t>National Gas Access (Western Australia) Law</w:t>
      </w:r>
      <w:bookmarkEnd w:id="28"/>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29" w:name="_Toc176259159"/>
      <w:r>
        <w:rPr>
          <w:rStyle w:val="CharSectno"/>
        </w:rPr>
        <w:t>7A</w:t>
      </w:r>
      <w:r>
        <w:t>.</w:t>
      </w:r>
      <w:r>
        <w:tab/>
        <w:t>Amendments to Schedule to South Australian Act</w:t>
      </w:r>
      <w:bookmarkEnd w:id="29"/>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lastRenderedPageBreak/>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30" w:name="_Toc176259160"/>
      <w:r>
        <w:rPr>
          <w:rStyle w:val="CharSectno"/>
        </w:rPr>
        <w:t>7B</w:t>
      </w:r>
      <w:r>
        <w:t>.</w:t>
      </w:r>
      <w:r>
        <w:tab/>
        <w:t>Regulations amending Schedule 1 consequentially</w:t>
      </w:r>
      <w:bookmarkEnd w:id="30"/>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31" w:name="_Toc176259161"/>
      <w:r>
        <w:rPr>
          <w:bCs/>
        </w:rPr>
        <w:t>8</w:t>
      </w:r>
      <w:r>
        <w:t>.</w:t>
      </w:r>
      <w:r>
        <w:tab/>
        <w:t>National Gas Access (Western Australia) Regulations</w:t>
      </w:r>
      <w:bookmarkEnd w:id="31"/>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32" w:name="_Toc176259162"/>
      <w:r>
        <w:rPr>
          <w:rStyle w:val="CharSectno"/>
        </w:rPr>
        <w:t>9</w:t>
      </w:r>
      <w:r>
        <w:t>.</w:t>
      </w:r>
      <w:r>
        <w:tab/>
        <w:t>Terms used in National Gas Access (Western Australia) Law and its regulations</w:t>
      </w:r>
      <w:bookmarkEnd w:id="32"/>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lastRenderedPageBreak/>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w:t>
      </w:r>
      <w:r>
        <w:lastRenderedPageBreak/>
        <w:t>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33" w:name="_Toc175836208"/>
      <w:bookmarkStart w:id="34" w:name="_Toc175837317"/>
      <w:bookmarkStart w:id="35" w:name="_Toc175842025"/>
      <w:bookmarkStart w:id="36" w:name="_Toc175913626"/>
      <w:bookmarkStart w:id="37" w:name="_Toc175914430"/>
      <w:bookmarkStart w:id="38" w:name="_Toc175922321"/>
      <w:bookmarkStart w:id="39" w:name="_Toc176256625"/>
      <w:bookmarkStart w:id="40" w:name="_Toc176259163"/>
      <w:r>
        <w:rPr>
          <w:rStyle w:val="CharPartNo"/>
        </w:rPr>
        <w:lastRenderedPageBreak/>
        <w:t>Part 3</w:t>
      </w:r>
      <w:r>
        <w:rPr>
          <w:rStyle w:val="CharDivNo"/>
        </w:rPr>
        <w:t> </w:t>
      </w:r>
      <w:r>
        <w:t>—</w:t>
      </w:r>
      <w:r>
        <w:rPr>
          <w:rStyle w:val="CharDivText"/>
        </w:rPr>
        <w:t> </w:t>
      </w:r>
      <w:r>
        <w:rPr>
          <w:rStyle w:val="CharPartText"/>
        </w:rPr>
        <w:t>Regulations for the National Gas Access (Western Australia) Law</w:t>
      </w:r>
      <w:bookmarkEnd w:id="33"/>
      <w:bookmarkEnd w:id="34"/>
      <w:bookmarkEnd w:id="35"/>
      <w:bookmarkEnd w:id="36"/>
      <w:bookmarkEnd w:id="37"/>
      <w:bookmarkEnd w:id="38"/>
      <w:bookmarkEnd w:id="39"/>
      <w:bookmarkEnd w:id="40"/>
    </w:p>
    <w:p>
      <w:pPr>
        <w:pStyle w:val="Heading5"/>
      </w:pPr>
      <w:bookmarkStart w:id="41" w:name="_Toc176259164"/>
      <w:r>
        <w:rPr>
          <w:rStyle w:val="CharSectno"/>
        </w:rPr>
        <w:t>10</w:t>
      </w:r>
      <w:r>
        <w:t>.</w:t>
      </w:r>
      <w:r>
        <w:tab/>
        <w:t>Making regulations</w:t>
      </w:r>
      <w:bookmarkEnd w:id="41"/>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42" w:name="_Toc176259165"/>
      <w:r>
        <w:rPr>
          <w:rStyle w:val="CharSectno"/>
        </w:rPr>
        <w:lastRenderedPageBreak/>
        <w:t>11</w:t>
      </w:r>
      <w:r>
        <w:t>.</w:t>
      </w:r>
      <w:r>
        <w:tab/>
        <w:t>Regulations may deal with transitional matters</w:t>
      </w:r>
      <w:bookmarkEnd w:id="42"/>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lastRenderedPageBreak/>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43" w:name="_Toc175836211"/>
      <w:bookmarkStart w:id="44" w:name="_Toc175837320"/>
      <w:bookmarkStart w:id="45" w:name="_Toc175842028"/>
      <w:bookmarkStart w:id="46" w:name="_Toc175913629"/>
      <w:bookmarkStart w:id="47" w:name="_Toc175914433"/>
      <w:bookmarkStart w:id="48" w:name="_Toc175922324"/>
      <w:bookmarkStart w:id="49" w:name="_Toc176256628"/>
      <w:bookmarkStart w:id="50" w:name="_Toc176259166"/>
      <w:r>
        <w:rPr>
          <w:rStyle w:val="CharPartNo"/>
        </w:rPr>
        <w:lastRenderedPageBreak/>
        <w:t>Part 4</w:t>
      </w:r>
      <w:r>
        <w:t> — </w:t>
      </w:r>
      <w:r>
        <w:rPr>
          <w:rStyle w:val="CharPartText"/>
        </w:rPr>
        <w:t>Cross vesting of functions and powers</w:t>
      </w:r>
      <w:bookmarkEnd w:id="43"/>
      <w:bookmarkEnd w:id="44"/>
      <w:bookmarkEnd w:id="45"/>
      <w:bookmarkEnd w:id="46"/>
      <w:bookmarkEnd w:id="47"/>
      <w:bookmarkEnd w:id="48"/>
      <w:bookmarkEnd w:id="49"/>
      <w:bookmarkEnd w:id="50"/>
    </w:p>
    <w:p>
      <w:pPr>
        <w:pStyle w:val="Heading5"/>
      </w:pPr>
      <w:bookmarkStart w:id="51" w:name="_Toc176259167"/>
      <w:r>
        <w:rPr>
          <w:rStyle w:val="CharSectno"/>
        </w:rPr>
        <w:t>12</w:t>
      </w:r>
      <w:r>
        <w:t>.</w:t>
      </w:r>
      <w:r>
        <w:tab/>
        <w:t>Conferral of powers on Commonwealth Minister and Commonwealth bodies to act in this State</w:t>
      </w:r>
      <w:bookmarkEnd w:id="51"/>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52" w:name="_Toc176259168"/>
      <w:r>
        <w:rPr>
          <w:rStyle w:val="CharSectno"/>
        </w:rPr>
        <w:t>13</w:t>
      </w:r>
      <w:r>
        <w:t>.</w:t>
      </w:r>
      <w:r>
        <w:tab/>
        <w:t>Conferral of powers on Ministers of other</w:t>
      </w:r>
      <w:r>
        <w:rPr>
          <w:b w:val="0"/>
          <w:bCs/>
        </w:rPr>
        <w:t xml:space="preserve"> </w:t>
      </w:r>
      <w:r>
        <w:t>participating States and Territories to act in this State</w:t>
      </w:r>
      <w:bookmarkEnd w:id="52"/>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53" w:name="_Toc176259169"/>
      <w:r>
        <w:rPr>
          <w:rStyle w:val="CharSectno"/>
        </w:rPr>
        <w:t>14</w:t>
      </w:r>
      <w:r>
        <w:t>.</w:t>
      </w:r>
      <w:r>
        <w:tab/>
        <w:t>Conferral of functions or powers on State bodies</w:t>
      </w:r>
      <w:bookmarkEnd w:id="53"/>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54" w:name="_Toc175836215"/>
      <w:bookmarkStart w:id="55" w:name="_Toc175837324"/>
      <w:bookmarkStart w:id="56" w:name="_Toc175842032"/>
      <w:bookmarkStart w:id="57" w:name="_Toc175913633"/>
      <w:bookmarkStart w:id="58" w:name="_Toc175914437"/>
      <w:bookmarkStart w:id="59" w:name="_Toc175922328"/>
      <w:bookmarkStart w:id="60" w:name="_Toc176256632"/>
      <w:bookmarkStart w:id="61" w:name="_Toc176259170"/>
      <w:r>
        <w:rPr>
          <w:rStyle w:val="CharPartNo"/>
        </w:rPr>
        <w:lastRenderedPageBreak/>
        <w:t>Part 5</w:t>
      </w:r>
      <w:r>
        <w:t> — </w:t>
      </w:r>
      <w:r>
        <w:rPr>
          <w:rStyle w:val="CharPartText"/>
        </w:rPr>
        <w:t>General</w:t>
      </w:r>
      <w:bookmarkEnd w:id="54"/>
      <w:bookmarkEnd w:id="55"/>
      <w:bookmarkEnd w:id="56"/>
      <w:bookmarkEnd w:id="57"/>
      <w:bookmarkEnd w:id="58"/>
      <w:bookmarkEnd w:id="59"/>
      <w:bookmarkEnd w:id="60"/>
      <w:bookmarkEnd w:id="61"/>
    </w:p>
    <w:p>
      <w:pPr>
        <w:pStyle w:val="Heading5"/>
      </w:pPr>
      <w:bookmarkStart w:id="62" w:name="_Toc176259171"/>
      <w:r>
        <w:rPr>
          <w:rStyle w:val="CharSectno"/>
        </w:rPr>
        <w:t>15</w:t>
      </w:r>
      <w:r>
        <w:t>.</w:t>
      </w:r>
      <w:r>
        <w:tab/>
        <w:t>Exemption from taxes</w:t>
      </w:r>
      <w:bookmarkEnd w:id="62"/>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63" w:name="_Toc176259172"/>
      <w:r>
        <w:rPr>
          <w:rStyle w:val="CharSectno"/>
        </w:rPr>
        <w:t>16</w:t>
      </w:r>
      <w:r>
        <w:t>.</w:t>
      </w:r>
      <w:r>
        <w:tab/>
        <w:t>Actions in relation to cross boundary pipelines</w:t>
      </w:r>
      <w:bookmarkEnd w:id="63"/>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lastRenderedPageBreak/>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64" w:name="_Toc176259173"/>
      <w:r>
        <w:rPr>
          <w:rStyle w:val="CharSectno"/>
        </w:rPr>
        <w:lastRenderedPageBreak/>
        <w:t>17</w:t>
      </w:r>
      <w:r>
        <w:t>.</w:t>
      </w:r>
      <w:r>
        <w:tab/>
        <w:t>Conferral of functions and powers on Commonwealth bodies</w:t>
      </w:r>
      <w:bookmarkEnd w:id="64"/>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65" w:name="_Toc175836219"/>
      <w:bookmarkStart w:id="66" w:name="_Toc175837328"/>
      <w:bookmarkStart w:id="67" w:name="_Toc175842036"/>
      <w:bookmarkStart w:id="68" w:name="_Toc175913637"/>
      <w:bookmarkStart w:id="69" w:name="_Toc175914441"/>
      <w:bookmarkStart w:id="70" w:name="_Toc175922332"/>
      <w:bookmarkStart w:id="71" w:name="_Toc176256636"/>
      <w:bookmarkStart w:id="72" w:name="_Toc176259174"/>
      <w:r>
        <w:rPr>
          <w:rStyle w:val="CharPartNo"/>
        </w:rPr>
        <w:lastRenderedPageBreak/>
        <w:t>Part 6</w:t>
      </w:r>
      <w:r>
        <w:t> — </w:t>
      </w:r>
      <w:r>
        <w:rPr>
          <w:rStyle w:val="CharPartText"/>
        </w:rPr>
        <w:t>Other local provisions</w:t>
      </w:r>
      <w:bookmarkEnd w:id="65"/>
      <w:bookmarkEnd w:id="66"/>
      <w:bookmarkEnd w:id="67"/>
      <w:bookmarkEnd w:id="68"/>
      <w:bookmarkEnd w:id="69"/>
      <w:bookmarkEnd w:id="70"/>
      <w:bookmarkEnd w:id="71"/>
      <w:bookmarkEnd w:id="72"/>
    </w:p>
    <w:p>
      <w:pPr>
        <w:pStyle w:val="Heading3"/>
      </w:pPr>
      <w:bookmarkStart w:id="73" w:name="_Toc175836220"/>
      <w:bookmarkStart w:id="74" w:name="_Toc175837329"/>
      <w:bookmarkStart w:id="75" w:name="_Toc175842037"/>
      <w:bookmarkStart w:id="76" w:name="_Toc175913638"/>
      <w:bookmarkStart w:id="77" w:name="_Toc175914442"/>
      <w:bookmarkStart w:id="78" w:name="_Toc175922333"/>
      <w:bookmarkStart w:id="79" w:name="_Toc176256637"/>
      <w:bookmarkStart w:id="80" w:name="_Toc176259175"/>
      <w:r>
        <w:rPr>
          <w:rStyle w:val="CharDivNo"/>
        </w:rPr>
        <w:t>Division 1</w:t>
      </w:r>
      <w:r>
        <w:t> — </w:t>
      </w:r>
      <w:r>
        <w:rPr>
          <w:rStyle w:val="CharDivText"/>
        </w:rPr>
        <w:t>Economic Regulation Authority</w:t>
      </w:r>
      <w:bookmarkEnd w:id="73"/>
      <w:bookmarkEnd w:id="74"/>
      <w:bookmarkEnd w:id="75"/>
      <w:bookmarkEnd w:id="76"/>
      <w:bookmarkEnd w:id="77"/>
      <w:bookmarkEnd w:id="78"/>
      <w:bookmarkEnd w:id="79"/>
      <w:bookmarkEnd w:id="80"/>
    </w:p>
    <w:p>
      <w:pPr>
        <w:pStyle w:val="Heading5"/>
      </w:pPr>
      <w:bookmarkStart w:id="81" w:name="_Toc176259176"/>
      <w:r>
        <w:rPr>
          <w:rStyle w:val="CharSectno"/>
        </w:rPr>
        <w:t>18</w:t>
      </w:r>
      <w:r>
        <w:t>.</w:t>
      </w:r>
      <w:r>
        <w:tab/>
        <w:t>Expertise of Director of Energy Safety to be used</w:t>
      </w:r>
      <w:bookmarkEnd w:id="81"/>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82" w:name="_Toc175836222"/>
      <w:bookmarkStart w:id="83" w:name="_Toc175837331"/>
      <w:bookmarkStart w:id="84" w:name="_Toc175842039"/>
      <w:bookmarkStart w:id="85" w:name="_Toc175913640"/>
      <w:bookmarkStart w:id="86" w:name="_Toc175914444"/>
      <w:bookmarkStart w:id="87" w:name="_Toc175922335"/>
      <w:bookmarkStart w:id="88" w:name="_Toc176256639"/>
      <w:bookmarkStart w:id="89" w:name="_Toc176259177"/>
      <w:r>
        <w:rPr>
          <w:rStyle w:val="CharDivNo"/>
        </w:rPr>
        <w:t>Division 2</w:t>
      </w:r>
      <w:r>
        <w:t> — </w:t>
      </w:r>
      <w:r>
        <w:rPr>
          <w:rStyle w:val="CharDivText"/>
        </w:rPr>
        <w:t>Miscellaneous</w:t>
      </w:r>
      <w:bookmarkEnd w:id="82"/>
      <w:bookmarkEnd w:id="83"/>
      <w:bookmarkEnd w:id="84"/>
      <w:bookmarkEnd w:id="85"/>
      <w:bookmarkEnd w:id="86"/>
      <w:bookmarkEnd w:id="87"/>
      <w:bookmarkEnd w:id="88"/>
      <w:bookmarkEnd w:id="89"/>
    </w:p>
    <w:p>
      <w:pPr>
        <w:pStyle w:val="Heading5"/>
        <w:ind w:left="720"/>
        <w:rPr>
          <w:rFonts w:eastAsia="Arial Unicode MS"/>
          <w:snapToGrid w:val="0"/>
          <w:szCs w:val="22"/>
        </w:rPr>
      </w:pPr>
      <w:bookmarkStart w:id="90" w:name="_Toc176259178"/>
      <w:r>
        <w:rPr>
          <w:rStyle w:val="CharSectno"/>
        </w:rPr>
        <w:t>19</w:t>
      </w:r>
      <w:r>
        <w:rPr>
          <w:snapToGrid w:val="0"/>
          <w:szCs w:val="22"/>
        </w:rPr>
        <w:t>.</w:t>
      </w:r>
      <w:r>
        <w:rPr>
          <w:snapToGrid w:val="0"/>
          <w:szCs w:val="22"/>
        </w:rPr>
        <w:tab/>
        <w:t>Preservation of certain contracts relating to privatised DBNGP system</w:t>
      </w:r>
      <w:bookmarkEnd w:id="90"/>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lastRenderedPageBreak/>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91" w:name="_Toc176259179"/>
      <w:r>
        <w:rPr>
          <w:rStyle w:val="CharSectno"/>
        </w:rPr>
        <w:t>20</w:t>
      </w:r>
      <w:r>
        <w:t>.</w:t>
      </w:r>
      <w:r>
        <w:tab/>
        <w:t>Transitional provisions for Kalgoorlie to Kambalda pipeline</w:t>
      </w:r>
      <w:bookmarkEnd w:id="91"/>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92" w:name="_Toc176259180"/>
      <w:r>
        <w:rPr>
          <w:rStyle w:val="CharSectno"/>
        </w:rPr>
        <w:t>21</w:t>
      </w:r>
      <w:r>
        <w:t>.</w:t>
      </w:r>
      <w:r>
        <w:tab/>
        <w:t>Regulations</w:t>
      </w:r>
      <w:bookmarkEnd w:id="92"/>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lastRenderedPageBreak/>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93" w:name="_Toc176259181"/>
      <w:r>
        <w:rPr>
          <w:rStyle w:val="CharSectno"/>
        </w:rPr>
        <w:t>22</w:t>
      </w:r>
      <w:r>
        <w:t>.</w:t>
      </w:r>
      <w:r>
        <w:tab/>
        <w:t>Review of Act</w:t>
      </w:r>
      <w:bookmarkEnd w:id="93"/>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w:t>
      </w:r>
      <w:r>
        <w:lastRenderedPageBreak/>
        <w:t xml:space="preserve">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94" w:name="_Toc175836227"/>
      <w:bookmarkStart w:id="95" w:name="_Toc175837336"/>
      <w:bookmarkStart w:id="96" w:name="_Toc175842044"/>
      <w:bookmarkStart w:id="97" w:name="_Toc175913645"/>
      <w:bookmarkStart w:id="98" w:name="_Toc175914449"/>
      <w:bookmarkStart w:id="99" w:name="_Toc175922340"/>
      <w:bookmarkStart w:id="100" w:name="_Toc176256644"/>
      <w:bookmarkStart w:id="101" w:name="_Toc176259182"/>
      <w:bookmarkEnd w:id="11"/>
      <w:r>
        <w:rPr>
          <w:rStyle w:val="CharPartNo"/>
        </w:rPr>
        <w:lastRenderedPageBreak/>
        <w:t>Part 7</w:t>
      </w:r>
      <w:r>
        <w:t> — </w:t>
      </w:r>
      <w:r>
        <w:rPr>
          <w:rStyle w:val="CharPartText"/>
        </w:rPr>
        <w:t>Various Acts amended</w:t>
      </w:r>
      <w:bookmarkEnd w:id="94"/>
      <w:bookmarkEnd w:id="95"/>
      <w:bookmarkEnd w:id="96"/>
      <w:bookmarkEnd w:id="97"/>
      <w:bookmarkEnd w:id="98"/>
      <w:bookmarkEnd w:id="99"/>
      <w:bookmarkEnd w:id="100"/>
      <w:bookmarkEnd w:id="101"/>
    </w:p>
    <w:p>
      <w:pPr>
        <w:pStyle w:val="Heading3"/>
        <w:spacing w:before="120"/>
      </w:pPr>
      <w:bookmarkStart w:id="102" w:name="_Toc175836228"/>
      <w:bookmarkStart w:id="103" w:name="_Toc175837337"/>
      <w:bookmarkStart w:id="104" w:name="_Toc175842045"/>
      <w:bookmarkStart w:id="105" w:name="_Toc175913646"/>
      <w:bookmarkStart w:id="106" w:name="_Toc175914450"/>
      <w:bookmarkStart w:id="107" w:name="_Toc175922341"/>
      <w:bookmarkStart w:id="108" w:name="_Toc176256645"/>
      <w:bookmarkStart w:id="109" w:name="_Toc176259183"/>
      <w:r>
        <w:rPr>
          <w:rStyle w:val="CharDivNo"/>
        </w:rPr>
        <w:t>Division 1</w:t>
      </w:r>
      <w:r>
        <w:t> — </w:t>
      </w:r>
      <w:r>
        <w:rPr>
          <w:rStyle w:val="CharDivText"/>
          <w:i/>
        </w:rPr>
        <w:t>Gas Pipelines Access (Western Australia) Act 1998</w:t>
      </w:r>
      <w:bookmarkEnd w:id="102"/>
      <w:bookmarkEnd w:id="103"/>
      <w:bookmarkEnd w:id="104"/>
      <w:bookmarkEnd w:id="105"/>
      <w:bookmarkEnd w:id="106"/>
      <w:bookmarkEnd w:id="107"/>
      <w:bookmarkEnd w:id="108"/>
      <w:bookmarkEnd w:id="109"/>
    </w:p>
    <w:p>
      <w:pPr>
        <w:pStyle w:val="Heading5"/>
        <w:spacing w:before="120"/>
      </w:pPr>
      <w:bookmarkStart w:id="110" w:name="_Toc176259184"/>
      <w:r>
        <w:rPr>
          <w:rStyle w:val="CharSectno"/>
        </w:rPr>
        <w:t>23</w:t>
      </w:r>
      <w:r>
        <w:t>.</w:t>
      </w:r>
      <w:r>
        <w:tab/>
        <w:t>Act amended</w:t>
      </w:r>
      <w:bookmarkEnd w:id="110"/>
    </w:p>
    <w:p>
      <w:pPr>
        <w:pStyle w:val="Subsection"/>
      </w:pPr>
      <w:r>
        <w:tab/>
      </w:r>
      <w:r>
        <w:tab/>
        <w:t xml:space="preserve">This Division amends the </w:t>
      </w:r>
      <w:r>
        <w:rPr>
          <w:i/>
          <w:iCs/>
        </w:rPr>
        <w:t>Gas Pipelines Access (Western Australia) Act 1998</w:t>
      </w:r>
      <w:r>
        <w:t>.</w:t>
      </w:r>
    </w:p>
    <w:p>
      <w:pPr>
        <w:pStyle w:val="Heading5"/>
        <w:spacing w:before="120"/>
      </w:pPr>
      <w:bookmarkStart w:id="111" w:name="_Toc176259185"/>
      <w:r>
        <w:rPr>
          <w:rStyle w:val="CharSectno"/>
        </w:rPr>
        <w:t>24</w:t>
      </w:r>
      <w:r>
        <w:t>.</w:t>
      </w:r>
      <w:r>
        <w:tab/>
        <w:t>Long title replaced</w:t>
      </w:r>
      <w:bookmarkEnd w:id="111"/>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112" w:name="_Toc176259186"/>
      <w:r>
        <w:rPr>
          <w:rStyle w:val="CharSectno"/>
        </w:rPr>
        <w:t>25</w:t>
      </w:r>
      <w:r>
        <w:t>.</w:t>
      </w:r>
      <w:r>
        <w:tab/>
        <w:t>Preamble deleted</w:t>
      </w:r>
      <w:bookmarkEnd w:id="112"/>
    </w:p>
    <w:p>
      <w:pPr>
        <w:pStyle w:val="Subsection"/>
      </w:pPr>
      <w:r>
        <w:tab/>
      </w:r>
      <w:r>
        <w:tab/>
        <w:t>Delete the preamble.</w:t>
      </w:r>
    </w:p>
    <w:p>
      <w:pPr>
        <w:pStyle w:val="Heading5"/>
      </w:pPr>
      <w:bookmarkStart w:id="113" w:name="_Toc176259187"/>
      <w:r>
        <w:rPr>
          <w:rStyle w:val="CharSectno"/>
        </w:rPr>
        <w:t>26</w:t>
      </w:r>
      <w:r>
        <w:t>.</w:t>
      </w:r>
      <w:r>
        <w:tab/>
        <w:t>Section 1 amended</w:t>
      </w:r>
      <w:bookmarkEnd w:id="113"/>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114" w:name="_Toc176259188"/>
      <w:r>
        <w:rPr>
          <w:rStyle w:val="CharSectno"/>
        </w:rPr>
        <w:t>27</w:t>
      </w:r>
      <w:r>
        <w:t>.</w:t>
      </w:r>
      <w:r>
        <w:tab/>
        <w:t>Sections 2 to 4 deleted</w:t>
      </w:r>
      <w:bookmarkEnd w:id="114"/>
    </w:p>
    <w:p>
      <w:pPr>
        <w:pStyle w:val="Subsection"/>
      </w:pPr>
      <w:r>
        <w:tab/>
      </w:r>
      <w:r>
        <w:tab/>
        <w:t>Delete sections 2 to 4.</w:t>
      </w:r>
    </w:p>
    <w:p>
      <w:pPr>
        <w:pStyle w:val="Heading5"/>
      </w:pPr>
      <w:bookmarkStart w:id="115" w:name="_Toc176259189"/>
      <w:r>
        <w:rPr>
          <w:rStyle w:val="CharSectno"/>
        </w:rPr>
        <w:t>28</w:t>
      </w:r>
      <w:r>
        <w:t>.</w:t>
      </w:r>
      <w:r>
        <w:tab/>
        <w:t>Section 5 amended</w:t>
      </w:r>
      <w:bookmarkEnd w:id="115"/>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116" w:name="_Toc176259190"/>
      <w:r>
        <w:rPr>
          <w:rStyle w:val="CharSectno"/>
        </w:rPr>
        <w:lastRenderedPageBreak/>
        <w:t>29</w:t>
      </w:r>
      <w:r>
        <w:t>.</w:t>
      </w:r>
      <w:r>
        <w:tab/>
        <w:t>Sections 6 to 8 deleted</w:t>
      </w:r>
      <w:bookmarkEnd w:id="116"/>
    </w:p>
    <w:p>
      <w:pPr>
        <w:pStyle w:val="Subsection"/>
        <w:spacing w:before="120"/>
      </w:pPr>
      <w:r>
        <w:tab/>
      </w:r>
      <w:r>
        <w:tab/>
        <w:t>Delete sections 6 to 8.</w:t>
      </w:r>
    </w:p>
    <w:p>
      <w:pPr>
        <w:pStyle w:val="Heading5"/>
      </w:pPr>
      <w:bookmarkStart w:id="117" w:name="_Toc176259191"/>
      <w:r>
        <w:rPr>
          <w:rStyle w:val="CharSectno"/>
        </w:rPr>
        <w:t>30</w:t>
      </w:r>
      <w:r>
        <w:t>.</w:t>
      </w:r>
      <w:r>
        <w:tab/>
        <w:t>Parts 2 to 5 deleted</w:t>
      </w:r>
      <w:bookmarkEnd w:id="117"/>
    </w:p>
    <w:p>
      <w:pPr>
        <w:pStyle w:val="Subsection"/>
        <w:spacing w:before="120"/>
      </w:pPr>
      <w:r>
        <w:tab/>
      </w:r>
      <w:r>
        <w:tab/>
        <w:t>Delete Parts 2 to 5.</w:t>
      </w:r>
    </w:p>
    <w:p>
      <w:pPr>
        <w:pStyle w:val="Heading5"/>
      </w:pPr>
      <w:bookmarkStart w:id="118" w:name="_Toc176259192"/>
      <w:r>
        <w:rPr>
          <w:rStyle w:val="CharSectno"/>
        </w:rPr>
        <w:t>31</w:t>
      </w:r>
      <w:r>
        <w:t>.</w:t>
      </w:r>
      <w:r>
        <w:tab/>
        <w:t>Part 6 heading replaced</w:t>
      </w:r>
      <w:bookmarkEnd w:id="118"/>
    </w:p>
    <w:p>
      <w:pPr>
        <w:pStyle w:val="Subsection"/>
        <w:spacing w:before="120"/>
      </w:pPr>
      <w:r>
        <w:tab/>
      </w:r>
      <w:r>
        <w:tab/>
        <w:t>Delete the heading to Part 6 and insert:</w:t>
      </w:r>
    </w:p>
    <w:p>
      <w:pPr>
        <w:pStyle w:val="BlankOpen"/>
      </w:pPr>
    </w:p>
    <w:p>
      <w:pPr>
        <w:pStyle w:val="zHeading2"/>
        <w:spacing w:before="0"/>
      </w:pPr>
      <w:bookmarkStart w:id="119" w:name="_Toc175836238"/>
      <w:bookmarkStart w:id="120" w:name="_Toc175837347"/>
      <w:bookmarkStart w:id="121" w:name="_Toc175842055"/>
      <w:bookmarkStart w:id="122" w:name="_Toc175913656"/>
      <w:bookmarkStart w:id="123" w:name="_Toc175914460"/>
      <w:bookmarkStart w:id="124" w:name="_Toc175922351"/>
      <w:bookmarkStart w:id="125" w:name="_Toc176256655"/>
      <w:bookmarkStart w:id="126" w:name="_Toc176259193"/>
      <w:r>
        <w:t>Part 6</w:t>
      </w:r>
      <w:r>
        <w:rPr>
          <w:b w:val="0"/>
        </w:rPr>
        <w:t> </w:t>
      </w:r>
      <w:r>
        <w:t>—</w:t>
      </w:r>
      <w:r>
        <w:rPr>
          <w:b w:val="0"/>
        </w:rPr>
        <w:t> </w:t>
      </w:r>
      <w:r>
        <w:t>Review board and arbitrator</w:t>
      </w:r>
      <w:bookmarkEnd w:id="119"/>
      <w:bookmarkEnd w:id="120"/>
      <w:bookmarkEnd w:id="121"/>
      <w:bookmarkEnd w:id="122"/>
      <w:bookmarkEnd w:id="123"/>
      <w:bookmarkEnd w:id="124"/>
      <w:bookmarkEnd w:id="125"/>
      <w:bookmarkEnd w:id="126"/>
    </w:p>
    <w:p>
      <w:pPr>
        <w:pStyle w:val="BlankClose"/>
      </w:pPr>
    </w:p>
    <w:p>
      <w:pPr>
        <w:pStyle w:val="Heading5"/>
        <w:spacing w:before="180"/>
      </w:pPr>
      <w:bookmarkStart w:id="127" w:name="_Toc176259194"/>
      <w:r>
        <w:rPr>
          <w:rStyle w:val="CharSectno"/>
        </w:rPr>
        <w:t>32</w:t>
      </w:r>
      <w:r>
        <w:t>.</w:t>
      </w:r>
      <w:r>
        <w:tab/>
        <w:t>Part 6 Division 1 deleted</w:t>
      </w:r>
      <w:bookmarkEnd w:id="127"/>
    </w:p>
    <w:p>
      <w:pPr>
        <w:pStyle w:val="Subsection"/>
        <w:spacing w:before="120"/>
      </w:pPr>
      <w:r>
        <w:tab/>
      </w:r>
      <w:r>
        <w:tab/>
        <w:t>Delete Part 6 Division 1.</w:t>
      </w:r>
    </w:p>
    <w:p>
      <w:pPr>
        <w:pStyle w:val="Heading5"/>
        <w:spacing w:before="180"/>
      </w:pPr>
      <w:bookmarkStart w:id="128" w:name="_Toc176259195"/>
      <w:r>
        <w:rPr>
          <w:rStyle w:val="CharSectno"/>
        </w:rPr>
        <w:t>33</w:t>
      </w:r>
      <w:r>
        <w:t>.</w:t>
      </w:r>
      <w:r>
        <w:tab/>
        <w:t>Part 6 Division 2 heading replaced</w:t>
      </w:r>
      <w:bookmarkEnd w:id="128"/>
    </w:p>
    <w:p>
      <w:pPr>
        <w:pStyle w:val="Subsection"/>
        <w:spacing w:before="120"/>
      </w:pPr>
      <w:r>
        <w:tab/>
      </w:r>
      <w:r>
        <w:tab/>
        <w:t>Delete the heading to Part 6 Division 2 and insert:</w:t>
      </w:r>
    </w:p>
    <w:p>
      <w:pPr>
        <w:pStyle w:val="BlankOpen"/>
      </w:pPr>
    </w:p>
    <w:p>
      <w:pPr>
        <w:pStyle w:val="zHeading3"/>
        <w:spacing w:before="0"/>
      </w:pPr>
      <w:bookmarkStart w:id="129" w:name="_Toc175836241"/>
      <w:bookmarkStart w:id="130" w:name="_Toc175837350"/>
      <w:bookmarkStart w:id="131" w:name="_Toc175842058"/>
      <w:bookmarkStart w:id="132" w:name="_Toc175913659"/>
      <w:bookmarkStart w:id="133" w:name="_Toc175914463"/>
      <w:bookmarkStart w:id="134" w:name="_Toc175922354"/>
      <w:bookmarkStart w:id="135" w:name="_Toc176256658"/>
      <w:bookmarkStart w:id="136" w:name="_Toc176259196"/>
      <w:r>
        <w:t>Division 2 — Review board</w:t>
      </w:r>
      <w:bookmarkEnd w:id="129"/>
      <w:bookmarkEnd w:id="130"/>
      <w:bookmarkEnd w:id="131"/>
      <w:bookmarkEnd w:id="132"/>
      <w:bookmarkEnd w:id="133"/>
      <w:bookmarkEnd w:id="134"/>
      <w:bookmarkEnd w:id="135"/>
      <w:bookmarkEnd w:id="136"/>
    </w:p>
    <w:p>
      <w:pPr>
        <w:pStyle w:val="BlankClose"/>
      </w:pPr>
    </w:p>
    <w:p>
      <w:pPr>
        <w:pStyle w:val="Heading5"/>
        <w:spacing w:before="180"/>
      </w:pPr>
      <w:bookmarkStart w:id="137" w:name="_Toc176259197"/>
      <w:r>
        <w:rPr>
          <w:rStyle w:val="CharSectno"/>
        </w:rPr>
        <w:t>34</w:t>
      </w:r>
      <w:r>
        <w:t>.</w:t>
      </w:r>
      <w:r>
        <w:tab/>
        <w:t>Section 49 amended</w:t>
      </w:r>
      <w:bookmarkEnd w:id="137"/>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138" w:name="_Toc176259198"/>
      <w:r>
        <w:rPr>
          <w:rStyle w:val="CharSectno"/>
        </w:rPr>
        <w:t>35</w:t>
      </w:r>
      <w:r>
        <w:t>.</w:t>
      </w:r>
      <w:r>
        <w:tab/>
        <w:t>Part 6 Division 2 Subdivision 2 heading replaced</w:t>
      </w:r>
      <w:bookmarkEnd w:id="138"/>
    </w:p>
    <w:p>
      <w:pPr>
        <w:pStyle w:val="Subsection"/>
        <w:spacing w:before="120"/>
      </w:pPr>
      <w:r>
        <w:tab/>
      </w:r>
      <w:r>
        <w:tab/>
        <w:t>Delete the heading to Part 6 Division 2 Subdivision 2 and insert:</w:t>
      </w:r>
    </w:p>
    <w:p>
      <w:pPr>
        <w:pStyle w:val="BlankOpen"/>
      </w:pPr>
    </w:p>
    <w:p>
      <w:pPr>
        <w:pStyle w:val="zHeading4"/>
        <w:spacing w:before="0"/>
      </w:pPr>
      <w:bookmarkStart w:id="139" w:name="_Toc175836244"/>
      <w:bookmarkStart w:id="140" w:name="_Toc175837353"/>
      <w:bookmarkStart w:id="141" w:name="_Toc175842061"/>
      <w:bookmarkStart w:id="142" w:name="_Toc175913662"/>
      <w:bookmarkStart w:id="143" w:name="_Toc175914466"/>
      <w:bookmarkStart w:id="144" w:name="_Toc175922357"/>
      <w:bookmarkStart w:id="145" w:name="_Toc176256661"/>
      <w:bookmarkStart w:id="146" w:name="_Toc176259199"/>
      <w:r>
        <w:t>Subdivision 2 — Western Australian Electricity Review Board established</w:t>
      </w:r>
      <w:bookmarkEnd w:id="139"/>
      <w:bookmarkEnd w:id="140"/>
      <w:bookmarkEnd w:id="141"/>
      <w:bookmarkEnd w:id="142"/>
      <w:bookmarkEnd w:id="143"/>
      <w:bookmarkEnd w:id="144"/>
      <w:bookmarkEnd w:id="145"/>
      <w:bookmarkEnd w:id="146"/>
    </w:p>
    <w:p>
      <w:pPr>
        <w:pStyle w:val="BlankClose"/>
      </w:pPr>
    </w:p>
    <w:p>
      <w:pPr>
        <w:pStyle w:val="Heading5"/>
      </w:pPr>
      <w:bookmarkStart w:id="147" w:name="_Toc176259200"/>
      <w:r>
        <w:rPr>
          <w:rStyle w:val="CharSectno"/>
        </w:rPr>
        <w:lastRenderedPageBreak/>
        <w:t>36</w:t>
      </w:r>
      <w:r>
        <w:t>.</w:t>
      </w:r>
      <w:r>
        <w:tab/>
        <w:t>Section 50 amended</w:t>
      </w:r>
      <w:bookmarkEnd w:id="147"/>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148" w:name="_Toc176259201"/>
      <w:r>
        <w:rPr>
          <w:rStyle w:val="CharSectno"/>
        </w:rPr>
        <w:t>37</w:t>
      </w:r>
      <w:r>
        <w:t>.</w:t>
      </w:r>
      <w:r>
        <w:tab/>
        <w:t>Section 57 amended</w:t>
      </w:r>
      <w:bookmarkEnd w:id="148"/>
    </w:p>
    <w:p>
      <w:pPr>
        <w:pStyle w:val="Subsection"/>
      </w:pPr>
      <w:r>
        <w:tab/>
      </w:r>
      <w:r>
        <w:tab/>
        <w:t>In section 57(1) delete “the Gas Pipelines Access (Western Australia) Law and”.</w:t>
      </w:r>
    </w:p>
    <w:p>
      <w:pPr>
        <w:pStyle w:val="Heading5"/>
      </w:pPr>
      <w:bookmarkStart w:id="149" w:name="_Toc176259202"/>
      <w:r>
        <w:rPr>
          <w:rStyle w:val="CharSectno"/>
        </w:rPr>
        <w:t>38</w:t>
      </w:r>
      <w:r>
        <w:t>.</w:t>
      </w:r>
      <w:r>
        <w:tab/>
        <w:t>Section 59 amended</w:t>
      </w:r>
      <w:bookmarkEnd w:id="149"/>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150" w:name="_Toc176259203"/>
      <w:r>
        <w:rPr>
          <w:rStyle w:val="CharSectno"/>
        </w:rPr>
        <w:t>39</w:t>
      </w:r>
      <w:r>
        <w:t>.</w:t>
      </w:r>
      <w:r>
        <w:tab/>
        <w:t>Section 61 amended</w:t>
      </w:r>
      <w:bookmarkEnd w:id="150"/>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151" w:name="_Toc176259204"/>
      <w:r>
        <w:rPr>
          <w:rStyle w:val="CharSectno"/>
        </w:rPr>
        <w:lastRenderedPageBreak/>
        <w:t>40</w:t>
      </w:r>
      <w:r>
        <w:t>.</w:t>
      </w:r>
      <w:r>
        <w:tab/>
        <w:t>Part 6 Division 3 Subdivision 2 heading amended</w:t>
      </w:r>
      <w:bookmarkEnd w:id="151"/>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152" w:name="_Toc176259205"/>
      <w:r>
        <w:rPr>
          <w:rStyle w:val="CharSectno"/>
        </w:rPr>
        <w:t>41</w:t>
      </w:r>
      <w:r>
        <w:t>.</w:t>
      </w:r>
      <w:r>
        <w:tab/>
        <w:t>Section 62 amended</w:t>
      </w:r>
      <w:bookmarkEnd w:id="152"/>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153" w:name="_Toc176259206"/>
      <w:r>
        <w:rPr>
          <w:rStyle w:val="CharSectno"/>
        </w:rPr>
        <w:t>42</w:t>
      </w:r>
      <w:r>
        <w:t>.</w:t>
      </w:r>
      <w:r>
        <w:tab/>
        <w:t>Section 73 amended</w:t>
      </w:r>
      <w:bookmarkEnd w:id="153"/>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154" w:name="_Toc176259207"/>
      <w:r>
        <w:rPr>
          <w:rStyle w:val="CharSectno"/>
        </w:rPr>
        <w:t>43</w:t>
      </w:r>
      <w:r>
        <w:t>.</w:t>
      </w:r>
      <w:r>
        <w:tab/>
        <w:t>Section 74 amended</w:t>
      </w:r>
      <w:bookmarkEnd w:id="154"/>
    </w:p>
    <w:p>
      <w:pPr>
        <w:pStyle w:val="Subsection"/>
      </w:pPr>
      <w:r>
        <w:tab/>
      </w:r>
      <w:r>
        <w:tab/>
        <w:t>After section 74(2) insert:</w:t>
      </w:r>
    </w:p>
    <w:p>
      <w:pPr>
        <w:pStyle w:val="BlankOpen"/>
      </w:pPr>
    </w:p>
    <w:p>
      <w:pPr>
        <w:pStyle w:val="zSubsection"/>
        <w:spacing w:before="0"/>
      </w:pPr>
      <w:r>
        <w:tab/>
        <w:t>(3)</w:t>
      </w:r>
      <w:r>
        <w:tab/>
        <w:t xml:space="preserve">Regulations referred to in subsection (1) may make provision for and in relation to the imposition and payment of fees and charges in connection with the </w:t>
      </w:r>
      <w:r>
        <w:lastRenderedPageBreak/>
        <w:t>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155" w:name="_Toc176259208"/>
      <w:r>
        <w:rPr>
          <w:rStyle w:val="CharSectno"/>
        </w:rPr>
        <w:t>44</w:t>
      </w:r>
      <w:r>
        <w:t>.</w:t>
      </w:r>
      <w:r>
        <w:tab/>
        <w:t>Section 76 amended</w:t>
      </w:r>
      <w:bookmarkEnd w:id="155"/>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156" w:name="_Toc176259209"/>
      <w:r>
        <w:rPr>
          <w:rStyle w:val="CharSectno"/>
        </w:rPr>
        <w:t>45</w:t>
      </w:r>
      <w:r>
        <w:t>.</w:t>
      </w:r>
      <w:r>
        <w:tab/>
        <w:t>Section 77 amended</w:t>
      </w:r>
      <w:bookmarkEnd w:id="156"/>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157" w:name="_Toc176259210"/>
      <w:r>
        <w:rPr>
          <w:rStyle w:val="CharSectno"/>
        </w:rPr>
        <w:t>46</w:t>
      </w:r>
      <w:r>
        <w:t>.</w:t>
      </w:r>
      <w:r>
        <w:tab/>
        <w:t>Section 81 amended</w:t>
      </w:r>
      <w:bookmarkEnd w:id="157"/>
    </w:p>
    <w:p>
      <w:pPr>
        <w:pStyle w:val="Subsection"/>
        <w:rPr>
          <w:b/>
          <w:i/>
        </w:rPr>
      </w:pPr>
      <w:r>
        <w:tab/>
      </w:r>
      <w:r>
        <w:tab/>
        <w:t>In section 81 delete “under this Act”.</w:t>
      </w:r>
    </w:p>
    <w:p>
      <w:pPr>
        <w:pStyle w:val="Heading5"/>
      </w:pPr>
      <w:bookmarkStart w:id="158" w:name="_Toc176259211"/>
      <w:r>
        <w:rPr>
          <w:rStyle w:val="CharSectno"/>
        </w:rPr>
        <w:lastRenderedPageBreak/>
        <w:t>47</w:t>
      </w:r>
      <w:r>
        <w:t>.</w:t>
      </w:r>
      <w:r>
        <w:tab/>
        <w:t>Section 82 amended</w:t>
      </w:r>
      <w:bookmarkEnd w:id="158"/>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159" w:name="_Toc176259212"/>
      <w:r>
        <w:rPr>
          <w:rStyle w:val="CharSectno"/>
        </w:rPr>
        <w:t>48</w:t>
      </w:r>
      <w:r>
        <w:t>.</w:t>
      </w:r>
      <w:r>
        <w:tab/>
        <w:t>Section 87 deleted</w:t>
      </w:r>
      <w:bookmarkEnd w:id="159"/>
    </w:p>
    <w:p>
      <w:pPr>
        <w:pStyle w:val="Subsection"/>
      </w:pPr>
      <w:r>
        <w:tab/>
      </w:r>
      <w:r>
        <w:tab/>
        <w:t>Delete section 87.</w:t>
      </w:r>
    </w:p>
    <w:p>
      <w:pPr>
        <w:pStyle w:val="Heading5"/>
      </w:pPr>
      <w:bookmarkStart w:id="160" w:name="_Toc176259213"/>
      <w:r>
        <w:rPr>
          <w:rStyle w:val="CharSectno"/>
        </w:rPr>
        <w:t>49</w:t>
      </w:r>
      <w:r>
        <w:t>.</w:t>
      </w:r>
      <w:r>
        <w:tab/>
        <w:t>Section 88 deleted</w:t>
      </w:r>
      <w:bookmarkEnd w:id="160"/>
    </w:p>
    <w:p>
      <w:pPr>
        <w:pStyle w:val="Subsection"/>
      </w:pPr>
      <w:r>
        <w:tab/>
      </w:r>
      <w:r>
        <w:tab/>
        <w:t>Delete section 88.</w:t>
      </w:r>
    </w:p>
    <w:p>
      <w:pPr>
        <w:pStyle w:val="Heading5"/>
      </w:pPr>
      <w:bookmarkStart w:id="161" w:name="_Toc176259214"/>
      <w:r>
        <w:rPr>
          <w:rStyle w:val="CharSectno"/>
        </w:rPr>
        <w:t>50</w:t>
      </w:r>
      <w:r>
        <w:t>.</w:t>
      </w:r>
      <w:r>
        <w:tab/>
        <w:t>Parts 7 and 8 deleted</w:t>
      </w:r>
      <w:bookmarkEnd w:id="161"/>
    </w:p>
    <w:p>
      <w:pPr>
        <w:pStyle w:val="Subsection"/>
      </w:pPr>
      <w:r>
        <w:tab/>
      </w:r>
      <w:r>
        <w:tab/>
        <w:t>Delete Parts 7 and 8.</w:t>
      </w:r>
    </w:p>
    <w:p>
      <w:pPr>
        <w:pStyle w:val="Heading5"/>
      </w:pPr>
      <w:bookmarkStart w:id="162" w:name="_Toc176259215"/>
      <w:r>
        <w:rPr>
          <w:rStyle w:val="CharSectno"/>
        </w:rPr>
        <w:t>51</w:t>
      </w:r>
      <w:r>
        <w:t>.</w:t>
      </w:r>
      <w:r>
        <w:tab/>
        <w:t>Schedules deleted</w:t>
      </w:r>
      <w:bookmarkEnd w:id="162"/>
    </w:p>
    <w:p>
      <w:pPr>
        <w:pStyle w:val="Subsection"/>
      </w:pPr>
      <w:r>
        <w:tab/>
      </w:r>
      <w:r>
        <w:tab/>
        <w:t>Delete Schedule 1 and its Appendix and Schedules 2 and 3.</w:t>
      </w:r>
    </w:p>
    <w:p>
      <w:pPr>
        <w:pStyle w:val="Heading3"/>
      </w:pPr>
      <w:bookmarkStart w:id="163" w:name="_Toc175836261"/>
      <w:bookmarkStart w:id="164" w:name="_Toc175837370"/>
      <w:bookmarkStart w:id="165" w:name="_Toc175842078"/>
      <w:bookmarkStart w:id="166" w:name="_Toc175913679"/>
      <w:bookmarkStart w:id="167" w:name="_Toc175914483"/>
      <w:bookmarkStart w:id="168" w:name="_Toc175922374"/>
      <w:bookmarkStart w:id="169" w:name="_Toc176256678"/>
      <w:bookmarkStart w:id="170" w:name="_Toc176259216"/>
      <w:r>
        <w:rPr>
          <w:rStyle w:val="CharDivNo"/>
        </w:rPr>
        <w:t>Division 2</w:t>
      </w:r>
      <w:r>
        <w:t> — </w:t>
      </w:r>
      <w:r>
        <w:rPr>
          <w:rStyle w:val="CharDivText"/>
          <w:i/>
          <w:iCs/>
        </w:rPr>
        <w:t>Economic Regulation Authority Act 2003</w:t>
      </w:r>
      <w:bookmarkEnd w:id="163"/>
      <w:bookmarkEnd w:id="164"/>
      <w:bookmarkEnd w:id="165"/>
      <w:bookmarkEnd w:id="166"/>
      <w:bookmarkEnd w:id="167"/>
      <w:bookmarkEnd w:id="168"/>
      <w:bookmarkEnd w:id="169"/>
      <w:bookmarkEnd w:id="170"/>
    </w:p>
    <w:p>
      <w:pPr>
        <w:pStyle w:val="Heading5"/>
      </w:pPr>
      <w:bookmarkStart w:id="171" w:name="_Toc176259217"/>
      <w:r>
        <w:rPr>
          <w:rStyle w:val="CharSectno"/>
        </w:rPr>
        <w:t>52</w:t>
      </w:r>
      <w:r>
        <w:t>.</w:t>
      </w:r>
      <w:r>
        <w:tab/>
        <w:t>Act amended</w:t>
      </w:r>
      <w:bookmarkEnd w:id="171"/>
    </w:p>
    <w:p>
      <w:pPr>
        <w:pStyle w:val="Subsection"/>
      </w:pPr>
      <w:r>
        <w:tab/>
      </w:r>
      <w:r>
        <w:tab/>
        <w:t xml:space="preserve">This Division amends the </w:t>
      </w:r>
      <w:r>
        <w:rPr>
          <w:i/>
          <w:iCs/>
        </w:rPr>
        <w:t>Economic Regulation Authority Act 2003</w:t>
      </w:r>
      <w:r>
        <w:t>.</w:t>
      </w:r>
    </w:p>
    <w:p>
      <w:pPr>
        <w:pStyle w:val="Heading5"/>
      </w:pPr>
      <w:bookmarkStart w:id="172" w:name="_Toc176259218"/>
      <w:r>
        <w:rPr>
          <w:rStyle w:val="CharSectno"/>
        </w:rPr>
        <w:lastRenderedPageBreak/>
        <w:t>53</w:t>
      </w:r>
      <w:r>
        <w:t>.</w:t>
      </w:r>
      <w:r>
        <w:tab/>
        <w:t>Section 25 amended</w:t>
      </w:r>
      <w:bookmarkEnd w:id="172"/>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173" w:name="_Toc176259219"/>
      <w:r>
        <w:rPr>
          <w:rStyle w:val="CharSectno"/>
        </w:rPr>
        <w:t>54</w:t>
      </w:r>
      <w:r>
        <w:t>.</w:t>
      </w:r>
      <w:r>
        <w:tab/>
        <w:t>Section 28 amended</w:t>
      </w:r>
      <w:bookmarkEnd w:id="173"/>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174" w:name="_Toc176259220"/>
      <w:r>
        <w:rPr>
          <w:rStyle w:val="CharSectno"/>
        </w:rPr>
        <w:lastRenderedPageBreak/>
        <w:t>55</w:t>
      </w:r>
      <w:r>
        <w:t>.</w:t>
      </w:r>
      <w:r>
        <w:tab/>
        <w:t>Section 32 amended</w:t>
      </w:r>
      <w:bookmarkEnd w:id="174"/>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175" w:name="_Toc175836266"/>
      <w:bookmarkStart w:id="176" w:name="_Toc175837375"/>
      <w:bookmarkStart w:id="177" w:name="_Toc175842083"/>
      <w:bookmarkStart w:id="178" w:name="_Toc175913684"/>
      <w:bookmarkStart w:id="179" w:name="_Toc175914488"/>
      <w:bookmarkStart w:id="180" w:name="_Toc175922379"/>
      <w:bookmarkStart w:id="181" w:name="_Toc176256683"/>
      <w:bookmarkStart w:id="182" w:name="_Toc176259221"/>
      <w:r>
        <w:rPr>
          <w:rStyle w:val="CharDivNo"/>
        </w:rPr>
        <w:t>Division 3</w:t>
      </w:r>
      <w:r>
        <w:t> — </w:t>
      </w:r>
      <w:r>
        <w:rPr>
          <w:rStyle w:val="CharDivText"/>
          <w:i/>
          <w:iCs/>
        </w:rPr>
        <w:t>Electricity Industry Act 2004</w:t>
      </w:r>
      <w:bookmarkEnd w:id="175"/>
      <w:bookmarkEnd w:id="176"/>
      <w:bookmarkEnd w:id="177"/>
      <w:bookmarkEnd w:id="178"/>
      <w:bookmarkEnd w:id="179"/>
      <w:bookmarkEnd w:id="180"/>
      <w:bookmarkEnd w:id="181"/>
      <w:bookmarkEnd w:id="182"/>
    </w:p>
    <w:p>
      <w:pPr>
        <w:pStyle w:val="Heading5"/>
      </w:pPr>
      <w:bookmarkStart w:id="183" w:name="_Toc176259222"/>
      <w:r>
        <w:rPr>
          <w:rStyle w:val="CharSectno"/>
        </w:rPr>
        <w:t>56</w:t>
      </w:r>
      <w:r>
        <w:t>.</w:t>
      </w:r>
      <w:r>
        <w:tab/>
        <w:t>Act amended</w:t>
      </w:r>
      <w:bookmarkEnd w:id="183"/>
    </w:p>
    <w:p>
      <w:pPr>
        <w:pStyle w:val="Subsection"/>
        <w:spacing w:before="120"/>
      </w:pPr>
      <w:r>
        <w:tab/>
      </w:r>
      <w:r>
        <w:tab/>
        <w:t xml:space="preserve">This Division amends the </w:t>
      </w:r>
      <w:r>
        <w:rPr>
          <w:i/>
          <w:iCs/>
        </w:rPr>
        <w:t>Electricity Industry Act 2004</w:t>
      </w:r>
      <w:r>
        <w:t>.</w:t>
      </w:r>
    </w:p>
    <w:p>
      <w:pPr>
        <w:pStyle w:val="Heading5"/>
      </w:pPr>
      <w:bookmarkStart w:id="184" w:name="_Toc176259223"/>
      <w:r>
        <w:rPr>
          <w:rStyle w:val="CharSectno"/>
        </w:rPr>
        <w:t>57</w:t>
      </w:r>
      <w:r>
        <w:t>.</w:t>
      </w:r>
      <w:r>
        <w:tab/>
        <w:t>Section 3 amended</w:t>
      </w:r>
      <w:bookmarkEnd w:id="184"/>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185" w:name="_Toc176259224"/>
      <w:r>
        <w:rPr>
          <w:rStyle w:val="CharSectno"/>
        </w:rPr>
        <w:t>58</w:t>
      </w:r>
      <w:r>
        <w:t>.</w:t>
      </w:r>
      <w:r>
        <w:tab/>
        <w:t>Section 113 deleted</w:t>
      </w:r>
      <w:bookmarkEnd w:id="185"/>
    </w:p>
    <w:p>
      <w:pPr>
        <w:pStyle w:val="Subsection"/>
        <w:spacing w:before="120"/>
      </w:pPr>
      <w:r>
        <w:tab/>
      </w:r>
      <w:r>
        <w:tab/>
        <w:t>Delete section 113.</w:t>
      </w:r>
    </w:p>
    <w:p>
      <w:pPr>
        <w:pStyle w:val="Heading5"/>
      </w:pPr>
      <w:bookmarkStart w:id="186" w:name="_Toc176259225"/>
      <w:r>
        <w:rPr>
          <w:rStyle w:val="CharSectno"/>
        </w:rPr>
        <w:t>59</w:t>
      </w:r>
      <w:r>
        <w:t>.</w:t>
      </w:r>
      <w:r>
        <w:tab/>
        <w:t>Section 125 amended</w:t>
      </w:r>
      <w:bookmarkEnd w:id="186"/>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lastRenderedPageBreak/>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187" w:name="_Toc176259226"/>
      <w:r>
        <w:rPr>
          <w:rStyle w:val="CharSectno"/>
        </w:rPr>
        <w:t>60</w:t>
      </w:r>
      <w:r>
        <w:t>.</w:t>
      </w:r>
      <w:r>
        <w:tab/>
        <w:t>Section 130 amended</w:t>
      </w:r>
      <w:bookmarkEnd w:id="187"/>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188" w:name="_Toc176259227"/>
      <w:r>
        <w:rPr>
          <w:rStyle w:val="CharSectno"/>
        </w:rPr>
        <w:lastRenderedPageBreak/>
        <w:t>61</w:t>
      </w:r>
      <w:r>
        <w:t>.</w:t>
      </w:r>
      <w:r>
        <w:tab/>
        <w:t>Section 133 amended</w:t>
      </w:r>
      <w:bookmarkEnd w:id="188"/>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189" w:name="_Toc175836273"/>
      <w:bookmarkStart w:id="190" w:name="_Toc175837382"/>
      <w:bookmarkStart w:id="191" w:name="_Toc175842090"/>
      <w:bookmarkStart w:id="192" w:name="_Toc175913691"/>
      <w:bookmarkStart w:id="193" w:name="_Toc175914495"/>
      <w:bookmarkStart w:id="194" w:name="_Toc175922386"/>
      <w:bookmarkStart w:id="195" w:name="_Toc176256690"/>
      <w:bookmarkStart w:id="196" w:name="_Toc176259228"/>
      <w:r>
        <w:rPr>
          <w:rStyle w:val="CharDivNo"/>
        </w:rPr>
        <w:t>Division 4</w:t>
      </w:r>
      <w:r>
        <w:t> — </w:t>
      </w:r>
      <w:r>
        <w:rPr>
          <w:rStyle w:val="CharDivText"/>
          <w:i/>
          <w:iCs/>
        </w:rPr>
        <w:t>Energy Coordination Act 1994</w:t>
      </w:r>
      <w:bookmarkEnd w:id="189"/>
      <w:bookmarkEnd w:id="190"/>
      <w:bookmarkEnd w:id="191"/>
      <w:bookmarkEnd w:id="192"/>
      <w:bookmarkEnd w:id="193"/>
      <w:bookmarkEnd w:id="194"/>
      <w:bookmarkEnd w:id="195"/>
      <w:bookmarkEnd w:id="196"/>
    </w:p>
    <w:p>
      <w:pPr>
        <w:pStyle w:val="Heading5"/>
      </w:pPr>
      <w:bookmarkStart w:id="197" w:name="_Toc176259229"/>
      <w:r>
        <w:rPr>
          <w:rStyle w:val="CharSectno"/>
        </w:rPr>
        <w:t>62</w:t>
      </w:r>
      <w:r>
        <w:t>.</w:t>
      </w:r>
      <w:r>
        <w:tab/>
        <w:t>Act amended</w:t>
      </w:r>
      <w:bookmarkEnd w:id="197"/>
    </w:p>
    <w:p>
      <w:pPr>
        <w:pStyle w:val="Subsection"/>
      </w:pPr>
      <w:r>
        <w:tab/>
      </w:r>
      <w:r>
        <w:tab/>
        <w:t xml:space="preserve">This Division amends the </w:t>
      </w:r>
      <w:r>
        <w:rPr>
          <w:i/>
          <w:iCs/>
        </w:rPr>
        <w:t>Energy Coordination Act 1994</w:t>
      </w:r>
      <w:r>
        <w:t>.</w:t>
      </w:r>
    </w:p>
    <w:p>
      <w:pPr>
        <w:pStyle w:val="Heading5"/>
        <w:spacing w:before="120"/>
      </w:pPr>
      <w:bookmarkStart w:id="198" w:name="_Toc176259230"/>
      <w:r>
        <w:rPr>
          <w:rStyle w:val="CharSectno"/>
        </w:rPr>
        <w:t>63</w:t>
      </w:r>
      <w:r>
        <w:t>.</w:t>
      </w:r>
      <w:r>
        <w:tab/>
        <w:t>Section 11J deleted</w:t>
      </w:r>
      <w:bookmarkEnd w:id="198"/>
    </w:p>
    <w:p>
      <w:pPr>
        <w:pStyle w:val="Subsection"/>
        <w:spacing w:before="100"/>
      </w:pPr>
      <w:r>
        <w:tab/>
      </w:r>
      <w:r>
        <w:tab/>
        <w:t>Delete section 11J.</w:t>
      </w:r>
    </w:p>
    <w:p>
      <w:pPr>
        <w:pStyle w:val="Heading5"/>
      </w:pPr>
      <w:bookmarkStart w:id="199" w:name="_Toc176259231"/>
      <w:r>
        <w:rPr>
          <w:rStyle w:val="CharSectno"/>
        </w:rPr>
        <w:t>64</w:t>
      </w:r>
      <w:r>
        <w:t>.</w:t>
      </w:r>
      <w:r>
        <w:tab/>
        <w:t>Section 11M amended</w:t>
      </w:r>
      <w:bookmarkEnd w:id="199"/>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200" w:name="_Toc176259232"/>
      <w:r>
        <w:rPr>
          <w:rStyle w:val="CharSectno"/>
        </w:rPr>
        <w:t>65</w:t>
      </w:r>
      <w:r>
        <w:t>.</w:t>
      </w:r>
      <w:r>
        <w:tab/>
        <w:t>Section 11V amended</w:t>
      </w:r>
      <w:bookmarkEnd w:id="200"/>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201" w:name="_Toc176259233"/>
      <w:r>
        <w:rPr>
          <w:rStyle w:val="CharSectno"/>
        </w:rPr>
        <w:lastRenderedPageBreak/>
        <w:t>66</w:t>
      </w:r>
      <w:r>
        <w:t>.</w:t>
      </w:r>
      <w:r>
        <w:tab/>
        <w:t>Section 11ZAC amended</w:t>
      </w:r>
      <w:bookmarkEnd w:id="201"/>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202" w:name="_Toc176259234"/>
      <w:r>
        <w:rPr>
          <w:rStyle w:val="CharSectno"/>
        </w:rPr>
        <w:t>67</w:t>
      </w:r>
      <w:r>
        <w:t>.</w:t>
      </w:r>
      <w:r>
        <w:tab/>
        <w:t>Schedule 1A amended</w:t>
      </w:r>
      <w:bookmarkEnd w:id="202"/>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203" w:name="_Toc175836280"/>
      <w:bookmarkStart w:id="204" w:name="_Toc175837389"/>
      <w:bookmarkStart w:id="205" w:name="_Toc175842097"/>
      <w:bookmarkStart w:id="206" w:name="_Toc175913698"/>
      <w:bookmarkStart w:id="207" w:name="_Toc175914502"/>
      <w:bookmarkStart w:id="208" w:name="_Toc175922393"/>
      <w:bookmarkStart w:id="209" w:name="_Toc176256697"/>
      <w:bookmarkStart w:id="210" w:name="_Toc176259235"/>
      <w:r>
        <w:rPr>
          <w:rStyle w:val="CharDivNo"/>
        </w:rPr>
        <w:t>Division 5</w:t>
      </w:r>
      <w:r>
        <w:t> — </w:t>
      </w:r>
      <w:r>
        <w:rPr>
          <w:rStyle w:val="CharDivText"/>
          <w:iCs/>
        </w:rPr>
        <w:t>Other Acts amended</w:t>
      </w:r>
      <w:bookmarkEnd w:id="203"/>
      <w:bookmarkEnd w:id="204"/>
      <w:bookmarkEnd w:id="205"/>
      <w:bookmarkEnd w:id="206"/>
      <w:bookmarkEnd w:id="207"/>
      <w:bookmarkEnd w:id="208"/>
      <w:bookmarkEnd w:id="209"/>
      <w:bookmarkEnd w:id="210"/>
    </w:p>
    <w:p>
      <w:pPr>
        <w:pStyle w:val="Heading5"/>
      </w:pPr>
      <w:bookmarkStart w:id="211" w:name="_Toc176259236"/>
      <w:r>
        <w:rPr>
          <w:rStyle w:val="CharSectno"/>
        </w:rPr>
        <w:t>68</w:t>
      </w:r>
      <w:r>
        <w:t>.</w:t>
      </w:r>
      <w:r>
        <w:tab/>
      </w:r>
      <w:r>
        <w:rPr>
          <w:i/>
          <w:iCs/>
        </w:rPr>
        <w:t>Constitution Acts Amendment Act 1899 amended</w:t>
      </w:r>
      <w:bookmarkEnd w:id="211"/>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212" w:name="_Toc176259237"/>
      <w:r>
        <w:rPr>
          <w:rStyle w:val="CharSectno"/>
        </w:rPr>
        <w:t>69</w:t>
      </w:r>
      <w:r>
        <w:t>.</w:t>
      </w:r>
      <w:r>
        <w:tab/>
      </w:r>
      <w:r>
        <w:rPr>
          <w:i/>
          <w:iCs/>
        </w:rPr>
        <w:t>Financial Management Act 2006 amended</w:t>
      </w:r>
      <w:bookmarkEnd w:id="212"/>
    </w:p>
    <w:p>
      <w:pPr>
        <w:pStyle w:val="Subsection"/>
      </w:pPr>
      <w:r>
        <w:tab/>
        <w:t>(1)</w:t>
      </w:r>
      <w:r>
        <w:tab/>
        <w:t xml:space="preserve">This section amends the </w:t>
      </w:r>
      <w:r>
        <w:rPr>
          <w:i/>
          <w:iCs/>
        </w:rPr>
        <w:t>Financial Management Act 2006</w:t>
      </w:r>
      <w:r>
        <w:t>.</w:t>
      </w:r>
    </w:p>
    <w:p>
      <w:pPr>
        <w:pStyle w:val="Subsection"/>
      </w:pPr>
      <w:r>
        <w:lastRenderedPageBreak/>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213" w:name="_Toc176259238"/>
      <w:r>
        <w:rPr>
          <w:rStyle w:val="CharSectno"/>
        </w:rPr>
        <w:t>70</w:t>
      </w:r>
      <w:r>
        <w:t>.</w:t>
      </w:r>
      <w:r>
        <w:tab/>
      </w:r>
      <w:r>
        <w:rPr>
          <w:i/>
          <w:iCs/>
        </w:rPr>
        <w:t>Freedom of Information Act 1992 amended</w:t>
      </w:r>
      <w:bookmarkEnd w:id="213"/>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214" w:name="_Toc176259239"/>
      <w:r>
        <w:rPr>
          <w:rStyle w:val="CharSectno"/>
        </w:rPr>
        <w:t>71</w:t>
      </w:r>
      <w:r>
        <w:t>.</w:t>
      </w:r>
      <w:r>
        <w:tab/>
      </w:r>
      <w:r>
        <w:rPr>
          <w:i/>
        </w:rPr>
        <w:t>Parliamentary Commissioner Act 1971</w:t>
      </w:r>
      <w:r>
        <w:rPr>
          <w:i/>
          <w:iCs/>
        </w:rPr>
        <w:t xml:space="preserve"> amended</w:t>
      </w:r>
      <w:bookmarkEnd w:id="214"/>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215" w:name="_Toc176259240"/>
      <w:r>
        <w:rPr>
          <w:rStyle w:val="CharSectno"/>
        </w:rPr>
        <w:lastRenderedPageBreak/>
        <w:t>72</w:t>
      </w:r>
      <w:r>
        <w:t>.</w:t>
      </w:r>
      <w:r>
        <w:tab/>
      </w:r>
      <w:r>
        <w:rPr>
          <w:i/>
          <w:iCs/>
        </w:rPr>
        <w:t>Petroleum Pipelines Act 1969 amended</w:t>
      </w:r>
      <w:bookmarkEnd w:id="215"/>
    </w:p>
    <w:p>
      <w:pPr>
        <w:pStyle w:val="Subsection"/>
        <w:keepNext/>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4"/>
          <w:headerReference w:type="default" r:id="rId25"/>
          <w:headerReference w:type="first" r:id="rId26"/>
          <w:endnotePr>
            <w:numFmt w:val="decimal"/>
          </w:endnotePr>
          <w:pgSz w:w="11907" w:h="16840" w:code="9"/>
          <w:pgMar w:top="2381" w:right="2410" w:bottom="3544" w:left="2410" w:header="720" w:footer="3544" w:gutter="0"/>
          <w:cols w:space="720"/>
          <w:noEndnote/>
          <w:docGrid w:linePitch="326"/>
        </w:sectPr>
      </w:pPr>
    </w:p>
    <w:p>
      <w:pPr>
        <w:pStyle w:val="yScheduleHeading"/>
      </w:pPr>
      <w:bookmarkStart w:id="216" w:name="_Toc175836286"/>
      <w:bookmarkStart w:id="217" w:name="_Toc175837395"/>
      <w:bookmarkStart w:id="218" w:name="_Toc175842103"/>
      <w:bookmarkStart w:id="219" w:name="_Toc175913704"/>
      <w:bookmarkStart w:id="220" w:name="_Toc175914508"/>
      <w:bookmarkStart w:id="221" w:name="_Toc175922399"/>
      <w:bookmarkStart w:id="222" w:name="_Toc176256703"/>
      <w:bookmarkStart w:id="223" w:name="_Toc176259241"/>
      <w:r>
        <w:rPr>
          <w:rStyle w:val="CharSchNo"/>
        </w:rPr>
        <w:lastRenderedPageBreak/>
        <w:t>Schedule 1</w:t>
      </w:r>
      <w:r>
        <w:rPr>
          <w:rStyle w:val="CharSDivNo"/>
        </w:rPr>
        <w:t> </w:t>
      </w:r>
      <w:r>
        <w:t>— </w:t>
      </w:r>
      <w:r>
        <w:rPr>
          <w:rStyle w:val="CharSchText"/>
        </w:rPr>
        <w:t>Some modifications to National Gas Law as in Schedule to South Australian Act</w:t>
      </w:r>
      <w:bookmarkEnd w:id="216"/>
      <w:bookmarkEnd w:id="217"/>
      <w:bookmarkEnd w:id="218"/>
      <w:bookmarkEnd w:id="219"/>
      <w:bookmarkEnd w:id="220"/>
      <w:bookmarkEnd w:id="221"/>
      <w:bookmarkEnd w:id="222"/>
      <w:bookmarkEnd w:id="223"/>
    </w:p>
    <w:p>
      <w:pPr>
        <w:pStyle w:val="yShoulderClause"/>
      </w:pPr>
      <w:r>
        <w:t>[s. 7(2)]</w:t>
      </w:r>
    </w:p>
    <w:p>
      <w:pPr>
        <w:pStyle w:val="yHeading5"/>
      </w:pPr>
      <w:bookmarkStart w:id="224" w:name="_Toc176259242"/>
      <w:r>
        <w:rPr>
          <w:rStyle w:val="CharSClsNo"/>
        </w:rPr>
        <w:t>1</w:t>
      </w:r>
      <w:r>
        <w:t>.</w:t>
      </w:r>
      <w:r>
        <w:tab/>
        <w:t>Purpose of this Schedule</w:t>
      </w:r>
      <w:bookmarkEnd w:id="224"/>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225" w:name="_Toc176259243"/>
      <w:r>
        <w:rPr>
          <w:rStyle w:val="CharSClsNo"/>
        </w:rPr>
        <w:t>2</w:t>
      </w:r>
      <w:r>
        <w:t>.</w:t>
      </w:r>
      <w:r>
        <w:tab/>
        <w:t>Section 1 modified</w:t>
      </w:r>
      <w:bookmarkEnd w:id="225"/>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226" w:name="_Toc176259244"/>
      <w:r>
        <w:rPr>
          <w:rStyle w:val="CharSClsNo"/>
        </w:rPr>
        <w:t>3</w:t>
      </w:r>
      <w:r>
        <w:t>.</w:t>
      </w:r>
      <w:r>
        <w:tab/>
        <w:t>Section 2 modified</w:t>
      </w:r>
      <w:bookmarkEnd w:id="226"/>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rPr>
          <w:sz w:val="23"/>
          <w:szCs w:val="23"/>
        </w:rPr>
      </w:pPr>
      <w:r>
        <w:rPr>
          <w:sz w:val="23"/>
          <w:szCs w:val="23"/>
        </w:rPr>
        <w:tab/>
        <w:t>(a)</w:t>
      </w:r>
      <w:r>
        <w:rPr>
          <w:sz w:val="23"/>
          <w:szCs w:val="23"/>
        </w:rPr>
        <w:tab/>
        <w:t xml:space="preserve">the National Gas Rules that, when the </w:t>
      </w:r>
      <w:r>
        <w:rPr>
          <w:i/>
          <w:sz w:val="23"/>
          <w:szCs w:val="23"/>
        </w:rPr>
        <w:t>National Gas Access (WA) Act 2009</w:t>
      </w:r>
      <w:r>
        <w:rPr>
          <w:sz w:val="23"/>
          <w:szCs w:val="23"/>
        </w:rPr>
        <w:t xml:space="preserve"> section 30 came into operation, applied under section 294; and</w:t>
      </w:r>
    </w:p>
    <w:p>
      <w:pPr>
        <w:pStyle w:val="zDefpara"/>
        <w:keepLines/>
        <w:rPr>
          <w:sz w:val="23"/>
          <w:szCs w:val="23"/>
        </w:rPr>
      </w:pPr>
      <w:r>
        <w:rPr>
          <w:sz w:val="23"/>
          <w:szCs w:val="23"/>
        </w:rPr>
        <w:lastRenderedPageBreak/>
        <w:tab/>
        <w:t>(b)</w:t>
      </w:r>
      <w:r>
        <w:rPr>
          <w:sz w:val="23"/>
          <w:szCs w:val="23"/>
        </w:rPr>
        <w:tab/>
        <w:t xml:space="preserve">the </w:t>
      </w:r>
      <w:bookmarkStart w:id="227" w:name="RuleErr_5"/>
      <w:r>
        <w:rPr>
          <w:i/>
          <w:sz w:val="23"/>
          <w:szCs w:val="23"/>
        </w:rPr>
        <w:t>National Gas Access (Pipelines-Arbitration Amendment) Rules 2017</w:t>
      </w:r>
      <w:bookmarkEnd w:id="227"/>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pStyle w:val="zDefpara"/>
      </w:pPr>
      <w:r>
        <w:rPr>
          <w:sz w:val="23"/>
          <w:szCs w:val="23"/>
        </w:rPr>
        <w:tab/>
        <w:t>(c)</w:t>
      </w:r>
      <w:r>
        <w:rPr>
          <w:sz w:val="23"/>
          <w:szCs w:val="23"/>
        </w:rPr>
        <w:tab/>
        <w:t xml:space="preserve">the </w:t>
      </w:r>
      <w:r>
        <w:rPr>
          <w:i/>
          <w:sz w:val="23"/>
          <w:szCs w:val="23"/>
        </w:rPr>
        <w:t>National Gas (Binding Rate of Return Instrument) Amendment Rule 2019</w:t>
      </w:r>
      <w:r>
        <w:rPr>
          <w:sz w:val="23"/>
          <w:szCs w:val="23"/>
        </w:rPr>
        <w:t xml:space="preserve"> made by the Minister for Energy and Mining of South Australia under the National Gas (South Australia) Law section 294CA (notice of which was published in the </w:t>
      </w:r>
      <w:r>
        <w:rPr>
          <w:i/>
          <w:sz w:val="23"/>
          <w:szCs w:val="23"/>
        </w:rPr>
        <w:t>Government Gazette</w:t>
      </w:r>
      <w:r>
        <w:rPr>
          <w:sz w:val="23"/>
          <w:szCs w:val="23"/>
        </w:rPr>
        <w:t xml:space="preserve"> of South Australia on 7 February 2019 at p. 404);</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keepNext/>
      </w:pPr>
      <w:r>
        <w:lastRenderedPageBreak/>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Ednotesubsection"/>
      </w:pPr>
      <w:r>
        <w:tab/>
        <w:t>[(5)</w:t>
      </w:r>
      <w:r>
        <w:tab/>
        <w:t>deleted]</w:t>
      </w:r>
    </w:p>
    <w:p>
      <w:pPr>
        <w:pStyle w:val="yFootnotesection"/>
        <w:rPr>
          <w:sz w:val="23"/>
        </w:rPr>
      </w:pPr>
      <w:r>
        <w:tab/>
        <w:t>[Clause 3 amended: Gazette 22 Dec 2017 p. 5985; 5 Apr 2019 p. 1009.]</w:t>
      </w:r>
    </w:p>
    <w:p>
      <w:pPr>
        <w:pStyle w:val="yHeading5"/>
      </w:pPr>
      <w:bookmarkStart w:id="228" w:name="_Toc176259245"/>
      <w:r>
        <w:rPr>
          <w:rStyle w:val="CharSClsNo"/>
        </w:rPr>
        <w:t>4</w:t>
      </w:r>
      <w:r>
        <w:t>.</w:t>
      </w:r>
      <w:r>
        <w:tab/>
        <w:t>Sections 2A and 2B inserted</w:t>
      </w:r>
      <w:bookmarkEnd w:id="228"/>
    </w:p>
    <w:p>
      <w:pPr>
        <w:pStyle w:val="ySubsection"/>
      </w:pPr>
      <w:r>
        <w:tab/>
      </w:r>
      <w:r>
        <w:tab/>
        <w:t>After section 2 insert:</w:t>
      </w:r>
    </w:p>
    <w:p>
      <w:pPr>
        <w:pStyle w:val="BlankOpen"/>
      </w:pPr>
    </w:p>
    <w:p>
      <w:pPr>
        <w:pStyle w:val="zHeading5"/>
        <w:spacing w:before="0"/>
      </w:pPr>
      <w:bookmarkStart w:id="229" w:name="_Toc176259246"/>
      <w:r>
        <w:t>2A.</w:t>
      </w:r>
      <w:r>
        <w:rPr>
          <w:b w:val="0"/>
        </w:rPr>
        <w:tab/>
      </w:r>
      <w:r>
        <w:t>Meaning of AER modified</w:t>
      </w:r>
      <w:bookmarkEnd w:id="229"/>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230" w:name="_Toc176259247"/>
      <w:r>
        <w:t>2B.</w:t>
      </w:r>
      <w:r>
        <w:rPr>
          <w:b w:val="0"/>
        </w:rPr>
        <w:tab/>
      </w:r>
      <w:r>
        <w:t>References to WA application Act</w:t>
      </w:r>
      <w:bookmarkEnd w:id="230"/>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231" w:name="_Toc176259248"/>
      <w:r>
        <w:rPr>
          <w:rStyle w:val="CharSClsNo"/>
        </w:rPr>
        <w:lastRenderedPageBreak/>
        <w:t>5</w:t>
      </w:r>
      <w:r>
        <w:t>.</w:t>
      </w:r>
      <w:r>
        <w:tab/>
        <w:t>Chapter 1 Part 1A inserted</w:t>
      </w:r>
      <w:bookmarkEnd w:id="231"/>
    </w:p>
    <w:p>
      <w:pPr>
        <w:pStyle w:val="ySubsection"/>
        <w:keepNext/>
      </w:pPr>
      <w:r>
        <w:tab/>
      </w:r>
      <w:r>
        <w:tab/>
        <w:t>After Chapter 1 Part 1 insert:</w:t>
      </w:r>
    </w:p>
    <w:p>
      <w:pPr>
        <w:pStyle w:val="BlankOpen"/>
      </w:pPr>
    </w:p>
    <w:p>
      <w:pPr>
        <w:pStyle w:val="zHeading3"/>
        <w:spacing w:before="0"/>
      </w:pPr>
      <w:bookmarkStart w:id="232" w:name="_Toc175836294"/>
      <w:bookmarkStart w:id="233" w:name="_Toc175837403"/>
      <w:bookmarkStart w:id="234" w:name="_Toc175842111"/>
      <w:bookmarkStart w:id="235" w:name="_Toc175913712"/>
      <w:bookmarkStart w:id="236" w:name="_Toc175914516"/>
      <w:bookmarkStart w:id="237" w:name="_Toc175922407"/>
      <w:bookmarkStart w:id="238" w:name="_Toc176256711"/>
      <w:bookmarkStart w:id="239" w:name="_Toc176259249"/>
      <w:r>
        <w:t>Part 1A</w:t>
      </w:r>
      <w:r>
        <w:rPr>
          <w:b w:val="0"/>
        </w:rPr>
        <w:t> — </w:t>
      </w:r>
      <w:r>
        <w:t>Postponement of Natural Gas Services Bulletin Board provisions</w:t>
      </w:r>
      <w:bookmarkEnd w:id="232"/>
      <w:bookmarkEnd w:id="233"/>
      <w:bookmarkEnd w:id="234"/>
      <w:bookmarkEnd w:id="235"/>
      <w:bookmarkEnd w:id="236"/>
      <w:bookmarkEnd w:id="237"/>
      <w:bookmarkEnd w:id="238"/>
      <w:bookmarkEnd w:id="239"/>
    </w:p>
    <w:p>
      <w:pPr>
        <w:pStyle w:val="zHeading5"/>
      </w:pPr>
      <w:bookmarkStart w:id="240" w:name="_Toc176259250"/>
      <w:r>
        <w:t>20A.</w:t>
      </w:r>
      <w:r>
        <w:rPr>
          <w:b w:val="0"/>
        </w:rPr>
        <w:tab/>
      </w:r>
      <w:r>
        <w:t>Minister may fix day on which provisions apply</w:t>
      </w:r>
      <w:bookmarkEnd w:id="240"/>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yHeading5"/>
      </w:pPr>
      <w:bookmarkStart w:id="241" w:name="_Toc176259251"/>
      <w:r>
        <w:rPr>
          <w:rStyle w:val="CharSClsNo"/>
        </w:rPr>
        <w:t>5A</w:t>
      </w:r>
      <w:r>
        <w:t>.</w:t>
      </w:r>
      <w:r>
        <w:tab/>
        <w:t>Section 23A modified</w:t>
      </w:r>
      <w:bookmarkEnd w:id="241"/>
    </w:p>
    <w:p>
      <w:pPr>
        <w:pStyle w:val="ySubsection"/>
      </w:pPr>
      <w:r>
        <w:tab/>
      </w:r>
      <w:r>
        <w:tab/>
        <w:t xml:space="preserve">In section 23A delete “Without limiting Part 3 of the </w:t>
      </w:r>
      <w:r>
        <w:rPr>
          <w:i/>
        </w:rPr>
        <w:t>National Gas (South Australia) Act 2008</w:t>
      </w:r>
      <w:r>
        <w:t xml:space="preserve"> of South Australia,” and insert:</w:t>
      </w:r>
    </w:p>
    <w:p>
      <w:pPr>
        <w:pStyle w:val="BlankOpen"/>
      </w:pPr>
    </w:p>
    <w:p>
      <w:pPr>
        <w:pStyle w:val="zyMiscellaneousBody"/>
        <w:tabs>
          <w:tab w:val="left" w:pos="851"/>
        </w:tabs>
      </w:pPr>
      <w:r>
        <w:tab/>
        <w:t xml:space="preserve">Without limiting the </w:t>
      </w:r>
      <w:r>
        <w:rPr>
          <w:i/>
          <w:iCs/>
        </w:rPr>
        <w:t>National Gas Access (WA) Act 2009</w:t>
      </w:r>
      <w:r>
        <w:t xml:space="preserve"> Part 3,</w:t>
      </w:r>
    </w:p>
    <w:p>
      <w:pPr>
        <w:pStyle w:val="BlankClose"/>
      </w:pPr>
    </w:p>
    <w:p>
      <w:pPr>
        <w:pStyle w:val="yFootnotesection"/>
        <w:rPr>
          <w:rStyle w:val="CharSClsNo"/>
        </w:rPr>
      </w:pPr>
      <w:r>
        <w:tab/>
        <w:t>[Clause 5A inserted: SL 2024/5 r. 4.]</w:t>
      </w:r>
    </w:p>
    <w:p>
      <w:pPr>
        <w:pStyle w:val="yHeading5"/>
        <w:spacing w:before="120"/>
      </w:pPr>
      <w:bookmarkStart w:id="242" w:name="_Toc176259252"/>
      <w:r>
        <w:rPr>
          <w:rStyle w:val="CharSClsNo"/>
        </w:rPr>
        <w:t>6</w:t>
      </w:r>
      <w:r>
        <w:t>.</w:t>
      </w:r>
      <w:r>
        <w:tab/>
        <w:t>Section 29 modified</w:t>
      </w:r>
      <w:bookmarkEnd w:id="242"/>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243" w:name="_Toc176259253"/>
      <w:r>
        <w:rPr>
          <w:rStyle w:val="CharSClsNo"/>
        </w:rPr>
        <w:t>7</w:t>
      </w:r>
      <w:r>
        <w:t>.</w:t>
      </w:r>
      <w:r>
        <w:tab/>
        <w:t>Section 30 modified</w:t>
      </w:r>
      <w:bookmarkEnd w:id="243"/>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lastRenderedPageBreak/>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pPr>
      <w:bookmarkStart w:id="244" w:name="_Toc176259254"/>
      <w:r>
        <w:rPr>
          <w:rStyle w:val="CharSClsNo"/>
        </w:rPr>
        <w:t>7A</w:t>
      </w:r>
      <w:r>
        <w:t>.</w:t>
      </w:r>
      <w:r>
        <w:tab/>
        <w:t>Section 30R deleted</w:t>
      </w:r>
      <w:bookmarkEnd w:id="244"/>
    </w:p>
    <w:p>
      <w:pPr>
        <w:pStyle w:val="ySubsection"/>
      </w:pPr>
      <w:r>
        <w:tab/>
      </w:r>
      <w:r>
        <w:tab/>
        <w:t>Delete section 30R.</w:t>
      </w:r>
    </w:p>
    <w:p>
      <w:pPr>
        <w:pStyle w:val="yFootnotesection"/>
      </w:pPr>
      <w:r>
        <w:tab/>
        <w:t>[Clause 7A inserted: Gazette 5 Apr 2019 p. 1010.]</w:t>
      </w:r>
    </w:p>
    <w:p>
      <w:pPr>
        <w:pStyle w:val="yHeading5"/>
      </w:pPr>
      <w:bookmarkStart w:id="245" w:name="_Toc175828122"/>
      <w:bookmarkStart w:id="246" w:name="_Toc175828301"/>
      <w:bookmarkStart w:id="247" w:name="_Toc176259255"/>
      <w:r>
        <w:rPr>
          <w:rStyle w:val="CharSClsNo"/>
        </w:rPr>
        <w:t>7B</w:t>
      </w:r>
      <w:r>
        <w:t>.</w:t>
      </w:r>
      <w:r>
        <w:tab/>
        <w:t>Section 42 modified</w:t>
      </w:r>
      <w:bookmarkEnd w:id="245"/>
      <w:bookmarkEnd w:id="246"/>
      <w:bookmarkEnd w:id="247"/>
    </w:p>
    <w:p>
      <w:pPr>
        <w:pStyle w:val="ySubsection"/>
      </w:pPr>
      <w:r>
        <w:tab/>
        <w:t>(1)</w:t>
      </w:r>
      <w:r>
        <w:tab/>
        <w:t>After section 42(2) insert:</w:t>
      </w:r>
    </w:p>
    <w:p>
      <w:pPr>
        <w:pStyle w:val="BlankOpen"/>
      </w:pPr>
    </w:p>
    <w:p>
      <w:pPr>
        <w:pStyle w:val="zSubsection"/>
        <w:keepNext/>
        <w:spacing w:before="0"/>
      </w:pPr>
      <w:r>
        <w:rPr>
          <w:sz w:val="23"/>
          <w:szCs w:val="23"/>
        </w:rPr>
        <w:tab/>
        <w:t>(2A)</w:t>
      </w:r>
      <w:r>
        <w:rPr>
          <w:sz w:val="23"/>
          <w:szCs w:val="23"/>
        </w:rPr>
        <w:tab/>
        <w:t xml:space="preserve">When </w:t>
      </w:r>
      <w:r>
        <w:rPr>
          <w:sz w:val="23"/>
        </w:rPr>
        <w:t>subsection</w:t>
      </w:r>
      <w:r>
        <w:rPr>
          <w:sz w:val="23"/>
          <w:szCs w:val="23"/>
        </w:rPr>
        <w:t xml:space="preserve"> (2)(c) is read as if a reference in it to the AER were a reference to the ERA, the subsection is to be read as if “a member of the staff assisting the AER who is </w:t>
      </w:r>
      <w:r>
        <w:rPr>
          <w:sz w:val="23"/>
          <w:szCs w:val="23"/>
        </w:rPr>
        <w:lastRenderedPageBreak/>
        <w:t>an SES employee or an acting SES employee and” had been deleted and the following had been inserted instead:</w:t>
      </w:r>
    </w:p>
    <w:p>
      <w:pPr>
        <w:pStyle w:val="BlankOpen"/>
      </w:pPr>
    </w:p>
    <w:p>
      <w:pPr>
        <w:pStyle w:val="zSubsection"/>
        <w:spacing w:before="0"/>
      </w:pPr>
      <w:r>
        <w:rPr>
          <w:sz w:val="23"/>
          <w:szCs w:val="23"/>
        </w:rPr>
        <w:tab/>
      </w:r>
      <w:r>
        <w:rPr>
          <w:sz w:val="23"/>
          <w:szCs w:val="23"/>
        </w:rPr>
        <w:tab/>
        <w:t xml:space="preserve">a staff member as defined in the </w:t>
      </w:r>
      <w:r>
        <w:rPr>
          <w:i/>
          <w:iCs/>
          <w:sz w:val="23"/>
          <w:szCs w:val="23"/>
        </w:rPr>
        <w:t>Economic Regulation Authority Act 2003</w:t>
      </w:r>
      <w:r>
        <w:rPr>
          <w:sz w:val="23"/>
          <w:szCs w:val="23"/>
        </w:rPr>
        <w:t xml:space="preserve"> section 3</w:t>
      </w:r>
    </w:p>
    <w:p>
      <w:pPr>
        <w:pStyle w:val="BlankClose"/>
      </w:pPr>
    </w:p>
    <w:p>
      <w:pPr>
        <w:pStyle w:val="ySubsection"/>
      </w:pPr>
      <w:r>
        <w:tab/>
        <w:t>(2)</w:t>
      </w:r>
      <w:r>
        <w:tab/>
        <w:t>After section 42(11) insert:</w:t>
      </w:r>
    </w:p>
    <w:p>
      <w:pPr>
        <w:pStyle w:val="BlankOpen"/>
      </w:pPr>
    </w:p>
    <w:p>
      <w:pPr>
        <w:pStyle w:val="zSubsection"/>
        <w:spacing w:before="0"/>
      </w:pPr>
      <w:r>
        <w:rPr>
          <w:sz w:val="23"/>
        </w:rPr>
        <w:tab/>
        <w:t>(11A)</w:t>
      </w:r>
      <w:r>
        <w:rPr>
          <w:sz w:val="23"/>
        </w:rPr>
        <w:tab/>
        <w:t xml:space="preserve">When </w:t>
      </w:r>
      <w:r>
        <w:rPr>
          <w:sz w:val="23"/>
          <w:szCs w:val="23"/>
        </w:rPr>
        <w:t>subsection</w:t>
      </w:r>
      <w:r>
        <w:rPr>
          <w:sz w:val="23"/>
        </w:rPr>
        <w:t> (11) is read as if a reference in it to the AER were a reference to the ERA, the subsection is to be read as if “on behalf of the Commonwealth” had been deleted.</w:t>
      </w:r>
    </w:p>
    <w:p>
      <w:pPr>
        <w:pStyle w:val="BlankClose"/>
      </w:pPr>
    </w:p>
    <w:p>
      <w:pPr>
        <w:pStyle w:val="yFootnotesection"/>
      </w:pPr>
      <w:r>
        <w:tab/>
        <w:t>[Clause 7B inserted: SL 2024/186 r. 4.]</w:t>
      </w:r>
    </w:p>
    <w:p>
      <w:pPr>
        <w:pStyle w:val="yHeading5"/>
      </w:pPr>
      <w:bookmarkStart w:id="248" w:name="_Toc176259256"/>
      <w:r>
        <w:rPr>
          <w:rStyle w:val="CharSClsNo"/>
        </w:rPr>
        <w:t>8</w:t>
      </w:r>
      <w:r>
        <w:t>.</w:t>
      </w:r>
      <w:r>
        <w:tab/>
        <w:t>Chapter 2 Part 1A inserted</w:t>
      </w:r>
      <w:bookmarkEnd w:id="248"/>
    </w:p>
    <w:p>
      <w:pPr>
        <w:pStyle w:val="ySubsection"/>
      </w:pPr>
      <w:r>
        <w:tab/>
      </w:r>
      <w:r>
        <w:tab/>
        <w:t>After Chapter 2 Part 1 insert:</w:t>
      </w:r>
    </w:p>
    <w:p>
      <w:pPr>
        <w:pStyle w:val="BlankOpen"/>
      </w:pPr>
    </w:p>
    <w:p>
      <w:pPr>
        <w:pStyle w:val="zHeading3"/>
        <w:spacing w:before="0"/>
      </w:pPr>
      <w:bookmarkStart w:id="249" w:name="_Toc175836301"/>
      <w:bookmarkStart w:id="250" w:name="_Toc175837411"/>
      <w:bookmarkStart w:id="251" w:name="_Toc175842119"/>
      <w:bookmarkStart w:id="252" w:name="_Toc175913720"/>
      <w:bookmarkStart w:id="253" w:name="_Toc175914524"/>
      <w:bookmarkStart w:id="254" w:name="_Toc175922415"/>
      <w:bookmarkStart w:id="255" w:name="_Toc176256719"/>
      <w:bookmarkStart w:id="256" w:name="_Toc176259257"/>
      <w:r>
        <w:t>Part 1A</w:t>
      </w:r>
      <w:r>
        <w:rPr>
          <w:b w:val="0"/>
        </w:rPr>
        <w:t> — </w:t>
      </w:r>
      <w:r>
        <w:t>Functions and powers of WA arbitrator</w:t>
      </w:r>
      <w:bookmarkEnd w:id="249"/>
      <w:bookmarkEnd w:id="250"/>
      <w:bookmarkEnd w:id="251"/>
      <w:bookmarkEnd w:id="252"/>
      <w:bookmarkEnd w:id="253"/>
      <w:bookmarkEnd w:id="254"/>
      <w:bookmarkEnd w:id="255"/>
      <w:bookmarkEnd w:id="256"/>
    </w:p>
    <w:p>
      <w:pPr>
        <w:pStyle w:val="zHeading5"/>
      </w:pPr>
      <w:bookmarkStart w:id="257" w:name="_Toc176259258"/>
      <w:r>
        <w:t>68A.</w:t>
      </w:r>
      <w:r>
        <w:rPr>
          <w:b w:val="0"/>
        </w:rPr>
        <w:tab/>
      </w:r>
      <w:r>
        <w:t>Manner in which WA arbitrator must perform or exercise certain functions or powers</w:t>
      </w:r>
      <w:bookmarkEnd w:id="257"/>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keepLines/>
        <w:rPr>
          <w:sz w:val="23"/>
        </w:rPr>
      </w:pPr>
      <w:r>
        <w:rPr>
          <w:sz w:val="23"/>
        </w:rPr>
        <w:lastRenderedPageBreak/>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258" w:name="_Toc176259259"/>
      <w:r>
        <w:rPr>
          <w:rStyle w:val="CharSClsNo"/>
        </w:rPr>
        <w:t>9</w:t>
      </w:r>
      <w:r>
        <w:t>.</w:t>
      </w:r>
      <w:r>
        <w:tab/>
        <w:t>Section 181A inserted</w:t>
      </w:r>
      <w:bookmarkEnd w:id="258"/>
    </w:p>
    <w:p>
      <w:pPr>
        <w:pStyle w:val="ySubsection"/>
      </w:pPr>
      <w:r>
        <w:tab/>
      </w:r>
      <w:r>
        <w:tab/>
        <w:t>After section 181 insert:</w:t>
      </w:r>
    </w:p>
    <w:p>
      <w:pPr>
        <w:pStyle w:val="BlankOpen"/>
      </w:pPr>
    </w:p>
    <w:p>
      <w:pPr>
        <w:pStyle w:val="zHeading5"/>
        <w:spacing w:before="0"/>
      </w:pPr>
      <w:bookmarkStart w:id="259" w:name="_Toc176259260"/>
      <w:r>
        <w:t>181A.</w:t>
      </w:r>
      <w:r>
        <w:rPr>
          <w:b w:val="0"/>
        </w:rPr>
        <w:tab/>
      </w:r>
      <w:r>
        <w:t>Providing information for certain disputes</w:t>
      </w:r>
      <w:bookmarkEnd w:id="259"/>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260" w:name="_Toc176259261"/>
      <w:r>
        <w:rPr>
          <w:rStyle w:val="CharSClsNo"/>
        </w:rPr>
        <w:lastRenderedPageBreak/>
        <w:t>10</w:t>
      </w:r>
      <w:r>
        <w:t>.</w:t>
      </w:r>
      <w:r>
        <w:tab/>
        <w:t>Section 231 modified</w:t>
      </w:r>
      <w:bookmarkEnd w:id="260"/>
    </w:p>
    <w:p>
      <w:pPr>
        <w:pStyle w:val="ySubsection"/>
        <w:keepNext/>
        <w:spacing w:before="100"/>
      </w:pPr>
      <w:r>
        <w:tab/>
        <w:t>(1)</w:t>
      </w:r>
      <w:r>
        <w:tab/>
        <w:t>After section 231(1) insert:</w:t>
      </w:r>
    </w:p>
    <w:p>
      <w:pPr>
        <w:pStyle w:val="BlankOpen"/>
      </w:pPr>
    </w:p>
    <w:p>
      <w:pPr>
        <w:pStyle w:val="zSubsection"/>
        <w:keepNext/>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261" w:name="_Toc176259262"/>
      <w:r>
        <w:rPr>
          <w:rStyle w:val="CharSClsNo"/>
        </w:rPr>
        <w:t>11</w:t>
      </w:r>
      <w:r>
        <w:t>.</w:t>
      </w:r>
      <w:r>
        <w:tab/>
        <w:t>Section 240 modified</w:t>
      </w:r>
      <w:bookmarkEnd w:id="261"/>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262" w:name="_Toc176259263"/>
      <w:r>
        <w:rPr>
          <w:rStyle w:val="CharSClsNo"/>
        </w:rPr>
        <w:t>12</w:t>
      </w:r>
      <w:r>
        <w:t>.</w:t>
      </w:r>
      <w:r>
        <w:tab/>
        <w:t>Section 290 modified</w:t>
      </w:r>
      <w:bookmarkEnd w:id="262"/>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263" w:name="_Toc176259264"/>
      <w:r>
        <w:rPr>
          <w:rStyle w:val="CharSClsNo"/>
        </w:rPr>
        <w:lastRenderedPageBreak/>
        <w:t>13</w:t>
      </w:r>
      <w:r>
        <w:t>.</w:t>
      </w:r>
      <w:r>
        <w:tab/>
        <w:t>Section 294 replaced</w:t>
      </w:r>
      <w:bookmarkEnd w:id="263"/>
    </w:p>
    <w:p>
      <w:pPr>
        <w:pStyle w:val="ySubsection"/>
        <w:keepNext/>
      </w:pPr>
      <w:r>
        <w:tab/>
      </w:r>
      <w:r>
        <w:tab/>
        <w:t>Delete section 294 and insert:</w:t>
      </w:r>
    </w:p>
    <w:p>
      <w:pPr>
        <w:pStyle w:val="BlankOpen"/>
      </w:pPr>
    </w:p>
    <w:p>
      <w:pPr>
        <w:pStyle w:val="zHeading5"/>
        <w:spacing w:before="0"/>
      </w:pPr>
      <w:bookmarkStart w:id="264" w:name="_Toc176259265"/>
      <w:r>
        <w:rPr>
          <w:rStyle w:val="CharSectno"/>
        </w:rPr>
        <w:t>294</w:t>
      </w:r>
      <w:r>
        <w:t>.</w:t>
      </w:r>
      <w:r>
        <w:tab/>
        <w:t>Initial National Gas Rules for WA</w:t>
      </w:r>
      <w:bookmarkEnd w:id="264"/>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pPr>
      <w:bookmarkStart w:id="265" w:name="_Toc176259266"/>
      <w:r>
        <w:rPr>
          <w:rStyle w:val="CharSClsNo"/>
        </w:rPr>
        <w:t>13A</w:t>
      </w:r>
      <w:r>
        <w:t>.</w:t>
      </w:r>
      <w:r>
        <w:tab/>
        <w:t>Section 294FC modified</w:t>
      </w:r>
      <w:bookmarkEnd w:id="265"/>
    </w:p>
    <w:p>
      <w:pPr>
        <w:pStyle w:val="ySubsection"/>
      </w:pPr>
      <w:r>
        <w:tab/>
        <w:t>(1)</w:t>
      </w:r>
      <w:r>
        <w:tab/>
        <w:t>In section 294FC(1):</w:t>
      </w:r>
    </w:p>
    <w:p>
      <w:pPr>
        <w:pStyle w:val="yIndenta"/>
      </w:pPr>
      <w:r>
        <w:tab/>
        <w:t>(a)</w:t>
      </w:r>
      <w:r>
        <w:tab/>
        <w:t>delete “</w:t>
      </w:r>
      <w:r>
        <w:rPr>
          <w:sz w:val="23"/>
        </w:rPr>
        <w:t>this section—</w:t>
      </w:r>
      <w:r>
        <w:t>” and insert:</w:t>
      </w:r>
    </w:p>
    <w:p>
      <w:pPr>
        <w:pStyle w:val="BlankOpen"/>
      </w:pPr>
    </w:p>
    <w:p>
      <w:pPr>
        <w:pStyle w:val="zyMiscellaneousBody"/>
        <w:ind w:left="1560" w:hanging="993"/>
      </w:pPr>
      <w:r>
        <w:tab/>
        <w:t xml:space="preserve">the </w:t>
      </w:r>
      <w:r>
        <w:rPr>
          <w:i/>
        </w:rPr>
        <w:t>National Gas (South Australia) Law</w:t>
      </w:r>
      <w:r>
        <w:t xml:space="preserve"> (South Australia) section 294FC — </w:t>
      </w:r>
    </w:p>
    <w:p>
      <w:pPr>
        <w:pStyle w:val="BlankClose"/>
      </w:pPr>
    </w:p>
    <w:p>
      <w:pPr>
        <w:pStyle w:val="yIndenta"/>
      </w:pPr>
      <w:r>
        <w:tab/>
        <w:t>(b)</w:t>
      </w:r>
      <w:r>
        <w:tab/>
        <w:t xml:space="preserve">in paragraph (c) delete “of the enactment of the </w:t>
      </w:r>
      <w:r>
        <w:rPr>
          <w:i/>
        </w:rPr>
        <w:t>Statutes Amendment (National Energy Laws) (Emissions Reduction Objectives) Act 2023</w:t>
      </w:r>
      <w:r>
        <w:t xml:space="preserve"> of South Australia.” and insert:</w:t>
      </w:r>
    </w:p>
    <w:p>
      <w:pPr>
        <w:pStyle w:val="BlankOpen"/>
      </w:pPr>
    </w:p>
    <w:p>
      <w:pPr>
        <w:pStyle w:val="zyMiscellaneousBody"/>
        <w:tabs>
          <w:tab w:val="left" w:pos="2198"/>
        </w:tabs>
        <w:ind w:left="1617" w:hanging="1617"/>
        <w:rPr>
          <w:sz w:val="23"/>
          <w:szCs w:val="23"/>
        </w:rPr>
      </w:pPr>
      <w:r>
        <w:tab/>
      </w:r>
      <w:r>
        <w:rPr>
          <w:sz w:val="23"/>
          <w:szCs w:val="23"/>
        </w:rPr>
        <w:t xml:space="preserve">of — </w:t>
      </w:r>
    </w:p>
    <w:p>
      <w:pPr>
        <w:pStyle w:val="zyMiscellaneousBody"/>
        <w:tabs>
          <w:tab w:val="left" w:pos="2926"/>
        </w:tabs>
        <w:ind w:left="2359" w:hanging="518"/>
        <w:rPr>
          <w:sz w:val="23"/>
          <w:szCs w:val="23"/>
        </w:rPr>
      </w:pPr>
      <w:r>
        <w:rPr>
          <w:sz w:val="23"/>
          <w:szCs w:val="23"/>
        </w:rPr>
        <w:t>(i)</w:t>
      </w:r>
      <w:r>
        <w:rPr>
          <w:sz w:val="23"/>
          <w:szCs w:val="23"/>
        </w:rPr>
        <w:tab/>
        <w:t xml:space="preserve">the enactment of the </w:t>
      </w:r>
      <w:r>
        <w:rPr>
          <w:i/>
          <w:iCs/>
          <w:sz w:val="23"/>
          <w:szCs w:val="23"/>
        </w:rPr>
        <w:t>Statutes Amendment (National Energy Laws) (Emissions Reduction Objectives) Act 2023</w:t>
      </w:r>
      <w:r>
        <w:rPr>
          <w:sz w:val="23"/>
          <w:szCs w:val="23"/>
        </w:rPr>
        <w:t xml:space="preserve"> (South Australia); or</w:t>
      </w:r>
    </w:p>
    <w:p>
      <w:pPr>
        <w:pStyle w:val="zyMiscellaneousBody"/>
        <w:tabs>
          <w:tab w:val="left" w:pos="2926"/>
        </w:tabs>
        <w:ind w:left="2359" w:hanging="518"/>
      </w:pPr>
      <w:r>
        <w:rPr>
          <w:sz w:val="23"/>
          <w:szCs w:val="23"/>
        </w:rPr>
        <w:lastRenderedPageBreak/>
        <w:t>(ii)</w:t>
      </w:r>
      <w:r>
        <w:rPr>
          <w:sz w:val="23"/>
          <w:szCs w:val="23"/>
        </w:rPr>
        <w:tab/>
        <w:t xml:space="preserve">the amendment of this Law by virtue of the </w:t>
      </w:r>
      <w:r>
        <w:rPr>
          <w:i/>
          <w:sz w:val="23"/>
          <w:szCs w:val="23"/>
        </w:rPr>
        <w:t>National Gas Access (WA) Adoption of Amendments Order (No. 2) 2024</w:t>
      </w:r>
      <w:r>
        <w:rPr>
          <w:sz w:val="23"/>
          <w:szCs w:val="23"/>
        </w:rPr>
        <w:t xml:space="preserve"> clause 3 (the </w:t>
      </w:r>
      <w:r>
        <w:rPr>
          <w:rStyle w:val="CharDefText"/>
          <w:sz w:val="23"/>
          <w:szCs w:val="23"/>
        </w:rPr>
        <w:t>adopting clause</w:t>
      </w:r>
      <w:r>
        <w:rPr>
          <w:sz w:val="23"/>
          <w:szCs w:val="23"/>
        </w:rPr>
        <w:t>).</w:t>
      </w:r>
    </w:p>
    <w:p>
      <w:pPr>
        <w:pStyle w:val="BlankClose"/>
      </w:pPr>
    </w:p>
    <w:p>
      <w:pPr>
        <w:pStyle w:val="ySubsection"/>
        <w:keepNext/>
      </w:pPr>
      <w:r>
        <w:tab/>
        <w:t>(2)</w:t>
      </w:r>
      <w:r>
        <w:tab/>
        <w:t>In section 294FC(8) insert in alphabetical order:</w:t>
      </w:r>
    </w:p>
    <w:p>
      <w:pPr>
        <w:pStyle w:val="BlankOpen"/>
      </w:pPr>
    </w:p>
    <w:p>
      <w:pPr>
        <w:pStyle w:val="zyMiscellaneousBody"/>
        <w:keepNext/>
        <w:tabs>
          <w:tab w:val="left" w:pos="2127"/>
          <w:tab w:val="left" w:pos="2184"/>
        </w:tabs>
        <w:ind w:left="917" w:hanging="917"/>
        <w:rPr>
          <w:sz w:val="23"/>
          <w:szCs w:val="23"/>
        </w:rPr>
      </w:pPr>
      <w:r>
        <w:rPr>
          <w:sz w:val="23"/>
          <w:szCs w:val="23"/>
        </w:rPr>
        <w:tab/>
      </w:r>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BlankClose"/>
      </w:pPr>
    </w:p>
    <w:p>
      <w:pPr>
        <w:pStyle w:val="ySubsection"/>
      </w:pPr>
      <w:r>
        <w:tab/>
        <w:t>(3)</w:t>
      </w:r>
      <w:r>
        <w:tab/>
        <w:t xml:space="preserve">In section 294FC(8) in the definition of </w:t>
      </w:r>
      <w:r>
        <w:rPr>
          <w:b/>
          <w:i/>
          <w:sz w:val="23"/>
        </w:rPr>
        <w:t>amended objective</w:t>
      </w:r>
      <w:r>
        <w:t xml:space="preserve"> delete “</w:t>
      </w:r>
      <w:r>
        <w:rPr>
          <w:sz w:val="23"/>
        </w:rPr>
        <w:t>commencement of this section.</w:t>
      </w:r>
      <w:r>
        <w:t>” and insert:</w:t>
      </w:r>
    </w:p>
    <w:p>
      <w:pPr>
        <w:pStyle w:val="BlankOpen"/>
      </w:pPr>
    </w:p>
    <w:p>
      <w:pPr>
        <w:pStyle w:val="zyMiscellaneousBody"/>
        <w:tabs>
          <w:tab w:val="left" w:pos="851"/>
        </w:tabs>
      </w:pPr>
      <w:r>
        <w:tab/>
        <w:t>coming into operation of the adopting clause;</w:t>
      </w:r>
    </w:p>
    <w:p>
      <w:pPr>
        <w:pStyle w:val="BlankClose"/>
      </w:pPr>
    </w:p>
    <w:p>
      <w:pPr>
        <w:pStyle w:val="yFootnotesection"/>
      </w:pPr>
      <w:r>
        <w:tab/>
        <w:t>[Clause 13A inserted: SL 2024/5 r. 5.]</w:t>
      </w:r>
    </w:p>
    <w:p>
      <w:pPr>
        <w:pStyle w:val="yHeading5"/>
        <w:spacing w:before="120"/>
      </w:pPr>
      <w:bookmarkStart w:id="266" w:name="_Toc176259267"/>
      <w:r>
        <w:rPr>
          <w:rStyle w:val="CharSClsNo"/>
        </w:rPr>
        <w:t>14</w:t>
      </w:r>
      <w:r>
        <w:t>.</w:t>
      </w:r>
      <w:r>
        <w:tab/>
        <w:t>Schedule 1 modified</w:t>
      </w:r>
      <w:bookmarkEnd w:id="266"/>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267" w:name="_Toc176259268"/>
      <w:r>
        <w:rPr>
          <w:rStyle w:val="CharSClsNo"/>
        </w:rPr>
        <w:t>15</w:t>
      </w:r>
      <w:r>
        <w:t>.</w:t>
      </w:r>
      <w:r>
        <w:tab/>
        <w:t>Schedule 2 clause 27A inserted</w:t>
      </w:r>
      <w:bookmarkEnd w:id="267"/>
    </w:p>
    <w:p>
      <w:pPr>
        <w:pStyle w:val="ySubsection"/>
      </w:pPr>
      <w:r>
        <w:tab/>
      </w:r>
      <w:r>
        <w:tab/>
        <w:t>After Schedule 2 clause 27 insert:</w:t>
      </w:r>
    </w:p>
    <w:p>
      <w:pPr>
        <w:pStyle w:val="BlankOpen"/>
      </w:pPr>
    </w:p>
    <w:p>
      <w:pPr>
        <w:pStyle w:val="zyHeading5"/>
        <w:spacing w:before="0"/>
      </w:pPr>
      <w:bookmarkStart w:id="268" w:name="_Toc176259269"/>
      <w:r>
        <w:t>27A.</w:t>
      </w:r>
      <w:r>
        <w:rPr>
          <w:b w:val="0"/>
        </w:rPr>
        <w:tab/>
      </w:r>
      <w:r>
        <w:t>WA modifications of clause 27</w:t>
      </w:r>
      <w:bookmarkEnd w:id="268"/>
    </w:p>
    <w:p>
      <w:pPr>
        <w:pStyle w:val="zySubsection"/>
        <w:keepNext/>
        <w:rPr>
          <w:sz w:val="23"/>
        </w:rPr>
      </w:pPr>
      <w:r>
        <w:rPr>
          <w:sz w:val="23"/>
        </w:rPr>
        <w:tab/>
      </w:r>
      <w:r>
        <w:rPr>
          <w:sz w:val="23"/>
        </w:rPr>
        <w:tab/>
        <w:t xml:space="preserve">Clause 27 applies to a conferral of power by this Law to the extent that the power derives from an amendment to </w:t>
      </w:r>
      <w:r>
        <w:rPr>
          <w:sz w:val="23"/>
        </w:rPr>
        <w:lastRenderedPageBreak/>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269" w:name="_Toc176259270"/>
      <w:r>
        <w:rPr>
          <w:rStyle w:val="CharSClsNo"/>
        </w:rPr>
        <w:t>16</w:t>
      </w:r>
      <w:r>
        <w:t>.</w:t>
      </w:r>
      <w:r>
        <w:tab/>
        <w:t>Schedule 2 clause 34 modified</w:t>
      </w:r>
      <w:bookmarkEnd w:id="269"/>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270" w:name="_Toc175828124"/>
      <w:bookmarkStart w:id="271" w:name="_Toc175828303"/>
      <w:bookmarkStart w:id="272" w:name="_Toc176259271"/>
      <w:r>
        <w:rPr>
          <w:rStyle w:val="CharSClsNo"/>
        </w:rPr>
        <w:lastRenderedPageBreak/>
        <w:t>16A</w:t>
      </w:r>
      <w:r>
        <w:t>.</w:t>
      </w:r>
      <w:r>
        <w:tab/>
        <w:t>Schedule 2 clause 47A modified</w:t>
      </w:r>
      <w:bookmarkEnd w:id="270"/>
      <w:bookmarkEnd w:id="271"/>
      <w:bookmarkEnd w:id="272"/>
    </w:p>
    <w:p>
      <w:pPr>
        <w:pStyle w:val="ySubsection"/>
      </w:pPr>
      <w:r>
        <w:tab/>
      </w:r>
      <w:r>
        <w:tab/>
        <w:t>In Schedule 2 clause 47A(2) delete “1 July 2023.” and insert:</w:t>
      </w:r>
    </w:p>
    <w:p>
      <w:pPr>
        <w:pStyle w:val="BlankOpen"/>
      </w:pPr>
    </w:p>
    <w:p>
      <w:pPr>
        <w:pStyle w:val="ySubsection"/>
      </w:pPr>
      <w:r>
        <w:tab/>
      </w:r>
      <w:r>
        <w:tab/>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p>
    <w:p>
      <w:pPr>
        <w:pStyle w:val="BlankClose"/>
      </w:pPr>
    </w:p>
    <w:p>
      <w:pPr>
        <w:pStyle w:val="yFootnotesection"/>
      </w:pPr>
      <w:r>
        <w:tab/>
        <w:t>[Clause 16A inserted: SL 2024/186 r. 5.]</w:t>
      </w:r>
    </w:p>
    <w:p>
      <w:pPr>
        <w:pStyle w:val="yHeading5"/>
      </w:pPr>
      <w:bookmarkStart w:id="273" w:name="_Toc175828125"/>
      <w:bookmarkStart w:id="274" w:name="_Toc175828304"/>
      <w:bookmarkStart w:id="275" w:name="_Toc176259272"/>
      <w:r>
        <w:rPr>
          <w:rStyle w:val="CharSClsNo"/>
        </w:rPr>
        <w:t>16B</w:t>
      </w:r>
      <w:r>
        <w:t>.</w:t>
      </w:r>
      <w:r>
        <w:tab/>
        <w:t>Schedule 2 clause 47B modified</w:t>
      </w:r>
      <w:bookmarkEnd w:id="273"/>
      <w:bookmarkEnd w:id="274"/>
      <w:bookmarkEnd w:id="275"/>
    </w:p>
    <w:p>
      <w:pPr>
        <w:pStyle w:val="ySubsection"/>
      </w:pPr>
      <w:r>
        <w:tab/>
      </w:r>
      <w:r>
        <w:tab/>
        <w:t>In Schedule 2 clause 47B(2) delete “1 July 2023.” and insert:</w:t>
      </w:r>
    </w:p>
    <w:p>
      <w:pPr>
        <w:pStyle w:val="BlankOpen"/>
      </w:pPr>
    </w:p>
    <w:p>
      <w:pPr>
        <w:pStyle w:val="ySubsection"/>
      </w:pPr>
      <w:r>
        <w:tab/>
      </w:r>
      <w:r>
        <w:tab/>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p>
    <w:p>
      <w:pPr>
        <w:pStyle w:val="BlankClose"/>
        <w:keepNext/>
      </w:pPr>
    </w:p>
    <w:p>
      <w:pPr>
        <w:pStyle w:val="yFootnotesection"/>
      </w:pPr>
      <w:r>
        <w:tab/>
        <w:t>[Clause 16B inserted: SL 2024/186 r. 5.]</w:t>
      </w:r>
    </w:p>
    <w:p>
      <w:pPr>
        <w:pStyle w:val="yHeading5"/>
      </w:pPr>
      <w:bookmarkStart w:id="276" w:name="_Toc176259273"/>
      <w:r>
        <w:rPr>
          <w:rStyle w:val="CharSClsNo"/>
        </w:rPr>
        <w:t>17</w:t>
      </w:r>
      <w:r>
        <w:t>.</w:t>
      </w:r>
      <w:r>
        <w:tab/>
        <w:t>Schedule 2 clause 50 replaced</w:t>
      </w:r>
      <w:bookmarkEnd w:id="276"/>
    </w:p>
    <w:p>
      <w:pPr>
        <w:pStyle w:val="ySubsection"/>
        <w:keepNext/>
      </w:pPr>
      <w:r>
        <w:tab/>
      </w:r>
      <w:r>
        <w:tab/>
        <w:t>Delete Schedule 2 clause 50 and insert:</w:t>
      </w:r>
    </w:p>
    <w:p>
      <w:pPr>
        <w:pStyle w:val="BlankOpen"/>
      </w:pPr>
    </w:p>
    <w:p>
      <w:pPr>
        <w:pStyle w:val="zyHeading5"/>
        <w:spacing w:before="0"/>
      </w:pPr>
      <w:bookmarkStart w:id="277" w:name="_Toc176259274"/>
      <w:r>
        <w:t>50.</w:t>
      </w:r>
      <w:r>
        <w:rPr>
          <w:b w:val="0"/>
        </w:rPr>
        <w:tab/>
      </w:r>
      <w:r>
        <w:t>Attempts and incitement</w:t>
      </w:r>
      <w:bookmarkEnd w:id="277"/>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278" w:name="_Toc176259275"/>
      <w:r>
        <w:rPr>
          <w:rStyle w:val="CharSClsNo"/>
        </w:rPr>
        <w:t>17A</w:t>
      </w:r>
      <w:r>
        <w:t>.</w:t>
      </w:r>
      <w:r>
        <w:tab/>
        <w:t>Schedule 2 clause 51 modified</w:t>
      </w:r>
      <w:bookmarkEnd w:id="278"/>
    </w:p>
    <w:p>
      <w:pPr>
        <w:pStyle w:val="ySubsection"/>
      </w:pPr>
      <w:r>
        <w:tab/>
      </w:r>
      <w:r>
        <w:tab/>
        <w:t xml:space="preserve">In Schedule 2 clause 51(3) delete the definition of </w:t>
      </w:r>
      <w:r>
        <w:rPr>
          <w:b/>
          <w:i/>
        </w:rPr>
        <w:t>statutory instrument</w:t>
      </w:r>
      <w:r>
        <w:t xml:space="preserve"> and insert:</w:t>
      </w:r>
    </w:p>
    <w:p>
      <w:pPr>
        <w:pStyle w:val="BlankOpen"/>
      </w:pPr>
    </w:p>
    <w:p>
      <w:pPr>
        <w:pStyle w:val="yDefstart"/>
      </w:pPr>
      <w:r>
        <w:tab/>
      </w:r>
      <w:r>
        <w:rPr>
          <w:rStyle w:val="CharDefText"/>
        </w:rPr>
        <w:t>statutory instrument</w:t>
      </w:r>
      <w:r>
        <w:t xml:space="preserve"> includes the Regulations, the rate of return instrument or the Rules.</w:t>
      </w:r>
    </w:p>
    <w:p>
      <w:pPr>
        <w:pStyle w:val="BlankClose"/>
      </w:pPr>
    </w:p>
    <w:p>
      <w:pPr>
        <w:pStyle w:val="yFootnotesection"/>
        <w:rPr>
          <w:sz w:val="23"/>
        </w:rPr>
      </w:pPr>
      <w:r>
        <w:tab/>
        <w:t>[Clause 17A inserted: Gazette 5 Apr 2019 p. 1010.]</w:t>
      </w:r>
    </w:p>
    <w:p>
      <w:pPr>
        <w:pStyle w:val="yHeading5"/>
        <w:spacing w:before="180"/>
      </w:pPr>
      <w:bookmarkStart w:id="279" w:name="_Toc176259276"/>
      <w:r>
        <w:rPr>
          <w:rStyle w:val="CharSClsNo"/>
        </w:rPr>
        <w:lastRenderedPageBreak/>
        <w:t>18</w:t>
      </w:r>
      <w:r>
        <w:t>.</w:t>
      </w:r>
      <w:r>
        <w:tab/>
        <w:t>Schedule 3 modified</w:t>
      </w:r>
      <w:bookmarkEnd w:id="279"/>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pStyle w:val="ySubsection"/>
        <w:keepNext/>
      </w:pPr>
      <w:r>
        <w:tab/>
        <w:t>(2A)</w:t>
      </w:r>
      <w:r>
        <w:tab/>
        <w:t>In Schedule 3 clause 90:</w:t>
      </w:r>
    </w:p>
    <w:p>
      <w:pPr>
        <w:pStyle w:val="yIndenta"/>
        <w:keepNext/>
      </w:pPr>
      <w:r>
        <w:tab/>
        <w:t>(a)</w:t>
      </w:r>
      <w:r>
        <w:tab/>
        <w:t xml:space="preserve">delete “section 26 of the </w:t>
      </w:r>
      <w:r>
        <w:rPr>
          <w:i/>
        </w:rPr>
        <w:t>Statutes Amendment (National Energy Laws) (Rules) Act 2018</w:t>
      </w:r>
      <w:r>
        <w:t>” and insert:</w:t>
      </w:r>
    </w:p>
    <w:p>
      <w:pPr>
        <w:pStyle w:val="BlankOpen"/>
      </w:pPr>
    </w:p>
    <w:p>
      <w:pPr>
        <w:pStyle w:val="yIndenta"/>
      </w:pPr>
      <w:r>
        <w:tab/>
      </w:r>
      <w:r>
        <w:tab/>
        <w:t xml:space="preserve">virtue of the </w:t>
      </w:r>
      <w:r>
        <w:rPr>
          <w:i/>
        </w:rPr>
        <w:t>National Gas Access (WA) Adoption of Amendments Order 2020</w:t>
      </w:r>
      <w:r>
        <w:t xml:space="preserve"> clause 3 (the </w:t>
      </w:r>
      <w:r>
        <w:rPr>
          <w:rStyle w:val="CharDefText"/>
        </w:rPr>
        <w:t>adopting clause</w:t>
      </w:r>
      <w:r>
        <w:t>)</w:t>
      </w:r>
    </w:p>
    <w:p>
      <w:pPr>
        <w:pStyle w:val="BlankClose"/>
      </w:pPr>
    </w:p>
    <w:p>
      <w:pPr>
        <w:pStyle w:val="yIndenta"/>
      </w:pPr>
      <w:r>
        <w:tab/>
        <w:t>(b)</w:t>
      </w:r>
      <w:r>
        <w:tab/>
        <w:t>in paragraph (a) delete “commencement of this clause; or” and insert:</w:t>
      </w:r>
    </w:p>
    <w:p>
      <w:pPr>
        <w:pStyle w:val="BlankOpen"/>
      </w:pPr>
    </w:p>
    <w:p>
      <w:pPr>
        <w:pStyle w:val="yIndenta"/>
      </w:pPr>
      <w:r>
        <w:tab/>
      </w:r>
      <w:r>
        <w:tab/>
        <w:t>coming into operation of the adopting clause; or</w:t>
      </w:r>
    </w:p>
    <w:p>
      <w:pPr>
        <w:pStyle w:val="BlankClose"/>
      </w:pPr>
    </w:p>
    <w:p>
      <w:pPr>
        <w:pStyle w:val="yIndenta"/>
      </w:pPr>
      <w:r>
        <w:tab/>
        <w:t>(c)</w:t>
      </w:r>
      <w:r>
        <w:tab/>
        <w:t>in paragraph (b) delete “commencement of this clause,” and insert:</w:t>
      </w:r>
    </w:p>
    <w:p>
      <w:pPr>
        <w:pStyle w:val="BlankOpen"/>
      </w:pPr>
    </w:p>
    <w:p>
      <w:pPr>
        <w:pStyle w:val="yIndenta"/>
      </w:pPr>
      <w:r>
        <w:tab/>
      </w:r>
      <w:r>
        <w:tab/>
        <w:t>coming into operation of the adopting clause,</w:t>
      </w:r>
    </w:p>
    <w:p>
      <w:pPr>
        <w:pStyle w:val="BlankClose"/>
      </w:pPr>
    </w:p>
    <w:p>
      <w:pPr>
        <w:pStyle w:val="ySubsection"/>
      </w:pPr>
      <w:r>
        <w:tab/>
        <w:t>(3)</w:t>
      </w:r>
      <w:r>
        <w:tab/>
        <w:t>In Schedule 3 clause 95 insert in alphabetical order:</w:t>
      </w:r>
    </w:p>
    <w:p>
      <w:pPr>
        <w:pStyle w:val="BlankOpen"/>
      </w:pPr>
    </w:p>
    <w:p>
      <w:pPr>
        <w:pStyle w:val="zyDefstart"/>
        <w:rPr>
          <w:sz w:val="23"/>
          <w:szCs w:val="23"/>
        </w:rPr>
      </w:pPr>
      <w:r>
        <w:rPr>
          <w:sz w:val="23"/>
          <w:szCs w:val="23"/>
        </w:rPr>
        <w:tab/>
      </w:r>
      <w:r>
        <w:rPr>
          <w:rStyle w:val="CharDefText"/>
          <w:sz w:val="23"/>
          <w:szCs w:val="23"/>
        </w:rPr>
        <w:t>commencement</w:t>
      </w:r>
      <w:r>
        <w:rPr>
          <w:sz w:val="23"/>
          <w:szCs w:val="23"/>
        </w:rPr>
        <w:t xml:space="preserve"> means the coming into operation of the National Gas Access (WA) Adoption of Amendments Order 2019 clause 3;</w:t>
      </w:r>
    </w:p>
    <w:p>
      <w:pPr>
        <w:pStyle w:val="BlankClose"/>
      </w:pPr>
    </w:p>
    <w:p>
      <w:pPr>
        <w:pStyle w:val="ySubsection"/>
        <w:keepNext/>
      </w:pPr>
      <w:r>
        <w:lastRenderedPageBreak/>
        <w:tab/>
        <w:t>(4)</w:t>
      </w:r>
      <w:r>
        <w:tab/>
        <w:t>In Schedule 3 clause 96(1)(a)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commencement;</w:t>
      </w:r>
    </w:p>
    <w:p>
      <w:pPr>
        <w:pStyle w:val="BlankClose"/>
      </w:pPr>
    </w:p>
    <w:p>
      <w:pPr>
        <w:pStyle w:val="ySubsection"/>
      </w:pPr>
      <w:r>
        <w:tab/>
        <w:t>(5)</w:t>
      </w:r>
      <w:r>
        <w:tab/>
        <w:t>In Schedule 3 clause 97(1)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 xml:space="preserve">commencement— </w:t>
      </w:r>
    </w:p>
    <w:p>
      <w:pPr>
        <w:pStyle w:val="BlankClose"/>
      </w:pPr>
    </w:p>
    <w:p>
      <w:pPr>
        <w:pStyle w:val="ySubsection"/>
        <w:keepNext/>
      </w:pPr>
      <w:r>
        <w:tab/>
        <w:t>(6)</w:t>
      </w:r>
      <w:r>
        <w:tab/>
        <w:t xml:space="preserve">In Schedule 3 clause 98(3) delete the definitions of </w:t>
      </w:r>
      <w:r>
        <w:rPr>
          <w:b/>
          <w:i/>
        </w:rPr>
        <w:t>amended Law</w:t>
      </w:r>
      <w:r>
        <w:t xml:space="preserve"> and </w:t>
      </w:r>
      <w:r>
        <w:rPr>
          <w:b/>
          <w:i/>
        </w:rPr>
        <w:t>commencement</w:t>
      </w:r>
      <w:r>
        <w:t xml:space="preserve"> and insert:</w:t>
      </w:r>
    </w:p>
    <w:p>
      <w:pPr>
        <w:pStyle w:val="BlankOpen"/>
      </w:pPr>
    </w:p>
    <w:p>
      <w:pPr>
        <w:pStyle w:val="zyDefstart"/>
        <w:rPr>
          <w:sz w:val="23"/>
          <w:szCs w:val="23"/>
        </w:rPr>
      </w:pPr>
      <w:r>
        <w:rPr>
          <w:sz w:val="23"/>
          <w:szCs w:val="23"/>
        </w:rPr>
        <w:tab/>
      </w: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BlankClose"/>
      </w:pPr>
    </w:p>
    <w:p>
      <w:pPr>
        <w:pStyle w:val="ySubsection"/>
      </w:pPr>
      <w:r>
        <w:tab/>
        <w:t>(7)</w:t>
      </w:r>
      <w:r>
        <w:tab/>
        <w:t xml:space="preserve">In Schedule 3 clause 133 delete the definition of </w:t>
      </w:r>
      <w:r>
        <w:rPr>
          <w:b/>
          <w:i/>
          <w:sz w:val="23"/>
        </w:rPr>
        <w:t>amending Act</w:t>
      </w:r>
      <w:r>
        <w:t>.</w:t>
      </w:r>
    </w:p>
    <w:p>
      <w:pPr>
        <w:pStyle w:val="ySubsection"/>
      </w:pPr>
      <w:r>
        <w:tab/>
        <w:t>(8)</w:t>
      </w:r>
      <w:r>
        <w:tab/>
        <w:t>In Schedule 3 clause 133 insert in alphabetical order:</w:t>
      </w:r>
    </w:p>
    <w:p>
      <w:pPr>
        <w:pStyle w:val="BlankOpen"/>
      </w:pPr>
    </w:p>
    <w:p>
      <w:pPr>
        <w:pStyle w:val="zyMiscellaneousBody"/>
        <w:tabs>
          <w:tab w:val="left" w:pos="851"/>
        </w:tabs>
        <w:ind w:left="851" w:hanging="284"/>
      </w:pPr>
      <w:r>
        <w:rPr>
          <w:rStyle w:val="CharDefText"/>
          <w:sz w:val="23"/>
        </w:rPr>
        <w:tab/>
        <w:t>adopting clause</w:t>
      </w:r>
      <w:r>
        <w:t xml:space="preserve"> means the </w:t>
      </w:r>
      <w:r>
        <w:rPr>
          <w:i/>
          <w:iCs/>
        </w:rPr>
        <w:t>National Gas Access (WA) Adoption of Amendments Order (No. 2) 2024</w:t>
      </w:r>
      <w:r>
        <w:t xml:space="preserve"> clause 3;</w:t>
      </w:r>
    </w:p>
    <w:p>
      <w:pPr>
        <w:pStyle w:val="BlankOpen"/>
      </w:pPr>
    </w:p>
    <w:p>
      <w:pPr>
        <w:pStyle w:val="ySubsection"/>
      </w:pPr>
      <w:r>
        <w:tab/>
        <w:t>(9)</w:t>
      </w:r>
      <w:r>
        <w:tab/>
        <w:t xml:space="preserve">In Schedule 3 clause 133 in the definition of </w:t>
      </w:r>
      <w:r>
        <w:rPr>
          <w:b/>
          <w:i/>
          <w:sz w:val="23"/>
        </w:rPr>
        <w:t>amended objective</w:t>
      </w:r>
      <w:r>
        <w:t xml:space="preserve"> delete “</w:t>
      </w:r>
      <w:r>
        <w:rPr>
          <w:sz w:val="23"/>
        </w:rPr>
        <w:t>commencement of this clause;</w:t>
      </w:r>
      <w:r>
        <w:t>” and insert:</w:t>
      </w:r>
    </w:p>
    <w:p>
      <w:pPr>
        <w:pStyle w:val="BlankOpen"/>
      </w:pPr>
    </w:p>
    <w:p>
      <w:pPr>
        <w:pStyle w:val="zyMiscellaneousBody"/>
        <w:tabs>
          <w:tab w:val="left" w:pos="851"/>
        </w:tabs>
      </w:pPr>
      <w:r>
        <w:tab/>
        <w:t>coming into operation of the adopting clause;</w:t>
      </w:r>
    </w:p>
    <w:p>
      <w:pPr>
        <w:pStyle w:val="BlankClose"/>
      </w:pPr>
    </w:p>
    <w:p>
      <w:pPr>
        <w:pStyle w:val="ySubsection"/>
        <w:keepNext/>
      </w:pPr>
      <w:r>
        <w:lastRenderedPageBreak/>
        <w:tab/>
        <w:t>(10)</w:t>
      </w:r>
      <w:r>
        <w:tab/>
        <w:t>In Schedule 3 clause 134:</w:t>
      </w:r>
    </w:p>
    <w:p>
      <w:pPr>
        <w:pStyle w:val="yIndenta"/>
      </w:pPr>
      <w:r>
        <w:tab/>
        <w:t>(a)</w:t>
      </w:r>
      <w:r>
        <w:tab/>
        <w:t>in subclause (2) delete “</w:t>
      </w:r>
      <w:r>
        <w:rPr>
          <w:sz w:val="23"/>
        </w:rPr>
        <w:t>Despite section 14 of the amending Act—</w:t>
      </w:r>
      <w:r>
        <w:t>” and insert:</w:t>
      </w:r>
    </w:p>
    <w:p>
      <w:pPr>
        <w:pStyle w:val="BlankOpen"/>
      </w:pPr>
    </w:p>
    <w:p>
      <w:pPr>
        <w:pStyle w:val="zyMiscellaneousBody"/>
        <w:tabs>
          <w:tab w:val="left" w:pos="1560"/>
        </w:tabs>
        <w:ind w:left="1560" w:hanging="993"/>
      </w:pPr>
      <w:r>
        <w:tab/>
        <w:t xml:space="preserve">Despite the coming into operation of the adopting clause — </w:t>
      </w:r>
    </w:p>
    <w:p>
      <w:pPr>
        <w:pStyle w:val="BlankClose"/>
      </w:pPr>
    </w:p>
    <w:p>
      <w:pPr>
        <w:pStyle w:val="yIndenta"/>
      </w:pPr>
      <w:r>
        <w:tab/>
        <w:t>(b)</w:t>
      </w:r>
      <w:r>
        <w:tab/>
        <w:t>in subclause (2)(a) delete “</w:t>
      </w:r>
      <w:r>
        <w:rPr>
          <w:sz w:val="23"/>
        </w:rPr>
        <w:t>that section</w:t>
      </w:r>
      <w:r>
        <w:t>” and insert:</w:t>
      </w:r>
    </w:p>
    <w:p>
      <w:pPr>
        <w:pStyle w:val="BlankOpen"/>
      </w:pPr>
    </w:p>
    <w:p>
      <w:pPr>
        <w:pStyle w:val="zyMiscellaneousBody"/>
        <w:tabs>
          <w:tab w:val="left" w:pos="1560"/>
        </w:tabs>
      </w:pPr>
      <w:r>
        <w:tab/>
        <w:t>the adopting clause</w:t>
      </w:r>
    </w:p>
    <w:p>
      <w:pPr>
        <w:pStyle w:val="BlankClose"/>
      </w:pPr>
    </w:p>
    <w:p>
      <w:pPr>
        <w:pStyle w:val="yIndenta"/>
        <w:keepNext/>
        <w:tabs>
          <w:tab w:val="left" w:pos="5245"/>
        </w:tabs>
      </w:pPr>
      <w:r>
        <w:tab/>
        <w:t>(c)</w:t>
      </w:r>
      <w:r>
        <w:tab/>
        <w:t>in subclause (2)(a) delete “</w:t>
      </w:r>
      <w:r>
        <w:rPr>
          <w:sz w:val="23"/>
        </w:rPr>
        <w:t>commencement of this clause; and</w:t>
      </w:r>
      <w:r>
        <w:t>” and insert:</w:t>
      </w:r>
    </w:p>
    <w:p>
      <w:pPr>
        <w:pStyle w:val="BlankOpen"/>
      </w:pPr>
    </w:p>
    <w:p>
      <w:pPr>
        <w:pStyle w:val="zyMiscellaneousBody"/>
        <w:tabs>
          <w:tab w:val="left" w:pos="1560"/>
        </w:tabs>
      </w:pPr>
      <w:r>
        <w:tab/>
        <w:t>coming into operation of the adopting clause; and</w:t>
      </w:r>
    </w:p>
    <w:p>
      <w:pPr>
        <w:pStyle w:val="BlankClose"/>
      </w:pPr>
    </w:p>
    <w:p>
      <w:pPr>
        <w:pStyle w:val="yIndenta"/>
      </w:pPr>
      <w:r>
        <w:tab/>
        <w:t>(d)</w:t>
      </w:r>
      <w:r>
        <w:tab/>
        <w:t>in subclause (3)(a) delete “commencement of this clause” and insert:</w:t>
      </w:r>
    </w:p>
    <w:p>
      <w:pPr>
        <w:pStyle w:val="BlankOpen"/>
      </w:pPr>
    </w:p>
    <w:p>
      <w:pPr>
        <w:pStyle w:val="zyMiscellaneousBody"/>
        <w:tabs>
          <w:tab w:val="left" w:pos="1560"/>
        </w:tabs>
      </w:pPr>
      <w:r>
        <w:tab/>
        <w:t>coming into operation of the adopting clause</w:t>
      </w:r>
    </w:p>
    <w:p>
      <w:pPr>
        <w:pStyle w:val="BlankClose"/>
      </w:pPr>
    </w:p>
    <w:p>
      <w:pPr>
        <w:pStyle w:val="ySubsection"/>
      </w:pPr>
      <w:r>
        <w:tab/>
        <w:t>(11)</w:t>
      </w:r>
      <w:r>
        <w:tab/>
        <w:t>In Schedule 3 clause 135(2) delete “commencement of this clause,” and insert:</w:t>
      </w:r>
    </w:p>
    <w:p>
      <w:pPr>
        <w:pStyle w:val="BlankOpen"/>
      </w:pPr>
    </w:p>
    <w:p>
      <w:pPr>
        <w:pStyle w:val="zyMiscellaneousBody"/>
        <w:tabs>
          <w:tab w:val="left" w:pos="851"/>
          <w:tab w:val="left" w:pos="1560"/>
        </w:tabs>
        <w:ind w:left="0"/>
      </w:pPr>
      <w:r>
        <w:tab/>
        <w:t>coming into operation of the adopting clause,</w:t>
      </w:r>
    </w:p>
    <w:p>
      <w:pPr>
        <w:pStyle w:val="BlankOpen"/>
      </w:pPr>
    </w:p>
    <w:p>
      <w:pPr>
        <w:pStyle w:val="ySubsection"/>
      </w:pPr>
      <w:r>
        <w:tab/>
        <w:t>(12)</w:t>
      </w:r>
      <w:r>
        <w:tab/>
        <w:t>In Schedule 3 clause 136(1) and (2) delete “</w:t>
      </w:r>
      <w:r>
        <w:rPr>
          <w:sz w:val="23"/>
        </w:rPr>
        <w:t>commencement of this clause,</w:t>
      </w:r>
      <w:r>
        <w:t>” and insert:</w:t>
      </w:r>
    </w:p>
    <w:p>
      <w:pPr>
        <w:pStyle w:val="BlankOpen"/>
      </w:pPr>
    </w:p>
    <w:p>
      <w:pPr>
        <w:pStyle w:val="zyMiscellaneousBody"/>
        <w:tabs>
          <w:tab w:val="left" w:pos="851"/>
          <w:tab w:val="left" w:pos="1560"/>
        </w:tabs>
        <w:ind w:left="0"/>
      </w:pPr>
      <w:r>
        <w:tab/>
        <w:t>coming into operation of the adopting clause,</w:t>
      </w:r>
    </w:p>
    <w:p>
      <w:pPr>
        <w:pStyle w:val="BlankClose"/>
      </w:pPr>
    </w:p>
    <w:p>
      <w:pPr>
        <w:pStyle w:val="ySubsection"/>
      </w:pPr>
      <w:r>
        <w:lastRenderedPageBreak/>
        <w:tab/>
        <w:t>(13)</w:t>
      </w:r>
      <w:r>
        <w:tab/>
        <w:t>In Schedule 3 clause 138(1) and (2) delete “</w:t>
      </w:r>
      <w:r>
        <w:rPr>
          <w:sz w:val="23"/>
        </w:rPr>
        <w:t>commencement of this clause—</w:t>
      </w:r>
      <w:r>
        <w:t>” and insert:</w:t>
      </w:r>
    </w:p>
    <w:p>
      <w:pPr>
        <w:pStyle w:val="BlankOpen"/>
      </w:pPr>
    </w:p>
    <w:p>
      <w:pPr>
        <w:pStyle w:val="zyMiscellaneousBody"/>
        <w:tabs>
          <w:tab w:val="left" w:pos="851"/>
          <w:tab w:val="left" w:pos="1560"/>
        </w:tabs>
        <w:ind w:left="0"/>
      </w:pPr>
      <w:r>
        <w:tab/>
        <w:t xml:space="preserve">coming into operation of the adopting clause — </w:t>
      </w:r>
    </w:p>
    <w:p>
      <w:pPr>
        <w:pStyle w:val="BlankClose"/>
      </w:pPr>
    </w:p>
    <w:p>
      <w:pPr>
        <w:pStyle w:val="yFootnotesection"/>
      </w:pPr>
      <w:r>
        <w:tab/>
        <w:t>[Clause 18 amended: Gazette 5 Apr 2019 p. 1010; SL 2020/194 r. 4; SL 2024/5 r. 6.]</w:t>
      </w:r>
    </w:p>
    <w:p>
      <w:pPr>
        <w:pStyle w:val="yFootnotesection"/>
        <w:jc w:val="center"/>
        <w:rPr>
          <w:sz w:val="23"/>
        </w:rPr>
      </w:pPr>
      <w:r>
        <w:rPr>
          <w:noProof/>
        </w:rPr>
        <w:drawing>
          <wp:inline distT="0" distB="0" distL="0" distR="0">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8"/>
          <w:headerReference w:type="default" r:id="rId29"/>
          <w:endnotePr>
            <w:numFmt w:val="decimal"/>
          </w:endnotePr>
          <w:pgSz w:w="11907" w:h="16840" w:code="9"/>
          <w:pgMar w:top="2381" w:right="2410" w:bottom="3544" w:left="2410" w:header="720" w:footer="3544" w:gutter="0"/>
          <w:cols w:space="720"/>
          <w:docGrid w:linePitch="326"/>
        </w:sectPr>
      </w:pPr>
    </w:p>
    <w:p>
      <w:pPr>
        <w:pStyle w:val="nHeading2"/>
      </w:pPr>
      <w:bookmarkStart w:id="281" w:name="_Toc175836319"/>
      <w:bookmarkStart w:id="282" w:name="_Toc175837431"/>
      <w:bookmarkStart w:id="283" w:name="_Toc175842139"/>
      <w:bookmarkStart w:id="284" w:name="_Toc175913740"/>
      <w:bookmarkStart w:id="285" w:name="_Toc175914544"/>
      <w:bookmarkStart w:id="286" w:name="_Toc175922435"/>
      <w:bookmarkStart w:id="287" w:name="_Toc176256739"/>
      <w:bookmarkStart w:id="288" w:name="_Toc176259277"/>
      <w:r>
        <w:lastRenderedPageBreak/>
        <w:t xml:space="preserve">Notes about </w:t>
      </w:r>
      <w:r>
        <w:rPr>
          <w:i/>
          <w:iCs/>
        </w:rPr>
        <w:t>National Gas Access (WA) Act 2009</w:t>
      </w:r>
      <w:bookmarkEnd w:id="281"/>
      <w:bookmarkEnd w:id="282"/>
      <w:bookmarkEnd w:id="283"/>
      <w:bookmarkEnd w:id="284"/>
      <w:bookmarkEnd w:id="285"/>
      <w:bookmarkEnd w:id="286"/>
      <w:bookmarkEnd w:id="287"/>
      <w:bookmarkEnd w:id="288"/>
    </w:p>
    <w:p>
      <w:pPr>
        <w:pStyle w:val="nStatement"/>
      </w:pPr>
      <w:r>
        <w:t xml:space="preserve">This is a compilation of the </w:t>
      </w:r>
      <w:r>
        <w:rPr>
          <w:i/>
          <w:snapToGrid w:val="0"/>
        </w:rPr>
        <w:t>National Gas Access (WA) Act 2009</w:t>
      </w:r>
      <w:r>
        <w:t xml:space="preserve"> and includes amendments made by other written laws. For provisions that have come into operation see the compilation table.</w:t>
      </w:r>
    </w:p>
    <w:p>
      <w:pPr>
        <w:pStyle w:val="nHeading3"/>
      </w:pPr>
      <w:bookmarkStart w:id="289" w:name="_Toc176259278"/>
      <w:r>
        <w:t>Compilation table</w:t>
      </w:r>
      <w:bookmarkEnd w:id="289"/>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96"/>
        <w:gridCol w:w="1021"/>
        <w:gridCol w:w="1078"/>
        <w:gridCol w:w="2693"/>
      </w:tblGrid>
      <w:tr>
        <w:trPr>
          <w:tblHeader/>
        </w:trPr>
        <w:tc>
          <w:tcPr>
            <w:tcW w:w="2296" w:type="dxa"/>
          </w:tcPr>
          <w:p>
            <w:pPr>
              <w:pStyle w:val="nTable"/>
              <w:spacing w:after="40"/>
              <w:rPr>
                <w:b/>
              </w:rPr>
            </w:pPr>
            <w:r>
              <w:rPr>
                <w:b/>
              </w:rPr>
              <w:t>Short title</w:t>
            </w:r>
          </w:p>
        </w:tc>
        <w:tc>
          <w:tcPr>
            <w:tcW w:w="1021" w:type="dxa"/>
          </w:tcPr>
          <w:p>
            <w:pPr>
              <w:pStyle w:val="nTable"/>
              <w:spacing w:after="40"/>
              <w:rPr>
                <w:b/>
              </w:rPr>
            </w:pPr>
            <w:r>
              <w:rPr>
                <w:b/>
              </w:rPr>
              <w:t>Number and year</w:t>
            </w:r>
          </w:p>
        </w:tc>
        <w:tc>
          <w:tcPr>
            <w:tcW w:w="1078" w:type="dxa"/>
          </w:tcPr>
          <w:p>
            <w:pPr>
              <w:pStyle w:val="nTable"/>
              <w:spacing w:after="40"/>
              <w:rPr>
                <w:b/>
              </w:rPr>
            </w:pPr>
            <w:r>
              <w:rPr>
                <w:b/>
              </w:rPr>
              <w:t>Assent</w:t>
            </w:r>
          </w:p>
        </w:tc>
        <w:tc>
          <w:tcPr>
            <w:tcW w:w="2693" w:type="dxa"/>
          </w:tcPr>
          <w:p>
            <w:pPr>
              <w:pStyle w:val="nTable"/>
              <w:spacing w:after="40"/>
              <w:rPr>
                <w:b/>
              </w:rPr>
            </w:pPr>
            <w:r>
              <w:rPr>
                <w:b/>
              </w:rPr>
              <w:t>Commencement</w:t>
            </w:r>
          </w:p>
        </w:tc>
      </w:tr>
      <w:tr>
        <w:tc>
          <w:tcPr>
            <w:tcW w:w="2296" w:type="dxa"/>
            <w:tcBorders>
              <w:bottom w:val="nil"/>
            </w:tcBorders>
          </w:tcPr>
          <w:p>
            <w:pPr>
              <w:pStyle w:val="nTable"/>
              <w:spacing w:after="40"/>
            </w:pPr>
            <w:r>
              <w:rPr>
                <w:i/>
              </w:rPr>
              <w:t>National Gas Access (WA) Act 2009</w:t>
            </w:r>
          </w:p>
        </w:tc>
        <w:tc>
          <w:tcPr>
            <w:tcW w:w="1021" w:type="dxa"/>
            <w:tcBorders>
              <w:bottom w:val="nil"/>
            </w:tcBorders>
          </w:tcPr>
          <w:p>
            <w:pPr>
              <w:pStyle w:val="nTable"/>
              <w:spacing w:after="40"/>
            </w:pPr>
            <w:r>
              <w:t>16 of 2009</w:t>
            </w:r>
          </w:p>
        </w:tc>
        <w:tc>
          <w:tcPr>
            <w:tcW w:w="1078" w:type="dxa"/>
            <w:tcBorders>
              <w:bottom w:val="nil"/>
            </w:tcBorders>
          </w:tcPr>
          <w:p>
            <w:pPr>
              <w:pStyle w:val="nTable"/>
              <w:spacing w:after="40"/>
            </w:pPr>
            <w:r>
              <w:t>1 Sep 2009</w:t>
            </w:r>
          </w:p>
        </w:tc>
        <w:tc>
          <w:tcPr>
            <w:tcW w:w="2693"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96" w:type="dxa"/>
            <w:tcBorders>
              <w:top w:val="nil"/>
              <w:bottom w:val="nil"/>
            </w:tcBorders>
          </w:tcPr>
          <w:p>
            <w:pPr>
              <w:pStyle w:val="nTable"/>
              <w:spacing w:after="40"/>
            </w:pPr>
            <w:r>
              <w:rPr>
                <w:i/>
                <w:snapToGrid w:val="0"/>
              </w:rPr>
              <w:t>Petroleum and Energy Legislation Amendment Act 2010</w:t>
            </w:r>
            <w:r>
              <w:rPr>
                <w:iCs/>
                <w:snapToGrid w:val="0"/>
              </w:rPr>
              <w:t xml:space="preserve"> s. 184</w:t>
            </w:r>
          </w:p>
        </w:tc>
        <w:tc>
          <w:tcPr>
            <w:tcW w:w="1021" w:type="dxa"/>
            <w:tcBorders>
              <w:top w:val="nil"/>
              <w:bottom w:val="nil"/>
            </w:tcBorders>
          </w:tcPr>
          <w:p>
            <w:pPr>
              <w:pStyle w:val="nTable"/>
              <w:spacing w:after="40"/>
            </w:pPr>
            <w:r>
              <w:t>42 of 2010</w:t>
            </w:r>
          </w:p>
        </w:tc>
        <w:tc>
          <w:tcPr>
            <w:tcW w:w="1078" w:type="dxa"/>
            <w:tcBorders>
              <w:top w:val="nil"/>
              <w:bottom w:val="nil"/>
            </w:tcBorders>
          </w:tcPr>
          <w:p>
            <w:pPr>
              <w:pStyle w:val="nTable"/>
              <w:spacing w:after="40"/>
            </w:pPr>
            <w:r>
              <w:t>28 Oct 2010</w:t>
            </w:r>
          </w:p>
        </w:tc>
        <w:tc>
          <w:tcPr>
            <w:tcW w:w="2693" w:type="dxa"/>
            <w:tcBorders>
              <w:top w:val="nil"/>
              <w:bottom w:val="nil"/>
            </w:tcBorders>
          </w:tcPr>
          <w:p>
            <w:pPr>
              <w:pStyle w:val="nTable"/>
              <w:spacing w:after="40"/>
            </w:pPr>
            <w:r>
              <w:t xml:space="preserve">25 May 2011 (see s. 2(b) </w:t>
            </w:r>
            <w:r>
              <w:rPr>
                <w:i/>
              </w:rPr>
              <w:t>Gazette</w:t>
            </w:r>
            <w:r>
              <w:t xml:space="preserve"> 24 May 2011 p. 1892)</w:t>
            </w:r>
          </w:p>
        </w:tc>
      </w:tr>
      <w:tr>
        <w:tc>
          <w:tcPr>
            <w:tcW w:w="4395" w:type="dxa"/>
            <w:gridSpan w:val="3"/>
            <w:tcBorders>
              <w:top w:val="nil"/>
              <w:bottom w:val="nil"/>
            </w:tcBorders>
          </w:tcPr>
          <w:p>
            <w:pPr>
              <w:pStyle w:val="nTable"/>
              <w:spacing w:after="40"/>
            </w:pPr>
            <w:r>
              <w:rPr>
                <w:i/>
                <w:snapToGrid w:val="0"/>
              </w:rPr>
              <w:t>National Gas Access (WA) (Act Amendment) Regulations 2017</w:t>
            </w:r>
            <w:r>
              <w:rPr>
                <w:snapToGrid w:val="0"/>
              </w:rPr>
              <w:t xml:space="preserve"> published in </w:t>
            </w:r>
            <w:r>
              <w:rPr>
                <w:i/>
                <w:snapToGrid w:val="0"/>
              </w:rPr>
              <w:t xml:space="preserve">Gazette </w:t>
            </w:r>
            <w:r>
              <w:rPr>
                <w:snapToGrid w:val="0"/>
              </w:rPr>
              <w:t>22 Dec 2017 p. 5985</w:t>
            </w:r>
            <w:r>
              <w:rPr>
                <w:snapToGrid w:val="0"/>
              </w:rPr>
              <w:noBreakHyphen/>
              <w:t>6</w:t>
            </w:r>
          </w:p>
        </w:tc>
        <w:tc>
          <w:tcPr>
            <w:tcW w:w="2693" w:type="dxa"/>
            <w:tcBorders>
              <w:top w:val="nil"/>
              <w:bottom w:val="nil"/>
            </w:tcBorders>
          </w:tcPr>
          <w:p>
            <w:pPr>
              <w:pStyle w:val="nTable"/>
              <w:spacing w:after="40"/>
            </w:pPr>
            <w:r>
              <w:rPr>
                <w:bCs/>
                <w:snapToGrid w:val="0"/>
                <w:spacing w:val="-2"/>
              </w:rPr>
              <w:t>r. 1 and 2: 22 Dec 2017 (see r. 2(a));</w:t>
            </w:r>
            <w:r>
              <w:rPr>
                <w:bCs/>
                <w:snapToGrid w:val="0"/>
                <w:spacing w:val="-2"/>
              </w:rPr>
              <w:br/>
              <w:t xml:space="preserve">Regulations other than r. 1 and 2: 23 Dec 2017 (see r. 2(b) and </w:t>
            </w:r>
            <w:r>
              <w:rPr>
                <w:bCs/>
                <w:i/>
                <w:snapToGrid w:val="0"/>
                <w:spacing w:val="-2"/>
              </w:rPr>
              <w:t>Gazette</w:t>
            </w:r>
            <w:r>
              <w:rPr>
                <w:bCs/>
                <w:snapToGrid w:val="0"/>
                <w:spacing w:val="-2"/>
              </w:rPr>
              <w:t xml:space="preserve"> 22 Dec 2017 p. 5984)</w:t>
            </w:r>
          </w:p>
        </w:tc>
      </w:tr>
      <w:tr>
        <w:tc>
          <w:tcPr>
            <w:tcW w:w="4395" w:type="dxa"/>
            <w:gridSpan w:val="3"/>
            <w:tcBorders>
              <w:top w:val="nil"/>
              <w:bottom w:val="nil"/>
            </w:tcBorders>
          </w:tcPr>
          <w:p>
            <w:pPr>
              <w:pStyle w:val="nTable"/>
              <w:spacing w:after="40"/>
              <w:rPr>
                <w:i/>
                <w:snapToGrid w:val="0"/>
              </w:rPr>
            </w:pPr>
            <w:r>
              <w:rPr>
                <w:i/>
                <w:snapToGrid w:val="0"/>
              </w:rPr>
              <w:t>National Gas Access (WA) (Act Amendment) Regulations 2019</w:t>
            </w:r>
            <w:r>
              <w:rPr>
                <w:snapToGrid w:val="0"/>
              </w:rPr>
              <w:t xml:space="preserve"> published in </w:t>
            </w:r>
            <w:r>
              <w:rPr>
                <w:i/>
                <w:snapToGrid w:val="0"/>
              </w:rPr>
              <w:t xml:space="preserve">Gazette </w:t>
            </w:r>
            <w:r>
              <w:rPr>
                <w:snapToGrid w:val="0"/>
              </w:rPr>
              <w:t>5 Apr 2019 p. 1009</w:t>
            </w:r>
            <w:r>
              <w:rPr>
                <w:snapToGrid w:val="0"/>
              </w:rPr>
              <w:noBreakHyphen/>
              <w:t>10</w:t>
            </w:r>
          </w:p>
        </w:tc>
        <w:tc>
          <w:tcPr>
            <w:tcW w:w="2693" w:type="dxa"/>
            <w:tcBorders>
              <w:top w:val="nil"/>
              <w:bottom w:val="nil"/>
            </w:tcBorders>
          </w:tcPr>
          <w:p>
            <w:pPr>
              <w:pStyle w:val="nTable"/>
              <w:spacing w:after="40"/>
              <w:rPr>
                <w:bCs/>
                <w:snapToGrid w:val="0"/>
                <w:spacing w:val="-2"/>
              </w:rPr>
            </w:pPr>
            <w:r>
              <w:rPr>
                <w:bCs/>
                <w:snapToGrid w:val="0"/>
                <w:spacing w:val="-2"/>
              </w:rPr>
              <w:t>r. 1 and 2: 5 Apr 2019 (see r. 2(a));</w:t>
            </w:r>
            <w:r>
              <w:rPr>
                <w:bCs/>
                <w:snapToGrid w:val="0"/>
                <w:spacing w:val="-2"/>
              </w:rPr>
              <w:br/>
              <w:t xml:space="preserve">Regulations other than r. 1 and 2: 6 Apr 2019 (see r. 2(b) and </w:t>
            </w:r>
            <w:r>
              <w:rPr>
                <w:bCs/>
                <w:i/>
                <w:snapToGrid w:val="0"/>
                <w:spacing w:val="-2"/>
              </w:rPr>
              <w:t>Gazette</w:t>
            </w:r>
            <w:r>
              <w:rPr>
                <w:bCs/>
                <w:snapToGrid w:val="0"/>
                <w:spacing w:val="-2"/>
              </w:rPr>
              <w:t xml:space="preserve"> 5 Apr 2019 p. 1007)</w:t>
            </w:r>
          </w:p>
        </w:tc>
      </w:tr>
      <w:tr>
        <w:tc>
          <w:tcPr>
            <w:tcW w:w="4395" w:type="dxa"/>
            <w:gridSpan w:val="3"/>
            <w:tcBorders>
              <w:top w:val="nil"/>
              <w:bottom w:val="nil"/>
            </w:tcBorders>
          </w:tcPr>
          <w:p>
            <w:pPr>
              <w:pStyle w:val="nTable"/>
              <w:spacing w:after="40"/>
              <w:rPr>
                <w:snapToGrid w:val="0"/>
              </w:rPr>
            </w:pPr>
            <w:r>
              <w:rPr>
                <w:i/>
              </w:rPr>
              <w:t>National Gas Access (WA) (Act Amendment) Regulations 2020</w:t>
            </w:r>
            <w:r>
              <w:t xml:space="preserve"> (SL 2020/194)</w:t>
            </w:r>
          </w:p>
        </w:tc>
        <w:tc>
          <w:tcPr>
            <w:tcW w:w="2693" w:type="dxa"/>
            <w:tcBorders>
              <w:top w:val="nil"/>
              <w:bottom w:val="nil"/>
            </w:tcBorders>
          </w:tcPr>
          <w:p>
            <w:pPr>
              <w:pStyle w:val="nTable"/>
              <w:spacing w:after="40"/>
              <w:rPr>
                <w:bCs/>
                <w:snapToGrid w:val="0"/>
                <w:spacing w:val="-2"/>
              </w:rPr>
            </w:pPr>
            <w:r>
              <w:rPr>
                <w:bCs/>
                <w:snapToGrid w:val="0"/>
                <w:spacing w:val="-2"/>
              </w:rPr>
              <w:t>r. 1 and 2: 9 Oct 2020 (see r. 2(a));</w:t>
            </w:r>
            <w:r>
              <w:rPr>
                <w:bCs/>
                <w:snapToGrid w:val="0"/>
                <w:spacing w:val="-2"/>
              </w:rPr>
              <w:br/>
              <w:t>Regulations other than r. 1 and 2: 10 Oct 2020 (see r. 2(b) and SL 2020/195 cl. 2(b))</w:t>
            </w:r>
          </w:p>
        </w:tc>
      </w:tr>
      <w:tr>
        <w:tblPrEx>
          <w:tblCellMar>
            <w:left w:w="60" w:type="dxa"/>
            <w:right w:w="60" w:type="dxa"/>
          </w:tblCellMar>
        </w:tblPrEx>
        <w:trPr>
          <w:cantSplit/>
        </w:trPr>
        <w:tc>
          <w:tcPr>
            <w:tcW w:w="4395" w:type="dxa"/>
            <w:gridSpan w:val="3"/>
            <w:tcBorders>
              <w:top w:val="nil"/>
              <w:bottom w:val="nil"/>
            </w:tcBorders>
          </w:tcPr>
          <w:p>
            <w:pPr>
              <w:keepLines/>
              <w:autoSpaceDE w:val="0"/>
              <w:autoSpaceDN w:val="0"/>
              <w:adjustRightInd w:val="0"/>
              <w:spacing w:before="80"/>
              <w:rPr>
                <w:color w:val="000000"/>
                <w:sz w:val="20"/>
              </w:rPr>
            </w:pPr>
            <w:r>
              <w:rPr>
                <w:i/>
                <w:iCs/>
                <w:color w:val="000000"/>
                <w:sz w:val="20"/>
              </w:rPr>
              <w:t>National Gas Access (WA) (Act Amendment) Regulations (No. 2) 2024 (</w:t>
            </w:r>
            <w:r>
              <w:rPr>
                <w:color w:val="000000"/>
                <w:sz w:val="20"/>
              </w:rPr>
              <w:t>SL 2024/5)</w:t>
            </w:r>
          </w:p>
        </w:tc>
        <w:tc>
          <w:tcPr>
            <w:tcW w:w="2693" w:type="dxa"/>
            <w:tcBorders>
              <w:top w:val="nil"/>
              <w:bottom w:val="nil"/>
            </w:tcBorders>
          </w:tcPr>
          <w:p>
            <w:pPr>
              <w:keepLines/>
              <w:autoSpaceDE w:val="0"/>
              <w:autoSpaceDN w:val="0"/>
              <w:adjustRightInd w:val="0"/>
              <w:spacing w:before="80"/>
              <w:rPr>
                <w:color w:val="000000"/>
                <w:sz w:val="20"/>
              </w:rPr>
            </w:pPr>
            <w:r>
              <w:rPr>
                <w:color w:val="000000"/>
                <w:sz w:val="20"/>
              </w:rPr>
              <w:t>r. 1 and 2: 24 Jan 2024 (see r. 2(a));</w:t>
            </w:r>
            <w:r>
              <w:rPr>
                <w:color w:val="000000"/>
                <w:sz w:val="20"/>
              </w:rPr>
              <w:br/>
              <w:t xml:space="preserve">Regulations other than r. 1 and 2: 25 Jan 2024 (see r. 2(b) and </w:t>
            </w:r>
            <w:r>
              <w:rPr>
                <w:i/>
                <w:iCs/>
                <w:color w:val="000000"/>
                <w:sz w:val="20"/>
              </w:rPr>
              <w:t>Gazette</w:t>
            </w:r>
            <w:r>
              <w:rPr>
                <w:color w:val="000000"/>
                <w:sz w:val="20"/>
              </w:rPr>
              <w:t xml:space="preserve"> 24 Jan 2024 p. 91</w:t>
            </w:r>
            <w:r>
              <w:rPr>
                <w:color w:val="000000"/>
                <w:sz w:val="20"/>
              </w:rPr>
              <w:noBreakHyphen/>
              <w:t>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4395" w:type="dxa"/>
            <w:gridSpan w:val="3"/>
            <w:tcBorders>
              <w:bottom w:val="single" w:sz="4" w:space="0" w:color="auto"/>
            </w:tcBorders>
          </w:tcPr>
          <w:p>
            <w:pPr>
              <w:keepLines/>
              <w:autoSpaceDE w:val="0"/>
              <w:autoSpaceDN w:val="0"/>
              <w:adjustRightInd w:val="0"/>
              <w:spacing w:before="80"/>
              <w:rPr>
                <w:color w:val="000000"/>
                <w:sz w:val="20"/>
              </w:rPr>
            </w:pPr>
            <w:r>
              <w:rPr>
                <w:i/>
                <w:iCs/>
                <w:color w:val="000000"/>
                <w:sz w:val="20"/>
              </w:rPr>
              <w:lastRenderedPageBreak/>
              <w:t xml:space="preserve">National Gas Access (WA) (Act Amendment) Regulations 2024 </w:t>
            </w:r>
            <w:r>
              <w:rPr>
                <w:color w:val="000000"/>
                <w:sz w:val="20"/>
              </w:rPr>
              <w:t>(SL 2024/186)</w:t>
            </w:r>
          </w:p>
        </w:tc>
        <w:tc>
          <w:tcPr>
            <w:tcW w:w="2693" w:type="dxa"/>
            <w:tcBorders>
              <w:bottom w:val="single" w:sz="4" w:space="0" w:color="auto"/>
            </w:tcBorders>
          </w:tcPr>
          <w:p>
            <w:pPr>
              <w:keepLines/>
              <w:autoSpaceDE w:val="0"/>
              <w:autoSpaceDN w:val="0"/>
              <w:adjustRightInd w:val="0"/>
              <w:spacing w:before="80"/>
              <w:rPr>
                <w:color w:val="000000"/>
                <w:sz w:val="20"/>
              </w:rPr>
            </w:pPr>
            <w:r>
              <w:rPr>
                <w:color w:val="000000"/>
                <w:sz w:val="20"/>
              </w:rPr>
              <w:t>r. 1 and 2: 4 Sep 2024 (see r. 2(a));</w:t>
            </w:r>
            <w:r>
              <w:rPr>
                <w:color w:val="000000"/>
                <w:sz w:val="20"/>
              </w:rPr>
              <w:br/>
              <w:t xml:space="preserve">Regulations other than r. 1 and 2: 5 Sep 2024 (see r. 2(b) and </w:t>
            </w:r>
            <w:r>
              <w:rPr>
                <w:i/>
                <w:iCs/>
                <w:sz w:val="20"/>
              </w:rPr>
              <w:t>Gazette</w:t>
            </w:r>
            <w:r>
              <w:rPr>
                <w:sz w:val="20"/>
              </w:rPr>
              <w:t xml:space="preserve"> 4 Sep 2024 p. 2215</w:t>
            </w:r>
            <w:r>
              <w:rPr>
                <w:color w:val="000000"/>
                <w:sz w:val="20"/>
              </w:rPr>
              <w:t>)</w:t>
            </w:r>
          </w:p>
        </w:tc>
      </w:tr>
    </w:tbl>
    <w:p>
      <w:pPr>
        <w:sectPr>
          <w:headerReference w:type="even" r:id="rId30"/>
          <w:headerReference w:type="default" r:id="rId31"/>
          <w:endnotePr>
            <w:numFmt w:val="decimal"/>
          </w:endnotePr>
          <w:pgSz w:w="11907" w:h="16840" w:code="9"/>
          <w:pgMar w:top="2381" w:right="2410" w:bottom="3544" w:left="2410" w:header="720" w:footer="3544" w:gutter="0"/>
          <w:cols w:space="720"/>
          <w:noEndnote/>
          <w:titlePg/>
          <w:docGrid w:linePitch="326"/>
        </w:sectPr>
      </w:pPr>
    </w:p>
    <w:p>
      <w:pPr>
        <w:pStyle w:val="yScheduleHeading"/>
        <w:pageBreakBefore w:val="0"/>
      </w:pPr>
      <w:bookmarkStart w:id="290" w:name="_Toc175836321"/>
      <w:bookmarkStart w:id="291" w:name="_Toc175837433"/>
      <w:bookmarkStart w:id="292" w:name="_Toc175842141"/>
      <w:bookmarkStart w:id="293" w:name="_Toc175913742"/>
      <w:bookmarkStart w:id="294" w:name="_Toc175914546"/>
      <w:bookmarkStart w:id="295" w:name="_Toc175922437"/>
      <w:bookmarkStart w:id="296" w:name="_Toc176256741"/>
      <w:bookmarkStart w:id="297" w:name="_Toc176259279"/>
      <w:r>
        <w:rPr>
          <w:rStyle w:val="CharSchNo"/>
        </w:rPr>
        <w:lastRenderedPageBreak/>
        <w:t>Note</w:t>
      </w:r>
      <w:r>
        <w:rPr>
          <w:rStyle w:val="CharSDivNo"/>
        </w:rPr>
        <w:t> </w:t>
      </w:r>
      <w:r>
        <w:t>—</w:t>
      </w:r>
      <w:r>
        <w:rPr>
          <w:rStyle w:val="CharSDivText"/>
        </w:rPr>
        <w:t> </w:t>
      </w:r>
      <w:r>
        <w:rPr>
          <w:rStyle w:val="CharSchText"/>
        </w:rPr>
        <w:t>Western Australian National Gas Access Law text</w:t>
      </w:r>
      <w:bookmarkEnd w:id="290"/>
      <w:bookmarkEnd w:id="291"/>
      <w:bookmarkEnd w:id="292"/>
      <w:bookmarkEnd w:id="293"/>
      <w:bookmarkEnd w:id="294"/>
      <w:bookmarkEnd w:id="295"/>
      <w:bookmarkEnd w:id="296"/>
      <w:bookmarkEnd w:id="297"/>
    </w:p>
    <w:p>
      <w:pPr>
        <w:pStyle w:val="ySubsection"/>
        <w:rPr>
          <w:b/>
          <w:bCs/>
          <w:i/>
          <w:iCs/>
        </w:rPr>
      </w:pPr>
      <w:r>
        <w:rPr>
          <w:b/>
          <w:bCs/>
          <w:i/>
          <w:iCs/>
        </w:rPr>
        <w:tab/>
      </w:r>
      <w:r>
        <w:rPr>
          <w:b/>
          <w:bCs/>
          <w:i/>
          <w:iCs/>
        </w:rPr>
        <w:tab/>
        <w:t>[This note is not part of the Act.  It shows the text that, under section 7(1), applies as the National Gas Access (Western Australia) Law.]</w:t>
      </w:r>
    </w:p>
    <w:p>
      <w:pPr>
        <w:pStyle w:val="Heading2"/>
        <w:pageBreakBefore w:val="0"/>
      </w:pPr>
      <w:bookmarkStart w:id="298" w:name="_Toc175836322"/>
      <w:bookmarkStart w:id="299" w:name="_Toc175837434"/>
      <w:bookmarkStart w:id="300" w:name="_Toc175842142"/>
      <w:bookmarkStart w:id="301" w:name="_Toc175913743"/>
      <w:bookmarkStart w:id="302" w:name="_Toc175914547"/>
      <w:bookmarkStart w:id="303" w:name="_Toc175922438"/>
      <w:bookmarkStart w:id="304" w:name="_Toc176256742"/>
      <w:bookmarkStart w:id="305" w:name="_Toc176259280"/>
      <w:r>
        <w:rPr>
          <w:rStyle w:val="CharPartNo"/>
          <w:sz w:val="28"/>
        </w:rPr>
        <w:t xml:space="preserve">Chapter 1 </w:t>
      </w:r>
      <w:r>
        <w:t>—</w:t>
      </w:r>
      <w:r>
        <w:rPr>
          <w:color w:val="000000"/>
          <w:szCs w:val="34"/>
        </w:rPr>
        <w:t xml:space="preserve"> </w:t>
      </w:r>
      <w:r>
        <w:rPr>
          <w:rStyle w:val="CharPartText"/>
          <w:sz w:val="28"/>
        </w:rPr>
        <w:t>Preliminary</w:t>
      </w:r>
      <w:bookmarkEnd w:id="298"/>
      <w:bookmarkEnd w:id="299"/>
      <w:bookmarkEnd w:id="300"/>
      <w:bookmarkEnd w:id="301"/>
      <w:bookmarkEnd w:id="302"/>
      <w:bookmarkEnd w:id="303"/>
      <w:bookmarkEnd w:id="304"/>
      <w:bookmarkEnd w:id="305"/>
    </w:p>
    <w:p>
      <w:pPr>
        <w:pStyle w:val="Heading3"/>
        <w:rPr>
          <w:szCs w:val="26"/>
        </w:rPr>
      </w:pPr>
      <w:bookmarkStart w:id="306" w:name="_Toc175836323"/>
      <w:bookmarkStart w:id="307" w:name="_Toc175837435"/>
      <w:bookmarkStart w:id="308" w:name="_Toc175842143"/>
      <w:bookmarkStart w:id="309" w:name="_Toc175913744"/>
      <w:bookmarkStart w:id="310" w:name="_Toc175914548"/>
      <w:bookmarkStart w:id="311" w:name="_Toc175922439"/>
      <w:bookmarkStart w:id="312" w:name="_Toc176256743"/>
      <w:bookmarkStart w:id="313" w:name="_Toc176259281"/>
      <w:r>
        <w:rPr>
          <w:rStyle w:val="CharDivNo"/>
        </w:rPr>
        <w:t xml:space="preserve">Part 1 </w:t>
      </w:r>
      <w:r>
        <w:rPr>
          <w:szCs w:val="26"/>
        </w:rPr>
        <w:t>—</w:t>
      </w:r>
      <w:r>
        <w:rPr>
          <w:color w:val="000000"/>
          <w:szCs w:val="32"/>
        </w:rPr>
        <w:t xml:space="preserve"> </w:t>
      </w:r>
      <w:r>
        <w:rPr>
          <w:rStyle w:val="CharDivText"/>
        </w:rPr>
        <w:t>Citation and interpretation</w:t>
      </w:r>
      <w:bookmarkEnd w:id="306"/>
      <w:bookmarkEnd w:id="307"/>
      <w:bookmarkEnd w:id="308"/>
      <w:bookmarkEnd w:id="309"/>
      <w:bookmarkEnd w:id="310"/>
      <w:bookmarkEnd w:id="311"/>
      <w:bookmarkEnd w:id="312"/>
      <w:bookmarkEnd w:id="313"/>
    </w:p>
    <w:p>
      <w:pPr>
        <w:pStyle w:val="Heading5"/>
      </w:pPr>
      <w:bookmarkStart w:id="314" w:name="_Toc176259282"/>
      <w:r>
        <w:rPr>
          <w:rStyle w:val="CharSectno"/>
        </w:rPr>
        <w:t>1</w:t>
      </w:r>
      <w:r>
        <w:t>.</w:t>
      </w:r>
      <w:r>
        <w:tab/>
        <w:t>Citation</w:t>
      </w:r>
      <w:bookmarkEnd w:id="314"/>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WA Act Sch. 1 cl. 2.]</w:t>
      </w:r>
    </w:p>
    <w:p>
      <w:pPr>
        <w:pStyle w:val="Heading5"/>
      </w:pPr>
      <w:bookmarkStart w:id="315" w:name="_Toc176259283"/>
      <w:r>
        <w:rPr>
          <w:rStyle w:val="CharSectno"/>
        </w:rPr>
        <w:t>2</w:t>
      </w:r>
      <w:r>
        <w:t>.</w:t>
      </w:r>
      <w:r>
        <w:tab/>
        <w:t>Definitions</w:t>
      </w:r>
      <w:bookmarkEnd w:id="315"/>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Lines/>
        <w:autoSpaceDE w:val="0"/>
        <w:autoSpaceDN w:val="0"/>
        <w:adjustRightInd w:val="0"/>
        <w:spacing w:before="120"/>
        <w:ind w:left="1588"/>
        <w:rPr>
          <w:color w:val="000000"/>
          <w:sz w:val="23"/>
          <w:szCs w:val="23"/>
        </w:rPr>
      </w:pPr>
      <w:r>
        <w:rPr>
          <w:rStyle w:val="CharDefText"/>
        </w:rPr>
        <w:t>annual turnover</w:t>
      </w:r>
      <w:r>
        <w:rPr>
          <w:color w:val="000000"/>
          <w:sz w:val="23"/>
          <w:szCs w:val="23"/>
        </w:rPr>
        <w:t xml:space="preserve"> has the same meaning as in section 2(1) of Schedule 2 to the </w:t>
      </w:r>
      <w:r>
        <w:rPr>
          <w:i/>
          <w:iCs/>
          <w:color w:val="000000"/>
          <w:sz w:val="23"/>
          <w:szCs w:val="23"/>
        </w:rPr>
        <w:t>Competition and Consumer Act 2010</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lastRenderedPageBreak/>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lastRenderedPageBreak/>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Lines/>
        <w:autoSpaceDE w:val="0"/>
        <w:autoSpaceDN w:val="0"/>
        <w:adjustRightInd w:val="0"/>
        <w:spacing w:before="120"/>
        <w:ind w:left="1588"/>
        <w:rPr>
          <w:color w:val="000000"/>
          <w:sz w:val="23"/>
          <w:szCs w:val="23"/>
        </w:rPr>
      </w:pPr>
      <w:r>
        <w:rPr>
          <w:rStyle w:val="CharDefText"/>
        </w:rPr>
        <w:t>civil penalty</w:t>
      </w:r>
      <w:r>
        <w:rPr>
          <w:color w:val="000000"/>
          <w:sz w:val="23"/>
          <w:szCs w:val="23"/>
        </w:rPr>
        <w:t>—see section 3A;</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lastRenderedPageBreak/>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lastRenderedPageBreak/>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lastRenderedPageBreak/>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lastRenderedPageBreak/>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rPr>
        <w:t>listed corporation</w:t>
      </w:r>
      <w:r>
        <w:rPr>
          <w:color w:val="000000"/>
          <w:sz w:val="23"/>
          <w:szCs w:val="23"/>
        </w:rPr>
        <w:t xml:space="preserve"> has the meaning given by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lastRenderedPageBreak/>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lastRenderedPageBreak/>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lastRenderedPageBreak/>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lastRenderedPageBreak/>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lastRenderedPageBreak/>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lastRenderedPageBreak/>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lastRenderedPageBreak/>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 SA Act No. 37 of 2020 s. 47 and WA Gazette 4 Sep 2024 p. 2215.]</w:t>
      </w:r>
    </w:p>
    <w:p>
      <w:pPr>
        <w:pStyle w:val="Heading5"/>
        <w:keepNext w:val="0"/>
        <w:keepLines w:val="0"/>
      </w:pPr>
      <w:bookmarkStart w:id="316" w:name="_Toc176259284"/>
      <w:r>
        <w:rPr>
          <w:rStyle w:val="CharSectno"/>
        </w:rPr>
        <w:t>2A</w:t>
      </w:r>
      <w:r>
        <w:t>.</w:t>
      </w:r>
      <w:r>
        <w:tab/>
        <w:t>Meaning of AER modified</w:t>
      </w:r>
      <w:bookmarkEnd w:id="31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lastRenderedPageBreak/>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317" w:name="_Toc176259285"/>
      <w:r>
        <w:t>2B.</w:t>
      </w:r>
      <w:r>
        <w:rPr>
          <w:b w:val="0"/>
        </w:rPr>
        <w:tab/>
      </w:r>
      <w:r>
        <w:t>References to WA application Act</w:t>
      </w:r>
      <w:bookmarkEnd w:id="317"/>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318" w:name="_Toc176259286"/>
      <w:r>
        <w:rPr>
          <w:rStyle w:val="CharSectno"/>
        </w:rPr>
        <w:t>3</w:t>
      </w:r>
      <w:r>
        <w:t>.</w:t>
      </w:r>
      <w:r>
        <w:tab/>
        <w:t>Meaning of civil penalty provision</w:t>
      </w:r>
      <w:bookmarkEnd w:id="318"/>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lastRenderedPageBreak/>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rPr>
          <w:b w:val="0"/>
        </w:rPr>
      </w:pPr>
      <w:bookmarkStart w:id="319" w:name="_Toc176259287"/>
      <w:r>
        <w:rPr>
          <w:rStyle w:val="CharSectno"/>
        </w:rPr>
        <w:t>3A</w:t>
      </w:r>
      <w:r>
        <w:t>.</w:t>
      </w:r>
      <w:r>
        <w:tab/>
        <w:t>Civil penalty amounts for breaches of civil penalty provisions</w:t>
      </w:r>
      <w:bookmarkEnd w:id="319"/>
    </w:p>
    <w:p>
      <w:pPr>
        <w:tabs>
          <w:tab w:val="center" w:pos="1191"/>
          <w:tab w:val="left" w:pos="1588"/>
        </w:tabs>
        <w:autoSpaceDE w:val="0"/>
        <w:autoSpaceDN w:val="0"/>
        <w:adjustRightInd w:val="0"/>
        <w:spacing w:before="120"/>
        <w:ind w:left="1588" w:hanging="794"/>
        <w:rPr>
          <w:color w:val="000000"/>
          <w:sz w:val="23"/>
          <w:szCs w:val="23"/>
        </w:rPr>
      </w:pPr>
      <w:bookmarkStart w:id="320" w:name="id02c7814f_5733_43a4_8778_ab61095529"/>
      <w:r>
        <w:rPr>
          <w:color w:val="000000"/>
          <w:sz w:val="23"/>
          <w:szCs w:val="23"/>
        </w:rPr>
        <w:tab/>
        <w:t>(1)</w:t>
      </w:r>
      <w:r>
        <w:rPr>
          <w:color w:val="000000"/>
          <w:sz w:val="23"/>
          <w:szCs w:val="23"/>
        </w:rPr>
        <w:tab/>
        <w:t>Subject to this section, the civil penalty for a breach of a civil penalty provision is—</w:t>
      </w:r>
      <w:bookmarkEnd w:id="32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in the case of a breach of a civil penalty provision, other than a provision prescribed under </w:t>
      </w:r>
      <w:hyperlink w:anchor="idd0351845_5d85_4de6_b1cd_3d3edfcbf2" w:history="1">
        <w:r>
          <w:rPr>
            <w:color w:val="000000"/>
            <w:sz w:val="23"/>
            <w:szCs w:val="23"/>
          </w:rPr>
          <w:t>paragraph (b)</w:t>
        </w:r>
      </w:hyperlink>
      <w:r>
        <w:rPr>
          <w:color w:val="000000"/>
          <w:sz w:val="23"/>
          <w:szCs w:val="23"/>
        </w:rPr>
        <w:t xml:space="preserve"> or </w:t>
      </w:r>
      <w:hyperlink w:anchor="id805c1d75_d3ad_46db_aacc_0275d0fff9" w:history="1">
        <w:r>
          <w:rPr>
            <w:color w:val="000000"/>
            <w:sz w:val="23"/>
            <w:szCs w:val="23"/>
          </w:rPr>
          <w:t>(c)</w:t>
        </w:r>
      </w:hyperlink>
      <w:r>
        <w:rPr>
          <w:color w:val="000000"/>
          <w:sz w:val="23"/>
          <w:szCs w:val="23"/>
        </w:rPr>
        <w:t>—</w:t>
      </w:r>
    </w:p>
    <w:p>
      <w:pPr>
        <w:keepLines/>
        <w:tabs>
          <w:tab w:val="left" w:pos="2835"/>
        </w:tabs>
        <w:autoSpaceDE w:val="0"/>
        <w:autoSpaceDN w:val="0"/>
        <w:adjustRightInd w:val="0"/>
        <w:spacing w:before="120"/>
        <w:ind w:left="3261" w:hanging="794"/>
        <w:rPr>
          <w:color w:val="000000"/>
          <w:sz w:val="23"/>
          <w:szCs w:val="23"/>
        </w:rPr>
      </w:pPr>
      <w:r>
        <w:rPr>
          <w:color w:val="000000"/>
          <w:sz w:val="23"/>
          <w:szCs w:val="23"/>
        </w:rPr>
        <w:tab/>
        <w:t>(i)</w:t>
      </w:r>
      <w:r>
        <w:rPr>
          <w:color w:val="000000"/>
          <w:sz w:val="23"/>
          <w:szCs w:val="23"/>
        </w:rPr>
        <w:tab/>
        <w:t>if the breach is by a natural person—</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(A)</w:t>
      </w:r>
      <w:r>
        <w:rPr>
          <w:color w:val="000000"/>
          <w:sz w:val="23"/>
          <w:szCs w:val="23"/>
        </w:rPr>
        <w:tab/>
        <w:t>an amount not exceeding $33 900; plus</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(B)</w:t>
      </w:r>
      <w:r>
        <w:rPr>
          <w:color w:val="000000"/>
          <w:sz w:val="23"/>
          <w:szCs w:val="23"/>
        </w:rPr>
        <w:tab/>
        <w:t>an amount not exceeding $3 390 for every day during which the breach continues;</w:t>
      </w:r>
    </w:p>
    <w:p>
      <w:pPr>
        <w:keepLines/>
        <w:tabs>
          <w:tab w:val="left" w:pos="2835"/>
        </w:tabs>
        <w:autoSpaceDE w:val="0"/>
        <w:autoSpaceDN w:val="0"/>
        <w:adjustRightInd w:val="0"/>
        <w:spacing w:before="120"/>
        <w:ind w:left="3261" w:hanging="794"/>
        <w:rPr>
          <w:color w:val="000000"/>
          <w:sz w:val="23"/>
          <w:szCs w:val="23"/>
        </w:rPr>
      </w:pPr>
      <w:r>
        <w:rPr>
          <w:color w:val="000000"/>
          <w:sz w:val="23"/>
          <w:szCs w:val="23"/>
        </w:rPr>
        <w:tab/>
        <w:t>(ii)</w:t>
      </w:r>
      <w:r>
        <w:rPr>
          <w:color w:val="000000"/>
          <w:sz w:val="23"/>
          <w:szCs w:val="23"/>
        </w:rPr>
        <w:tab/>
        <w:t>if the breach is by a body corporate—</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(A)</w:t>
      </w:r>
      <w:r>
        <w:rPr>
          <w:color w:val="000000"/>
          <w:sz w:val="23"/>
          <w:szCs w:val="23"/>
        </w:rPr>
        <w:tab/>
        <w:t>an amount not exceeding $170 000; plus</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lastRenderedPageBreak/>
        <w:tab/>
        <w:t>(B)</w:t>
      </w:r>
      <w:r>
        <w:rPr>
          <w:color w:val="000000"/>
          <w:sz w:val="23"/>
          <w:szCs w:val="23"/>
        </w:rPr>
        <w:tab/>
        <w:t>an amount not exceeding $17 000 for every day during which the breach continues; or</w:t>
      </w:r>
    </w:p>
    <w:p>
      <w:pPr>
        <w:keepLines/>
        <w:tabs>
          <w:tab w:val="center" w:pos="1985"/>
          <w:tab w:val="left" w:pos="2382"/>
        </w:tabs>
        <w:autoSpaceDE w:val="0"/>
        <w:autoSpaceDN w:val="0"/>
        <w:adjustRightInd w:val="0"/>
        <w:spacing w:before="120"/>
        <w:ind w:left="2382" w:hanging="794"/>
        <w:rPr>
          <w:color w:val="000000"/>
          <w:sz w:val="23"/>
          <w:szCs w:val="23"/>
        </w:rPr>
      </w:pPr>
      <w:bookmarkStart w:id="321" w:name="idd0351845_5d85_4de6_b1cd_3d3edfcbf2"/>
      <w:r>
        <w:rPr>
          <w:color w:val="000000"/>
          <w:sz w:val="23"/>
          <w:szCs w:val="23"/>
        </w:rPr>
        <w:tab/>
        <w:t>(b)</w:t>
      </w:r>
      <w:r>
        <w:rPr>
          <w:color w:val="000000"/>
          <w:sz w:val="23"/>
          <w:szCs w:val="23"/>
        </w:rPr>
        <w:tab/>
        <w:t>in the case of a breach of a civil penalty provision prescribed by the Regulations for the purposes of this paragraph—</w:t>
      </w:r>
      <w:bookmarkEnd w:id="321"/>
    </w:p>
    <w:p>
      <w:pPr>
        <w:keepLines/>
        <w:tabs>
          <w:tab w:val="left" w:pos="2835"/>
        </w:tabs>
        <w:autoSpaceDE w:val="0"/>
        <w:autoSpaceDN w:val="0"/>
        <w:adjustRightInd w:val="0"/>
        <w:spacing w:before="120"/>
        <w:ind w:left="3261" w:hanging="794"/>
        <w:rPr>
          <w:color w:val="000000"/>
          <w:sz w:val="23"/>
          <w:szCs w:val="23"/>
        </w:rPr>
      </w:pPr>
      <w:r>
        <w:rPr>
          <w:color w:val="000000"/>
          <w:sz w:val="23"/>
          <w:szCs w:val="23"/>
        </w:rPr>
        <w:tab/>
        <w:t>(i)</w:t>
      </w:r>
      <w:r>
        <w:rPr>
          <w:color w:val="000000"/>
          <w:sz w:val="23"/>
          <w:szCs w:val="23"/>
        </w:rPr>
        <w:tab/>
        <w:t>if the breach is by a natural person—</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(A)</w:t>
      </w:r>
      <w:r>
        <w:rPr>
          <w:color w:val="000000"/>
          <w:sz w:val="23"/>
          <w:szCs w:val="23"/>
        </w:rPr>
        <w:tab/>
        <w:t>an amount not exceeding $287 000; plus</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(B)</w:t>
      </w:r>
      <w:r>
        <w:rPr>
          <w:color w:val="000000"/>
          <w:sz w:val="23"/>
          <w:szCs w:val="23"/>
        </w:rPr>
        <w:tab/>
        <w:t>an amount not exceeding $14 400 for every day during which the breach continues;</w:t>
      </w:r>
    </w:p>
    <w:p>
      <w:pPr>
        <w:keepLines/>
        <w:tabs>
          <w:tab w:val="left" w:pos="2835"/>
        </w:tabs>
        <w:autoSpaceDE w:val="0"/>
        <w:autoSpaceDN w:val="0"/>
        <w:adjustRightInd w:val="0"/>
        <w:spacing w:before="120"/>
        <w:ind w:left="3261" w:hanging="794"/>
        <w:rPr>
          <w:color w:val="000000"/>
          <w:sz w:val="23"/>
          <w:szCs w:val="23"/>
        </w:rPr>
      </w:pPr>
      <w:r>
        <w:rPr>
          <w:color w:val="000000"/>
          <w:sz w:val="23"/>
          <w:szCs w:val="23"/>
        </w:rPr>
        <w:tab/>
        <w:t>(ii)</w:t>
      </w:r>
      <w:r>
        <w:rPr>
          <w:color w:val="000000"/>
          <w:sz w:val="23"/>
          <w:szCs w:val="23"/>
        </w:rPr>
        <w:tab/>
        <w:t>if the breach is by a body corporate—</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(A)</w:t>
      </w:r>
      <w:r>
        <w:rPr>
          <w:color w:val="000000"/>
          <w:sz w:val="23"/>
          <w:szCs w:val="23"/>
        </w:rPr>
        <w:tab/>
        <w:t>an amount not exceeding $1 435 000; plus</w:t>
      </w:r>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(B)</w:t>
      </w:r>
      <w:r>
        <w:rPr>
          <w:color w:val="000000"/>
          <w:sz w:val="23"/>
          <w:szCs w:val="23"/>
        </w:rPr>
        <w:tab/>
        <w:t>an amount not exceeding $71 800 for every day during which the breach continues; or</w:t>
      </w:r>
    </w:p>
    <w:p>
      <w:pPr>
        <w:keepLines/>
        <w:tabs>
          <w:tab w:val="center" w:pos="1985"/>
          <w:tab w:val="left" w:pos="2382"/>
        </w:tabs>
        <w:autoSpaceDE w:val="0"/>
        <w:autoSpaceDN w:val="0"/>
        <w:adjustRightInd w:val="0"/>
        <w:spacing w:before="120"/>
        <w:ind w:left="2382" w:hanging="794"/>
        <w:rPr>
          <w:color w:val="000000"/>
          <w:sz w:val="23"/>
          <w:szCs w:val="23"/>
        </w:rPr>
      </w:pPr>
      <w:bookmarkStart w:id="322" w:name="id805c1d75_d3ad_46db_aacc_0275d0fff9"/>
      <w:r>
        <w:rPr>
          <w:color w:val="000000"/>
          <w:sz w:val="23"/>
          <w:szCs w:val="23"/>
        </w:rPr>
        <w:tab/>
        <w:t>(c)</w:t>
      </w:r>
      <w:r>
        <w:rPr>
          <w:color w:val="000000"/>
          <w:sz w:val="23"/>
          <w:szCs w:val="23"/>
        </w:rPr>
        <w:tab/>
        <w:t>in the case a breach of a civil penalty provision prescribed by the Regulations for the purposes of this paragraph—</w:t>
      </w:r>
      <w:bookmarkEnd w:id="322"/>
    </w:p>
    <w:p>
      <w:pPr>
        <w:keepLines/>
        <w:tabs>
          <w:tab w:val="left" w:pos="2835"/>
        </w:tabs>
        <w:autoSpaceDE w:val="0"/>
        <w:autoSpaceDN w:val="0"/>
        <w:adjustRightInd w:val="0"/>
        <w:spacing w:before="120"/>
        <w:ind w:left="3261" w:hanging="794"/>
        <w:rPr>
          <w:color w:val="000000"/>
          <w:sz w:val="23"/>
          <w:szCs w:val="23"/>
        </w:rPr>
      </w:pPr>
      <w:r>
        <w:rPr>
          <w:color w:val="000000"/>
          <w:sz w:val="23"/>
          <w:szCs w:val="23"/>
        </w:rPr>
        <w:tab/>
        <w:t>(i)</w:t>
      </w:r>
      <w:r>
        <w:rPr>
          <w:color w:val="000000"/>
          <w:sz w:val="23"/>
          <w:szCs w:val="23"/>
        </w:rPr>
        <w:tab/>
        <w:t>if the breach is by a natural person—an amount not exceeding $500 000;</w:t>
      </w:r>
    </w:p>
    <w:p>
      <w:pPr>
        <w:keepLines/>
        <w:tabs>
          <w:tab w:val="left" w:pos="2835"/>
        </w:tabs>
        <w:autoSpaceDE w:val="0"/>
        <w:autoSpaceDN w:val="0"/>
        <w:adjustRightInd w:val="0"/>
        <w:spacing w:before="120"/>
        <w:ind w:left="3261" w:hanging="794"/>
        <w:rPr>
          <w:color w:val="000000"/>
          <w:sz w:val="23"/>
          <w:szCs w:val="23"/>
        </w:rPr>
      </w:pPr>
      <w:bookmarkStart w:id="323" w:name="id02d8a9ab_fe9e_4d89_99e4_c6562061ea"/>
      <w:r>
        <w:rPr>
          <w:color w:val="000000"/>
          <w:sz w:val="23"/>
          <w:szCs w:val="23"/>
        </w:rPr>
        <w:tab/>
        <w:t>(ii)</w:t>
      </w:r>
      <w:r>
        <w:rPr>
          <w:color w:val="000000"/>
          <w:sz w:val="23"/>
          <w:szCs w:val="23"/>
        </w:rPr>
        <w:tab/>
        <w:t>if the breach is by a body corporate—an amount not exceeding the greater of the following:</w:t>
      </w:r>
      <w:bookmarkEnd w:id="323"/>
    </w:p>
    <w:p>
      <w:pPr>
        <w:keepLines/>
        <w:tabs>
          <w:tab w:val="left" w:pos="3261"/>
        </w:tabs>
        <w:autoSpaceDE w:val="0"/>
        <w:autoSpaceDN w:val="0"/>
        <w:adjustRightInd w:val="0"/>
        <w:spacing w:before="120"/>
        <w:ind w:left="3969" w:hanging="992"/>
        <w:rPr>
          <w:color w:val="000000"/>
          <w:sz w:val="23"/>
          <w:szCs w:val="23"/>
        </w:rPr>
      </w:pPr>
      <w:r>
        <w:rPr>
          <w:color w:val="000000"/>
          <w:sz w:val="23"/>
          <w:szCs w:val="23"/>
        </w:rPr>
        <w:tab/>
        <w:t>(A)</w:t>
      </w:r>
      <w:r>
        <w:rPr>
          <w:color w:val="000000"/>
          <w:sz w:val="23"/>
          <w:szCs w:val="23"/>
        </w:rPr>
        <w:tab/>
        <w:t>$10 000 000;</w:t>
      </w:r>
    </w:p>
    <w:p>
      <w:pPr>
        <w:tabs>
          <w:tab w:val="left" w:pos="3261"/>
        </w:tabs>
        <w:autoSpaceDE w:val="0"/>
        <w:autoSpaceDN w:val="0"/>
        <w:adjustRightInd w:val="0"/>
        <w:spacing w:before="120"/>
        <w:ind w:left="3969" w:hanging="992"/>
        <w:rPr>
          <w:color w:val="000000"/>
          <w:sz w:val="23"/>
          <w:szCs w:val="23"/>
        </w:rPr>
      </w:pPr>
      <w:bookmarkStart w:id="324" w:name="idf881d764_5778_4271_b843_c83d27402e"/>
      <w:r>
        <w:rPr>
          <w:color w:val="000000"/>
          <w:sz w:val="23"/>
          <w:szCs w:val="23"/>
        </w:rPr>
        <w:tab/>
        <w:t>(B)</w:t>
      </w:r>
      <w:r>
        <w:rPr>
          <w:color w:val="000000"/>
          <w:sz w:val="23"/>
          <w:szCs w:val="23"/>
        </w:rPr>
        <w:tab/>
        <w:t xml:space="preserve">if the Court can determine the value of any benefit reasonably attributable to the breach of the civil penalty provision that the body corporate, and any body corporate related to the body </w:t>
      </w:r>
      <w:r>
        <w:rPr>
          <w:color w:val="000000"/>
          <w:sz w:val="23"/>
          <w:szCs w:val="23"/>
        </w:rPr>
        <w:lastRenderedPageBreak/>
        <w:t>corporate, has obtained, directly or indirectly—3 times the value of that benefit;</w:t>
      </w:r>
      <w:bookmarkEnd w:id="324"/>
    </w:p>
    <w:p>
      <w:pPr>
        <w:keepLines/>
        <w:tabs>
          <w:tab w:val="left" w:pos="3261"/>
        </w:tabs>
        <w:autoSpaceDE w:val="0"/>
        <w:autoSpaceDN w:val="0"/>
        <w:adjustRightInd w:val="0"/>
        <w:spacing w:before="120"/>
        <w:ind w:left="3969" w:hanging="992"/>
        <w:rPr>
          <w:color w:val="000000"/>
          <w:sz w:val="23"/>
          <w:szCs w:val="23"/>
        </w:rPr>
      </w:pPr>
      <w:bookmarkStart w:id="325" w:name="id0822dd59_12c5_47b5_8b32_ac6fb77ee4"/>
      <w:r>
        <w:rPr>
          <w:color w:val="000000"/>
          <w:sz w:val="23"/>
          <w:szCs w:val="23"/>
        </w:rPr>
        <w:tab/>
        <w:t>(C)</w:t>
      </w:r>
      <w:r>
        <w:rPr>
          <w:color w:val="000000"/>
          <w:sz w:val="23"/>
          <w:szCs w:val="23"/>
        </w:rPr>
        <w:tab/>
        <w:t>if the Court cannot determine the value of the benefit—10% of the annual turnover of the body corporate during the 12</w:t>
      </w:r>
      <w:r>
        <w:rPr>
          <w:color w:val="000000"/>
          <w:sz w:val="23"/>
          <w:szCs w:val="23"/>
        </w:rPr>
        <w:noBreakHyphen/>
        <w:t>month period ending at the end of the month in which the body corporate breached, or began breaching, the civil penalty provision.</w:t>
      </w:r>
      <w:bookmarkEnd w:id="325"/>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See Schedule 2 clause 47A, which provides for the amounts specified in this subsection to be adjusted every 3 years to reflect movements in the consumer price index. The adjusted amounts are published on the AER's website.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r>
      <w:hyperlink w:anchor="idf881d764_5778_4271_b843_c83d27402e" w:history="1">
        <w:r>
          <w:rPr>
            <w:color w:val="000000"/>
            <w:sz w:val="23"/>
            <w:szCs w:val="23"/>
          </w:rPr>
          <w:t>Subsection (1)(c)(ii)(B)</w:t>
        </w:r>
      </w:hyperlink>
      <w:r>
        <w:rPr>
          <w:color w:val="000000"/>
          <w:sz w:val="23"/>
          <w:szCs w:val="23"/>
        </w:rPr>
        <w:t xml:space="preserve"> or </w:t>
      </w:r>
      <w:hyperlink w:anchor="id0822dd59_12c5_47b5_8b32_ac6fb77ee4" w:history="1">
        <w:r>
          <w:rPr>
            <w:color w:val="000000"/>
            <w:sz w:val="23"/>
            <w:szCs w:val="23"/>
          </w:rPr>
          <w:t>(C)</w:t>
        </w:r>
      </w:hyperlink>
      <w:r>
        <w:rPr>
          <w:color w:val="000000"/>
          <w:sz w:val="23"/>
          <w:szCs w:val="23"/>
        </w:rPr>
        <w:t xml:space="preserve"> will only apply in a particular case if the AER, in applying for an order under section 231(2)(a), requests that those provisions be applied in that particular case.</w:t>
      </w:r>
    </w:p>
    <w:p>
      <w:pPr>
        <w:pStyle w:val="Footnotesection"/>
      </w:pPr>
      <w:r>
        <w:tab/>
        <w:t>[Section 3A inserted: SA Act No. 37 of 2020 s. 48 and WA Gazette 4 Sep 2024 p. 2215.]</w:t>
      </w:r>
    </w:p>
    <w:p>
      <w:pPr>
        <w:pStyle w:val="Heading5"/>
      </w:pPr>
      <w:bookmarkStart w:id="326" w:name="_Toc176259288"/>
      <w:r>
        <w:rPr>
          <w:rStyle w:val="CharSectno"/>
        </w:rPr>
        <w:t>4</w:t>
      </w:r>
      <w:r>
        <w:t>.</w:t>
      </w:r>
      <w:r>
        <w:tab/>
        <w:t>Meaning of conduct provision</w:t>
      </w:r>
      <w:bookmarkEnd w:id="326"/>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327" w:name="_Toc176259289"/>
      <w:r>
        <w:rPr>
          <w:rStyle w:val="CharSectno"/>
        </w:rPr>
        <w:t>5</w:t>
      </w:r>
      <w:r>
        <w:t>.</w:t>
      </w:r>
      <w:r>
        <w:tab/>
        <w:t>Meaning of prospective user</w:t>
      </w:r>
      <w:bookmarkEnd w:id="3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328" w:name="_Toc176259290"/>
      <w:r>
        <w:rPr>
          <w:rStyle w:val="CharSectno"/>
        </w:rPr>
        <w:t>6</w:t>
      </w:r>
      <w:r>
        <w:t>.</w:t>
      </w:r>
      <w:r>
        <w:tab/>
        <w:t>Meaning of regulatory obligation or requirement</w:t>
      </w:r>
      <w:bookmarkEnd w:id="3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329" w:name="_Toc176259291"/>
      <w:r>
        <w:rPr>
          <w:rStyle w:val="CharSectno"/>
        </w:rPr>
        <w:t>7</w:t>
      </w:r>
      <w:r>
        <w:t>.</w:t>
      </w:r>
      <w:r>
        <w:tab/>
        <w:t>Meaning of regulatory payment</w:t>
      </w:r>
      <w:bookmarkEnd w:id="329"/>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330" w:name="_Toc176259292"/>
      <w:r>
        <w:rPr>
          <w:rStyle w:val="CharSectno"/>
        </w:rPr>
        <w:t>8</w:t>
      </w:r>
      <w:r>
        <w:t>.</w:t>
      </w:r>
      <w:r>
        <w:tab/>
        <w:t>Meaning of service provider</w:t>
      </w:r>
      <w:bookmarkEnd w:id="3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331" w:name="_Toc176259293"/>
      <w:r>
        <w:rPr>
          <w:rStyle w:val="CharSectno"/>
        </w:rPr>
        <w:lastRenderedPageBreak/>
        <w:t>9</w:t>
      </w:r>
      <w:r>
        <w:t>.</w:t>
      </w:r>
      <w:r>
        <w:tab/>
        <w:t>Passive owners of scheme pipelines deemed to provide or intend to provide pipeline services</w:t>
      </w:r>
      <w:bookmarkEnd w:id="3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332" w:name="_Toc176259294"/>
      <w:r>
        <w:rPr>
          <w:rStyle w:val="CharSectno"/>
        </w:rPr>
        <w:t>10</w:t>
      </w:r>
      <w:r>
        <w:t>.</w:t>
      </w:r>
      <w:r>
        <w:tab/>
        <w:t>Things done by 1 service provider to be treated as being done by all of service provider group</w:t>
      </w:r>
      <w:bookmarkEnd w:id="3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lastRenderedPageBreak/>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333" w:name="_Toc176259295"/>
      <w:r>
        <w:rPr>
          <w:rStyle w:val="CharSectno"/>
        </w:rPr>
        <w:t>11</w:t>
      </w:r>
      <w:r>
        <w:t>.</w:t>
      </w:r>
      <w:r>
        <w:tab/>
        <w:t>Local agents of foreign service providers</w:t>
      </w:r>
      <w:bookmarkEnd w:id="333"/>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334" w:name="_Toc176259296"/>
      <w:r>
        <w:rPr>
          <w:rStyle w:val="CharSectno"/>
        </w:rPr>
        <w:t>12</w:t>
      </w:r>
      <w:r>
        <w:rPr>
          <w:bCs/>
        </w:rPr>
        <w:t>.</w:t>
      </w:r>
      <w:r>
        <w:rPr>
          <w:bCs/>
        </w:rPr>
        <w:tab/>
      </w:r>
      <w:r>
        <w:t>Commissioning of a pipeline</w:t>
      </w:r>
      <w:bookmarkEnd w:id="334"/>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335" w:name="_Toc176259297"/>
      <w:r>
        <w:rPr>
          <w:rStyle w:val="CharSectno"/>
        </w:rPr>
        <w:lastRenderedPageBreak/>
        <w:t>13</w:t>
      </w:r>
      <w:r>
        <w:rPr>
          <w:rStyle w:val="CharSectno"/>
          <w:bCs/>
        </w:rPr>
        <w:t>.</w:t>
      </w:r>
      <w:r>
        <w:rPr>
          <w:rStyle w:val="CharSectno"/>
          <w:bCs/>
        </w:rPr>
        <w:tab/>
      </w:r>
      <w:r>
        <w:t>Pipeline classification criterion</w:t>
      </w:r>
      <w:bookmarkEnd w:id="3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336" w:name="_Toc176259298"/>
      <w:r>
        <w:rPr>
          <w:rStyle w:val="CharSectno"/>
        </w:rPr>
        <w:lastRenderedPageBreak/>
        <w:t>14</w:t>
      </w:r>
      <w:r>
        <w:t>.</w:t>
      </w:r>
      <w:r>
        <w:rPr>
          <w:rStyle w:val="CharSectno"/>
          <w:bCs/>
        </w:rPr>
        <w:tab/>
      </w:r>
      <w:r>
        <w:t>Jurisdictional determination criteria—cross boundary distribution pipelines</w:t>
      </w:r>
      <w:bookmarkEnd w:id="336"/>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337" w:name="_Toc176259299"/>
      <w:r>
        <w:rPr>
          <w:rStyle w:val="CharSectno"/>
        </w:rPr>
        <w:t>15</w:t>
      </w:r>
      <w:r>
        <w:t>.</w:t>
      </w:r>
      <w:r>
        <w:tab/>
        <w:t>Pipeline coverage criteria</w:t>
      </w:r>
      <w:bookmarkEnd w:id="337"/>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338" w:name="_Toc176259300"/>
      <w:r>
        <w:rPr>
          <w:rStyle w:val="CharSectno"/>
        </w:rPr>
        <w:t>16</w:t>
      </w:r>
      <w:r>
        <w:t>.</w:t>
      </w:r>
      <w:r>
        <w:tab/>
        <w:t>Form of regulation factors</w:t>
      </w:r>
      <w:bookmarkEnd w:id="338"/>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339" w:name="_Toc176259301"/>
      <w:r>
        <w:rPr>
          <w:rStyle w:val="CharSectno"/>
        </w:rPr>
        <w:t>17</w:t>
      </w:r>
      <w:r>
        <w:rPr>
          <w:bCs/>
        </w:rPr>
        <w:t>.</w:t>
      </w:r>
      <w:r>
        <w:rPr>
          <w:bCs/>
        </w:rPr>
        <w:tab/>
      </w:r>
      <w:r>
        <w:t>Effect of separate and consolidated access arrangements in certain cases</w:t>
      </w:r>
      <w:bookmarkEnd w:id="3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340" w:name="_Toc176259302"/>
      <w:r>
        <w:rPr>
          <w:rStyle w:val="CharSectno"/>
        </w:rPr>
        <w:lastRenderedPageBreak/>
        <w:t>18</w:t>
      </w:r>
      <w:r>
        <w:t>.</w:t>
      </w:r>
      <w:r>
        <w:tab/>
        <w:t>Certain extensions to, or expansion of the capacity of, pipelines to be taken to be part of a covered pipeline</w:t>
      </w:r>
      <w:bookmarkEnd w:id="340"/>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341" w:name="_Toc176259303"/>
      <w:r>
        <w:rPr>
          <w:rStyle w:val="CharSectno"/>
        </w:rPr>
        <w:t>19</w:t>
      </w:r>
      <w:r>
        <w:rPr>
          <w:bCs/>
        </w:rPr>
        <w:t>.</w:t>
      </w:r>
      <w:r>
        <w:rPr>
          <w:bCs/>
        </w:rPr>
        <w:tab/>
      </w:r>
      <w:r>
        <w:t>Expansions of and extensions to covered pipeline by which light regulation services are provided</w:t>
      </w:r>
      <w:bookmarkEnd w:id="341"/>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b w:val="0"/>
        </w:rPr>
      </w:pPr>
      <w:bookmarkStart w:id="342" w:name="_Toc176259304"/>
      <w:r>
        <w:rPr>
          <w:rStyle w:val="CharSectno"/>
        </w:rPr>
        <w:t>19A</w:t>
      </w:r>
      <w:r>
        <w:t>.</w:t>
      </w:r>
      <w:r>
        <w:tab/>
        <w:t>Related bodies corporate</w:t>
      </w:r>
      <w:bookmarkEnd w:id="342"/>
    </w:p>
    <w:p>
      <w:pPr>
        <w:keepLines/>
        <w:autoSpaceDE w:val="0"/>
        <w:autoSpaceDN w:val="0"/>
        <w:adjustRightInd w:val="0"/>
        <w:spacing w:before="120"/>
        <w:ind w:left="1588"/>
        <w:rPr>
          <w:color w:val="000000"/>
          <w:sz w:val="23"/>
          <w:szCs w:val="23"/>
        </w:rPr>
      </w:pPr>
      <w:r>
        <w:rPr>
          <w:color w:val="000000"/>
          <w:sz w:val="23"/>
          <w:szCs w:val="23"/>
        </w:rPr>
        <w:t xml:space="preserve">For the purposes of this Law, 2 or more bodies corporate are related to each other if they are related bodies corporate within the meaning of the </w:t>
      </w:r>
      <w:r>
        <w:rPr>
          <w:i/>
          <w:iCs/>
          <w:color w:val="000000"/>
          <w:sz w:val="23"/>
          <w:szCs w:val="23"/>
        </w:rPr>
        <w:t>Corporations Act 2001</w:t>
      </w:r>
      <w:r>
        <w:rPr>
          <w:color w:val="000000"/>
          <w:sz w:val="23"/>
          <w:szCs w:val="23"/>
        </w:rPr>
        <w:t xml:space="preserve"> of the Commonwealth.</w:t>
      </w:r>
    </w:p>
    <w:p>
      <w:pPr>
        <w:pStyle w:val="Footnotesection"/>
      </w:pPr>
      <w:r>
        <w:tab/>
        <w:t>[Section 19A inserted: SA Act No. 37 of 2020 s. 49 and WA Gazette 4 Sep 2024 p. 2215.]</w:t>
      </w:r>
    </w:p>
    <w:p>
      <w:pPr>
        <w:pStyle w:val="Heading5"/>
      </w:pPr>
      <w:bookmarkStart w:id="343" w:name="_Toc176259305"/>
      <w:r>
        <w:rPr>
          <w:rStyle w:val="CharSectno"/>
        </w:rPr>
        <w:t>20</w:t>
      </w:r>
      <w:r>
        <w:t>.</w:t>
      </w:r>
      <w:r>
        <w:tab/>
        <w:t>Interpretation generally</w:t>
      </w:r>
      <w:bookmarkEnd w:id="343"/>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344" w:name="_Toc175836346"/>
      <w:bookmarkStart w:id="345" w:name="_Toc175837458"/>
      <w:bookmarkStart w:id="346" w:name="_Toc175842166"/>
      <w:bookmarkStart w:id="347" w:name="_Toc175913769"/>
      <w:bookmarkStart w:id="348" w:name="_Toc175914573"/>
      <w:bookmarkStart w:id="349" w:name="_Toc175922464"/>
      <w:bookmarkStart w:id="350" w:name="_Toc176256768"/>
      <w:bookmarkStart w:id="351" w:name="_Toc176259306"/>
      <w:r>
        <w:rPr>
          <w:rStyle w:val="CharDivNo"/>
        </w:rPr>
        <w:lastRenderedPageBreak/>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344"/>
      <w:bookmarkEnd w:id="345"/>
      <w:bookmarkEnd w:id="346"/>
      <w:bookmarkEnd w:id="347"/>
      <w:bookmarkEnd w:id="348"/>
      <w:bookmarkEnd w:id="349"/>
      <w:bookmarkEnd w:id="350"/>
      <w:bookmarkEnd w:id="351"/>
    </w:p>
    <w:p>
      <w:pPr>
        <w:pStyle w:val="Footnotesection"/>
      </w:pPr>
      <w:r>
        <w:tab/>
        <w:t>[Heading inserted: WA Act Sch. 1 cl. 5.]</w:t>
      </w:r>
    </w:p>
    <w:p>
      <w:pPr>
        <w:pStyle w:val="Heading5"/>
      </w:pPr>
      <w:bookmarkStart w:id="352" w:name="_Toc176259307"/>
      <w:r>
        <w:rPr>
          <w:rStyle w:val="CharSectno"/>
        </w:rPr>
        <w:t>20A</w:t>
      </w:r>
      <w:r>
        <w:rPr>
          <w:bCs/>
        </w:rPr>
        <w:t>.</w:t>
      </w:r>
      <w:r>
        <w:rPr>
          <w:bCs/>
        </w:rPr>
        <w:tab/>
      </w:r>
      <w:r>
        <w:t>Minister may fix day on which provisions apply</w:t>
      </w:r>
      <w:bookmarkEnd w:id="352"/>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353" w:name="_Toc175836348"/>
      <w:bookmarkStart w:id="354" w:name="_Toc175837460"/>
      <w:bookmarkStart w:id="355" w:name="_Toc175842168"/>
      <w:bookmarkStart w:id="356" w:name="_Toc175913771"/>
      <w:bookmarkStart w:id="357" w:name="_Toc175914575"/>
      <w:bookmarkStart w:id="358" w:name="_Toc175922466"/>
      <w:bookmarkStart w:id="359" w:name="_Toc176256770"/>
      <w:bookmarkStart w:id="360" w:name="_Toc176259308"/>
      <w:r>
        <w:rPr>
          <w:rStyle w:val="CharDivNo"/>
        </w:rPr>
        <w:t>Part 2</w:t>
      </w:r>
      <w:r>
        <w:rPr>
          <w:color w:val="000000"/>
          <w:sz w:val="32"/>
          <w:szCs w:val="32"/>
        </w:rPr>
        <w:t xml:space="preserve"> — </w:t>
      </w:r>
      <w:r>
        <w:rPr>
          <w:rStyle w:val="CharDivText"/>
        </w:rPr>
        <w:t>Participating jurisdictions</w:t>
      </w:r>
      <w:bookmarkEnd w:id="353"/>
      <w:bookmarkEnd w:id="354"/>
      <w:bookmarkEnd w:id="355"/>
      <w:bookmarkEnd w:id="356"/>
      <w:bookmarkEnd w:id="357"/>
      <w:bookmarkEnd w:id="358"/>
      <w:bookmarkEnd w:id="359"/>
      <w:bookmarkEnd w:id="360"/>
    </w:p>
    <w:p>
      <w:pPr>
        <w:pStyle w:val="Heading5"/>
      </w:pPr>
      <w:bookmarkStart w:id="361" w:name="_Toc176259309"/>
      <w:r>
        <w:rPr>
          <w:rStyle w:val="CharSectno"/>
        </w:rPr>
        <w:t>21</w:t>
      </w:r>
      <w:r>
        <w:t>.</w:t>
      </w:r>
      <w:r>
        <w:tab/>
        <w:t>Participating jurisdictions</w:t>
      </w:r>
      <w:bookmarkEnd w:id="361"/>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362" w:name="_Toc176259310"/>
      <w:r>
        <w:rPr>
          <w:rStyle w:val="CharSectno"/>
        </w:rPr>
        <w:t>22</w:t>
      </w:r>
      <w:r>
        <w:rPr>
          <w:bCs/>
        </w:rPr>
        <w:t>.</w:t>
      </w:r>
      <w:r>
        <w:rPr>
          <w:bCs/>
        </w:rPr>
        <w:tab/>
      </w:r>
      <w:r>
        <w:t>Ministers of participating jurisdictions</w:t>
      </w:r>
      <w:bookmarkEnd w:id="362"/>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 xml:space="preserve">National Gas Access </w:t>
      </w:r>
      <w:r>
        <w:rPr>
          <w:i/>
          <w:iCs/>
          <w:color w:val="000000"/>
          <w:sz w:val="23"/>
          <w:szCs w:val="23"/>
        </w:rPr>
        <w:lastRenderedPageBreak/>
        <w:t>(Western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363" w:name="_Toc175836351"/>
      <w:bookmarkStart w:id="364" w:name="_Toc175837463"/>
      <w:bookmarkStart w:id="365" w:name="_Toc175842171"/>
      <w:bookmarkStart w:id="366" w:name="_Toc175913774"/>
      <w:bookmarkStart w:id="367" w:name="_Toc175914578"/>
      <w:bookmarkStart w:id="368" w:name="_Toc175922469"/>
      <w:bookmarkStart w:id="369" w:name="_Toc176256773"/>
      <w:bookmarkStart w:id="370" w:name="_Toc176259311"/>
      <w:r>
        <w:rPr>
          <w:rStyle w:val="CharDivNo"/>
        </w:rPr>
        <w:t>Part 3</w:t>
      </w:r>
      <w:r>
        <w:rPr>
          <w:color w:val="000000"/>
          <w:sz w:val="32"/>
          <w:szCs w:val="32"/>
        </w:rPr>
        <w:t xml:space="preserve"> — </w:t>
      </w:r>
      <w:r>
        <w:rPr>
          <w:rStyle w:val="CharDivText"/>
        </w:rPr>
        <w:t>National gas objective and principles</w:t>
      </w:r>
      <w:bookmarkEnd w:id="363"/>
      <w:bookmarkEnd w:id="364"/>
      <w:bookmarkEnd w:id="365"/>
      <w:bookmarkEnd w:id="366"/>
      <w:bookmarkEnd w:id="367"/>
      <w:bookmarkEnd w:id="368"/>
      <w:bookmarkEnd w:id="369"/>
      <w:bookmarkEnd w:id="370"/>
    </w:p>
    <w:p>
      <w:pPr>
        <w:pStyle w:val="Heading4"/>
      </w:pPr>
      <w:bookmarkStart w:id="371" w:name="_Toc175836352"/>
      <w:bookmarkStart w:id="372" w:name="_Toc175837464"/>
      <w:bookmarkStart w:id="373" w:name="_Toc175842172"/>
      <w:bookmarkStart w:id="374" w:name="_Toc175913775"/>
      <w:bookmarkStart w:id="375" w:name="_Toc175914579"/>
      <w:bookmarkStart w:id="376" w:name="_Toc175922470"/>
      <w:bookmarkStart w:id="377" w:name="_Toc176256774"/>
      <w:bookmarkStart w:id="378" w:name="_Toc176259312"/>
      <w:r>
        <w:t>Division 1 — National gas objective</w:t>
      </w:r>
      <w:bookmarkEnd w:id="371"/>
      <w:bookmarkEnd w:id="372"/>
      <w:bookmarkEnd w:id="373"/>
      <w:bookmarkEnd w:id="374"/>
      <w:bookmarkEnd w:id="375"/>
      <w:bookmarkEnd w:id="376"/>
      <w:bookmarkEnd w:id="377"/>
      <w:bookmarkEnd w:id="378"/>
    </w:p>
    <w:p>
      <w:pPr>
        <w:pStyle w:val="Heading5"/>
      </w:pPr>
      <w:bookmarkStart w:id="379" w:name="_Toc176259313"/>
      <w:r>
        <w:rPr>
          <w:rStyle w:val="CharSectno"/>
        </w:rPr>
        <w:t>23</w:t>
      </w:r>
      <w:r>
        <w:t>.</w:t>
      </w:r>
      <w:r>
        <w:tab/>
        <w:t>National gas objective</w:t>
      </w:r>
      <w:bookmarkEnd w:id="379"/>
    </w:p>
    <w:p>
      <w:pPr>
        <w:keepNext/>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price, quality, safety, reliability and security of supply of natural gas;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achievement of targets set by a participating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reducing Australia’s greenhouse gas emissions;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are likely to contribute to reducing Australia’s greenhouse gas emissions.</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AEMC must publish targets in a targets statement: see section 72A.</w:t>
      </w:r>
    </w:p>
    <w:p>
      <w:pPr>
        <w:pStyle w:val="Footnotesection"/>
      </w:pPr>
      <w:r>
        <w:tab/>
        <w:t>[Section 23 amended: see SA Act No. 26 of 2023 s. 14.]</w:t>
      </w:r>
    </w:p>
    <w:p>
      <w:pPr>
        <w:pStyle w:val="Heading5"/>
        <w:rPr>
          <w:b w:val="0"/>
        </w:rPr>
      </w:pPr>
      <w:bookmarkStart w:id="380" w:name="_Toc176259314"/>
      <w:r>
        <w:rPr>
          <w:rStyle w:val="CharSectno"/>
        </w:rPr>
        <w:lastRenderedPageBreak/>
        <w:t>23A</w:t>
      </w:r>
      <w:r>
        <w:t>.</w:t>
      </w:r>
      <w:r>
        <w:rPr>
          <w:rStyle w:val="CharSectno"/>
        </w:rPr>
        <w:tab/>
      </w:r>
      <w:r>
        <w:t>Regulations may prescribe matters for national gas objective</w:t>
      </w:r>
      <w:bookmarkEnd w:id="380"/>
    </w:p>
    <w:p>
      <w:pPr>
        <w:keepNext/>
        <w:keepLines/>
        <w:autoSpaceDE w:val="0"/>
        <w:autoSpaceDN w:val="0"/>
        <w:adjustRightInd w:val="0"/>
        <w:spacing w:before="120"/>
        <w:ind w:left="1588"/>
        <w:rPr>
          <w:color w:val="000000"/>
          <w:sz w:val="23"/>
          <w:szCs w:val="23"/>
        </w:rPr>
      </w:pPr>
      <w:r>
        <w:t xml:space="preserve">Without limiting the </w:t>
      </w:r>
      <w:r>
        <w:rPr>
          <w:i/>
          <w:iCs/>
        </w:rPr>
        <w:t>National Gas Access (WA) Act 2009</w:t>
      </w:r>
      <w:r>
        <w:t xml:space="preserve"> Part 3,</w:t>
      </w:r>
      <w:r>
        <w:rPr>
          <w:color w:val="000000"/>
          <w:sz w:val="23"/>
          <w:szCs w:val="23"/>
        </w:rPr>
        <w:t xml:space="preserve"> the Regulations may make provision about a matter relating to the achievement of targets mentioned in section 23(b) of this Law.</w:t>
      </w:r>
    </w:p>
    <w:p>
      <w:pPr>
        <w:pStyle w:val="Footnotesection"/>
      </w:pPr>
      <w:r>
        <w:tab/>
        <w:t>[Section 23A inserted: see SA Act No. 26 of 2023 s. 15; WA Act Sch. 1 cl. 5A.]</w:t>
      </w:r>
    </w:p>
    <w:p>
      <w:pPr>
        <w:pStyle w:val="Heading4"/>
      </w:pPr>
      <w:bookmarkStart w:id="381" w:name="_Toc175836355"/>
      <w:bookmarkStart w:id="382" w:name="_Toc175837467"/>
      <w:bookmarkStart w:id="383" w:name="_Toc175842175"/>
      <w:bookmarkStart w:id="384" w:name="_Toc175913778"/>
      <w:bookmarkStart w:id="385" w:name="_Toc175914582"/>
      <w:bookmarkStart w:id="386" w:name="_Toc175922473"/>
      <w:bookmarkStart w:id="387" w:name="_Toc176256777"/>
      <w:bookmarkStart w:id="388" w:name="_Toc176259315"/>
      <w:r>
        <w:t>Division 2 — Revenue and pricing principles</w:t>
      </w:r>
      <w:bookmarkEnd w:id="381"/>
      <w:bookmarkEnd w:id="382"/>
      <w:bookmarkEnd w:id="383"/>
      <w:bookmarkEnd w:id="384"/>
      <w:bookmarkEnd w:id="385"/>
      <w:bookmarkEnd w:id="386"/>
      <w:bookmarkEnd w:id="387"/>
      <w:bookmarkEnd w:id="388"/>
    </w:p>
    <w:p>
      <w:pPr>
        <w:pStyle w:val="Heading5"/>
      </w:pPr>
      <w:bookmarkStart w:id="389" w:name="_Toc176259316"/>
      <w:r>
        <w:rPr>
          <w:rStyle w:val="CharSectno"/>
        </w:rPr>
        <w:t>24</w:t>
      </w:r>
      <w:r>
        <w:rPr>
          <w:bCs/>
        </w:rPr>
        <w:t>.</w:t>
      </w:r>
      <w:r>
        <w:rPr>
          <w:bCs/>
        </w:rPr>
        <w:tab/>
      </w:r>
      <w:r>
        <w:t>Revenue and pricing principles</w:t>
      </w:r>
      <w:bookmarkEnd w:id="3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390" w:name="_Toc175836357"/>
      <w:bookmarkStart w:id="391" w:name="_Toc175837469"/>
      <w:bookmarkStart w:id="392" w:name="_Toc175842177"/>
      <w:bookmarkStart w:id="393" w:name="_Toc175913780"/>
      <w:bookmarkStart w:id="394" w:name="_Toc175914584"/>
      <w:bookmarkStart w:id="395" w:name="_Toc175922475"/>
      <w:bookmarkStart w:id="396" w:name="_Toc176256779"/>
      <w:bookmarkStart w:id="397" w:name="_Toc176259317"/>
      <w:r>
        <w:t>Division 3 — MCE policy principles</w:t>
      </w:r>
      <w:bookmarkEnd w:id="390"/>
      <w:bookmarkEnd w:id="391"/>
      <w:bookmarkEnd w:id="392"/>
      <w:bookmarkEnd w:id="393"/>
      <w:bookmarkEnd w:id="394"/>
      <w:bookmarkEnd w:id="395"/>
      <w:bookmarkEnd w:id="396"/>
      <w:bookmarkEnd w:id="397"/>
    </w:p>
    <w:p>
      <w:pPr>
        <w:pStyle w:val="Heading5"/>
      </w:pPr>
      <w:bookmarkStart w:id="398" w:name="_Toc176259318"/>
      <w:r>
        <w:rPr>
          <w:rStyle w:val="CharSectno"/>
        </w:rPr>
        <w:t>25</w:t>
      </w:r>
      <w:r>
        <w:rPr>
          <w:bCs/>
        </w:rPr>
        <w:t>.</w:t>
      </w:r>
      <w:r>
        <w:rPr>
          <w:bCs/>
        </w:rPr>
        <w:tab/>
      </w:r>
      <w:r>
        <w:t>MCE statements of policy principles</w:t>
      </w:r>
      <w:bookmarkEnd w:id="3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399" w:name="_Toc175836359"/>
      <w:bookmarkStart w:id="400" w:name="_Toc175837471"/>
      <w:bookmarkStart w:id="401" w:name="_Toc175842179"/>
      <w:bookmarkStart w:id="402" w:name="_Toc175913782"/>
      <w:bookmarkStart w:id="403" w:name="_Toc175914586"/>
      <w:bookmarkStart w:id="404" w:name="_Toc175922477"/>
      <w:bookmarkStart w:id="405" w:name="_Toc176256781"/>
      <w:bookmarkStart w:id="406" w:name="_Toc176259319"/>
      <w:r>
        <w:rPr>
          <w:rStyle w:val="CharDivNo"/>
        </w:rPr>
        <w:lastRenderedPageBreak/>
        <w:t>Part 4</w:t>
      </w:r>
      <w:r>
        <w:t xml:space="preserve"> — </w:t>
      </w:r>
      <w:r>
        <w:rPr>
          <w:rStyle w:val="CharDivText"/>
        </w:rPr>
        <w:t>Operation and effect of National Gas Rules</w:t>
      </w:r>
      <w:bookmarkEnd w:id="399"/>
      <w:bookmarkEnd w:id="400"/>
      <w:bookmarkEnd w:id="401"/>
      <w:bookmarkEnd w:id="402"/>
      <w:bookmarkEnd w:id="403"/>
      <w:bookmarkEnd w:id="404"/>
      <w:bookmarkEnd w:id="405"/>
      <w:bookmarkEnd w:id="406"/>
    </w:p>
    <w:p>
      <w:pPr>
        <w:pStyle w:val="Heading5"/>
      </w:pPr>
      <w:bookmarkStart w:id="407" w:name="_Toc176259320"/>
      <w:r>
        <w:rPr>
          <w:rStyle w:val="CharSectno"/>
        </w:rPr>
        <w:t>26</w:t>
      </w:r>
      <w:r>
        <w:t>.</w:t>
      </w:r>
      <w:r>
        <w:rPr>
          <w:rStyle w:val="CharSectno"/>
        </w:rPr>
        <w:tab/>
      </w:r>
      <w:r>
        <w:t>National Gas Rules to have force of law</w:t>
      </w:r>
      <w:bookmarkEnd w:id="407"/>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408" w:name="_Toc175836361"/>
      <w:bookmarkStart w:id="409" w:name="_Toc175837473"/>
      <w:bookmarkStart w:id="410" w:name="_Toc175842181"/>
      <w:bookmarkStart w:id="411" w:name="_Toc175913784"/>
      <w:bookmarkStart w:id="412" w:name="_Toc175914588"/>
      <w:bookmarkStart w:id="413" w:name="_Toc175922479"/>
      <w:bookmarkStart w:id="414" w:name="_Toc176256783"/>
      <w:bookmarkStart w:id="415" w:name="_Toc176259321"/>
      <w:r>
        <w:rPr>
          <w:rStyle w:val="CharPartNo"/>
        </w:rPr>
        <w:lastRenderedPageBreak/>
        <w:t>Chapter 2</w:t>
      </w:r>
      <w:r>
        <w:t xml:space="preserve"> — </w:t>
      </w:r>
      <w:r>
        <w:rPr>
          <w:rStyle w:val="CharPartText"/>
        </w:rPr>
        <w:t>Functions and powers of gas market regulatory entities</w:t>
      </w:r>
      <w:bookmarkEnd w:id="408"/>
      <w:bookmarkEnd w:id="409"/>
      <w:bookmarkEnd w:id="410"/>
      <w:bookmarkEnd w:id="411"/>
      <w:bookmarkEnd w:id="412"/>
      <w:bookmarkEnd w:id="413"/>
      <w:bookmarkEnd w:id="414"/>
      <w:bookmarkEnd w:id="415"/>
    </w:p>
    <w:p>
      <w:pPr>
        <w:pStyle w:val="Heading3"/>
      </w:pPr>
      <w:bookmarkStart w:id="416" w:name="_Toc175836362"/>
      <w:bookmarkStart w:id="417" w:name="_Toc175837474"/>
      <w:bookmarkStart w:id="418" w:name="_Toc175842182"/>
      <w:bookmarkStart w:id="419" w:name="_Toc175913785"/>
      <w:bookmarkStart w:id="420" w:name="_Toc175914589"/>
      <w:bookmarkStart w:id="421" w:name="_Toc175922480"/>
      <w:bookmarkStart w:id="422" w:name="_Toc176256784"/>
      <w:bookmarkStart w:id="423" w:name="_Toc176259322"/>
      <w:r>
        <w:rPr>
          <w:rStyle w:val="CharDivNo"/>
        </w:rPr>
        <w:t>Part 1</w:t>
      </w:r>
      <w:r>
        <w:t xml:space="preserve"> — </w:t>
      </w:r>
      <w:r>
        <w:rPr>
          <w:rStyle w:val="CharDivText"/>
        </w:rPr>
        <w:t>Functions and powers of the Australian Energy Regulator</w:t>
      </w:r>
      <w:bookmarkEnd w:id="416"/>
      <w:bookmarkEnd w:id="417"/>
      <w:bookmarkEnd w:id="418"/>
      <w:bookmarkEnd w:id="419"/>
      <w:bookmarkEnd w:id="420"/>
      <w:bookmarkEnd w:id="421"/>
      <w:bookmarkEnd w:id="422"/>
      <w:bookmarkEnd w:id="423"/>
    </w:p>
    <w:p>
      <w:pPr>
        <w:pStyle w:val="Heading4"/>
        <w:rPr>
          <w:szCs w:val="28"/>
        </w:rPr>
      </w:pPr>
      <w:bookmarkStart w:id="424" w:name="_Toc175836363"/>
      <w:bookmarkStart w:id="425" w:name="_Toc175837475"/>
      <w:bookmarkStart w:id="426" w:name="_Toc175842183"/>
      <w:bookmarkStart w:id="427" w:name="_Toc175913786"/>
      <w:bookmarkStart w:id="428" w:name="_Toc175914590"/>
      <w:bookmarkStart w:id="429" w:name="_Toc175922481"/>
      <w:bookmarkStart w:id="430" w:name="_Toc176256785"/>
      <w:bookmarkStart w:id="431" w:name="_Toc176259323"/>
      <w:r>
        <w:rPr>
          <w:szCs w:val="28"/>
        </w:rPr>
        <w:t>Division 1</w:t>
      </w:r>
      <w:r>
        <w:rPr>
          <w:rStyle w:val="CharSDivNo"/>
        </w:rPr>
        <w:t xml:space="preserve"> </w:t>
      </w:r>
      <w:r>
        <w:rPr>
          <w:szCs w:val="28"/>
        </w:rPr>
        <w:t>—</w:t>
      </w:r>
      <w:r>
        <w:t xml:space="preserve"> </w:t>
      </w:r>
      <w:r>
        <w:rPr>
          <w:szCs w:val="28"/>
        </w:rPr>
        <w:t>General</w:t>
      </w:r>
      <w:bookmarkEnd w:id="424"/>
      <w:bookmarkEnd w:id="425"/>
      <w:bookmarkEnd w:id="426"/>
      <w:bookmarkEnd w:id="427"/>
      <w:bookmarkEnd w:id="428"/>
      <w:bookmarkEnd w:id="429"/>
      <w:bookmarkEnd w:id="430"/>
      <w:bookmarkEnd w:id="431"/>
    </w:p>
    <w:p>
      <w:pPr>
        <w:pStyle w:val="Heading5"/>
      </w:pPr>
      <w:bookmarkStart w:id="432" w:name="_Toc176259324"/>
      <w:r>
        <w:rPr>
          <w:rStyle w:val="CharSectno"/>
        </w:rPr>
        <w:t>27</w:t>
      </w:r>
      <w:r>
        <w:t>.</w:t>
      </w:r>
      <w:r>
        <w:rPr>
          <w:bCs/>
        </w:rPr>
        <w:tab/>
      </w:r>
      <w:r>
        <w:t>Functions and powers of the AER</w:t>
      </w:r>
      <w:bookmarkEnd w:id="4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433" w:name="_Toc176259325"/>
      <w:r>
        <w:rPr>
          <w:rStyle w:val="CharSectno"/>
        </w:rPr>
        <w:t>28</w:t>
      </w:r>
      <w:r>
        <w:t>.</w:t>
      </w:r>
      <w:r>
        <w:tab/>
        <w:t>Manner in which AER must perform or exercise AER economic regulatory functions or powers</w:t>
      </w:r>
      <w:bookmarkEnd w:id="4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434" w:name="_Toc176259326"/>
      <w:r>
        <w:rPr>
          <w:rStyle w:val="CharSectno"/>
        </w:rPr>
        <w:t>29</w:t>
      </w:r>
      <w:r>
        <w:t>.</w:t>
      </w:r>
      <w:r>
        <w:tab/>
        <w:t>Delegations</w:t>
      </w:r>
      <w:bookmarkEnd w:id="434"/>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435" w:name="_Toc176259327"/>
      <w:r>
        <w:rPr>
          <w:rStyle w:val="CharSectno"/>
        </w:rPr>
        <w:lastRenderedPageBreak/>
        <w:t>30</w:t>
      </w:r>
      <w:r>
        <w:t>.</w:t>
      </w:r>
      <w:r>
        <w:tab/>
        <w:t>Confidentiality</w:t>
      </w:r>
      <w:bookmarkEnd w:id="4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Lines/>
      </w:pPr>
      <w:bookmarkStart w:id="436" w:name="_Toc175836368"/>
      <w:bookmarkStart w:id="437" w:name="_Toc175837480"/>
      <w:bookmarkStart w:id="438" w:name="_Toc175842188"/>
      <w:bookmarkStart w:id="439" w:name="_Toc175913791"/>
      <w:bookmarkStart w:id="440" w:name="_Toc175914595"/>
      <w:bookmarkStart w:id="441" w:name="_Toc175922486"/>
      <w:bookmarkStart w:id="442" w:name="_Toc176256790"/>
      <w:bookmarkStart w:id="443" w:name="_Toc176259328"/>
      <w:r>
        <w:lastRenderedPageBreak/>
        <w:t>Division 1A—Rate of return instrument</w:t>
      </w:r>
      <w:bookmarkEnd w:id="436"/>
      <w:bookmarkEnd w:id="437"/>
      <w:bookmarkEnd w:id="438"/>
      <w:bookmarkEnd w:id="439"/>
      <w:bookmarkEnd w:id="440"/>
      <w:bookmarkEnd w:id="441"/>
      <w:bookmarkEnd w:id="442"/>
      <w:bookmarkEnd w:id="443"/>
    </w:p>
    <w:p>
      <w:pPr>
        <w:pStyle w:val="Footnoteheading"/>
        <w:keepNext/>
        <w:keepLines/>
      </w:pPr>
      <w:r>
        <w:tab/>
        <w:t>[Heading inserted: see SA Act No. 33 of 2018 s. 15 and WA Gazette 5 Apr 2019 p. 1007.]</w:t>
      </w:r>
    </w:p>
    <w:p>
      <w:pPr>
        <w:pStyle w:val="Heading4"/>
      </w:pPr>
      <w:bookmarkStart w:id="444" w:name="_Toc175836369"/>
      <w:bookmarkStart w:id="445" w:name="_Toc175837481"/>
      <w:bookmarkStart w:id="446" w:name="_Toc175842189"/>
      <w:bookmarkStart w:id="447" w:name="_Toc175913792"/>
      <w:bookmarkStart w:id="448" w:name="_Toc175914596"/>
      <w:bookmarkStart w:id="449" w:name="_Toc175922487"/>
      <w:bookmarkStart w:id="450" w:name="_Toc176256791"/>
      <w:bookmarkStart w:id="451" w:name="_Toc176259329"/>
      <w:r>
        <w:t>Subdivision 1—Preliminary</w:t>
      </w:r>
      <w:bookmarkEnd w:id="444"/>
      <w:bookmarkEnd w:id="445"/>
      <w:bookmarkEnd w:id="446"/>
      <w:bookmarkEnd w:id="447"/>
      <w:bookmarkEnd w:id="448"/>
      <w:bookmarkEnd w:id="449"/>
      <w:bookmarkEnd w:id="450"/>
      <w:bookmarkEnd w:id="451"/>
    </w:p>
    <w:p>
      <w:pPr>
        <w:pStyle w:val="Footnoteheading"/>
        <w:keepNext/>
      </w:pPr>
      <w:r>
        <w:tab/>
        <w:t>[Heading inserted: see SA Act No. 33 of 2018 s. 15 and WA Gazette 5 Apr 2019 p. 1007.]</w:t>
      </w:r>
    </w:p>
    <w:p>
      <w:pPr>
        <w:pStyle w:val="Heading5"/>
        <w:rPr>
          <w:b w:val="0"/>
        </w:rPr>
      </w:pPr>
      <w:bookmarkStart w:id="452" w:name="_Toc176259330"/>
      <w:r>
        <w:rPr>
          <w:rStyle w:val="CharSectno"/>
        </w:rPr>
        <w:t>30A</w:t>
      </w:r>
      <w:r>
        <w:t>.</w:t>
      </w:r>
      <w:r>
        <w:tab/>
        <w:t>Definitions</w:t>
      </w:r>
      <w:bookmarkEnd w:id="45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xml:space="preserve">, for making a rate of return instrument, see </w:t>
      </w:r>
      <w:hyperlink w:anchor="id72f52006_4c51_4fb9_8278_cb348f29de" w:history="1">
        <w:r>
          <w:rPr>
            <w:color w:val="000000"/>
            <w:sz w:val="23"/>
            <w:szCs w:val="23"/>
          </w:rPr>
          <w:t>section 30H(1)(a)</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matters mentioned in </w:t>
      </w:r>
      <w:hyperlink w:anchor="id0ff8a509_7876_447b_9127_a68ef60d88" w:history="1">
        <w:r>
          <w:rPr>
            <w:color w:val="000000"/>
            <w:sz w:val="23"/>
            <w:szCs w:val="23"/>
          </w:rPr>
          <w:t>section 30G</w:t>
        </w:r>
      </w:hyperlink>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453" w:name="_Toc176259331"/>
      <w:r>
        <w:rPr>
          <w:rStyle w:val="CharSectno"/>
        </w:rPr>
        <w:t>30B</w:t>
      </w:r>
      <w:r>
        <w:t>.</w:t>
      </w:r>
      <w:r>
        <w:tab/>
        <w:t>Rate of return instrument has force of law</w:t>
      </w:r>
      <w:bookmarkEnd w:id="4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454" w:name="_Toc176259332"/>
      <w:r>
        <w:rPr>
          <w:rStyle w:val="CharSectno"/>
        </w:rPr>
        <w:t>30C</w:t>
      </w:r>
      <w:r>
        <w:t>.</w:t>
      </w:r>
      <w:r>
        <w:tab/>
        <w:t>Rate of return instrument is binding on AER and covered pipeline service providers</w:t>
      </w:r>
      <w:bookmarkEnd w:id="454"/>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455" w:name="_Toc175836373"/>
      <w:bookmarkStart w:id="456" w:name="_Toc175837485"/>
      <w:bookmarkStart w:id="457" w:name="_Toc175842193"/>
      <w:bookmarkStart w:id="458" w:name="_Toc175913796"/>
      <w:bookmarkStart w:id="459" w:name="_Toc175914600"/>
      <w:bookmarkStart w:id="460" w:name="_Toc175922491"/>
      <w:bookmarkStart w:id="461" w:name="_Toc176256795"/>
      <w:bookmarkStart w:id="462" w:name="_Toc176259333"/>
      <w:r>
        <w:lastRenderedPageBreak/>
        <w:t>Subdivision 2—Requirement to make rate of return instrument</w:t>
      </w:r>
      <w:bookmarkEnd w:id="455"/>
      <w:bookmarkEnd w:id="456"/>
      <w:bookmarkEnd w:id="457"/>
      <w:bookmarkEnd w:id="458"/>
      <w:bookmarkEnd w:id="459"/>
      <w:bookmarkEnd w:id="460"/>
      <w:bookmarkEnd w:id="461"/>
      <w:bookmarkEnd w:id="462"/>
    </w:p>
    <w:p>
      <w:pPr>
        <w:pStyle w:val="Footnoteheading"/>
        <w:keepNext/>
      </w:pPr>
      <w:r>
        <w:tab/>
        <w:t>[Heading inserted: see SA Act No. 33 of 2018 s. 15 and WA Gazette 5 Apr 2019 p. 1007.]</w:t>
      </w:r>
    </w:p>
    <w:p>
      <w:pPr>
        <w:pStyle w:val="Heading5"/>
        <w:rPr>
          <w:b w:val="0"/>
        </w:rPr>
      </w:pPr>
      <w:bookmarkStart w:id="463" w:name="_Toc176259334"/>
      <w:r>
        <w:rPr>
          <w:rStyle w:val="CharSectno"/>
        </w:rPr>
        <w:t>30D</w:t>
      </w:r>
      <w:r>
        <w:t>.</w:t>
      </w:r>
      <w:r>
        <w:tab/>
        <w:t>AER to make rate of return instrument</w:t>
      </w:r>
      <w:bookmarkEnd w:id="4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464"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4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Subject to </w:t>
      </w:r>
      <w:hyperlink w:anchor="id9b8853f5_7d27_438d_9781_ada0a1ec1e" w:history="1">
        <w:r>
          <w:rPr>
            <w:color w:val="000000"/>
            <w:sz w:val="23"/>
            <w:szCs w:val="23"/>
          </w:rPr>
          <w:t>subsection (3)</w:t>
        </w:r>
      </w:hyperlink>
      <w:r>
        <w:rPr>
          <w:color w:val="000000"/>
          <w:sz w:val="23"/>
          <w:szCs w:val="23"/>
        </w:rPr>
        <w:t>,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465" w:name="_Toc176259335"/>
      <w:r>
        <w:rPr>
          <w:rStyle w:val="CharSectno"/>
        </w:rPr>
        <w:t>30E</w:t>
      </w:r>
      <w:r>
        <w:t>.</w:t>
      </w:r>
      <w:r>
        <w:tab/>
        <w:t>Content of rate of return instrument</w:t>
      </w:r>
      <w:bookmarkEnd w:id="465"/>
    </w:p>
    <w:p>
      <w:pPr>
        <w:keepLines/>
        <w:tabs>
          <w:tab w:val="center" w:pos="1191"/>
          <w:tab w:val="left" w:pos="1588"/>
        </w:tabs>
        <w:autoSpaceDE w:val="0"/>
        <w:autoSpaceDN w:val="0"/>
        <w:adjustRightInd w:val="0"/>
        <w:spacing w:before="120"/>
        <w:ind w:left="1588" w:hanging="794"/>
        <w:rPr>
          <w:color w:val="000000"/>
          <w:sz w:val="23"/>
          <w:szCs w:val="23"/>
        </w:rPr>
      </w:pPr>
      <w:bookmarkStart w:id="466"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466"/>
    </w:p>
    <w:p>
      <w:pPr>
        <w:keepLines/>
        <w:tabs>
          <w:tab w:val="center" w:pos="1191"/>
          <w:tab w:val="left" w:pos="1588"/>
        </w:tabs>
        <w:autoSpaceDE w:val="0"/>
        <w:autoSpaceDN w:val="0"/>
        <w:adjustRightInd w:val="0"/>
        <w:spacing w:before="120"/>
        <w:ind w:left="1588" w:hanging="794"/>
        <w:rPr>
          <w:color w:val="000000"/>
          <w:sz w:val="23"/>
          <w:szCs w:val="23"/>
        </w:rPr>
      </w:pPr>
      <w:bookmarkStart w:id="467" w:name="id49cda631_9ac5_4134_9ed1_22b9ec72d5"/>
      <w:r>
        <w:rPr>
          <w:color w:val="000000"/>
          <w:sz w:val="23"/>
          <w:szCs w:val="23"/>
        </w:rPr>
        <w:lastRenderedPageBreak/>
        <w:tab/>
        <w:t>(2)</w:t>
      </w:r>
      <w:r>
        <w:rPr>
          <w:color w:val="000000"/>
          <w:sz w:val="23"/>
          <w:szCs w:val="23"/>
        </w:rPr>
        <w:tab/>
        <w:t>If a rate of return instrument states a way to calculate the rate of return on capital or the value of imputation credits, the instrument must—</w:t>
      </w:r>
      <w:bookmarkEnd w:id="46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Subject to </w:t>
      </w:r>
      <w:hyperlink w:anchor="id06c5f023_a283_4d2b_9097_c782232148" w:history="1">
        <w:r>
          <w:rPr>
            <w:color w:val="000000"/>
            <w:sz w:val="23"/>
            <w:szCs w:val="23"/>
          </w:rPr>
          <w:t>subsections (1)</w:t>
        </w:r>
      </w:hyperlink>
      <w:r>
        <w:rPr>
          <w:color w:val="000000"/>
          <w:sz w:val="23"/>
          <w:szCs w:val="23"/>
        </w:rPr>
        <w:t xml:space="preserve"> and </w:t>
      </w:r>
      <w:hyperlink w:anchor="id49cda631_9ac5_4134_9ed1_22b9ec72d5" w:history="1">
        <w:r>
          <w:rPr>
            <w:color w:val="000000"/>
            <w:sz w:val="23"/>
            <w:szCs w:val="23"/>
          </w:rPr>
          <w:t>(2)</w:t>
        </w:r>
      </w:hyperlink>
      <w:r>
        <w:rPr>
          <w:color w:val="000000"/>
          <w:sz w:val="23"/>
          <w:szCs w:val="23"/>
        </w:rPr>
        <w:t>,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468" w:name="_Toc175836376"/>
      <w:bookmarkStart w:id="469" w:name="_Toc175837488"/>
      <w:bookmarkStart w:id="470" w:name="_Toc175842196"/>
      <w:bookmarkStart w:id="471" w:name="_Toc175913799"/>
      <w:bookmarkStart w:id="472" w:name="_Toc175914603"/>
      <w:bookmarkStart w:id="473" w:name="_Toc175922494"/>
      <w:bookmarkStart w:id="474" w:name="_Toc176256798"/>
      <w:bookmarkStart w:id="475" w:name="_Toc176259336"/>
      <w:r>
        <w:t>Subdivision 3—Consultation requirements</w:t>
      </w:r>
      <w:bookmarkEnd w:id="468"/>
      <w:bookmarkEnd w:id="469"/>
      <w:bookmarkEnd w:id="470"/>
      <w:bookmarkEnd w:id="471"/>
      <w:bookmarkEnd w:id="472"/>
      <w:bookmarkEnd w:id="473"/>
      <w:bookmarkEnd w:id="474"/>
      <w:bookmarkEnd w:id="475"/>
    </w:p>
    <w:p>
      <w:pPr>
        <w:pStyle w:val="Footnoteheading"/>
      </w:pPr>
      <w:r>
        <w:tab/>
        <w:t>[Heading inserted: see SA Act No. 33 of 2018 s. 15 and WA Gazette 5 Apr 2019 p. 1007.]</w:t>
      </w:r>
    </w:p>
    <w:p>
      <w:pPr>
        <w:pStyle w:val="Heading5"/>
        <w:rPr>
          <w:b w:val="0"/>
        </w:rPr>
      </w:pPr>
      <w:bookmarkStart w:id="476" w:name="_Toc176259337"/>
      <w:r>
        <w:rPr>
          <w:rStyle w:val="CharSectno"/>
        </w:rPr>
        <w:t>30F</w:t>
      </w:r>
      <w:r>
        <w:t>.</w:t>
      </w:r>
      <w:r>
        <w:tab/>
        <w:t>Process for making rate of return instrument</w:t>
      </w:r>
      <w:bookmarkEnd w:id="476"/>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477" w:name="_Toc176259338"/>
      <w:r>
        <w:rPr>
          <w:rStyle w:val="CharSectno"/>
        </w:rPr>
        <w:lastRenderedPageBreak/>
        <w:t>30G</w:t>
      </w:r>
      <w:r>
        <w:t>.</w:t>
      </w:r>
      <w:r>
        <w:tab/>
        <w:t>Other matters AER must have regard to in making instrument</w:t>
      </w:r>
      <w:bookmarkEnd w:id="477"/>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submissions made, and the report published, under </w:t>
      </w:r>
      <w:hyperlink w:anchor="id7851299a_476a_4fd0_ba62_63b083861e" w:history="1">
        <w:r>
          <w:rPr>
            <w:sz w:val="23"/>
          </w:rPr>
          <w:t>section 30H</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submissions made under </w:t>
      </w:r>
      <w:hyperlink w:anchor="id3d007769_d366_4fc9_9b90_8b940a1592" w:history="1">
        <w:r>
          <w:rPr>
            <w:sz w:val="23"/>
          </w:rPr>
          <w:t>section 30J</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 xml:space="preserve">the report given by the independent panel under </w:t>
      </w:r>
      <w:hyperlink w:anchor="idfe4b9e6b_76a9_4ca8_8bef_4d00e67b60" w:history="1">
        <w:r>
          <w:rPr>
            <w:sz w:val="23"/>
          </w:rPr>
          <w:t>section 30K</w:t>
        </w:r>
      </w:hyperlink>
      <w:r>
        <w:rPr>
          <w:sz w:val="23"/>
        </w:rPr>
        <w:t>.</w:t>
      </w:r>
    </w:p>
    <w:p>
      <w:pPr>
        <w:pStyle w:val="Footnotesection"/>
      </w:pPr>
      <w:r>
        <w:tab/>
        <w:t>[Section 30G inserted: see SA Act No. 33 of 2018 s. 15 and WA Gazette 5 Apr 2019 p. 1007.]</w:t>
      </w:r>
    </w:p>
    <w:p>
      <w:pPr>
        <w:pStyle w:val="Heading5"/>
        <w:rPr>
          <w:b w:val="0"/>
        </w:rPr>
      </w:pPr>
      <w:bookmarkStart w:id="478" w:name="_Toc176259339"/>
      <w:r>
        <w:rPr>
          <w:rStyle w:val="CharSectno"/>
        </w:rPr>
        <w:t>30H</w:t>
      </w:r>
      <w:r>
        <w:t>.</w:t>
      </w:r>
      <w:r>
        <w:tab/>
        <w:t>Requirements before publishing draft instrument</w:t>
      </w:r>
      <w:bookmarkEnd w:id="478"/>
    </w:p>
    <w:p>
      <w:pPr>
        <w:keepLines/>
        <w:tabs>
          <w:tab w:val="center" w:pos="1191"/>
          <w:tab w:val="left" w:pos="1588"/>
        </w:tabs>
        <w:autoSpaceDE w:val="0"/>
        <w:autoSpaceDN w:val="0"/>
        <w:adjustRightInd w:val="0"/>
        <w:spacing w:before="120"/>
        <w:ind w:left="1588" w:hanging="794"/>
        <w:rPr>
          <w:color w:val="000000"/>
          <w:sz w:val="23"/>
          <w:szCs w:val="23"/>
        </w:rPr>
      </w:pPr>
      <w:bookmarkStart w:id="479"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479"/>
    </w:p>
    <w:p>
      <w:pPr>
        <w:keepLines/>
        <w:tabs>
          <w:tab w:val="center" w:pos="1985"/>
          <w:tab w:val="left" w:pos="2382"/>
        </w:tabs>
        <w:autoSpaceDE w:val="0"/>
        <w:autoSpaceDN w:val="0"/>
        <w:adjustRightInd w:val="0"/>
        <w:spacing w:before="120"/>
        <w:ind w:left="2382" w:hanging="794"/>
        <w:rPr>
          <w:color w:val="000000"/>
          <w:sz w:val="23"/>
          <w:szCs w:val="23"/>
        </w:rPr>
      </w:pPr>
      <w:bookmarkStart w:id="480"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48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 xml:space="preserve">Subject to </w:t>
      </w:r>
      <w:hyperlink w:anchor="idf9ce6eb5_2545_46ba_b42e_06f502792a" w:history="1">
        <w:r>
          <w:rPr>
            <w:color w:val="000000"/>
            <w:sz w:val="23"/>
            <w:szCs w:val="23"/>
          </w:rPr>
          <w:t>subsections (4)</w:t>
        </w:r>
      </w:hyperlink>
      <w:r>
        <w:rPr>
          <w:color w:val="000000"/>
          <w:sz w:val="23"/>
          <w:szCs w:val="23"/>
        </w:rPr>
        <w:t xml:space="preserve"> and </w:t>
      </w:r>
      <w:hyperlink w:anchor="id36efa138_c002_43f9_a5b7_65e8ea8217" w:history="1">
        <w:r>
          <w:rPr>
            <w:color w:val="000000"/>
            <w:sz w:val="23"/>
            <w:szCs w:val="23"/>
          </w:rPr>
          <w:t>(5)</w:t>
        </w:r>
      </w:hyperlink>
      <w:r>
        <w:rPr>
          <w:color w:val="000000"/>
          <w:sz w:val="23"/>
          <w:szCs w:val="23"/>
        </w:rPr>
        <w:t>,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481"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481"/>
    </w:p>
    <w:p>
      <w:pPr>
        <w:keepLines/>
        <w:tabs>
          <w:tab w:val="center" w:pos="1191"/>
          <w:tab w:val="left" w:pos="1588"/>
        </w:tabs>
        <w:autoSpaceDE w:val="0"/>
        <w:autoSpaceDN w:val="0"/>
        <w:adjustRightInd w:val="0"/>
        <w:spacing w:before="120"/>
        <w:ind w:left="1588" w:hanging="794"/>
        <w:rPr>
          <w:color w:val="000000"/>
          <w:sz w:val="23"/>
          <w:szCs w:val="23"/>
        </w:rPr>
      </w:pPr>
      <w:bookmarkStart w:id="482"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4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483" w:name="_Toc176259340"/>
      <w:r>
        <w:rPr>
          <w:rStyle w:val="CharSectno"/>
        </w:rPr>
        <w:t>30I</w:t>
      </w:r>
      <w:r>
        <w:t>.</w:t>
      </w:r>
      <w:r>
        <w:tab/>
        <w:t>Consumer reference group</w:t>
      </w:r>
      <w:bookmarkEnd w:id="483"/>
    </w:p>
    <w:p>
      <w:pPr>
        <w:keepLines/>
        <w:tabs>
          <w:tab w:val="center" w:pos="1191"/>
          <w:tab w:val="left" w:pos="1588"/>
        </w:tabs>
        <w:autoSpaceDE w:val="0"/>
        <w:autoSpaceDN w:val="0"/>
        <w:adjustRightInd w:val="0"/>
        <w:spacing w:before="120"/>
        <w:ind w:left="1588" w:hanging="794"/>
        <w:rPr>
          <w:color w:val="000000"/>
          <w:sz w:val="23"/>
          <w:szCs w:val="23"/>
        </w:rPr>
      </w:pPr>
      <w:bookmarkStart w:id="484" w:name="id7c8202bb_c300_409e_80bc_5c69e8dde5"/>
      <w:r>
        <w:rPr>
          <w:color w:val="000000"/>
          <w:sz w:val="23"/>
          <w:szCs w:val="23"/>
        </w:rPr>
        <w:tab/>
        <w:t>(1)</w:t>
      </w:r>
      <w:r>
        <w:rPr>
          <w:color w:val="000000"/>
          <w:sz w:val="23"/>
          <w:szCs w:val="23"/>
        </w:rPr>
        <w:tab/>
        <w:t>A consumer reference group for making a rate of return instrument—</w:t>
      </w:r>
      <w:bookmarkEnd w:id="484"/>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485" w:name="idaffe0aac_73d3_4f1e_abe4_201e1caac3"/>
      <w:r>
        <w:rPr>
          <w:sz w:val="23"/>
        </w:rPr>
        <w:lastRenderedPageBreak/>
        <w:tab/>
        <w:t>(b)</w:t>
      </w:r>
      <w:r>
        <w:rPr>
          <w:sz w:val="23"/>
        </w:rPr>
        <w:tab/>
        <w:t>may carry out its activities, including giving advice or recommendations to the AER about the instrument, in the way it considers appropriate.</w:t>
      </w:r>
      <w:bookmarkEnd w:id="4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affe0aac_73d3_4f1e_abe4_201e1caac3" w:history="1">
        <w:r>
          <w:rPr>
            <w:color w:val="000000"/>
            <w:sz w:val="23"/>
            <w:szCs w:val="23"/>
          </w:rPr>
          <w:t>subsection (1)(b)</w:t>
        </w:r>
      </w:hyperlink>
      <w:r>
        <w:rPr>
          <w:color w:val="000000"/>
          <w:sz w:val="23"/>
          <w:szCs w:val="23"/>
        </w:rPr>
        <w:t>,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486" w:name="_Toc176259341"/>
      <w:r>
        <w:rPr>
          <w:rStyle w:val="CharSectno"/>
        </w:rPr>
        <w:t>30J</w:t>
      </w:r>
      <w:r>
        <w:t>.</w:t>
      </w:r>
      <w:r>
        <w:tab/>
        <w:t>Publication of draft instrument and other information</w:t>
      </w:r>
      <w:bookmarkEnd w:id="4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487" w:name="_Toc176259342"/>
      <w:r>
        <w:rPr>
          <w:rStyle w:val="CharSectno"/>
        </w:rPr>
        <w:t>30K</w:t>
      </w:r>
      <w:r>
        <w:t>.</w:t>
      </w:r>
      <w:r>
        <w:tab/>
        <w:t>Report about draft instrument by independent panel</w:t>
      </w:r>
      <w:bookmarkEnd w:id="4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488" w:name="_Toc176259343"/>
      <w:r>
        <w:rPr>
          <w:rStyle w:val="CharSectno"/>
        </w:rPr>
        <w:t>30L</w:t>
      </w:r>
      <w:r>
        <w:t>.</w:t>
      </w:r>
      <w:r>
        <w:tab/>
        <w:t>Publication of explanatory information</w:t>
      </w:r>
      <w:bookmarkEnd w:id="488"/>
    </w:p>
    <w:p>
      <w:pPr>
        <w:keepNext/>
        <w:keepLines/>
        <w:autoSpaceDE w:val="0"/>
        <w:autoSpaceDN w:val="0"/>
        <w:adjustRightInd w:val="0"/>
        <w:spacing w:before="120"/>
        <w:ind w:left="1588"/>
        <w:rPr>
          <w:color w:val="000000"/>
          <w:sz w:val="23"/>
          <w:szCs w:val="23"/>
        </w:rPr>
      </w:pPr>
      <w:r>
        <w:rPr>
          <w:color w:val="000000"/>
          <w:sz w:val="23"/>
          <w:szCs w:val="23"/>
        </w:rPr>
        <w:t xml:space="preserve">The AER must publish explanatory information for a rate of return instrument on its website when the instrument is published under </w:t>
      </w:r>
      <w:hyperlink w:anchor="idc8fe1e2f_9f92_4006_b0ab_3b84eb5628" w:history="1">
        <w:r>
          <w:rPr>
            <w:color w:val="000000"/>
            <w:sz w:val="23"/>
            <w:szCs w:val="23"/>
          </w:rPr>
          <w:t>section 30N</w:t>
        </w:r>
      </w:hyperlink>
      <w:r>
        <w:rPr>
          <w:color w:val="000000"/>
          <w:sz w:val="23"/>
          <w:szCs w:val="23"/>
        </w:rPr>
        <w:t>.</w:t>
      </w:r>
    </w:p>
    <w:p>
      <w:pPr>
        <w:pStyle w:val="Footnotesection"/>
      </w:pPr>
      <w:r>
        <w:tab/>
        <w:t>[Section 30L inserted: see SA Act No. 33 of 2018 s. 15 and WA Gazette 5 Apr 2019 p. 1007.]</w:t>
      </w:r>
    </w:p>
    <w:p>
      <w:pPr>
        <w:pStyle w:val="Heading5"/>
        <w:rPr>
          <w:b w:val="0"/>
        </w:rPr>
      </w:pPr>
      <w:bookmarkStart w:id="489" w:name="_Toc176259344"/>
      <w:r>
        <w:rPr>
          <w:rStyle w:val="CharSectno"/>
        </w:rPr>
        <w:t>30M</w:t>
      </w:r>
      <w:r>
        <w:t>.</w:t>
      </w:r>
      <w:r>
        <w:tab/>
        <w:t>Failure to comply does not affect validity</w:t>
      </w:r>
      <w:bookmarkEnd w:id="4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490" w:name="_Toc175836385"/>
      <w:bookmarkStart w:id="491" w:name="_Toc175837497"/>
      <w:bookmarkStart w:id="492" w:name="_Toc175842205"/>
      <w:bookmarkStart w:id="493" w:name="_Toc175913808"/>
      <w:bookmarkStart w:id="494" w:name="_Toc175914612"/>
      <w:bookmarkStart w:id="495" w:name="_Toc175922503"/>
      <w:bookmarkStart w:id="496" w:name="_Toc176256807"/>
      <w:bookmarkStart w:id="497" w:name="_Toc176259345"/>
      <w:r>
        <w:t>Subdivision 4—Publication, review and other matters</w:t>
      </w:r>
      <w:bookmarkEnd w:id="490"/>
      <w:bookmarkEnd w:id="491"/>
      <w:bookmarkEnd w:id="492"/>
      <w:bookmarkEnd w:id="493"/>
      <w:bookmarkEnd w:id="494"/>
      <w:bookmarkEnd w:id="495"/>
      <w:bookmarkEnd w:id="496"/>
      <w:bookmarkEnd w:id="497"/>
    </w:p>
    <w:p>
      <w:pPr>
        <w:pStyle w:val="Footnoteheading"/>
      </w:pPr>
      <w:r>
        <w:tab/>
        <w:t>[Heading inserted: see SA Act No. 33 of 2018 s. 15 and WA Gazette 5 Apr 2019 p. 1007.]</w:t>
      </w:r>
    </w:p>
    <w:p>
      <w:pPr>
        <w:pStyle w:val="Heading5"/>
        <w:rPr>
          <w:b w:val="0"/>
        </w:rPr>
      </w:pPr>
      <w:bookmarkStart w:id="498" w:name="_Toc176259346"/>
      <w:r>
        <w:rPr>
          <w:rStyle w:val="CharSectno"/>
        </w:rPr>
        <w:t>30N</w:t>
      </w:r>
      <w:r>
        <w:t>.</w:t>
      </w:r>
      <w:r>
        <w:tab/>
        <w:t>Publication of rate of return instrument</w:t>
      </w:r>
      <w:bookmarkEnd w:id="498"/>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 xml:space="preserve">See </w:t>
      </w:r>
      <w:hyperlink w:anchor="id41250aee_635f_4b12_97f6_68ee866bd3" w:history="1">
        <w:r>
          <w:rPr>
            <w:color w:val="000000"/>
            <w:sz w:val="20"/>
          </w:rPr>
          <w:t>section 30L</w:t>
        </w:r>
      </w:hyperlink>
      <w:r>
        <w:rPr>
          <w:color w:val="000000"/>
          <w:sz w:val="20"/>
        </w:rPr>
        <w:t xml:space="preserve">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499" w:name="_Toc176259347"/>
      <w:r>
        <w:rPr>
          <w:rStyle w:val="CharSectno"/>
        </w:rPr>
        <w:lastRenderedPageBreak/>
        <w:t>30O</w:t>
      </w:r>
      <w:r>
        <w:t>.</w:t>
      </w:r>
      <w:r>
        <w:tab/>
        <w:t>Commencement and duration of instrument</w:t>
      </w:r>
      <w:bookmarkEnd w:id="499"/>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remains in force until the end of the day it is replaced under </w:t>
      </w:r>
      <w:hyperlink w:anchor="id23795abd_ecc3_45c6_87a8_ac301c01c7" w:history="1">
        <w:r>
          <w:rPr>
            <w:sz w:val="23"/>
          </w:rPr>
          <w:t>section 30P</w:t>
        </w:r>
      </w:hyperlink>
      <w:r>
        <w:rPr>
          <w:sz w:val="23"/>
        </w:rPr>
        <w:t>.</w:t>
      </w:r>
    </w:p>
    <w:p>
      <w:pPr>
        <w:pStyle w:val="Footnotesection"/>
      </w:pPr>
      <w:r>
        <w:tab/>
        <w:t>[Section 30O inserted: see SA Act No. 33 of 2018 s. 15 and WA Gazette 5 Apr 2019 p. 1007.]</w:t>
      </w:r>
    </w:p>
    <w:p>
      <w:pPr>
        <w:pStyle w:val="Heading5"/>
        <w:rPr>
          <w:b w:val="0"/>
        </w:rPr>
      </w:pPr>
      <w:bookmarkStart w:id="500" w:name="_Toc176259348"/>
      <w:r>
        <w:rPr>
          <w:rStyle w:val="CharSectno"/>
        </w:rPr>
        <w:t>30P</w:t>
      </w:r>
      <w:r>
        <w:t>.</w:t>
      </w:r>
      <w:r>
        <w:tab/>
        <w:t>Review and replacement of instrument</w:t>
      </w:r>
      <w:bookmarkEnd w:id="5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501" w:name="ide68ac82a_69fa_49e3_8f33_05844174a6"/>
      <w:r>
        <w:rPr>
          <w:sz w:val="23"/>
        </w:rPr>
        <w:tab/>
        <w:t>(a)</w:t>
      </w:r>
      <w:r>
        <w:rPr>
          <w:sz w:val="23"/>
        </w:rPr>
        <w:tab/>
        <w:t>the fourth anniversary of the day the reviewed instrument was published; or</w:t>
      </w:r>
      <w:bookmarkEnd w:id="501"/>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if the day mentioned in </w:t>
      </w:r>
      <w:hyperlink w:anchor="ide68ac82a_69fa_49e3_8f33_05844174a6" w:history="1">
        <w:r>
          <w:rPr>
            <w:sz w:val="23"/>
          </w:rPr>
          <w:t>paragraph (a)</w:t>
        </w:r>
      </w:hyperlink>
      <w:r>
        <w:rPr>
          <w:sz w:val="23"/>
        </w:rPr>
        <w:t xml:space="preserve">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502" w:name="_Toc176259349"/>
      <w:r>
        <w:rPr>
          <w:rStyle w:val="CharSectno"/>
        </w:rPr>
        <w:t>30Q</w:t>
      </w:r>
      <w:r>
        <w:t>.</w:t>
      </w:r>
      <w:r>
        <w:tab/>
        <w:t>Application of instrument</w:t>
      </w:r>
      <w:bookmarkEnd w:id="5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503" w:name="_Toc175836390"/>
      <w:bookmarkStart w:id="504" w:name="_Toc175837502"/>
      <w:bookmarkStart w:id="505" w:name="_Toc175842210"/>
      <w:bookmarkStart w:id="506" w:name="_Toc175913813"/>
      <w:bookmarkStart w:id="507" w:name="_Toc175914617"/>
      <w:bookmarkStart w:id="508" w:name="_Toc175922508"/>
      <w:bookmarkStart w:id="509" w:name="_Toc176256812"/>
      <w:bookmarkStart w:id="510" w:name="_Toc176259350"/>
      <w:r>
        <w:t>Subdivision 5—Confidentiality of information</w:t>
      </w:r>
      <w:bookmarkEnd w:id="503"/>
      <w:bookmarkEnd w:id="504"/>
      <w:bookmarkEnd w:id="505"/>
      <w:bookmarkEnd w:id="506"/>
      <w:bookmarkEnd w:id="507"/>
      <w:bookmarkEnd w:id="508"/>
      <w:bookmarkEnd w:id="509"/>
      <w:bookmarkEnd w:id="510"/>
    </w:p>
    <w:p>
      <w:pPr>
        <w:pStyle w:val="Footnoteheading"/>
        <w:keepNext/>
      </w:pPr>
      <w:r>
        <w:tab/>
        <w:t>[Heading inserted: see SA Act No. 33 of 2018 s. 15 and WA Gazette 5 Apr 2019 p. 1007.]</w:t>
      </w:r>
    </w:p>
    <w:p>
      <w:pPr>
        <w:pStyle w:val="Heading5"/>
        <w:rPr>
          <w:b w:val="0"/>
        </w:rPr>
      </w:pPr>
      <w:bookmarkStart w:id="511" w:name="_Toc176259351"/>
      <w:r>
        <w:rPr>
          <w:rStyle w:val="CharSectno"/>
        </w:rPr>
        <w:t>30S</w:t>
      </w:r>
      <w:r>
        <w:t>.</w:t>
      </w:r>
      <w:r>
        <w:tab/>
        <w:t>Confidentiality</w:t>
      </w:r>
      <w:bookmarkEnd w:id="511"/>
    </w:p>
    <w:p>
      <w:pPr>
        <w:keepLines/>
        <w:tabs>
          <w:tab w:val="center" w:pos="1191"/>
          <w:tab w:val="left" w:pos="1588"/>
        </w:tabs>
        <w:autoSpaceDE w:val="0"/>
        <w:autoSpaceDN w:val="0"/>
        <w:adjustRightInd w:val="0"/>
        <w:spacing w:before="120"/>
        <w:ind w:left="1588" w:hanging="794"/>
        <w:rPr>
          <w:color w:val="000000"/>
          <w:sz w:val="23"/>
          <w:szCs w:val="23"/>
        </w:rPr>
      </w:pPr>
      <w:bookmarkStart w:id="512"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512"/>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lastRenderedPageBreak/>
        <w:tab/>
        <w:t>(B)</w:t>
      </w:r>
      <w:r>
        <w:rPr>
          <w:color w:val="000000"/>
          <w:sz w:val="23"/>
          <w:szCs w:val="23"/>
        </w:rPr>
        <w:tab/>
        <w:t>may be relevant to the AER’s consideration under section 329 about whether the public benefit in disclosing the information outweighs the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w:t>
      </w:r>
      <w:hyperlink w:anchor="id7b991313_de91_485f_867a_676e631da1" w:history="1">
        <w:r>
          <w:rPr>
            <w:color w:val="000000"/>
            <w:sz w:val="23"/>
            <w:szCs w:val="23"/>
          </w:rPr>
          <w:t>subsection (1)</w:t>
        </w:r>
      </w:hyperlink>
      <w:r>
        <w:rPr>
          <w:color w:val="000000"/>
          <w:sz w:val="23"/>
          <w:szCs w:val="23"/>
        </w:rPr>
        <w:t xml:space="preserve">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In acting under </w:t>
      </w:r>
      <w:hyperlink w:anchor="id7b991313_de91_485f_867a_676e631da1" w:history="1">
        <w:r>
          <w:rPr>
            <w:color w:val="000000"/>
            <w:sz w:val="23"/>
            <w:szCs w:val="23"/>
          </w:rPr>
          <w:t>subsection (1)</w:t>
        </w:r>
      </w:hyperlink>
      <w:r>
        <w:rPr>
          <w:color w:val="000000"/>
          <w:sz w:val="23"/>
          <w:szCs w:val="23"/>
        </w:rPr>
        <w:t>,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513" w:name="_Toc176259352"/>
      <w:r>
        <w:rPr>
          <w:rStyle w:val="CharSectno"/>
        </w:rPr>
        <w:t>30T</w:t>
      </w:r>
      <w:r>
        <w:t>.</w:t>
      </w:r>
      <w:r>
        <w:tab/>
        <w:t>Disclosure of information given in confidence</w:t>
      </w:r>
      <w:bookmarkEnd w:id="5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514" w:name="_Toc175836393"/>
      <w:bookmarkStart w:id="515" w:name="_Toc175837505"/>
      <w:bookmarkStart w:id="516" w:name="_Toc175842213"/>
      <w:bookmarkStart w:id="517" w:name="_Toc175913816"/>
      <w:bookmarkStart w:id="518" w:name="_Toc175914620"/>
      <w:bookmarkStart w:id="519" w:name="_Toc175922511"/>
      <w:bookmarkStart w:id="520" w:name="_Toc176256815"/>
      <w:bookmarkStart w:id="521" w:name="_Toc176259353"/>
      <w:r>
        <w:rPr>
          <w:szCs w:val="28"/>
        </w:rPr>
        <w:t>Division 2 — Search warrants</w:t>
      </w:r>
      <w:bookmarkEnd w:id="514"/>
      <w:bookmarkEnd w:id="515"/>
      <w:bookmarkEnd w:id="516"/>
      <w:bookmarkEnd w:id="517"/>
      <w:bookmarkEnd w:id="518"/>
      <w:bookmarkEnd w:id="519"/>
      <w:bookmarkEnd w:id="520"/>
      <w:bookmarkEnd w:id="521"/>
    </w:p>
    <w:p>
      <w:pPr>
        <w:pStyle w:val="Heading5"/>
      </w:pPr>
      <w:bookmarkStart w:id="522" w:name="_Toc176259354"/>
      <w:r>
        <w:rPr>
          <w:rStyle w:val="CharSectno"/>
        </w:rPr>
        <w:t>31</w:t>
      </w:r>
      <w:r>
        <w:t>.</w:t>
      </w:r>
      <w:r>
        <w:tab/>
        <w:t>Definitions</w:t>
      </w:r>
      <w:bookmarkEnd w:id="52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523" w:name="_Toc176259355"/>
      <w:r>
        <w:rPr>
          <w:rStyle w:val="CharSectno"/>
        </w:rPr>
        <w:t>32</w:t>
      </w:r>
      <w:r>
        <w:t>.</w:t>
      </w:r>
      <w:r>
        <w:tab/>
        <w:t>Authorised person</w:t>
      </w:r>
      <w:bookmarkEnd w:id="5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524" w:name="_Toc176259356"/>
      <w:r>
        <w:rPr>
          <w:rStyle w:val="CharSectno"/>
        </w:rPr>
        <w:t>33</w:t>
      </w:r>
      <w:r>
        <w:t>.</w:t>
      </w:r>
      <w:r>
        <w:tab/>
        <w:t>Identity cards</w:t>
      </w:r>
      <w:bookmarkEnd w:id="5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525" w:name="_Toc176259357"/>
      <w:r>
        <w:rPr>
          <w:rStyle w:val="CharSectno"/>
        </w:rPr>
        <w:t>34</w:t>
      </w:r>
      <w:r>
        <w:t>.</w:t>
      </w:r>
      <w:r>
        <w:tab/>
        <w:t>Return of identity cards</w:t>
      </w:r>
      <w:bookmarkEnd w:id="525"/>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120"/>
        <w:ind w:left="1588"/>
        <w:rPr>
          <w:color w:val="000000"/>
          <w:sz w:val="23"/>
          <w:szCs w:val="23"/>
        </w:rPr>
      </w:pPr>
      <w:r>
        <w:rPr>
          <w:color w:val="000000"/>
          <w:sz w:val="23"/>
          <w:szCs w:val="23"/>
        </w:rPr>
        <w:t>Maximum penalty: $620.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r>
        <w:tab/>
        <w:t>[Section 34 amended: see SA Act No. 37 of 2020 s. 50 and WA Gazette 4 Sep 2024 p. 2215.]</w:t>
      </w:r>
    </w:p>
    <w:p>
      <w:pPr>
        <w:pStyle w:val="Heading5"/>
      </w:pPr>
      <w:bookmarkStart w:id="526" w:name="_Toc176259358"/>
      <w:r>
        <w:rPr>
          <w:rStyle w:val="CharSectno"/>
        </w:rPr>
        <w:t>35</w:t>
      </w:r>
      <w:r>
        <w:t>.</w:t>
      </w:r>
      <w:r>
        <w:tab/>
        <w:t>Search warrant</w:t>
      </w:r>
      <w:bookmarkEnd w:id="5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527" w:name="_Toc176259359"/>
      <w:r>
        <w:rPr>
          <w:rStyle w:val="CharSectno"/>
        </w:rPr>
        <w:t>36</w:t>
      </w:r>
      <w:r>
        <w:t>.</w:t>
      </w:r>
      <w:r>
        <w:tab/>
        <w:t>Announcement of entry and details of warrant to be given to occupier or other person at premises</w:t>
      </w:r>
      <w:bookmarkEnd w:id="5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528" w:name="_Toc176259360"/>
      <w:r>
        <w:rPr>
          <w:rStyle w:val="CharSectno"/>
        </w:rPr>
        <w:t>37</w:t>
      </w:r>
      <w:r>
        <w:t>.</w:t>
      </w:r>
      <w:r>
        <w:tab/>
        <w:t>Immediate entry permitted in certain cases</w:t>
      </w:r>
      <w:bookmarkEnd w:id="528"/>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that the effective execution of the search warrant is not frustrated.</w:t>
      </w:r>
    </w:p>
    <w:p>
      <w:pPr>
        <w:pStyle w:val="Heading5"/>
      </w:pPr>
      <w:bookmarkStart w:id="529" w:name="_Toc176259361"/>
      <w:r>
        <w:rPr>
          <w:rStyle w:val="CharSectno"/>
        </w:rPr>
        <w:t>38</w:t>
      </w:r>
      <w:r>
        <w:t>.</w:t>
      </w:r>
      <w:r>
        <w:tab/>
        <w:t>Copies of seized documents</w:t>
      </w:r>
      <w:bookmarkEnd w:id="5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530" w:name="_Toc176259362"/>
      <w:r>
        <w:rPr>
          <w:rStyle w:val="CharSectno"/>
        </w:rPr>
        <w:t>39</w:t>
      </w:r>
      <w:r>
        <w:t>.</w:t>
      </w:r>
      <w:r>
        <w:tab/>
        <w:t>Retention and return of seized documents or things</w:t>
      </w:r>
      <w:bookmarkEnd w:id="53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531" w:name="_Toc176259363"/>
      <w:r>
        <w:rPr>
          <w:rStyle w:val="CharSectno"/>
        </w:rPr>
        <w:lastRenderedPageBreak/>
        <w:t>40</w:t>
      </w:r>
      <w:r>
        <w:t>.</w:t>
      </w:r>
      <w:r>
        <w:tab/>
        <w:t>Extension of period of retention of documents or things seized</w:t>
      </w:r>
      <w:bookmarkEnd w:id="5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532" w:name="_Toc176259364"/>
      <w:r>
        <w:rPr>
          <w:rStyle w:val="CharSectno"/>
        </w:rPr>
        <w:t>41</w:t>
      </w:r>
      <w:r>
        <w:t>.</w:t>
      </w:r>
      <w:r>
        <w:tab/>
        <w:t>Obstruction of persons authorised to enter</w:t>
      </w:r>
      <w:bookmarkEnd w:id="532"/>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Next/>
        <w:keepLines/>
        <w:autoSpaceDE w:val="0"/>
        <w:autoSpaceDN w:val="0"/>
        <w:adjustRightInd w:val="0"/>
        <w:spacing w:before="120"/>
        <w:ind w:left="1588"/>
        <w:rPr>
          <w:color w:val="000000"/>
          <w:sz w:val="23"/>
          <w:szCs w:val="23"/>
        </w:rPr>
      </w:pPr>
      <w:r>
        <w:rPr>
          <w:color w:val="000000"/>
          <w:sz w:val="23"/>
          <w:szCs w:val="23"/>
        </w:rPr>
        <w:t>Maximum penalty: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person—$3 400;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corporate—$17 000.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bookmarkStart w:id="533" w:name="_Toc175836405"/>
      <w:bookmarkStart w:id="534" w:name="_Toc175837517"/>
      <w:bookmarkStart w:id="535" w:name="_Toc175842225"/>
      <w:r>
        <w:tab/>
        <w:t>[Section 41 amended: see SA Act No. 37 of 2020 s. 51 and WA Gazette 4 Sep 2024 p. 2215.]</w:t>
      </w:r>
    </w:p>
    <w:p>
      <w:pPr>
        <w:pStyle w:val="Heading4"/>
      </w:pPr>
      <w:bookmarkStart w:id="536" w:name="_Toc175913828"/>
      <w:bookmarkStart w:id="537" w:name="_Toc175914632"/>
      <w:bookmarkStart w:id="538" w:name="_Toc175922523"/>
      <w:bookmarkStart w:id="539" w:name="_Toc176256827"/>
      <w:bookmarkStart w:id="540" w:name="_Toc176259365"/>
      <w:r>
        <w:t>Division 3 — General information gathering powers</w:t>
      </w:r>
      <w:bookmarkEnd w:id="533"/>
      <w:bookmarkEnd w:id="534"/>
      <w:bookmarkEnd w:id="535"/>
      <w:bookmarkEnd w:id="536"/>
      <w:bookmarkEnd w:id="537"/>
      <w:bookmarkEnd w:id="538"/>
      <w:bookmarkEnd w:id="539"/>
      <w:bookmarkEnd w:id="540"/>
    </w:p>
    <w:p>
      <w:pPr>
        <w:pStyle w:val="Heading5"/>
      </w:pPr>
      <w:bookmarkStart w:id="541" w:name="_Toc176259366"/>
      <w:r>
        <w:rPr>
          <w:rStyle w:val="CharSectno"/>
        </w:rPr>
        <w:t>42</w:t>
      </w:r>
      <w:r>
        <w:t>.</w:t>
      </w:r>
      <w:r>
        <w:tab/>
        <w:t>Power to obtain information and documents in relation to performance and exercise of functions and powers</w:t>
      </w:r>
      <w:bookmarkEnd w:id="5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producing a document or giving evidence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relevant notice may require the person to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appear before the AER, or before a member of the staff assisting the AER who is an SES employee or an acting SES employee and who is specified in the notice, at a time and place specified in the notice, to provide any information or to give any evidence of the kind referred to in subsection (1), either orally or in writing, and to produce any documents of the kind referred to in subsection (1).</w:t>
      </w:r>
    </w:p>
    <w:p>
      <w:pPr>
        <w:keepNext/>
        <w:keepLines/>
        <w:tabs>
          <w:tab w:val="center" w:pos="1191"/>
          <w:tab w:val="left" w:pos="1588"/>
        </w:tabs>
        <w:autoSpaceDE w:val="0"/>
        <w:autoSpaceDN w:val="0"/>
        <w:adjustRightInd w:val="0"/>
        <w:spacing w:before="120"/>
        <w:ind w:left="1588" w:hanging="794"/>
        <w:rPr>
          <w:sz w:val="23"/>
          <w:szCs w:val="23"/>
        </w:rPr>
      </w:pPr>
      <w:r>
        <w:rPr>
          <w:sz w:val="23"/>
          <w:szCs w:val="23"/>
        </w:rPr>
        <w:tab/>
        <w:t>(2A)</w:t>
      </w:r>
      <w:r>
        <w:rPr>
          <w:sz w:val="23"/>
          <w:szCs w:val="23"/>
        </w:rPr>
        <w:tab/>
        <w:t xml:space="preserve">When subsection (2)(c) is read as if a reference in it to the AER were a reference to the ERA, the subsection is to be read as if “a </w:t>
      </w:r>
      <w:r>
        <w:rPr>
          <w:color w:val="000000"/>
          <w:sz w:val="23"/>
          <w:szCs w:val="23"/>
        </w:rPr>
        <w:t>member</w:t>
      </w:r>
      <w:r>
        <w:rPr>
          <w:sz w:val="23"/>
          <w:szCs w:val="23"/>
        </w:rPr>
        <w:t xml:space="preserve"> of the staff assisting the AER who is an SES employee or an acting SES employee and” had been deleted and the following had been inserted instead:</w:t>
      </w:r>
    </w:p>
    <w:p>
      <w:pPr>
        <w:pStyle w:val="BlankOpen"/>
      </w:pPr>
    </w:p>
    <w:p>
      <w:pPr>
        <w:keepNext/>
        <w:keepLines/>
        <w:tabs>
          <w:tab w:val="center" w:pos="1191"/>
          <w:tab w:val="left" w:pos="1588"/>
        </w:tabs>
        <w:autoSpaceDE w:val="0"/>
        <w:autoSpaceDN w:val="0"/>
        <w:adjustRightInd w:val="0"/>
        <w:spacing w:before="120"/>
        <w:ind w:left="1588" w:hanging="794"/>
        <w:rPr>
          <w:sz w:val="23"/>
          <w:szCs w:val="23"/>
        </w:rPr>
      </w:pPr>
      <w:r>
        <w:rPr>
          <w:sz w:val="23"/>
          <w:szCs w:val="23"/>
        </w:rPr>
        <w:tab/>
      </w:r>
      <w:r>
        <w:rPr>
          <w:sz w:val="23"/>
          <w:szCs w:val="23"/>
        </w:rPr>
        <w:tab/>
        <w:t xml:space="preserve">a staff member as defined in the </w:t>
      </w:r>
      <w:r>
        <w:rPr>
          <w:i/>
          <w:iCs/>
          <w:sz w:val="23"/>
          <w:szCs w:val="23"/>
        </w:rPr>
        <w:t>Economic Regulation Authority Act 2003</w:t>
      </w:r>
      <w:r>
        <w:rPr>
          <w:sz w:val="23"/>
          <w:szCs w:val="23"/>
        </w:rPr>
        <w:t xml:space="preserve"> </w:t>
      </w:r>
      <w:r>
        <w:rPr>
          <w:color w:val="000000"/>
          <w:sz w:val="23"/>
          <w:szCs w:val="23"/>
        </w:rPr>
        <w:t>section</w:t>
      </w:r>
      <w:r>
        <w:rPr>
          <w:sz w:val="23"/>
          <w:szCs w:val="23"/>
        </w:rPr>
        <w:t> 3</w:t>
      </w:r>
    </w:p>
    <w:p>
      <w:pPr>
        <w:pStyle w:val="BlankClose"/>
      </w:pP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Next/>
        <w:keepLines/>
        <w:autoSpaceDE w:val="0"/>
        <w:autoSpaceDN w:val="0"/>
        <w:adjustRightInd w:val="0"/>
        <w:spacing w:before="120"/>
        <w:ind w:left="1588"/>
        <w:rPr>
          <w:color w:val="000000"/>
          <w:sz w:val="23"/>
          <w:szCs w:val="23"/>
        </w:rPr>
      </w:pPr>
      <w:r>
        <w:rPr>
          <w:color w:val="000000"/>
          <w:sz w:val="23"/>
          <w:szCs w:val="23"/>
        </w:rPr>
        <w:lastRenderedPageBreak/>
        <w:t>Maximum penalty:</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person—$6 300;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corporate—$31 500.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A person must not, when appearing under subsection (2)(c), refuse or fail to answer a question that the person is required to answer for the purpose of providing information or giving evidence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or give evidence that the person knows is false or misleading in a material particular.</w:t>
      </w:r>
    </w:p>
    <w:p>
      <w:pPr>
        <w:keepNext/>
        <w:keepLines/>
        <w:autoSpaceDE w:val="0"/>
        <w:autoSpaceDN w:val="0"/>
        <w:adjustRightInd w:val="0"/>
        <w:spacing w:before="120"/>
        <w:ind w:left="1588"/>
        <w:rPr>
          <w:color w:val="000000"/>
          <w:sz w:val="23"/>
          <w:szCs w:val="23"/>
        </w:rPr>
      </w:pPr>
      <w:r>
        <w:rPr>
          <w:color w:val="000000"/>
          <w:sz w:val="23"/>
          <w:szCs w:val="23"/>
        </w:rPr>
        <w:t>Maximum penalty: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person—$6 300;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corporate—$31 500.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(5a)</w:t>
      </w:r>
      <w:r>
        <w:rPr>
          <w:color w:val="000000"/>
          <w:sz w:val="23"/>
          <w:szCs w:val="23"/>
        </w:rPr>
        <w:tab/>
        <w:t>It is a reasonable excuse for the purposes of subsection (3a) if the person is not capable of providing the information or giving the evidence (as the case may be) to which the question relates.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or to give evidence of the kind referred to in subsection (1) to the AER, or to a person specified in a relevant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 to a person specified in a relevant notice;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or give evidence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give evidence or produce a document that would disclose the deliberations of the Cabinet or a committee of the Cabinet of the Commonwealth or of a State or a Territory.</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542" w:name="idcd66c91d_c2c0_410c_be75_00b368e692"/>
      <w:r>
        <w:rPr>
          <w:color w:val="000000"/>
          <w:sz w:val="23"/>
          <w:szCs w:val="23"/>
        </w:rPr>
        <w:tab/>
        <w:t>(9a)</w:t>
      </w:r>
      <w:r>
        <w:rPr>
          <w:color w:val="000000"/>
          <w:sz w:val="23"/>
          <w:szCs w:val="23"/>
        </w:rPr>
        <w:tab/>
        <w:t>The AER, or a person specified in a relevant notice under this section, may require evidence given under subsection (2)(c) to be given on oath or affirmation and for that purpose the AER or specified person (as the case may be) may administer the oath or affirmation.</w:t>
      </w:r>
      <w:bookmarkEnd w:id="5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(9b)</w:t>
      </w:r>
      <w:r>
        <w:rPr>
          <w:color w:val="000000"/>
          <w:sz w:val="23"/>
          <w:szCs w:val="23"/>
        </w:rPr>
        <w:tab/>
        <w:t xml:space="preserve">A person must not, without reasonable excuse, refuse or fail to be sworn or to make an affirmation under </w:t>
      </w:r>
      <w:hyperlink w:anchor="idcd66c91d_c2c0_410c_be75_00b368e692" w:history="1">
        <w:r>
          <w:rPr>
            <w:color w:val="000000"/>
            <w:sz w:val="23"/>
            <w:szCs w:val="23"/>
          </w:rPr>
          <w:t>subsection (9a)</w:t>
        </w:r>
      </w:hyperlink>
      <w:r>
        <w:rPr>
          <w:color w:val="000000"/>
          <w:sz w:val="23"/>
          <w:szCs w:val="23"/>
        </w:rPr>
        <w:t>.</w:t>
      </w:r>
    </w:p>
    <w:p>
      <w:pPr>
        <w:keepLines/>
        <w:autoSpaceDE w:val="0"/>
        <w:autoSpaceDN w:val="0"/>
        <w:adjustRightInd w:val="0"/>
        <w:spacing w:before="8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keepLines/>
        <w:tabs>
          <w:tab w:val="center" w:pos="1191"/>
          <w:tab w:val="left" w:pos="1588"/>
        </w:tabs>
        <w:autoSpaceDE w:val="0"/>
        <w:autoSpaceDN w:val="0"/>
        <w:adjustRightInd w:val="0"/>
        <w:spacing w:before="120"/>
        <w:ind w:left="1588" w:hanging="794"/>
        <w:rPr>
          <w:color w:val="000000"/>
          <w:sz w:val="23"/>
          <w:szCs w:val="23"/>
        </w:rPr>
      </w:pPr>
      <w:bookmarkStart w:id="543" w:name="id6559372e_11c5_4004_8a68_a7daf3c8a2"/>
      <w:bookmarkStart w:id="544" w:name="_Toc175836407"/>
      <w:bookmarkStart w:id="545" w:name="_Toc175837519"/>
      <w:bookmarkStart w:id="546" w:name="_Toc175842227"/>
      <w:r>
        <w:rPr>
          <w:color w:val="000000"/>
          <w:sz w:val="23"/>
          <w:szCs w:val="23"/>
        </w:rPr>
        <w:lastRenderedPageBreak/>
        <w:tab/>
        <w:t>(11)</w:t>
      </w:r>
      <w:r>
        <w:rPr>
          <w:color w:val="000000"/>
          <w:sz w:val="23"/>
          <w:szCs w:val="23"/>
        </w:rPr>
        <w:tab/>
        <w:t>Subject to the preceding subsections, the Court may, on application by the AER on behalf of the Commonwealth, if satisfied that a person has breached subsection (3) or (3a), make an order that the person take such action as the Court requires for remedying the breach.</w:t>
      </w:r>
      <w:bookmarkEnd w:id="543"/>
    </w:p>
    <w:p>
      <w:pPr>
        <w:keepLines/>
        <w:tabs>
          <w:tab w:val="center" w:pos="1191"/>
          <w:tab w:val="left" w:pos="1588"/>
        </w:tabs>
        <w:autoSpaceDE w:val="0"/>
        <w:autoSpaceDN w:val="0"/>
        <w:adjustRightInd w:val="0"/>
        <w:spacing w:before="120"/>
        <w:ind w:left="1588" w:hanging="794"/>
        <w:rPr>
          <w:sz w:val="23"/>
        </w:rPr>
      </w:pPr>
      <w:r>
        <w:rPr>
          <w:sz w:val="23"/>
        </w:rPr>
        <w:tab/>
        <w:t>(11A)</w:t>
      </w:r>
      <w:r>
        <w:rPr>
          <w:sz w:val="23"/>
        </w:rPr>
        <w:tab/>
        <w:t>When subsection (11) is read as if a reference in it to the AER were a reference to the ERA, the subsection is to be read as if “on behalf of the Commonwealth” had been deleted.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(12)</w:t>
      </w:r>
      <w:r>
        <w:rPr>
          <w:color w:val="000000"/>
          <w:sz w:val="23"/>
          <w:szCs w:val="23"/>
        </w:rPr>
        <w:tab/>
        <w:t xml:space="preserve">To avoid doubt, the Court may act under </w:t>
      </w:r>
      <w:hyperlink w:anchor="id6559372e_11c5_4004_8a68_a7daf3c8a2" w:history="1">
        <w:r>
          <w:rPr>
            <w:color w:val="000000"/>
            <w:sz w:val="23"/>
            <w:szCs w:val="23"/>
          </w:rPr>
          <w:t>subsection (11)</w:t>
        </w:r>
      </w:hyperlink>
      <w:r>
        <w:rPr>
          <w:color w:val="000000"/>
          <w:sz w:val="23"/>
          <w:szCs w:val="23"/>
        </w:rPr>
        <w:t xml:space="preserve"> if satisfied on the balance of probabilities that a person is in breach of subsection (3) or (3a) (as the case may be).</w:t>
      </w:r>
    </w:p>
    <w:p>
      <w:pPr>
        <w:keepLines/>
        <w:tabs>
          <w:tab w:val="center" w:pos="1191"/>
          <w:tab w:val="left" w:pos="1588"/>
        </w:tabs>
        <w:autoSpaceDE w:val="0"/>
        <w:autoSpaceDN w:val="0"/>
        <w:adjustRightInd w:val="0"/>
        <w:spacing w:before="120"/>
        <w:ind w:left="1588" w:hanging="794"/>
        <w:rPr>
          <w:color w:val="000000"/>
          <w:sz w:val="23"/>
          <w:szCs w:val="23"/>
        </w:rPr>
      </w:pPr>
      <w:bookmarkStart w:id="547" w:name="id6abf38cd_49dd_456b_a02e_e24f8e2dda"/>
      <w:r>
        <w:rPr>
          <w:color w:val="000000"/>
          <w:sz w:val="23"/>
          <w:szCs w:val="23"/>
        </w:rPr>
        <w:tab/>
        <w:t>(13)</w:t>
      </w:r>
      <w:r>
        <w:rPr>
          <w:color w:val="000000"/>
          <w:sz w:val="23"/>
          <w:szCs w:val="23"/>
        </w:rPr>
        <w:tab/>
        <w:t>The AER must not exercise, or continue to exercise, a power under subsection (1) in relation to a matter (and any notice under that subsection will cease to have effect)—</w:t>
      </w:r>
      <w:bookmarkEnd w:id="54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after the AER has commenced proceedings in relation to the matter, other than proceedings for an injunction (whether interim or final);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proceedings for a final injunction have been commenced by the AER—after the close of pleadings in those proceedings.</w:t>
      </w:r>
    </w:p>
    <w:p>
      <w:pPr>
        <w:keepLines/>
        <w:tabs>
          <w:tab w:val="center" w:pos="1191"/>
          <w:tab w:val="left" w:pos="1588"/>
        </w:tabs>
        <w:autoSpaceDE w:val="0"/>
        <w:autoSpaceDN w:val="0"/>
        <w:adjustRightInd w:val="0"/>
        <w:spacing w:before="120"/>
        <w:ind w:left="1588" w:hanging="794"/>
        <w:rPr>
          <w:color w:val="000000"/>
          <w:sz w:val="23"/>
          <w:szCs w:val="23"/>
        </w:rPr>
      </w:pPr>
      <w:bookmarkStart w:id="548" w:name="id8582533c_9fe6_468b_a28b_015dc599df"/>
      <w:r>
        <w:rPr>
          <w:color w:val="000000"/>
          <w:sz w:val="23"/>
          <w:szCs w:val="23"/>
        </w:rPr>
        <w:tab/>
        <w:t>(14)</w:t>
      </w:r>
      <w:r>
        <w:rPr>
          <w:color w:val="000000"/>
          <w:sz w:val="23"/>
          <w:szCs w:val="23"/>
        </w:rPr>
        <w:tab/>
      </w:r>
      <w:hyperlink w:anchor="id6abf38cd_49dd_456b_a02e_e24f8e2dda" w:history="1">
        <w:r>
          <w:rPr>
            <w:color w:val="000000"/>
            <w:sz w:val="23"/>
            <w:szCs w:val="23"/>
          </w:rPr>
          <w:t>Subsection (13)</w:t>
        </w:r>
      </w:hyperlink>
      <w:r>
        <w:rPr>
          <w:color w:val="000000"/>
          <w:sz w:val="23"/>
          <w:szCs w:val="23"/>
        </w:rPr>
        <w:t xml:space="preserve"> does not prevent the AER from—</w:t>
      </w:r>
      <w:bookmarkEnd w:id="54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using any information, evidence or document acquired under this section in any proceedings if the information, evidence or document has been obtained before the commencement of those proceedings; or</w:t>
      </w:r>
    </w:p>
    <w:p>
      <w:pPr>
        <w:keepLines/>
        <w:tabs>
          <w:tab w:val="center" w:pos="1985"/>
          <w:tab w:val="left" w:pos="2382"/>
        </w:tabs>
        <w:autoSpaceDE w:val="0"/>
        <w:autoSpaceDN w:val="0"/>
        <w:adjustRightInd w:val="0"/>
        <w:spacing w:before="120"/>
        <w:ind w:left="2382" w:hanging="794"/>
        <w:rPr>
          <w:color w:val="000000"/>
          <w:sz w:val="23"/>
          <w:szCs w:val="23"/>
        </w:rPr>
      </w:pPr>
      <w:bookmarkStart w:id="549" w:name="idfed6b2b5_1f2d_4383_baa6_a986c08c09"/>
      <w:r>
        <w:rPr>
          <w:color w:val="000000"/>
          <w:sz w:val="23"/>
          <w:szCs w:val="23"/>
        </w:rPr>
        <w:tab/>
        <w:t>(b)</w:t>
      </w:r>
      <w:r>
        <w:rPr>
          <w:color w:val="000000"/>
          <w:sz w:val="23"/>
          <w:szCs w:val="23"/>
        </w:rPr>
        <w:tab/>
        <w:t>exercising a power under this section for a purpose other than for the purposes of proceedings referred to in that subsection.</w:t>
      </w:r>
      <w:bookmarkEnd w:id="5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(15)</w:t>
      </w:r>
      <w:r>
        <w:rPr>
          <w:color w:val="000000"/>
          <w:sz w:val="23"/>
          <w:szCs w:val="23"/>
        </w:rPr>
        <w:tab/>
        <w:t xml:space="preserve">Any information, evidence or document obtained under </w:t>
      </w:r>
      <w:hyperlink w:anchor="idfed6b2b5_1f2d_4383_baa6_a986c08c09" w:history="1">
        <w:r>
          <w:rPr>
            <w:color w:val="000000"/>
            <w:sz w:val="23"/>
            <w:szCs w:val="23"/>
          </w:rPr>
          <w:t>subsection (14)(b)</w:t>
        </w:r>
      </w:hyperlink>
      <w:r>
        <w:rPr>
          <w:color w:val="000000"/>
          <w:sz w:val="23"/>
          <w:szCs w:val="23"/>
        </w:rPr>
        <w:t xml:space="preserve"> may be used in any proceedings if it is found to be relevant to those proceedings.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(16)</w:t>
      </w:r>
      <w:r>
        <w:rPr>
          <w:color w:val="000000"/>
          <w:sz w:val="23"/>
          <w:szCs w:val="23"/>
        </w:rPr>
        <w:tab/>
        <w:t>The Regulations may make any other provision in relation to the form, content or service of a notice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(17)</w:t>
      </w:r>
      <w:r>
        <w:rPr>
          <w:color w:val="000000"/>
          <w:sz w:val="23"/>
          <w:szCs w:val="23"/>
        </w:rPr>
        <w:tab/>
        <w:t>An annual report for the AER must include the following information relating to the relevant reporting period for that report:</w:t>
      </w:r>
    </w:p>
    <w:p>
      <w:pPr>
        <w:keepLines/>
        <w:tabs>
          <w:tab w:val="center" w:pos="1985"/>
          <w:tab w:val="left" w:pos="2382"/>
        </w:tabs>
        <w:autoSpaceDE w:val="0"/>
        <w:autoSpaceDN w:val="0"/>
        <w:adjustRightInd w:val="0"/>
        <w:spacing w:before="120"/>
        <w:ind w:left="2382" w:hanging="794"/>
        <w:rPr>
          <w:color w:val="000000"/>
          <w:sz w:val="23"/>
          <w:szCs w:val="23"/>
        </w:rPr>
      </w:pPr>
      <w:bookmarkStart w:id="550" w:name="idd76f6667_cd6c_41ee_a598_4789c6259b"/>
      <w:r>
        <w:rPr>
          <w:color w:val="000000"/>
          <w:sz w:val="23"/>
          <w:szCs w:val="23"/>
        </w:rPr>
        <w:tab/>
        <w:t>(a)</w:t>
      </w:r>
      <w:r>
        <w:rPr>
          <w:color w:val="000000"/>
          <w:sz w:val="23"/>
          <w:szCs w:val="23"/>
        </w:rPr>
        <w:tab/>
        <w:t>the number of notices (if any) given under subsection (2)(c) during the reporting period to appear to provide information or to give evidence orally;</w:t>
      </w:r>
      <w:bookmarkEnd w:id="55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relation to a notice under </w:t>
      </w:r>
      <w:hyperlink w:anchor="idd76f6667_cd6c_41ee_a598_4789c6259b" w:history="1">
        <w:r>
          <w:rPr>
            <w:color w:val="000000"/>
            <w:sz w:val="23"/>
            <w:szCs w:val="23"/>
          </w:rPr>
          <w:t>paragraph (a)</w:t>
        </w:r>
      </w:hyperlink>
      <w:r>
        <w:rPr>
          <w:color w:val="000000"/>
          <w:sz w:val="23"/>
          <w:szCs w:val="23"/>
        </w:rPr>
        <w:t>—a general description of the nature of the matter or matters in respect of which the notice was given;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number of proceedings (if any) commenced during the reporting period to challenge a notice given under subsection (2)(c) to appear to provide information or to give evidence orally.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(18)</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provide information, give evidence or produce a document in response to a notice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in response to a notice under this section.</w:t>
      </w:r>
    </w:p>
    <w:p>
      <w:pPr>
        <w:keepLines/>
        <w:autoSpaceDE w:val="0"/>
        <w:autoSpaceDN w:val="0"/>
        <w:adjustRightInd w:val="0"/>
        <w:spacing w:before="8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rPr>
        <w:t>acting SES employee</w:t>
      </w:r>
      <w:r>
        <w:rPr>
          <w:color w:val="000000"/>
          <w:sz w:val="23"/>
          <w:szCs w:val="23"/>
        </w:rPr>
        <w:t xml:space="preserve"> has the same meaning as in the </w:t>
      </w:r>
      <w:r>
        <w:rPr>
          <w:i/>
          <w:iCs/>
          <w:color w:val="000000"/>
          <w:sz w:val="23"/>
          <w:szCs w:val="23"/>
        </w:rPr>
        <w:t>Public Service Act 1999</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rPr>
        <w:t>SES employee</w:t>
      </w:r>
      <w:r>
        <w:rPr>
          <w:color w:val="000000"/>
          <w:sz w:val="23"/>
          <w:szCs w:val="23"/>
        </w:rPr>
        <w:t xml:space="preserve"> has the same meaning as in the </w:t>
      </w:r>
      <w:r>
        <w:rPr>
          <w:i/>
          <w:iCs/>
          <w:color w:val="000000"/>
          <w:sz w:val="23"/>
          <w:szCs w:val="23"/>
        </w:rPr>
        <w:t>Public Service Act 1999</w:t>
      </w:r>
      <w:r>
        <w:rPr>
          <w:color w:val="000000"/>
          <w:sz w:val="23"/>
          <w:szCs w:val="23"/>
        </w:rPr>
        <w:t xml:space="preserve"> of the Commonwealth.</w:t>
      </w:r>
    </w:p>
    <w:p>
      <w:pPr>
        <w:pStyle w:val="Footnotesection"/>
      </w:pPr>
      <w:r>
        <w:tab/>
        <w:t>[Section 42 amended: see SA Act No. 37 of 2020 s. 52 and WA Gazette 4 Sep 2024 p. 2215; modified: WA Act Sch. 1 cl. 7B.]</w:t>
      </w:r>
    </w:p>
    <w:p>
      <w:pPr>
        <w:pStyle w:val="Heading4"/>
      </w:pPr>
      <w:bookmarkStart w:id="551" w:name="_Toc175913830"/>
      <w:bookmarkStart w:id="552" w:name="_Toc175914634"/>
      <w:bookmarkStart w:id="553" w:name="_Toc175922525"/>
      <w:bookmarkStart w:id="554" w:name="_Toc176256829"/>
      <w:bookmarkStart w:id="555" w:name="_Toc176259367"/>
      <w:r>
        <w:t>Division 4 — Regulatory information notices and general regulatory information orders</w:t>
      </w:r>
      <w:bookmarkEnd w:id="544"/>
      <w:bookmarkEnd w:id="545"/>
      <w:bookmarkEnd w:id="546"/>
      <w:bookmarkEnd w:id="551"/>
      <w:bookmarkEnd w:id="552"/>
      <w:bookmarkEnd w:id="553"/>
      <w:bookmarkEnd w:id="554"/>
      <w:bookmarkEnd w:id="555"/>
    </w:p>
    <w:p>
      <w:pPr>
        <w:pStyle w:val="Heading4"/>
      </w:pPr>
      <w:bookmarkStart w:id="556" w:name="_Toc175836408"/>
      <w:bookmarkStart w:id="557" w:name="_Toc175837520"/>
      <w:bookmarkStart w:id="558" w:name="_Toc175842228"/>
      <w:bookmarkStart w:id="559" w:name="_Toc175913831"/>
      <w:bookmarkStart w:id="560" w:name="_Toc175914635"/>
      <w:bookmarkStart w:id="561" w:name="_Toc175922526"/>
      <w:bookmarkStart w:id="562" w:name="_Toc176256830"/>
      <w:bookmarkStart w:id="563" w:name="_Toc176259368"/>
      <w:r>
        <w:t>Subdivision 1 — Interpretation</w:t>
      </w:r>
      <w:bookmarkEnd w:id="556"/>
      <w:bookmarkEnd w:id="557"/>
      <w:bookmarkEnd w:id="558"/>
      <w:bookmarkEnd w:id="559"/>
      <w:bookmarkEnd w:id="560"/>
      <w:bookmarkEnd w:id="561"/>
      <w:bookmarkEnd w:id="562"/>
      <w:bookmarkEnd w:id="563"/>
    </w:p>
    <w:p>
      <w:pPr>
        <w:pStyle w:val="Heading5"/>
      </w:pPr>
      <w:bookmarkStart w:id="564" w:name="_Toc176259369"/>
      <w:r>
        <w:rPr>
          <w:rStyle w:val="CharSectno"/>
        </w:rPr>
        <w:t>43</w:t>
      </w:r>
      <w:r>
        <w:t>.</w:t>
      </w:r>
      <w:r>
        <w:tab/>
        <w:t>Definitions</w:t>
      </w:r>
      <w:bookmarkEnd w:id="56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565" w:name="_Toc176259370"/>
      <w:r>
        <w:rPr>
          <w:rStyle w:val="CharSectno"/>
        </w:rPr>
        <w:t>44</w:t>
      </w:r>
      <w:r>
        <w:t>.</w:t>
      </w:r>
      <w:r>
        <w:tab/>
        <w:t>Meaning of contributing service</w:t>
      </w:r>
      <w:bookmarkEnd w:id="5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566" w:name="_Toc176259371"/>
      <w:r>
        <w:rPr>
          <w:rStyle w:val="CharSectno"/>
        </w:rPr>
        <w:t>45</w:t>
      </w:r>
      <w:r>
        <w:t>.</w:t>
      </w:r>
      <w:r>
        <w:tab/>
        <w:t>Meaning of general regulatory information order</w:t>
      </w:r>
      <w:bookmarkEnd w:id="566"/>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567" w:name="_Toc176259372"/>
      <w:r>
        <w:rPr>
          <w:rStyle w:val="CharSectno"/>
        </w:rPr>
        <w:lastRenderedPageBreak/>
        <w:t>46</w:t>
      </w:r>
      <w:r>
        <w:t>.</w:t>
      </w:r>
      <w:r>
        <w:tab/>
        <w:t>Meaning of regulatory information notice</w:t>
      </w:r>
      <w:bookmarkEnd w:id="567"/>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568" w:name="_Toc176259373"/>
      <w:r>
        <w:rPr>
          <w:rStyle w:val="CharSectno"/>
        </w:rPr>
        <w:t>47</w:t>
      </w:r>
      <w:r>
        <w:t>.</w:t>
      </w:r>
      <w:r>
        <w:tab/>
        <w:t>Division does not limit operation of information gathering powers under Division 3</w:t>
      </w:r>
      <w:bookmarkEnd w:id="568"/>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569" w:name="_Toc175836414"/>
      <w:bookmarkStart w:id="570" w:name="_Toc175837526"/>
      <w:bookmarkStart w:id="571" w:name="_Toc175842234"/>
      <w:bookmarkStart w:id="572" w:name="_Toc175913837"/>
      <w:bookmarkStart w:id="573" w:name="_Toc175914641"/>
      <w:bookmarkStart w:id="574" w:name="_Toc175922532"/>
      <w:bookmarkStart w:id="575" w:name="_Toc176256836"/>
      <w:bookmarkStart w:id="576" w:name="_Toc176259374"/>
      <w:r>
        <w:t>Subdivision 2 — Serving and making of regulatory information instruments</w:t>
      </w:r>
      <w:bookmarkEnd w:id="569"/>
      <w:bookmarkEnd w:id="570"/>
      <w:bookmarkEnd w:id="571"/>
      <w:bookmarkEnd w:id="572"/>
      <w:bookmarkEnd w:id="573"/>
      <w:bookmarkEnd w:id="574"/>
      <w:bookmarkEnd w:id="575"/>
      <w:bookmarkEnd w:id="576"/>
    </w:p>
    <w:p>
      <w:pPr>
        <w:pStyle w:val="Heading5"/>
      </w:pPr>
      <w:bookmarkStart w:id="577" w:name="_Toc176259375"/>
      <w:r>
        <w:rPr>
          <w:rStyle w:val="CharSectno"/>
        </w:rPr>
        <w:t>48</w:t>
      </w:r>
      <w:r>
        <w:t>.</w:t>
      </w:r>
      <w:r>
        <w:tab/>
        <w:t>Service and making of regulatory information instrument</w:t>
      </w:r>
      <w:bookmarkEnd w:id="5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578" w:name="_Toc176259376"/>
      <w:r>
        <w:rPr>
          <w:rStyle w:val="CharSectno"/>
        </w:rPr>
        <w:t>49</w:t>
      </w:r>
      <w:r>
        <w:t>.</w:t>
      </w:r>
      <w:r>
        <w:tab/>
        <w:t>Additional matters to be considered for related provider regulatory information instruments</w:t>
      </w:r>
      <w:bookmarkEnd w:id="5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579" w:name="_Toc176259377"/>
      <w:r>
        <w:rPr>
          <w:rStyle w:val="CharSectno"/>
        </w:rPr>
        <w:t>50</w:t>
      </w:r>
      <w:r>
        <w:t>.</w:t>
      </w:r>
      <w:r>
        <w:tab/>
        <w:t>AER must consult before publishing a general regulatory information order</w:t>
      </w:r>
      <w:bookmarkEnd w:id="579"/>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580" w:name="_Toc176259378"/>
      <w:r>
        <w:rPr>
          <w:rStyle w:val="CharSectno"/>
        </w:rPr>
        <w:t>51</w:t>
      </w:r>
      <w:r>
        <w:t>.</w:t>
      </w:r>
      <w:r>
        <w:tab/>
        <w:t>Publication requirements for general regulatory information orders</w:t>
      </w:r>
      <w:bookmarkEnd w:id="5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581" w:name="_Toc176259379"/>
      <w:r>
        <w:rPr>
          <w:rStyle w:val="CharSectno"/>
        </w:rPr>
        <w:lastRenderedPageBreak/>
        <w:t>52</w:t>
      </w:r>
      <w:r>
        <w:t>.</w:t>
      </w:r>
      <w:r>
        <w:tab/>
        <w:t>Opportunity to be heard before regulatory information notice is served</w:t>
      </w:r>
      <w:bookmarkEnd w:id="5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582" w:name="_Toc175836420"/>
      <w:bookmarkStart w:id="583" w:name="_Toc175837532"/>
      <w:bookmarkStart w:id="584" w:name="_Toc175842240"/>
      <w:bookmarkStart w:id="585" w:name="_Toc175913843"/>
      <w:bookmarkStart w:id="586" w:name="_Toc175914647"/>
      <w:bookmarkStart w:id="587" w:name="_Toc175922538"/>
      <w:bookmarkStart w:id="588" w:name="_Toc176256842"/>
      <w:bookmarkStart w:id="589" w:name="_Toc176259380"/>
      <w:r>
        <w:t>Subdivision 3 — Form and content of regulatory information instruments</w:t>
      </w:r>
      <w:bookmarkEnd w:id="582"/>
      <w:bookmarkEnd w:id="583"/>
      <w:bookmarkEnd w:id="584"/>
      <w:bookmarkEnd w:id="585"/>
      <w:bookmarkEnd w:id="586"/>
      <w:bookmarkEnd w:id="587"/>
      <w:bookmarkEnd w:id="588"/>
      <w:bookmarkEnd w:id="589"/>
    </w:p>
    <w:p>
      <w:pPr>
        <w:pStyle w:val="Heading5"/>
      </w:pPr>
      <w:bookmarkStart w:id="590" w:name="_Toc176259381"/>
      <w:r>
        <w:rPr>
          <w:rStyle w:val="CharSectno"/>
        </w:rPr>
        <w:t>53</w:t>
      </w:r>
      <w:r>
        <w:t>.</w:t>
      </w:r>
      <w:r>
        <w:tab/>
        <w:t>Form and content of regulatory information instrument</w:t>
      </w:r>
      <w:bookmarkEnd w:id="5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591" w:name="_Toc176259382"/>
      <w:r>
        <w:rPr>
          <w:rStyle w:val="CharSectno"/>
        </w:rPr>
        <w:t>54</w:t>
      </w:r>
      <w:r>
        <w:t>.</w:t>
      </w:r>
      <w:r>
        <w:tab/>
        <w:t>Further provision about the information that may be described in a regulatory information instrument</w:t>
      </w:r>
      <w:bookmarkEnd w:id="591"/>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592" w:name="_Toc176259383"/>
      <w:r>
        <w:rPr>
          <w:rStyle w:val="CharSectno"/>
        </w:rPr>
        <w:t>55</w:t>
      </w:r>
      <w:r>
        <w:t>.</w:t>
      </w:r>
      <w:r>
        <w:tab/>
        <w:t>Further provision about manner in which information must be provided to AER or kept</w:t>
      </w:r>
      <w:bookmarkEnd w:id="592"/>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593" w:name="_Toc175836424"/>
      <w:bookmarkStart w:id="594" w:name="_Toc175837536"/>
      <w:bookmarkStart w:id="595" w:name="_Toc175842244"/>
      <w:bookmarkStart w:id="596" w:name="_Toc175913847"/>
      <w:bookmarkStart w:id="597" w:name="_Toc175914651"/>
      <w:bookmarkStart w:id="598" w:name="_Toc175922542"/>
      <w:bookmarkStart w:id="599" w:name="_Toc176256846"/>
      <w:bookmarkStart w:id="600" w:name="_Toc176259384"/>
      <w:r>
        <w:t>Subdivision 4 — Compliance with regulatory information instruments</w:t>
      </w:r>
      <w:bookmarkEnd w:id="593"/>
      <w:bookmarkEnd w:id="594"/>
      <w:bookmarkEnd w:id="595"/>
      <w:bookmarkEnd w:id="596"/>
      <w:bookmarkEnd w:id="597"/>
      <w:bookmarkEnd w:id="598"/>
      <w:bookmarkEnd w:id="599"/>
      <w:bookmarkEnd w:id="600"/>
    </w:p>
    <w:p>
      <w:pPr>
        <w:pStyle w:val="Heading5"/>
      </w:pPr>
      <w:bookmarkStart w:id="601" w:name="_Toc176259385"/>
      <w:r>
        <w:rPr>
          <w:rStyle w:val="CharSectno"/>
        </w:rPr>
        <w:t>56</w:t>
      </w:r>
      <w:r>
        <w:t>.</w:t>
      </w:r>
      <w:r>
        <w:tab/>
        <w:t>Compliance with regulatory information notice that is served</w:t>
      </w:r>
      <w:bookmarkEnd w:id="601"/>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602" w:name="_Toc176259386"/>
      <w:r>
        <w:rPr>
          <w:rStyle w:val="CharSectno"/>
        </w:rPr>
        <w:lastRenderedPageBreak/>
        <w:t>57</w:t>
      </w:r>
      <w:r>
        <w:t>.</w:t>
      </w:r>
      <w:r>
        <w:tab/>
        <w:t>Compliance with general regulatory information order</w:t>
      </w:r>
      <w:bookmarkEnd w:id="6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603" w:name="_Toc176259387"/>
      <w:r>
        <w:rPr>
          <w:rStyle w:val="CharSectno"/>
        </w:rPr>
        <w:t>58</w:t>
      </w:r>
      <w:r>
        <w:t>.</w:t>
      </w:r>
      <w:r>
        <w:tab/>
        <w:t>Exemptions from compliance with general regulatory information order</w:t>
      </w:r>
      <w:bookmarkEnd w:id="6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604" w:name="_Toc176259388"/>
      <w:r>
        <w:rPr>
          <w:rStyle w:val="CharSectno"/>
        </w:rPr>
        <w:t>59</w:t>
      </w:r>
      <w:r>
        <w:t>.</w:t>
      </w:r>
      <w:r>
        <w:tab/>
        <w:t>Assumptions where there is non</w:t>
      </w:r>
      <w:r>
        <w:noBreakHyphen/>
        <w:t>compliance with regulatory information instrument</w:t>
      </w:r>
      <w:bookmarkEnd w:id="6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605" w:name="_Toc175836429"/>
      <w:bookmarkStart w:id="606" w:name="_Toc175837541"/>
      <w:bookmarkStart w:id="607" w:name="_Toc175842249"/>
      <w:bookmarkStart w:id="608" w:name="_Toc175913852"/>
      <w:bookmarkStart w:id="609" w:name="_Toc175914656"/>
      <w:bookmarkStart w:id="610" w:name="_Toc175922547"/>
      <w:bookmarkStart w:id="611" w:name="_Toc176256851"/>
      <w:bookmarkStart w:id="612" w:name="_Toc176259389"/>
      <w:r>
        <w:lastRenderedPageBreak/>
        <w:t>Subdivision 5 — General</w:t>
      </w:r>
      <w:bookmarkEnd w:id="605"/>
      <w:bookmarkEnd w:id="606"/>
      <w:bookmarkEnd w:id="607"/>
      <w:bookmarkEnd w:id="608"/>
      <w:bookmarkEnd w:id="609"/>
      <w:bookmarkEnd w:id="610"/>
      <w:bookmarkEnd w:id="611"/>
      <w:bookmarkEnd w:id="612"/>
    </w:p>
    <w:p>
      <w:pPr>
        <w:pStyle w:val="Heading5"/>
      </w:pPr>
      <w:bookmarkStart w:id="613" w:name="_Toc176259390"/>
      <w:r>
        <w:rPr>
          <w:rStyle w:val="CharSectno"/>
        </w:rPr>
        <w:t>60</w:t>
      </w:r>
      <w:r>
        <w:t>.</w:t>
      </w:r>
      <w:r>
        <w:tab/>
        <w:t>Providing to AER false and misleading information</w:t>
      </w:r>
      <w:bookmarkEnd w:id="613"/>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Next/>
        <w:keepLines/>
        <w:autoSpaceDE w:val="0"/>
        <w:autoSpaceDN w:val="0"/>
        <w:adjustRightInd w:val="0"/>
        <w:spacing w:before="120"/>
        <w:ind w:left="1588"/>
        <w:rPr>
          <w:color w:val="000000"/>
          <w:sz w:val="23"/>
          <w:szCs w:val="23"/>
        </w:rPr>
      </w:pPr>
      <w:r>
        <w:rPr>
          <w:color w:val="000000"/>
          <w:sz w:val="23"/>
          <w:szCs w:val="23"/>
        </w:rPr>
        <w:t>Maximum penalty: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person—$6 300;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corporate—$31 500.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r>
        <w:tab/>
        <w:t>[Section 60 amended: see SA Act No. 37 of 2020 s. 53 and WA Gazette 4 Sep 2024 p. 2215.]</w:t>
      </w:r>
    </w:p>
    <w:p>
      <w:pPr>
        <w:pStyle w:val="Heading5"/>
      </w:pPr>
      <w:bookmarkStart w:id="614" w:name="_Toc176259391"/>
      <w:r>
        <w:rPr>
          <w:rStyle w:val="CharSectno"/>
        </w:rPr>
        <w:t>61</w:t>
      </w:r>
      <w:r>
        <w:t>.</w:t>
      </w:r>
      <w:r>
        <w:tab/>
        <w:t>Person cannot rely on duty of confidence to avoid compliance with regulatory information instrument</w:t>
      </w:r>
      <w:bookmarkEnd w:id="6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615" w:name="_Toc176259392"/>
      <w:r>
        <w:rPr>
          <w:rStyle w:val="CharSectno"/>
        </w:rPr>
        <w:t>62</w:t>
      </w:r>
      <w:r>
        <w:t>.</w:t>
      </w:r>
      <w:r>
        <w:tab/>
        <w:t>Legal professional privilege not affected</w:t>
      </w:r>
      <w:bookmarkEnd w:id="615"/>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produce a document to the AER the production of which would disclose information that is the subject of legal professional privilege.</w:t>
      </w:r>
    </w:p>
    <w:p>
      <w:pPr>
        <w:pStyle w:val="Heading5"/>
      </w:pPr>
      <w:bookmarkStart w:id="616" w:name="_Toc176259393"/>
      <w:r>
        <w:rPr>
          <w:rStyle w:val="CharSectno"/>
        </w:rPr>
        <w:t>63</w:t>
      </w:r>
      <w:r>
        <w:t>.</w:t>
      </w:r>
      <w:r>
        <w:tab/>
        <w:t>Protection against self</w:t>
      </w:r>
      <w:r>
        <w:noBreakHyphen/>
        <w:t>incrimination</w:t>
      </w:r>
      <w:bookmarkEnd w:id="6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617" w:name="_Toc175836434"/>
      <w:bookmarkStart w:id="618" w:name="_Toc175837546"/>
      <w:bookmarkStart w:id="619" w:name="_Toc175842254"/>
      <w:bookmarkStart w:id="620" w:name="_Toc175913857"/>
      <w:bookmarkStart w:id="621" w:name="_Toc175914661"/>
      <w:bookmarkStart w:id="622" w:name="_Toc175922552"/>
      <w:bookmarkStart w:id="623" w:name="_Toc176256856"/>
      <w:bookmarkStart w:id="624" w:name="_Toc176259394"/>
      <w:r>
        <w:t>Division 5 — Service provider performance reports</w:t>
      </w:r>
      <w:bookmarkEnd w:id="617"/>
      <w:bookmarkEnd w:id="618"/>
      <w:bookmarkEnd w:id="619"/>
      <w:bookmarkEnd w:id="620"/>
      <w:bookmarkEnd w:id="621"/>
      <w:bookmarkEnd w:id="622"/>
      <w:bookmarkEnd w:id="623"/>
      <w:bookmarkEnd w:id="624"/>
    </w:p>
    <w:p>
      <w:pPr>
        <w:pStyle w:val="Heading5"/>
      </w:pPr>
      <w:bookmarkStart w:id="625" w:name="_Toc176259395"/>
      <w:r>
        <w:rPr>
          <w:rStyle w:val="CharSectno"/>
        </w:rPr>
        <w:t>64</w:t>
      </w:r>
      <w:r>
        <w:t>.</w:t>
      </w:r>
      <w:r>
        <w:tab/>
        <w:t>Preparation of service provider performance reports</w:t>
      </w:r>
      <w:bookmarkEnd w:id="6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626" w:name="_Toc175836436"/>
      <w:bookmarkStart w:id="627" w:name="_Toc175837548"/>
      <w:bookmarkStart w:id="628" w:name="_Toc175842256"/>
      <w:bookmarkStart w:id="629" w:name="_Toc175913859"/>
      <w:bookmarkStart w:id="630" w:name="_Toc175914663"/>
      <w:bookmarkStart w:id="631" w:name="_Toc175922554"/>
      <w:bookmarkStart w:id="632" w:name="_Toc176256858"/>
      <w:bookmarkStart w:id="633" w:name="_Toc176259396"/>
      <w:r>
        <w:lastRenderedPageBreak/>
        <w:t>Division 6 — Miscellaneous matters</w:t>
      </w:r>
      <w:bookmarkEnd w:id="626"/>
      <w:bookmarkEnd w:id="627"/>
      <w:bookmarkEnd w:id="628"/>
      <w:bookmarkEnd w:id="629"/>
      <w:bookmarkEnd w:id="630"/>
      <w:bookmarkEnd w:id="631"/>
      <w:bookmarkEnd w:id="632"/>
      <w:bookmarkEnd w:id="633"/>
    </w:p>
    <w:p>
      <w:pPr>
        <w:pStyle w:val="Heading5"/>
      </w:pPr>
      <w:bookmarkStart w:id="634" w:name="_Toc176259397"/>
      <w:r>
        <w:rPr>
          <w:rStyle w:val="CharSectno"/>
        </w:rPr>
        <w:t>65</w:t>
      </w:r>
      <w:r>
        <w:t>.</w:t>
      </w:r>
      <w:r>
        <w:tab/>
        <w:t>Consideration by the AER of submissions or comments made to it under this Law or the Rules</w:t>
      </w:r>
      <w:bookmarkEnd w:id="634"/>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635" w:name="_Toc176259398"/>
      <w:r>
        <w:rPr>
          <w:rStyle w:val="CharSectno"/>
        </w:rPr>
        <w:t>66</w:t>
      </w:r>
      <w:r>
        <w:t>.</w:t>
      </w:r>
      <w:r>
        <w:tab/>
        <w:t>Use of information provided under a notice under Division 3 or a regulatory information instrument</w:t>
      </w:r>
      <w:bookmarkEnd w:id="635"/>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636" w:name="_Toc176259399"/>
      <w:r>
        <w:rPr>
          <w:rStyle w:val="CharSectno"/>
        </w:rPr>
        <w:t>67</w:t>
      </w:r>
      <w:r>
        <w:t>.</w:t>
      </w:r>
      <w:r>
        <w:tab/>
        <w:t>AER to inform certain persons of decisions not to investigate breaches, institute proceedings or serve infringement notices</w:t>
      </w:r>
      <w:bookmarkEnd w:id="6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637" w:name="_Toc176259400"/>
      <w:r>
        <w:rPr>
          <w:rStyle w:val="CharSectno"/>
        </w:rPr>
        <w:t>68</w:t>
      </w:r>
      <w:r>
        <w:t>.</w:t>
      </w:r>
      <w:r>
        <w:tab/>
        <w:t>AER guidelines</w:t>
      </w:r>
      <w:bookmarkEnd w:id="6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The AER must prepare guidelines about the exercise of its powers under section 42, including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rights and obligations of persons who are served with a relevant notice under that section;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penalties applying under that section for non</w:t>
      </w:r>
      <w:r>
        <w:rPr>
          <w:color w:val="000000"/>
          <w:sz w:val="23"/>
          <w:szCs w:val="23"/>
        </w:rPr>
        <w:noBreakHyphen/>
        <w:t>compliance with a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purposes for which information obtained under that section may be used.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(a1) or (1) on its website.</w:t>
      </w:r>
    </w:p>
    <w:p>
      <w:pPr>
        <w:pStyle w:val="Footnotesection"/>
      </w:pPr>
      <w:r>
        <w:tab/>
        <w:t>[Section 68 amended: see SA Act No. 37 of 2020 s. 54 and WA Gazette 4 Sep 2024 p. 2215.]</w:t>
      </w:r>
    </w:p>
    <w:p>
      <w:pPr>
        <w:pStyle w:val="Heading5"/>
      </w:pPr>
      <w:bookmarkStart w:id="638" w:name="_Toc176259401"/>
      <w:r>
        <w:rPr>
          <w:rStyle w:val="CharSectno"/>
        </w:rPr>
        <w:lastRenderedPageBreak/>
        <w:t>68C</w:t>
      </w:r>
      <w:r>
        <w:t>.</w:t>
      </w:r>
      <w:r>
        <w:tab/>
        <w:t>Record of designated reviewable regulatory decisions</w:t>
      </w:r>
      <w:bookmarkEnd w:id="6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639" w:name="_Toc175836442"/>
      <w:bookmarkStart w:id="640" w:name="_Toc175837554"/>
      <w:bookmarkStart w:id="641" w:name="_Toc175842262"/>
      <w:bookmarkStart w:id="642" w:name="_Toc175913865"/>
      <w:bookmarkStart w:id="643" w:name="_Toc175914669"/>
      <w:bookmarkStart w:id="644" w:name="_Toc175922560"/>
      <w:bookmarkStart w:id="645" w:name="_Toc176256864"/>
      <w:bookmarkStart w:id="646" w:name="_Toc176259402"/>
      <w:r>
        <w:rPr>
          <w:rStyle w:val="CharDivNo"/>
        </w:rPr>
        <w:t>Part 1A</w:t>
      </w:r>
      <w:r>
        <w:t xml:space="preserve"> — </w:t>
      </w:r>
      <w:r>
        <w:rPr>
          <w:rStyle w:val="CharDivText"/>
        </w:rPr>
        <w:t>Functions and powers of WA arbitrator</w:t>
      </w:r>
      <w:bookmarkEnd w:id="639"/>
      <w:bookmarkEnd w:id="640"/>
      <w:bookmarkEnd w:id="641"/>
      <w:bookmarkEnd w:id="642"/>
      <w:bookmarkEnd w:id="643"/>
      <w:bookmarkEnd w:id="644"/>
      <w:bookmarkEnd w:id="645"/>
      <w:bookmarkEnd w:id="646"/>
    </w:p>
    <w:p>
      <w:pPr>
        <w:pStyle w:val="Footnotesection"/>
        <w:keepNext/>
      </w:pPr>
      <w:r>
        <w:tab/>
        <w:t>[Heading inserted: WA Act Sch. 1 cl. 8.]</w:t>
      </w:r>
    </w:p>
    <w:p>
      <w:pPr>
        <w:pStyle w:val="Heading5"/>
      </w:pPr>
      <w:bookmarkStart w:id="647" w:name="_Toc176259403"/>
      <w:r>
        <w:rPr>
          <w:rStyle w:val="CharSectno"/>
        </w:rPr>
        <w:t>68A</w:t>
      </w:r>
      <w:r>
        <w:t>.</w:t>
      </w:r>
      <w:r>
        <w:tab/>
        <w:t>Manner in which WA arbitrator must perform or exercise certain functions or powers</w:t>
      </w:r>
      <w:bookmarkEnd w:id="6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648" w:name="_Toc175836444"/>
      <w:bookmarkStart w:id="649" w:name="_Toc175837556"/>
      <w:bookmarkStart w:id="650" w:name="_Toc175842264"/>
      <w:bookmarkStart w:id="651" w:name="_Toc175913867"/>
      <w:bookmarkStart w:id="652" w:name="_Toc175914671"/>
      <w:bookmarkStart w:id="653" w:name="_Toc175922562"/>
      <w:bookmarkStart w:id="654" w:name="_Toc176256866"/>
      <w:bookmarkStart w:id="655" w:name="_Toc176259404"/>
      <w:r>
        <w:rPr>
          <w:rStyle w:val="CharDivNo"/>
        </w:rPr>
        <w:t>Part 2</w:t>
      </w:r>
      <w:r>
        <w:t xml:space="preserve"> — </w:t>
      </w:r>
      <w:r>
        <w:rPr>
          <w:rStyle w:val="CharDivText"/>
        </w:rPr>
        <w:t>Functions and powers of the Australian Energy Market Commission</w:t>
      </w:r>
      <w:bookmarkEnd w:id="648"/>
      <w:bookmarkEnd w:id="649"/>
      <w:bookmarkEnd w:id="650"/>
      <w:bookmarkEnd w:id="651"/>
      <w:bookmarkEnd w:id="652"/>
      <w:bookmarkEnd w:id="653"/>
      <w:bookmarkEnd w:id="654"/>
      <w:bookmarkEnd w:id="655"/>
    </w:p>
    <w:p>
      <w:pPr>
        <w:pStyle w:val="Heading4"/>
      </w:pPr>
      <w:bookmarkStart w:id="656" w:name="_Toc175836445"/>
      <w:bookmarkStart w:id="657" w:name="_Toc175837557"/>
      <w:bookmarkStart w:id="658" w:name="_Toc175842265"/>
      <w:bookmarkStart w:id="659" w:name="_Toc175913868"/>
      <w:bookmarkStart w:id="660" w:name="_Toc175914672"/>
      <w:bookmarkStart w:id="661" w:name="_Toc175922563"/>
      <w:bookmarkStart w:id="662" w:name="_Toc176256867"/>
      <w:bookmarkStart w:id="663" w:name="_Toc176259405"/>
      <w:r>
        <w:t>Division 1 — General</w:t>
      </w:r>
      <w:bookmarkEnd w:id="656"/>
      <w:bookmarkEnd w:id="657"/>
      <w:bookmarkEnd w:id="658"/>
      <w:bookmarkEnd w:id="659"/>
      <w:bookmarkEnd w:id="660"/>
      <w:bookmarkEnd w:id="661"/>
      <w:bookmarkEnd w:id="662"/>
      <w:bookmarkEnd w:id="663"/>
    </w:p>
    <w:p>
      <w:pPr>
        <w:pStyle w:val="Heading5"/>
      </w:pPr>
      <w:bookmarkStart w:id="664" w:name="_Toc176259406"/>
      <w:r>
        <w:rPr>
          <w:rStyle w:val="CharSectno"/>
        </w:rPr>
        <w:t>69</w:t>
      </w:r>
      <w:r>
        <w:t>.</w:t>
      </w:r>
      <w:r>
        <w:tab/>
        <w:t>Functions and powers of the AEMC</w:t>
      </w:r>
      <w:bookmarkEnd w:id="6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665" w:name="_Toc176259407"/>
      <w:r>
        <w:rPr>
          <w:rStyle w:val="CharSectno"/>
        </w:rPr>
        <w:t>70</w:t>
      </w:r>
      <w:r>
        <w:t>.</w:t>
      </w:r>
      <w:r>
        <w:tab/>
        <w:t>Delegations</w:t>
      </w:r>
      <w:bookmarkEnd w:id="665"/>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666" w:name="_Toc176259408"/>
      <w:r>
        <w:rPr>
          <w:rStyle w:val="CharSectno"/>
        </w:rPr>
        <w:t>71</w:t>
      </w:r>
      <w:r>
        <w:t>.</w:t>
      </w:r>
      <w:r>
        <w:tab/>
        <w:t>Confidentiality</w:t>
      </w:r>
      <w:bookmarkEnd w:id="666"/>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667" w:name="_Toc176259409"/>
      <w:r>
        <w:rPr>
          <w:rStyle w:val="CharSectno"/>
        </w:rPr>
        <w:t>72</w:t>
      </w:r>
      <w:r>
        <w:t>.</w:t>
      </w:r>
      <w:r>
        <w:tab/>
        <w:t>AEMC must have regard to national gas objective</w:t>
      </w:r>
      <w:bookmarkEnd w:id="667"/>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rPr>
          <w:b w:val="0"/>
        </w:rPr>
      </w:pPr>
      <w:bookmarkStart w:id="668" w:name="_Toc176259410"/>
      <w:r>
        <w:rPr>
          <w:rStyle w:val="CharSectno"/>
        </w:rPr>
        <w:t>72A</w:t>
      </w:r>
      <w:r>
        <w:t>.</w:t>
      </w:r>
      <w:r>
        <w:tab/>
        <w:t>Targets statement for greenhouse gas emissions targets</w:t>
      </w:r>
      <w:bookmarkEnd w:id="6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prepare and maintain a document (the </w:t>
      </w:r>
      <w:r>
        <w:rPr>
          <w:rStyle w:val="CharDefText"/>
        </w:rPr>
        <w:t>targets statement</w:t>
      </w:r>
      <w:r>
        <w:rPr>
          <w:color w:val="000000"/>
          <w:sz w:val="23"/>
          <w:szCs w:val="23"/>
        </w:rPr>
        <w:t>) stating the targets set by a participating jurisdiction mentioned in section 23(b).</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669" w:name="id2f097a79_754d_4109_ba5e_4d3a736e216d_0"/>
      <w:r>
        <w:rPr>
          <w:color w:val="000000"/>
          <w:sz w:val="23"/>
          <w:szCs w:val="23"/>
        </w:rPr>
        <w:tab/>
        <w:t>(2)</w:t>
      </w:r>
      <w:r>
        <w:rPr>
          <w:color w:val="000000"/>
          <w:sz w:val="23"/>
          <w:szCs w:val="23"/>
        </w:rPr>
        <w:tab/>
        <w:t>If the MCE or a Minister of a participating jurisdiction gives a written direction to the AEMC to include a target in, or remove a target from, the targets statement, the AEMC must comply with the direction.</w:t>
      </w:r>
      <w:bookmarkEnd w:id="6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A Minister may give a written direction under </w:t>
      </w:r>
      <w:hyperlink w:anchor="id2f097a79_754d_4109_ba5e_4d3a736e216d_0" w:history="1">
        <w:r>
          <w:rPr>
            <w:color w:val="000000"/>
            <w:sz w:val="23"/>
            <w:szCs w:val="23"/>
          </w:rPr>
          <w:t>subsection (2)</w:t>
        </w:r>
      </w:hyperlink>
      <w:r>
        <w:rPr>
          <w:color w:val="000000"/>
          <w:sz w:val="23"/>
          <w:szCs w:val="23"/>
        </w:rPr>
        <w:t xml:space="preserve"> only in relation to a target set by the Minister’s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targets statement;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direction given under </w:t>
      </w:r>
      <w:hyperlink w:anchor="id2f097a79_754d_4109_ba5e_4d3a736e216d_0" w:history="1">
        <w:r>
          <w:rPr>
            <w:color w:val="000000"/>
            <w:sz w:val="23"/>
            <w:szCs w:val="23"/>
          </w:rPr>
          <w:t>subsection (2)</w:t>
        </w:r>
      </w:hyperlink>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having regard to the national gas objective under this Law, the Regulations or the Rules with respect to the matters mentioned in section 23(b), a person or body must consider, as a minimum, the targets stated in the targets statement.</w:t>
      </w:r>
    </w:p>
    <w:p>
      <w:pPr>
        <w:pStyle w:val="Footnotesection"/>
      </w:pPr>
      <w:r>
        <w:tab/>
        <w:t>[Section 72A inserted: see SA Act No. 26 of 2023 s. 16.]</w:t>
      </w:r>
    </w:p>
    <w:p>
      <w:pPr>
        <w:pStyle w:val="Heading5"/>
      </w:pPr>
      <w:bookmarkStart w:id="670" w:name="_Toc176259411"/>
      <w:r>
        <w:rPr>
          <w:rStyle w:val="CharSectno"/>
        </w:rPr>
        <w:lastRenderedPageBreak/>
        <w:t>73</w:t>
      </w:r>
      <w:r>
        <w:t>.</w:t>
      </w:r>
      <w:r>
        <w:tab/>
        <w:t>AEMC must have regard to MCE statements of policy principles in relation to Rule making and reviews</w:t>
      </w:r>
      <w:bookmarkEnd w:id="670"/>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671" w:name="_Toc175836452"/>
      <w:bookmarkStart w:id="672" w:name="_Toc175837564"/>
      <w:bookmarkStart w:id="673" w:name="_Toc175842272"/>
      <w:bookmarkStart w:id="674" w:name="_Toc175913875"/>
      <w:bookmarkStart w:id="675" w:name="_Toc175914679"/>
      <w:bookmarkStart w:id="676" w:name="_Toc175922570"/>
      <w:bookmarkStart w:id="677" w:name="_Toc176256874"/>
      <w:bookmarkStart w:id="678" w:name="_Toc176259412"/>
      <w:r>
        <w:t>Division 2 — Rule making functions and powers of the AEMC</w:t>
      </w:r>
      <w:bookmarkEnd w:id="671"/>
      <w:bookmarkEnd w:id="672"/>
      <w:bookmarkEnd w:id="673"/>
      <w:bookmarkEnd w:id="674"/>
      <w:bookmarkEnd w:id="675"/>
      <w:bookmarkEnd w:id="676"/>
      <w:bookmarkEnd w:id="677"/>
      <w:bookmarkEnd w:id="678"/>
    </w:p>
    <w:p>
      <w:pPr>
        <w:pStyle w:val="Heading5"/>
      </w:pPr>
      <w:bookmarkStart w:id="679" w:name="_Toc176259413"/>
      <w:r>
        <w:rPr>
          <w:rStyle w:val="CharSectno"/>
        </w:rPr>
        <w:t>74</w:t>
      </w:r>
      <w:r>
        <w:t>.</w:t>
      </w:r>
      <w:r>
        <w:tab/>
        <w:t>Subject matter for National Gas Rules</w:t>
      </w:r>
      <w:bookmarkEnd w:id="6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680" w:name="_Toc176259414"/>
      <w:r>
        <w:rPr>
          <w:rStyle w:val="CharSectno"/>
        </w:rPr>
        <w:t>75</w:t>
      </w:r>
      <w:r>
        <w:t>.</w:t>
      </w:r>
      <w:r>
        <w:tab/>
        <w:t>Rules relating to MCE or Ministers of participating jurisdictions require MCE consent</w:t>
      </w:r>
      <w:bookmarkEnd w:id="680"/>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681" w:name="_Toc176259415"/>
      <w:r>
        <w:rPr>
          <w:rStyle w:val="CharSectno"/>
        </w:rPr>
        <w:lastRenderedPageBreak/>
        <w:t>76</w:t>
      </w:r>
      <w:r>
        <w:t>.</w:t>
      </w:r>
      <w:r>
        <w:tab/>
        <w:t>AEMC must not make Rules that create criminal offences or impose civil penalties for breaches</w:t>
      </w:r>
      <w:bookmarkEnd w:id="681"/>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682" w:name="_Toc176259416"/>
      <w:r>
        <w:rPr>
          <w:rStyle w:val="CharSectno"/>
        </w:rPr>
        <w:t>77</w:t>
      </w:r>
      <w:r>
        <w:t>.</w:t>
      </w:r>
      <w:r>
        <w:tab/>
        <w:t>Documents etc applied, adopted and incorporated by Rules to be publicly available</w:t>
      </w:r>
      <w:bookmarkEnd w:id="6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683" w:name="_Toc175836457"/>
      <w:bookmarkStart w:id="684" w:name="_Toc175837569"/>
      <w:bookmarkStart w:id="685" w:name="_Toc175842277"/>
      <w:bookmarkStart w:id="686" w:name="_Toc175913880"/>
      <w:bookmarkStart w:id="687" w:name="_Toc175914684"/>
      <w:bookmarkStart w:id="688" w:name="_Toc175922575"/>
      <w:bookmarkStart w:id="689" w:name="_Toc176256879"/>
      <w:bookmarkStart w:id="690" w:name="_Toc176259417"/>
      <w:r>
        <w:lastRenderedPageBreak/>
        <w:t>Division 3 — Committees, panels and working groups of the AEMC</w:t>
      </w:r>
      <w:bookmarkEnd w:id="683"/>
      <w:bookmarkEnd w:id="684"/>
      <w:bookmarkEnd w:id="685"/>
      <w:bookmarkEnd w:id="686"/>
      <w:bookmarkEnd w:id="687"/>
      <w:bookmarkEnd w:id="688"/>
      <w:bookmarkEnd w:id="689"/>
      <w:bookmarkEnd w:id="690"/>
    </w:p>
    <w:p>
      <w:pPr>
        <w:pStyle w:val="Heading5"/>
      </w:pPr>
      <w:bookmarkStart w:id="691" w:name="_Toc176259418"/>
      <w:r>
        <w:rPr>
          <w:rStyle w:val="CharSectno"/>
        </w:rPr>
        <w:t>78</w:t>
      </w:r>
      <w:r>
        <w:t>.</w:t>
      </w:r>
      <w:r>
        <w:tab/>
        <w:t>Establishment of committees, panels and working groups</w:t>
      </w:r>
      <w:bookmarkEnd w:id="691"/>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692" w:name="_Toc175836459"/>
      <w:bookmarkStart w:id="693" w:name="_Toc175837571"/>
      <w:bookmarkStart w:id="694" w:name="_Toc175842279"/>
      <w:bookmarkStart w:id="695" w:name="_Toc175913882"/>
      <w:bookmarkStart w:id="696" w:name="_Toc175914686"/>
      <w:bookmarkStart w:id="697" w:name="_Toc175922577"/>
      <w:bookmarkStart w:id="698" w:name="_Toc176256881"/>
      <w:bookmarkStart w:id="699" w:name="_Toc176259419"/>
      <w:r>
        <w:t>Division 4 — MCE directed reviews</w:t>
      </w:r>
      <w:bookmarkEnd w:id="692"/>
      <w:bookmarkEnd w:id="693"/>
      <w:bookmarkEnd w:id="694"/>
      <w:bookmarkEnd w:id="695"/>
      <w:bookmarkEnd w:id="696"/>
      <w:bookmarkEnd w:id="697"/>
      <w:bookmarkEnd w:id="698"/>
      <w:bookmarkEnd w:id="699"/>
    </w:p>
    <w:p>
      <w:pPr>
        <w:pStyle w:val="Heading5"/>
      </w:pPr>
      <w:bookmarkStart w:id="700" w:name="_Toc176259420"/>
      <w:r>
        <w:rPr>
          <w:rStyle w:val="CharSectno"/>
        </w:rPr>
        <w:t>79</w:t>
      </w:r>
      <w:r>
        <w:t>.</w:t>
      </w:r>
      <w:r>
        <w:tab/>
        <w:t>MCE directions</w:t>
      </w:r>
      <w:bookmarkEnd w:id="7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701" w:name="_Toc176259421"/>
      <w:r>
        <w:rPr>
          <w:rStyle w:val="CharSectno"/>
        </w:rPr>
        <w:lastRenderedPageBreak/>
        <w:t>80</w:t>
      </w:r>
      <w:r>
        <w:t>.</w:t>
      </w:r>
      <w:r>
        <w:tab/>
        <w:t>Terms of reference</w:t>
      </w:r>
      <w:bookmarkEnd w:id="7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702" w:name="_Toc176259422"/>
      <w:r>
        <w:rPr>
          <w:rStyle w:val="CharSectno"/>
        </w:rPr>
        <w:t>81</w:t>
      </w:r>
      <w:r>
        <w:t>.</w:t>
      </w:r>
      <w:r>
        <w:tab/>
        <w:t>Notice of MCE directed review</w:t>
      </w:r>
      <w:bookmarkEnd w:id="7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703" w:name="_Toc176259423"/>
      <w:r>
        <w:rPr>
          <w:rStyle w:val="CharSectno"/>
        </w:rPr>
        <w:t>82</w:t>
      </w:r>
      <w:r>
        <w:t>.</w:t>
      </w:r>
      <w:r>
        <w:tab/>
        <w:t>Conduct of MCE directed review</w:t>
      </w:r>
      <w:bookmarkEnd w:id="703"/>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704" w:name="_Toc175836464"/>
      <w:bookmarkStart w:id="705" w:name="_Toc175837576"/>
      <w:bookmarkStart w:id="706" w:name="_Toc175842284"/>
      <w:bookmarkStart w:id="707" w:name="_Toc175913887"/>
      <w:bookmarkStart w:id="708" w:name="_Toc175914691"/>
      <w:bookmarkStart w:id="709" w:name="_Toc175922582"/>
      <w:bookmarkStart w:id="710" w:name="_Toc176256886"/>
      <w:bookmarkStart w:id="711" w:name="_Toc176259424"/>
      <w:r>
        <w:t>Division 5 — Other reviews</w:t>
      </w:r>
      <w:bookmarkEnd w:id="704"/>
      <w:bookmarkEnd w:id="705"/>
      <w:bookmarkEnd w:id="706"/>
      <w:bookmarkEnd w:id="707"/>
      <w:bookmarkEnd w:id="708"/>
      <w:bookmarkEnd w:id="709"/>
      <w:bookmarkEnd w:id="710"/>
      <w:bookmarkEnd w:id="711"/>
    </w:p>
    <w:p>
      <w:pPr>
        <w:pStyle w:val="Heading5"/>
      </w:pPr>
      <w:bookmarkStart w:id="712" w:name="_Toc176259425"/>
      <w:r>
        <w:rPr>
          <w:rStyle w:val="CharSectno"/>
        </w:rPr>
        <w:t>83</w:t>
      </w:r>
      <w:r>
        <w:t>.</w:t>
      </w:r>
      <w:r>
        <w:tab/>
        <w:t>Rule reviews by the AEMC</w:t>
      </w:r>
      <w:bookmarkEnd w:id="7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713" w:name="_Toc175836466"/>
      <w:bookmarkStart w:id="714" w:name="_Toc175837578"/>
      <w:bookmarkStart w:id="715" w:name="_Toc175842286"/>
      <w:bookmarkStart w:id="716" w:name="_Toc175913889"/>
      <w:bookmarkStart w:id="717" w:name="_Toc175914693"/>
      <w:bookmarkStart w:id="718" w:name="_Toc175922584"/>
      <w:bookmarkStart w:id="719" w:name="_Toc176256888"/>
      <w:bookmarkStart w:id="720" w:name="_Toc176259426"/>
      <w:r>
        <w:t>Division 6 — Miscellaneous matters</w:t>
      </w:r>
      <w:bookmarkEnd w:id="713"/>
      <w:bookmarkEnd w:id="714"/>
      <w:bookmarkEnd w:id="715"/>
      <w:bookmarkEnd w:id="716"/>
      <w:bookmarkEnd w:id="717"/>
      <w:bookmarkEnd w:id="718"/>
      <w:bookmarkEnd w:id="719"/>
      <w:bookmarkEnd w:id="720"/>
    </w:p>
    <w:p>
      <w:pPr>
        <w:pStyle w:val="Heading5"/>
      </w:pPr>
      <w:bookmarkStart w:id="721" w:name="_Toc176259427"/>
      <w:r>
        <w:rPr>
          <w:rStyle w:val="CharSectno"/>
        </w:rPr>
        <w:t>83A</w:t>
      </w:r>
      <w:r>
        <w:t>.</w:t>
      </w:r>
      <w:r>
        <w:tab/>
        <w:t>Special information and transparency requirements relating to non</w:t>
      </w:r>
      <w:r>
        <w:noBreakHyphen/>
        <w:t>scheme pipelines</w:t>
      </w:r>
      <w:bookmarkEnd w:id="7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722" w:name="id16e1e13e_cfde_4d18_b3fc_94e5a9dfd8"/>
      <w:r>
        <w:rPr>
          <w:color w:val="000000"/>
          <w:sz w:val="23"/>
          <w:szCs w:val="23"/>
        </w:rPr>
        <w:lastRenderedPageBreak/>
        <w:tab/>
        <w:t>(2)</w:t>
      </w:r>
      <w:r>
        <w:rPr>
          <w:color w:val="000000"/>
          <w:sz w:val="23"/>
          <w:szCs w:val="23"/>
        </w:rPr>
        <w:tab/>
        <w:t>Without limiting any other provision, the Rules may provide for such things as—</w:t>
      </w:r>
      <w:bookmarkEnd w:id="722"/>
    </w:p>
    <w:p>
      <w:pPr>
        <w:keepLines/>
        <w:tabs>
          <w:tab w:val="center" w:pos="1985"/>
          <w:tab w:val="left" w:pos="2382"/>
        </w:tabs>
        <w:autoSpaceDE w:val="0"/>
        <w:autoSpaceDN w:val="0"/>
        <w:adjustRightInd w:val="0"/>
        <w:spacing w:before="120"/>
        <w:ind w:left="2382" w:hanging="794"/>
        <w:rPr>
          <w:color w:val="000000"/>
          <w:sz w:val="23"/>
          <w:szCs w:val="23"/>
        </w:rPr>
      </w:pPr>
      <w:bookmarkStart w:id="723"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723"/>
    </w:p>
    <w:p>
      <w:pPr>
        <w:keepLines/>
        <w:tabs>
          <w:tab w:val="center" w:pos="1985"/>
          <w:tab w:val="left" w:pos="2382"/>
        </w:tabs>
        <w:autoSpaceDE w:val="0"/>
        <w:autoSpaceDN w:val="0"/>
        <w:adjustRightInd w:val="0"/>
        <w:spacing w:before="120"/>
        <w:ind w:left="2382" w:hanging="794"/>
        <w:rPr>
          <w:color w:val="000000"/>
          <w:sz w:val="23"/>
          <w:szCs w:val="23"/>
        </w:rPr>
      </w:pPr>
      <w:bookmarkStart w:id="724" w:name="id86211e6a_ed2c_46fe_a639_95bd47e520"/>
      <w:r>
        <w:rPr>
          <w:color w:val="000000"/>
          <w:sz w:val="23"/>
          <w:szCs w:val="23"/>
        </w:rPr>
        <w:tab/>
        <w:t>(b)</w:t>
      </w:r>
      <w:r>
        <w:rPr>
          <w:color w:val="000000"/>
          <w:sz w:val="23"/>
          <w:szCs w:val="23"/>
        </w:rPr>
        <w:tab/>
        <w:t xml:space="preserve">without limiting </w:t>
      </w:r>
      <w:hyperlink w:anchor="ide1523334_7c87_472c_83af_88551bd104" w:history="1">
        <w:r>
          <w:rPr>
            <w:color w:val="000000"/>
            <w:sz w:val="23"/>
            <w:szCs w:val="23"/>
          </w:rPr>
          <w:t>paragraph (a)</w:t>
        </w:r>
      </w:hyperlink>
      <w:r>
        <w:rPr>
          <w:color w:val="000000"/>
          <w:sz w:val="23"/>
          <w:szCs w:val="23"/>
        </w:rPr>
        <w:t>,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724"/>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without limiting </w:t>
      </w:r>
      <w:hyperlink w:anchor="ide1523334_7c87_472c_83af_88551bd104" w:history="1">
        <w:r>
          <w:rPr>
            <w:color w:val="000000"/>
            <w:sz w:val="23"/>
            <w:szCs w:val="23"/>
          </w:rPr>
          <w:t>paragraphs (a)</w:t>
        </w:r>
      </w:hyperlink>
      <w:r>
        <w:rPr>
          <w:color w:val="000000"/>
          <w:sz w:val="23"/>
          <w:szCs w:val="23"/>
        </w:rPr>
        <w:t xml:space="preserve"> and </w:t>
      </w:r>
      <w:hyperlink w:anchor="id86211e6a_ed2c_46fe_a639_95bd47e520" w:history="1">
        <w:r>
          <w:rPr>
            <w:color w:val="000000"/>
            <w:sz w:val="23"/>
            <w:szCs w:val="23"/>
          </w:rPr>
          <w:t>(b)</w:t>
        </w:r>
      </w:hyperlink>
      <w:r>
        <w:rPr>
          <w:color w:val="000000"/>
          <w:sz w:val="23"/>
          <w:szCs w:val="23"/>
        </w:rPr>
        <w:t>,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Nothing in </w:t>
      </w:r>
      <w:hyperlink w:anchor="id16e1e13e_cfde_4d18_b3fc_94e5a9dfd8" w:history="1">
        <w:r>
          <w:rPr>
            <w:color w:val="000000"/>
            <w:sz w:val="23"/>
            <w:szCs w:val="23"/>
          </w:rPr>
          <w:t>subsection (2)</w:t>
        </w:r>
      </w:hyperlink>
      <w:r>
        <w:rPr>
          <w:color w:val="000000"/>
          <w:sz w:val="23"/>
          <w:szCs w:val="23"/>
        </w:rPr>
        <w:t xml:space="preserve">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reference in </w:t>
      </w:r>
      <w:hyperlink w:anchor="id16e1e13e_cfde_4d18_b3fc_94e5a9dfd8" w:history="1">
        <w:r>
          <w:rPr>
            <w:color w:val="000000"/>
            <w:sz w:val="23"/>
            <w:szCs w:val="23"/>
          </w:rPr>
          <w:t>subsection (2)</w:t>
        </w:r>
      </w:hyperlink>
      <w:r>
        <w:rPr>
          <w:color w:val="000000"/>
          <w:sz w:val="23"/>
          <w:szCs w:val="23"/>
        </w:rPr>
        <w:t xml:space="preserve">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725" w:name="_Toc176259428"/>
      <w:r>
        <w:rPr>
          <w:rStyle w:val="CharSectno"/>
        </w:rPr>
        <w:t>84</w:t>
      </w:r>
      <w:r>
        <w:t>.</w:t>
      </w:r>
      <w:r>
        <w:tab/>
        <w:t>AEMC must publish and make available up to date versions of Rules</w:t>
      </w:r>
      <w:bookmarkEnd w:id="725"/>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726" w:name="_Toc176259429"/>
      <w:r>
        <w:rPr>
          <w:rStyle w:val="CharSectno"/>
        </w:rPr>
        <w:lastRenderedPageBreak/>
        <w:t>85</w:t>
      </w:r>
      <w:r>
        <w:t>.</w:t>
      </w:r>
      <w:r>
        <w:tab/>
        <w:t>Fees</w:t>
      </w:r>
      <w:bookmarkEnd w:id="7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727" w:name="_Toc176259430"/>
      <w:r>
        <w:rPr>
          <w:rStyle w:val="CharSectno"/>
        </w:rPr>
        <w:t>86</w:t>
      </w:r>
      <w:r>
        <w:t>.</w:t>
      </w:r>
      <w:r>
        <w:tab/>
        <w:t>Immunity from personal liability of AEMC officials</w:t>
      </w:r>
      <w:bookmarkEnd w:id="7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728" w:name="_Toc175836471"/>
      <w:bookmarkStart w:id="729" w:name="_Toc175837583"/>
      <w:bookmarkStart w:id="730" w:name="_Toc175842291"/>
      <w:bookmarkStart w:id="731" w:name="_Toc175913894"/>
      <w:bookmarkStart w:id="732" w:name="_Toc175914698"/>
      <w:bookmarkStart w:id="733" w:name="_Toc175922589"/>
      <w:bookmarkStart w:id="734" w:name="_Toc176256893"/>
      <w:bookmarkStart w:id="735" w:name="_Toc176259431"/>
      <w:r>
        <w:rPr>
          <w:rStyle w:val="CharDivNo"/>
        </w:rPr>
        <w:t>Part 3</w:t>
      </w:r>
      <w:r>
        <w:t xml:space="preserve"> — </w:t>
      </w:r>
      <w:r>
        <w:rPr>
          <w:rStyle w:val="CharDivText"/>
        </w:rPr>
        <w:t>Functions and powers of Ministers of participating jurisdictions</w:t>
      </w:r>
      <w:bookmarkEnd w:id="728"/>
      <w:bookmarkEnd w:id="729"/>
      <w:bookmarkEnd w:id="730"/>
      <w:bookmarkEnd w:id="731"/>
      <w:bookmarkEnd w:id="732"/>
      <w:bookmarkEnd w:id="733"/>
      <w:bookmarkEnd w:id="734"/>
      <w:bookmarkEnd w:id="735"/>
    </w:p>
    <w:p>
      <w:pPr>
        <w:pStyle w:val="Heading5"/>
      </w:pPr>
      <w:bookmarkStart w:id="736" w:name="_Toc176259432"/>
      <w:r>
        <w:rPr>
          <w:rStyle w:val="CharSectno"/>
        </w:rPr>
        <w:t>87</w:t>
      </w:r>
      <w:r>
        <w:t>.</w:t>
      </w:r>
      <w:r>
        <w:tab/>
        <w:t>Functions and powers of Minister of this participating jurisdiction under this Law</w:t>
      </w:r>
      <w:bookmarkEnd w:id="7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737" w:name="_Toc176259433"/>
      <w:r>
        <w:rPr>
          <w:rStyle w:val="CharSectno"/>
        </w:rPr>
        <w:t>88</w:t>
      </w:r>
      <w:r>
        <w:t>.</w:t>
      </w:r>
      <w:r>
        <w:tab/>
        <w:t>Functions and powers of Commonwealth Minister under this Law</w:t>
      </w:r>
      <w:bookmarkEnd w:id="7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738" w:name="_Toc175836474"/>
      <w:bookmarkStart w:id="739" w:name="_Toc175837586"/>
      <w:bookmarkStart w:id="740" w:name="_Toc175842294"/>
      <w:bookmarkStart w:id="741" w:name="_Toc175913897"/>
      <w:bookmarkStart w:id="742" w:name="_Toc175914701"/>
      <w:bookmarkStart w:id="743" w:name="_Toc175922592"/>
      <w:bookmarkStart w:id="744" w:name="_Toc176256896"/>
      <w:bookmarkStart w:id="745" w:name="_Toc176259434"/>
      <w:r>
        <w:rPr>
          <w:rStyle w:val="CharDivNo"/>
        </w:rPr>
        <w:t>Part 4</w:t>
      </w:r>
      <w:r>
        <w:t xml:space="preserve"> — </w:t>
      </w:r>
      <w:r>
        <w:rPr>
          <w:rStyle w:val="CharDivText"/>
        </w:rPr>
        <w:t>Functions and powers of the NCC</w:t>
      </w:r>
      <w:bookmarkEnd w:id="738"/>
      <w:bookmarkEnd w:id="739"/>
      <w:bookmarkEnd w:id="740"/>
      <w:bookmarkEnd w:id="741"/>
      <w:bookmarkEnd w:id="742"/>
      <w:bookmarkEnd w:id="743"/>
      <w:bookmarkEnd w:id="744"/>
      <w:bookmarkEnd w:id="745"/>
    </w:p>
    <w:p>
      <w:pPr>
        <w:pStyle w:val="Heading5"/>
      </w:pPr>
      <w:bookmarkStart w:id="746" w:name="_Toc176259435"/>
      <w:r>
        <w:rPr>
          <w:rStyle w:val="CharSectno"/>
        </w:rPr>
        <w:t>89</w:t>
      </w:r>
      <w:r>
        <w:t>.</w:t>
      </w:r>
      <w:r>
        <w:tab/>
        <w:t>Functions and powers of NCC under this Law</w:t>
      </w:r>
      <w:bookmarkEnd w:id="7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747" w:name="_Toc176259436"/>
      <w:r>
        <w:rPr>
          <w:rStyle w:val="CharSectno"/>
        </w:rPr>
        <w:t>90</w:t>
      </w:r>
      <w:r>
        <w:t>.</w:t>
      </w:r>
      <w:r>
        <w:tab/>
        <w:t>Confidentiality</w:t>
      </w:r>
      <w:bookmarkEnd w:id="7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748" w:name="_Toc175836477"/>
      <w:bookmarkStart w:id="749" w:name="_Toc175837589"/>
      <w:bookmarkStart w:id="750" w:name="_Toc175842297"/>
      <w:bookmarkStart w:id="751" w:name="_Toc175913900"/>
      <w:bookmarkStart w:id="752" w:name="_Toc175914704"/>
      <w:bookmarkStart w:id="753" w:name="_Toc175922595"/>
      <w:bookmarkStart w:id="754" w:name="_Toc176256899"/>
      <w:bookmarkStart w:id="755" w:name="_Toc176259437"/>
      <w:r>
        <w:rPr>
          <w:rStyle w:val="CharDivNo"/>
        </w:rPr>
        <w:t>Part 5</w:t>
      </w:r>
      <w:r>
        <w:t xml:space="preserve"> — </w:t>
      </w:r>
      <w:r>
        <w:rPr>
          <w:rStyle w:val="CharDivText"/>
        </w:rPr>
        <w:t>Functions and powers of Tribunal</w:t>
      </w:r>
      <w:bookmarkEnd w:id="748"/>
      <w:bookmarkEnd w:id="749"/>
      <w:bookmarkEnd w:id="750"/>
      <w:bookmarkEnd w:id="751"/>
      <w:bookmarkEnd w:id="752"/>
      <w:bookmarkEnd w:id="753"/>
      <w:bookmarkEnd w:id="754"/>
      <w:bookmarkEnd w:id="755"/>
    </w:p>
    <w:p>
      <w:pPr>
        <w:pStyle w:val="Heading5"/>
      </w:pPr>
      <w:bookmarkStart w:id="756" w:name="_Toc176259438"/>
      <w:r>
        <w:rPr>
          <w:rStyle w:val="CharSectno"/>
        </w:rPr>
        <w:t>91</w:t>
      </w:r>
      <w:r>
        <w:t>.</w:t>
      </w:r>
      <w:r>
        <w:tab/>
        <w:t>Functions and powers of Tribunal under this Law</w:t>
      </w:r>
      <w:bookmarkEnd w:id="7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757" w:name="_Toc175836479"/>
      <w:bookmarkStart w:id="758" w:name="_Toc175837591"/>
      <w:bookmarkStart w:id="759" w:name="_Toc175842299"/>
      <w:bookmarkStart w:id="760" w:name="_Toc175913902"/>
      <w:bookmarkStart w:id="761" w:name="_Toc175914706"/>
      <w:bookmarkStart w:id="762" w:name="_Toc175922597"/>
      <w:bookmarkStart w:id="763" w:name="_Toc176256901"/>
      <w:bookmarkStart w:id="764" w:name="_Toc176259439"/>
      <w:r>
        <w:rPr>
          <w:rStyle w:val="CharPartNo"/>
        </w:rPr>
        <w:lastRenderedPageBreak/>
        <w:t>Chapter 3</w:t>
      </w:r>
      <w:r>
        <w:t xml:space="preserve"> — </w:t>
      </w:r>
      <w:r>
        <w:rPr>
          <w:rStyle w:val="CharPartText"/>
        </w:rPr>
        <w:t>Coverage and classification of pipelines</w:t>
      </w:r>
      <w:bookmarkEnd w:id="757"/>
      <w:bookmarkEnd w:id="758"/>
      <w:bookmarkEnd w:id="759"/>
      <w:bookmarkEnd w:id="760"/>
      <w:bookmarkEnd w:id="761"/>
      <w:bookmarkEnd w:id="762"/>
      <w:bookmarkEnd w:id="763"/>
      <w:bookmarkEnd w:id="764"/>
    </w:p>
    <w:p>
      <w:pPr>
        <w:pStyle w:val="Heading3"/>
      </w:pPr>
      <w:bookmarkStart w:id="765" w:name="_Toc175836480"/>
      <w:bookmarkStart w:id="766" w:name="_Toc175837592"/>
      <w:bookmarkStart w:id="767" w:name="_Toc175842300"/>
      <w:bookmarkStart w:id="768" w:name="_Toc175913903"/>
      <w:bookmarkStart w:id="769" w:name="_Toc175914707"/>
      <w:bookmarkStart w:id="770" w:name="_Toc175922598"/>
      <w:bookmarkStart w:id="771" w:name="_Toc176256902"/>
      <w:bookmarkStart w:id="772" w:name="_Toc176259440"/>
      <w:r>
        <w:rPr>
          <w:rStyle w:val="CharDivNo"/>
        </w:rPr>
        <w:t>Part 1</w:t>
      </w:r>
      <w:r>
        <w:t xml:space="preserve"> — </w:t>
      </w:r>
      <w:r>
        <w:rPr>
          <w:rStyle w:val="CharDivText"/>
        </w:rPr>
        <w:t>Coverage of pipelines</w:t>
      </w:r>
      <w:bookmarkEnd w:id="765"/>
      <w:bookmarkEnd w:id="766"/>
      <w:bookmarkEnd w:id="767"/>
      <w:bookmarkEnd w:id="768"/>
      <w:bookmarkEnd w:id="769"/>
      <w:bookmarkEnd w:id="770"/>
      <w:bookmarkEnd w:id="771"/>
      <w:bookmarkEnd w:id="772"/>
    </w:p>
    <w:p>
      <w:pPr>
        <w:pStyle w:val="Heading4"/>
      </w:pPr>
      <w:bookmarkStart w:id="773" w:name="_Toc175836481"/>
      <w:bookmarkStart w:id="774" w:name="_Toc175837593"/>
      <w:bookmarkStart w:id="775" w:name="_Toc175842301"/>
      <w:bookmarkStart w:id="776" w:name="_Toc175913904"/>
      <w:bookmarkStart w:id="777" w:name="_Toc175914708"/>
      <w:bookmarkStart w:id="778" w:name="_Toc175922599"/>
      <w:bookmarkStart w:id="779" w:name="_Toc176256903"/>
      <w:bookmarkStart w:id="780" w:name="_Toc176259441"/>
      <w:r>
        <w:t>Division 1 — Coverage determinations</w:t>
      </w:r>
      <w:bookmarkEnd w:id="773"/>
      <w:bookmarkEnd w:id="774"/>
      <w:bookmarkEnd w:id="775"/>
      <w:bookmarkEnd w:id="776"/>
      <w:bookmarkEnd w:id="777"/>
      <w:bookmarkEnd w:id="778"/>
      <w:bookmarkEnd w:id="779"/>
      <w:bookmarkEnd w:id="780"/>
    </w:p>
    <w:p>
      <w:pPr>
        <w:pStyle w:val="Heading5"/>
      </w:pPr>
      <w:bookmarkStart w:id="781" w:name="_Toc176259442"/>
      <w:r>
        <w:rPr>
          <w:rStyle w:val="CharSectno"/>
        </w:rPr>
        <w:t>92</w:t>
      </w:r>
      <w:r>
        <w:t>.</w:t>
      </w:r>
      <w:r>
        <w:tab/>
        <w:t>Application for recommendation that a pipeline be a covered pipeline</w:t>
      </w:r>
      <w:bookmarkEnd w:id="7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782" w:name="_Toc176259443"/>
      <w:r>
        <w:rPr>
          <w:rStyle w:val="CharSectno"/>
        </w:rPr>
        <w:t>93</w:t>
      </w:r>
      <w:r>
        <w:t>.</w:t>
      </w:r>
      <w:r>
        <w:tab/>
        <w:t>Application to be dealt with in accordance with the Rules</w:t>
      </w:r>
      <w:bookmarkEnd w:id="782"/>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783" w:name="_Toc176259444"/>
      <w:r>
        <w:rPr>
          <w:rStyle w:val="CharSectno"/>
        </w:rPr>
        <w:t>94</w:t>
      </w:r>
      <w:r>
        <w:t>.</w:t>
      </w:r>
      <w:r>
        <w:tab/>
        <w:t>NCC may defer consideration of application in</w:t>
      </w:r>
      <w:r>
        <w:rPr>
          <w:bCs/>
          <w:color w:val="000000"/>
          <w:sz w:val="26"/>
          <w:szCs w:val="26"/>
        </w:rPr>
        <w:t xml:space="preserve"> certain cases</w:t>
      </w:r>
      <w:bookmarkEnd w:id="78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784" w:name="_Toc176259445"/>
      <w:r>
        <w:rPr>
          <w:rStyle w:val="CharSectno"/>
        </w:rPr>
        <w:t>95</w:t>
      </w:r>
      <w:r>
        <w:t>.</w:t>
      </w:r>
      <w:r>
        <w:tab/>
        <w:t>NCC coverage recommendation</w:t>
      </w:r>
      <w:bookmarkEnd w:id="7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785" w:name="_Toc176259446"/>
      <w:r>
        <w:rPr>
          <w:rStyle w:val="CharSectno"/>
        </w:rPr>
        <w:t>96</w:t>
      </w:r>
      <w:r>
        <w:t>.</w:t>
      </w:r>
      <w:r>
        <w:tab/>
        <w:t>NCC must not make coverage recommendation if tender approval decision becomes irrevocable</w:t>
      </w:r>
      <w:bookmarkEnd w:id="785"/>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786" w:name="_Toc176259447"/>
      <w:r>
        <w:rPr>
          <w:rStyle w:val="CharSectno"/>
        </w:rPr>
        <w:t>97</w:t>
      </w:r>
      <w:r>
        <w:t>.</w:t>
      </w:r>
      <w:r>
        <w:tab/>
        <w:t>Principles governing the making of a coverage recommendation</w:t>
      </w:r>
      <w:bookmarkEnd w:id="7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787" w:name="_Toc176259448"/>
      <w:r>
        <w:rPr>
          <w:rStyle w:val="CharSectno"/>
        </w:rPr>
        <w:t>98</w:t>
      </w:r>
      <w:r>
        <w:t>.</w:t>
      </w:r>
      <w:r>
        <w:tab/>
        <w:t>Initial classification decision to be made as part of recommendation</w:t>
      </w:r>
      <w:bookmarkEnd w:id="7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788" w:name="_Toc176259449"/>
      <w:r>
        <w:rPr>
          <w:rStyle w:val="CharSectno"/>
        </w:rPr>
        <w:lastRenderedPageBreak/>
        <w:t>99</w:t>
      </w:r>
      <w:r>
        <w:t>.</w:t>
      </w:r>
      <w:r>
        <w:tab/>
        <w:t>Relevant Minister’s determination on application</w:t>
      </w:r>
      <w:bookmarkEnd w:id="7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789" w:name="_Toc176259450"/>
      <w:r>
        <w:rPr>
          <w:rStyle w:val="CharSectno"/>
        </w:rPr>
        <w:t>100</w:t>
      </w:r>
      <w:r>
        <w:t>.</w:t>
      </w:r>
      <w:r>
        <w:tab/>
        <w:t>Principles governing the making of a coverage determination or decision not to do so</w:t>
      </w:r>
      <w:bookmarkEnd w:id="7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790" w:name="_Toc176259451"/>
      <w:r>
        <w:rPr>
          <w:rStyle w:val="CharSectno"/>
        </w:rPr>
        <w:t>101</w:t>
      </w:r>
      <w:r>
        <w:t>.</w:t>
      </w:r>
      <w:r>
        <w:tab/>
        <w:t>Operation and effect of coverage determination</w:t>
      </w:r>
      <w:bookmarkEnd w:id="790"/>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791" w:name="_Toc175836492"/>
      <w:bookmarkStart w:id="792" w:name="_Toc175837604"/>
      <w:bookmarkStart w:id="793" w:name="_Toc175842312"/>
      <w:bookmarkStart w:id="794" w:name="_Toc175913915"/>
      <w:bookmarkStart w:id="795" w:name="_Toc175914719"/>
      <w:bookmarkStart w:id="796" w:name="_Toc175922610"/>
      <w:bookmarkStart w:id="797" w:name="_Toc176256914"/>
      <w:bookmarkStart w:id="798" w:name="_Toc176259452"/>
      <w:r>
        <w:t>Division 2 — Coverage revocation determinations</w:t>
      </w:r>
      <w:bookmarkEnd w:id="791"/>
      <w:bookmarkEnd w:id="792"/>
      <w:bookmarkEnd w:id="793"/>
      <w:bookmarkEnd w:id="794"/>
      <w:bookmarkEnd w:id="795"/>
      <w:bookmarkEnd w:id="796"/>
      <w:bookmarkEnd w:id="797"/>
      <w:bookmarkEnd w:id="798"/>
    </w:p>
    <w:p>
      <w:pPr>
        <w:pStyle w:val="Heading5"/>
      </w:pPr>
      <w:bookmarkStart w:id="799" w:name="_Toc176259453"/>
      <w:r>
        <w:rPr>
          <w:rStyle w:val="CharSectno"/>
        </w:rPr>
        <w:t>102</w:t>
      </w:r>
      <w:r>
        <w:t>.</w:t>
      </w:r>
      <w:r>
        <w:tab/>
        <w:t>Application for a determination that a pipeline no longer be a covered pipeline</w:t>
      </w:r>
      <w:bookmarkEnd w:id="7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800" w:name="_Toc176259454"/>
      <w:r>
        <w:rPr>
          <w:rStyle w:val="CharSectno"/>
        </w:rPr>
        <w:t>103</w:t>
      </w:r>
      <w:r>
        <w:t>.</w:t>
      </w:r>
      <w:r>
        <w:tab/>
        <w:t>Application to be dealt with in accordance with the Rules</w:t>
      </w:r>
      <w:bookmarkEnd w:id="800"/>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801" w:name="_Toc176259455"/>
      <w:r>
        <w:rPr>
          <w:rStyle w:val="CharSectno"/>
        </w:rPr>
        <w:lastRenderedPageBreak/>
        <w:t>104</w:t>
      </w:r>
      <w:r>
        <w:t>.</w:t>
      </w:r>
      <w:r>
        <w:tab/>
        <w:t>NCC coverage revocation recommendation</w:t>
      </w:r>
      <w:bookmarkEnd w:id="8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802" w:name="_Toc176259456"/>
      <w:r>
        <w:rPr>
          <w:rStyle w:val="CharSectno"/>
        </w:rPr>
        <w:lastRenderedPageBreak/>
        <w:t>105</w:t>
      </w:r>
      <w:r>
        <w:t>.</w:t>
      </w:r>
      <w:r>
        <w:tab/>
        <w:t>Principles governing the making of a coverage revocation recommendation</w:t>
      </w:r>
      <w:bookmarkEnd w:id="8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803" w:name="_Toc176259457"/>
      <w:r>
        <w:rPr>
          <w:rStyle w:val="CharSectno"/>
        </w:rPr>
        <w:t>106</w:t>
      </w:r>
      <w:r>
        <w:t>.</w:t>
      </w:r>
      <w:r>
        <w:tab/>
        <w:t>Relevant Minister’s determination on application</w:t>
      </w:r>
      <w:bookmarkEnd w:id="8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804" w:name="_Toc176259458"/>
      <w:r>
        <w:rPr>
          <w:rStyle w:val="CharSectno"/>
        </w:rPr>
        <w:t>107</w:t>
      </w:r>
      <w:r>
        <w:t>.</w:t>
      </w:r>
      <w:r>
        <w:tab/>
        <w:t>Principles governing the making of a coverage revocation determination or decision not to do so</w:t>
      </w:r>
      <w:bookmarkEnd w:id="80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805" w:name="_Toc176259459"/>
      <w:r>
        <w:rPr>
          <w:rStyle w:val="CharSectno"/>
        </w:rPr>
        <w:t>108</w:t>
      </w:r>
      <w:r>
        <w:t>.</w:t>
      </w:r>
      <w:r>
        <w:tab/>
        <w:t>Operation and effect of coverage revocation determination</w:t>
      </w:r>
      <w:bookmarkEnd w:id="805"/>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806" w:name="_Toc175836500"/>
      <w:bookmarkStart w:id="807" w:name="_Toc175837612"/>
      <w:bookmarkStart w:id="808" w:name="_Toc175842320"/>
      <w:bookmarkStart w:id="809" w:name="_Toc175913923"/>
      <w:bookmarkStart w:id="810" w:name="_Toc175914727"/>
      <w:bookmarkStart w:id="811" w:name="_Toc175922618"/>
      <w:bookmarkStart w:id="812" w:name="_Toc176256922"/>
      <w:bookmarkStart w:id="813" w:name="_Toc176259460"/>
      <w:r>
        <w:rPr>
          <w:rStyle w:val="CharDivNo"/>
        </w:rPr>
        <w:lastRenderedPageBreak/>
        <w:t>Part 2</w:t>
      </w:r>
      <w:r>
        <w:t xml:space="preserve"> — </w:t>
      </w:r>
      <w:r>
        <w:rPr>
          <w:rStyle w:val="CharDivText"/>
        </w:rPr>
        <w:t>Light regulation of covered pipeline services</w:t>
      </w:r>
      <w:bookmarkEnd w:id="806"/>
      <w:bookmarkEnd w:id="807"/>
      <w:bookmarkEnd w:id="808"/>
      <w:bookmarkEnd w:id="809"/>
      <w:bookmarkEnd w:id="810"/>
      <w:bookmarkEnd w:id="811"/>
      <w:bookmarkEnd w:id="812"/>
      <w:bookmarkEnd w:id="813"/>
    </w:p>
    <w:p>
      <w:pPr>
        <w:pStyle w:val="Heading4"/>
      </w:pPr>
      <w:bookmarkStart w:id="814" w:name="_Toc175836501"/>
      <w:bookmarkStart w:id="815" w:name="_Toc175837613"/>
      <w:bookmarkStart w:id="816" w:name="_Toc175842321"/>
      <w:bookmarkStart w:id="817" w:name="_Toc175913924"/>
      <w:bookmarkStart w:id="818" w:name="_Toc175914728"/>
      <w:bookmarkStart w:id="819" w:name="_Toc175922619"/>
      <w:bookmarkStart w:id="820" w:name="_Toc176256923"/>
      <w:bookmarkStart w:id="821" w:name="_Toc176259461"/>
      <w:r>
        <w:t>Division 1 — Making of light regulation determinations</w:t>
      </w:r>
      <w:bookmarkEnd w:id="814"/>
      <w:bookmarkEnd w:id="815"/>
      <w:bookmarkEnd w:id="816"/>
      <w:bookmarkEnd w:id="817"/>
      <w:bookmarkEnd w:id="818"/>
      <w:bookmarkEnd w:id="819"/>
      <w:bookmarkEnd w:id="820"/>
      <w:bookmarkEnd w:id="821"/>
    </w:p>
    <w:p>
      <w:pPr>
        <w:pStyle w:val="Heading4"/>
      </w:pPr>
      <w:bookmarkStart w:id="822" w:name="_Toc175836502"/>
      <w:bookmarkStart w:id="823" w:name="_Toc175837614"/>
      <w:bookmarkStart w:id="824" w:name="_Toc175842322"/>
      <w:bookmarkStart w:id="825" w:name="_Toc175913925"/>
      <w:bookmarkStart w:id="826" w:name="_Toc175914729"/>
      <w:bookmarkStart w:id="827" w:name="_Toc175922620"/>
      <w:bookmarkStart w:id="828" w:name="_Toc176256924"/>
      <w:bookmarkStart w:id="829" w:name="_Toc176259462"/>
      <w:r>
        <w:t>Subdivision 1 — Decisions when pipeline is not a covered pipeline</w:t>
      </w:r>
      <w:bookmarkEnd w:id="822"/>
      <w:bookmarkEnd w:id="823"/>
      <w:bookmarkEnd w:id="824"/>
      <w:bookmarkEnd w:id="825"/>
      <w:bookmarkEnd w:id="826"/>
      <w:bookmarkEnd w:id="827"/>
      <w:bookmarkEnd w:id="828"/>
      <w:bookmarkEnd w:id="829"/>
    </w:p>
    <w:p>
      <w:pPr>
        <w:pStyle w:val="Heading5"/>
      </w:pPr>
      <w:bookmarkStart w:id="830" w:name="_Toc176259463"/>
      <w:r>
        <w:rPr>
          <w:rStyle w:val="CharSectno"/>
        </w:rPr>
        <w:t>109</w:t>
      </w:r>
      <w:r>
        <w:t>.</w:t>
      </w:r>
      <w:r>
        <w:tab/>
        <w:t>Application of Subdivision</w:t>
      </w:r>
      <w:bookmarkEnd w:id="830"/>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831" w:name="_Toc176259464"/>
      <w:r>
        <w:rPr>
          <w:rStyle w:val="CharSectno"/>
        </w:rPr>
        <w:t>110</w:t>
      </w:r>
      <w:r>
        <w:t>.</w:t>
      </w:r>
      <w:r>
        <w:tab/>
        <w:t>NCC’s decision on light regulation of pipeline services</w:t>
      </w:r>
      <w:bookmarkEnd w:id="8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832" w:name="_Toc175836505"/>
      <w:bookmarkStart w:id="833" w:name="_Toc175837617"/>
      <w:bookmarkStart w:id="834" w:name="_Toc175842325"/>
      <w:bookmarkStart w:id="835" w:name="_Toc175913928"/>
      <w:bookmarkStart w:id="836" w:name="_Toc175914732"/>
      <w:bookmarkStart w:id="837" w:name="_Toc175922623"/>
      <w:bookmarkStart w:id="838" w:name="_Toc176256927"/>
      <w:bookmarkStart w:id="839" w:name="_Toc176259465"/>
      <w:r>
        <w:t>Subdivision 2 — Decisions when pipeline is a covered pipeline</w:t>
      </w:r>
      <w:bookmarkEnd w:id="832"/>
      <w:bookmarkEnd w:id="833"/>
      <w:bookmarkEnd w:id="834"/>
      <w:bookmarkEnd w:id="835"/>
      <w:bookmarkEnd w:id="836"/>
      <w:bookmarkEnd w:id="837"/>
      <w:bookmarkEnd w:id="838"/>
      <w:bookmarkEnd w:id="839"/>
    </w:p>
    <w:p>
      <w:pPr>
        <w:pStyle w:val="Heading5"/>
      </w:pPr>
      <w:bookmarkStart w:id="840" w:name="_Toc176259466"/>
      <w:r>
        <w:rPr>
          <w:rStyle w:val="CharSectno"/>
        </w:rPr>
        <w:t>111</w:t>
      </w:r>
      <w:r>
        <w:t>.</w:t>
      </w:r>
      <w:r>
        <w:tab/>
        <w:t>Application of Subdivision</w:t>
      </w:r>
      <w:bookmarkEnd w:id="840"/>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841" w:name="_Toc176259467"/>
      <w:r>
        <w:rPr>
          <w:rStyle w:val="CharSectno"/>
        </w:rPr>
        <w:t>112</w:t>
      </w:r>
      <w:r>
        <w:t>.</w:t>
      </w:r>
      <w:r>
        <w:tab/>
        <w:t>Application</w:t>
      </w:r>
      <w:bookmarkEnd w:id="8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842" w:name="_Toc176259468"/>
      <w:r>
        <w:rPr>
          <w:rStyle w:val="CharSectno"/>
        </w:rPr>
        <w:t>113</w:t>
      </w:r>
      <w:r>
        <w:t>.</w:t>
      </w:r>
      <w:r>
        <w:tab/>
        <w:t>Application to be dealt with in accordance with the Rules</w:t>
      </w:r>
      <w:bookmarkEnd w:id="842"/>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843" w:name="_Toc176259469"/>
      <w:r>
        <w:rPr>
          <w:rStyle w:val="CharSectno"/>
        </w:rPr>
        <w:lastRenderedPageBreak/>
        <w:t>114</w:t>
      </w:r>
      <w:r>
        <w:t>.</w:t>
      </w:r>
      <w:r>
        <w:tab/>
        <w:t>NCC’s decision on light regulation of pipeline services</w:t>
      </w:r>
      <w:bookmarkEnd w:id="8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844" w:name="_Toc175836510"/>
      <w:bookmarkStart w:id="845" w:name="_Toc175837622"/>
      <w:bookmarkStart w:id="846" w:name="_Toc175842330"/>
      <w:bookmarkStart w:id="847" w:name="_Toc175913933"/>
      <w:bookmarkStart w:id="848" w:name="_Toc175914737"/>
      <w:bookmarkStart w:id="849" w:name="_Toc175922628"/>
      <w:bookmarkStart w:id="850" w:name="_Toc176256932"/>
      <w:bookmarkStart w:id="851" w:name="_Toc176259470"/>
      <w:r>
        <w:t>Subdivision 3 — Operation and effect of light regulation determinations</w:t>
      </w:r>
      <w:bookmarkEnd w:id="844"/>
      <w:bookmarkEnd w:id="845"/>
      <w:bookmarkEnd w:id="846"/>
      <w:bookmarkEnd w:id="847"/>
      <w:bookmarkEnd w:id="848"/>
      <w:bookmarkEnd w:id="849"/>
      <w:bookmarkEnd w:id="850"/>
      <w:bookmarkEnd w:id="851"/>
    </w:p>
    <w:p>
      <w:pPr>
        <w:pStyle w:val="Heading5"/>
      </w:pPr>
      <w:bookmarkStart w:id="852" w:name="_Toc176259471"/>
      <w:r>
        <w:rPr>
          <w:rStyle w:val="CharSectno"/>
        </w:rPr>
        <w:t>115</w:t>
      </w:r>
      <w:r>
        <w:t>.</w:t>
      </w:r>
      <w:r>
        <w:tab/>
        <w:t>When light regulation determinations take effect</w:t>
      </w:r>
      <w:bookmarkEnd w:id="8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853" w:name="_Toc176259472"/>
      <w:r>
        <w:rPr>
          <w:rStyle w:val="CharSectno"/>
        </w:rPr>
        <w:t>116</w:t>
      </w:r>
      <w:r>
        <w:t>.</w:t>
      </w:r>
      <w:r>
        <w:tab/>
        <w:t>Submission of limited access arrangement for light regulation services</w:t>
      </w:r>
      <w:bookmarkEnd w:id="8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854" w:name="_Toc175836513"/>
      <w:bookmarkStart w:id="855" w:name="_Toc175837625"/>
      <w:bookmarkStart w:id="856" w:name="_Toc175842333"/>
      <w:bookmarkStart w:id="857" w:name="_Toc175913936"/>
      <w:bookmarkStart w:id="858" w:name="_Toc175914740"/>
      <w:bookmarkStart w:id="859" w:name="_Toc175922631"/>
      <w:bookmarkStart w:id="860" w:name="_Toc176256935"/>
      <w:bookmarkStart w:id="861" w:name="_Toc176259473"/>
      <w:r>
        <w:lastRenderedPageBreak/>
        <w:t>Division 2 — Revocation of light regulation determinations</w:t>
      </w:r>
      <w:bookmarkEnd w:id="854"/>
      <w:bookmarkEnd w:id="855"/>
      <w:bookmarkEnd w:id="856"/>
      <w:bookmarkEnd w:id="857"/>
      <w:bookmarkEnd w:id="858"/>
      <w:bookmarkEnd w:id="859"/>
      <w:bookmarkEnd w:id="860"/>
      <w:bookmarkEnd w:id="861"/>
    </w:p>
    <w:p>
      <w:pPr>
        <w:pStyle w:val="Heading4"/>
      </w:pPr>
      <w:bookmarkStart w:id="862" w:name="_Toc175836514"/>
      <w:bookmarkStart w:id="863" w:name="_Toc175837626"/>
      <w:bookmarkStart w:id="864" w:name="_Toc175842334"/>
      <w:bookmarkStart w:id="865" w:name="_Toc175913937"/>
      <w:bookmarkStart w:id="866" w:name="_Toc175914741"/>
      <w:bookmarkStart w:id="867" w:name="_Toc175922632"/>
      <w:bookmarkStart w:id="868" w:name="_Toc176256936"/>
      <w:bookmarkStart w:id="869" w:name="_Toc176259474"/>
      <w:r>
        <w:t>Subdivision 1 — On advice from service providers</w:t>
      </w:r>
      <w:bookmarkEnd w:id="862"/>
      <w:bookmarkEnd w:id="863"/>
      <w:bookmarkEnd w:id="864"/>
      <w:bookmarkEnd w:id="865"/>
      <w:bookmarkEnd w:id="866"/>
      <w:bookmarkEnd w:id="867"/>
      <w:bookmarkEnd w:id="868"/>
      <w:bookmarkEnd w:id="869"/>
    </w:p>
    <w:p>
      <w:pPr>
        <w:pStyle w:val="Heading5"/>
      </w:pPr>
      <w:bookmarkStart w:id="870" w:name="_Toc176259475"/>
      <w:r>
        <w:rPr>
          <w:rStyle w:val="CharSectno"/>
        </w:rPr>
        <w:t>117</w:t>
      </w:r>
      <w:r>
        <w:t>.</w:t>
      </w:r>
      <w:r>
        <w:tab/>
        <w:t>Advice by service provider that light regulation services should cease to be light regulation services</w:t>
      </w:r>
      <w:bookmarkEnd w:id="8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871" w:name="_Toc175836516"/>
      <w:bookmarkStart w:id="872" w:name="_Toc175837628"/>
      <w:bookmarkStart w:id="873" w:name="_Toc175842336"/>
      <w:bookmarkStart w:id="874" w:name="_Toc175913939"/>
      <w:bookmarkStart w:id="875" w:name="_Toc175914743"/>
      <w:bookmarkStart w:id="876" w:name="_Toc175922634"/>
      <w:bookmarkStart w:id="877" w:name="_Toc176256938"/>
      <w:bookmarkStart w:id="878" w:name="_Toc176259476"/>
      <w:r>
        <w:lastRenderedPageBreak/>
        <w:t>Subdivision 2 — On application by persons other than service providers</w:t>
      </w:r>
      <w:bookmarkEnd w:id="871"/>
      <w:bookmarkEnd w:id="872"/>
      <w:bookmarkEnd w:id="873"/>
      <w:bookmarkEnd w:id="874"/>
      <w:bookmarkEnd w:id="875"/>
      <w:bookmarkEnd w:id="876"/>
      <w:bookmarkEnd w:id="877"/>
      <w:bookmarkEnd w:id="878"/>
    </w:p>
    <w:p>
      <w:pPr>
        <w:pStyle w:val="Heading5"/>
      </w:pPr>
      <w:bookmarkStart w:id="879" w:name="_Toc176259477"/>
      <w:r>
        <w:rPr>
          <w:rStyle w:val="CharSectno"/>
        </w:rPr>
        <w:t>118</w:t>
      </w:r>
      <w:r>
        <w:t>.</w:t>
      </w:r>
      <w:r>
        <w:tab/>
        <w:t>Application (other than by service provider) for revocation of light regulation determinations</w:t>
      </w:r>
      <w:bookmarkEnd w:id="8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880" w:name="_Toc176259478"/>
      <w:r>
        <w:rPr>
          <w:rStyle w:val="CharSectno"/>
        </w:rPr>
        <w:t>119</w:t>
      </w:r>
      <w:r>
        <w:t>.</w:t>
      </w:r>
      <w:r>
        <w:tab/>
        <w:t>Decisions on applications made around time of applications for coverage revocation determinations</w:t>
      </w:r>
      <w:bookmarkEnd w:id="8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881" w:name="_Toc176259479"/>
      <w:r>
        <w:rPr>
          <w:rStyle w:val="CharSectno"/>
        </w:rPr>
        <w:t>120</w:t>
      </w:r>
      <w:r>
        <w:t>.</w:t>
      </w:r>
      <w:r>
        <w:tab/>
        <w:t>NCC decision on application where no application for a coverage revocation recommendation</w:t>
      </w:r>
      <w:bookmarkEnd w:id="8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no application for a coverage revocation determination in respect of the covered pipeline (by means of which the light regulation services the subject of the application under section 118) are provided is made before the NCC makes its </w:t>
      </w:r>
      <w:r>
        <w:rPr>
          <w:color w:val="000000"/>
          <w:sz w:val="23"/>
          <w:szCs w:val="23"/>
        </w:rPr>
        <w:lastRenderedPageBreak/>
        <w:t>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882" w:name="_Toc176259480"/>
      <w:r>
        <w:rPr>
          <w:rStyle w:val="CharSectno"/>
        </w:rPr>
        <w:t>121</w:t>
      </w:r>
      <w:r>
        <w:t>.</w:t>
      </w:r>
      <w:r>
        <w:tab/>
        <w:t>Operation and effect of decision of NCC under this Division</w:t>
      </w:r>
      <w:bookmarkEnd w:id="88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883" w:name="_Toc175836521"/>
      <w:bookmarkStart w:id="884" w:name="_Toc175837633"/>
      <w:bookmarkStart w:id="885" w:name="_Toc175842341"/>
      <w:bookmarkStart w:id="886" w:name="_Toc175913944"/>
      <w:bookmarkStart w:id="887" w:name="_Toc175914748"/>
      <w:bookmarkStart w:id="888" w:name="_Toc175922639"/>
      <w:bookmarkStart w:id="889" w:name="_Toc176256943"/>
      <w:bookmarkStart w:id="890" w:name="_Toc176259481"/>
      <w:r>
        <w:t>Division 3 — Principles governing light regulation determinations</w:t>
      </w:r>
      <w:bookmarkEnd w:id="883"/>
      <w:bookmarkEnd w:id="884"/>
      <w:bookmarkEnd w:id="885"/>
      <w:bookmarkEnd w:id="886"/>
      <w:bookmarkEnd w:id="887"/>
      <w:bookmarkEnd w:id="888"/>
      <w:bookmarkEnd w:id="889"/>
      <w:bookmarkEnd w:id="890"/>
    </w:p>
    <w:p>
      <w:pPr>
        <w:pStyle w:val="Heading5"/>
      </w:pPr>
      <w:bookmarkStart w:id="891" w:name="_Toc176259482"/>
      <w:r>
        <w:rPr>
          <w:rStyle w:val="CharSectno"/>
        </w:rPr>
        <w:t>122</w:t>
      </w:r>
      <w:r>
        <w:t>.</w:t>
      </w:r>
      <w:r>
        <w:tab/>
        <w:t>Principles governing the making or revoking of light regulation determinations</w:t>
      </w:r>
      <w:bookmarkEnd w:id="8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lastRenderedPageBreak/>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892" w:name="_Toc175836523"/>
      <w:bookmarkStart w:id="893" w:name="_Toc175837635"/>
      <w:bookmarkStart w:id="894" w:name="_Toc175842343"/>
      <w:bookmarkStart w:id="895" w:name="_Toc175913946"/>
      <w:bookmarkStart w:id="896" w:name="_Toc175914750"/>
      <w:bookmarkStart w:id="897" w:name="_Toc175922641"/>
      <w:bookmarkStart w:id="898" w:name="_Toc176256945"/>
      <w:bookmarkStart w:id="899" w:name="_Toc176259483"/>
      <w:r>
        <w:t>Division 4 — Revocation if coverage determination not made</w:t>
      </w:r>
      <w:bookmarkEnd w:id="892"/>
      <w:bookmarkEnd w:id="893"/>
      <w:bookmarkEnd w:id="894"/>
      <w:bookmarkEnd w:id="895"/>
      <w:bookmarkEnd w:id="896"/>
      <w:bookmarkEnd w:id="897"/>
      <w:bookmarkEnd w:id="898"/>
      <w:bookmarkEnd w:id="899"/>
    </w:p>
    <w:p>
      <w:pPr>
        <w:pStyle w:val="Heading5"/>
      </w:pPr>
      <w:bookmarkStart w:id="900" w:name="_Toc176259484"/>
      <w:r>
        <w:rPr>
          <w:rStyle w:val="CharSectno"/>
        </w:rPr>
        <w:t>123</w:t>
      </w:r>
      <w:r>
        <w:t>.</w:t>
      </w:r>
      <w:r>
        <w:tab/>
        <w:t>Light regulation determination revoked if coverage determination not made</w:t>
      </w:r>
      <w:bookmarkEnd w:id="9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901" w:name="_Toc175836525"/>
      <w:bookmarkStart w:id="902" w:name="_Toc175837637"/>
      <w:bookmarkStart w:id="903" w:name="_Toc175842345"/>
      <w:bookmarkStart w:id="904" w:name="_Toc175913948"/>
      <w:bookmarkStart w:id="905" w:name="_Toc175914752"/>
      <w:bookmarkStart w:id="906" w:name="_Toc175922643"/>
      <w:bookmarkStart w:id="907" w:name="_Toc176256947"/>
      <w:bookmarkStart w:id="908" w:name="_Toc176259485"/>
      <w:r>
        <w:lastRenderedPageBreak/>
        <w:t>Division 5 — Effect of pipeline ceasing to be covered pipeline</w:t>
      </w:r>
      <w:bookmarkEnd w:id="901"/>
      <w:bookmarkEnd w:id="902"/>
      <w:bookmarkEnd w:id="903"/>
      <w:bookmarkEnd w:id="904"/>
      <w:bookmarkEnd w:id="905"/>
      <w:bookmarkEnd w:id="906"/>
      <w:bookmarkEnd w:id="907"/>
      <w:bookmarkEnd w:id="908"/>
    </w:p>
    <w:p>
      <w:pPr>
        <w:pStyle w:val="Heading5"/>
      </w:pPr>
      <w:bookmarkStart w:id="909" w:name="_Toc176259486"/>
      <w:r>
        <w:rPr>
          <w:rStyle w:val="CharSectno"/>
        </w:rPr>
        <w:t>124</w:t>
      </w:r>
      <w:r>
        <w:t>.</w:t>
      </w:r>
      <w:r>
        <w:tab/>
        <w:t>Light regulation services cease to be such services on cessation of coverage of pipeline</w:t>
      </w:r>
      <w:bookmarkEnd w:id="909"/>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910" w:name="_Toc175836527"/>
      <w:bookmarkStart w:id="911" w:name="_Toc175837639"/>
      <w:bookmarkStart w:id="912" w:name="_Toc175842347"/>
      <w:bookmarkStart w:id="913" w:name="_Toc175913950"/>
      <w:bookmarkStart w:id="914" w:name="_Toc175914754"/>
      <w:bookmarkStart w:id="915" w:name="_Toc175922645"/>
      <w:bookmarkStart w:id="916" w:name="_Toc176256949"/>
      <w:bookmarkStart w:id="917" w:name="_Toc176259487"/>
      <w:r>
        <w:t>Division 6 — AER reviews into designated pipelines</w:t>
      </w:r>
      <w:bookmarkEnd w:id="910"/>
      <w:bookmarkEnd w:id="911"/>
      <w:bookmarkEnd w:id="912"/>
      <w:bookmarkEnd w:id="913"/>
      <w:bookmarkEnd w:id="914"/>
      <w:bookmarkEnd w:id="915"/>
      <w:bookmarkEnd w:id="916"/>
      <w:bookmarkEnd w:id="917"/>
    </w:p>
    <w:p>
      <w:pPr>
        <w:pStyle w:val="Heading5"/>
      </w:pPr>
      <w:bookmarkStart w:id="918" w:name="_Toc176259488"/>
      <w:r>
        <w:rPr>
          <w:rStyle w:val="CharSectno"/>
        </w:rPr>
        <w:t>125</w:t>
      </w:r>
      <w:r>
        <w:t>.</w:t>
      </w:r>
      <w:r>
        <w:tab/>
        <w:t>AER reviews</w:t>
      </w:r>
      <w:bookmarkEnd w:id="9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919" w:name="_Toc175836529"/>
      <w:bookmarkStart w:id="920" w:name="_Toc175837641"/>
      <w:bookmarkStart w:id="921" w:name="_Toc175842349"/>
      <w:bookmarkStart w:id="922" w:name="_Toc175913952"/>
      <w:bookmarkStart w:id="923" w:name="_Toc175914756"/>
      <w:bookmarkStart w:id="924" w:name="_Toc175922647"/>
      <w:bookmarkStart w:id="925" w:name="_Toc176256951"/>
      <w:bookmarkStart w:id="926" w:name="_Toc176259489"/>
      <w:r>
        <w:rPr>
          <w:rStyle w:val="CharDivNo"/>
        </w:rPr>
        <w:t>Part 3</w:t>
      </w:r>
      <w:r>
        <w:t xml:space="preserve"> — </w:t>
      </w:r>
      <w:r>
        <w:rPr>
          <w:rStyle w:val="CharDivText"/>
        </w:rPr>
        <w:t>Coverage of pipelines the subject of tender process</w:t>
      </w:r>
      <w:bookmarkEnd w:id="919"/>
      <w:bookmarkEnd w:id="920"/>
      <w:bookmarkEnd w:id="921"/>
      <w:bookmarkEnd w:id="922"/>
      <w:bookmarkEnd w:id="923"/>
      <w:bookmarkEnd w:id="924"/>
      <w:bookmarkEnd w:id="925"/>
      <w:bookmarkEnd w:id="926"/>
    </w:p>
    <w:p>
      <w:pPr>
        <w:pStyle w:val="Heading5"/>
      </w:pPr>
      <w:bookmarkStart w:id="927" w:name="_Toc176259490"/>
      <w:r>
        <w:rPr>
          <w:rStyle w:val="CharSectno"/>
        </w:rPr>
        <w:t>126</w:t>
      </w:r>
      <w:r>
        <w:t>.</w:t>
      </w:r>
      <w:r>
        <w:tab/>
        <w:t>Tender approval pipelines deemed to be covered pipelines</w:t>
      </w:r>
      <w:bookmarkEnd w:id="9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lastRenderedPageBreak/>
        <w:tab/>
        <w:t>(b)</w:t>
      </w:r>
      <w:r>
        <w:rPr>
          <w:color w:val="000000"/>
          <w:sz w:val="20"/>
        </w:rPr>
        <w:tab/>
        <w:t>determine the relevant Minister for the purposes of that pipeline.</w:t>
      </w:r>
    </w:p>
    <w:p>
      <w:pPr>
        <w:pStyle w:val="Heading3"/>
      </w:pPr>
      <w:bookmarkStart w:id="928" w:name="_Toc175836531"/>
      <w:bookmarkStart w:id="929" w:name="_Toc175837643"/>
      <w:bookmarkStart w:id="930" w:name="_Toc175842351"/>
      <w:bookmarkStart w:id="931" w:name="_Toc175913954"/>
      <w:bookmarkStart w:id="932" w:name="_Toc175914758"/>
      <w:bookmarkStart w:id="933" w:name="_Toc175922649"/>
      <w:bookmarkStart w:id="934" w:name="_Toc176256953"/>
      <w:bookmarkStart w:id="935" w:name="_Toc176259491"/>
      <w:r>
        <w:rPr>
          <w:rStyle w:val="CharDivNo"/>
        </w:rPr>
        <w:t>Part 4</w:t>
      </w:r>
      <w:r>
        <w:t xml:space="preserve"> — </w:t>
      </w:r>
      <w:r>
        <w:rPr>
          <w:rStyle w:val="CharDivText"/>
        </w:rPr>
        <w:t>Coverage following approval of voluntary access arrangement</w:t>
      </w:r>
      <w:bookmarkEnd w:id="928"/>
      <w:bookmarkEnd w:id="929"/>
      <w:bookmarkEnd w:id="930"/>
      <w:bookmarkEnd w:id="931"/>
      <w:bookmarkEnd w:id="932"/>
      <w:bookmarkEnd w:id="933"/>
      <w:bookmarkEnd w:id="934"/>
      <w:bookmarkEnd w:id="935"/>
    </w:p>
    <w:p>
      <w:pPr>
        <w:pStyle w:val="Heading5"/>
      </w:pPr>
      <w:bookmarkStart w:id="936" w:name="_Toc176259492"/>
      <w:r>
        <w:rPr>
          <w:rStyle w:val="CharSectno"/>
        </w:rPr>
        <w:t>127</w:t>
      </w:r>
      <w:r>
        <w:t>.</w:t>
      </w:r>
      <w:r>
        <w:tab/>
        <w:t>Certain pipelines become covered pipelines on approval of voluntary access arrangement</w:t>
      </w:r>
      <w:bookmarkEnd w:id="9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937" w:name="_Toc175836533"/>
      <w:bookmarkStart w:id="938" w:name="_Toc175837645"/>
      <w:bookmarkStart w:id="939" w:name="_Toc175842353"/>
      <w:bookmarkStart w:id="940" w:name="_Toc175913956"/>
      <w:bookmarkStart w:id="941" w:name="_Toc175914760"/>
      <w:bookmarkStart w:id="942" w:name="_Toc175922651"/>
      <w:bookmarkStart w:id="943" w:name="_Toc176256955"/>
      <w:bookmarkStart w:id="944" w:name="_Toc176259493"/>
      <w:r>
        <w:rPr>
          <w:rStyle w:val="CharDivNo"/>
        </w:rPr>
        <w:lastRenderedPageBreak/>
        <w:t>Part 5</w:t>
      </w:r>
      <w:r>
        <w:t xml:space="preserve"> — </w:t>
      </w:r>
      <w:r>
        <w:rPr>
          <w:rStyle w:val="CharDivText"/>
        </w:rPr>
        <w:t>Reclassification of pipelines</w:t>
      </w:r>
      <w:bookmarkEnd w:id="937"/>
      <w:bookmarkEnd w:id="938"/>
      <w:bookmarkEnd w:id="939"/>
      <w:bookmarkEnd w:id="940"/>
      <w:bookmarkEnd w:id="941"/>
      <w:bookmarkEnd w:id="942"/>
      <w:bookmarkEnd w:id="943"/>
      <w:bookmarkEnd w:id="944"/>
    </w:p>
    <w:p>
      <w:pPr>
        <w:pStyle w:val="Heading5"/>
      </w:pPr>
      <w:bookmarkStart w:id="945" w:name="_Toc176259494"/>
      <w:r>
        <w:rPr>
          <w:rStyle w:val="CharSectno"/>
        </w:rPr>
        <w:t>128</w:t>
      </w:r>
      <w:r>
        <w:t>.</w:t>
      </w:r>
      <w:r>
        <w:tab/>
        <w:t>Service provider may apply for reclassification of pipeline</w:t>
      </w:r>
      <w:bookmarkEnd w:id="9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946" w:name="_Toc176259495"/>
      <w:r>
        <w:rPr>
          <w:rStyle w:val="CharSectno"/>
        </w:rPr>
        <w:t>129</w:t>
      </w:r>
      <w:r>
        <w:t>.</w:t>
      </w:r>
      <w:r>
        <w:tab/>
        <w:t>Reclassification decision</w:t>
      </w:r>
      <w:bookmarkEnd w:id="9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947" w:name="_Toc176259496"/>
      <w:r>
        <w:rPr>
          <w:rStyle w:val="CharSectno"/>
        </w:rPr>
        <w:t>130</w:t>
      </w:r>
      <w:r>
        <w:t>.</w:t>
      </w:r>
      <w:r>
        <w:tab/>
        <w:t>Effect of reclassification decision</w:t>
      </w:r>
      <w:bookmarkEnd w:id="947"/>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948" w:name="_Toc175836537"/>
      <w:bookmarkStart w:id="949" w:name="_Toc175837649"/>
      <w:bookmarkStart w:id="950" w:name="_Toc175842357"/>
      <w:bookmarkStart w:id="951" w:name="_Toc175913960"/>
      <w:bookmarkStart w:id="952" w:name="_Toc175914764"/>
      <w:bookmarkStart w:id="953" w:name="_Toc175922655"/>
      <w:bookmarkStart w:id="954" w:name="_Toc176256959"/>
      <w:bookmarkStart w:id="955" w:name="_Toc176259497"/>
      <w:r>
        <w:rPr>
          <w:rStyle w:val="CharPartNo"/>
        </w:rPr>
        <w:lastRenderedPageBreak/>
        <w:t>Chapter 4</w:t>
      </w:r>
      <w:r>
        <w:t xml:space="preserve"> — </w:t>
      </w:r>
      <w:r>
        <w:rPr>
          <w:rStyle w:val="CharPartText"/>
        </w:rPr>
        <w:t>General requirements for provision of covered pipeline services</w:t>
      </w:r>
      <w:bookmarkEnd w:id="948"/>
      <w:bookmarkEnd w:id="949"/>
      <w:bookmarkEnd w:id="950"/>
      <w:bookmarkEnd w:id="951"/>
      <w:bookmarkEnd w:id="952"/>
      <w:bookmarkEnd w:id="953"/>
      <w:bookmarkEnd w:id="954"/>
      <w:bookmarkEnd w:id="955"/>
    </w:p>
    <w:p>
      <w:pPr>
        <w:pStyle w:val="Heading3"/>
        <w:spacing w:before="120"/>
      </w:pPr>
      <w:bookmarkStart w:id="956" w:name="_Toc175836538"/>
      <w:bookmarkStart w:id="957" w:name="_Toc175837650"/>
      <w:bookmarkStart w:id="958" w:name="_Toc175842358"/>
      <w:bookmarkStart w:id="959" w:name="_Toc175913961"/>
      <w:bookmarkStart w:id="960" w:name="_Toc175914765"/>
      <w:bookmarkStart w:id="961" w:name="_Toc175922656"/>
      <w:bookmarkStart w:id="962" w:name="_Toc176256960"/>
      <w:bookmarkStart w:id="963" w:name="_Toc176259498"/>
      <w:r>
        <w:rPr>
          <w:rStyle w:val="CharDivNo"/>
        </w:rPr>
        <w:t>Part 1</w:t>
      </w:r>
      <w:r>
        <w:t xml:space="preserve"> — </w:t>
      </w:r>
      <w:r>
        <w:rPr>
          <w:rStyle w:val="CharDivText"/>
        </w:rPr>
        <w:t>General duties for provision of pipeline services by covered pipelines</w:t>
      </w:r>
      <w:bookmarkEnd w:id="956"/>
      <w:bookmarkEnd w:id="957"/>
      <w:bookmarkEnd w:id="958"/>
      <w:bookmarkEnd w:id="959"/>
      <w:bookmarkEnd w:id="960"/>
      <w:bookmarkEnd w:id="961"/>
      <w:bookmarkEnd w:id="962"/>
      <w:bookmarkEnd w:id="963"/>
    </w:p>
    <w:p>
      <w:pPr>
        <w:pStyle w:val="Heading5"/>
        <w:spacing w:before="120"/>
      </w:pPr>
      <w:bookmarkStart w:id="964" w:name="_Toc176259499"/>
      <w:r>
        <w:rPr>
          <w:rStyle w:val="CharSectno"/>
        </w:rPr>
        <w:t>131</w:t>
      </w:r>
      <w:r>
        <w:t>.</w:t>
      </w:r>
      <w:r>
        <w:tab/>
        <w:t>Service provider must be legal entity of a specified kind to provide pipeline services by covered pipeline</w:t>
      </w:r>
      <w:bookmarkEnd w:id="964"/>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965" w:name="_Toc176259500"/>
      <w:r>
        <w:rPr>
          <w:rStyle w:val="CharSectno"/>
        </w:rPr>
        <w:t>132</w:t>
      </w:r>
      <w:r>
        <w:t>.</w:t>
      </w:r>
      <w:r>
        <w:tab/>
        <w:t>Submission of full access arrangement or revisions to applicable full access arrangements</w:t>
      </w:r>
      <w:bookmarkEnd w:id="965"/>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covered pipeline service provider must submit to the AER, for approval by the AER under the Rules, a full access arrangement or revisions to an applicable access arrangement that is a full access arrangement, in respect of </w:t>
      </w:r>
      <w:r>
        <w:rPr>
          <w:color w:val="000000"/>
          <w:sz w:val="23"/>
          <w:szCs w:val="23"/>
        </w:rPr>
        <w:lastRenderedPageBreak/>
        <w:t>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966" w:name="_Toc176259501"/>
      <w:r>
        <w:rPr>
          <w:rStyle w:val="CharSectno"/>
        </w:rPr>
        <w:t>133</w:t>
      </w:r>
      <w:r>
        <w:t>.</w:t>
      </w:r>
      <w:r>
        <w:tab/>
        <w:t>Preventing or hindering access</w:t>
      </w:r>
      <w:bookmarkEnd w:id="9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lastRenderedPageBreak/>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967" w:name="_Toc176259502"/>
      <w:r>
        <w:rPr>
          <w:rStyle w:val="CharSectno"/>
        </w:rPr>
        <w:t>134</w:t>
      </w:r>
      <w:r>
        <w:t>.</w:t>
      </w:r>
      <w:r>
        <w:tab/>
        <w:t>Supply and haulage of natural gas</w:t>
      </w:r>
      <w:bookmarkEnd w:id="9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968" w:name="_Toc176259503"/>
      <w:r>
        <w:rPr>
          <w:rStyle w:val="CharSectno"/>
        </w:rPr>
        <w:lastRenderedPageBreak/>
        <w:t>135</w:t>
      </w:r>
      <w:r>
        <w:t>.</w:t>
      </w:r>
      <w:r>
        <w:tab/>
        <w:t>Covered pipeline service provider must comply with queuing requirements</w:t>
      </w:r>
      <w:bookmarkEnd w:id="968"/>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969" w:name="_Toc176259504"/>
      <w:r>
        <w:rPr>
          <w:rStyle w:val="CharSectno"/>
        </w:rPr>
        <w:t>136</w:t>
      </w:r>
      <w:r>
        <w:t>.</w:t>
      </w:r>
      <w:r>
        <w:tab/>
        <w:t>Covered pipeline service provider providing light regulation services must not price discriminate</w:t>
      </w:r>
      <w:bookmarkEnd w:id="969"/>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970" w:name="_Toc175836545"/>
      <w:bookmarkStart w:id="971" w:name="_Toc175837657"/>
      <w:bookmarkStart w:id="972" w:name="_Toc175842365"/>
      <w:bookmarkStart w:id="973" w:name="_Toc175913968"/>
      <w:bookmarkStart w:id="974" w:name="_Toc175914772"/>
      <w:bookmarkStart w:id="975" w:name="_Toc175922663"/>
      <w:bookmarkStart w:id="976" w:name="_Toc176256967"/>
      <w:bookmarkStart w:id="977" w:name="_Toc176259505"/>
      <w:r>
        <w:rPr>
          <w:rStyle w:val="CharDivNo"/>
        </w:rPr>
        <w:t>Part 2</w:t>
      </w:r>
      <w:r>
        <w:t xml:space="preserve"> — </w:t>
      </w:r>
      <w:r>
        <w:rPr>
          <w:rStyle w:val="CharDivText"/>
        </w:rPr>
        <w:t>Structural and operational separation requirements (ring fencing)</w:t>
      </w:r>
      <w:bookmarkEnd w:id="970"/>
      <w:bookmarkEnd w:id="971"/>
      <w:bookmarkEnd w:id="972"/>
      <w:bookmarkEnd w:id="973"/>
      <w:bookmarkEnd w:id="974"/>
      <w:bookmarkEnd w:id="975"/>
      <w:bookmarkEnd w:id="976"/>
      <w:bookmarkEnd w:id="977"/>
    </w:p>
    <w:p>
      <w:pPr>
        <w:pStyle w:val="Heading4"/>
      </w:pPr>
      <w:bookmarkStart w:id="978" w:name="_Toc175836546"/>
      <w:bookmarkStart w:id="979" w:name="_Toc175837658"/>
      <w:bookmarkStart w:id="980" w:name="_Toc175842366"/>
      <w:bookmarkStart w:id="981" w:name="_Toc175913969"/>
      <w:bookmarkStart w:id="982" w:name="_Toc175914773"/>
      <w:bookmarkStart w:id="983" w:name="_Toc175922664"/>
      <w:bookmarkStart w:id="984" w:name="_Toc176256968"/>
      <w:bookmarkStart w:id="985" w:name="_Toc176259506"/>
      <w:r>
        <w:t>Division 1 — Interpretation</w:t>
      </w:r>
      <w:bookmarkEnd w:id="978"/>
      <w:bookmarkEnd w:id="979"/>
      <w:bookmarkEnd w:id="980"/>
      <w:bookmarkEnd w:id="981"/>
      <w:bookmarkEnd w:id="982"/>
      <w:bookmarkEnd w:id="983"/>
      <w:bookmarkEnd w:id="984"/>
      <w:bookmarkEnd w:id="985"/>
    </w:p>
    <w:p>
      <w:pPr>
        <w:pStyle w:val="Heading5"/>
      </w:pPr>
      <w:bookmarkStart w:id="986" w:name="_Toc176259507"/>
      <w:r>
        <w:rPr>
          <w:rStyle w:val="CharSectno"/>
        </w:rPr>
        <w:t>137</w:t>
      </w:r>
      <w:r>
        <w:t>.</w:t>
      </w:r>
      <w:r>
        <w:tab/>
        <w:t>Definitions</w:t>
      </w:r>
      <w:bookmarkEnd w:id="98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to enable a service provider to provide balancing services in connection with a covered pipeline.</w:t>
      </w:r>
    </w:p>
    <w:p>
      <w:pPr>
        <w:pStyle w:val="Heading5"/>
      </w:pPr>
      <w:bookmarkStart w:id="987" w:name="_Toc176259508"/>
      <w:r>
        <w:rPr>
          <w:rStyle w:val="CharSectno"/>
        </w:rPr>
        <w:t>138</w:t>
      </w:r>
      <w:r>
        <w:t>.</w:t>
      </w:r>
      <w:r>
        <w:tab/>
        <w:t>Meaning of marketing staff</w:t>
      </w:r>
      <w:bookmarkEnd w:id="9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988" w:name="_Toc175836549"/>
      <w:bookmarkStart w:id="989" w:name="_Toc175837661"/>
      <w:bookmarkStart w:id="990" w:name="_Toc175842369"/>
      <w:bookmarkStart w:id="991" w:name="_Toc175913972"/>
      <w:bookmarkStart w:id="992" w:name="_Toc175914776"/>
      <w:bookmarkStart w:id="993" w:name="_Toc175922667"/>
      <w:bookmarkStart w:id="994" w:name="_Toc176256971"/>
      <w:bookmarkStart w:id="995" w:name="_Toc176259509"/>
      <w:r>
        <w:t>Division 2 — Minimum ring fencing requirements</w:t>
      </w:r>
      <w:bookmarkEnd w:id="988"/>
      <w:bookmarkEnd w:id="989"/>
      <w:bookmarkEnd w:id="990"/>
      <w:bookmarkEnd w:id="991"/>
      <w:bookmarkEnd w:id="992"/>
      <w:bookmarkEnd w:id="993"/>
      <w:bookmarkEnd w:id="994"/>
      <w:bookmarkEnd w:id="995"/>
    </w:p>
    <w:p>
      <w:pPr>
        <w:pStyle w:val="Heading5"/>
      </w:pPr>
      <w:bookmarkStart w:id="996" w:name="_Toc176259510"/>
      <w:r>
        <w:rPr>
          <w:rStyle w:val="CharSectno"/>
        </w:rPr>
        <w:t>139</w:t>
      </w:r>
      <w:r>
        <w:t>.</w:t>
      </w:r>
      <w:r>
        <w:tab/>
        <w:t>Carrying on of related businesses prohibited</w:t>
      </w:r>
      <w:bookmarkEnd w:id="996"/>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997" w:name="_Toc176259511"/>
      <w:r>
        <w:rPr>
          <w:rStyle w:val="CharSectno"/>
        </w:rPr>
        <w:t>140</w:t>
      </w:r>
      <w:r>
        <w:t>.</w:t>
      </w:r>
      <w:r>
        <w:tab/>
        <w:t>Marketing staff and the taking part in related businesses</w:t>
      </w:r>
      <w:bookmarkEnd w:id="9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998" w:name="_Toc176259512"/>
      <w:r>
        <w:rPr>
          <w:rStyle w:val="CharSectno"/>
        </w:rPr>
        <w:lastRenderedPageBreak/>
        <w:t>141</w:t>
      </w:r>
      <w:r>
        <w:t>.</w:t>
      </w:r>
      <w:r>
        <w:tab/>
        <w:t>Accounts that must be prepared, maintained and kept</w:t>
      </w:r>
      <w:bookmarkEnd w:id="998"/>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999" w:name="_Toc175836553"/>
      <w:bookmarkStart w:id="1000" w:name="_Toc175837665"/>
      <w:bookmarkStart w:id="1001" w:name="_Toc175842373"/>
      <w:bookmarkStart w:id="1002" w:name="_Toc175913976"/>
      <w:bookmarkStart w:id="1003" w:name="_Toc175914780"/>
      <w:bookmarkStart w:id="1004" w:name="_Toc175922671"/>
      <w:bookmarkStart w:id="1005" w:name="_Toc176256975"/>
      <w:bookmarkStart w:id="1006" w:name="_Toc176259513"/>
      <w:r>
        <w:t>Division 3 — Additional ring fencing requirements</w:t>
      </w:r>
      <w:bookmarkEnd w:id="999"/>
      <w:bookmarkEnd w:id="1000"/>
      <w:bookmarkEnd w:id="1001"/>
      <w:bookmarkEnd w:id="1002"/>
      <w:bookmarkEnd w:id="1003"/>
      <w:bookmarkEnd w:id="1004"/>
      <w:bookmarkEnd w:id="1005"/>
      <w:bookmarkEnd w:id="1006"/>
    </w:p>
    <w:p>
      <w:pPr>
        <w:pStyle w:val="Heading5"/>
      </w:pPr>
      <w:bookmarkStart w:id="1007" w:name="_Toc176259514"/>
      <w:r>
        <w:rPr>
          <w:rStyle w:val="CharSectno"/>
        </w:rPr>
        <w:t>142</w:t>
      </w:r>
      <w:r>
        <w:t>.</w:t>
      </w:r>
      <w:r>
        <w:tab/>
        <w:t>Division does not limit operation of Division 2</w:t>
      </w:r>
      <w:bookmarkEnd w:id="1007"/>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1008" w:name="_Toc176259515"/>
      <w:r>
        <w:t>143.</w:t>
      </w:r>
      <w:r>
        <w:tab/>
        <w:t>AER ring fencing determinations</w:t>
      </w:r>
      <w:bookmarkEnd w:id="10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1009" w:name="_Toc176259516"/>
      <w:r>
        <w:rPr>
          <w:rStyle w:val="CharSectno"/>
        </w:rPr>
        <w:lastRenderedPageBreak/>
        <w:t>144</w:t>
      </w:r>
      <w:r>
        <w:t>.</w:t>
      </w:r>
      <w:r>
        <w:tab/>
        <w:t>AER to have regard to likely compliance costs of additional ring fencing requirements</w:t>
      </w:r>
      <w:bookmarkEnd w:id="1009"/>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1010" w:name="_Toc176259517"/>
      <w:r>
        <w:rPr>
          <w:rStyle w:val="CharSectno"/>
        </w:rPr>
        <w:t>145</w:t>
      </w:r>
      <w:r>
        <w:t>.</w:t>
      </w:r>
      <w:r>
        <w:tab/>
        <w:t>Types of ring fencing requirements that may be specified in an AER ring fencing determination</w:t>
      </w:r>
      <w:bookmarkEnd w:id="1010"/>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lastRenderedPageBreak/>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1011" w:name="_Toc175836558"/>
      <w:bookmarkStart w:id="1012" w:name="_Toc175837670"/>
      <w:bookmarkStart w:id="1013" w:name="_Toc175842378"/>
      <w:bookmarkStart w:id="1014" w:name="_Toc175913981"/>
      <w:bookmarkStart w:id="1015" w:name="_Toc175914785"/>
      <w:bookmarkStart w:id="1016" w:name="_Toc175922676"/>
      <w:bookmarkStart w:id="1017" w:name="_Toc176256980"/>
      <w:bookmarkStart w:id="1018" w:name="_Toc176259518"/>
      <w:r>
        <w:t>Division 4 — AER ring fencing exemptions</w:t>
      </w:r>
      <w:bookmarkEnd w:id="1011"/>
      <w:bookmarkEnd w:id="1012"/>
      <w:bookmarkEnd w:id="1013"/>
      <w:bookmarkEnd w:id="1014"/>
      <w:bookmarkEnd w:id="1015"/>
      <w:bookmarkEnd w:id="1016"/>
      <w:bookmarkEnd w:id="1017"/>
      <w:bookmarkEnd w:id="1018"/>
    </w:p>
    <w:p>
      <w:pPr>
        <w:pStyle w:val="Heading5"/>
      </w:pPr>
      <w:bookmarkStart w:id="1019" w:name="_Toc176259519"/>
      <w:r>
        <w:rPr>
          <w:rStyle w:val="CharSectno"/>
        </w:rPr>
        <w:t>146</w:t>
      </w:r>
      <w:r>
        <w:t>.</w:t>
      </w:r>
      <w:r>
        <w:tab/>
        <w:t>Exemptions from minimum ring fencing requirements</w:t>
      </w:r>
      <w:bookmarkEnd w:id="10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1020" w:name="_Toc175836560"/>
      <w:bookmarkStart w:id="1021" w:name="_Toc175837672"/>
      <w:bookmarkStart w:id="1022" w:name="_Toc175842380"/>
      <w:bookmarkStart w:id="1023" w:name="_Toc175913983"/>
      <w:bookmarkStart w:id="1024" w:name="_Toc175914787"/>
      <w:bookmarkStart w:id="1025" w:name="_Toc175922678"/>
      <w:bookmarkStart w:id="1026" w:name="_Toc176256982"/>
      <w:bookmarkStart w:id="1027" w:name="_Toc176259520"/>
      <w:r>
        <w:lastRenderedPageBreak/>
        <w:t>Division 5 — Associate contracts</w:t>
      </w:r>
      <w:bookmarkEnd w:id="1020"/>
      <w:bookmarkEnd w:id="1021"/>
      <w:bookmarkEnd w:id="1022"/>
      <w:bookmarkEnd w:id="1023"/>
      <w:bookmarkEnd w:id="1024"/>
      <w:bookmarkEnd w:id="1025"/>
      <w:bookmarkEnd w:id="1026"/>
      <w:bookmarkEnd w:id="1027"/>
    </w:p>
    <w:p>
      <w:pPr>
        <w:pStyle w:val="Heading5"/>
      </w:pPr>
      <w:bookmarkStart w:id="1028" w:name="_Toc176259521"/>
      <w:r>
        <w:rPr>
          <w:rStyle w:val="CharSectno"/>
        </w:rPr>
        <w:t>147</w:t>
      </w:r>
      <w:r>
        <w:t>.</w:t>
      </w:r>
      <w:r>
        <w:tab/>
        <w:t>Service provider must not enter into or give effect to associate contracts that have anti</w:t>
      </w:r>
      <w:r>
        <w:noBreakHyphen/>
        <w:t>competitive effect</w:t>
      </w:r>
      <w:bookmarkEnd w:id="1028"/>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1029" w:name="_Toc176259522"/>
      <w:r>
        <w:rPr>
          <w:rStyle w:val="CharSectno"/>
        </w:rPr>
        <w:t>148</w:t>
      </w:r>
      <w:r>
        <w:t>.</w:t>
      </w:r>
      <w:r>
        <w:tab/>
        <w:t>Service provider must not enter into or give effect to associate contracts inconsistent with competitive parity rule</w:t>
      </w:r>
      <w:bookmarkEnd w:id="10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1030" w:name="_Toc175836563"/>
      <w:bookmarkStart w:id="1031" w:name="_Toc175837675"/>
      <w:bookmarkStart w:id="1032" w:name="_Toc175842383"/>
      <w:bookmarkStart w:id="1033" w:name="_Toc175913986"/>
      <w:bookmarkStart w:id="1034" w:name="_Toc175914790"/>
      <w:bookmarkStart w:id="1035" w:name="_Toc175922681"/>
      <w:bookmarkStart w:id="1036" w:name="_Toc176256985"/>
      <w:bookmarkStart w:id="1037" w:name="_Toc176259523"/>
      <w:r>
        <w:rPr>
          <w:rStyle w:val="CharPartNo"/>
        </w:rPr>
        <w:lastRenderedPageBreak/>
        <w:t>Chapter 5</w:t>
      </w:r>
      <w:r>
        <w:t xml:space="preserve"> — </w:t>
      </w:r>
      <w:r>
        <w:rPr>
          <w:rStyle w:val="CharPartText"/>
        </w:rPr>
        <w:t>Greenfields pipeline incentives</w:t>
      </w:r>
      <w:bookmarkEnd w:id="1030"/>
      <w:bookmarkEnd w:id="1031"/>
      <w:bookmarkEnd w:id="1032"/>
      <w:bookmarkEnd w:id="1033"/>
      <w:bookmarkEnd w:id="1034"/>
      <w:bookmarkEnd w:id="1035"/>
      <w:bookmarkEnd w:id="1036"/>
      <w:bookmarkEnd w:id="1037"/>
    </w:p>
    <w:p>
      <w:pPr>
        <w:pStyle w:val="Heading3"/>
      </w:pPr>
      <w:bookmarkStart w:id="1038" w:name="_Toc175836564"/>
      <w:bookmarkStart w:id="1039" w:name="_Toc175837676"/>
      <w:bookmarkStart w:id="1040" w:name="_Toc175842384"/>
      <w:bookmarkStart w:id="1041" w:name="_Toc175913987"/>
      <w:bookmarkStart w:id="1042" w:name="_Toc175914791"/>
      <w:bookmarkStart w:id="1043" w:name="_Toc175922682"/>
      <w:bookmarkStart w:id="1044" w:name="_Toc176256986"/>
      <w:bookmarkStart w:id="1045" w:name="_Toc176259524"/>
      <w:r>
        <w:rPr>
          <w:rStyle w:val="CharDivNo"/>
        </w:rPr>
        <w:t>Part 1</w:t>
      </w:r>
      <w:r>
        <w:t xml:space="preserve"> — </w:t>
      </w:r>
      <w:r>
        <w:rPr>
          <w:rStyle w:val="CharDivText"/>
        </w:rPr>
        <w:t>Interpretation</w:t>
      </w:r>
      <w:bookmarkEnd w:id="1038"/>
      <w:bookmarkEnd w:id="1039"/>
      <w:bookmarkEnd w:id="1040"/>
      <w:bookmarkEnd w:id="1041"/>
      <w:bookmarkEnd w:id="1042"/>
      <w:bookmarkEnd w:id="1043"/>
      <w:bookmarkEnd w:id="1044"/>
      <w:bookmarkEnd w:id="1045"/>
    </w:p>
    <w:p>
      <w:pPr>
        <w:pStyle w:val="Heading5"/>
      </w:pPr>
      <w:bookmarkStart w:id="1046" w:name="_Toc176259525"/>
      <w:r>
        <w:rPr>
          <w:rStyle w:val="CharSectno"/>
        </w:rPr>
        <w:t>149</w:t>
      </w:r>
      <w:r>
        <w:t>.</w:t>
      </w:r>
      <w:r>
        <w:tab/>
        <w:t>Definitions</w:t>
      </w:r>
      <w:bookmarkEnd w:id="1046"/>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1047" w:name="_Toc176259526"/>
      <w:r>
        <w:rPr>
          <w:rStyle w:val="CharSectno"/>
        </w:rPr>
        <w:t>150</w:t>
      </w:r>
      <w:r>
        <w:t>.</w:t>
      </w:r>
      <w:r>
        <w:tab/>
        <w:t>International pipeline to be a transmission pipeline for purposes of Chapter</w:t>
      </w:r>
      <w:bookmarkEnd w:id="1047"/>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1048" w:name="_Toc175836567"/>
      <w:bookmarkStart w:id="1049" w:name="_Toc175837679"/>
      <w:bookmarkStart w:id="1050" w:name="_Toc175842387"/>
      <w:bookmarkStart w:id="1051" w:name="_Toc175913990"/>
      <w:bookmarkStart w:id="1052" w:name="_Toc175914794"/>
      <w:bookmarkStart w:id="1053" w:name="_Toc175922685"/>
      <w:bookmarkStart w:id="1054" w:name="_Toc176256989"/>
      <w:bookmarkStart w:id="1055" w:name="_Toc176259527"/>
      <w:r>
        <w:rPr>
          <w:rStyle w:val="CharDivNo"/>
        </w:rPr>
        <w:lastRenderedPageBreak/>
        <w:t>Part 2</w:t>
      </w:r>
      <w:r>
        <w:t xml:space="preserve"> — </w:t>
      </w:r>
      <w:r>
        <w:rPr>
          <w:rStyle w:val="CharDivText"/>
        </w:rPr>
        <w:t>15</w:t>
      </w:r>
      <w:r>
        <w:rPr>
          <w:rStyle w:val="CharDivText"/>
        </w:rPr>
        <w:noBreakHyphen/>
        <w:t>year no</w:t>
      </w:r>
      <w:r>
        <w:rPr>
          <w:rStyle w:val="CharDivText"/>
        </w:rPr>
        <w:noBreakHyphen/>
        <w:t>coverage determinations</w:t>
      </w:r>
      <w:bookmarkEnd w:id="1048"/>
      <w:bookmarkEnd w:id="1049"/>
      <w:bookmarkEnd w:id="1050"/>
      <w:bookmarkEnd w:id="1051"/>
      <w:bookmarkEnd w:id="1052"/>
      <w:bookmarkEnd w:id="1053"/>
      <w:bookmarkEnd w:id="1054"/>
      <w:bookmarkEnd w:id="1055"/>
    </w:p>
    <w:p>
      <w:pPr>
        <w:pStyle w:val="Heading5"/>
      </w:pPr>
      <w:bookmarkStart w:id="1056" w:name="_Toc176259528"/>
      <w:r>
        <w:rPr>
          <w:rStyle w:val="CharSectno"/>
        </w:rPr>
        <w:t>151</w:t>
      </w:r>
      <w:r>
        <w:t>.</w:t>
      </w:r>
      <w:r>
        <w:tab/>
        <w:t>Application for 15</w:t>
      </w:r>
      <w:r>
        <w:noBreakHyphen/>
        <w:t>year no</w:t>
      </w:r>
      <w:r>
        <w:noBreakHyphen/>
        <w:t>coverage determination for proposed pipeline</w:t>
      </w:r>
      <w:bookmarkEnd w:id="10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1057" w:name="_Toc176259529"/>
      <w:r>
        <w:rPr>
          <w:rStyle w:val="CharSectno"/>
        </w:rPr>
        <w:lastRenderedPageBreak/>
        <w:t>152</w:t>
      </w:r>
      <w:r>
        <w:t>.</w:t>
      </w:r>
      <w:r>
        <w:tab/>
        <w:t>Application to be dealt with in accordance with the Rules</w:t>
      </w:r>
      <w:bookmarkEnd w:id="1057"/>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1058" w:name="_Toc176259530"/>
      <w:r>
        <w:rPr>
          <w:rStyle w:val="CharSectno"/>
        </w:rPr>
        <w:t>153</w:t>
      </w:r>
      <w:r>
        <w:t>.</w:t>
      </w:r>
      <w:r>
        <w:tab/>
        <w:t>No</w:t>
      </w:r>
      <w:r>
        <w:noBreakHyphen/>
        <w:t>coverage recommendation</w:t>
      </w:r>
      <w:bookmarkEnd w:id="10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059" w:name="_Toc176259531"/>
      <w:r>
        <w:rPr>
          <w:rStyle w:val="CharSectno"/>
        </w:rPr>
        <w:lastRenderedPageBreak/>
        <w:t>154</w:t>
      </w:r>
      <w:r>
        <w:t>.</w:t>
      </w:r>
      <w:r>
        <w:tab/>
        <w:t>Principles governing the making of a no</w:t>
      </w:r>
      <w:r>
        <w:noBreakHyphen/>
        <w:t>coverage recommendation</w:t>
      </w:r>
      <w:bookmarkEnd w:id="10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1060" w:name="_Toc176259532"/>
      <w:r>
        <w:rPr>
          <w:rStyle w:val="CharSectno"/>
        </w:rPr>
        <w:t>155</w:t>
      </w:r>
      <w:r>
        <w:t>.</w:t>
      </w:r>
      <w:r>
        <w:tab/>
        <w:t>Initial classification decision to be made as part of recommendation</w:t>
      </w:r>
      <w:bookmarkEnd w:id="10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1061" w:name="_Toc176259533"/>
      <w:r>
        <w:rPr>
          <w:rStyle w:val="CharSectno"/>
        </w:rPr>
        <w:t>156</w:t>
      </w:r>
      <w:r>
        <w:t>.</w:t>
      </w:r>
      <w:r>
        <w:tab/>
        <w:t>Relevant Minister’s determination on application</w:t>
      </w:r>
      <w:bookmarkEnd w:id="10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1062" w:name="_Toc176259534"/>
      <w:r>
        <w:rPr>
          <w:rStyle w:val="CharSectno"/>
        </w:rPr>
        <w:t>157</w:t>
      </w:r>
      <w:r>
        <w:t>.</w:t>
      </w:r>
      <w:r>
        <w:tab/>
        <w:t>Principles governing the making of a 15</w:t>
      </w:r>
      <w:r>
        <w:noBreakHyphen/>
        <w:t>year no</w:t>
      </w:r>
      <w:r>
        <w:noBreakHyphen/>
        <w:t>coverage determination or decision not to do so</w:t>
      </w:r>
      <w:bookmarkEnd w:id="10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1063" w:name="_Toc176259535"/>
      <w:r>
        <w:rPr>
          <w:rStyle w:val="CharSectno"/>
        </w:rPr>
        <w:t>158</w:t>
      </w:r>
      <w:r>
        <w:t>.</w:t>
      </w:r>
      <w:r>
        <w:tab/>
        <w:t>Effect of 15</w:t>
      </w:r>
      <w:r>
        <w:noBreakHyphen/>
        <w:t>year no</w:t>
      </w:r>
      <w:r>
        <w:noBreakHyphen/>
        <w:t>coverage determination</w:t>
      </w:r>
      <w:bookmarkEnd w:id="1063"/>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1064" w:name="_Toc176259536"/>
      <w:r>
        <w:rPr>
          <w:rStyle w:val="CharSectno"/>
        </w:rPr>
        <w:t>159</w:t>
      </w:r>
      <w:r>
        <w:t>.</w:t>
      </w:r>
      <w:r>
        <w:tab/>
        <w:t>Consequences of Minister deciding against making 15</w:t>
      </w:r>
      <w:r>
        <w:noBreakHyphen/>
        <w:t>year no</w:t>
      </w:r>
      <w:r>
        <w:noBreakHyphen/>
        <w:t>coverage determination for international pipeline</w:t>
      </w:r>
      <w:bookmarkEnd w:id="10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1065" w:name="_Toc175836577"/>
      <w:bookmarkStart w:id="1066" w:name="_Toc175837689"/>
      <w:bookmarkStart w:id="1067" w:name="_Toc175842397"/>
      <w:bookmarkStart w:id="1068" w:name="_Toc175914000"/>
      <w:bookmarkStart w:id="1069" w:name="_Toc175914804"/>
      <w:bookmarkStart w:id="1070" w:name="_Toc175922695"/>
      <w:bookmarkStart w:id="1071" w:name="_Toc176256999"/>
      <w:bookmarkStart w:id="1072" w:name="_Toc176259537"/>
      <w:r>
        <w:rPr>
          <w:rStyle w:val="CharDivNo"/>
        </w:rPr>
        <w:t>Part 3</w:t>
      </w:r>
      <w:r>
        <w:t xml:space="preserve"> — </w:t>
      </w:r>
      <w:r>
        <w:rPr>
          <w:rStyle w:val="CharDivText"/>
        </w:rPr>
        <w:t>Price regulation exemptions</w:t>
      </w:r>
      <w:bookmarkEnd w:id="1065"/>
      <w:bookmarkEnd w:id="1066"/>
      <w:bookmarkEnd w:id="1067"/>
      <w:bookmarkEnd w:id="1068"/>
      <w:bookmarkEnd w:id="1069"/>
      <w:bookmarkEnd w:id="1070"/>
      <w:bookmarkEnd w:id="1071"/>
      <w:bookmarkEnd w:id="1072"/>
    </w:p>
    <w:p>
      <w:pPr>
        <w:pStyle w:val="Heading4"/>
      </w:pPr>
      <w:bookmarkStart w:id="1073" w:name="_Toc175836578"/>
      <w:bookmarkStart w:id="1074" w:name="_Toc175837690"/>
      <w:bookmarkStart w:id="1075" w:name="_Toc175842398"/>
      <w:bookmarkStart w:id="1076" w:name="_Toc175914001"/>
      <w:bookmarkStart w:id="1077" w:name="_Toc175914805"/>
      <w:bookmarkStart w:id="1078" w:name="_Toc175922696"/>
      <w:bookmarkStart w:id="1079" w:name="_Toc176257000"/>
      <w:bookmarkStart w:id="1080" w:name="_Toc176259538"/>
      <w:r>
        <w:t>Division 1 — Application for price regulation exemption</w:t>
      </w:r>
      <w:bookmarkEnd w:id="1073"/>
      <w:bookmarkEnd w:id="1074"/>
      <w:bookmarkEnd w:id="1075"/>
      <w:bookmarkEnd w:id="1076"/>
      <w:bookmarkEnd w:id="1077"/>
      <w:bookmarkEnd w:id="1078"/>
      <w:bookmarkEnd w:id="1079"/>
      <w:bookmarkEnd w:id="1080"/>
    </w:p>
    <w:p>
      <w:pPr>
        <w:pStyle w:val="Heading5"/>
      </w:pPr>
      <w:bookmarkStart w:id="1081" w:name="_Toc176259539"/>
      <w:r>
        <w:rPr>
          <w:rStyle w:val="CharSectno"/>
        </w:rPr>
        <w:t>160</w:t>
      </w:r>
      <w:r>
        <w:t>.</w:t>
      </w:r>
      <w:r>
        <w:tab/>
        <w:t>Application for price regulation exemption</w:t>
      </w:r>
      <w:bookmarkEnd w:id="10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1082" w:name="_Toc175836580"/>
      <w:bookmarkStart w:id="1083" w:name="_Toc175837692"/>
      <w:bookmarkStart w:id="1084" w:name="_Toc175842400"/>
      <w:bookmarkStart w:id="1085" w:name="_Toc175914003"/>
      <w:bookmarkStart w:id="1086" w:name="_Toc175914807"/>
      <w:bookmarkStart w:id="1087" w:name="_Toc175922698"/>
      <w:bookmarkStart w:id="1088" w:name="_Toc176257002"/>
      <w:bookmarkStart w:id="1089" w:name="_Toc176259540"/>
      <w:r>
        <w:t>Division 2 — Recommendations by NCC</w:t>
      </w:r>
      <w:bookmarkEnd w:id="1082"/>
      <w:bookmarkEnd w:id="1083"/>
      <w:bookmarkEnd w:id="1084"/>
      <w:bookmarkEnd w:id="1085"/>
      <w:bookmarkEnd w:id="1086"/>
      <w:bookmarkEnd w:id="1087"/>
      <w:bookmarkEnd w:id="1088"/>
      <w:bookmarkEnd w:id="1089"/>
    </w:p>
    <w:p>
      <w:pPr>
        <w:pStyle w:val="Heading5"/>
        <w:spacing w:before="120"/>
      </w:pPr>
      <w:bookmarkStart w:id="1090" w:name="_Toc176259541"/>
      <w:r>
        <w:rPr>
          <w:rStyle w:val="CharSectno"/>
        </w:rPr>
        <w:t>161</w:t>
      </w:r>
      <w:r>
        <w:t>.</w:t>
      </w:r>
      <w:r>
        <w:tab/>
        <w:t>Application to be dealt with in accordance with the Rules</w:t>
      </w:r>
      <w:bookmarkEnd w:id="1090"/>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1091" w:name="_Toc176259542"/>
      <w:r>
        <w:rPr>
          <w:rStyle w:val="CharSectno"/>
        </w:rPr>
        <w:t>162</w:t>
      </w:r>
      <w:r>
        <w:t>.</w:t>
      </w:r>
      <w:r>
        <w:tab/>
        <w:t>NCC’s recommendation</w:t>
      </w:r>
      <w:bookmarkEnd w:id="10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1092" w:name="_Toc176259543"/>
      <w:r>
        <w:rPr>
          <w:rStyle w:val="CharSectno"/>
        </w:rPr>
        <w:t>163</w:t>
      </w:r>
      <w:r>
        <w:t>.</w:t>
      </w:r>
      <w:r>
        <w:tab/>
        <w:t>General principle governing NCC’s recommendation</w:t>
      </w:r>
      <w:bookmarkEnd w:id="10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1093" w:name="_Toc175836584"/>
      <w:bookmarkStart w:id="1094" w:name="_Toc175837696"/>
      <w:bookmarkStart w:id="1095" w:name="_Toc175842404"/>
      <w:bookmarkStart w:id="1096" w:name="_Toc175914007"/>
      <w:bookmarkStart w:id="1097" w:name="_Toc175914811"/>
      <w:bookmarkStart w:id="1098" w:name="_Toc175922702"/>
      <w:bookmarkStart w:id="1099" w:name="_Toc176257006"/>
      <w:bookmarkStart w:id="1100" w:name="_Toc176259544"/>
      <w:r>
        <w:t>Division 3 — Making and effect of price regulation exemption</w:t>
      </w:r>
      <w:bookmarkEnd w:id="1093"/>
      <w:bookmarkEnd w:id="1094"/>
      <w:bookmarkEnd w:id="1095"/>
      <w:bookmarkEnd w:id="1096"/>
      <w:bookmarkEnd w:id="1097"/>
      <w:bookmarkEnd w:id="1098"/>
      <w:bookmarkEnd w:id="1099"/>
      <w:bookmarkEnd w:id="1100"/>
    </w:p>
    <w:p>
      <w:pPr>
        <w:pStyle w:val="Heading5"/>
      </w:pPr>
      <w:bookmarkStart w:id="1101" w:name="_Toc176259545"/>
      <w:r>
        <w:rPr>
          <w:rStyle w:val="CharSectno"/>
        </w:rPr>
        <w:t>164</w:t>
      </w:r>
      <w:r>
        <w:t>.</w:t>
      </w:r>
      <w:r>
        <w:tab/>
        <w:t>Making of price regulation exemption</w:t>
      </w:r>
      <w:bookmarkEnd w:id="11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1102" w:name="_Toc176259546"/>
      <w:r>
        <w:rPr>
          <w:rStyle w:val="CharSectno"/>
        </w:rPr>
        <w:lastRenderedPageBreak/>
        <w:t>165</w:t>
      </w:r>
      <w:r>
        <w:t>.</w:t>
      </w:r>
      <w:r>
        <w:tab/>
        <w:t>Principles governing the making of a price regulation exemption</w:t>
      </w:r>
      <w:bookmarkEnd w:id="11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1103" w:name="_Toc176259547"/>
      <w:r>
        <w:rPr>
          <w:rStyle w:val="CharSectno"/>
        </w:rPr>
        <w:t>166</w:t>
      </w:r>
      <w:r>
        <w:t>.</w:t>
      </w:r>
      <w:r>
        <w:tab/>
        <w:t>Conditions applying to a price regulation exemption</w:t>
      </w:r>
      <w:bookmarkEnd w:id="1103"/>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1104" w:name="_Toc176259548"/>
      <w:r>
        <w:rPr>
          <w:rStyle w:val="CharSectno"/>
        </w:rPr>
        <w:t>167</w:t>
      </w:r>
      <w:r>
        <w:t>.</w:t>
      </w:r>
      <w:r>
        <w:tab/>
        <w:t>Effect of price regulation exemption</w:t>
      </w:r>
      <w:bookmarkEnd w:id="11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1105" w:name="_Toc175836589"/>
      <w:bookmarkStart w:id="1106" w:name="_Toc175837701"/>
      <w:bookmarkStart w:id="1107" w:name="_Toc175842409"/>
      <w:bookmarkStart w:id="1108" w:name="_Toc175914012"/>
      <w:bookmarkStart w:id="1109" w:name="_Toc175914816"/>
      <w:bookmarkStart w:id="1110" w:name="_Toc175922707"/>
      <w:bookmarkStart w:id="1111" w:name="_Toc176257011"/>
      <w:bookmarkStart w:id="1112" w:name="_Toc176259549"/>
      <w:r>
        <w:t>Division 4 — Limited access arrangements</w:t>
      </w:r>
      <w:bookmarkEnd w:id="1105"/>
      <w:bookmarkEnd w:id="1106"/>
      <w:bookmarkEnd w:id="1107"/>
      <w:bookmarkEnd w:id="1108"/>
      <w:bookmarkEnd w:id="1109"/>
      <w:bookmarkEnd w:id="1110"/>
      <w:bookmarkEnd w:id="1111"/>
      <w:bookmarkEnd w:id="1112"/>
    </w:p>
    <w:p>
      <w:pPr>
        <w:pStyle w:val="Heading5"/>
        <w:keepNext w:val="0"/>
        <w:keepLines w:val="0"/>
      </w:pPr>
      <w:bookmarkStart w:id="1113" w:name="_Toc176259550"/>
      <w:r>
        <w:rPr>
          <w:rStyle w:val="CharSectno"/>
        </w:rPr>
        <w:t>168</w:t>
      </w:r>
      <w:r>
        <w:t>.</w:t>
      </w:r>
      <w:r>
        <w:tab/>
        <w:t>Limited access arrangements for pipeline services provided by international pipeline to which a price regulation exemption applies</w:t>
      </w:r>
      <w:bookmarkEnd w:id="111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114" w:name="_Toc175836591"/>
      <w:bookmarkStart w:id="1115" w:name="_Toc175837703"/>
      <w:bookmarkStart w:id="1116" w:name="_Toc175842411"/>
      <w:bookmarkStart w:id="1117" w:name="_Toc175914014"/>
      <w:bookmarkStart w:id="1118" w:name="_Toc175914818"/>
      <w:bookmarkStart w:id="1119" w:name="_Toc175922709"/>
      <w:bookmarkStart w:id="1120" w:name="_Toc176257013"/>
      <w:bookmarkStart w:id="1121" w:name="_Toc176259551"/>
      <w:r>
        <w:t>Division 5 — Other matters</w:t>
      </w:r>
      <w:bookmarkEnd w:id="1114"/>
      <w:bookmarkEnd w:id="1115"/>
      <w:bookmarkEnd w:id="1116"/>
      <w:bookmarkEnd w:id="1117"/>
      <w:bookmarkEnd w:id="1118"/>
      <w:bookmarkEnd w:id="1119"/>
      <w:bookmarkEnd w:id="1120"/>
      <w:bookmarkEnd w:id="1121"/>
    </w:p>
    <w:p>
      <w:pPr>
        <w:pStyle w:val="Heading5"/>
      </w:pPr>
      <w:bookmarkStart w:id="1122" w:name="_Toc176259552"/>
      <w:r>
        <w:rPr>
          <w:rStyle w:val="CharSectno"/>
        </w:rPr>
        <w:t>169</w:t>
      </w:r>
      <w:r>
        <w:t>.</w:t>
      </w:r>
      <w:r>
        <w:tab/>
        <w:t>Other obligations to which service provider is subject</w:t>
      </w:r>
      <w:bookmarkEnd w:id="11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1123" w:name="_Toc176259553"/>
      <w:r>
        <w:rPr>
          <w:rStyle w:val="CharSectno"/>
        </w:rPr>
        <w:t>170</w:t>
      </w:r>
      <w:r>
        <w:t>.</w:t>
      </w:r>
      <w:r>
        <w:tab/>
        <w:t>Service provider must not price discriminate in providing international pipeline services</w:t>
      </w:r>
      <w:bookmarkEnd w:id="11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1124" w:name="_Toc175836594"/>
      <w:bookmarkStart w:id="1125" w:name="_Toc175837706"/>
      <w:bookmarkStart w:id="1126" w:name="_Toc175842414"/>
      <w:bookmarkStart w:id="1127" w:name="_Toc175914017"/>
      <w:bookmarkStart w:id="1128" w:name="_Toc175914821"/>
      <w:bookmarkStart w:id="1129" w:name="_Toc175922712"/>
      <w:bookmarkStart w:id="1130" w:name="_Toc176257016"/>
      <w:bookmarkStart w:id="1131" w:name="_Toc176259554"/>
      <w:r>
        <w:rPr>
          <w:rStyle w:val="CharDivNo"/>
        </w:rPr>
        <w:lastRenderedPageBreak/>
        <w:t>Part 4</w:t>
      </w:r>
      <w:r>
        <w:t xml:space="preserve"> — </w:t>
      </w:r>
      <w:r>
        <w:rPr>
          <w:rStyle w:val="CharDivText"/>
        </w:rPr>
        <w:t>Extended or modified application of greenfields pipeline incentive</w:t>
      </w:r>
      <w:bookmarkEnd w:id="1124"/>
      <w:bookmarkEnd w:id="1125"/>
      <w:bookmarkEnd w:id="1126"/>
      <w:bookmarkEnd w:id="1127"/>
      <w:bookmarkEnd w:id="1128"/>
      <w:bookmarkEnd w:id="1129"/>
      <w:bookmarkEnd w:id="1130"/>
      <w:bookmarkEnd w:id="1131"/>
    </w:p>
    <w:p>
      <w:pPr>
        <w:pStyle w:val="Heading5"/>
      </w:pPr>
      <w:bookmarkStart w:id="1132" w:name="_Toc176259555"/>
      <w:r>
        <w:rPr>
          <w:rStyle w:val="CharSectno"/>
        </w:rPr>
        <w:t>171</w:t>
      </w:r>
      <w:r>
        <w:t>.</w:t>
      </w:r>
      <w:r>
        <w:tab/>
        <w:t>Requirement for conformity between pipeline description and pipeline as constructed</w:t>
      </w:r>
      <w:bookmarkEnd w:id="11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1133" w:name="_Toc176259556"/>
      <w:r>
        <w:rPr>
          <w:rStyle w:val="CharSectno"/>
        </w:rPr>
        <w:t>172</w:t>
      </w:r>
      <w:r>
        <w:t>.</w:t>
      </w:r>
      <w:r>
        <w:tab/>
        <w:t>Power of relevant Minister to amend pipeline description</w:t>
      </w:r>
      <w:bookmarkEnd w:id="11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1134" w:name="_Toc175836597"/>
      <w:bookmarkStart w:id="1135" w:name="_Toc175837709"/>
      <w:bookmarkStart w:id="1136" w:name="_Toc175842417"/>
      <w:bookmarkStart w:id="1137" w:name="_Toc175914020"/>
      <w:bookmarkStart w:id="1138" w:name="_Toc175914824"/>
      <w:bookmarkStart w:id="1139" w:name="_Toc175922715"/>
      <w:bookmarkStart w:id="1140" w:name="_Toc176257019"/>
      <w:bookmarkStart w:id="1141" w:name="_Toc176259557"/>
      <w:r>
        <w:rPr>
          <w:rStyle w:val="CharDivNo"/>
        </w:rPr>
        <w:t>Part 5</w:t>
      </w:r>
      <w:r>
        <w:t xml:space="preserve"> — </w:t>
      </w:r>
      <w:r>
        <w:rPr>
          <w:rStyle w:val="CharDivText"/>
        </w:rPr>
        <w:t>Early termination of greenfields pipeline incentive</w:t>
      </w:r>
      <w:bookmarkEnd w:id="1134"/>
      <w:bookmarkEnd w:id="1135"/>
      <w:bookmarkEnd w:id="1136"/>
      <w:bookmarkEnd w:id="1137"/>
      <w:bookmarkEnd w:id="1138"/>
      <w:bookmarkEnd w:id="1139"/>
      <w:bookmarkEnd w:id="1140"/>
      <w:bookmarkEnd w:id="1141"/>
    </w:p>
    <w:p>
      <w:pPr>
        <w:pStyle w:val="Heading5"/>
      </w:pPr>
      <w:bookmarkStart w:id="1142" w:name="_Toc176259558"/>
      <w:r>
        <w:rPr>
          <w:rStyle w:val="CharSectno"/>
        </w:rPr>
        <w:t>173</w:t>
      </w:r>
      <w:r>
        <w:t>.</w:t>
      </w:r>
      <w:r>
        <w:tab/>
        <w:t>Greenfields pipeline incentive may lapse</w:t>
      </w:r>
      <w:bookmarkEnd w:id="11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1143" w:name="_Toc176259559"/>
      <w:r>
        <w:rPr>
          <w:rStyle w:val="CharSectno"/>
        </w:rPr>
        <w:t>174</w:t>
      </w:r>
      <w:r>
        <w:t>.</w:t>
      </w:r>
      <w:r>
        <w:tab/>
        <w:t>Revocation by consent</w:t>
      </w:r>
      <w:bookmarkEnd w:id="1143"/>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1144" w:name="_Toc176259560"/>
      <w:r>
        <w:rPr>
          <w:rStyle w:val="CharSectno"/>
        </w:rPr>
        <w:t>175</w:t>
      </w:r>
      <w:r>
        <w:t>.</w:t>
      </w:r>
      <w:r>
        <w:tab/>
        <w:t>Revocation for misrepresentation</w:t>
      </w:r>
      <w:bookmarkEnd w:id="1144"/>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failed to disclose material information that the applicant was required to disclose under this Chapter.</w:t>
      </w:r>
    </w:p>
    <w:p>
      <w:pPr>
        <w:pStyle w:val="Heading5"/>
      </w:pPr>
      <w:bookmarkStart w:id="1145" w:name="_Toc176259561"/>
      <w:r>
        <w:rPr>
          <w:rStyle w:val="CharSectno"/>
        </w:rPr>
        <w:t>176</w:t>
      </w:r>
      <w:r>
        <w:t>.</w:t>
      </w:r>
      <w:r>
        <w:tab/>
        <w:t>Revocation for breach of condition to which a price regulation exemption is subject</w:t>
      </w:r>
      <w:bookmarkEnd w:id="1145"/>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1146" w:name="_Toc176259562"/>
      <w:r>
        <w:rPr>
          <w:rStyle w:val="CharSectno"/>
        </w:rPr>
        <w:t>177</w:t>
      </w:r>
      <w:r>
        <w:t>.</w:t>
      </w:r>
      <w:r>
        <w:tab/>
        <w:t>Exhaustive provision for termination of greenfields pipeline incentive</w:t>
      </w:r>
      <w:bookmarkEnd w:id="1146"/>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1147" w:name="_Toc175836603"/>
      <w:bookmarkStart w:id="1148" w:name="_Toc175837715"/>
      <w:bookmarkStart w:id="1149" w:name="_Toc175842423"/>
      <w:bookmarkStart w:id="1150" w:name="_Toc175914026"/>
      <w:bookmarkStart w:id="1151" w:name="_Toc175914830"/>
      <w:bookmarkStart w:id="1152" w:name="_Toc175922721"/>
      <w:bookmarkStart w:id="1153" w:name="_Toc176257025"/>
      <w:bookmarkStart w:id="1154" w:name="_Toc176259563"/>
      <w:r>
        <w:rPr>
          <w:rStyle w:val="CharPartNo"/>
        </w:rPr>
        <w:lastRenderedPageBreak/>
        <w:t>Chapter 6</w:t>
      </w:r>
      <w:r>
        <w:t xml:space="preserve"> — </w:t>
      </w:r>
      <w:r>
        <w:rPr>
          <w:rStyle w:val="CharPartText"/>
        </w:rPr>
        <w:t>Access disputes—scheme pipelines</w:t>
      </w:r>
      <w:bookmarkEnd w:id="1147"/>
      <w:bookmarkEnd w:id="1148"/>
      <w:bookmarkEnd w:id="1149"/>
      <w:bookmarkEnd w:id="1150"/>
      <w:bookmarkEnd w:id="1151"/>
      <w:bookmarkEnd w:id="1152"/>
      <w:bookmarkEnd w:id="1153"/>
      <w:bookmarkEnd w:id="1154"/>
    </w:p>
    <w:p>
      <w:pPr>
        <w:pStyle w:val="Footnoteheading"/>
      </w:pPr>
      <w:r>
        <w:tab/>
        <w:t>[Heading inserted: see SA Act No. 23 of 2017 s. 5 and WA Gazette 22 Dec 2017 p. 5984.]</w:t>
      </w:r>
    </w:p>
    <w:p>
      <w:pPr>
        <w:pStyle w:val="Heading3"/>
      </w:pPr>
      <w:bookmarkStart w:id="1155" w:name="_Toc175836604"/>
      <w:bookmarkStart w:id="1156" w:name="_Toc175837716"/>
      <w:bookmarkStart w:id="1157" w:name="_Toc175842424"/>
      <w:bookmarkStart w:id="1158" w:name="_Toc175914027"/>
      <w:bookmarkStart w:id="1159" w:name="_Toc175914831"/>
      <w:bookmarkStart w:id="1160" w:name="_Toc175922722"/>
      <w:bookmarkStart w:id="1161" w:name="_Toc176257026"/>
      <w:bookmarkStart w:id="1162" w:name="_Toc176259564"/>
      <w:r>
        <w:rPr>
          <w:rStyle w:val="CharDivNo"/>
        </w:rPr>
        <w:t>Part 1</w:t>
      </w:r>
      <w:r>
        <w:t xml:space="preserve"> — </w:t>
      </w:r>
      <w:r>
        <w:rPr>
          <w:rStyle w:val="CharDivText"/>
        </w:rPr>
        <w:t>Interpretation and application</w:t>
      </w:r>
      <w:bookmarkEnd w:id="1155"/>
      <w:bookmarkEnd w:id="1156"/>
      <w:bookmarkEnd w:id="1157"/>
      <w:bookmarkEnd w:id="1158"/>
      <w:bookmarkEnd w:id="1159"/>
      <w:bookmarkEnd w:id="1160"/>
      <w:bookmarkEnd w:id="1161"/>
      <w:bookmarkEnd w:id="1162"/>
    </w:p>
    <w:p>
      <w:pPr>
        <w:pStyle w:val="Heading5"/>
      </w:pPr>
      <w:bookmarkStart w:id="1163" w:name="_Toc176259565"/>
      <w:r>
        <w:rPr>
          <w:rStyle w:val="CharSectno"/>
        </w:rPr>
        <w:t>178</w:t>
      </w:r>
      <w:r>
        <w:t>.</w:t>
      </w:r>
      <w:r>
        <w:tab/>
        <w:t>Definitions</w:t>
      </w:r>
      <w:bookmarkEnd w:id="116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1164" w:name="_Toc176259566"/>
      <w:r>
        <w:rPr>
          <w:rStyle w:val="CharSectno"/>
        </w:rPr>
        <w:t>179</w:t>
      </w:r>
      <w:r>
        <w:t>.</w:t>
      </w:r>
      <w:r>
        <w:tab/>
        <w:t>Chapter does not limit how disputes about access may be raised or dealt with</w:t>
      </w:r>
      <w:bookmarkEnd w:id="1164"/>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1165" w:name="_Toc176259567"/>
      <w:r>
        <w:rPr>
          <w:rStyle w:val="CharSectno"/>
        </w:rPr>
        <w:t>180</w:t>
      </w:r>
      <w:r>
        <w:t>.</w:t>
      </w:r>
      <w:r>
        <w:tab/>
        <w:t>No price or revenue regulation for access disputes relating to international pipeline services</w:t>
      </w:r>
      <w:bookmarkEnd w:id="1165"/>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limiting the revenue to be derived by the service provider from the provision of a service.</w:t>
      </w:r>
    </w:p>
    <w:p>
      <w:pPr>
        <w:pStyle w:val="Heading3"/>
      </w:pPr>
      <w:bookmarkStart w:id="1166" w:name="_Toc175836608"/>
      <w:bookmarkStart w:id="1167" w:name="_Toc175837720"/>
      <w:bookmarkStart w:id="1168" w:name="_Toc175842428"/>
      <w:bookmarkStart w:id="1169" w:name="_Toc175914031"/>
      <w:bookmarkStart w:id="1170" w:name="_Toc175914835"/>
      <w:bookmarkStart w:id="1171" w:name="_Toc175922726"/>
      <w:bookmarkStart w:id="1172" w:name="_Toc176257030"/>
      <w:bookmarkStart w:id="1173" w:name="_Toc176259568"/>
      <w:r>
        <w:rPr>
          <w:rStyle w:val="CharDivNo"/>
        </w:rPr>
        <w:t>Part 2</w:t>
      </w:r>
      <w:r>
        <w:t xml:space="preserve"> — </w:t>
      </w:r>
      <w:r>
        <w:rPr>
          <w:rStyle w:val="CharDivText"/>
        </w:rPr>
        <w:t>Notification of access dispute</w:t>
      </w:r>
      <w:bookmarkEnd w:id="1166"/>
      <w:bookmarkEnd w:id="1167"/>
      <w:bookmarkEnd w:id="1168"/>
      <w:bookmarkEnd w:id="1169"/>
      <w:bookmarkEnd w:id="1170"/>
      <w:bookmarkEnd w:id="1171"/>
      <w:bookmarkEnd w:id="1172"/>
      <w:bookmarkEnd w:id="1173"/>
    </w:p>
    <w:p>
      <w:pPr>
        <w:pStyle w:val="Heading5"/>
      </w:pPr>
      <w:bookmarkStart w:id="1174" w:name="_Toc176259569"/>
      <w:r>
        <w:rPr>
          <w:rStyle w:val="CharSectno"/>
        </w:rPr>
        <w:t>181</w:t>
      </w:r>
      <w:r>
        <w:t>.</w:t>
      </w:r>
      <w:r>
        <w:tab/>
        <w:t>Notification of access dispute</w:t>
      </w:r>
      <w:bookmarkEnd w:id="11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1175" w:name="_Toc176259570"/>
      <w:r>
        <w:rPr>
          <w:rStyle w:val="CharSectno"/>
        </w:rPr>
        <w:t>181A</w:t>
      </w:r>
      <w:r>
        <w:t>.</w:t>
      </w:r>
      <w:r>
        <w:tab/>
        <w:t>Providing information for certain disputes</w:t>
      </w:r>
      <w:bookmarkEnd w:id="11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1176" w:name="_Toc176259571"/>
      <w:r>
        <w:rPr>
          <w:rStyle w:val="CharSectno"/>
        </w:rPr>
        <w:t>182</w:t>
      </w:r>
      <w:r>
        <w:t>.</w:t>
      </w:r>
      <w:r>
        <w:tab/>
        <w:t>Withdrawal of notification</w:t>
      </w:r>
      <w:bookmarkEnd w:id="11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1177" w:name="_Toc176259572"/>
      <w:r>
        <w:rPr>
          <w:rStyle w:val="CharSectno"/>
        </w:rPr>
        <w:t>183</w:t>
      </w:r>
      <w:r>
        <w:t>.</w:t>
      </w:r>
      <w:r>
        <w:tab/>
        <w:t>Parties to an access dispute</w:t>
      </w:r>
      <w:bookmarkEnd w:id="1177"/>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1178" w:name="_Toc175836613"/>
      <w:bookmarkStart w:id="1179" w:name="_Toc175837725"/>
      <w:bookmarkStart w:id="1180" w:name="_Toc175842433"/>
      <w:bookmarkStart w:id="1181" w:name="_Toc175914036"/>
      <w:bookmarkStart w:id="1182" w:name="_Toc175914840"/>
      <w:bookmarkStart w:id="1183" w:name="_Toc175922731"/>
      <w:bookmarkStart w:id="1184" w:name="_Toc176257035"/>
      <w:bookmarkStart w:id="1185" w:name="_Toc176259573"/>
      <w:r>
        <w:rPr>
          <w:rStyle w:val="CharDivNo"/>
        </w:rPr>
        <w:t>Part 3</w:t>
      </w:r>
      <w:r>
        <w:t xml:space="preserve"> — </w:t>
      </w:r>
      <w:r>
        <w:rPr>
          <w:rStyle w:val="CharDivText"/>
        </w:rPr>
        <w:t>Access determinations</w:t>
      </w:r>
      <w:bookmarkEnd w:id="1178"/>
      <w:bookmarkEnd w:id="1179"/>
      <w:bookmarkEnd w:id="1180"/>
      <w:bookmarkEnd w:id="1181"/>
      <w:bookmarkEnd w:id="1182"/>
      <w:bookmarkEnd w:id="1183"/>
      <w:bookmarkEnd w:id="1184"/>
      <w:bookmarkEnd w:id="1185"/>
    </w:p>
    <w:p>
      <w:pPr>
        <w:pStyle w:val="Heading5"/>
      </w:pPr>
      <w:bookmarkStart w:id="1186" w:name="_Toc176259574"/>
      <w:r>
        <w:rPr>
          <w:rStyle w:val="CharSectno"/>
        </w:rPr>
        <w:t>184</w:t>
      </w:r>
      <w:r>
        <w:t>.</w:t>
      </w:r>
      <w:r>
        <w:tab/>
        <w:t>Determination of access dispute</w:t>
      </w:r>
      <w:bookmarkEnd w:id="11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1187" w:name="_Toc176259575"/>
      <w:r>
        <w:rPr>
          <w:rStyle w:val="CharSectno"/>
        </w:rPr>
        <w:t>185</w:t>
      </w:r>
      <w:r>
        <w:t>.</w:t>
      </w:r>
      <w:r>
        <w:tab/>
        <w:t>Dispute resolution body may require parties to mediate, conciliate or engage in an alternative dispute resolution process</w:t>
      </w:r>
      <w:bookmarkEnd w:id="11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1188" w:name="_Toc176259576"/>
      <w:r>
        <w:rPr>
          <w:rStyle w:val="CharSectno"/>
        </w:rPr>
        <w:lastRenderedPageBreak/>
        <w:t>186</w:t>
      </w:r>
      <w:r>
        <w:t>.</w:t>
      </w:r>
      <w:r>
        <w:tab/>
        <w:t>Dispute resolution body may terminate access dispute in certain cases</w:t>
      </w:r>
      <w:bookmarkEnd w:id="11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1189" w:name="_Toc176259577"/>
      <w:r>
        <w:rPr>
          <w:rStyle w:val="CharSectno"/>
        </w:rPr>
        <w:lastRenderedPageBreak/>
        <w:t>187</w:t>
      </w:r>
      <w:r>
        <w:t>.</w:t>
      </w:r>
      <w:r>
        <w:tab/>
        <w:t>No access determination if dispute resolution body considers there is genuine competition</w:t>
      </w:r>
      <w:bookmarkEnd w:id="1189"/>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1190" w:name="_Toc176259578"/>
      <w:r>
        <w:rPr>
          <w:rStyle w:val="CharSectno"/>
        </w:rPr>
        <w:t>188</w:t>
      </w:r>
      <w:r>
        <w:t>.</w:t>
      </w:r>
      <w:r>
        <w:tab/>
        <w:t>Restrictions on access determinations</w:t>
      </w:r>
      <w:bookmarkEnd w:id="11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lastRenderedPageBreak/>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1191" w:name="_Toc176259579"/>
      <w:r>
        <w:rPr>
          <w:rStyle w:val="CharSectno"/>
        </w:rPr>
        <w:t>189</w:t>
      </w:r>
      <w:r>
        <w:t>.</w:t>
      </w:r>
      <w:r>
        <w:tab/>
        <w:t>Access determination must give effect to applicable access arrangement</w:t>
      </w:r>
      <w:bookmarkEnd w:id="1191"/>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1192" w:name="_Toc176259580"/>
      <w:r>
        <w:rPr>
          <w:rStyle w:val="CharSectno"/>
        </w:rPr>
        <w:t>190</w:t>
      </w:r>
      <w:r>
        <w:t>.</w:t>
      </w:r>
      <w:r>
        <w:tab/>
        <w:t>Access determinations and past contributions of capital to fund installations or the construction of new facilities</w:t>
      </w:r>
      <w:bookmarkEnd w:id="11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1193" w:name="_Toc176259581"/>
      <w:r>
        <w:rPr>
          <w:rStyle w:val="CharSectno"/>
        </w:rPr>
        <w:t>191</w:t>
      </w:r>
      <w:r>
        <w:t>.</w:t>
      </w:r>
      <w:r>
        <w:tab/>
        <w:t>Rules may allow determination that varies applicable access arrangement for installation of a new facility</w:t>
      </w:r>
      <w:bookmarkEnd w:id="11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1194" w:name="_Toc176259582"/>
      <w:r>
        <w:rPr>
          <w:rStyle w:val="CharSectno"/>
        </w:rPr>
        <w:lastRenderedPageBreak/>
        <w:t>192</w:t>
      </w:r>
      <w:r>
        <w:t>.</w:t>
      </w:r>
      <w:r>
        <w:tab/>
        <w:t>Access determinations need not require the provision of a pipeline service</w:t>
      </w:r>
      <w:bookmarkEnd w:id="1194"/>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1195" w:name="_Toc176259583"/>
      <w:r>
        <w:rPr>
          <w:rStyle w:val="CharSectno"/>
        </w:rPr>
        <w:t>193</w:t>
      </w:r>
      <w:r>
        <w:t>.</w:t>
      </w:r>
      <w:r>
        <w:tab/>
        <w:t>Content of access determinations</w:t>
      </w:r>
      <w:bookmarkEnd w:id="1195"/>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1196" w:name="_Toc175836624"/>
      <w:bookmarkStart w:id="1197" w:name="_Toc175837736"/>
      <w:bookmarkStart w:id="1198" w:name="_Toc175842444"/>
      <w:bookmarkStart w:id="1199" w:name="_Toc175914047"/>
      <w:bookmarkStart w:id="1200" w:name="_Toc175914851"/>
      <w:bookmarkStart w:id="1201" w:name="_Toc175922742"/>
      <w:bookmarkStart w:id="1202" w:name="_Toc176257046"/>
      <w:bookmarkStart w:id="1203" w:name="_Toc176259584"/>
      <w:r>
        <w:rPr>
          <w:rStyle w:val="CharDivNo"/>
        </w:rPr>
        <w:t>Part 4</w:t>
      </w:r>
      <w:r>
        <w:t xml:space="preserve"> — </w:t>
      </w:r>
      <w:r>
        <w:rPr>
          <w:rStyle w:val="CharDivText"/>
        </w:rPr>
        <w:t>Variation of access determinations</w:t>
      </w:r>
      <w:bookmarkEnd w:id="1196"/>
      <w:bookmarkEnd w:id="1197"/>
      <w:bookmarkEnd w:id="1198"/>
      <w:bookmarkEnd w:id="1199"/>
      <w:bookmarkEnd w:id="1200"/>
      <w:bookmarkEnd w:id="1201"/>
      <w:bookmarkEnd w:id="1202"/>
      <w:bookmarkEnd w:id="1203"/>
    </w:p>
    <w:p>
      <w:pPr>
        <w:pStyle w:val="Heading5"/>
      </w:pPr>
      <w:bookmarkStart w:id="1204" w:name="_Toc176259585"/>
      <w:r>
        <w:rPr>
          <w:rStyle w:val="CharSectno"/>
        </w:rPr>
        <w:t>194</w:t>
      </w:r>
      <w:r>
        <w:t>.</w:t>
      </w:r>
      <w:r>
        <w:tab/>
        <w:t>Variation of access determination</w:t>
      </w:r>
      <w:bookmarkEnd w:id="12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variation were the making of an access determination in the terms of the varied determination.</w:t>
      </w:r>
    </w:p>
    <w:p>
      <w:pPr>
        <w:pStyle w:val="Heading3"/>
      </w:pPr>
      <w:bookmarkStart w:id="1205" w:name="_Toc175836626"/>
      <w:bookmarkStart w:id="1206" w:name="_Toc175837738"/>
      <w:bookmarkStart w:id="1207" w:name="_Toc175842446"/>
      <w:bookmarkStart w:id="1208" w:name="_Toc175914049"/>
      <w:bookmarkStart w:id="1209" w:name="_Toc175914853"/>
      <w:bookmarkStart w:id="1210" w:name="_Toc175922744"/>
      <w:bookmarkStart w:id="1211" w:name="_Toc176257048"/>
      <w:bookmarkStart w:id="1212" w:name="_Toc176259586"/>
      <w:r>
        <w:rPr>
          <w:rStyle w:val="CharDivNo"/>
        </w:rPr>
        <w:t>Part 5</w:t>
      </w:r>
      <w:r>
        <w:t xml:space="preserve"> — </w:t>
      </w:r>
      <w:r>
        <w:rPr>
          <w:rStyle w:val="CharDivText"/>
        </w:rPr>
        <w:t>Compliance with access determinations</w:t>
      </w:r>
      <w:bookmarkEnd w:id="1205"/>
      <w:bookmarkEnd w:id="1206"/>
      <w:bookmarkEnd w:id="1207"/>
      <w:bookmarkEnd w:id="1208"/>
      <w:bookmarkEnd w:id="1209"/>
      <w:bookmarkEnd w:id="1210"/>
      <w:bookmarkEnd w:id="1211"/>
      <w:bookmarkEnd w:id="1212"/>
    </w:p>
    <w:p>
      <w:pPr>
        <w:pStyle w:val="Heading5"/>
      </w:pPr>
      <w:bookmarkStart w:id="1213" w:name="_Toc176259587"/>
      <w:r>
        <w:rPr>
          <w:rStyle w:val="CharSectno"/>
        </w:rPr>
        <w:t>195</w:t>
      </w:r>
      <w:r>
        <w:t>.</w:t>
      </w:r>
      <w:r>
        <w:tab/>
        <w:t>Compliance with access determination</w:t>
      </w:r>
      <w:bookmarkEnd w:id="1213"/>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1214" w:name="_Toc175836628"/>
      <w:bookmarkStart w:id="1215" w:name="_Toc175837740"/>
      <w:bookmarkStart w:id="1216" w:name="_Toc175842448"/>
      <w:bookmarkStart w:id="1217" w:name="_Toc175914051"/>
      <w:bookmarkStart w:id="1218" w:name="_Toc175914855"/>
      <w:bookmarkStart w:id="1219" w:name="_Toc175922746"/>
      <w:bookmarkStart w:id="1220" w:name="_Toc176257050"/>
      <w:bookmarkStart w:id="1221" w:name="_Toc176259588"/>
      <w:r>
        <w:rPr>
          <w:rStyle w:val="CharDivNo"/>
        </w:rPr>
        <w:t>Part 6</w:t>
      </w:r>
      <w:r>
        <w:t xml:space="preserve"> — </w:t>
      </w:r>
      <w:r>
        <w:rPr>
          <w:rStyle w:val="CharDivText"/>
        </w:rPr>
        <w:t>Access dispute hearing procedure</w:t>
      </w:r>
      <w:bookmarkEnd w:id="1214"/>
      <w:bookmarkEnd w:id="1215"/>
      <w:bookmarkEnd w:id="1216"/>
      <w:bookmarkEnd w:id="1217"/>
      <w:bookmarkEnd w:id="1218"/>
      <w:bookmarkEnd w:id="1219"/>
      <w:bookmarkEnd w:id="1220"/>
      <w:bookmarkEnd w:id="1221"/>
    </w:p>
    <w:p>
      <w:pPr>
        <w:pStyle w:val="Heading5"/>
      </w:pPr>
      <w:bookmarkStart w:id="1222" w:name="_Toc176259589"/>
      <w:r>
        <w:rPr>
          <w:rStyle w:val="CharSectno"/>
        </w:rPr>
        <w:t>196</w:t>
      </w:r>
      <w:r>
        <w:t>.</w:t>
      </w:r>
      <w:r>
        <w:tab/>
        <w:t>Hearing to be in private</w:t>
      </w:r>
      <w:bookmarkEnd w:id="12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1223" w:name="_Toc176259590"/>
      <w:r>
        <w:rPr>
          <w:rStyle w:val="CharSectno"/>
        </w:rPr>
        <w:t>197</w:t>
      </w:r>
      <w:r>
        <w:t>.</w:t>
      </w:r>
      <w:r>
        <w:tab/>
        <w:t>Right to representation</w:t>
      </w:r>
      <w:bookmarkEnd w:id="1223"/>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1224" w:name="_Toc176259591"/>
      <w:r>
        <w:rPr>
          <w:rStyle w:val="CharSectno"/>
        </w:rPr>
        <w:t>198</w:t>
      </w:r>
      <w:r>
        <w:t>.</w:t>
      </w:r>
      <w:r>
        <w:tab/>
        <w:t>Procedure of dispute resolution body</w:t>
      </w:r>
      <w:bookmarkEnd w:id="12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1225" w:name="_Toc176259592"/>
      <w:r>
        <w:rPr>
          <w:rStyle w:val="CharSectno"/>
        </w:rPr>
        <w:t>199</w:t>
      </w:r>
      <w:r>
        <w:t>.</w:t>
      </w:r>
      <w:r>
        <w:tab/>
        <w:t>Particular powers of dispute resolution body in a hearing</w:t>
      </w:r>
      <w:bookmarkEnd w:id="12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1226" w:name="_Toc176259593"/>
      <w:r>
        <w:rPr>
          <w:rStyle w:val="CharSectno"/>
        </w:rPr>
        <w:t>200</w:t>
      </w:r>
      <w:r>
        <w:t>.</w:t>
      </w:r>
      <w:r>
        <w:tab/>
        <w:t>Disclosure of information</w:t>
      </w:r>
      <w:bookmarkEnd w:id="12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Next/>
        <w:keepLines/>
        <w:autoSpaceDE w:val="0"/>
        <w:autoSpaceDN w:val="0"/>
        <w:adjustRightInd w:val="0"/>
        <w:spacing w:before="120"/>
        <w:ind w:left="1588"/>
        <w:rPr>
          <w:color w:val="000000"/>
          <w:sz w:val="23"/>
          <w:szCs w:val="23"/>
        </w:rPr>
      </w:pPr>
      <w:r>
        <w:rPr>
          <w:color w:val="000000"/>
          <w:sz w:val="23"/>
          <w:szCs w:val="23"/>
        </w:rPr>
        <w:t>Maximum penalty: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person—$3 400;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corporate—$17 000.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r>
        <w:tab/>
        <w:t>[Section 200 amended: see SA Act No. 37 of 2020 s. 61 and WA Gazette 4 Sep 2024 p. 2215.]</w:t>
      </w:r>
    </w:p>
    <w:p>
      <w:pPr>
        <w:pStyle w:val="Heading5"/>
      </w:pPr>
      <w:bookmarkStart w:id="1227" w:name="_Toc176259594"/>
      <w:r>
        <w:rPr>
          <w:rStyle w:val="CharSectno"/>
        </w:rPr>
        <w:t>201</w:t>
      </w:r>
      <w:r>
        <w:t>.</w:t>
      </w:r>
      <w:r>
        <w:tab/>
        <w:t>Power to take evidence on oath or affirmation</w:t>
      </w:r>
      <w:bookmarkEnd w:id="12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1228" w:name="_Toc176259595"/>
      <w:r>
        <w:rPr>
          <w:rStyle w:val="CharSectno"/>
        </w:rPr>
        <w:t>202</w:t>
      </w:r>
      <w:r>
        <w:t>.</w:t>
      </w:r>
      <w:r>
        <w:tab/>
        <w:t>Failing to attend as a witness</w:t>
      </w:r>
      <w:bookmarkEnd w:id="1228"/>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12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r>
        <w:tab/>
        <w:t>[Section 202 amended: see SA Act No. 37 of 2020 s. 62 and WA Gazette 4 Sep 2024 p. 2215.]</w:t>
      </w:r>
    </w:p>
    <w:p>
      <w:pPr>
        <w:pStyle w:val="Heading5"/>
      </w:pPr>
      <w:bookmarkStart w:id="1229" w:name="_Toc176259596"/>
      <w:r>
        <w:rPr>
          <w:rStyle w:val="CharSectno"/>
        </w:rPr>
        <w:t>203</w:t>
      </w:r>
      <w:r>
        <w:t>.</w:t>
      </w:r>
      <w:r>
        <w:tab/>
        <w:t>Failing to answer questions etc</w:t>
      </w:r>
      <w:bookmarkEnd w:id="12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12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Footnotesection"/>
      </w:pPr>
      <w:r>
        <w:tab/>
        <w:t>[Section 203 amended: see SA Act No. 37 of 2020 s. 63 and WA Gazette 4 Sep 2024 p. 2215.]</w:t>
      </w:r>
    </w:p>
    <w:p>
      <w:pPr>
        <w:pStyle w:val="Heading5"/>
      </w:pPr>
      <w:bookmarkStart w:id="1230" w:name="_Toc176259597"/>
      <w:r>
        <w:rPr>
          <w:rStyle w:val="CharSectno"/>
        </w:rPr>
        <w:t>204</w:t>
      </w:r>
      <w:r>
        <w:t>.</w:t>
      </w:r>
      <w:r>
        <w:tab/>
        <w:t>Intimidation etc</w:t>
      </w:r>
      <w:bookmarkEnd w:id="1230"/>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120"/>
        <w:ind w:left="1588"/>
        <w:rPr>
          <w:color w:val="000000"/>
          <w:sz w:val="23"/>
          <w:szCs w:val="23"/>
        </w:rPr>
      </w:pPr>
      <w:r>
        <w:rPr>
          <w:color w:val="000000"/>
          <w:sz w:val="23"/>
          <w:szCs w:val="23"/>
        </w:rPr>
        <w:t>Maximum penalty: $6 300.</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See Schedule 2 clause 47B, which provides for criminal penalty amounts to be adjusted every 3 years to reflect movements in the consumer price index. The adjusted amounts are published on the AER's website.</w:t>
      </w:r>
    </w:p>
    <w:p>
      <w:pPr>
        <w:pStyle w:val="Footnotesection"/>
      </w:pPr>
      <w:r>
        <w:tab/>
        <w:t>[Section 204 amended: see SA Act No. 37 of 2020 s. 64 and WA Gazette 4 Sep 2024 p. 2215.]</w:t>
      </w:r>
    </w:p>
    <w:p>
      <w:pPr>
        <w:pStyle w:val="Heading5"/>
      </w:pPr>
      <w:bookmarkStart w:id="1231" w:name="_Toc176259598"/>
      <w:r>
        <w:rPr>
          <w:rStyle w:val="CharSectno"/>
        </w:rPr>
        <w:t>205</w:t>
      </w:r>
      <w:r>
        <w:t>.</w:t>
      </w:r>
      <w:r>
        <w:tab/>
        <w:t>Party may request dispute resolution body to treat material as confidential</w:t>
      </w:r>
      <w:bookmarkEnd w:id="12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lastRenderedPageBreak/>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232" w:name="_Toc176259599"/>
      <w:r>
        <w:rPr>
          <w:rStyle w:val="CharSectno"/>
        </w:rPr>
        <w:t>206</w:t>
      </w:r>
      <w:r>
        <w:t>.</w:t>
      </w:r>
      <w:r>
        <w:tab/>
        <w:t>Costs</w:t>
      </w:r>
      <w:bookmarkEnd w:id="12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233" w:name="_Toc176259600"/>
      <w:r>
        <w:t>207.</w:t>
      </w:r>
      <w:r>
        <w:tab/>
        <w:t>Outstanding costs are a debt due to party awarded the costs</w:t>
      </w:r>
      <w:bookmarkEnd w:id="1233"/>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234" w:name="_Toc175836641"/>
      <w:bookmarkStart w:id="1235" w:name="_Toc175837753"/>
      <w:bookmarkStart w:id="1236" w:name="_Toc175842461"/>
      <w:bookmarkStart w:id="1237" w:name="_Toc175914064"/>
      <w:bookmarkStart w:id="1238" w:name="_Toc175914868"/>
      <w:bookmarkStart w:id="1239" w:name="_Toc175922759"/>
      <w:bookmarkStart w:id="1240" w:name="_Toc176257063"/>
      <w:bookmarkStart w:id="1241" w:name="_Toc176259601"/>
      <w:r>
        <w:rPr>
          <w:rStyle w:val="CharDivNo"/>
        </w:rPr>
        <w:t>Part 7</w:t>
      </w:r>
      <w:r>
        <w:t xml:space="preserve"> — </w:t>
      </w:r>
      <w:r>
        <w:rPr>
          <w:rStyle w:val="CharDivText"/>
        </w:rPr>
        <w:t>Joint access dispute hearings</w:t>
      </w:r>
      <w:bookmarkEnd w:id="1234"/>
      <w:bookmarkEnd w:id="1235"/>
      <w:bookmarkEnd w:id="1236"/>
      <w:bookmarkEnd w:id="1237"/>
      <w:bookmarkEnd w:id="1238"/>
      <w:bookmarkEnd w:id="1239"/>
      <w:bookmarkEnd w:id="1240"/>
      <w:bookmarkEnd w:id="1241"/>
    </w:p>
    <w:p>
      <w:pPr>
        <w:pStyle w:val="Heading5"/>
      </w:pPr>
      <w:bookmarkStart w:id="1242" w:name="_Toc176259602"/>
      <w:r>
        <w:rPr>
          <w:rStyle w:val="CharSectno"/>
        </w:rPr>
        <w:t>208</w:t>
      </w:r>
      <w:r>
        <w:t>.</w:t>
      </w:r>
      <w:r>
        <w:tab/>
        <w:t>Definition</w:t>
      </w:r>
      <w:bookmarkEnd w:id="1242"/>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243" w:name="_Toc176259603"/>
      <w:r>
        <w:rPr>
          <w:rStyle w:val="CharSectno"/>
        </w:rPr>
        <w:t>209</w:t>
      </w:r>
      <w:r>
        <w:t>.</w:t>
      </w:r>
      <w:r>
        <w:tab/>
        <w:t>Joint dispute hearing</w:t>
      </w:r>
      <w:bookmarkEnd w:id="12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244" w:name="_Toc176259604"/>
      <w:r>
        <w:rPr>
          <w:rStyle w:val="CharSectno"/>
        </w:rPr>
        <w:lastRenderedPageBreak/>
        <w:t>210</w:t>
      </w:r>
      <w:r>
        <w:t>.</w:t>
      </w:r>
      <w:r>
        <w:tab/>
        <w:t>Consulting the parties</w:t>
      </w:r>
      <w:bookmarkEnd w:id="12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245" w:name="_Toc176259605"/>
      <w:r>
        <w:rPr>
          <w:rStyle w:val="CharSectno"/>
        </w:rPr>
        <w:t>211</w:t>
      </w:r>
      <w:r>
        <w:t>.</w:t>
      </w:r>
      <w:r>
        <w:tab/>
        <w:t>Constitution and procedure of dispute resolution body for joint dispute hearings</w:t>
      </w:r>
      <w:bookmarkEnd w:id="1245"/>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246" w:name="_Toc176259606"/>
      <w:r>
        <w:rPr>
          <w:rStyle w:val="CharSectno"/>
        </w:rPr>
        <w:t>212</w:t>
      </w:r>
      <w:r>
        <w:t>.</w:t>
      </w:r>
      <w:r>
        <w:tab/>
        <w:t>Record of proceedings etc</w:t>
      </w:r>
      <w:bookmarkEnd w:id="12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adopt any findings of fact made by the dispute resolution body as constituted for the purposes of the joint dispute hearing.</w:t>
      </w:r>
    </w:p>
    <w:p>
      <w:pPr>
        <w:pStyle w:val="Heading3"/>
      </w:pPr>
      <w:bookmarkStart w:id="1247" w:name="_Toc175836647"/>
      <w:bookmarkStart w:id="1248" w:name="_Toc175837759"/>
      <w:bookmarkStart w:id="1249" w:name="_Toc175842467"/>
      <w:bookmarkStart w:id="1250" w:name="_Toc175914070"/>
      <w:bookmarkStart w:id="1251" w:name="_Toc175914874"/>
      <w:bookmarkStart w:id="1252" w:name="_Toc175922765"/>
      <w:bookmarkStart w:id="1253" w:name="_Toc176257069"/>
      <w:bookmarkStart w:id="1254" w:name="_Toc176259607"/>
      <w:r>
        <w:rPr>
          <w:rStyle w:val="CharDivNo"/>
        </w:rPr>
        <w:t>Part 8</w:t>
      </w:r>
      <w:r>
        <w:t> — </w:t>
      </w:r>
      <w:r>
        <w:rPr>
          <w:rStyle w:val="CharDivText"/>
        </w:rPr>
        <w:t>Miscellaneous matters</w:t>
      </w:r>
      <w:bookmarkEnd w:id="1247"/>
      <w:bookmarkEnd w:id="1248"/>
      <w:bookmarkEnd w:id="1249"/>
      <w:bookmarkEnd w:id="1250"/>
      <w:bookmarkEnd w:id="1251"/>
      <w:bookmarkEnd w:id="1252"/>
      <w:bookmarkEnd w:id="1253"/>
      <w:bookmarkEnd w:id="1254"/>
    </w:p>
    <w:p>
      <w:pPr>
        <w:pStyle w:val="Heading5"/>
      </w:pPr>
      <w:bookmarkStart w:id="1255" w:name="_Toc176259608"/>
      <w:r>
        <w:rPr>
          <w:rStyle w:val="CharSectno"/>
        </w:rPr>
        <w:t>213</w:t>
      </w:r>
      <w:r>
        <w:t>.</w:t>
      </w:r>
      <w:r>
        <w:tab/>
        <w:t>Correction of access determinations for clerical mistakes etc</w:t>
      </w:r>
      <w:bookmarkEnd w:id="1255"/>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256" w:name="_Toc176259609"/>
      <w:r>
        <w:rPr>
          <w:rStyle w:val="CharSectno"/>
        </w:rPr>
        <w:t>214</w:t>
      </w:r>
      <w:r>
        <w:t>.</w:t>
      </w:r>
      <w:r>
        <w:tab/>
        <w:t>Reservation of capacity during an access dispute</w:t>
      </w:r>
      <w:bookmarkEnd w:id="1256"/>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257" w:name="_Toc176259610"/>
      <w:r>
        <w:rPr>
          <w:rStyle w:val="CharSectno"/>
        </w:rPr>
        <w:t>215</w:t>
      </w:r>
      <w:r>
        <w:t>.</w:t>
      </w:r>
      <w:r>
        <w:tab/>
        <w:t>Subsequent service providers bound by access determinations</w:t>
      </w:r>
      <w:bookmarkEnd w:id="12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258" w:name="_Toc176259611"/>
      <w:r>
        <w:rPr>
          <w:rStyle w:val="CharSectno"/>
        </w:rPr>
        <w:t>216</w:t>
      </w:r>
      <w:r>
        <w:t>.</w:t>
      </w:r>
      <w:r>
        <w:tab/>
        <w:t>Regulations about the costs to be paid by parties to access dispute</w:t>
      </w:r>
      <w:bookmarkEnd w:id="1258"/>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259" w:name="_Toc175836652"/>
      <w:bookmarkStart w:id="1260" w:name="_Toc175837764"/>
      <w:bookmarkStart w:id="1261" w:name="_Toc175842472"/>
      <w:bookmarkStart w:id="1262" w:name="_Toc175914075"/>
      <w:bookmarkStart w:id="1263" w:name="_Toc175914879"/>
      <w:bookmarkStart w:id="1264" w:name="_Toc175922770"/>
      <w:bookmarkStart w:id="1265" w:name="_Toc176257074"/>
      <w:bookmarkStart w:id="1266" w:name="_Toc176259612"/>
      <w:r>
        <w:rPr>
          <w:rStyle w:val="CharPartNo"/>
        </w:rPr>
        <w:lastRenderedPageBreak/>
        <w:t>Chapter 6A</w:t>
      </w:r>
      <w:r>
        <w:t>—</w:t>
      </w:r>
      <w:r>
        <w:rPr>
          <w:rStyle w:val="CharPartText"/>
        </w:rPr>
        <w:t>Access disputes—non-scheme pipelines</w:t>
      </w:r>
      <w:bookmarkEnd w:id="1259"/>
      <w:bookmarkEnd w:id="1260"/>
      <w:bookmarkEnd w:id="1261"/>
      <w:bookmarkEnd w:id="1262"/>
      <w:bookmarkEnd w:id="1263"/>
      <w:bookmarkEnd w:id="1264"/>
      <w:bookmarkEnd w:id="1265"/>
      <w:bookmarkEnd w:id="1266"/>
    </w:p>
    <w:p>
      <w:pPr>
        <w:pStyle w:val="Footnoteheading"/>
      </w:pPr>
      <w:r>
        <w:tab/>
        <w:t>[Heading inserted: see SA Act No. 23 of 2017 s. 6 and WA Gazette 22 Dec 2017 p. 5984.]</w:t>
      </w:r>
    </w:p>
    <w:p>
      <w:pPr>
        <w:pStyle w:val="Heading3"/>
      </w:pPr>
      <w:bookmarkStart w:id="1267" w:name="_Toc175836653"/>
      <w:bookmarkStart w:id="1268" w:name="_Toc175837765"/>
      <w:bookmarkStart w:id="1269" w:name="_Toc175842473"/>
      <w:bookmarkStart w:id="1270" w:name="_Toc175914076"/>
      <w:bookmarkStart w:id="1271" w:name="_Toc175914880"/>
      <w:bookmarkStart w:id="1272" w:name="_Toc175922771"/>
      <w:bookmarkStart w:id="1273" w:name="_Toc176257075"/>
      <w:bookmarkStart w:id="1274" w:name="_Toc176259613"/>
      <w:r>
        <w:rPr>
          <w:rStyle w:val="CharDivNo"/>
        </w:rPr>
        <w:t>Part 1</w:t>
      </w:r>
      <w:r>
        <w:t>—</w:t>
      </w:r>
      <w:r>
        <w:rPr>
          <w:rStyle w:val="CharDivText"/>
        </w:rPr>
        <w:t>Interpretation and application</w:t>
      </w:r>
      <w:bookmarkEnd w:id="1267"/>
      <w:bookmarkEnd w:id="1268"/>
      <w:bookmarkEnd w:id="1269"/>
      <w:bookmarkEnd w:id="1270"/>
      <w:bookmarkEnd w:id="1271"/>
      <w:bookmarkEnd w:id="1272"/>
      <w:bookmarkEnd w:id="1273"/>
      <w:bookmarkEnd w:id="1274"/>
    </w:p>
    <w:p>
      <w:pPr>
        <w:pStyle w:val="Footnoteheading"/>
      </w:pPr>
      <w:r>
        <w:tab/>
        <w:t>[Heading inserted: see SA Act No. 23 of 2017 s. 6 and WA Gazette 22 Dec 2017 p. 5984.]</w:t>
      </w:r>
    </w:p>
    <w:p>
      <w:pPr>
        <w:pStyle w:val="Heading5"/>
      </w:pPr>
      <w:bookmarkStart w:id="1275" w:name="_Toc176259614"/>
      <w:r>
        <w:rPr>
          <w:rStyle w:val="CharSectno"/>
        </w:rPr>
        <w:t>216A</w:t>
      </w:r>
      <w:r>
        <w:t>.</w:t>
      </w:r>
      <w:r>
        <w:tab/>
        <w:t>Definitions</w:t>
      </w:r>
      <w:bookmarkEnd w:id="12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w:t>
      </w:r>
      <w:hyperlink w:anchor="idba65a7ed_fd82_4b20_88b9_904b318ba9" w:history="1">
        <w:r>
          <w:rPr>
            <w:color w:val="000000"/>
            <w:sz w:val="23"/>
            <w:szCs w:val="23"/>
          </w:rPr>
          <w:t>Part 3</w:t>
        </w:r>
      </w:hyperlink>
      <w:r>
        <w:rPr>
          <w:color w:val="000000"/>
          <w:sz w:val="23"/>
          <w:szCs w:val="23"/>
        </w:rPr>
        <w:t xml:space="preserve"> and includes a variation under </w:t>
      </w:r>
      <w:hyperlink w:anchor="id9d474823_dac0_4d5a_80a9_511a82a3dd" w:history="1">
        <w:r>
          <w:rPr>
            <w:color w:val="000000"/>
            <w:sz w:val="23"/>
            <w:szCs w:val="23"/>
          </w:rPr>
          <w:t>Part 5</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 xml:space="preserve">scheme pipeline (subject to the operation of </w:t>
      </w:r>
      <w:hyperlink w:anchor="idca11615c_5180_4211_b24e_974f7b7973" w:history="1">
        <w:r>
          <w:rPr>
            <w:color w:val="000000"/>
            <w:sz w:val="23"/>
            <w:szCs w:val="23"/>
          </w:rPr>
          <w:t>section 216C(2)</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w:t>
      </w:r>
      <w:hyperlink w:anchor="idb185bbdd_eb39_4556_8fab_e211a16ce7" w:history="1">
        <w:r>
          <w:rPr>
            <w:color w:val="000000"/>
            <w:sz w:val="23"/>
            <w:szCs w:val="23"/>
          </w:rPr>
          <w:t>section 216C</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xml:space="preserve">, in relation to an access dispute, has the meaning given by </w:t>
      </w:r>
      <w:hyperlink w:anchor="id51ae116f_36db_4e33_a54f_3440a6b614" w:history="1">
        <w:r>
          <w:rPr>
            <w:color w:val="000000"/>
            <w:sz w:val="23"/>
            <w:szCs w:val="23"/>
          </w:rPr>
          <w:t>section 216I</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 xml:space="preserve">has the meaning given by </w:t>
      </w:r>
      <w:hyperlink w:anchor="id31a9f6b6_3b8b_463d_93d6_ecf15c2876" w:history="1">
        <w:r>
          <w:rPr>
            <w:color w:val="000000"/>
            <w:sz w:val="23"/>
            <w:szCs w:val="23"/>
          </w:rPr>
          <w:t>section 216B</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lastRenderedPageBreak/>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1276" w:name="_Toc176259615"/>
      <w:r>
        <w:rPr>
          <w:rStyle w:val="CharSectno"/>
        </w:rPr>
        <w:t>216B</w:t>
      </w:r>
      <w:r>
        <w:t>.</w:t>
      </w:r>
      <w:r>
        <w:tab/>
        <w:t>Meaning of prospective user</w:t>
      </w:r>
      <w:bookmarkEnd w:id="12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277"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27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1278" w:name="id4d2e09fa_9ebd_4b6e_a77c_6881a24ff6"/>
      <w:r>
        <w:rPr>
          <w:color w:val="000000"/>
          <w:sz w:val="23"/>
          <w:szCs w:val="23"/>
        </w:rPr>
        <w:tab/>
        <w:t>(b)</w:t>
      </w:r>
      <w:r>
        <w:rPr>
          <w:color w:val="000000"/>
          <w:sz w:val="23"/>
          <w:szCs w:val="23"/>
        </w:rPr>
        <w:tab/>
        <w:t>an access determination.</w:t>
      </w:r>
      <w:bookmarkEnd w:id="12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r>
      <w:hyperlink w:anchor="id4d2e09fa_9ebd_4b6e_a77c_6881a24ff6" w:history="1">
        <w:r>
          <w:rPr>
            <w:color w:val="000000"/>
            <w:sz w:val="23"/>
            <w:szCs w:val="23"/>
          </w:rPr>
          <w:t>Subsection (2)(b)</w:t>
        </w:r>
      </w:hyperlink>
      <w:r>
        <w:rPr>
          <w:color w:val="000000"/>
          <w:sz w:val="23"/>
          <w:szCs w:val="23"/>
        </w:rPr>
        <w:t xml:space="preserve"> does not limit the operation of </w:t>
      </w:r>
      <w:hyperlink w:anchor="id9d474823_dac0_4d5a_80a9_511a82a3dd" w:history="1">
        <w:r>
          <w:rPr>
            <w:color w:val="000000"/>
            <w:sz w:val="23"/>
            <w:szCs w:val="23"/>
          </w:rPr>
          <w:t>Part 5</w:t>
        </w:r>
      </w:hyperlink>
      <w:r>
        <w:rPr>
          <w:color w:val="000000"/>
          <w:sz w:val="23"/>
          <w:szCs w:val="23"/>
        </w:rPr>
        <w:t>.</w:t>
      </w:r>
    </w:p>
    <w:p>
      <w:pPr>
        <w:pStyle w:val="Footnotesection"/>
      </w:pPr>
      <w:r>
        <w:tab/>
        <w:t>[Section 216B inserted: see SA Act No. 23 of 2017 s. 6 and WA Gazette 22 Dec 2017 p. 5984.]</w:t>
      </w:r>
    </w:p>
    <w:p>
      <w:pPr>
        <w:pStyle w:val="Heading5"/>
      </w:pPr>
      <w:bookmarkStart w:id="1279" w:name="_Toc176259616"/>
      <w:r>
        <w:rPr>
          <w:rStyle w:val="CharSectno"/>
        </w:rPr>
        <w:lastRenderedPageBreak/>
        <w:t>216C</w:t>
      </w:r>
      <w:r>
        <w:t>.</w:t>
      </w:r>
      <w:r>
        <w:tab/>
        <w:t>Application of Chapter</w:t>
      </w:r>
      <w:bookmarkEnd w:id="12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w:t>
      </w:r>
      <w:hyperlink w:anchor="idca11615c_5180_4211_b24e_974f7b7973" w:history="1">
        <w:r>
          <w:rPr>
            <w:color w:val="000000"/>
            <w:sz w:val="23"/>
            <w:szCs w:val="23"/>
          </w:rPr>
          <w:t>subsection (2)</w:t>
        </w:r>
      </w:hyperlink>
      <w:r>
        <w:rPr>
          <w:color w:val="000000"/>
          <w:sz w:val="23"/>
          <w:szCs w:val="23"/>
        </w:rPr>
        <w:t>,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280" w:name="idca11615c_5180_4211_b24e_974f7b7973"/>
      <w:r>
        <w:rPr>
          <w:color w:val="000000"/>
          <w:sz w:val="23"/>
          <w:szCs w:val="23"/>
        </w:rPr>
        <w:tab/>
        <w:t>(2)</w:t>
      </w:r>
      <w:r>
        <w:rPr>
          <w:color w:val="000000"/>
          <w:sz w:val="23"/>
          <w:szCs w:val="23"/>
        </w:rPr>
        <w:tab/>
        <w:t>This Chapter does not apply to or in relation to—</w:t>
      </w:r>
      <w:bookmarkEnd w:id="128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281" w:name="_Toc176259617"/>
      <w:r>
        <w:rPr>
          <w:rStyle w:val="CharSectno"/>
        </w:rPr>
        <w:t>216D</w:t>
      </w:r>
      <w:r>
        <w:t>.</w:t>
      </w:r>
      <w:r>
        <w:tab/>
        <w:t>Application of this Chapter to disputes arising under Rules</w:t>
      </w:r>
      <w:bookmarkEnd w:id="12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282" w:name="_Toc176259618"/>
      <w:r>
        <w:rPr>
          <w:rStyle w:val="CharSectno"/>
        </w:rPr>
        <w:lastRenderedPageBreak/>
        <w:t>216E</w:t>
      </w:r>
      <w:r>
        <w:t>.</w:t>
      </w:r>
      <w:r>
        <w:tab/>
        <w:t>Chapter does not limit how disputes about access may be raised or dealt with</w:t>
      </w:r>
      <w:bookmarkEnd w:id="12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283" w:name="_Toc175836659"/>
      <w:bookmarkStart w:id="1284" w:name="_Toc175837771"/>
      <w:bookmarkStart w:id="1285" w:name="_Toc175842479"/>
      <w:bookmarkStart w:id="1286" w:name="_Toc175914082"/>
      <w:bookmarkStart w:id="1287" w:name="_Toc175914886"/>
      <w:bookmarkStart w:id="1288" w:name="_Toc175922777"/>
      <w:bookmarkStart w:id="1289" w:name="_Toc176257081"/>
      <w:bookmarkStart w:id="1290" w:name="_Toc176259619"/>
      <w:r>
        <w:rPr>
          <w:rStyle w:val="CharDivNo"/>
        </w:rPr>
        <w:t>Part 2</w:t>
      </w:r>
      <w:r>
        <w:t>—</w:t>
      </w:r>
      <w:r>
        <w:rPr>
          <w:rStyle w:val="CharDivText"/>
        </w:rPr>
        <w:t>Negotiation of access</w:t>
      </w:r>
      <w:bookmarkEnd w:id="1283"/>
      <w:bookmarkEnd w:id="1284"/>
      <w:bookmarkEnd w:id="1285"/>
      <w:bookmarkEnd w:id="1286"/>
      <w:bookmarkEnd w:id="1287"/>
      <w:bookmarkEnd w:id="1288"/>
      <w:bookmarkEnd w:id="1289"/>
      <w:bookmarkEnd w:id="1290"/>
    </w:p>
    <w:p>
      <w:pPr>
        <w:pStyle w:val="Footnoteheading"/>
      </w:pPr>
      <w:r>
        <w:tab/>
        <w:t>[Heading inserted: see SA Act No. 23 of 2017 s. 6 and WA Gazette 22 Dec 2017 p. 5984.]</w:t>
      </w:r>
    </w:p>
    <w:p>
      <w:pPr>
        <w:pStyle w:val="Heading5"/>
      </w:pPr>
      <w:bookmarkStart w:id="1291" w:name="_Toc176259620"/>
      <w:r>
        <w:rPr>
          <w:rStyle w:val="CharSectno"/>
        </w:rPr>
        <w:t>216F</w:t>
      </w:r>
      <w:r>
        <w:t>.</w:t>
      </w:r>
      <w:r>
        <w:tab/>
        <w:t>Access proposals</w:t>
      </w:r>
      <w:bookmarkEnd w:id="12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1292" w:name="_Toc176259621"/>
      <w:r>
        <w:rPr>
          <w:rStyle w:val="CharSectno"/>
        </w:rPr>
        <w:t>216G</w:t>
      </w:r>
      <w:r>
        <w:t>.</w:t>
      </w:r>
      <w:r>
        <w:tab/>
        <w:t>Duty to negotiate in good faith</w:t>
      </w:r>
      <w:bookmarkEnd w:id="12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293" w:name="_Toc176259622"/>
      <w:r>
        <w:rPr>
          <w:rStyle w:val="CharSectno"/>
        </w:rPr>
        <w:lastRenderedPageBreak/>
        <w:t>216H</w:t>
      </w:r>
      <w:r>
        <w:t>.</w:t>
      </w:r>
      <w:r>
        <w:tab/>
        <w:t>Notification of access dispute</w:t>
      </w:r>
      <w:bookmarkEnd w:id="1293"/>
    </w:p>
    <w:p>
      <w:pPr>
        <w:tabs>
          <w:tab w:val="center" w:pos="1191"/>
          <w:tab w:val="left" w:pos="1588"/>
        </w:tabs>
        <w:autoSpaceDE w:val="0"/>
        <w:autoSpaceDN w:val="0"/>
        <w:adjustRightInd w:val="0"/>
        <w:spacing w:before="120"/>
        <w:ind w:left="1588" w:hanging="794"/>
        <w:rPr>
          <w:color w:val="000000"/>
          <w:sz w:val="23"/>
          <w:szCs w:val="23"/>
        </w:rPr>
      </w:pPr>
      <w:bookmarkStart w:id="1294"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29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295" w:name="_Toc176259623"/>
      <w:r>
        <w:rPr>
          <w:rStyle w:val="CharSectno"/>
        </w:rPr>
        <w:t>216I</w:t>
      </w:r>
      <w:r>
        <w:t>.</w:t>
      </w:r>
      <w:r>
        <w:tab/>
        <w:t>Parties to an access dispute</w:t>
      </w:r>
      <w:bookmarkEnd w:id="12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parties to the negotiations that gave rise to the access dispute under </w:t>
      </w:r>
      <w:hyperlink w:anchor="id1252043a_7393_493f_a585_47e04b32aa" w:history="1">
        <w:r>
          <w:rPr>
            <w:color w:val="000000"/>
            <w:sz w:val="23"/>
            <w:szCs w:val="23"/>
          </w:rPr>
          <w:t>section 216H(1)</w:t>
        </w:r>
      </w:hyperlink>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296" w:name="_Toc175836664"/>
      <w:bookmarkStart w:id="1297" w:name="_Toc175837776"/>
      <w:bookmarkStart w:id="1298" w:name="_Toc175842484"/>
      <w:bookmarkStart w:id="1299" w:name="_Toc175914087"/>
      <w:bookmarkStart w:id="1300" w:name="_Toc175914891"/>
      <w:bookmarkStart w:id="1301" w:name="_Toc175922782"/>
      <w:bookmarkStart w:id="1302" w:name="_Toc176257086"/>
      <w:bookmarkStart w:id="1303" w:name="_Toc176259624"/>
      <w:r>
        <w:rPr>
          <w:rStyle w:val="CharDivNo"/>
        </w:rPr>
        <w:lastRenderedPageBreak/>
        <w:t>Part 3</w:t>
      </w:r>
      <w:r>
        <w:t>—</w:t>
      </w:r>
      <w:r>
        <w:rPr>
          <w:rStyle w:val="CharDivText"/>
        </w:rPr>
        <w:t>Reference of dispute to arbitration</w:t>
      </w:r>
      <w:bookmarkEnd w:id="1296"/>
      <w:bookmarkEnd w:id="1297"/>
      <w:bookmarkEnd w:id="1298"/>
      <w:bookmarkEnd w:id="1299"/>
      <w:bookmarkEnd w:id="1300"/>
      <w:bookmarkEnd w:id="1301"/>
      <w:bookmarkEnd w:id="1302"/>
      <w:bookmarkEnd w:id="1303"/>
    </w:p>
    <w:p>
      <w:pPr>
        <w:pStyle w:val="Footnoteheading"/>
        <w:keepNext/>
      </w:pPr>
      <w:r>
        <w:tab/>
        <w:t>[Heading inserted: see SA Act No. 23 of 2017 s. 6 and WA Gazette 22 Dec 2017 p. 5984.]</w:t>
      </w:r>
    </w:p>
    <w:p>
      <w:pPr>
        <w:pStyle w:val="Heading5"/>
      </w:pPr>
      <w:bookmarkStart w:id="1304" w:name="_Toc176259625"/>
      <w:r>
        <w:rPr>
          <w:rStyle w:val="CharSectno"/>
        </w:rPr>
        <w:t>216J</w:t>
      </w:r>
      <w:r>
        <w:t>.</w:t>
      </w:r>
      <w:r>
        <w:tab/>
        <w:t>Reference of dispute</w:t>
      </w:r>
      <w:bookmarkEnd w:id="13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scheme administrator receives notification of an access dispute under </w:t>
      </w:r>
      <w:hyperlink w:anchor="idf13f2df7_6ecf_44a6_a1e2_a97c983d6e" w:history="1">
        <w:r>
          <w:rPr>
            <w:color w:val="000000"/>
            <w:sz w:val="23"/>
            <w:szCs w:val="23"/>
          </w:rPr>
          <w:t>Part 2</w:t>
        </w:r>
      </w:hyperlink>
      <w:r>
        <w:rPr>
          <w:color w:val="000000"/>
          <w:sz w:val="23"/>
          <w:szCs w:val="23"/>
        </w:rPr>
        <w:t>,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305" w:name="_Toc176259626"/>
      <w:r>
        <w:rPr>
          <w:rStyle w:val="CharSectno"/>
        </w:rPr>
        <w:t>216K</w:t>
      </w:r>
      <w:r>
        <w:t>.</w:t>
      </w:r>
      <w:r>
        <w:tab/>
        <w:t>Selection of arbitrator</w:t>
      </w:r>
      <w:bookmarkEnd w:id="13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306" w:name="_Toc176259627"/>
      <w:r>
        <w:rPr>
          <w:rStyle w:val="CharSectno"/>
        </w:rPr>
        <w:t>216L</w:t>
      </w:r>
      <w:r>
        <w:t>.</w:t>
      </w:r>
      <w:r>
        <w:tab/>
        <w:t>Determination of access dispute</w:t>
      </w:r>
      <w:bookmarkEnd w:id="13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1307" w:name="_Toc176259628"/>
      <w:r>
        <w:rPr>
          <w:rStyle w:val="CharSectno"/>
        </w:rPr>
        <w:t>216M</w:t>
      </w:r>
      <w:r>
        <w:t>.</w:t>
      </w:r>
      <w:r>
        <w:tab/>
        <w:t>Principles to be taken into account</w:t>
      </w:r>
      <w:bookmarkEnd w:id="13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308" w:name="_Toc176259629"/>
      <w:r>
        <w:rPr>
          <w:rStyle w:val="CharSectno"/>
        </w:rPr>
        <w:t>216N</w:t>
      </w:r>
      <w:r>
        <w:t>.</w:t>
      </w:r>
      <w:r>
        <w:tab/>
        <w:t>Restrictions on access determinations</w:t>
      </w:r>
      <w:bookmarkEnd w:id="13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w:t>
      </w:r>
      <w:hyperlink w:anchor="id23b988d0_d14f_4868_8c32_fd1cf0f40c" w:history="1">
        <w:r>
          <w:rPr>
            <w:color w:val="000000"/>
            <w:sz w:val="23"/>
            <w:szCs w:val="23"/>
          </w:rPr>
          <w:t>section 216H</w:t>
        </w:r>
      </w:hyperlink>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iCs/>
          <w:sz w:val="23"/>
        </w:rPr>
        <w:lastRenderedPageBreak/>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 xml:space="preserve">means a right under a contract (other than a relevant exclusivity right) that was in force immediately before notification of an access dispute under </w:t>
      </w:r>
      <w:hyperlink w:anchor="id23b988d0_d14f_4868_8c32_fd1cf0f40c" w:history="1">
        <w:r>
          <w:rPr>
            <w:color w:val="000000"/>
            <w:sz w:val="23"/>
            <w:szCs w:val="23"/>
          </w:rPr>
          <w:t>section 216H</w:t>
        </w:r>
      </w:hyperlink>
      <w:r>
        <w:rPr>
          <w:color w:val="000000"/>
          <w:sz w:val="23"/>
          <w:szCs w:val="23"/>
        </w:rPr>
        <w:t>.</w:t>
      </w:r>
    </w:p>
    <w:p>
      <w:pPr>
        <w:pStyle w:val="Footnotesection"/>
      </w:pPr>
      <w:r>
        <w:tab/>
        <w:t>[Section 216N inserted: see SA Act No. 23 of 2017 s. 6 and WA Gazette 22 Dec 2017 p. 5984.]</w:t>
      </w:r>
    </w:p>
    <w:p>
      <w:pPr>
        <w:pStyle w:val="Heading5"/>
      </w:pPr>
      <w:bookmarkStart w:id="1309" w:name="_Toc176259630"/>
      <w:r>
        <w:rPr>
          <w:rStyle w:val="CharSectno"/>
        </w:rPr>
        <w:t>216O</w:t>
      </w:r>
      <w:r>
        <w:t>.</w:t>
      </w:r>
      <w:r>
        <w:tab/>
        <w:t>Arbitrator's power to terminate arbitration</w:t>
      </w:r>
      <w:bookmarkEnd w:id="13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310"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13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w:t>
      </w:r>
      <w:hyperlink w:anchor="id2e84f1b4_b9d4_4b7b_9037_edad614264" w:history="1">
        <w:r>
          <w:rPr>
            <w:color w:val="000000"/>
            <w:sz w:val="23"/>
            <w:szCs w:val="23"/>
          </w:rPr>
          <w:t>subsection (3)</w:t>
        </w:r>
      </w:hyperlink>
      <w:r>
        <w:rPr>
          <w:color w:val="000000"/>
          <w:sz w:val="23"/>
          <w:szCs w:val="23"/>
        </w:rPr>
        <w:t xml:space="preserve">,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311" w:name="_Toc176259631"/>
      <w:r>
        <w:rPr>
          <w:rStyle w:val="CharSectno"/>
        </w:rPr>
        <w:t>216P</w:t>
      </w:r>
      <w:r>
        <w:t>.</w:t>
      </w:r>
      <w:r>
        <w:tab/>
        <w:t>Access seeker's right to terminate arbitration</w:t>
      </w:r>
      <w:bookmarkEnd w:id="13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1312" w:name="_Toc175836672"/>
      <w:bookmarkStart w:id="1313" w:name="_Toc175837784"/>
      <w:bookmarkStart w:id="1314" w:name="_Toc175842492"/>
      <w:bookmarkStart w:id="1315" w:name="_Toc175914095"/>
      <w:bookmarkStart w:id="1316" w:name="_Toc175914899"/>
      <w:bookmarkStart w:id="1317" w:name="_Toc175922790"/>
      <w:bookmarkStart w:id="1318" w:name="_Toc176257094"/>
      <w:bookmarkStart w:id="1319" w:name="_Toc176259632"/>
      <w:r>
        <w:rPr>
          <w:rStyle w:val="CharDivNo"/>
        </w:rPr>
        <w:lastRenderedPageBreak/>
        <w:t>Part 4</w:t>
      </w:r>
      <w:r>
        <w:t>—</w:t>
      </w:r>
      <w:r>
        <w:rPr>
          <w:rStyle w:val="CharDivText"/>
        </w:rPr>
        <w:t>Compliance with access determinations</w:t>
      </w:r>
      <w:bookmarkEnd w:id="1312"/>
      <w:bookmarkEnd w:id="1313"/>
      <w:bookmarkEnd w:id="1314"/>
      <w:bookmarkEnd w:id="1315"/>
      <w:bookmarkEnd w:id="1316"/>
      <w:bookmarkEnd w:id="1317"/>
      <w:bookmarkEnd w:id="1318"/>
      <w:bookmarkEnd w:id="1319"/>
    </w:p>
    <w:p>
      <w:pPr>
        <w:pStyle w:val="Footnoteheading"/>
        <w:keepNext/>
      </w:pPr>
      <w:r>
        <w:tab/>
        <w:t>[Heading inserted: see SA Act No. 23 of 2017 s. 6 and WA Gazette 22 Dec 2017 p. 5984.]</w:t>
      </w:r>
    </w:p>
    <w:p>
      <w:pPr>
        <w:pStyle w:val="Heading5"/>
      </w:pPr>
      <w:bookmarkStart w:id="1320" w:name="_Toc176259633"/>
      <w:r>
        <w:rPr>
          <w:rStyle w:val="CharSectno"/>
        </w:rPr>
        <w:t>216Q</w:t>
      </w:r>
      <w:r>
        <w:t>.</w:t>
      </w:r>
      <w:r>
        <w:tab/>
        <w:t>Compliance with access determinations</w:t>
      </w:r>
      <w:bookmarkEnd w:id="13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the Rules and to </w:t>
      </w:r>
      <w:hyperlink w:anchor="ida8dd6fe7_9b1d_4302_b895_0e06afdd64" w:history="1">
        <w:r>
          <w:rPr>
            <w:color w:val="000000"/>
            <w:sz w:val="23"/>
            <w:szCs w:val="23"/>
          </w:rPr>
          <w:t>subsection (2)</w:t>
        </w:r>
      </w:hyperlink>
      <w:r>
        <w:rPr>
          <w:color w:val="000000"/>
          <w:sz w:val="23"/>
          <w:szCs w:val="23"/>
        </w:rPr>
        <w:t>,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321"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321"/>
    </w:p>
    <w:p>
      <w:pPr>
        <w:pStyle w:val="Footnotesection"/>
      </w:pPr>
      <w:r>
        <w:tab/>
        <w:t>[Section 216Q inserted: see SA Act No. 23 of 2017 s. 6 and WA Gazette 22 Dec 2017 p. 5984.]</w:t>
      </w:r>
    </w:p>
    <w:p>
      <w:pPr>
        <w:pStyle w:val="Heading3"/>
      </w:pPr>
      <w:bookmarkStart w:id="1322" w:name="_Toc175836674"/>
      <w:bookmarkStart w:id="1323" w:name="_Toc175837786"/>
      <w:bookmarkStart w:id="1324" w:name="_Toc175842494"/>
      <w:bookmarkStart w:id="1325" w:name="_Toc175914097"/>
      <w:bookmarkStart w:id="1326" w:name="_Toc175914901"/>
      <w:bookmarkStart w:id="1327" w:name="_Toc175922792"/>
      <w:bookmarkStart w:id="1328" w:name="_Toc176257096"/>
      <w:bookmarkStart w:id="1329" w:name="_Toc176259634"/>
      <w:r>
        <w:rPr>
          <w:rStyle w:val="CharDivNo"/>
        </w:rPr>
        <w:t>Part 5</w:t>
      </w:r>
      <w:r>
        <w:t>—</w:t>
      </w:r>
      <w:r>
        <w:rPr>
          <w:rStyle w:val="CharDivText"/>
        </w:rPr>
        <w:t>Variation of access determinations</w:t>
      </w:r>
      <w:bookmarkEnd w:id="1322"/>
      <w:bookmarkEnd w:id="1323"/>
      <w:bookmarkEnd w:id="1324"/>
      <w:bookmarkEnd w:id="1325"/>
      <w:bookmarkEnd w:id="1326"/>
      <w:bookmarkEnd w:id="1327"/>
      <w:bookmarkEnd w:id="1328"/>
      <w:bookmarkEnd w:id="1329"/>
    </w:p>
    <w:p>
      <w:pPr>
        <w:pStyle w:val="Footnoteheading"/>
      </w:pPr>
      <w:r>
        <w:tab/>
        <w:t>[Heading inserted: see SA Act No. 23 of 2017 s. 6 and WA Gazette 22 Dec 2017 p. 5984.]</w:t>
      </w:r>
    </w:p>
    <w:p>
      <w:pPr>
        <w:pStyle w:val="Heading5"/>
      </w:pPr>
      <w:bookmarkStart w:id="1330" w:name="_Toc176259635"/>
      <w:r>
        <w:rPr>
          <w:rStyle w:val="CharSectno"/>
        </w:rPr>
        <w:t>216R</w:t>
      </w:r>
      <w:r>
        <w:t>.</w:t>
      </w:r>
      <w:r>
        <w:tab/>
        <w:t>Variation of access determinations</w:t>
      </w:r>
      <w:bookmarkEnd w:id="13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331" w:name="_Toc175836676"/>
      <w:bookmarkStart w:id="1332" w:name="_Toc175837788"/>
      <w:bookmarkStart w:id="1333" w:name="_Toc175842496"/>
      <w:bookmarkStart w:id="1334" w:name="_Toc175914099"/>
      <w:bookmarkStart w:id="1335" w:name="_Toc175914903"/>
      <w:bookmarkStart w:id="1336" w:name="_Toc175922794"/>
      <w:bookmarkStart w:id="1337" w:name="_Toc176257098"/>
      <w:bookmarkStart w:id="1338" w:name="_Toc176259636"/>
      <w:r>
        <w:rPr>
          <w:rStyle w:val="CharDivNo"/>
        </w:rPr>
        <w:lastRenderedPageBreak/>
        <w:t>Part 6</w:t>
      </w:r>
      <w:r>
        <w:t>—</w:t>
      </w:r>
      <w:r>
        <w:rPr>
          <w:rStyle w:val="CharDivText"/>
        </w:rPr>
        <w:t>Hearing procedures</w:t>
      </w:r>
      <w:bookmarkEnd w:id="1331"/>
      <w:bookmarkEnd w:id="1332"/>
      <w:bookmarkEnd w:id="1333"/>
      <w:bookmarkEnd w:id="1334"/>
      <w:bookmarkEnd w:id="1335"/>
      <w:bookmarkEnd w:id="1336"/>
      <w:bookmarkEnd w:id="1337"/>
      <w:bookmarkEnd w:id="1338"/>
    </w:p>
    <w:p>
      <w:pPr>
        <w:pStyle w:val="Footnoteheading"/>
      </w:pPr>
      <w:r>
        <w:tab/>
        <w:t>[Heading inserted: see SA Act No. 23 of 2017 s. 6 and WA Gazette 22 Dec 2017 p. 5984.]</w:t>
      </w:r>
    </w:p>
    <w:p>
      <w:pPr>
        <w:pStyle w:val="Heading5"/>
      </w:pPr>
      <w:bookmarkStart w:id="1339" w:name="_Toc176259637"/>
      <w:r>
        <w:rPr>
          <w:rStyle w:val="CharSectno"/>
        </w:rPr>
        <w:t>216S</w:t>
      </w:r>
      <w:r>
        <w:t>.</w:t>
      </w:r>
      <w:r>
        <w:tab/>
        <w:t>Hearing procedures</w:t>
      </w:r>
      <w:bookmarkEnd w:id="13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340" w:name="_Toc175836678"/>
      <w:bookmarkStart w:id="1341" w:name="_Toc175837790"/>
      <w:bookmarkStart w:id="1342" w:name="_Toc175842498"/>
      <w:bookmarkStart w:id="1343" w:name="_Toc175914101"/>
      <w:bookmarkStart w:id="1344" w:name="_Toc175914905"/>
      <w:bookmarkStart w:id="1345" w:name="_Toc175922796"/>
      <w:bookmarkStart w:id="1346" w:name="_Toc176257100"/>
      <w:bookmarkStart w:id="1347" w:name="_Toc176259638"/>
      <w:r>
        <w:rPr>
          <w:rStyle w:val="CharDivNo"/>
        </w:rPr>
        <w:lastRenderedPageBreak/>
        <w:t>Part 7</w:t>
      </w:r>
      <w:r>
        <w:t>—</w:t>
      </w:r>
      <w:r>
        <w:rPr>
          <w:rStyle w:val="CharDivText"/>
        </w:rPr>
        <w:t>Miscellaneous matters</w:t>
      </w:r>
      <w:bookmarkEnd w:id="1340"/>
      <w:bookmarkEnd w:id="1341"/>
      <w:bookmarkEnd w:id="1342"/>
      <w:bookmarkEnd w:id="1343"/>
      <w:bookmarkEnd w:id="1344"/>
      <w:bookmarkEnd w:id="1345"/>
      <w:bookmarkEnd w:id="1346"/>
      <w:bookmarkEnd w:id="1347"/>
    </w:p>
    <w:p>
      <w:pPr>
        <w:pStyle w:val="Footnoteheading"/>
      </w:pPr>
      <w:r>
        <w:tab/>
        <w:t>[Heading inserted: see SA Act No. 23 of 2017 s. 6 and WA Gazette 22 Dec 2017 p. 5984.]</w:t>
      </w:r>
    </w:p>
    <w:p>
      <w:pPr>
        <w:pStyle w:val="Heading5"/>
      </w:pPr>
      <w:bookmarkStart w:id="1348" w:name="_Toc176259639"/>
      <w:r>
        <w:rPr>
          <w:rStyle w:val="CharSectno"/>
        </w:rPr>
        <w:t>216T</w:t>
      </w:r>
      <w:r>
        <w:t>.</w:t>
      </w:r>
      <w:r>
        <w:tab/>
        <w:t>Correction of access determinations for clerical mistakes etc</w:t>
      </w:r>
      <w:bookmarkEnd w:id="13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1349" w:name="_Toc176259640"/>
      <w:r>
        <w:rPr>
          <w:rStyle w:val="CharSectno"/>
        </w:rPr>
        <w:t>216U</w:t>
      </w:r>
      <w:r>
        <w:t>.</w:t>
      </w:r>
      <w:r>
        <w:tab/>
        <w:t>Reservation of capacity during an access dispute</w:t>
      </w:r>
      <w:bookmarkEnd w:id="13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350" w:name="_Toc176259641"/>
      <w:r>
        <w:rPr>
          <w:rStyle w:val="CharSectno"/>
        </w:rPr>
        <w:t>216V</w:t>
      </w:r>
      <w:r>
        <w:t>.</w:t>
      </w:r>
      <w:r>
        <w:tab/>
        <w:t>Costs of arbitration</w:t>
      </w:r>
      <w:bookmarkEnd w:id="1350"/>
    </w:p>
    <w:p>
      <w:pPr>
        <w:keepLines/>
        <w:tabs>
          <w:tab w:val="center" w:pos="1191"/>
          <w:tab w:val="left" w:pos="1588"/>
        </w:tabs>
        <w:autoSpaceDE w:val="0"/>
        <w:autoSpaceDN w:val="0"/>
        <w:adjustRightInd w:val="0"/>
        <w:spacing w:before="120"/>
        <w:ind w:left="1588" w:hanging="794"/>
        <w:rPr>
          <w:color w:val="000000"/>
          <w:sz w:val="23"/>
          <w:szCs w:val="23"/>
        </w:rPr>
      </w:pPr>
      <w:bookmarkStart w:id="1351"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3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color w:val="000000"/>
            <w:sz w:val="23"/>
            <w:szCs w:val="23"/>
          </w:rPr>
          <w:t>subsection (1)</w:t>
        </w:r>
      </w:hyperlink>
      <w:r>
        <w:rPr>
          <w:color w:val="000000"/>
          <w:sz w:val="23"/>
          <w:szCs w:val="23"/>
        </w:rPr>
        <w:t xml:space="preserve">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352" w:name="_Toc175836682"/>
      <w:bookmarkStart w:id="1353" w:name="_Toc175837794"/>
      <w:bookmarkStart w:id="1354" w:name="_Toc175842502"/>
      <w:bookmarkStart w:id="1355" w:name="_Toc175914105"/>
      <w:bookmarkStart w:id="1356" w:name="_Toc175914909"/>
      <w:bookmarkStart w:id="1357" w:name="_Toc175922800"/>
      <w:bookmarkStart w:id="1358" w:name="_Toc176257104"/>
      <w:bookmarkStart w:id="1359" w:name="_Toc176259642"/>
      <w:r>
        <w:rPr>
          <w:rStyle w:val="CharPartNo"/>
        </w:rPr>
        <w:lastRenderedPageBreak/>
        <w:t>Chapter 7</w:t>
      </w:r>
      <w:r>
        <w:t xml:space="preserve"> — </w:t>
      </w:r>
      <w:r>
        <w:rPr>
          <w:rStyle w:val="CharPartText"/>
        </w:rPr>
        <w:t>The Natural Gas Services Bulletin Board</w:t>
      </w:r>
      <w:bookmarkEnd w:id="1352"/>
      <w:bookmarkEnd w:id="1353"/>
      <w:bookmarkEnd w:id="1354"/>
      <w:bookmarkEnd w:id="1355"/>
      <w:bookmarkEnd w:id="1356"/>
      <w:bookmarkEnd w:id="1357"/>
      <w:bookmarkEnd w:id="1358"/>
      <w:bookmarkEnd w:id="1359"/>
    </w:p>
    <w:p>
      <w:pPr>
        <w:pStyle w:val="Heading3"/>
      </w:pPr>
      <w:bookmarkStart w:id="1360" w:name="_Toc175836683"/>
      <w:bookmarkStart w:id="1361" w:name="_Toc175837795"/>
      <w:bookmarkStart w:id="1362" w:name="_Toc175842503"/>
      <w:bookmarkStart w:id="1363" w:name="_Toc175914106"/>
      <w:bookmarkStart w:id="1364" w:name="_Toc175914910"/>
      <w:bookmarkStart w:id="1365" w:name="_Toc175922801"/>
      <w:bookmarkStart w:id="1366" w:name="_Toc176257105"/>
      <w:bookmarkStart w:id="1367" w:name="_Toc176259643"/>
      <w:r>
        <w:rPr>
          <w:rStyle w:val="CharDivNo"/>
        </w:rPr>
        <w:t>Part 1</w:t>
      </w:r>
      <w:r>
        <w:t xml:space="preserve"> — </w:t>
      </w:r>
      <w:r>
        <w:rPr>
          <w:rStyle w:val="CharDivText"/>
        </w:rPr>
        <w:t>The Bulletin Board Operator</w:t>
      </w:r>
      <w:bookmarkEnd w:id="1360"/>
      <w:bookmarkEnd w:id="1361"/>
      <w:bookmarkEnd w:id="1362"/>
      <w:bookmarkEnd w:id="1363"/>
      <w:bookmarkEnd w:id="1364"/>
      <w:bookmarkEnd w:id="1365"/>
      <w:bookmarkEnd w:id="1366"/>
      <w:bookmarkEnd w:id="1367"/>
    </w:p>
    <w:p>
      <w:pPr>
        <w:pStyle w:val="Heading5"/>
      </w:pPr>
      <w:bookmarkStart w:id="1368" w:name="_Toc176259644"/>
      <w:r>
        <w:rPr>
          <w:rStyle w:val="CharSectno"/>
        </w:rPr>
        <w:t>217</w:t>
      </w:r>
      <w:r>
        <w:t>.</w:t>
      </w:r>
      <w:r>
        <w:tab/>
        <w:t>The Bulletin Board operator</w:t>
      </w:r>
      <w:bookmarkEnd w:id="1368"/>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369" w:name="_Toc176259645"/>
      <w:r>
        <w:rPr>
          <w:rStyle w:val="CharSectno"/>
        </w:rPr>
        <w:t>218</w:t>
      </w:r>
      <w:r>
        <w:t>.</w:t>
      </w:r>
      <w:r>
        <w:tab/>
        <w:t>Obligation to establish and maintain the Natural Gas Services Bulletin Board</w:t>
      </w:r>
      <w:bookmarkEnd w:id="13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370" w:name="_Toc176259646"/>
      <w:r>
        <w:rPr>
          <w:rStyle w:val="CharSectno"/>
        </w:rPr>
        <w:t>219</w:t>
      </w:r>
      <w:r>
        <w:t>.</w:t>
      </w:r>
      <w:r>
        <w:tab/>
        <w:t>Other functions of the Bulletin Board operator</w:t>
      </w:r>
      <w:bookmarkEnd w:id="1370"/>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371" w:name="_Toc176259647"/>
      <w:r>
        <w:rPr>
          <w:rStyle w:val="CharSectno"/>
        </w:rPr>
        <w:t>220</w:t>
      </w:r>
      <w:r>
        <w:t>.</w:t>
      </w:r>
      <w:r>
        <w:tab/>
        <w:t>Powers of the Bulletin Board operator</w:t>
      </w:r>
      <w:bookmarkEnd w:id="1371"/>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372" w:name="_Toc176259648"/>
      <w:r>
        <w:rPr>
          <w:rStyle w:val="CharSectno"/>
        </w:rPr>
        <w:t>221</w:t>
      </w:r>
      <w:r>
        <w:t>.</w:t>
      </w:r>
      <w:r>
        <w:tab/>
        <w:t>Immunity of the Bulletin Board operator</w:t>
      </w:r>
      <w:bookmarkEnd w:id="13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373" w:name="_Toc176259649"/>
      <w:r>
        <w:rPr>
          <w:rStyle w:val="CharSectno"/>
        </w:rPr>
        <w:t>222</w:t>
      </w:r>
      <w:r>
        <w:t>.</w:t>
      </w:r>
      <w:r>
        <w:tab/>
        <w:t>Fees for services provided</w:t>
      </w:r>
      <w:bookmarkEnd w:id="13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374" w:name="_Toc175836690"/>
      <w:bookmarkStart w:id="1375" w:name="_Toc175837802"/>
      <w:bookmarkStart w:id="1376" w:name="_Toc175842510"/>
      <w:bookmarkStart w:id="1377" w:name="_Toc175914113"/>
      <w:bookmarkStart w:id="1378" w:name="_Toc175914917"/>
      <w:bookmarkStart w:id="1379" w:name="_Toc175922808"/>
      <w:bookmarkStart w:id="1380" w:name="_Toc176257112"/>
      <w:bookmarkStart w:id="1381" w:name="_Toc176259650"/>
      <w:r>
        <w:rPr>
          <w:rStyle w:val="CharDivNo"/>
        </w:rPr>
        <w:t>Part 2</w:t>
      </w:r>
      <w:r>
        <w:t xml:space="preserve"> — </w:t>
      </w:r>
      <w:r>
        <w:rPr>
          <w:rStyle w:val="CharDivText"/>
        </w:rPr>
        <w:t>Bulletin Board information</w:t>
      </w:r>
      <w:bookmarkEnd w:id="1374"/>
      <w:bookmarkEnd w:id="1375"/>
      <w:bookmarkEnd w:id="1376"/>
      <w:bookmarkEnd w:id="1377"/>
      <w:bookmarkEnd w:id="1378"/>
      <w:bookmarkEnd w:id="1379"/>
      <w:bookmarkEnd w:id="1380"/>
      <w:bookmarkEnd w:id="1381"/>
    </w:p>
    <w:p>
      <w:pPr>
        <w:pStyle w:val="Heading5"/>
      </w:pPr>
      <w:bookmarkStart w:id="1382" w:name="_Toc176259651"/>
      <w:r>
        <w:rPr>
          <w:rStyle w:val="CharSectno"/>
        </w:rPr>
        <w:t>223</w:t>
      </w:r>
      <w:r>
        <w:t>.</w:t>
      </w:r>
      <w:r>
        <w:tab/>
        <w:t>Obligation to give information to the Bulletin Board operator</w:t>
      </w:r>
      <w:bookmarkEnd w:id="138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person of the following kind who has possession or control of information in relation to natural gas services </w:t>
      </w:r>
      <w:r>
        <w:rPr>
          <w:color w:val="000000"/>
          <w:sz w:val="23"/>
          <w:szCs w:val="23"/>
        </w:rPr>
        <w:lastRenderedPageBreak/>
        <w:t>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383" w:name="_Toc176259652"/>
      <w:r>
        <w:rPr>
          <w:rStyle w:val="CharSectno"/>
        </w:rPr>
        <w:t>224</w:t>
      </w:r>
      <w:r>
        <w:t>.</w:t>
      </w:r>
      <w:r>
        <w:tab/>
        <w:t>Person cannot rely on duty of confidence to avoid compliance with obligation</w:t>
      </w:r>
      <w:bookmarkEnd w:id="1383"/>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384" w:name="_Toc176259653"/>
      <w:r>
        <w:rPr>
          <w:rStyle w:val="CharSectno"/>
        </w:rPr>
        <w:t>225</w:t>
      </w:r>
      <w:r>
        <w:t>.</w:t>
      </w:r>
      <w:r>
        <w:tab/>
        <w:t>Giving to Bulletin Board operator false and misleading information</w:t>
      </w:r>
      <w:bookmarkEnd w:id="1384"/>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385" w:name="_Toc176259654"/>
      <w:r>
        <w:rPr>
          <w:rStyle w:val="CharSectno"/>
        </w:rPr>
        <w:t>226</w:t>
      </w:r>
      <w:r>
        <w:t>.</w:t>
      </w:r>
      <w:r>
        <w:tab/>
        <w:t>Immunity of persons giving information to the Bulletin Board operator</w:t>
      </w:r>
      <w:bookmarkEnd w:id="13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386" w:name="_Toc175836695"/>
      <w:bookmarkStart w:id="1387" w:name="_Toc175837807"/>
      <w:bookmarkStart w:id="1388" w:name="_Toc175842515"/>
      <w:bookmarkStart w:id="1389" w:name="_Toc175914118"/>
      <w:bookmarkStart w:id="1390" w:name="_Toc175914922"/>
      <w:bookmarkStart w:id="1391" w:name="_Toc175922813"/>
      <w:bookmarkStart w:id="1392" w:name="_Toc176257117"/>
      <w:bookmarkStart w:id="1393" w:name="_Toc176259655"/>
      <w:r>
        <w:rPr>
          <w:rStyle w:val="CharDivNo"/>
        </w:rPr>
        <w:t>Part 3</w:t>
      </w:r>
      <w:r>
        <w:t xml:space="preserve"> — </w:t>
      </w:r>
      <w:r>
        <w:rPr>
          <w:rStyle w:val="CharDivText"/>
        </w:rPr>
        <w:t>Protection of information</w:t>
      </w:r>
      <w:bookmarkEnd w:id="1386"/>
      <w:bookmarkEnd w:id="1387"/>
      <w:bookmarkEnd w:id="1388"/>
      <w:bookmarkEnd w:id="1389"/>
      <w:bookmarkEnd w:id="1390"/>
      <w:bookmarkEnd w:id="1391"/>
      <w:bookmarkEnd w:id="1392"/>
      <w:bookmarkEnd w:id="1393"/>
    </w:p>
    <w:p>
      <w:pPr>
        <w:pStyle w:val="Heading5"/>
      </w:pPr>
      <w:bookmarkStart w:id="1394" w:name="_Toc176259656"/>
      <w:r>
        <w:rPr>
          <w:rStyle w:val="CharSectno"/>
        </w:rPr>
        <w:t>227</w:t>
      </w:r>
      <w:r>
        <w:t>.</w:t>
      </w:r>
      <w:r>
        <w:tab/>
        <w:t>Protection of information by the Bulletin Board operator</w:t>
      </w:r>
      <w:bookmarkEnd w:id="13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395" w:name="_Toc176259657"/>
      <w:r>
        <w:rPr>
          <w:rStyle w:val="CharSectno"/>
        </w:rPr>
        <w:t>228</w:t>
      </w:r>
      <w:r>
        <w:t>.</w:t>
      </w:r>
      <w:r>
        <w:tab/>
        <w:t>Protection of information by employees etc of the Bulletin Board operator</w:t>
      </w:r>
      <w:bookmarkEnd w:id="13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lastRenderedPageBreak/>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lastRenderedPageBreak/>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396" w:name="_Toc175836698"/>
      <w:bookmarkStart w:id="1397" w:name="_Toc175837810"/>
      <w:bookmarkStart w:id="1398" w:name="_Toc175842518"/>
      <w:bookmarkStart w:id="1399" w:name="_Toc175914121"/>
      <w:bookmarkStart w:id="1400" w:name="_Toc175914925"/>
      <w:bookmarkStart w:id="1401" w:name="_Toc175922816"/>
      <w:bookmarkStart w:id="1402" w:name="_Toc176257120"/>
      <w:bookmarkStart w:id="1403" w:name="_Toc176259658"/>
      <w:r>
        <w:rPr>
          <w:rStyle w:val="CharPartNo"/>
        </w:rPr>
        <w:lastRenderedPageBreak/>
        <w:t>Chapter 8</w:t>
      </w:r>
      <w:r>
        <w:t xml:space="preserve"> — </w:t>
      </w:r>
      <w:r>
        <w:rPr>
          <w:rStyle w:val="CharPartText"/>
        </w:rPr>
        <w:t>Proceedings under the National Gas Law</w:t>
      </w:r>
      <w:bookmarkEnd w:id="1396"/>
      <w:bookmarkEnd w:id="1397"/>
      <w:bookmarkEnd w:id="1398"/>
      <w:bookmarkEnd w:id="1399"/>
      <w:bookmarkEnd w:id="1400"/>
      <w:bookmarkEnd w:id="1401"/>
      <w:bookmarkEnd w:id="1402"/>
      <w:bookmarkEnd w:id="1403"/>
    </w:p>
    <w:p>
      <w:pPr>
        <w:pStyle w:val="Heading3"/>
      </w:pPr>
      <w:bookmarkStart w:id="1404" w:name="_Toc175836699"/>
      <w:bookmarkStart w:id="1405" w:name="_Toc175837811"/>
      <w:bookmarkStart w:id="1406" w:name="_Toc175842519"/>
      <w:bookmarkStart w:id="1407" w:name="_Toc175914122"/>
      <w:bookmarkStart w:id="1408" w:name="_Toc175914926"/>
      <w:bookmarkStart w:id="1409" w:name="_Toc175922817"/>
      <w:bookmarkStart w:id="1410" w:name="_Toc176257121"/>
      <w:bookmarkStart w:id="1411" w:name="_Toc176259659"/>
      <w:r>
        <w:rPr>
          <w:rStyle w:val="CharDivNo"/>
        </w:rPr>
        <w:t>Part 1</w:t>
      </w:r>
      <w:r>
        <w:t xml:space="preserve"> — </w:t>
      </w:r>
      <w:r>
        <w:rPr>
          <w:rStyle w:val="CharDivText"/>
        </w:rPr>
        <w:t>Proceedings generally</w:t>
      </w:r>
      <w:bookmarkEnd w:id="1404"/>
      <w:bookmarkEnd w:id="1405"/>
      <w:bookmarkEnd w:id="1406"/>
      <w:bookmarkEnd w:id="1407"/>
      <w:bookmarkEnd w:id="1408"/>
      <w:bookmarkEnd w:id="1409"/>
      <w:bookmarkEnd w:id="1410"/>
      <w:bookmarkEnd w:id="1411"/>
    </w:p>
    <w:p>
      <w:pPr>
        <w:pStyle w:val="Heading5"/>
      </w:pPr>
      <w:bookmarkStart w:id="1412" w:name="_Toc176259660"/>
      <w:r>
        <w:rPr>
          <w:rStyle w:val="CharSectno"/>
        </w:rPr>
        <w:t>229</w:t>
      </w:r>
      <w:r>
        <w:t>.</w:t>
      </w:r>
      <w:r>
        <w:tab/>
        <w:t>Instituting civil proceedings under this Law</w:t>
      </w:r>
      <w:bookmarkEnd w:id="14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413" w:name="_Toc176259661"/>
      <w:r>
        <w:rPr>
          <w:rStyle w:val="CharSectno"/>
        </w:rPr>
        <w:t>230</w:t>
      </w:r>
      <w:r>
        <w:t>.</w:t>
      </w:r>
      <w:r>
        <w:tab/>
        <w:t>Time limit within which proceedings may be instituted</w:t>
      </w:r>
      <w:bookmarkEnd w:id="14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414" w:name="_Toc175836702"/>
      <w:bookmarkStart w:id="1415" w:name="_Toc175837814"/>
      <w:bookmarkStart w:id="1416" w:name="_Toc175842522"/>
      <w:bookmarkStart w:id="1417" w:name="_Toc175914125"/>
      <w:bookmarkStart w:id="1418" w:name="_Toc175914929"/>
      <w:bookmarkStart w:id="1419" w:name="_Toc175922820"/>
      <w:bookmarkStart w:id="1420" w:name="_Toc176257124"/>
      <w:bookmarkStart w:id="1421" w:name="_Toc176259662"/>
      <w:r>
        <w:rPr>
          <w:rStyle w:val="CharDivNo"/>
        </w:rPr>
        <w:lastRenderedPageBreak/>
        <w:t>Part 2</w:t>
      </w:r>
      <w:r>
        <w:t xml:space="preserve"> — </w:t>
      </w:r>
      <w:r>
        <w:rPr>
          <w:rStyle w:val="CharDivText"/>
        </w:rPr>
        <w:t>Proceedings for breaches of this Law, Regulations or the Rules</w:t>
      </w:r>
      <w:bookmarkEnd w:id="1414"/>
      <w:bookmarkEnd w:id="1415"/>
      <w:bookmarkEnd w:id="1416"/>
      <w:bookmarkEnd w:id="1417"/>
      <w:bookmarkEnd w:id="1418"/>
      <w:bookmarkEnd w:id="1419"/>
      <w:bookmarkEnd w:id="1420"/>
      <w:bookmarkEnd w:id="1421"/>
    </w:p>
    <w:p>
      <w:pPr>
        <w:pStyle w:val="Heading5"/>
      </w:pPr>
      <w:bookmarkStart w:id="1422" w:name="_Toc176259663"/>
      <w:r>
        <w:rPr>
          <w:rStyle w:val="CharSectno"/>
        </w:rPr>
        <w:t>231</w:t>
      </w:r>
      <w:r>
        <w:t>.</w:t>
      </w:r>
      <w:r>
        <w:tab/>
        <w:t>AER proceedings for breaches of this Law, Regulations or the Rules that are not offences</w:t>
      </w:r>
      <w:bookmarkEnd w:id="14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has breached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has breached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an order that the person perform a specified service that relates to the breach and that is for the benefit of the community or a section of the community;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(db)</w:t>
      </w:r>
      <w:r>
        <w:rPr>
          <w:color w:val="000000"/>
          <w:sz w:val="23"/>
          <w:szCs w:val="23"/>
        </w:rPr>
        <w:tab/>
        <w:t>an order that the person, at the person's expense, engage—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another person specified in the order;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person in a class of persons specified in the order,</w:t>
      </w:r>
    </w:p>
    <w:p>
      <w:pPr>
        <w:keepLines/>
        <w:autoSpaceDE w:val="0"/>
        <w:autoSpaceDN w:val="0"/>
        <w:adjustRightInd w:val="0"/>
        <w:spacing w:before="120"/>
        <w:ind w:left="2382"/>
        <w:rPr>
          <w:color w:val="000000"/>
          <w:sz w:val="23"/>
          <w:szCs w:val="23"/>
        </w:rPr>
      </w:pPr>
      <w:r>
        <w:rPr>
          <w:color w:val="000000"/>
          <w:sz w:val="23"/>
          <w:szCs w:val="23"/>
        </w:rPr>
        <w:t>to perform a service that is specified in the order and that relates to the breach and that is for the benefit of the community or a section of the community;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(dc)</w:t>
      </w:r>
      <w:r>
        <w:rPr>
          <w:color w:val="000000"/>
          <w:sz w:val="23"/>
          <w:szCs w:val="23"/>
        </w:rPr>
        <w:tab/>
        <w:t>an order to ensure that the person does not engage in further conduct of the same nature, or similar or related conduct, during the period of the order (which cannot exceed 3 years),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order that the person establish a compliance program or an education and training program for employees or other persons involved in the person's business, being a program designed to ensure their awareness of the responsibilities and obligations in relation to the conduct constituting the breach, or similar or related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order that the person revise the internal operations of the person's business that led to the person committing the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(dd)</w:t>
      </w:r>
      <w:r>
        <w:rPr>
          <w:color w:val="000000"/>
          <w:sz w:val="23"/>
          <w:szCs w:val="23"/>
        </w:rPr>
        <w:tab/>
        <w:t>an order that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disclose, in the way and to the persons specified in the order, specified information, being information that the person has possession of or access to;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publish, at the person's expense and in the way specified in the order, an advertisement in the terms specified in, or determined in accordance with,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(2a)</w:t>
      </w:r>
      <w:r>
        <w:rPr>
          <w:color w:val="000000"/>
          <w:sz w:val="23"/>
          <w:szCs w:val="23"/>
        </w:rPr>
        <w:tab/>
        <w:t>An order under paragraph (db) of subsection (2) is not enforceable against a person mentioned in paragraph (db)(i) or (ii).</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if the Court is satisfied that the person has engaged in conduct of that kind—whether or not it appears to the Court that the person intends to engage </w:t>
      </w:r>
      <w:r>
        <w:rPr>
          <w:color w:val="000000"/>
          <w:sz w:val="23"/>
          <w:szCs w:val="23"/>
        </w:rPr>
        <w:lastRenderedPageBreak/>
        <w:t>again, or to continue to engage, in conduct of that kind;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 amended: see SA Act No. 37 of 2020 s. 65 and WA Gazette 4 Sep 2024 p. 2215.]</w:t>
      </w:r>
    </w:p>
    <w:p>
      <w:pPr>
        <w:pStyle w:val="Heading5"/>
      </w:pPr>
      <w:bookmarkStart w:id="1423" w:name="_Toc176259664"/>
      <w:r>
        <w:rPr>
          <w:rStyle w:val="CharSectno"/>
        </w:rPr>
        <w:t>232</w:t>
      </w:r>
      <w:r>
        <w:t>.</w:t>
      </w:r>
      <w:r>
        <w:tab/>
        <w:t>Proceedings for declaration that a person has breached a conduct provision</w:t>
      </w:r>
      <w:bookmarkEnd w:id="1423"/>
      <w:r>
        <w:t xml:space="preserve">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has breached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has breached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Footnotesection"/>
      </w:pPr>
      <w:r>
        <w:tab/>
        <w:t>[Section 232 amended: see SA Act No. 37 of 2020 s. 66 and WA Gazette 4 Sep 2024 p. 2215.]</w:t>
      </w:r>
    </w:p>
    <w:p>
      <w:pPr>
        <w:pStyle w:val="Heading5"/>
      </w:pPr>
      <w:bookmarkStart w:id="1424" w:name="_Toc176259665"/>
      <w:r>
        <w:rPr>
          <w:rStyle w:val="CharSectno"/>
        </w:rPr>
        <w:t>233</w:t>
      </w:r>
      <w:r>
        <w:t>.</w:t>
      </w:r>
      <w:r>
        <w:tab/>
        <w:t>Actions for damages by persons for breach of conduct provision</w:t>
      </w:r>
      <w:bookmarkEnd w:id="1424"/>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425" w:name="_Toc175836706"/>
      <w:bookmarkStart w:id="1426" w:name="_Toc175837818"/>
      <w:bookmarkStart w:id="1427" w:name="_Toc175842526"/>
      <w:bookmarkStart w:id="1428" w:name="_Toc175914129"/>
      <w:bookmarkStart w:id="1429" w:name="_Toc175914933"/>
      <w:bookmarkStart w:id="1430" w:name="_Toc175922824"/>
      <w:bookmarkStart w:id="1431" w:name="_Toc176257128"/>
      <w:bookmarkStart w:id="1432" w:name="_Toc176259666"/>
      <w:r>
        <w:rPr>
          <w:rStyle w:val="CharDivNo"/>
        </w:rPr>
        <w:lastRenderedPageBreak/>
        <w:t>Part 3</w:t>
      </w:r>
      <w:r>
        <w:t xml:space="preserve"> — </w:t>
      </w:r>
      <w:r>
        <w:rPr>
          <w:rStyle w:val="CharDivText"/>
        </w:rPr>
        <w:t>Matters relating to breaches of this Law, the Regulations or the Rules</w:t>
      </w:r>
      <w:bookmarkEnd w:id="1425"/>
      <w:bookmarkEnd w:id="1426"/>
      <w:bookmarkEnd w:id="1427"/>
      <w:bookmarkEnd w:id="1428"/>
      <w:bookmarkEnd w:id="1429"/>
      <w:bookmarkEnd w:id="1430"/>
      <w:bookmarkEnd w:id="1431"/>
      <w:bookmarkEnd w:id="1432"/>
    </w:p>
    <w:p>
      <w:pPr>
        <w:pStyle w:val="Heading5"/>
        <w:keepNext w:val="0"/>
        <w:keepLines w:val="0"/>
      </w:pPr>
      <w:bookmarkStart w:id="1433" w:name="_Toc176259667"/>
      <w:r>
        <w:rPr>
          <w:rStyle w:val="CharSectno"/>
        </w:rPr>
        <w:t>234</w:t>
      </w:r>
      <w:r>
        <w:t>.</w:t>
      </w:r>
      <w:r>
        <w:tab/>
        <w:t>Matters for which there must be regard in determining amount of civil penalty</w:t>
      </w:r>
      <w:bookmarkEnd w:id="1433"/>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have breached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without limiting the operation of section 3A(1)(c)(ii)(B) or (C)—the value of any benefit reasonably attributable to the breach that the person or, in the case of a body corporate, any related body corporate, has obtained, directly or indirectly;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have breached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Footnotesection"/>
      </w:pPr>
      <w:r>
        <w:tab/>
        <w:t>[Section 234 amended: see SA Act No. 37 of 2020 s. 67 and WA Gazette 4 Sep 2024 p. 2215.]</w:t>
      </w:r>
    </w:p>
    <w:p>
      <w:pPr>
        <w:pStyle w:val="Heading5"/>
      </w:pPr>
      <w:bookmarkStart w:id="1434" w:name="_Toc176259668"/>
      <w:r>
        <w:rPr>
          <w:rStyle w:val="CharSectno"/>
        </w:rPr>
        <w:lastRenderedPageBreak/>
        <w:t>235</w:t>
      </w:r>
      <w:r>
        <w:t>.</w:t>
      </w:r>
      <w:r>
        <w:tab/>
        <w:t>Breach of a civil penalty provision is not an offence</w:t>
      </w:r>
      <w:bookmarkEnd w:id="1434"/>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435" w:name="_Toc176259669"/>
      <w:r>
        <w:rPr>
          <w:rStyle w:val="CharSectno"/>
        </w:rPr>
        <w:t>236</w:t>
      </w:r>
      <w:r>
        <w:t>.</w:t>
      </w:r>
      <w:r>
        <w:tab/>
        <w:t>Breaches of civil penalty provisions involving continuing failure</w:t>
      </w:r>
      <w:bookmarkEnd w:id="1435"/>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436" w:name="_Toc176259670"/>
      <w:r>
        <w:rPr>
          <w:rStyle w:val="CharSectno"/>
        </w:rPr>
        <w:t>237</w:t>
      </w:r>
      <w:r>
        <w:t>.</w:t>
      </w:r>
      <w:r>
        <w:tab/>
        <w:t>Conduct in breach of more than 1 civil penalty provision</w:t>
      </w:r>
      <w:bookmarkEnd w:id="14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437" w:name="_Toc176259671"/>
      <w:r>
        <w:rPr>
          <w:rStyle w:val="CharSectno"/>
        </w:rPr>
        <w:t>238</w:t>
      </w:r>
      <w:r>
        <w:t>.</w:t>
      </w:r>
      <w:r>
        <w:tab/>
        <w:t>Persons involved in breach of civil penalty provision or conduct provision</w:t>
      </w:r>
      <w:bookmarkEnd w:id="14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438" w:name="_Toc176259672"/>
      <w:r>
        <w:rPr>
          <w:rStyle w:val="CharSectno"/>
        </w:rPr>
        <w:t>239</w:t>
      </w:r>
      <w:r>
        <w:t>.</w:t>
      </w:r>
      <w:r>
        <w:tab/>
        <w:t>Attempt to breach a civil penalty provision</w:t>
      </w:r>
      <w:bookmarkEnd w:id="1438"/>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439" w:name="_Toc176259673"/>
      <w:r>
        <w:rPr>
          <w:rStyle w:val="CharSectno"/>
        </w:rPr>
        <w:t>240</w:t>
      </w:r>
      <w:r>
        <w:t>.</w:t>
      </w:r>
      <w:r>
        <w:tab/>
        <w:t>Civil penalties payable to the Commonwealth</w:t>
      </w:r>
      <w:bookmarkEnd w:id="1439"/>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1440" w:name="_Toc175836714"/>
      <w:bookmarkStart w:id="1441" w:name="_Toc175837826"/>
      <w:bookmarkStart w:id="1442" w:name="_Toc175842534"/>
      <w:bookmarkStart w:id="1443" w:name="_Toc175914137"/>
      <w:bookmarkStart w:id="1444" w:name="_Toc175914941"/>
      <w:bookmarkStart w:id="1445" w:name="_Toc175922832"/>
      <w:bookmarkStart w:id="1446" w:name="_Toc176257136"/>
      <w:bookmarkStart w:id="1447" w:name="_Toc176259674"/>
      <w:r>
        <w:rPr>
          <w:rStyle w:val="CharDivNo"/>
        </w:rPr>
        <w:t>Part 4</w:t>
      </w:r>
      <w:r>
        <w:t xml:space="preserve"> — </w:t>
      </w:r>
      <w:r>
        <w:rPr>
          <w:rStyle w:val="CharDivText"/>
        </w:rPr>
        <w:t>Judicial review of decisions under this Law, the Regulations and the Rules</w:t>
      </w:r>
      <w:bookmarkEnd w:id="1440"/>
      <w:bookmarkEnd w:id="1441"/>
      <w:bookmarkEnd w:id="1442"/>
      <w:bookmarkEnd w:id="1443"/>
      <w:bookmarkEnd w:id="1444"/>
      <w:bookmarkEnd w:id="1445"/>
      <w:bookmarkEnd w:id="1446"/>
      <w:bookmarkEnd w:id="1447"/>
    </w:p>
    <w:p>
      <w:pPr>
        <w:pStyle w:val="Heading5"/>
      </w:pPr>
      <w:bookmarkStart w:id="1448" w:name="_Toc176259675"/>
      <w:r>
        <w:rPr>
          <w:rStyle w:val="CharSectno"/>
        </w:rPr>
        <w:t>241</w:t>
      </w:r>
      <w:r>
        <w:t>.</w:t>
      </w:r>
      <w:r>
        <w:tab/>
        <w:t>Definition</w:t>
      </w:r>
      <w:bookmarkEnd w:id="1448"/>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449" w:name="_Toc176259676"/>
      <w:r>
        <w:rPr>
          <w:rStyle w:val="CharSectno"/>
        </w:rPr>
        <w:t>242</w:t>
      </w:r>
      <w:r>
        <w:t>.</w:t>
      </w:r>
      <w:r>
        <w:tab/>
        <w:t>Applications for judicial review of decisions of the AEMC</w:t>
      </w:r>
      <w:bookmarkEnd w:id="144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450" w:name="_Toc176259677"/>
      <w:r>
        <w:rPr>
          <w:rStyle w:val="CharSectno"/>
        </w:rPr>
        <w:t>243</w:t>
      </w:r>
      <w:r>
        <w:t>.</w:t>
      </w:r>
      <w:r>
        <w:tab/>
        <w:t>Applications for judicial review of decisions of the Bulletin Board operator</w:t>
      </w:r>
      <w:bookmarkEnd w:id="14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451" w:name="_Toc175836718"/>
      <w:bookmarkStart w:id="1452" w:name="_Toc175837830"/>
      <w:bookmarkStart w:id="1453" w:name="_Toc175842538"/>
      <w:bookmarkStart w:id="1454" w:name="_Toc175914141"/>
      <w:bookmarkStart w:id="1455" w:name="_Toc175914945"/>
      <w:bookmarkStart w:id="1456" w:name="_Toc175922836"/>
      <w:bookmarkStart w:id="1457" w:name="_Toc176257140"/>
      <w:bookmarkStart w:id="1458" w:name="_Toc176259678"/>
      <w:r>
        <w:rPr>
          <w:rStyle w:val="CharDivNo"/>
        </w:rPr>
        <w:t>Part 5</w:t>
      </w:r>
      <w:r>
        <w:t xml:space="preserve"> — </w:t>
      </w:r>
      <w:r>
        <w:rPr>
          <w:rStyle w:val="CharDivText"/>
        </w:rPr>
        <w:t>Merits review and other non</w:t>
      </w:r>
      <w:r>
        <w:rPr>
          <w:rStyle w:val="CharDivText"/>
        </w:rPr>
        <w:noBreakHyphen/>
        <w:t>judicial review</w:t>
      </w:r>
      <w:bookmarkEnd w:id="1451"/>
      <w:bookmarkEnd w:id="1452"/>
      <w:bookmarkEnd w:id="1453"/>
      <w:bookmarkEnd w:id="1454"/>
      <w:bookmarkEnd w:id="1455"/>
      <w:bookmarkEnd w:id="1456"/>
      <w:bookmarkEnd w:id="1457"/>
      <w:bookmarkEnd w:id="1458"/>
    </w:p>
    <w:p>
      <w:pPr>
        <w:pStyle w:val="Heading4"/>
        <w:keepNext w:val="0"/>
      </w:pPr>
      <w:bookmarkStart w:id="1459" w:name="_Toc175836719"/>
      <w:bookmarkStart w:id="1460" w:name="_Toc175837831"/>
      <w:bookmarkStart w:id="1461" w:name="_Toc175842539"/>
      <w:bookmarkStart w:id="1462" w:name="_Toc175914142"/>
      <w:bookmarkStart w:id="1463" w:name="_Toc175914946"/>
      <w:bookmarkStart w:id="1464" w:name="_Toc175922837"/>
      <w:bookmarkStart w:id="1465" w:name="_Toc176257141"/>
      <w:bookmarkStart w:id="1466" w:name="_Toc176259679"/>
      <w:r>
        <w:t>Division 1 — Interpretation</w:t>
      </w:r>
      <w:bookmarkEnd w:id="1459"/>
      <w:bookmarkEnd w:id="1460"/>
      <w:bookmarkEnd w:id="1461"/>
      <w:bookmarkEnd w:id="1462"/>
      <w:bookmarkEnd w:id="1463"/>
      <w:bookmarkEnd w:id="1464"/>
      <w:bookmarkEnd w:id="1465"/>
      <w:bookmarkEnd w:id="1466"/>
    </w:p>
    <w:p>
      <w:pPr>
        <w:pStyle w:val="Heading5"/>
        <w:keepNext w:val="0"/>
        <w:keepLines w:val="0"/>
      </w:pPr>
      <w:bookmarkStart w:id="1467" w:name="_Toc176259680"/>
      <w:r>
        <w:rPr>
          <w:rStyle w:val="CharSectno"/>
        </w:rPr>
        <w:t>244</w:t>
      </w:r>
      <w:r>
        <w:t>.</w:t>
      </w:r>
      <w:r>
        <w:tab/>
        <w:t>Definitions</w:t>
      </w:r>
      <w:bookmarkEnd w:id="1467"/>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lastRenderedPageBreak/>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lastRenderedPageBreak/>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lastRenderedPageBreak/>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468" w:name="_Toc175836721"/>
      <w:bookmarkStart w:id="1469" w:name="_Toc175837833"/>
      <w:bookmarkStart w:id="1470" w:name="_Toc175842541"/>
      <w:bookmarkStart w:id="1471" w:name="_Toc175914144"/>
      <w:bookmarkStart w:id="1472" w:name="_Toc175914948"/>
      <w:bookmarkStart w:id="1473" w:name="_Toc175922839"/>
      <w:bookmarkStart w:id="1474" w:name="_Toc176257143"/>
      <w:bookmarkStart w:id="1475" w:name="_Toc176259681"/>
      <w:r>
        <w:t>Division 2 — Merits review for reviewable regulatory decisions</w:t>
      </w:r>
      <w:bookmarkEnd w:id="1468"/>
      <w:bookmarkEnd w:id="1469"/>
      <w:bookmarkEnd w:id="1470"/>
      <w:bookmarkEnd w:id="1471"/>
      <w:bookmarkEnd w:id="1472"/>
      <w:bookmarkEnd w:id="1473"/>
      <w:bookmarkEnd w:id="1474"/>
      <w:bookmarkEnd w:id="1475"/>
    </w:p>
    <w:p>
      <w:pPr>
        <w:pStyle w:val="Heading5"/>
      </w:pPr>
      <w:bookmarkStart w:id="1476" w:name="_Toc176259682"/>
      <w:r>
        <w:rPr>
          <w:rStyle w:val="CharSectno"/>
        </w:rPr>
        <w:t>245</w:t>
      </w:r>
      <w:r>
        <w:t>.</w:t>
      </w:r>
      <w:r>
        <w:tab/>
        <w:t>Applications for review</w:t>
      </w:r>
      <w:bookmarkEnd w:id="14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477" w:name="_Toc176259683"/>
      <w:r>
        <w:rPr>
          <w:rStyle w:val="CharSectno"/>
        </w:rPr>
        <w:lastRenderedPageBreak/>
        <w:t>246</w:t>
      </w:r>
      <w:r>
        <w:t>.</w:t>
      </w:r>
      <w:r>
        <w:tab/>
        <w:t>Grounds for review</w:t>
      </w:r>
      <w:bookmarkEnd w:id="14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1478" w:name="_Toc176259684"/>
      <w:r>
        <w:rPr>
          <w:rStyle w:val="CharSectno"/>
        </w:rPr>
        <w:lastRenderedPageBreak/>
        <w:t>247</w:t>
      </w:r>
      <w:r>
        <w:t>.</w:t>
      </w:r>
      <w:r>
        <w:tab/>
        <w:t>By when an application must be made</w:t>
      </w:r>
      <w:bookmarkEnd w:id="14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479" w:name="_Toc176259685"/>
      <w:r>
        <w:rPr>
          <w:rStyle w:val="CharSectno"/>
        </w:rPr>
        <w:t>248</w:t>
      </w:r>
      <w:r>
        <w:t>.</w:t>
      </w:r>
      <w:r>
        <w:tab/>
        <w:t>Tribunal must not grant leave unless serious issue to be heard and determined</w:t>
      </w:r>
      <w:bookmarkEnd w:id="1479"/>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w:t>
      </w:r>
      <w:r>
        <w:rPr>
          <w:color w:val="000000"/>
          <w:sz w:val="23"/>
          <w:szCs w:val="23"/>
        </w:rPr>
        <w:lastRenderedPageBreak/>
        <w:t>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1480" w:name="_Toc176259686"/>
      <w:r>
        <w:rPr>
          <w:rStyle w:val="CharSectno"/>
        </w:rPr>
        <w:t>249</w:t>
      </w:r>
      <w:r>
        <w:t>.</w:t>
      </w:r>
      <w:r>
        <w:tab/>
        <w:t>Leave must be refused if application is about an error relating to revenue amounts below specified threshold</w:t>
      </w:r>
      <w:bookmarkEnd w:id="14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1481" w:name="_Toc176259687"/>
      <w:r>
        <w:rPr>
          <w:rStyle w:val="CharSectno"/>
        </w:rPr>
        <w:t>250</w:t>
      </w:r>
      <w:r>
        <w:t>.</w:t>
      </w:r>
      <w:r>
        <w:tab/>
        <w:t>Tribunal must refuse to grant leave if submission not made or is made late</w:t>
      </w:r>
      <w:bookmarkEnd w:id="1481"/>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 xml:space="preserve">affected or </w:t>
      </w:r>
      <w:r>
        <w:rPr>
          <w:rStyle w:val="CharDefText"/>
          <w:bCs/>
          <w:sz w:val="23"/>
        </w:rPr>
        <w:lastRenderedPageBreak/>
        <w:t>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482" w:name="_Toc176259688"/>
      <w:r>
        <w:rPr>
          <w:rStyle w:val="CharSectno"/>
        </w:rPr>
        <w:t>251</w:t>
      </w:r>
      <w:r>
        <w:t>.</w:t>
      </w:r>
      <w:r>
        <w:tab/>
        <w:t>Tribunal may refuse to grant leave to service provider in certain cases</w:t>
      </w:r>
      <w:bookmarkEnd w:id="14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failed to comply with a request (including a request for relevant information), or a direction made under this Law or the </w:t>
      </w:r>
      <w:r>
        <w:rPr>
          <w:color w:val="000000"/>
          <w:sz w:val="23"/>
          <w:szCs w:val="23"/>
        </w:rPr>
        <w:lastRenderedPageBreak/>
        <w:t>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483" w:name="_Toc176259689"/>
      <w:r>
        <w:rPr>
          <w:rStyle w:val="CharSectno"/>
        </w:rPr>
        <w:t>252</w:t>
      </w:r>
      <w:r>
        <w:t>.</w:t>
      </w:r>
      <w:r>
        <w:tab/>
        <w:t>Effect of application on operation of reviewable regulatory decisions</w:t>
      </w:r>
      <w:bookmarkEnd w:id="1483"/>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484" w:name="_Toc176259690"/>
      <w:r>
        <w:rPr>
          <w:rStyle w:val="CharSectno"/>
        </w:rPr>
        <w:lastRenderedPageBreak/>
        <w:t>253</w:t>
      </w:r>
      <w:r>
        <w:t>.</w:t>
      </w:r>
      <w:r>
        <w:tab/>
        <w:t>Intervention by others in a review without leave</w:t>
      </w:r>
      <w:bookmarkEnd w:id="1484"/>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485" w:name="_Toc176259691"/>
      <w:r>
        <w:rPr>
          <w:rStyle w:val="CharSectno"/>
        </w:rPr>
        <w:t>254</w:t>
      </w:r>
      <w:r>
        <w:t>.</w:t>
      </w:r>
      <w:r>
        <w:tab/>
        <w:t>Leave for reviewable regulatory decision process participants</w:t>
      </w:r>
      <w:bookmarkEnd w:id="14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1486" w:name="_Toc176259692"/>
      <w:r>
        <w:rPr>
          <w:rStyle w:val="CharSectno"/>
        </w:rPr>
        <w:t>255</w:t>
      </w:r>
      <w:r>
        <w:t>.</w:t>
      </w:r>
      <w:r>
        <w:tab/>
        <w:t>Leave for user or consumer intervener</w:t>
      </w:r>
      <w:bookmarkEnd w:id="14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487" w:name="_Toc176259693"/>
      <w:r>
        <w:rPr>
          <w:rStyle w:val="CharSectno"/>
        </w:rPr>
        <w:t>256</w:t>
      </w:r>
      <w:r>
        <w:t>.</w:t>
      </w:r>
      <w:r>
        <w:tab/>
        <w:t>Interveners may raise new grounds for review</w:t>
      </w:r>
      <w:bookmarkEnd w:id="14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 xml:space="preserve">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w:t>
      </w:r>
      <w:r>
        <w:rPr>
          <w:color w:val="000000"/>
          <w:sz w:val="23"/>
          <w:szCs w:val="23"/>
        </w:rPr>
        <w:lastRenderedPageBreak/>
        <w:t>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1488" w:name="_Toc176259694"/>
      <w:r>
        <w:rPr>
          <w:rStyle w:val="CharSectno"/>
        </w:rPr>
        <w:t>257</w:t>
      </w:r>
      <w:r>
        <w:t>.</w:t>
      </w:r>
      <w:r>
        <w:tab/>
        <w:t>Parties to a review under this Division</w:t>
      </w:r>
      <w:bookmarkEnd w:id="1488"/>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489" w:name="_Toc176259695"/>
      <w:r>
        <w:rPr>
          <w:rStyle w:val="CharSectno"/>
        </w:rPr>
        <w:t>258</w:t>
      </w:r>
      <w:r>
        <w:t>.</w:t>
      </w:r>
      <w:r>
        <w:tab/>
        <w:t>Matters that parties to a review may and may not raise in a review</w:t>
      </w:r>
      <w:bookmarkEnd w:id="1489"/>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1490" w:name="_Toc176259696"/>
      <w:r>
        <w:rPr>
          <w:rStyle w:val="CharSectno"/>
        </w:rPr>
        <w:t>258A</w:t>
      </w:r>
      <w:r>
        <w:t>.</w:t>
      </w:r>
      <w:r>
        <w:tab/>
        <w:t>Matters that may and may not be raised in a review (designated reviewable regulatory decisions)</w:t>
      </w:r>
      <w:bookmarkEnd w:id="1490"/>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1491" w:name="_Toc176259697"/>
      <w:r>
        <w:rPr>
          <w:rStyle w:val="CharSectno"/>
        </w:rPr>
        <w:t>259</w:t>
      </w:r>
      <w:r>
        <w:t>.</w:t>
      </w:r>
      <w:r>
        <w:tab/>
        <w:t>Tribunal must make determination</w:t>
      </w:r>
      <w:bookmarkEnd w:id="14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1492" w:name="_Toc176259698"/>
      <w:r>
        <w:rPr>
          <w:rStyle w:val="CharSectno"/>
        </w:rPr>
        <w:t>260</w:t>
      </w:r>
      <w:r>
        <w:t>.</w:t>
      </w:r>
      <w:r>
        <w:tab/>
        <w:t>Target time limit for Tribunal for making a determination under this Division</w:t>
      </w:r>
      <w:bookmarkEnd w:id="14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specifying a date by which it must now use its best endeavours to make the determination.</w:t>
      </w:r>
    </w:p>
    <w:p>
      <w:pPr>
        <w:pStyle w:val="Heading5"/>
      </w:pPr>
      <w:bookmarkStart w:id="1493" w:name="_Toc176259699"/>
      <w:r>
        <w:rPr>
          <w:rStyle w:val="CharSectno"/>
        </w:rPr>
        <w:t>261</w:t>
      </w:r>
      <w:r>
        <w:t>.</w:t>
      </w:r>
      <w:r>
        <w:tab/>
        <w:t>Matters to be considered by Tribunal in making determination</w:t>
      </w:r>
      <w:bookmarkEnd w:id="14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keepNext/>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lastRenderedPageBreak/>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lastRenderedPageBreak/>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1494" w:name="_Toc176259700"/>
      <w:r>
        <w:rPr>
          <w:rStyle w:val="CharSectno"/>
        </w:rPr>
        <w:t>262</w:t>
      </w:r>
      <w:r>
        <w:t>.</w:t>
      </w:r>
      <w:r>
        <w:tab/>
        <w:t>Assistance from NCC in certain cases</w:t>
      </w:r>
      <w:bookmarkEnd w:id="14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495" w:name="_Toc175836741"/>
      <w:bookmarkStart w:id="1496" w:name="_Toc175837853"/>
      <w:bookmarkStart w:id="1497" w:name="_Toc175842561"/>
      <w:bookmarkStart w:id="1498" w:name="_Toc175914164"/>
      <w:bookmarkStart w:id="1499" w:name="_Toc175914968"/>
      <w:bookmarkStart w:id="1500" w:name="_Toc175922859"/>
      <w:bookmarkStart w:id="1501" w:name="_Toc176257163"/>
      <w:bookmarkStart w:id="1502" w:name="_Toc176259701"/>
      <w:r>
        <w:t>Division 3 — Tribunal review of AER information disclosure decisions under section 329</w:t>
      </w:r>
      <w:bookmarkEnd w:id="1495"/>
      <w:bookmarkEnd w:id="1496"/>
      <w:bookmarkEnd w:id="1497"/>
      <w:bookmarkEnd w:id="1498"/>
      <w:bookmarkEnd w:id="1499"/>
      <w:bookmarkEnd w:id="1500"/>
      <w:bookmarkEnd w:id="1501"/>
      <w:bookmarkEnd w:id="1502"/>
    </w:p>
    <w:p>
      <w:pPr>
        <w:pStyle w:val="Heading5"/>
      </w:pPr>
      <w:bookmarkStart w:id="1503" w:name="_Toc176259702"/>
      <w:r>
        <w:rPr>
          <w:rStyle w:val="CharSectno"/>
        </w:rPr>
        <w:t>263</w:t>
      </w:r>
      <w:r>
        <w:t>.</w:t>
      </w:r>
      <w:r>
        <w:tab/>
        <w:t>Application for review</w:t>
      </w:r>
      <w:bookmarkEnd w:id="15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504" w:name="_Toc176259703"/>
      <w:r>
        <w:rPr>
          <w:rStyle w:val="CharSectno"/>
        </w:rPr>
        <w:t>264</w:t>
      </w:r>
      <w:r>
        <w:t>.</w:t>
      </w:r>
      <w:r>
        <w:tab/>
        <w:t>Exclusion of public in certain cases</w:t>
      </w:r>
      <w:bookmarkEnd w:id="1504"/>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505" w:name="_Toc176259704"/>
      <w:r>
        <w:rPr>
          <w:rStyle w:val="CharSectno"/>
        </w:rPr>
        <w:t>265</w:t>
      </w:r>
      <w:r>
        <w:t>.</w:t>
      </w:r>
      <w:r>
        <w:tab/>
        <w:t>Determination in the review</w:t>
      </w:r>
      <w:bookmarkEnd w:id="15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506" w:name="_Toc176259705"/>
      <w:r>
        <w:rPr>
          <w:rStyle w:val="CharSectno"/>
        </w:rPr>
        <w:lastRenderedPageBreak/>
        <w:t>266</w:t>
      </w:r>
      <w:r>
        <w:t>.</w:t>
      </w:r>
      <w:r>
        <w:tab/>
        <w:t>Tribunal must be taken to have affirmed decision if decision not made within time</w:t>
      </w:r>
      <w:bookmarkEnd w:id="15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507" w:name="_Toc176259706"/>
      <w:r>
        <w:rPr>
          <w:rStyle w:val="CharSectno"/>
        </w:rPr>
        <w:t>267</w:t>
      </w:r>
      <w:r>
        <w:t>.</w:t>
      </w:r>
      <w:r>
        <w:tab/>
        <w:t>Assistance from the AER in certain cases</w:t>
      </w:r>
      <w:bookmarkEnd w:id="1507"/>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508" w:name="_Toc175836747"/>
      <w:bookmarkStart w:id="1509" w:name="_Toc175837859"/>
      <w:bookmarkStart w:id="1510" w:name="_Toc175842567"/>
      <w:bookmarkStart w:id="1511" w:name="_Toc175914170"/>
      <w:bookmarkStart w:id="1512" w:name="_Toc175914974"/>
      <w:bookmarkStart w:id="1513" w:name="_Toc175922865"/>
      <w:bookmarkStart w:id="1514" w:name="_Toc176257169"/>
      <w:bookmarkStart w:id="1515" w:name="_Toc176259707"/>
      <w:r>
        <w:t>Division 4 — General</w:t>
      </w:r>
      <w:bookmarkEnd w:id="1508"/>
      <w:bookmarkEnd w:id="1509"/>
      <w:bookmarkEnd w:id="1510"/>
      <w:bookmarkEnd w:id="1511"/>
      <w:bookmarkEnd w:id="1512"/>
      <w:bookmarkEnd w:id="1513"/>
      <w:bookmarkEnd w:id="1514"/>
      <w:bookmarkEnd w:id="1515"/>
    </w:p>
    <w:p>
      <w:pPr>
        <w:pStyle w:val="Heading5"/>
      </w:pPr>
      <w:bookmarkStart w:id="1516" w:name="_Toc176259708"/>
      <w:r>
        <w:rPr>
          <w:rStyle w:val="CharSectno"/>
        </w:rPr>
        <w:t>268</w:t>
      </w:r>
      <w:r>
        <w:t>.</w:t>
      </w:r>
      <w:r>
        <w:tab/>
        <w:t>Costs in a review</w:t>
      </w:r>
      <w:bookmarkEnd w:id="15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1517" w:name="_Toc176259709"/>
      <w:r>
        <w:rPr>
          <w:rStyle w:val="CharSectno"/>
        </w:rPr>
        <w:t>269</w:t>
      </w:r>
      <w:r>
        <w:t>.</w:t>
      </w:r>
      <w:r>
        <w:tab/>
        <w:t>Amount of costs</w:t>
      </w:r>
      <w:bookmarkEnd w:id="15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1518" w:name="_Toc176259710"/>
      <w:r>
        <w:rPr>
          <w:rStyle w:val="CharSectno"/>
        </w:rPr>
        <w:t>269A</w:t>
      </w:r>
      <w:r>
        <w:t>.</w:t>
      </w:r>
      <w:r>
        <w:tab/>
        <w:t>Costs not to be passed on</w:t>
      </w:r>
      <w:bookmarkEnd w:id="15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1519" w:name="_Toc176259711"/>
      <w:r>
        <w:rPr>
          <w:rStyle w:val="CharSectno"/>
        </w:rPr>
        <w:lastRenderedPageBreak/>
        <w:t>270</w:t>
      </w:r>
      <w:r>
        <w:t>.</w:t>
      </w:r>
      <w:r>
        <w:tab/>
        <w:t>Review of Part</w:t>
      </w:r>
      <w:bookmarkEnd w:id="15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1520" w:name="_Toc175836752"/>
      <w:bookmarkStart w:id="1521" w:name="_Toc175837864"/>
      <w:bookmarkStart w:id="1522" w:name="_Toc175842572"/>
      <w:bookmarkStart w:id="1523" w:name="_Toc175914175"/>
      <w:bookmarkStart w:id="1524" w:name="_Toc175914979"/>
      <w:bookmarkStart w:id="1525" w:name="_Toc175922870"/>
      <w:bookmarkStart w:id="1526" w:name="_Toc176257174"/>
      <w:bookmarkStart w:id="1527" w:name="_Toc176259712"/>
      <w:r>
        <w:rPr>
          <w:rStyle w:val="CharDivNo"/>
        </w:rPr>
        <w:t>Part 6</w:t>
      </w:r>
      <w:r>
        <w:t xml:space="preserve"> — </w:t>
      </w:r>
      <w:r>
        <w:rPr>
          <w:rStyle w:val="CharDivText"/>
        </w:rPr>
        <w:t>Enforcement of access determinations</w:t>
      </w:r>
      <w:bookmarkEnd w:id="1520"/>
      <w:bookmarkEnd w:id="1521"/>
      <w:bookmarkEnd w:id="1522"/>
      <w:bookmarkEnd w:id="1523"/>
      <w:bookmarkEnd w:id="1524"/>
      <w:bookmarkEnd w:id="1525"/>
      <w:bookmarkEnd w:id="1526"/>
      <w:bookmarkEnd w:id="1527"/>
    </w:p>
    <w:p>
      <w:pPr>
        <w:pStyle w:val="Heading5"/>
        <w:spacing w:before="120"/>
      </w:pPr>
      <w:bookmarkStart w:id="1528" w:name="_Toc176259713"/>
      <w:r>
        <w:rPr>
          <w:rStyle w:val="CharSectno"/>
        </w:rPr>
        <w:t>271</w:t>
      </w:r>
      <w:r>
        <w:t>.</w:t>
      </w:r>
      <w:r>
        <w:tab/>
        <w:t>Enforcement of access determinations</w:t>
      </w:r>
      <w:bookmarkEnd w:id="15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1529" w:name="_Toc176259714"/>
      <w:r>
        <w:rPr>
          <w:rStyle w:val="CharSectno"/>
        </w:rPr>
        <w:lastRenderedPageBreak/>
        <w:t>272</w:t>
      </w:r>
      <w:r>
        <w:t>.</w:t>
      </w:r>
      <w:r>
        <w:tab/>
        <w:t>Consent injunctions</w:t>
      </w:r>
      <w:bookmarkEnd w:id="1529"/>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1530" w:name="_Toc176259715"/>
      <w:r>
        <w:rPr>
          <w:rStyle w:val="CharSectno"/>
        </w:rPr>
        <w:t>273</w:t>
      </w:r>
      <w:r>
        <w:t>.</w:t>
      </w:r>
      <w:r>
        <w:tab/>
        <w:t>Interim injunctions</w:t>
      </w:r>
      <w:bookmarkEnd w:id="1530"/>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1531" w:name="_Toc176259716"/>
      <w:r>
        <w:rPr>
          <w:rStyle w:val="CharSectno"/>
        </w:rPr>
        <w:t>274</w:t>
      </w:r>
      <w:r>
        <w:t>.</w:t>
      </w:r>
      <w:r>
        <w:tab/>
        <w:t>Factors relevant to granting a restraining injunction</w:t>
      </w:r>
      <w:bookmarkEnd w:id="1531"/>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1532" w:name="_Toc176259717"/>
      <w:r>
        <w:rPr>
          <w:rStyle w:val="CharSectno"/>
        </w:rPr>
        <w:t>275</w:t>
      </w:r>
      <w:r>
        <w:t>.</w:t>
      </w:r>
      <w:r>
        <w:tab/>
        <w:t>Factors relevant to granting a mandatory injunction</w:t>
      </w:r>
      <w:bookmarkEnd w:id="1532"/>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there is an imminent danger of substantial damage to any person if the first mentioned person refuses or fails to do that thing.</w:t>
      </w:r>
    </w:p>
    <w:p>
      <w:pPr>
        <w:pStyle w:val="Heading5"/>
      </w:pPr>
      <w:bookmarkStart w:id="1533" w:name="_Toc176259718"/>
      <w:r>
        <w:rPr>
          <w:rStyle w:val="CharSectno"/>
        </w:rPr>
        <w:t>276</w:t>
      </w:r>
      <w:r>
        <w:t>.</w:t>
      </w:r>
      <w:r>
        <w:tab/>
        <w:t>Discharge or variation of injunction or other order</w:t>
      </w:r>
      <w:bookmarkEnd w:id="1533"/>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1534" w:name="_Toc175836759"/>
      <w:bookmarkStart w:id="1535" w:name="_Toc175837871"/>
      <w:bookmarkStart w:id="1536" w:name="_Toc175842579"/>
      <w:bookmarkStart w:id="1537" w:name="_Toc175914182"/>
      <w:bookmarkStart w:id="1538" w:name="_Toc175914986"/>
      <w:bookmarkStart w:id="1539" w:name="_Toc175922877"/>
      <w:bookmarkStart w:id="1540" w:name="_Toc176257181"/>
      <w:bookmarkStart w:id="1541" w:name="_Toc176259719"/>
      <w:r>
        <w:rPr>
          <w:rStyle w:val="CharDivNo"/>
        </w:rPr>
        <w:t>Part 7</w:t>
      </w:r>
      <w:r>
        <w:t xml:space="preserve"> — </w:t>
      </w:r>
      <w:r>
        <w:rPr>
          <w:rStyle w:val="CharDivText"/>
        </w:rPr>
        <w:t>Infringement notices</w:t>
      </w:r>
      <w:bookmarkEnd w:id="1534"/>
      <w:bookmarkEnd w:id="1535"/>
      <w:bookmarkEnd w:id="1536"/>
      <w:bookmarkEnd w:id="1537"/>
      <w:bookmarkEnd w:id="1538"/>
      <w:bookmarkEnd w:id="1539"/>
      <w:bookmarkEnd w:id="1540"/>
      <w:bookmarkEnd w:id="1541"/>
    </w:p>
    <w:p>
      <w:pPr>
        <w:pStyle w:val="Heading5"/>
        <w:spacing w:before="120"/>
      </w:pPr>
      <w:bookmarkStart w:id="1542" w:name="_Toc176259720"/>
      <w:r>
        <w:rPr>
          <w:rStyle w:val="CharSectno"/>
        </w:rPr>
        <w:t>277</w:t>
      </w:r>
      <w:r>
        <w:t>.</w:t>
      </w:r>
      <w:r>
        <w:tab/>
        <w:t>Power to serve notice</w:t>
      </w:r>
      <w:bookmarkEnd w:id="15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if the AER believes on reasonable grounds that the person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Footnotesection"/>
      </w:pPr>
      <w:r>
        <w:tab/>
        <w:t>[Section 277 amended: see SA Act No. 37 of 2020 s. 68 and WA Gazette 4 Sep 2024 p. 2215.]</w:t>
      </w:r>
    </w:p>
    <w:p>
      <w:pPr>
        <w:pStyle w:val="Heading5"/>
        <w:spacing w:before="120"/>
      </w:pPr>
      <w:bookmarkStart w:id="1543" w:name="_Toc176259721"/>
      <w:r>
        <w:rPr>
          <w:rStyle w:val="CharSectno"/>
        </w:rPr>
        <w:lastRenderedPageBreak/>
        <w:t>278</w:t>
      </w:r>
      <w:r>
        <w:t>.</w:t>
      </w:r>
      <w:r>
        <w:tab/>
        <w:t>Form of notice</w:t>
      </w:r>
      <w:bookmarkEnd w:id="1543"/>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spacing w:before="120"/>
        <w:rPr>
          <w:b w:val="0"/>
        </w:rPr>
      </w:pPr>
      <w:bookmarkStart w:id="1544" w:name="_Toc176259722"/>
      <w:r>
        <w:rPr>
          <w:rStyle w:val="CharSectno"/>
        </w:rPr>
        <w:t>279</w:t>
      </w:r>
      <w:r>
        <w:t>.</w:t>
      </w:r>
      <w:r>
        <w:tab/>
        <w:t>Infringement penalties</w:t>
      </w:r>
      <w:bookmarkEnd w:id="15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701"/>
        <w:rPr>
          <w:color w:val="000000"/>
          <w:sz w:val="23"/>
          <w:szCs w:val="23"/>
        </w:rPr>
      </w:pPr>
      <w:r>
        <w:rPr>
          <w:rStyle w:val="CharDefText"/>
        </w:rPr>
        <w:t>tier 1 civil penalty provision</w:t>
      </w:r>
      <w:r>
        <w:rPr>
          <w:color w:val="000000"/>
          <w:sz w:val="23"/>
          <w:szCs w:val="23"/>
        </w:rPr>
        <w:t xml:space="preserve"> means a provision with a civil penalty determined under section 3A(1)(c);</w:t>
      </w:r>
    </w:p>
    <w:p>
      <w:pPr>
        <w:keepLines/>
        <w:autoSpaceDE w:val="0"/>
        <w:autoSpaceDN w:val="0"/>
        <w:adjustRightInd w:val="0"/>
        <w:spacing w:before="120"/>
        <w:ind w:left="1701"/>
        <w:rPr>
          <w:color w:val="000000"/>
          <w:sz w:val="23"/>
          <w:szCs w:val="23"/>
        </w:rPr>
      </w:pPr>
      <w:r>
        <w:rPr>
          <w:rStyle w:val="CharDefText"/>
        </w:rPr>
        <w:t>tier 2 civil penalty provision</w:t>
      </w:r>
      <w:r>
        <w:rPr>
          <w:color w:val="000000"/>
          <w:sz w:val="23"/>
          <w:szCs w:val="23"/>
        </w:rPr>
        <w:t xml:space="preserve"> means a provision with a civil penalty determined under section 3A(1)(b);</w:t>
      </w:r>
    </w:p>
    <w:p>
      <w:pPr>
        <w:keepLines/>
        <w:autoSpaceDE w:val="0"/>
        <w:autoSpaceDN w:val="0"/>
        <w:adjustRightInd w:val="0"/>
        <w:spacing w:before="120"/>
        <w:ind w:left="1701"/>
        <w:rPr>
          <w:color w:val="000000"/>
          <w:sz w:val="23"/>
          <w:szCs w:val="23"/>
        </w:rPr>
      </w:pPr>
      <w:r>
        <w:rPr>
          <w:rStyle w:val="CharDefText"/>
        </w:rPr>
        <w:lastRenderedPageBreak/>
        <w:t>tier 3 civil penalty provision</w:t>
      </w:r>
      <w:r>
        <w:rPr>
          <w:color w:val="000000"/>
          <w:sz w:val="23"/>
          <w:szCs w:val="23"/>
        </w:rPr>
        <w:t xml:space="preserve"> means a provision with a civil penalty determined under section 3A(1)(a).</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545" w:name="id92a5704a_e40c_44dd_a78e_10405fb46f"/>
      <w:r>
        <w:rPr>
          <w:color w:val="000000"/>
          <w:sz w:val="23"/>
          <w:szCs w:val="23"/>
        </w:rPr>
        <w:tab/>
        <w:t>(2)</w:t>
      </w:r>
      <w:r>
        <w:rPr>
          <w:color w:val="000000"/>
          <w:sz w:val="23"/>
          <w:szCs w:val="23"/>
        </w:rPr>
        <w:tab/>
        <w:t>The infringement penalty for a breach of a civil penalty provision is—</w:t>
      </w:r>
      <w:bookmarkEnd w:id="1545"/>
    </w:p>
    <w:p>
      <w:pPr>
        <w:keepLines/>
        <w:tabs>
          <w:tab w:val="center" w:pos="1985"/>
          <w:tab w:val="left" w:pos="2382"/>
        </w:tabs>
        <w:autoSpaceDE w:val="0"/>
        <w:autoSpaceDN w:val="0"/>
        <w:adjustRightInd w:val="0"/>
        <w:spacing w:before="120"/>
        <w:ind w:left="2382" w:hanging="794"/>
        <w:rPr>
          <w:color w:val="000000"/>
          <w:sz w:val="23"/>
          <w:szCs w:val="23"/>
        </w:rPr>
      </w:pPr>
      <w:bookmarkStart w:id="1546" w:name="idc93ed3dc_6b1a_4dab_af5a_462bd7566a"/>
      <w:r>
        <w:rPr>
          <w:color w:val="000000"/>
          <w:sz w:val="23"/>
          <w:szCs w:val="23"/>
        </w:rPr>
        <w:tab/>
        <w:t>(a)</w:t>
      </w:r>
      <w:r>
        <w:rPr>
          <w:color w:val="000000"/>
          <w:sz w:val="23"/>
          <w:szCs w:val="23"/>
        </w:rPr>
        <w:tab/>
        <w:t>in the case of a tier 3 civil penalty provision—</w:t>
      </w:r>
      <w:bookmarkEnd w:id="1546"/>
    </w:p>
    <w:p>
      <w:pPr>
        <w:keepLines/>
        <w:tabs>
          <w:tab w:val="left" w:pos="2552"/>
        </w:tabs>
        <w:autoSpaceDE w:val="0"/>
        <w:autoSpaceDN w:val="0"/>
        <w:adjustRightInd w:val="0"/>
        <w:spacing w:before="120"/>
        <w:ind w:left="2977" w:hanging="794"/>
        <w:rPr>
          <w:color w:val="000000"/>
          <w:sz w:val="23"/>
          <w:szCs w:val="23"/>
        </w:rPr>
      </w:pPr>
      <w:r>
        <w:rPr>
          <w:color w:val="000000"/>
          <w:sz w:val="23"/>
          <w:szCs w:val="23"/>
        </w:rPr>
        <w:tab/>
        <w:t>(i)</w:t>
      </w:r>
      <w:r>
        <w:rPr>
          <w:color w:val="000000"/>
          <w:sz w:val="23"/>
          <w:szCs w:val="23"/>
        </w:rPr>
        <w:tab/>
        <w:t>if the breach is alleged to have been committed by a natural person—$6 790 or any lesser amount that is prescribed by the Regulations in relation to the civil penalty provision;</w:t>
      </w:r>
    </w:p>
    <w:p>
      <w:pPr>
        <w:keepLines/>
        <w:tabs>
          <w:tab w:val="left" w:pos="2552"/>
        </w:tabs>
        <w:autoSpaceDE w:val="0"/>
        <w:autoSpaceDN w:val="0"/>
        <w:adjustRightInd w:val="0"/>
        <w:spacing w:before="120"/>
        <w:ind w:left="2977" w:hanging="794"/>
        <w:rPr>
          <w:color w:val="000000"/>
          <w:sz w:val="23"/>
          <w:szCs w:val="23"/>
        </w:rPr>
      </w:pPr>
      <w:bookmarkStart w:id="1547" w:name="idb98e2e04_cba5_4caf_9398_d3f3f255f3"/>
      <w:r>
        <w:rPr>
          <w:color w:val="000000"/>
          <w:sz w:val="23"/>
          <w:szCs w:val="23"/>
        </w:rPr>
        <w:tab/>
        <w:t>(ii)</w:t>
      </w:r>
      <w:r>
        <w:rPr>
          <w:color w:val="000000"/>
          <w:sz w:val="23"/>
          <w:szCs w:val="23"/>
        </w:rPr>
        <w:tab/>
        <w:t>if the breach is alleged to have been committed by a body corporate—</w:t>
      </w:r>
      <w:bookmarkEnd w:id="1547"/>
    </w:p>
    <w:p>
      <w:pPr>
        <w:keepLines/>
        <w:tabs>
          <w:tab w:val="left" w:pos="3261"/>
        </w:tabs>
        <w:autoSpaceDE w:val="0"/>
        <w:autoSpaceDN w:val="0"/>
        <w:adjustRightInd w:val="0"/>
        <w:spacing w:before="120"/>
        <w:ind w:left="3828" w:hanging="936"/>
        <w:rPr>
          <w:color w:val="000000"/>
          <w:sz w:val="23"/>
          <w:szCs w:val="23"/>
        </w:rPr>
      </w:pPr>
      <w:bookmarkStart w:id="1548" w:name="idff6d41e9_b0b5_4257_b66a_8aad215ace"/>
      <w:r>
        <w:rPr>
          <w:color w:val="000000"/>
          <w:sz w:val="23"/>
          <w:szCs w:val="23"/>
        </w:rPr>
        <w:tab/>
        <w:t>(A)</w:t>
      </w:r>
      <w:r>
        <w:rPr>
          <w:color w:val="000000"/>
          <w:sz w:val="23"/>
          <w:szCs w:val="23"/>
        </w:rPr>
        <w:tab/>
        <w:t xml:space="preserve">if the AER makes a determination under </w:t>
      </w:r>
      <w:hyperlink w:anchor="id2ff9539b_c315_49f1_a1c9_9abf48a028" w:history="1">
        <w:r>
          <w:rPr>
            <w:color w:val="000000"/>
            <w:sz w:val="23"/>
            <w:szCs w:val="23"/>
          </w:rPr>
          <w:t>subsection (3)</w:t>
        </w:r>
      </w:hyperlink>
      <w:r>
        <w:rPr>
          <w:color w:val="000000"/>
          <w:sz w:val="23"/>
          <w:szCs w:val="23"/>
        </w:rPr>
        <w:t>—$6 790 or any lesser amount that is prescribed by the Regulations in relation to the civil penalty provision; or</w:t>
      </w:r>
      <w:bookmarkEnd w:id="1548"/>
    </w:p>
    <w:p>
      <w:pPr>
        <w:keepLines/>
        <w:tabs>
          <w:tab w:val="left" w:pos="3261"/>
        </w:tabs>
        <w:autoSpaceDE w:val="0"/>
        <w:autoSpaceDN w:val="0"/>
        <w:adjustRightInd w:val="0"/>
        <w:spacing w:before="120"/>
        <w:ind w:left="3828" w:hanging="936"/>
        <w:rPr>
          <w:color w:val="000000"/>
          <w:sz w:val="23"/>
          <w:szCs w:val="23"/>
        </w:rPr>
      </w:pPr>
      <w:bookmarkStart w:id="1549" w:name="id4f6cf0ad_1d2f_466d_b422_0d53b46634"/>
      <w:r>
        <w:rPr>
          <w:color w:val="000000"/>
          <w:sz w:val="23"/>
          <w:szCs w:val="23"/>
        </w:rPr>
        <w:tab/>
        <w:t>(B)</w:t>
      </w:r>
      <w:r>
        <w:rPr>
          <w:color w:val="000000"/>
          <w:sz w:val="23"/>
          <w:szCs w:val="23"/>
        </w:rPr>
        <w:tab/>
        <w:t>in any other case—$33 900 or any lesser amount that is prescribed by the Regulations in relation to the civil penalty provision;</w:t>
      </w:r>
      <w:bookmarkEnd w:id="154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tier 2 or tier 1 civil penalty provision—</w:t>
      </w:r>
    </w:p>
    <w:p>
      <w:pPr>
        <w:keepLines/>
        <w:tabs>
          <w:tab w:val="left" w:pos="2552"/>
        </w:tabs>
        <w:autoSpaceDE w:val="0"/>
        <w:autoSpaceDN w:val="0"/>
        <w:adjustRightInd w:val="0"/>
        <w:spacing w:before="120"/>
        <w:ind w:left="2977" w:hanging="794"/>
        <w:rPr>
          <w:color w:val="000000"/>
          <w:sz w:val="23"/>
          <w:szCs w:val="23"/>
        </w:rPr>
      </w:pPr>
      <w:r>
        <w:rPr>
          <w:color w:val="000000"/>
          <w:sz w:val="23"/>
          <w:szCs w:val="23"/>
        </w:rPr>
        <w:tab/>
        <w:t>(i)</w:t>
      </w:r>
      <w:r>
        <w:rPr>
          <w:color w:val="000000"/>
          <w:sz w:val="23"/>
          <w:szCs w:val="23"/>
        </w:rPr>
        <w:tab/>
        <w:t>if the breach is alleged to have been committed by a natural person—$13 600 or any lesser amount that is prescribed by the Regulations in relation to the civil penalty provision;</w:t>
      </w:r>
    </w:p>
    <w:p>
      <w:pPr>
        <w:keepLines/>
        <w:tabs>
          <w:tab w:val="left" w:pos="2552"/>
        </w:tabs>
        <w:autoSpaceDE w:val="0"/>
        <w:autoSpaceDN w:val="0"/>
        <w:adjustRightInd w:val="0"/>
        <w:spacing w:before="120"/>
        <w:ind w:left="2977" w:hanging="794"/>
        <w:rPr>
          <w:color w:val="000000"/>
          <w:sz w:val="23"/>
          <w:szCs w:val="23"/>
        </w:rPr>
      </w:pPr>
      <w:r>
        <w:rPr>
          <w:color w:val="000000"/>
          <w:sz w:val="23"/>
          <w:szCs w:val="23"/>
        </w:rPr>
        <w:tab/>
        <w:t>(ii)</w:t>
      </w:r>
      <w:r>
        <w:rPr>
          <w:color w:val="000000"/>
          <w:sz w:val="23"/>
          <w:szCs w:val="23"/>
        </w:rPr>
        <w:tab/>
        <w:t>if the breach is alleged to have been committed by a body corporate—$67 800 or any lesser amount that is prescribed by the Regulations in relation to the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550" w:name="id2ff9539b_c315_49f1_a1c9_9abf48a028"/>
      <w:r>
        <w:rPr>
          <w:color w:val="000000"/>
          <w:sz w:val="23"/>
          <w:szCs w:val="23"/>
        </w:rPr>
        <w:lastRenderedPageBreak/>
        <w:tab/>
        <w:t>(3)</w:t>
      </w:r>
      <w:r>
        <w:rPr>
          <w:color w:val="000000"/>
          <w:sz w:val="23"/>
          <w:szCs w:val="23"/>
        </w:rPr>
        <w:tab/>
        <w:t xml:space="preserve">In the case of a body corporate that is not a listed corporation or a body corporate that is subject to the infringement penalty by virtue only of being a related body corporate, the AER may, in a particular case, determine that the infringement penalty to be included in an infringement notice to be issued to the body corporate in relation to an alleged breach of a tier 3 civil penalty provision will be the amount applying under </w:t>
      </w:r>
      <w:hyperlink w:anchor="idff6d41e9_b0b5_4257_b66a_8aad215ace" w:history="1">
        <w:r>
          <w:rPr>
            <w:color w:val="000000"/>
            <w:sz w:val="23"/>
            <w:szCs w:val="23"/>
          </w:rPr>
          <w:t>subsection (2)(a)(ii)(A)</w:t>
        </w:r>
      </w:hyperlink>
      <w:r>
        <w:rPr>
          <w:color w:val="000000"/>
          <w:sz w:val="23"/>
          <w:szCs w:val="23"/>
        </w:rPr>
        <w:t xml:space="preserve"> if the AER considers this to be an appropriate course of action after taking into account—</w:t>
      </w:r>
      <w:bookmarkEnd w:id="155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of the alleged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degree of financial impact on the body corporate if the higher infringement penalty under </w:t>
      </w:r>
      <w:hyperlink w:anchor="id4f6cf0ad_1d2f_466d_b422_0d53b46634" w:history="1">
        <w:r>
          <w:rPr>
            <w:color w:val="000000"/>
            <w:sz w:val="23"/>
            <w:szCs w:val="23"/>
          </w:rPr>
          <w:t>subsection (2)(a)(ii)(B)</w:t>
        </w:r>
      </w:hyperlink>
      <w:r>
        <w:rPr>
          <w:color w:val="000000"/>
          <w:sz w:val="23"/>
          <w:szCs w:val="23"/>
        </w:rPr>
        <w:t xml:space="preserve"> were to be imposed;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extent to which the imposition of the higher infringement penalty would appear to be excessive in the circumstances;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matter considered relevant by the AER.</w:t>
      </w:r>
    </w:p>
    <w:p>
      <w:pPr>
        <w:keepNext/>
        <w:keepLines/>
        <w:autoSpaceDE w:val="0"/>
        <w:autoSpaceDN w:val="0"/>
        <w:adjustRightInd w:val="0"/>
        <w:spacing w:before="120"/>
        <w:ind w:left="2382" w:hanging="822"/>
        <w:rPr>
          <w:b/>
          <w:bCs/>
          <w:color w:val="000000"/>
          <w:sz w:val="20"/>
        </w:rPr>
      </w:pPr>
      <w:r>
        <w:rPr>
          <w:b/>
          <w:bCs/>
          <w:color w:val="000000"/>
          <w:sz w:val="20"/>
        </w:rPr>
        <w:t>Note—</w:t>
      </w:r>
    </w:p>
    <w:p>
      <w:pPr>
        <w:keepLines/>
        <w:autoSpaceDE w:val="0"/>
        <w:autoSpaceDN w:val="0"/>
        <w:adjustRightInd w:val="0"/>
        <w:spacing w:before="120"/>
        <w:ind w:left="2268"/>
        <w:rPr>
          <w:color w:val="000000"/>
          <w:sz w:val="20"/>
        </w:rPr>
      </w:pPr>
      <w:r>
        <w:rPr>
          <w:color w:val="000000"/>
          <w:sz w:val="20"/>
        </w:rPr>
        <w:t>See Schedule 2 clause 47A, which provides for the amounts specified in this section to be adjusted every 3 years to reflect movements in the consumer price index. The adjusted amounts are published on the AER's website.</w:t>
      </w:r>
    </w:p>
    <w:p>
      <w:pPr>
        <w:pStyle w:val="Footnotesection"/>
      </w:pPr>
      <w:r>
        <w:tab/>
        <w:t>[Section 279 inserted: see SA Act No. 37 of 2020 s. 69 and WA Gazette 4 Sep 2024 p. 2215.]</w:t>
      </w:r>
    </w:p>
    <w:p>
      <w:pPr>
        <w:pStyle w:val="Heading5"/>
        <w:keepLines w:val="0"/>
      </w:pPr>
      <w:bookmarkStart w:id="1551" w:name="_Toc176259723"/>
      <w:r>
        <w:rPr>
          <w:rStyle w:val="CharSectno"/>
        </w:rPr>
        <w:t>280</w:t>
      </w:r>
      <w:r>
        <w:t>.</w:t>
      </w:r>
      <w:r>
        <w:tab/>
        <w:t>AER cannot institute proceedings while infringement notice on foot</w:t>
      </w:r>
      <w:bookmarkEnd w:id="1551"/>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infringement notice has not been withdrawn by the AER in accordance with section 282.</w:t>
      </w:r>
    </w:p>
    <w:p>
      <w:pPr>
        <w:pStyle w:val="Heading5"/>
      </w:pPr>
      <w:bookmarkStart w:id="1552" w:name="_Toc176259724"/>
      <w:r>
        <w:rPr>
          <w:rStyle w:val="CharSectno"/>
        </w:rPr>
        <w:t>281</w:t>
      </w:r>
      <w:r>
        <w:t>.</w:t>
      </w:r>
      <w:r>
        <w:tab/>
        <w:t>Late payment of penalty</w:t>
      </w:r>
      <w:bookmarkEnd w:id="1552"/>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553" w:name="_Toc176259725"/>
      <w:r>
        <w:rPr>
          <w:rStyle w:val="CharSectno"/>
        </w:rPr>
        <w:t>282</w:t>
      </w:r>
      <w:r>
        <w:t>.</w:t>
      </w:r>
      <w:r>
        <w:tab/>
        <w:t>Withdrawal of notice</w:t>
      </w:r>
      <w:bookmarkEnd w:id="1553"/>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1554" w:name="_Toc176259726"/>
      <w:r>
        <w:rPr>
          <w:rStyle w:val="CharSectno"/>
        </w:rPr>
        <w:lastRenderedPageBreak/>
        <w:t>283</w:t>
      </w:r>
      <w:r>
        <w:t>.</w:t>
      </w:r>
      <w:r>
        <w:tab/>
        <w:t>Refund of infringement penalty</w:t>
      </w:r>
      <w:bookmarkEnd w:id="1554"/>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1555" w:name="_Toc176259727"/>
      <w:r>
        <w:rPr>
          <w:rStyle w:val="CharSectno"/>
        </w:rPr>
        <w:t>284</w:t>
      </w:r>
      <w:r>
        <w:t>.</w:t>
      </w:r>
      <w:r>
        <w:tab/>
        <w:t>Payment expiates breach of civil penalty provision</w:t>
      </w:r>
      <w:bookmarkEnd w:id="1555"/>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1556" w:name="_Toc176259728"/>
      <w:r>
        <w:rPr>
          <w:rStyle w:val="CharSectno"/>
        </w:rPr>
        <w:t>285</w:t>
      </w:r>
      <w:r>
        <w:t>.</w:t>
      </w:r>
      <w:r>
        <w:tab/>
        <w:t>Payment not to have certain consequences</w:t>
      </w:r>
      <w:bookmarkEnd w:id="1556"/>
    </w:p>
    <w:p>
      <w:pPr>
        <w:keepNext/>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1557" w:name="_Toc176259729"/>
      <w:r>
        <w:rPr>
          <w:rStyle w:val="CharSectno"/>
        </w:rPr>
        <w:t>286</w:t>
      </w:r>
      <w:r>
        <w:t>.</w:t>
      </w:r>
      <w:r>
        <w:tab/>
        <w:t>Conduct in breach of more than 1 civil penalty provision</w:t>
      </w:r>
      <w:bookmarkEnd w:id="15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1558" w:name="_Toc175836770"/>
      <w:bookmarkStart w:id="1559" w:name="_Toc175837882"/>
      <w:bookmarkStart w:id="1560" w:name="_Toc175842590"/>
      <w:bookmarkStart w:id="1561" w:name="_Toc175914193"/>
      <w:bookmarkStart w:id="1562" w:name="_Toc175914997"/>
      <w:bookmarkStart w:id="1563" w:name="_Toc175922888"/>
      <w:bookmarkStart w:id="1564" w:name="_Toc176257192"/>
      <w:bookmarkStart w:id="1565" w:name="_Toc176259730"/>
      <w:r>
        <w:rPr>
          <w:rStyle w:val="CharDivNo"/>
        </w:rPr>
        <w:lastRenderedPageBreak/>
        <w:t>Part 8</w:t>
      </w:r>
      <w:r>
        <w:t xml:space="preserve"> </w:t>
      </w:r>
      <w:r>
        <w:rPr>
          <w:szCs w:val="32"/>
        </w:rPr>
        <w:t>—</w:t>
      </w:r>
      <w:r>
        <w:t xml:space="preserve"> </w:t>
      </w:r>
      <w:r>
        <w:rPr>
          <w:rStyle w:val="CharDivText"/>
        </w:rPr>
        <w:t>Further provision for corporate liability for breaches of this Law etc</w:t>
      </w:r>
      <w:bookmarkEnd w:id="1558"/>
      <w:bookmarkEnd w:id="1559"/>
      <w:bookmarkEnd w:id="1560"/>
      <w:bookmarkEnd w:id="1561"/>
      <w:bookmarkEnd w:id="1562"/>
      <w:bookmarkEnd w:id="1563"/>
      <w:bookmarkEnd w:id="1564"/>
      <w:bookmarkEnd w:id="1565"/>
    </w:p>
    <w:p>
      <w:pPr>
        <w:pStyle w:val="Heading5"/>
      </w:pPr>
      <w:bookmarkStart w:id="1566" w:name="_Toc176259731"/>
      <w:r>
        <w:rPr>
          <w:rStyle w:val="CharSectno"/>
        </w:rPr>
        <w:t>287</w:t>
      </w:r>
      <w:r>
        <w:t>.</w:t>
      </w:r>
      <w:r>
        <w:tab/>
        <w:t>Definition</w:t>
      </w:r>
      <w:bookmarkEnd w:id="1566"/>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1567" w:name="_Toc176259732"/>
      <w:r>
        <w:rPr>
          <w:rStyle w:val="CharSectno"/>
        </w:rPr>
        <w:t>288</w:t>
      </w:r>
      <w:r>
        <w:t>.</w:t>
      </w:r>
      <w:r>
        <w:tab/>
        <w:t>Offences and breaches by corporations</w:t>
      </w:r>
      <w:bookmarkEnd w:id="15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1568" w:name="_Toc176259733"/>
      <w:r>
        <w:rPr>
          <w:rStyle w:val="CharSectno"/>
        </w:rPr>
        <w:t>289</w:t>
      </w:r>
      <w:r>
        <w:t>.</w:t>
      </w:r>
      <w:r>
        <w:tab/>
        <w:t>Corporations also in breach if officers and employees are in breach</w:t>
      </w:r>
      <w:bookmarkEnd w:id="1568"/>
    </w:p>
    <w:p>
      <w:pPr>
        <w:autoSpaceDE w:val="0"/>
        <w:autoSpaceDN w:val="0"/>
        <w:adjustRightInd w:val="0"/>
        <w:spacing w:before="120"/>
        <w:ind w:left="1588"/>
        <w:rPr>
          <w:color w:val="000000"/>
          <w:sz w:val="23"/>
          <w:szCs w:val="23"/>
        </w:rPr>
      </w:pPr>
      <w:r>
        <w:rPr>
          <w:color w:val="000000"/>
          <w:sz w:val="23"/>
          <w:szCs w:val="23"/>
        </w:rPr>
        <w:t>If an officer or employee of a corporation commits an act, which is within the scope of the actual or apparent authority of the officer or employee, that would, if that act were committed by the corporation, constitute a breach of a provision of this Law, the Regulations or the Rules, that corporation is to be taken to have contravened that provision.</w:t>
      </w:r>
    </w:p>
    <w:p>
      <w:pPr>
        <w:pStyle w:val="Footnotesection"/>
      </w:pPr>
      <w:r>
        <w:tab/>
        <w:t>[Section 289 amended: see SA Act No. 37 of 2020 s. 70 and WA Gazette 4 Sep 2024 p. 2215.]</w:t>
      </w:r>
    </w:p>
    <w:p>
      <w:pPr>
        <w:pStyle w:val="Heading2"/>
      </w:pPr>
      <w:bookmarkStart w:id="1569" w:name="_Toc175836774"/>
      <w:bookmarkStart w:id="1570" w:name="_Toc175837886"/>
      <w:bookmarkStart w:id="1571" w:name="_Toc175842594"/>
      <w:bookmarkStart w:id="1572" w:name="_Toc175914197"/>
      <w:bookmarkStart w:id="1573" w:name="_Toc175915001"/>
      <w:bookmarkStart w:id="1574" w:name="_Toc175922892"/>
      <w:bookmarkStart w:id="1575" w:name="_Toc176257196"/>
      <w:bookmarkStart w:id="1576" w:name="_Toc176259734"/>
      <w:r>
        <w:rPr>
          <w:rStyle w:val="CharPartNo"/>
        </w:rPr>
        <w:lastRenderedPageBreak/>
        <w:t>Chapter 9</w:t>
      </w:r>
      <w:r>
        <w:t xml:space="preserve"> — </w:t>
      </w:r>
      <w:r>
        <w:rPr>
          <w:rStyle w:val="CharPartText"/>
        </w:rPr>
        <w:t>The making of the National Gas Rules</w:t>
      </w:r>
      <w:bookmarkEnd w:id="1569"/>
      <w:bookmarkEnd w:id="1570"/>
      <w:bookmarkEnd w:id="1571"/>
      <w:bookmarkEnd w:id="1572"/>
      <w:bookmarkEnd w:id="1573"/>
      <w:bookmarkEnd w:id="1574"/>
      <w:bookmarkEnd w:id="1575"/>
      <w:bookmarkEnd w:id="1576"/>
    </w:p>
    <w:p>
      <w:pPr>
        <w:pStyle w:val="Heading3"/>
      </w:pPr>
      <w:bookmarkStart w:id="1577" w:name="_Toc175836775"/>
      <w:bookmarkStart w:id="1578" w:name="_Toc175837887"/>
      <w:bookmarkStart w:id="1579" w:name="_Toc175842595"/>
      <w:bookmarkStart w:id="1580" w:name="_Toc175914198"/>
      <w:bookmarkStart w:id="1581" w:name="_Toc175915002"/>
      <w:bookmarkStart w:id="1582" w:name="_Toc175922893"/>
      <w:bookmarkStart w:id="1583" w:name="_Toc176257197"/>
      <w:bookmarkStart w:id="1584" w:name="_Toc176259735"/>
      <w:r>
        <w:rPr>
          <w:rStyle w:val="CharDivNo"/>
        </w:rPr>
        <w:t>Part 1</w:t>
      </w:r>
      <w:r>
        <w:t xml:space="preserve"> — </w:t>
      </w:r>
      <w:r>
        <w:rPr>
          <w:rStyle w:val="CharDivText"/>
        </w:rPr>
        <w:t>General</w:t>
      </w:r>
      <w:bookmarkEnd w:id="1577"/>
      <w:bookmarkEnd w:id="1578"/>
      <w:bookmarkEnd w:id="1579"/>
      <w:bookmarkEnd w:id="1580"/>
      <w:bookmarkEnd w:id="1581"/>
      <w:bookmarkEnd w:id="1582"/>
      <w:bookmarkEnd w:id="1583"/>
      <w:bookmarkEnd w:id="1584"/>
    </w:p>
    <w:p>
      <w:pPr>
        <w:pStyle w:val="Heading4"/>
      </w:pPr>
      <w:bookmarkStart w:id="1585" w:name="_Toc175836776"/>
      <w:bookmarkStart w:id="1586" w:name="_Toc175837888"/>
      <w:bookmarkStart w:id="1587" w:name="_Toc175842596"/>
      <w:bookmarkStart w:id="1588" w:name="_Toc175914199"/>
      <w:bookmarkStart w:id="1589" w:name="_Toc175915003"/>
      <w:bookmarkStart w:id="1590" w:name="_Toc175922894"/>
      <w:bookmarkStart w:id="1591" w:name="_Toc176257198"/>
      <w:bookmarkStart w:id="1592" w:name="_Toc176259736"/>
      <w:r>
        <w:t>Division 1 — Interpretation</w:t>
      </w:r>
      <w:bookmarkEnd w:id="1585"/>
      <w:bookmarkEnd w:id="1586"/>
      <w:bookmarkEnd w:id="1587"/>
      <w:bookmarkEnd w:id="1588"/>
      <w:bookmarkEnd w:id="1589"/>
      <w:bookmarkEnd w:id="1590"/>
      <w:bookmarkEnd w:id="1591"/>
      <w:bookmarkEnd w:id="1592"/>
    </w:p>
    <w:p>
      <w:pPr>
        <w:pStyle w:val="Heading5"/>
      </w:pPr>
      <w:bookmarkStart w:id="1593" w:name="_Toc176259737"/>
      <w:r>
        <w:rPr>
          <w:rStyle w:val="CharSectno"/>
        </w:rPr>
        <w:t>290</w:t>
      </w:r>
      <w:r>
        <w:t>.</w:t>
      </w:r>
      <w:r>
        <w:tab/>
        <w:t>Definitions</w:t>
      </w:r>
      <w:bookmarkEnd w:id="159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lastRenderedPageBreak/>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lastRenderedPageBreak/>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1594" w:name="_Toc175836778"/>
      <w:bookmarkStart w:id="1595" w:name="_Toc175837890"/>
      <w:bookmarkStart w:id="1596" w:name="_Toc175842598"/>
      <w:bookmarkStart w:id="1597" w:name="_Toc175914201"/>
      <w:bookmarkStart w:id="1598" w:name="_Toc175915005"/>
      <w:bookmarkStart w:id="1599" w:name="_Toc175922896"/>
      <w:bookmarkStart w:id="1600" w:name="_Toc176257200"/>
      <w:bookmarkStart w:id="1601" w:name="_Toc176259738"/>
      <w:r>
        <w:t>Division 2 — Rule making tests</w:t>
      </w:r>
      <w:bookmarkEnd w:id="1594"/>
      <w:bookmarkEnd w:id="1595"/>
      <w:bookmarkEnd w:id="1596"/>
      <w:bookmarkEnd w:id="1597"/>
      <w:bookmarkEnd w:id="1598"/>
      <w:bookmarkEnd w:id="1599"/>
      <w:bookmarkEnd w:id="1600"/>
      <w:bookmarkEnd w:id="1601"/>
    </w:p>
    <w:p>
      <w:pPr>
        <w:pStyle w:val="Heading5"/>
        <w:spacing w:before="120"/>
      </w:pPr>
      <w:bookmarkStart w:id="1602" w:name="_Toc176259739"/>
      <w:r>
        <w:rPr>
          <w:rStyle w:val="CharSectno"/>
        </w:rPr>
        <w:t>291</w:t>
      </w:r>
      <w:r>
        <w:t>.</w:t>
      </w:r>
      <w:r>
        <w:tab/>
        <w:t>Application of national gas objective</w:t>
      </w:r>
      <w:bookmarkEnd w:id="16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1603" w:name="_Toc176259740"/>
      <w:r>
        <w:t>292.</w:t>
      </w:r>
      <w:r>
        <w:tab/>
        <w:t>AEMC must take into account form of regulation factors in certain cases</w:t>
      </w:r>
      <w:bookmarkEnd w:id="1603"/>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1604" w:name="_Toc176259741"/>
      <w:r>
        <w:rPr>
          <w:rStyle w:val="CharSectno"/>
        </w:rPr>
        <w:t>293</w:t>
      </w:r>
      <w:r>
        <w:t>.</w:t>
      </w:r>
      <w:r>
        <w:tab/>
        <w:t>AEMC must take into account revenue and pricing principles in certain cases</w:t>
      </w:r>
      <w:bookmarkEnd w:id="1604"/>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1605" w:name="_Toc175836782"/>
      <w:bookmarkStart w:id="1606" w:name="_Toc175837894"/>
      <w:bookmarkStart w:id="1607" w:name="_Toc175842602"/>
      <w:bookmarkStart w:id="1608" w:name="_Toc175914205"/>
      <w:bookmarkStart w:id="1609" w:name="_Toc175915009"/>
      <w:bookmarkStart w:id="1610" w:name="_Toc175922900"/>
      <w:bookmarkStart w:id="1611" w:name="_Toc176257204"/>
      <w:bookmarkStart w:id="1612" w:name="_Toc176259742"/>
      <w:r>
        <w:rPr>
          <w:rStyle w:val="CharDivNo"/>
        </w:rPr>
        <w:t>Part 2</w:t>
      </w:r>
      <w:r>
        <w:t xml:space="preserve"> — </w:t>
      </w:r>
      <w:r>
        <w:rPr>
          <w:rStyle w:val="CharDivText"/>
        </w:rPr>
        <w:t>Initial National Gas Rules</w:t>
      </w:r>
      <w:bookmarkEnd w:id="1605"/>
      <w:bookmarkEnd w:id="1606"/>
      <w:bookmarkEnd w:id="1607"/>
      <w:bookmarkEnd w:id="1608"/>
      <w:bookmarkEnd w:id="1609"/>
      <w:bookmarkEnd w:id="1610"/>
      <w:bookmarkEnd w:id="1611"/>
      <w:bookmarkEnd w:id="1612"/>
    </w:p>
    <w:p>
      <w:pPr>
        <w:pStyle w:val="Heading5"/>
        <w:keepNext w:val="0"/>
      </w:pPr>
      <w:bookmarkStart w:id="1613" w:name="_Toc176259743"/>
      <w:r>
        <w:rPr>
          <w:rStyle w:val="CharSectno"/>
        </w:rPr>
        <w:t>294</w:t>
      </w:r>
      <w:r>
        <w:t>.</w:t>
      </w:r>
      <w:r>
        <w:tab/>
        <w:t>Initial National Gas Rules for WA</w:t>
      </w:r>
      <w:bookmarkEnd w:id="16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1614" w:name="_Toc176259744"/>
      <w:r>
        <w:rPr>
          <w:rStyle w:val="CharSectno"/>
        </w:rPr>
        <w:lastRenderedPageBreak/>
        <w:t>294CA</w:t>
      </w:r>
      <w:r>
        <w:t>.</w:t>
      </w:r>
      <w:r>
        <w:tab/>
        <w:t>South Australian Minister may make consequential Rules relating to rate of return instrument</w:t>
      </w:r>
      <w:bookmarkEnd w:id="1614"/>
    </w:p>
    <w:p>
      <w:pPr>
        <w:tabs>
          <w:tab w:val="center" w:pos="1191"/>
          <w:tab w:val="left" w:pos="1588"/>
        </w:tabs>
        <w:autoSpaceDE w:val="0"/>
        <w:autoSpaceDN w:val="0"/>
        <w:adjustRightInd w:val="0"/>
        <w:spacing w:before="120"/>
        <w:ind w:left="1588" w:hanging="794"/>
        <w:rPr>
          <w:color w:val="000000"/>
          <w:sz w:val="23"/>
          <w:szCs w:val="23"/>
        </w:rPr>
      </w:pPr>
      <w:bookmarkStart w:id="1615"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161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19134fd8_2b55_4fcc_b292_40888d6508" w:history="1">
        <w:r>
          <w:rPr>
            <w:color w:val="000000"/>
            <w:sz w:val="23"/>
            <w:szCs w:val="23"/>
          </w:rPr>
          <w:t>subsection (1)</w:t>
        </w:r>
      </w:hyperlink>
      <w:r>
        <w:rPr>
          <w:color w:val="000000"/>
          <w:sz w:val="23"/>
          <w:szCs w:val="23"/>
        </w:rPr>
        <w:t>, the South Australian Minister may make a rule providing that the rate of return on capital under a rate of return instrument in force at the start of a regulatory period applies throughout the period.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1616"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1616"/>
    </w:p>
    <w:p>
      <w:pPr>
        <w:tabs>
          <w:tab w:val="center" w:pos="1985"/>
          <w:tab w:val="left" w:pos="2382"/>
        </w:tabs>
        <w:autoSpaceDE w:val="0"/>
        <w:autoSpaceDN w:val="0"/>
        <w:adjustRightInd w:val="0"/>
        <w:spacing w:before="120"/>
        <w:ind w:left="2382" w:hanging="794"/>
        <w:rPr>
          <w:color w:val="000000"/>
          <w:sz w:val="23"/>
          <w:szCs w:val="23"/>
        </w:rPr>
      </w:pPr>
      <w:bookmarkStart w:id="1617"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1617"/>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aef1949e_641b_49ba_a619_1b6db51246" w:history="1">
        <w:r>
          <w:rPr>
            <w:color w:val="000000"/>
            <w:sz w:val="23"/>
            <w:szCs w:val="23"/>
          </w:rPr>
          <w:t>subsection (4)(a)</w:t>
        </w:r>
      </w:hyperlink>
      <w:r>
        <w:rPr>
          <w:color w:val="000000"/>
          <w:sz w:val="23"/>
          <w:szCs w:val="23"/>
        </w:rPr>
        <w:t xml:space="preserve"> must state—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Once the first Rules have been made under </w:t>
      </w:r>
      <w:hyperlink w:anchor="id19134fd8_2b55_4fcc_b292_40888d6508" w:history="1">
        <w:r>
          <w:rPr>
            <w:color w:val="000000"/>
            <w:sz w:val="23"/>
            <w:szCs w:val="23"/>
          </w:rPr>
          <w:t>subsection (1)</w:t>
        </w:r>
      </w:hyperlink>
      <w:r>
        <w:rPr>
          <w:color w:val="000000"/>
          <w:sz w:val="23"/>
          <w:szCs w:val="23"/>
        </w:rPr>
        <w:t>, no further Rules can be made under that subsection.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lastRenderedPageBreak/>
        <w:t>South Australian Minister</w:t>
      </w:r>
      <w:r>
        <w:rPr>
          <w:color w:val="000000"/>
          <w:sz w:val="23"/>
          <w:szCs w:val="23"/>
        </w:rPr>
        <w:t xml:space="preserve"> means the Minister in right of the Crown of South Australia administering Part 2 of the </w:t>
      </w:r>
      <w:hyperlink r:id="rId32" w:history="1">
        <w:r>
          <w:rPr>
            <w:i/>
            <w:iCs/>
            <w:color w:val="000000"/>
            <w:sz w:val="23"/>
            <w:szCs w:val="23"/>
          </w:rPr>
          <w:t>National Gas (South Australia) Act 2008</w:t>
        </w:r>
      </w:hyperlink>
      <w:r>
        <w:rPr>
          <w:color w:val="000000"/>
          <w:sz w:val="23"/>
          <w:szCs w:val="23"/>
        </w:rPr>
        <w:t xml:space="preserve"> of South Australia.</w:t>
      </w:r>
    </w:p>
    <w:p>
      <w:pPr>
        <w:pStyle w:val="Footnotesection"/>
        <w:keepLines w:val="0"/>
      </w:pPr>
      <w:r>
        <w:tab/>
        <w:t>[Section 294CA inserted: see SA Act No. 33 of 2018 s. 18 and WA Gazette 5 Apr 2019 p. 1007</w:t>
      </w:r>
      <w:r>
        <w:noBreakHyphen/>
        <w:t>8.]</w:t>
      </w:r>
    </w:p>
    <w:p>
      <w:pPr>
        <w:pStyle w:val="Heading5"/>
        <w:keepLines w:val="0"/>
      </w:pPr>
      <w:bookmarkStart w:id="1618" w:name="_Toc176259745"/>
      <w:r>
        <w:rPr>
          <w:rStyle w:val="CharSectno"/>
        </w:rPr>
        <w:t>294F</w:t>
      </w:r>
      <w:r>
        <w:t>.</w:t>
      </w:r>
      <w:r>
        <w:tab/>
        <w:t>South Australian Minister to make initial Rules relating to access to non</w:t>
      </w:r>
      <w:r>
        <w:noBreakHyphen/>
        <w:t>scheme pipelines</w:t>
      </w:r>
      <w:bookmarkEnd w:id="1618"/>
    </w:p>
    <w:p>
      <w:pPr>
        <w:tabs>
          <w:tab w:val="center" w:pos="1191"/>
          <w:tab w:val="left" w:pos="1588"/>
        </w:tabs>
        <w:autoSpaceDE w:val="0"/>
        <w:autoSpaceDN w:val="0"/>
        <w:adjustRightInd w:val="0"/>
        <w:spacing w:before="120"/>
        <w:ind w:left="1588" w:hanging="794"/>
        <w:rPr>
          <w:color w:val="000000"/>
          <w:sz w:val="23"/>
          <w:szCs w:val="23"/>
        </w:rPr>
      </w:pPr>
      <w:bookmarkStart w:id="1619"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hyperlink r:id="rId33" w:history="1">
        <w:r>
          <w:rPr>
            <w:i/>
            <w:iCs/>
            <w:color w:val="000000"/>
            <w:sz w:val="23"/>
            <w:szCs w:val="23"/>
          </w:rPr>
          <w:t>National Gas (South Australia) Act 2008</w:t>
        </w:r>
      </w:hyperlink>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1619"/>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may only be made under </w:t>
      </w:r>
      <w:hyperlink w:anchor="id2a8d962a_bad0_42dd_9386_54821ec565" w:history="1">
        <w:r>
          <w:rPr>
            <w:color w:val="000000"/>
            <w:sz w:val="23"/>
            <w:szCs w:val="23"/>
          </w:rPr>
          <w:t>subsection (1)</w:t>
        </w:r>
      </w:hyperlink>
      <w:r>
        <w:rPr>
          <w:color w:val="000000"/>
          <w:sz w:val="23"/>
          <w:szCs w:val="23"/>
        </w:rPr>
        <w:t xml:space="preserve">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Rules made under </w:t>
      </w:r>
      <w:hyperlink w:anchor="id2a8d962a_bad0_42dd_9386_54821ec565" w:history="1">
        <w:r>
          <w:rPr>
            <w:color w:val="000000"/>
            <w:sz w:val="23"/>
            <w:szCs w:val="23"/>
          </w:rPr>
          <w:t>subsection (1)</w:t>
        </w:r>
      </w:hyperlink>
      <w:r>
        <w:rPr>
          <w:color w:val="000000"/>
          <w:sz w:val="23"/>
          <w:szCs w:val="23"/>
        </w:rPr>
        <w:t xml:space="preserve"> in the same way as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1620" w:name="idb626c5e9_5e85_4a57_9b3c_bc5fd5331d"/>
      <w:r>
        <w:rPr>
          <w:color w:val="000000"/>
          <w:sz w:val="23"/>
          <w:szCs w:val="23"/>
        </w:rPr>
        <w:tab/>
        <w:t>(4)</w:t>
      </w:r>
      <w:r>
        <w:rPr>
          <w:color w:val="000000"/>
          <w:sz w:val="23"/>
          <w:szCs w:val="23"/>
        </w:rPr>
        <w:tab/>
        <w:t xml:space="preserve">As soon as practicable after making Rules under </w:t>
      </w:r>
      <w:hyperlink w:anchor="id2a8d962a_bad0_42dd_9386_54821ec565" w:history="1">
        <w:r>
          <w:rPr>
            <w:color w:val="000000"/>
            <w:sz w:val="23"/>
            <w:szCs w:val="23"/>
          </w:rPr>
          <w:t>subsection (1)</w:t>
        </w:r>
      </w:hyperlink>
      <w:r>
        <w:rPr>
          <w:color w:val="000000"/>
          <w:sz w:val="23"/>
          <w:szCs w:val="23"/>
        </w:rPr>
        <w:t>, the South Australian Minister must—</w:t>
      </w:r>
      <w:bookmarkEnd w:id="1620"/>
    </w:p>
    <w:p>
      <w:pPr>
        <w:tabs>
          <w:tab w:val="center" w:pos="1985"/>
          <w:tab w:val="left" w:pos="2382"/>
        </w:tabs>
        <w:autoSpaceDE w:val="0"/>
        <w:autoSpaceDN w:val="0"/>
        <w:adjustRightInd w:val="0"/>
        <w:spacing w:before="120"/>
        <w:ind w:left="2382" w:hanging="794"/>
        <w:rPr>
          <w:color w:val="000000"/>
          <w:sz w:val="23"/>
          <w:szCs w:val="23"/>
        </w:rPr>
      </w:pPr>
      <w:bookmarkStart w:id="1621"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1621"/>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 xml:space="preserve">The South Australian Minister may, by a later notice published in the South Australian Government Gazette, vary a commencement date fixed under </w:t>
      </w:r>
      <w:hyperlink w:anchor="id0a8503f4_0144_4ab9_bb7b_b3c8df7780" w:history="1">
        <w:r>
          <w:rPr>
            <w:color w:val="000000"/>
            <w:sz w:val="23"/>
            <w:szCs w:val="23"/>
          </w:rPr>
          <w:t>subsection (4)(a)</w:t>
        </w:r>
      </w:hyperlink>
      <w:r>
        <w:rPr>
          <w:color w:val="000000"/>
          <w:sz w:val="23"/>
          <w:szCs w:val="23"/>
        </w:rPr>
        <w:t xml:space="preserve">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Once the first Rules have been made under </w:t>
      </w:r>
      <w:hyperlink w:anchor="id2a8d962a_bad0_42dd_9386_54821ec565"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5"/>
        <w:rPr>
          <w:b w:val="0"/>
        </w:rPr>
      </w:pPr>
      <w:bookmarkStart w:id="1622" w:name="_Toc176259746"/>
      <w:r>
        <w:rPr>
          <w:rStyle w:val="CharSectno"/>
        </w:rPr>
        <w:t>294FC</w:t>
      </w:r>
      <w:r>
        <w:t>.</w:t>
      </w:r>
      <w:r>
        <w:tab/>
        <w:t>South Australian Minister to make initial Rules relating to national gas objective</w:t>
      </w:r>
      <w:bookmarkEnd w:id="1622"/>
    </w:p>
    <w:p>
      <w:pPr>
        <w:keepLines/>
        <w:tabs>
          <w:tab w:val="center" w:pos="1191"/>
          <w:tab w:val="left" w:pos="1588"/>
        </w:tabs>
        <w:autoSpaceDE w:val="0"/>
        <w:autoSpaceDN w:val="0"/>
        <w:adjustRightInd w:val="0"/>
        <w:spacing w:before="120"/>
        <w:ind w:left="1588" w:hanging="794"/>
        <w:rPr>
          <w:color w:val="000000"/>
          <w:sz w:val="23"/>
          <w:szCs w:val="23"/>
        </w:rPr>
      </w:pPr>
      <w:bookmarkStart w:id="1623" w:name="id035df1fc_5626_4033_a47a_9188fe4a071c_7"/>
      <w:r>
        <w:rPr>
          <w:color w:val="000000"/>
          <w:sz w:val="23"/>
          <w:szCs w:val="23"/>
        </w:rPr>
        <w:tab/>
        <w:t>(1)</w:t>
      </w:r>
      <w:r>
        <w:rPr>
          <w:color w:val="000000"/>
          <w:sz w:val="23"/>
          <w:szCs w:val="23"/>
        </w:rPr>
        <w:tab/>
        <w:t xml:space="preserve">The South Australian Minister may, within 9 months after the commencement of </w:t>
      </w:r>
      <w:r>
        <w:t xml:space="preserve">the </w:t>
      </w:r>
      <w:r>
        <w:rPr>
          <w:i/>
        </w:rPr>
        <w:t>National Gas (South Australia) Law</w:t>
      </w:r>
      <w:r>
        <w:t xml:space="preserve"> (South Australia) section 294FC —</w:t>
      </w:r>
      <w:bookmarkEnd w:id="162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Rules for or with respect to any matter or thing necessary or expedient to implement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Rules for or with respect to any other subject contemplated by, or necessary or expedient for implementing, the amended objective; and</w:t>
      </w:r>
    </w:p>
    <w:p>
      <w:pPr>
        <w:keepLines/>
        <w:tabs>
          <w:tab w:val="center" w:pos="1985"/>
          <w:tab w:val="left" w:pos="2382"/>
        </w:tabs>
        <w:autoSpaceDE w:val="0"/>
        <w:autoSpaceDN w:val="0"/>
        <w:adjustRightInd w:val="0"/>
        <w:spacing w:before="120"/>
        <w:ind w:left="2382" w:hanging="794"/>
        <w:rPr>
          <w:sz w:val="23"/>
          <w:szCs w:val="23"/>
        </w:rPr>
      </w:pPr>
      <w:r>
        <w:rPr>
          <w:color w:val="000000"/>
          <w:sz w:val="23"/>
          <w:szCs w:val="23"/>
        </w:rPr>
        <w:tab/>
        <w:t>(c)</w:t>
      </w:r>
      <w:r>
        <w:rPr>
          <w:color w:val="000000"/>
          <w:sz w:val="23"/>
          <w:szCs w:val="23"/>
        </w:rPr>
        <w:tab/>
        <w:t xml:space="preserve">make Rules that revoke or amend a Rule as a consequence </w:t>
      </w:r>
      <w:r>
        <w:rPr>
          <w:sz w:val="23"/>
          <w:szCs w:val="23"/>
        </w:rPr>
        <w:t xml:space="preserve">of — </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tab/>
        <w:t>(i)</w:t>
      </w:r>
      <w:r>
        <w:rPr>
          <w:color w:val="000000"/>
          <w:sz w:val="23"/>
          <w:szCs w:val="23"/>
        </w:rPr>
        <w:tab/>
        <w:t xml:space="preserve">the enactment of the </w:t>
      </w:r>
      <w:r>
        <w:rPr>
          <w:i/>
          <w:iCs/>
          <w:color w:val="000000"/>
          <w:sz w:val="23"/>
          <w:szCs w:val="23"/>
        </w:rPr>
        <w:t xml:space="preserve">Statutes Amendment (National Energy Laws) (Emissions Reduction Objectives) Act 2023 </w:t>
      </w:r>
      <w:r>
        <w:rPr>
          <w:color w:val="000000"/>
          <w:sz w:val="23"/>
          <w:szCs w:val="23"/>
        </w:rPr>
        <w:t>(South Australia); or</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lastRenderedPageBreak/>
        <w:tab/>
        <w:t>(ii)</w:t>
      </w:r>
      <w:r>
        <w:rPr>
          <w:color w:val="000000"/>
          <w:sz w:val="23"/>
          <w:szCs w:val="23"/>
        </w:rPr>
        <w:tab/>
        <w:t xml:space="preserve">the amendment of this Law by virtue of the </w:t>
      </w:r>
      <w:r>
        <w:rPr>
          <w:i/>
          <w:iCs/>
          <w:color w:val="000000"/>
          <w:sz w:val="23"/>
          <w:szCs w:val="23"/>
        </w:rPr>
        <w:t>National Gas Access (WA) Adoption of Amendments Order (No. 2) 2024</w:t>
      </w:r>
      <w:r>
        <w:rPr>
          <w:color w:val="000000"/>
          <w:sz w:val="23"/>
          <w:szCs w:val="23"/>
        </w:rPr>
        <w:t xml:space="preserve"> clause 3 (the </w:t>
      </w:r>
      <w:r>
        <w:rPr>
          <w:rStyle w:val="CharDefText"/>
        </w:rPr>
        <w:t>adopting clause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in the nature of a derogation may be made under </w:t>
      </w:r>
      <w:hyperlink w:anchor="id035df1fc_5626_4033_a47a_9188fe4a071c_7" w:history="1">
        <w:r>
          <w:rPr>
            <w:color w:val="000000"/>
            <w:sz w:val="23"/>
            <w:szCs w:val="23"/>
          </w:rPr>
          <w:t>subsection (1)</w:t>
        </w:r>
      </w:hyperlink>
      <w:r>
        <w:rPr>
          <w:color w:val="000000"/>
          <w:sz w:val="23"/>
          <w:szCs w:val="23"/>
        </w:rPr>
        <w:t xml:space="preserve"> even though there may not have been a request for a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the making of Rules under </w:t>
      </w:r>
      <w:hyperlink w:anchor="id035df1fc_5626_4033_a47a_9188fe4a071c_7" w:history="1">
        <w:r>
          <w:rPr>
            <w:color w:val="000000"/>
            <w:sz w:val="23"/>
            <w:szCs w:val="23"/>
          </w:rPr>
          <w:t>subsection (1)</w:t>
        </w:r>
      </w:hyperlink>
      <w:r>
        <w:rPr>
          <w:color w:val="000000"/>
          <w:sz w:val="23"/>
          <w:szCs w:val="23"/>
        </w:rPr>
        <w:t xml:space="preserve"> as if the Rules being made under </w:t>
      </w:r>
      <w:hyperlink w:anchor="id035df1fc_5626_4033_a47a_9188fe4a071c_7" w:history="1">
        <w:r>
          <w:rPr>
            <w:color w:val="000000"/>
            <w:sz w:val="23"/>
            <w:szCs w:val="23"/>
          </w:rPr>
          <w:t>subsection (1)</w:t>
        </w:r>
      </w:hyperlink>
      <w:r>
        <w:rPr>
          <w:color w:val="000000"/>
          <w:sz w:val="23"/>
          <w:szCs w:val="23"/>
        </w:rPr>
        <w:t xml:space="preserve"> were Rules being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624" w:name="idc55c0848_8355_411d_9e5c_cf407ae7c3d5_9"/>
      <w:r>
        <w:rPr>
          <w:color w:val="000000"/>
          <w:sz w:val="23"/>
          <w:szCs w:val="23"/>
        </w:rPr>
        <w:tab/>
        <w:t>(4)</w:t>
      </w:r>
      <w:r>
        <w:rPr>
          <w:color w:val="000000"/>
          <w:sz w:val="23"/>
          <w:szCs w:val="23"/>
        </w:rPr>
        <w:tab/>
        <w:t xml:space="preserve">As soon as practicable after making Rules under </w:t>
      </w:r>
      <w:hyperlink w:anchor="id035df1fc_5626_4033_a47a_9188fe4a071c_7" w:history="1">
        <w:r>
          <w:rPr>
            <w:color w:val="000000"/>
            <w:sz w:val="23"/>
            <w:szCs w:val="23"/>
          </w:rPr>
          <w:t>subsection (1)</w:t>
        </w:r>
      </w:hyperlink>
      <w:r>
        <w:rPr>
          <w:color w:val="000000"/>
          <w:sz w:val="23"/>
          <w:szCs w:val="23"/>
        </w:rPr>
        <w:t>, the South Australian Minister must—</w:t>
      </w:r>
      <w:bookmarkEnd w:id="1624"/>
    </w:p>
    <w:p>
      <w:pPr>
        <w:keepLines/>
        <w:tabs>
          <w:tab w:val="center" w:pos="1985"/>
          <w:tab w:val="left" w:pos="2382"/>
        </w:tabs>
        <w:autoSpaceDE w:val="0"/>
        <w:autoSpaceDN w:val="0"/>
        <w:adjustRightInd w:val="0"/>
        <w:spacing w:before="120"/>
        <w:ind w:left="2382" w:hanging="794"/>
        <w:rPr>
          <w:color w:val="000000"/>
          <w:sz w:val="23"/>
          <w:szCs w:val="23"/>
        </w:rPr>
      </w:pPr>
      <w:bookmarkStart w:id="1625" w:name="ide0ec507e_85f4_4eb0_9f6e_3e4b6d8f0e59_7"/>
      <w:r>
        <w:rPr>
          <w:color w:val="000000"/>
          <w:sz w:val="23"/>
          <w:szCs w:val="23"/>
        </w:rPr>
        <w:tab/>
        <w:t>(a)</w:t>
      </w:r>
      <w:r>
        <w:rPr>
          <w:color w:val="000000"/>
          <w:sz w:val="23"/>
          <w:szCs w:val="23"/>
        </w:rPr>
        <w:tab/>
        <w:t>publish notice of the making of the Rules in the South Australian Government Gazette; and</w:t>
      </w:r>
      <w:bookmarkEnd w:id="162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e0ec507e_85f4_4eb0_9f6e_3e4b6d8f0e59_7" w:history="1">
        <w:r>
          <w:rPr>
            <w:color w:val="000000"/>
            <w:sz w:val="23"/>
            <w:szCs w:val="23"/>
          </w:rPr>
          <w:t>subsection (4)(a)</w:t>
        </w:r>
      </w:hyperlink>
      <w:r>
        <w:rPr>
          <w:color w:val="000000"/>
          <w:sz w:val="23"/>
          <w:szCs w:val="23"/>
        </w:rPr>
        <w:t xml:space="preserv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The Rules made under </w:t>
      </w:r>
      <w:hyperlink w:anchor="id035df1fc_5626_4033_a47a_9188fe4a071c_7" w:history="1">
        <w:r>
          <w:rPr>
            <w:color w:val="000000"/>
            <w:sz w:val="23"/>
            <w:szCs w:val="23"/>
          </w:rPr>
          <w:t>subsection (1)</w:t>
        </w:r>
      </w:hyperlink>
      <w:r>
        <w:rPr>
          <w:color w:val="000000"/>
          <w:sz w:val="23"/>
          <w:szCs w:val="23"/>
        </w:rPr>
        <w:t xml:space="preserve"> may only be made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If the South Australian Minister makes Rules under </w:t>
      </w:r>
      <w:hyperlink w:anchor="id035df1fc_5626_4033_a47a_9188fe4a071c_7" w:history="1">
        <w:r>
          <w:rPr>
            <w:color w:val="000000"/>
            <w:sz w:val="23"/>
            <w:szCs w:val="23"/>
          </w:rPr>
          <w:t>subsection (1)</w:t>
        </w:r>
      </w:hyperlink>
      <w:r>
        <w:rPr>
          <w:color w:val="000000"/>
          <w:sz w:val="23"/>
          <w:szCs w:val="23"/>
        </w:rPr>
        <w:t>, the Minister cannot make another Rule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on the </w:t>
      </w:r>
      <w:r>
        <w:t>coming into operation of the adopting clause;</w:t>
      </w:r>
    </w:p>
    <w:p>
      <w:pPr>
        <w:keepNext/>
        <w:keepLines/>
        <w:autoSpaceDE w:val="0"/>
        <w:autoSpaceDN w:val="0"/>
        <w:adjustRightInd w:val="0"/>
        <w:spacing w:before="120"/>
        <w:ind w:left="1588"/>
        <w:rPr>
          <w:color w:val="000000"/>
          <w:sz w:val="23"/>
          <w:szCs w:val="23"/>
        </w:rPr>
      </w:pPr>
      <w:r>
        <w:rPr>
          <w:rStyle w:val="CharDefText"/>
          <w:sz w:val="23"/>
          <w:szCs w:val="23"/>
        </w:rPr>
        <w:lastRenderedPageBreak/>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Footnotesection"/>
      </w:pPr>
      <w:r>
        <w:tab/>
        <w:t>[Section 294FC inserted: see SA Act 26 of 2023 s. 17 and WA Gazette 24 Jan 2024 p. 91-2; WA Act Sch. 1 cl. 13A.]</w:t>
      </w:r>
    </w:p>
    <w:p>
      <w:pPr>
        <w:pStyle w:val="Heading3"/>
      </w:pPr>
      <w:bookmarkStart w:id="1626" w:name="_Toc175836787"/>
      <w:bookmarkStart w:id="1627" w:name="_Toc175837899"/>
      <w:bookmarkStart w:id="1628" w:name="_Toc175842607"/>
      <w:bookmarkStart w:id="1629" w:name="_Toc175914210"/>
      <w:bookmarkStart w:id="1630" w:name="_Toc175915014"/>
      <w:bookmarkStart w:id="1631" w:name="_Toc175922905"/>
      <w:bookmarkStart w:id="1632" w:name="_Toc176257209"/>
      <w:bookmarkStart w:id="1633" w:name="_Toc176259747"/>
      <w:r>
        <w:rPr>
          <w:rStyle w:val="CharDivNo"/>
        </w:rPr>
        <w:t>Part 3</w:t>
      </w:r>
      <w:r>
        <w:t> — </w:t>
      </w:r>
      <w:r>
        <w:rPr>
          <w:rStyle w:val="CharDivText"/>
        </w:rPr>
        <w:t>Procedure for the making of a Rule by the AEMC</w:t>
      </w:r>
      <w:bookmarkEnd w:id="1626"/>
      <w:bookmarkEnd w:id="1627"/>
      <w:bookmarkEnd w:id="1628"/>
      <w:bookmarkEnd w:id="1629"/>
      <w:bookmarkEnd w:id="1630"/>
      <w:bookmarkEnd w:id="1631"/>
      <w:bookmarkEnd w:id="1632"/>
      <w:bookmarkEnd w:id="1633"/>
    </w:p>
    <w:p>
      <w:pPr>
        <w:pStyle w:val="Heading5"/>
      </w:pPr>
      <w:bookmarkStart w:id="1634" w:name="_Toc176259748"/>
      <w:r>
        <w:rPr>
          <w:rStyle w:val="CharSectno"/>
        </w:rPr>
        <w:t>295</w:t>
      </w:r>
      <w:r>
        <w:t>.</w:t>
      </w:r>
      <w:r>
        <w:tab/>
        <w:t>Initiation of making of a Rule</w:t>
      </w:r>
      <w:bookmarkEnd w:id="16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1635" w:name="_Toc176259749"/>
      <w:r>
        <w:rPr>
          <w:rStyle w:val="CharSectno"/>
        </w:rPr>
        <w:t>296</w:t>
      </w:r>
      <w:r>
        <w:t>.</w:t>
      </w:r>
      <w:r>
        <w:tab/>
        <w:t>AEMC may make more preferable Rule in certain cases</w:t>
      </w:r>
      <w:bookmarkEnd w:id="1635"/>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1636" w:name="_Toc176259750"/>
      <w:r>
        <w:rPr>
          <w:rStyle w:val="CharSectno"/>
        </w:rPr>
        <w:lastRenderedPageBreak/>
        <w:t>297</w:t>
      </w:r>
      <w:r>
        <w:t>.</w:t>
      </w:r>
      <w:r>
        <w:tab/>
        <w:t>AEMC may make Rules that are consequential to a Rule request</w:t>
      </w:r>
      <w:bookmarkEnd w:id="16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1637" w:name="_Toc176259751"/>
      <w:r>
        <w:rPr>
          <w:rStyle w:val="CharSectno"/>
        </w:rPr>
        <w:t>298</w:t>
      </w:r>
      <w:r>
        <w:t>.</w:t>
      </w:r>
      <w:r>
        <w:tab/>
        <w:t>Content of requests for a Rule</w:t>
      </w:r>
      <w:bookmarkEnd w:id="1637"/>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1638" w:name="_Toc176259752"/>
      <w:r>
        <w:rPr>
          <w:rStyle w:val="CharSectno"/>
        </w:rPr>
        <w:t>299</w:t>
      </w:r>
      <w:r>
        <w:t>.</w:t>
      </w:r>
      <w:r>
        <w:tab/>
        <w:t>Waiver of fee for Rule requests</w:t>
      </w:r>
      <w:bookmarkEnd w:id="1638"/>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1639" w:name="_Toc176259753"/>
      <w:r>
        <w:rPr>
          <w:rStyle w:val="CharSectno"/>
        </w:rPr>
        <w:t>300</w:t>
      </w:r>
      <w:r>
        <w:t>.</w:t>
      </w:r>
      <w:r>
        <w:tab/>
        <w:t>Consolidation of 2 or more Rule requests</w:t>
      </w:r>
      <w:bookmarkEnd w:id="16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1640" w:name="_Toc176259754"/>
      <w:r>
        <w:rPr>
          <w:rStyle w:val="CharSectno"/>
        </w:rPr>
        <w:t>301</w:t>
      </w:r>
      <w:r>
        <w:t>.</w:t>
      </w:r>
      <w:r>
        <w:tab/>
        <w:t>Initial consideration of request for Rule</w:t>
      </w:r>
      <w:bookmarkEnd w:id="16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1641" w:name="_Toc176259755"/>
      <w:r>
        <w:rPr>
          <w:rStyle w:val="CharSectno"/>
        </w:rPr>
        <w:t>302</w:t>
      </w:r>
      <w:r>
        <w:t>.</w:t>
      </w:r>
      <w:r>
        <w:tab/>
        <w:t>AEMC may request further information from Rule proponent in certain cases</w:t>
      </w:r>
      <w:bookmarkEnd w:id="16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1642" w:name="_Toc176259756"/>
      <w:r>
        <w:rPr>
          <w:rStyle w:val="CharSectno"/>
        </w:rPr>
        <w:t>303</w:t>
      </w:r>
      <w:r>
        <w:t>.</w:t>
      </w:r>
      <w:r>
        <w:tab/>
        <w:t>Notice of proposed Rule</w:t>
      </w:r>
      <w:bookmarkEnd w:id="16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1643" w:name="_Toc176259757"/>
      <w:r>
        <w:rPr>
          <w:rStyle w:val="CharSectno"/>
        </w:rPr>
        <w:t>304</w:t>
      </w:r>
      <w:r>
        <w:t>.</w:t>
      </w:r>
      <w:r>
        <w:tab/>
        <w:t>Publication of non</w:t>
      </w:r>
      <w:r>
        <w:noBreakHyphen/>
        <w:t>controversial or urgent final Rule determination</w:t>
      </w:r>
      <w:bookmarkEnd w:id="16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8 weeks from the date of publication of the notice under section 303.</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Before making a Rule as set out in subsection (1), the AEMC must include in a notice under section 303 a statement to the effect that the AEMC may make the relevant Rule if the AEMC does not receive a written </w:t>
      </w:r>
      <w:r>
        <w:rPr>
          <w:color w:val="000000"/>
          <w:sz w:val="23"/>
          <w:szCs w:val="23"/>
        </w:rPr>
        <w:lastRenderedPageBreak/>
        <w:t>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1644" w:name="_Toc176259758"/>
      <w:r>
        <w:rPr>
          <w:rStyle w:val="CharSectno"/>
        </w:rPr>
        <w:t>305</w:t>
      </w:r>
      <w:r>
        <w:t>.</w:t>
      </w:r>
      <w:r>
        <w:tab/>
        <w:t>“Fast track” Rules where previous public consultation by gas market regulatory body or an AEMC review</w:t>
      </w:r>
      <w:bookmarkEnd w:id="16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1645" w:name="_Toc176259759"/>
      <w:r>
        <w:rPr>
          <w:rStyle w:val="CharSectno"/>
        </w:rPr>
        <w:t>306</w:t>
      </w:r>
      <w:r>
        <w:t>.</w:t>
      </w:r>
      <w:r>
        <w:tab/>
        <w:t>Right to make written submissions and comments</w:t>
      </w:r>
      <w:bookmarkEnd w:id="1645"/>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1646" w:name="_Toc176259760"/>
      <w:r>
        <w:rPr>
          <w:rStyle w:val="CharSectno"/>
        </w:rPr>
        <w:t>307</w:t>
      </w:r>
      <w:r>
        <w:t>.</w:t>
      </w:r>
      <w:r>
        <w:tab/>
        <w:t>AEMC may hold public hearings before draft Rule determination</w:t>
      </w:r>
      <w:bookmarkEnd w:id="16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1647" w:name="_Toc176259761"/>
      <w:r>
        <w:rPr>
          <w:rStyle w:val="CharSectno"/>
        </w:rPr>
        <w:t>308</w:t>
      </w:r>
      <w:r>
        <w:t>.</w:t>
      </w:r>
      <w:r>
        <w:tab/>
        <w:t>Draft Rule determination</w:t>
      </w:r>
      <w:bookmarkEnd w:id="16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1648" w:name="_Toc176259762"/>
      <w:r>
        <w:rPr>
          <w:rStyle w:val="CharSectno"/>
        </w:rPr>
        <w:t>309</w:t>
      </w:r>
      <w:r>
        <w:t>.</w:t>
      </w:r>
      <w:r>
        <w:tab/>
        <w:t>Right to make written submissions and comments in relation to draft Rule determination</w:t>
      </w:r>
      <w:bookmarkEnd w:id="1648"/>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1649" w:name="_Toc176259763"/>
      <w:r>
        <w:rPr>
          <w:rStyle w:val="CharSectno"/>
        </w:rPr>
        <w:lastRenderedPageBreak/>
        <w:t>310</w:t>
      </w:r>
      <w:r>
        <w:t>.</w:t>
      </w:r>
      <w:r>
        <w:tab/>
        <w:t>Pre</w:t>
      </w:r>
      <w:r>
        <w:noBreakHyphen/>
        <w:t>final Rule determination hearing may be held</w:t>
      </w:r>
      <w:bookmarkEnd w:id="16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1650" w:name="_Toc176259764"/>
      <w:r>
        <w:rPr>
          <w:rStyle w:val="CharSectno"/>
        </w:rPr>
        <w:lastRenderedPageBreak/>
        <w:t>311</w:t>
      </w:r>
      <w:r>
        <w:t>.</w:t>
      </w:r>
      <w:r>
        <w:tab/>
        <w:t>Final Rule determination</w:t>
      </w:r>
      <w:bookmarkEnd w:id="16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1651" w:name="_Toc176259765"/>
      <w:r>
        <w:rPr>
          <w:rStyle w:val="CharSectno"/>
        </w:rPr>
        <w:t>312</w:t>
      </w:r>
      <w:r>
        <w:t>.</w:t>
      </w:r>
      <w:r>
        <w:tab/>
        <w:t>Further draft Rule determination may be made where proposed Rule is a proposed more preferable Rule</w:t>
      </w:r>
      <w:bookmarkEnd w:id="16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1652" w:name="_Toc176259766"/>
      <w:r>
        <w:rPr>
          <w:rStyle w:val="CharSectno"/>
        </w:rPr>
        <w:t>313</w:t>
      </w:r>
      <w:r>
        <w:t>.</w:t>
      </w:r>
      <w:r>
        <w:tab/>
        <w:t>Making of Rule</w:t>
      </w:r>
      <w:bookmarkEnd w:id="16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1653" w:name="_Toc176259767"/>
      <w:r>
        <w:rPr>
          <w:rStyle w:val="CharSectno"/>
        </w:rPr>
        <w:lastRenderedPageBreak/>
        <w:t>314</w:t>
      </w:r>
      <w:r>
        <w:t>.</w:t>
      </w:r>
      <w:r>
        <w:tab/>
        <w:t>Operation and commencement of Rule</w:t>
      </w:r>
      <w:bookmarkEnd w:id="1653"/>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1654" w:name="_Toc176259768"/>
      <w:r>
        <w:rPr>
          <w:rStyle w:val="CharSectno"/>
        </w:rPr>
        <w:t>315</w:t>
      </w:r>
      <w:r>
        <w:t>.</w:t>
      </w:r>
      <w:r>
        <w:tab/>
        <w:t>Rule that is made to be published on website and made available to the public</w:t>
      </w:r>
      <w:bookmarkEnd w:id="1654"/>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1655" w:name="_Toc176259769"/>
      <w:r>
        <w:rPr>
          <w:rStyle w:val="CharSectno"/>
        </w:rPr>
        <w:t>316</w:t>
      </w:r>
      <w:r>
        <w:t>.</w:t>
      </w:r>
      <w:r>
        <w:tab/>
        <w:t>Evidence of the National Gas Rules</w:t>
      </w:r>
      <w:bookmarkEnd w:id="1655"/>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1656" w:name="_Toc175836810"/>
      <w:bookmarkStart w:id="1657" w:name="_Toc175837922"/>
      <w:bookmarkStart w:id="1658" w:name="_Toc175842630"/>
      <w:bookmarkStart w:id="1659" w:name="_Toc175914233"/>
      <w:bookmarkStart w:id="1660" w:name="_Toc175915037"/>
      <w:bookmarkStart w:id="1661" w:name="_Toc175922928"/>
      <w:bookmarkStart w:id="1662" w:name="_Toc176257232"/>
      <w:bookmarkStart w:id="1663" w:name="_Toc176259770"/>
      <w:r>
        <w:rPr>
          <w:rStyle w:val="CharDivNo"/>
        </w:rPr>
        <w:lastRenderedPageBreak/>
        <w:t>Part 4</w:t>
      </w:r>
      <w:r>
        <w:t> — </w:t>
      </w:r>
      <w:r>
        <w:rPr>
          <w:rStyle w:val="CharDivText"/>
        </w:rPr>
        <w:t>Miscellaneous provisions relating to rule making by the AEMC</w:t>
      </w:r>
      <w:bookmarkEnd w:id="1656"/>
      <w:bookmarkEnd w:id="1657"/>
      <w:bookmarkEnd w:id="1658"/>
      <w:bookmarkEnd w:id="1659"/>
      <w:bookmarkEnd w:id="1660"/>
      <w:bookmarkEnd w:id="1661"/>
      <w:bookmarkEnd w:id="1662"/>
      <w:bookmarkEnd w:id="1663"/>
    </w:p>
    <w:p>
      <w:pPr>
        <w:pStyle w:val="Heading5"/>
      </w:pPr>
      <w:bookmarkStart w:id="1664" w:name="_Toc176259771"/>
      <w:r>
        <w:rPr>
          <w:rStyle w:val="CharSectno"/>
        </w:rPr>
        <w:t>317</w:t>
      </w:r>
      <w:r>
        <w:t>.</w:t>
      </w:r>
      <w:r>
        <w:tab/>
        <w:t>Extension of periods of time in Rule making procedure</w:t>
      </w:r>
      <w:bookmarkEnd w:id="16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1665" w:name="_Toc176259772"/>
      <w:r>
        <w:rPr>
          <w:rStyle w:val="CharSectno"/>
        </w:rPr>
        <w:t>318</w:t>
      </w:r>
      <w:r>
        <w:t>.</w:t>
      </w:r>
      <w:r>
        <w:tab/>
        <w:t>AEMC may extend period of time for making of final Rule determination for further consultation</w:t>
      </w:r>
      <w:bookmarkEnd w:id="16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1666" w:name="_Toc176259773"/>
      <w:r>
        <w:rPr>
          <w:rStyle w:val="CharSectno"/>
        </w:rPr>
        <w:t>319</w:t>
      </w:r>
      <w:r>
        <w:t>.</w:t>
      </w:r>
      <w:r>
        <w:tab/>
        <w:t>AEMC may publish written submissions and comments unless confidential</w:t>
      </w:r>
      <w:bookmarkEnd w:id="16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1667" w:name="_Toc176259774"/>
      <w:r>
        <w:rPr>
          <w:rStyle w:val="CharSectno"/>
        </w:rPr>
        <w:t>320</w:t>
      </w:r>
      <w:r>
        <w:t>.</w:t>
      </w:r>
      <w:r>
        <w:tab/>
        <w:t>AEMC must publicly report on Rules not made within 12 months of public notification of requests</w:t>
      </w:r>
      <w:bookmarkEnd w:id="16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1668" w:name="_Toc175836815"/>
      <w:bookmarkStart w:id="1669" w:name="_Toc175837927"/>
      <w:bookmarkStart w:id="1670" w:name="_Toc175842635"/>
      <w:bookmarkStart w:id="1671" w:name="_Toc175914238"/>
      <w:bookmarkStart w:id="1672" w:name="_Toc175915042"/>
      <w:bookmarkStart w:id="1673" w:name="_Toc175922933"/>
      <w:bookmarkStart w:id="1674" w:name="_Toc176257237"/>
      <w:bookmarkStart w:id="1675" w:name="_Toc176259775"/>
      <w:r>
        <w:rPr>
          <w:rStyle w:val="CharPartNo"/>
        </w:rPr>
        <w:lastRenderedPageBreak/>
        <w:t>Chapter 10</w:t>
      </w:r>
      <w:r>
        <w:t xml:space="preserve"> — </w:t>
      </w:r>
      <w:r>
        <w:rPr>
          <w:rStyle w:val="CharPartText"/>
        </w:rPr>
        <w:t>General</w:t>
      </w:r>
      <w:bookmarkEnd w:id="1668"/>
      <w:bookmarkEnd w:id="1669"/>
      <w:bookmarkEnd w:id="1670"/>
      <w:bookmarkEnd w:id="1671"/>
      <w:bookmarkEnd w:id="1672"/>
      <w:bookmarkEnd w:id="1673"/>
      <w:bookmarkEnd w:id="1674"/>
      <w:bookmarkEnd w:id="1675"/>
    </w:p>
    <w:p>
      <w:pPr>
        <w:pStyle w:val="Heading3"/>
      </w:pPr>
      <w:bookmarkStart w:id="1676" w:name="_Toc175836816"/>
      <w:bookmarkStart w:id="1677" w:name="_Toc175837928"/>
      <w:bookmarkStart w:id="1678" w:name="_Toc175842636"/>
      <w:bookmarkStart w:id="1679" w:name="_Toc175914239"/>
      <w:bookmarkStart w:id="1680" w:name="_Toc175915043"/>
      <w:bookmarkStart w:id="1681" w:name="_Toc175922934"/>
      <w:bookmarkStart w:id="1682" w:name="_Toc176257238"/>
      <w:bookmarkStart w:id="1683" w:name="_Toc176259776"/>
      <w:r>
        <w:rPr>
          <w:rStyle w:val="CharDivNo"/>
        </w:rPr>
        <w:t>Part 1</w:t>
      </w:r>
      <w:r>
        <w:t xml:space="preserve"> — </w:t>
      </w:r>
      <w:r>
        <w:rPr>
          <w:rStyle w:val="CharDivText"/>
        </w:rPr>
        <w:t>Provisions relating to applicable access arrangements</w:t>
      </w:r>
      <w:bookmarkEnd w:id="1676"/>
      <w:bookmarkEnd w:id="1677"/>
      <w:bookmarkEnd w:id="1678"/>
      <w:bookmarkEnd w:id="1679"/>
      <w:bookmarkEnd w:id="1680"/>
      <w:bookmarkEnd w:id="1681"/>
      <w:bookmarkEnd w:id="1682"/>
      <w:bookmarkEnd w:id="1683"/>
    </w:p>
    <w:p>
      <w:pPr>
        <w:pStyle w:val="Heading5"/>
      </w:pPr>
      <w:bookmarkStart w:id="1684" w:name="_Toc176259777"/>
      <w:r>
        <w:rPr>
          <w:rStyle w:val="CharSectno"/>
        </w:rPr>
        <w:t>321</w:t>
      </w:r>
      <w:r>
        <w:t>.</w:t>
      </w:r>
      <w:r>
        <w:tab/>
        <w:t>Protection of certain pre</w:t>
      </w:r>
      <w:r>
        <w:noBreakHyphen/>
        <w:t>existing contractual rights</w:t>
      </w:r>
      <w:bookmarkEnd w:id="16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a full access arrangement was not submitted for approval as required under section 132—a right under a contract (other than a relevant exclusivity right) in </w:t>
      </w:r>
      <w:r>
        <w:rPr>
          <w:color w:val="000000"/>
          <w:sz w:val="23"/>
          <w:szCs w:val="23"/>
        </w:rPr>
        <w:lastRenderedPageBreak/>
        <w:t>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1685" w:name="_Toc176259778"/>
      <w:r>
        <w:rPr>
          <w:rStyle w:val="CharSectno"/>
        </w:rPr>
        <w:t>322</w:t>
      </w:r>
      <w:r>
        <w:t>.</w:t>
      </w:r>
      <w:r>
        <w:tab/>
        <w:t>Service provider may enter into agreement for access different from applicable access arrangement</w:t>
      </w:r>
      <w:bookmarkEnd w:id="1685"/>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1686" w:name="_Toc176259779"/>
      <w:r>
        <w:rPr>
          <w:rStyle w:val="CharSectno"/>
        </w:rPr>
        <w:t>323</w:t>
      </w:r>
      <w:r>
        <w:t>.</w:t>
      </w:r>
      <w:r>
        <w:tab/>
        <w:t>Applicable access arrangements continue to apply regardless of who provides pipeline service</w:t>
      </w:r>
      <w:bookmarkEnd w:id="1686"/>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1687" w:name="_Toc175836820"/>
      <w:bookmarkStart w:id="1688" w:name="_Toc175837932"/>
      <w:bookmarkStart w:id="1689" w:name="_Toc175842640"/>
      <w:bookmarkStart w:id="1690" w:name="_Toc175914243"/>
      <w:bookmarkStart w:id="1691" w:name="_Toc175915047"/>
      <w:bookmarkStart w:id="1692" w:name="_Toc175922938"/>
      <w:bookmarkStart w:id="1693" w:name="_Toc176257242"/>
      <w:bookmarkStart w:id="1694" w:name="_Toc176259780"/>
      <w:r>
        <w:rPr>
          <w:rStyle w:val="CharDivNo"/>
        </w:rPr>
        <w:lastRenderedPageBreak/>
        <w:t>Part 2</w:t>
      </w:r>
      <w:r>
        <w:t xml:space="preserve"> — </w:t>
      </w:r>
      <w:r>
        <w:rPr>
          <w:rStyle w:val="CharDivText"/>
        </w:rPr>
        <w:t>Handling of confidential information</w:t>
      </w:r>
      <w:bookmarkEnd w:id="1687"/>
      <w:bookmarkEnd w:id="1688"/>
      <w:bookmarkEnd w:id="1689"/>
      <w:bookmarkEnd w:id="1690"/>
      <w:bookmarkEnd w:id="1691"/>
      <w:bookmarkEnd w:id="1692"/>
      <w:bookmarkEnd w:id="1693"/>
      <w:bookmarkEnd w:id="1694"/>
    </w:p>
    <w:p>
      <w:pPr>
        <w:pStyle w:val="Heading4"/>
        <w:keepLines/>
      </w:pPr>
      <w:bookmarkStart w:id="1695" w:name="_Toc175836821"/>
      <w:bookmarkStart w:id="1696" w:name="_Toc175837933"/>
      <w:bookmarkStart w:id="1697" w:name="_Toc175842641"/>
      <w:bookmarkStart w:id="1698" w:name="_Toc175914244"/>
      <w:bookmarkStart w:id="1699" w:name="_Toc175915048"/>
      <w:bookmarkStart w:id="1700" w:name="_Toc175922939"/>
      <w:bookmarkStart w:id="1701" w:name="_Toc176257243"/>
      <w:bookmarkStart w:id="1702" w:name="_Toc176259781"/>
      <w:r>
        <w:t>Division 1 — Disclosure of confidential information held by AER</w:t>
      </w:r>
      <w:bookmarkEnd w:id="1695"/>
      <w:bookmarkEnd w:id="1696"/>
      <w:bookmarkEnd w:id="1697"/>
      <w:bookmarkEnd w:id="1698"/>
      <w:bookmarkEnd w:id="1699"/>
      <w:bookmarkEnd w:id="1700"/>
      <w:bookmarkEnd w:id="1701"/>
      <w:bookmarkEnd w:id="1702"/>
    </w:p>
    <w:p>
      <w:pPr>
        <w:pStyle w:val="Heading5"/>
      </w:pPr>
      <w:bookmarkStart w:id="1703" w:name="_Toc176259782"/>
      <w:r>
        <w:rPr>
          <w:rStyle w:val="CharSectno"/>
        </w:rPr>
        <w:t>324</w:t>
      </w:r>
      <w:r>
        <w:t>.</w:t>
      </w:r>
      <w:r>
        <w:tab/>
        <w:t>Authorised disclosure of information given to the AER in confidence</w:t>
      </w:r>
      <w:bookmarkEnd w:id="1703"/>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1704" w:name="_Toc176259783"/>
      <w:r>
        <w:rPr>
          <w:rStyle w:val="CharSectno"/>
        </w:rPr>
        <w:t>325</w:t>
      </w:r>
      <w:r>
        <w:t>.</w:t>
      </w:r>
      <w:r>
        <w:tab/>
        <w:t>Disclosure with prior written consent is authorised</w:t>
      </w:r>
      <w:bookmarkEnd w:id="170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1705" w:name="_Toc176259784"/>
      <w:r>
        <w:rPr>
          <w:rStyle w:val="CharSectno"/>
        </w:rPr>
        <w:t>326</w:t>
      </w:r>
      <w:r>
        <w:t>.</w:t>
      </w:r>
      <w:r>
        <w:tab/>
        <w:t>Disclosure for purposes of court and tribunal proceedings and to accord natural justice</w:t>
      </w:r>
      <w:bookmarkEnd w:id="1705"/>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for the purposes of according natural justice to a person affected by a decision (however described) of the AER under this Law or the Rules.</w:t>
      </w:r>
    </w:p>
    <w:p>
      <w:pPr>
        <w:pStyle w:val="Heading5"/>
      </w:pPr>
      <w:bookmarkStart w:id="1706" w:name="_Toc176259785"/>
      <w:r>
        <w:rPr>
          <w:rStyle w:val="CharSectno"/>
        </w:rPr>
        <w:t>327</w:t>
      </w:r>
      <w:r>
        <w:t>.</w:t>
      </w:r>
      <w:r>
        <w:tab/>
        <w:t>Disclosure of information given to the AER with confidential information omitted</w:t>
      </w:r>
      <w:bookmarkEnd w:id="17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1707" w:name="_Toc176259786"/>
      <w:r>
        <w:rPr>
          <w:rStyle w:val="CharSectno"/>
        </w:rPr>
        <w:t>328</w:t>
      </w:r>
      <w:r>
        <w:t>.</w:t>
      </w:r>
      <w:r>
        <w:tab/>
        <w:t>Disclosure of information given in confidence does not identify anyone</w:t>
      </w:r>
      <w:bookmarkEnd w:id="170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 xml:space="preserve">Information disclosed under this section may be combined or arranged with other information provided that the manner in which </w:t>
      </w:r>
      <w:r>
        <w:rPr>
          <w:color w:val="000000"/>
          <w:sz w:val="20"/>
        </w:rPr>
        <w:lastRenderedPageBreak/>
        <w:t>that information is combined or arranged will not lead to the identification of the person to whom the information relates.</w:t>
      </w:r>
    </w:p>
    <w:p>
      <w:pPr>
        <w:pStyle w:val="Heading5"/>
      </w:pPr>
      <w:bookmarkStart w:id="1708" w:name="_Toc176259787"/>
      <w:r>
        <w:rPr>
          <w:rStyle w:val="CharSectno"/>
        </w:rPr>
        <w:t>329</w:t>
      </w:r>
      <w:r>
        <w:t>.</w:t>
      </w:r>
      <w:r>
        <w:tab/>
        <w:t>Disclosure of confidential information authorised if detriment does not outweigh public benefit</w:t>
      </w:r>
      <w:bookmarkEnd w:id="17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1709" w:name="_Toc175836828"/>
      <w:bookmarkStart w:id="1710" w:name="_Toc175837940"/>
      <w:bookmarkStart w:id="1711" w:name="_Toc175842648"/>
      <w:bookmarkStart w:id="1712" w:name="_Toc175914251"/>
      <w:bookmarkStart w:id="1713" w:name="_Toc175915055"/>
      <w:bookmarkStart w:id="1714" w:name="_Toc175922946"/>
      <w:bookmarkStart w:id="1715" w:name="_Toc176257250"/>
      <w:bookmarkStart w:id="1716" w:name="_Toc176259788"/>
      <w:r>
        <w:t>Division 2 — Disclosure of confidential information held by relevant Ministers, NCC and AEMC</w:t>
      </w:r>
      <w:bookmarkEnd w:id="1709"/>
      <w:bookmarkEnd w:id="1710"/>
      <w:bookmarkEnd w:id="1711"/>
      <w:bookmarkEnd w:id="1712"/>
      <w:bookmarkEnd w:id="1713"/>
      <w:bookmarkEnd w:id="1714"/>
      <w:bookmarkEnd w:id="1715"/>
      <w:bookmarkEnd w:id="1716"/>
    </w:p>
    <w:p>
      <w:pPr>
        <w:pStyle w:val="Heading5"/>
      </w:pPr>
      <w:bookmarkStart w:id="1717" w:name="_Toc176259789"/>
      <w:r>
        <w:rPr>
          <w:rStyle w:val="CharSectno"/>
        </w:rPr>
        <w:t>330</w:t>
      </w:r>
      <w:r>
        <w:t>.</w:t>
      </w:r>
      <w:r>
        <w:tab/>
        <w:t>Definitions</w:t>
      </w:r>
      <w:bookmarkEnd w:id="1717"/>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1718" w:name="_Toc176259790"/>
      <w:r>
        <w:rPr>
          <w:rStyle w:val="CharSectno"/>
        </w:rPr>
        <w:t>331</w:t>
      </w:r>
      <w:r>
        <w:t>.</w:t>
      </w:r>
      <w:r>
        <w:tab/>
        <w:t>Confidentiality of information received for scheme procedure purpose and for making of scheme decision</w:t>
      </w:r>
      <w:bookmarkEnd w:id="17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1719" w:name="_Toc175836831"/>
      <w:bookmarkStart w:id="1720" w:name="_Toc175837943"/>
      <w:bookmarkStart w:id="1721" w:name="_Toc175842651"/>
      <w:bookmarkStart w:id="1722" w:name="_Toc175914254"/>
      <w:bookmarkStart w:id="1723" w:name="_Toc175915058"/>
      <w:bookmarkStart w:id="1724" w:name="_Toc175922949"/>
      <w:bookmarkStart w:id="1725" w:name="_Toc176257253"/>
      <w:bookmarkStart w:id="1726" w:name="_Toc176259791"/>
      <w:r>
        <w:rPr>
          <w:rStyle w:val="CharDivNo"/>
        </w:rPr>
        <w:t>Part 3</w:t>
      </w:r>
      <w:r>
        <w:t xml:space="preserve"> — </w:t>
      </w:r>
      <w:r>
        <w:rPr>
          <w:rStyle w:val="CharDivText"/>
        </w:rPr>
        <w:t>Miscellaneous</w:t>
      </w:r>
      <w:bookmarkEnd w:id="1719"/>
      <w:bookmarkEnd w:id="1720"/>
      <w:bookmarkEnd w:id="1721"/>
      <w:bookmarkEnd w:id="1722"/>
      <w:bookmarkEnd w:id="1723"/>
      <w:bookmarkEnd w:id="1724"/>
      <w:bookmarkEnd w:id="1725"/>
      <w:bookmarkEnd w:id="1726"/>
    </w:p>
    <w:p>
      <w:pPr>
        <w:pStyle w:val="Heading5"/>
      </w:pPr>
      <w:bookmarkStart w:id="1727" w:name="_Toc176259792"/>
      <w:r>
        <w:rPr>
          <w:rStyle w:val="CharSectno"/>
        </w:rPr>
        <w:t>332</w:t>
      </w:r>
      <w:r>
        <w:t>.</w:t>
      </w:r>
      <w:r>
        <w:tab/>
        <w:t>Failure to make a decision under this Law or the Rules within time does not invalidate the decision</w:t>
      </w:r>
      <w:bookmarkEnd w:id="17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1728" w:name="_Toc176259793"/>
      <w:r>
        <w:rPr>
          <w:rStyle w:val="CharSectno"/>
        </w:rPr>
        <w:lastRenderedPageBreak/>
        <w:t>333</w:t>
      </w:r>
      <w:r>
        <w:t>.</w:t>
      </w:r>
      <w:r>
        <w:tab/>
        <w:t>Withdrawal of applications relating to coverage or reclassification</w:t>
      </w:r>
      <w:bookmarkEnd w:id="17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1729" w:name="_Toc176259794"/>
      <w:r>
        <w:rPr>
          <w:rStyle w:val="CharSectno"/>
        </w:rPr>
        <w:t>334</w:t>
      </w:r>
      <w:r>
        <w:t>.</w:t>
      </w:r>
      <w:r>
        <w:tab/>
        <w:t>Notification of Ministers of participating jurisdictions of receipt of application</w:t>
      </w:r>
      <w:bookmarkEnd w:id="1729"/>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1730" w:name="_Toc176259795"/>
      <w:r>
        <w:rPr>
          <w:rStyle w:val="CharSectno"/>
        </w:rPr>
        <w:lastRenderedPageBreak/>
        <w:t>335</w:t>
      </w:r>
      <w:r>
        <w:t>.</w:t>
      </w:r>
      <w:r>
        <w:tab/>
        <w:t>Relevant Minister may request NCC to give information or assistance</w:t>
      </w:r>
      <w:bookmarkEnd w:id="17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rPr>
          <w:b w:val="0"/>
        </w:rPr>
      </w:pPr>
      <w:bookmarkStart w:id="1731" w:name="_Toc176259796"/>
      <w:r>
        <w:rPr>
          <w:rStyle w:val="CharSectno"/>
        </w:rPr>
        <w:t>335A</w:t>
      </w:r>
      <w:r>
        <w:t>.</w:t>
      </w:r>
      <w:r>
        <w:tab/>
        <w:t>Penalty privilege</w:t>
      </w:r>
      <w:bookmarkEnd w:id="1731"/>
    </w:p>
    <w:p>
      <w:pPr>
        <w:keepLines/>
        <w:autoSpaceDE w:val="0"/>
        <w:autoSpaceDN w:val="0"/>
        <w:adjustRightInd w:val="0"/>
        <w:spacing w:before="120"/>
        <w:ind w:left="1588"/>
        <w:rPr>
          <w:color w:val="000000"/>
          <w:sz w:val="23"/>
          <w:szCs w:val="23"/>
        </w:rPr>
      </w:pPr>
      <w:r>
        <w:rPr>
          <w:color w:val="000000"/>
          <w:sz w:val="23"/>
          <w:szCs w:val="23"/>
        </w:rPr>
        <w:t>If an individual has a privilege against self-exposure to a penalty, other than for a criminal offence, the individual is not excused from doing any of the following on that ground: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information under this Law, the Regulations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producing a document under this Law, the Regulations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providing evidence under this Law, the Regulations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answering a question under this Law, the Regulations or the Rules.</w:t>
      </w:r>
    </w:p>
    <w:p>
      <w:pPr>
        <w:pStyle w:val="Footnotesection"/>
      </w:pPr>
      <w:r>
        <w:tab/>
        <w:t>[Section 335A inserted: see SA Act No. 37 of 2020 s. 71 and WA Gazette 4 Sep 2024 p. 2215.]</w:t>
      </w:r>
    </w:p>
    <w:p>
      <w:pPr>
        <w:pStyle w:val="Heading5"/>
        <w:rPr>
          <w:b w:val="0"/>
        </w:rPr>
      </w:pPr>
      <w:bookmarkStart w:id="1732" w:name="_Toc176259797"/>
      <w:r>
        <w:rPr>
          <w:rStyle w:val="CharSectno"/>
        </w:rPr>
        <w:lastRenderedPageBreak/>
        <w:t>335B</w:t>
      </w:r>
      <w:r>
        <w:t>.</w:t>
      </w:r>
      <w:r>
        <w:tab/>
        <w:t>Court may grant relief from liability</w:t>
      </w:r>
      <w:bookmarkEnd w:id="1732"/>
    </w:p>
    <w:p>
      <w:pPr>
        <w:keepLines/>
        <w:autoSpaceDE w:val="0"/>
        <w:autoSpaceDN w:val="0"/>
        <w:adjustRightInd w:val="0"/>
        <w:spacing w:before="120"/>
        <w:ind w:left="1588"/>
        <w:rPr>
          <w:color w:val="000000"/>
          <w:sz w:val="23"/>
          <w:szCs w:val="23"/>
        </w:rPr>
      </w:pPr>
      <w:r>
        <w:rPr>
          <w:color w:val="000000"/>
          <w:sz w:val="23"/>
          <w:szCs w:val="23"/>
        </w:rPr>
        <w:t>If in any proceedings under this Law in which a person, other than a body corporate, may be liable for an offence or a civil penalty it appears to the Court that the person acted honestly and reasonably and, having regard to all the circumstances of the case, ought fairly to be excused, the Court may relieve the person either wholly or partly from liability on such terms as the Court thinks fit.</w:t>
      </w:r>
    </w:p>
    <w:p>
      <w:pPr>
        <w:pStyle w:val="Footnotesection"/>
      </w:pPr>
      <w:r>
        <w:tab/>
        <w:t>[Section 335B inserted: see SA Act No. 37 of 2020 s. 71 and WA Gazette 4 Sep 2024 p. 2215.]</w:t>
      </w:r>
    </w:p>
    <w:p>
      <w:pPr>
        <w:pStyle w:val="Heading5"/>
      </w:pPr>
      <w:bookmarkStart w:id="1733" w:name="_Toc176259798"/>
      <w:r>
        <w:rPr>
          <w:rStyle w:val="CharSectno"/>
        </w:rPr>
        <w:t>336</w:t>
      </w:r>
      <w:r>
        <w:t>.</w:t>
      </w:r>
      <w:r>
        <w:tab/>
        <w:t>Savings and transitionals</w:t>
      </w:r>
      <w:bookmarkEnd w:id="1733"/>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34"/>
          <w:headerReference w:type="default" r:id="rId35"/>
          <w:headerReference w:type="first" r:id="rId36"/>
          <w:endnotePr>
            <w:numFmt w:val="decimal"/>
          </w:endnotePr>
          <w:pgSz w:w="11907" w:h="16840" w:code="9"/>
          <w:pgMar w:top="2381" w:right="2410" w:bottom="3544" w:left="2410" w:header="720" w:footer="3544" w:gutter="0"/>
          <w:cols w:space="720"/>
          <w:docGrid w:linePitch="326"/>
        </w:sectPr>
      </w:pPr>
    </w:p>
    <w:p>
      <w:pPr>
        <w:pStyle w:val="Heading2"/>
      </w:pPr>
      <w:bookmarkStart w:id="1734" w:name="_Toc175836837"/>
      <w:bookmarkStart w:id="1735" w:name="_Toc175837949"/>
      <w:bookmarkStart w:id="1736" w:name="_Toc175842657"/>
      <w:bookmarkStart w:id="1737" w:name="_Toc175914262"/>
      <w:bookmarkStart w:id="1738" w:name="_Toc175915066"/>
      <w:bookmarkStart w:id="1739" w:name="_Toc175922957"/>
      <w:bookmarkStart w:id="1740" w:name="_Toc176257261"/>
      <w:bookmarkStart w:id="1741" w:name="_Toc176259799"/>
      <w:r>
        <w:rPr>
          <w:rStyle w:val="CharPartNo"/>
        </w:rPr>
        <w:lastRenderedPageBreak/>
        <w:t>Schedule 1</w:t>
      </w:r>
      <w:r>
        <w:rPr>
          <w:rStyle w:val="CharDivNo"/>
        </w:rPr>
        <w:t> </w:t>
      </w:r>
      <w:r>
        <w:t>—</w:t>
      </w:r>
      <w:r>
        <w:rPr>
          <w:rStyle w:val="CharDivText"/>
        </w:rPr>
        <w:t> </w:t>
      </w:r>
      <w:r>
        <w:rPr>
          <w:rStyle w:val="CharPartText"/>
        </w:rPr>
        <w:t>Subject matter for the National Gas Rules</w:t>
      </w:r>
      <w:bookmarkEnd w:id="1734"/>
      <w:bookmarkEnd w:id="1735"/>
      <w:bookmarkEnd w:id="1736"/>
      <w:bookmarkEnd w:id="1737"/>
      <w:bookmarkEnd w:id="1738"/>
      <w:bookmarkEnd w:id="1739"/>
      <w:bookmarkEnd w:id="1740"/>
      <w:bookmarkEnd w:id="1741"/>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Next/>
              <w:keepLines/>
              <w:autoSpaceDE w:val="0"/>
              <w:autoSpaceDN w:val="0"/>
              <w:adjustRightInd w:val="0"/>
              <w:spacing w:before="120"/>
              <w:rPr>
                <w:color w:val="000000"/>
                <w:sz w:val="20"/>
              </w:rPr>
            </w:pPr>
            <w:r>
              <w:rPr>
                <w:color w:val="000000"/>
                <w:sz w:val="20"/>
              </w:rPr>
              <w:lastRenderedPageBreak/>
              <w:t>75</w:t>
            </w:r>
          </w:p>
        </w:tc>
        <w:tc>
          <w:tcPr>
            <w:tcW w:w="6360" w:type="dxa"/>
            <w:vAlign w:val="center"/>
          </w:tcPr>
          <w:p>
            <w:pPr>
              <w:keepNext/>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37"/>
          <w:headerReference w:type="default" r:id="rId38"/>
          <w:headerReference w:type="first" r:id="rId39"/>
          <w:endnotePr>
            <w:numFmt w:val="decimal"/>
          </w:endnotePr>
          <w:pgSz w:w="11907" w:h="16840" w:code="9"/>
          <w:pgMar w:top="2381" w:right="2410" w:bottom="3544" w:left="2410" w:header="720" w:footer="3544" w:gutter="0"/>
          <w:cols w:space="720"/>
          <w:docGrid w:linePitch="326"/>
        </w:sectPr>
      </w:pPr>
    </w:p>
    <w:p>
      <w:pPr>
        <w:pStyle w:val="Heading2"/>
      </w:pPr>
      <w:bookmarkStart w:id="1742" w:name="_Toc175836838"/>
      <w:bookmarkStart w:id="1743" w:name="_Toc175837950"/>
      <w:bookmarkStart w:id="1744" w:name="_Toc175842658"/>
      <w:bookmarkStart w:id="1745" w:name="_Toc175914263"/>
      <w:bookmarkStart w:id="1746" w:name="_Toc175915067"/>
      <w:bookmarkStart w:id="1747" w:name="_Toc175922958"/>
      <w:bookmarkStart w:id="1748" w:name="_Toc176257262"/>
      <w:bookmarkStart w:id="1749" w:name="_Toc176259800"/>
      <w:r>
        <w:rPr>
          <w:rStyle w:val="CharPartNo"/>
        </w:rPr>
        <w:lastRenderedPageBreak/>
        <w:t>Schedule 2</w:t>
      </w:r>
      <w:r>
        <w:t xml:space="preserve"> — </w:t>
      </w:r>
      <w:r>
        <w:rPr>
          <w:rStyle w:val="CharPartText"/>
        </w:rPr>
        <w:t>Miscellaneous provisions relating to interpretation</w:t>
      </w:r>
      <w:bookmarkEnd w:id="1742"/>
      <w:bookmarkEnd w:id="1743"/>
      <w:bookmarkEnd w:id="1744"/>
      <w:bookmarkEnd w:id="1745"/>
      <w:bookmarkEnd w:id="1746"/>
      <w:bookmarkEnd w:id="1747"/>
      <w:bookmarkEnd w:id="1748"/>
      <w:bookmarkEnd w:id="1749"/>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1750" w:name="_Toc175836839"/>
      <w:bookmarkStart w:id="1751" w:name="_Toc175837951"/>
      <w:bookmarkStart w:id="1752" w:name="_Toc175842659"/>
      <w:bookmarkStart w:id="1753" w:name="_Toc175914264"/>
      <w:bookmarkStart w:id="1754" w:name="_Toc175915068"/>
      <w:bookmarkStart w:id="1755" w:name="_Toc175922959"/>
      <w:bookmarkStart w:id="1756" w:name="_Toc176257263"/>
      <w:bookmarkStart w:id="1757" w:name="_Toc176259801"/>
      <w:r>
        <w:rPr>
          <w:rStyle w:val="CharDivNo"/>
        </w:rPr>
        <w:t>Part 1</w:t>
      </w:r>
      <w:r>
        <w:t xml:space="preserve"> — </w:t>
      </w:r>
      <w:r>
        <w:rPr>
          <w:rStyle w:val="CharDivText"/>
        </w:rPr>
        <w:t>Preliminary</w:t>
      </w:r>
      <w:bookmarkEnd w:id="1750"/>
      <w:bookmarkEnd w:id="1751"/>
      <w:bookmarkEnd w:id="1752"/>
      <w:bookmarkEnd w:id="1753"/>
      <w:bookmarkEnd w:id="1754"/>
      <w:bookmarkEnd w:id="1755"/>
      <w:bookmarkEnd w:id="1756"/>
      <w:bookmarkEnd w:id="1757"/>
    </w:p>
    <w:p>
      <w:pPr>
        <w:pStyle w:val="Heading5"/>
      </w:pPr>
      <w:bookmarkStart w:id="1758" w:name="_Toc176259802"/>
      <w:r>
        <w:rPr>
          <w:rStyle w:val="CharSectno"/>
        </w:rPr>
        <w:t>1</w:t>
      </w:r>
      <w:r>
        <w:t>.</w:t>
      </w:r>
      <w:r>
        <w:tab/>
        <w:t>Displacement of Schedule by contrary intention</w:t>
      </w:r>
      <w:bookmarkEnd w:id="17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1759" w:name="_Toc175836841"/>
      <w:bookmarkStart w:id="1760" w:name="_Toc175837953"/>
      <w:bookmarkStart w:id="1761" w:name="_Toc175842661"/>
      <w:bookmarkStart w:id="1762" w:name="_Toc175914266"/>
      <w:bookmarkStart w:id="1763" w:name="_Toc175915070"/>
      <w:bookmarkStart w:id="1764" w:name="_Toc175922961"/>
      <w:bookmarkStart w:id="1765" w:name="_Toc176257265"/>
      <w:bookmarkStart w:id="1766" w:name="_Toc176259803"/>
      <w:r>
        <w:rPr>
          <w:rStyle w:val="CharDivNo"/>
        </w:rPr>
        <w:t>Part 2</w:t>
      </w:r>
      <w:r>
        <w:t xml:space="preserve"> — </w:t>
      </w:r>
      <w:r>
        <w:rPr>
          <w:rStyle w:val="CharDivText"/>
        </w:rPr>
        <w:t>General</w:t>
      </w:r>
      <w:bookmarkEnd w:id="1759"/>
      <w:bookmarkEnd w:id="1760"/>
      <w:bookmarkEnd w:id="1761"/>
      <w:bookmarkEnd w:id="1762"/>
      <w:bookmarkEnd w:id="1763"/>
      <w:bookmarkEnd w:id="1764"/>
      <w:bookmarkEnd w:id="1765"/>
      <w:bookmarkEnd w:id="1766"/>
    </w:p>
    <w:p>
      <w:pPr>
        <w:pStyle w:val="Heading5"/>
      </w:pPr>
      <w:bookmarkStart w:id="1767" w:name="_Toc176259804"/>
      <w:r>
        <w:rPr>
          <w:rStyle w:val="CharSectno"/>
        </w:rPr>
        <w:t>2</w:t>
      </w:r>
      <w:r>
        <w:t>.</w:t>
      </w:r>
      <w:r>
        <w:tab/>
        <w:t>Law to be construed not to exceed legislative power of Legislature</w:t>
      </w:r>
      <w:bookmarkEnd w:id="17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1768" w:name="_Toc176259805"/>
      <w:r>
        <w:rPr>
          <w:rStyle w:val="CharSectno"/>
        </w:rPr>
        <w:t>3</w:t>
      </w:r>
      <w:r>
        <w:t>.</w:t>
      </w:r>
      <w:r>
        <w:tab/>
        <w:t>Vacant provision</w:t>
      </w:r>
      <w:bookmarkEnd w:id="1768"/>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1769" w:name="_Toc176259806"/>
      <w:r>
        <w:rPr>
          <w:rStyle w:val="CharSectno"/>
        </w:rPr>
        <w:lastRenderedPageBreak/>
        <w:t>4</w:t>
      </w:r>
      <w:r>
        <w:t>.</w:t>
      </w:r>
      <w:r>
        <w:tab/>
        <w:t>Material that is, and is not, part of Law</w:t>
      </w:r>
      <w:bookmarkEnd w:id="17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1770" w:name="_Toc176259807"/>
      <w:r>
        <w:rPr>
          <w:rStyle w:val="CharSectno"/>
        </w:rPr>
        <w:t>5</w:t>
      </w:r>
      <w:r>
        <w:t>.</w:t>
      </w:r>
      <w:r>
        <w:tab/>
        <w:t>References to particular Acts and to enactments</w:t>
      </w:r>
      <w:bookmarkEnd w:id="177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1771" w:name="_Toc176259808"/>
      <w:r>
        <w:rPr>
          <w:rStyle w:val="CharSectno"/>
        </w:rPr>
        <w:lastRenderedPageBreak/>
        <w:t>6</w:t>
      </w:r>
      <w:r>
        <w:t>.</w:t>
      </w:r>
      <w:r>
        <w:tab/>
        <w:t>References taken to be included in Act or Law citation etc</w:t>
      </w:r>
      <w:bookmarkEnd w:id="17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1772" w:name="_Toc176259809"/>
      <w:r>
        <w:rPr>
          <w:rStyle w:val="CharSectno"/>
        </w:rPr>
        <w:t>7</w:t>
      </w:r>
      <w:r>
        <w:t>.</w:t>
      </w:r>
      <w:r>
        <w:tab/>
        <w:t>Interpretation best achieving Law’s purpose</w:t>
      </w:r>
      <w:bookmarkEnd w:id="17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1773" w:name="_Toc176259810"/>
      <w:r>
        <w:rPr>
          <w:rStyle w:val="CharSectno"/>
        </w:rPr>
        <w:lastRenderedPageBreak/>
        <w:t>8</w:t>
      </w:r>
      <w:r>
        <w:t>.</w:t>
      </w:r>
      <w:r>
        <w:tab/>
        <w:t>Use of extrinsic material in interpretation</w:t>
      </w:r>
      <w:bookmarkEnd w:id="17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lastRenderedPageBreak/>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1774" w:name="_Toc176259811"/>
      <w:r>
        <w:rPr>
          <w:rStyle w:val="CharSectno"/>
        </w:rPr>
        <w:t>9</w:t>
      </w:r>
      <w:r>
        <w:t>.</w:t>
      </w:r>
      <w:r>
        <w:tab/>
        <w:t>Compliance with forms</w:t>
      </w:r>
      <w:bookmarkEnd w:id="17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1775" w:name="_Toc175836850"/>
      <w:bookmarkStart w:id="1776" w:name="_Toc175837962"/>
      <w:bookmarkStart w:id="1777" w:name="_Toc175842670"/>
      <w:bookmarkStart w:id="1778" w:name="_Toc175914275"/>
      <w:bookmarkStart w:id="1779" w:name="_Toc175915079"/>
      <w:bookmarkStart w:id="1780" w:name="_Toc175922970"/>
      <w:bookmarkStart w:id="1781" w:name="_Toc176257274"/>
      <w:bookmarkStart w:id="1782" w:name="_Toc176259812"/>
      <w:r>
        <w:rPr>
          <w:rStyle w:val="CharDivNo"/>
        </w:rPr>
        <w:t>Part 3</w:t>
      </w:r>
      <w:r>
        <w:t xml:space="preserve"> — </w:t>
      </w:r>
      <w:r>
        <w:rPr>
          <w:rStyle w:val="CharDivText"/>
        </w:rPr>
        <w:t>Terms and references</w:t>
      </w:r>
      <w:bookmarkEnd w:id="1775"/>
      <w:bookmarkEnd w:id="1776"/>
      <w:bookmarkEnd w:id="1777"/>
      <w:bookmarkEnd w:id="1778"/>
      <w:bookmarkEnd w:id="1779"/>
      <w:bookmarkEnd w:id="1780"/>
      <w:bookmarkEnd w:id="1781"/>
      <w:bookmarkEnd w:id="1782"/>
    </w:p>
    <w:p>
      <w:pPr>
        <w:pStyle w:val="Heading5"/>
      </w:pPr>
      <w:bookmarkStart w:id="1783" w:name="_Toc176259813"/>
      <w:r>
        <w:rPr>
          <w:rStyle w:val="CharSectno"/>
        </w:rPr>
        <w:t>10</w:t>
      </w:r>
      <w:r>
        <w:t>.</w:t>
      </w:r>
      <w:r>
        <w:tab/>
        <w:t>Definitions</w:t>
      </w:r>
      <w:bookmarkEnd w:id="178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lastRenderedPageBreak/>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lastRenderedPageBreak/>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lastRenderedPageBreak/>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lastRenderedPageBreak/>
        <w:t>writing</w:t>
      </w:r>
      <w:r>
        <w:rPr>
          <w:color w:val="000000"/>
          <w:sz w:val="23"/>
          <w:szCs w:val="23"/>
        </w:rPr>
        <w:t xml:space="preserve"> includes any mode of representing or reproducing words in a visible form.</w:t>
      </w:r>
    </w:p>
    <w:p>
      <w:pPr>
        <w:pStyle w:val="Heading5"/>
      </w:pPr>
      <w:bookmarkStart w:id="1784" w:name="_Toc176259814"/>
      <w:r>
        <w:rPr>
          <w:rStyle w:val="CharSectno"/>
        </w:rPr>
        <w:t>11</w:t>
      </w:r>
      <w:r>
        <w:t>.</w:t>
      </w:r>
      <w:r>
        <w:tab/>
        <w:t>Provisions relating to defined terms and gender and number</w:t>
      </w:r>
      <w:bookmarkEnd w:id="17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1785" w:name="_Toc176259815"/>
      <w:r>
        <w:rPr>
          <w:rStyle w:val="CharSectno"/>
        </w:rPr>
        <w:t>12</w:t>
      </w:r>
      <w:r>
        <w:t>.</w:t>
      </w:r>
      <w:r>
        <w:tab/>
        <w:t>Meaning of may and must etc</w:t>
      </w:r>
      <w:bookmarkEnd w:id="17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1786" w:name="_Toc176259816"/>
      <w:r>
        <w:rPr>
          <w:rStyle w:val="CharSectno"/>
        </w:rPr>
        <w:t>13</w:t>
      </w:r>
      <w:r>
        <w:t>.</w:t>
      </w:r>
      <w:r>
        <w:tab/>
        <w:t>Words and expressions used in statutory instruments</w:t>
      </w:r>
      <w:bookmarkEnd w:id="17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1787" w:name="_Toc176259817"/>
      <w:r>
        <w:rPr>
          <w:rStyle w:val="CharSectno"/>
        </w:rPr>
        <w:lastRenderedPageBreak/>
        <w:t>14</w:t>
      </w:r>
      <w:r>
        <w:t>.</w:t>
      </w:r>
      <w:r>
        <w:tab/>
        <w:t>References to Minister</w:t>
      </w:r>
      <w:bookmarkEnd w:id="17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1788" w:name="_Toc176259818"/>
      <w:r>
        <w:rPr>
          <w:rStyle w:val="CharSectno"/>
        </w:rPr>
        <w:t>15</w:t>
      </w:r>
      <w:r>
        <w:t>.</w:t>
      </w:r>
      <w:r>
        <w:tab/>
        <w:t>Production of records kept in computers etc</w:t>
      </w:r>
      <w:bookmarkEnd w:id="1788"/>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1789" w:name="_Toc176259819"/>
      <w:r>
        <w:rPr>
          <w:rStyle w:val="CharSectno"/>
        </w:rPr>
        <w:t>16</w:t>
      </w:r>
      <w:r>
        <w:t>.</w:t>
      </w:r>
      <w:r>
        <w:tab/>
        <w:t>References to this jurisdiction to be implied</w:t>
      </w:r>
      <w:bookmarkEnd w:id="1789"/>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reference to a locality or other matter or thing is a reference to such a locality or other matter or thing in and of this jurisdiction.</w:t>
      </w:r>
    </w:p>
    <w:p>
      <w:pPr>
        <w:pStyle w:val="Heading5"/>
      </w:pPr>
      <w:bookmarkStart w:id="1790" w:name="_Toc176259820"/>
      <w:r>
        <w:rPr>
          <w:rStyle w:val="CharSectno"/>
        </w:rPr>
        <w:t>17</w:t>
      </w:r>
      <w:r>
        <w:t>.</w:t>
      </w:r>
      <w:r>
        <w:tab/>
        <w:t>References to officers and holders of offices</w:t>
      </w:r>
      <w:bookmarkEnd w:id="1790"/>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1791" w:name="_Toc176259821"/>
      <w:r>
        <w:rPr>
          <w:rStyle w:val="CharSectno"/>
        </w:rPr>
        <w:t>18</w:t>
      </w:r>
      <w:r>
        <w:t>.</w:t>
      </w:r>
      <w:r>
        <w:tab/>
        <w:t>Reference to certain provisions of Law</w:t>
      </w:r>
      <w:bookmarkEnd w:id="1791"/>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1792" w:name="_Toc175836860"/>
      <w:bookmarkStart w:id="1793" w:name="_Toc175837972"/>
      <w:bookmarkStart w:id="1794" w:name="_Toc175842680"/>
      <w:bookmarkStart w:id="1795" w:name="_Toc175914285"/>
      <w:bookmarkStart w:id="1796" w:name="_Toc175915089"/>
      <w:bookmarkStart w:id="1797" w:name="_Toc175922980"/>
      <w:bookmarkStart w:id="1798" w:name="_Toc176257284"/>
      <w:bookmarkStart w:id="1799" w:name="_Toc176259822"/>
      <w:r>
        <w:rPr>
          <w:rStyle w:val="CharDivNo"/>
        </w:rPr>
        <w:t>Part 4</w:t>
      </w:r>
      <w:r>
        <w:t xml:space="preserve"> — </w:t>
      </w:r>
      <w:r>
        <w:rPr>
          <w:rStyle w:val="CharDivText"/>
        </w:rPr>
        <w:t>Functions and powers</w:t>
      </w:r>
      <w:bookmarkEnd w:id="1792"/>
      <w:bookmarkEnd w:id="1793"/>
      <w:bookmarkEnd w:id="1794"/>
      <w:bookmarkEnd w:id="1795"/>
      <w:bookmarkEnd w:id="1796"/>
      <w:bookmarkEnd w:id="1797"/>
      <w:bookmarkEnd w:id="1798"/>
      <w:bookmarkEnd w:id="1799"/>
    </w:p>
    <w:p>
      <w:pPr>
        <w:pStyle w:val="Heading5"/>
      </w:pPr>
      <w:bookmarkStart w:id="1800" w:name="_Toc176259823"/>
      <w:r>
        <w:rPr>
          <w:rStyle w:val="CharSectno"/>
        </w:rPr>
        <w:t>19</w:t>
      </w:r>
      <w:r>
        <w:t>.</w:t>
      </w:r>
      <w:r>
        <w:tab/>
        <w:t>Performance of statutory functions</w:t>
      </w:r>
      <w:bookmarkEnd w:id="18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1801" w:name="_Toc176259824"/>
      <w:r>
        <w:rPr>
          <w:rStyle w:val="CharSectno"/>
        </w:rPr>
        <w:lastRenderedPageBreak/>
        <w:t>20</w:t>
      </w:r>
      <w:r>
        <w:t>.</w:t>
      </w:r>
      <w:r>
        <w:tab/>
        <w:t>Power to make instrument or decision includes power to amend or repeal</w:t>
      </w:r>
      <w:bookmarkEnd w:id="1801"/>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1802" w:name="_Toc176259825"/>
      <w:r>
        <w:rPr>
          <w:rStyle w:val="CharSectno"/>
        </w:rPr>
        <w:t>21</w:t>
      </w:r>
      <w:r>
        <w:t>.</w:t>
      </w:r>
      <w:r>
        <w:tab/>
        <w:t>Matters for which statutory instruments may make provision</w:t>
      </w:r>
      <w:bookmarkEnd w:id="18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1803" w:name="_Toc176259826"/>
      <w:r>
        <w:rPr>
          <w:rStyle w:val="CharSectno"/>
        </w:rPr>
        <w:t>22</w:t>
      </w:r>
      <w:r>
        <w:t>.</w:t>
      </w:r>
      <w:r>
        <w:tab/>
        <w:t>Presumption of validity and power to make</w:t>
      </w:r>
      <w:bookmarkEnd w:id="18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1804" w:name="_Toc176259827"/>
      <w:r>
        <w:rPr>
          <w:rStyle w:val="CharSectno"/>
        </w:rPr>
        <w:lastRenderedPageBreak/>
        <w:t>23</w:t>
      </w:r>
      <w:r>
        <w:t>.</w:t>
      </w:r>
      <w:r>
        <w:tab/>
        <w:t>Appointments may be made by name or office</w:t>
      </w:r>
      <w:bookmarkEnd w:id="18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1805" w:name="_Toc176259828"/>
      <w:r>
        <w:rPr>
          <w:rStyle w:val="CharSectno"/>
        </w:rPr>
        <w:t>24</w:t>
      </w:r>
      <w:r>
        <w:t>.</w:t>
      </w:r>
      <w:r>
        <w:tab/>
        <w:t>Acting appointments</w:t>
      </w:r>
      <w:bookmarkEnd w:id="18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1806" w:name="_Toc176259829"/>
      <w:r>
        <w:rPr>
          <w:rStyle w:val="CharSectno"/>
        </w:rPr>
        <w:lastRenderedPageBreak/>
        <w:t>25</w:t>
      </w:r>
      <w:r>
        <w:t>.</w:t>
      </w:r>
      <w:r>
        <w:tab/>
        <w:t>Powers of appointment imply certain incidental powers</w:t>
      </w:r>
      <w:bookmarkEnd w:id="18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1807" w:name="_Toc176259830"/>
      <w:r>
        <w:rPr>
          <w:rStyle w:val="CharSectno"/>
        </w:rPr>
        <w:lastRenderedPageBreak/>
        <w:t>26</w:t>
      </w:r>
      <w:r>
        <w:t>.</w:t>
      </w:r>
      <w:r>
        <w:tab/>
        <w:t>Delegation</w:t>
      </w:r>
      <w:bookmarkEnd w:id="18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 xml:space="preserve">If, when exercised by the delegator, a function or power is, under this Law, dependent on the delegator’s opinion, belief or state of mind in relation to a matter, the function or power, when exercised by the delegate, is dependent on </w:t>
      </w:r>
      <w:r>
        <w:rPr>
          <w:color w:val="000000"/>
          <w:sz w:val="23"/>
          <w:szCs w:val="23"/>
        </w:rPr>
        <w:lastRenderedPageBreak/>
        <w:t>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1808" w:name="_Toc176259831"/>
      <w:r>
        <w:rPr>
          <w:rStyle w:val="CharSectno"/>
        </w:rPr>
        <w:t>27</w:t>
      </w:r>
      <w:r>
        <w:t>.</w:t>
      </w:r>
      <w:r>
        <w:tab/>
        <w:t>Exercise of powers between enactment and commencement</w:t>
      </w:r>
      <w:bookmarkEnd w:id="180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After the enactment of a provision mentioned in subclause (2) but before the provision’s commencement, this clause applies as if the references in subclauses (2) and (5) to the commencement of the empowering provision were references to the commencement of the provision </w:t>
      </w:r>
      <w:r>
        <w:rPr>
          <w:color w:val="000000"/>
          <w:sz w:val="23"/>
          <w:szCs w:val="23"/>
        </w:rPr>
        <w:lastRenderedPageBreak/>
        <w:t>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1809" w:name="_Toc176259832"/>
      <w:r>
        <w:rPr>
          <w:rStyle w:val="CharSectno"/>
        </w:rPr>
        <w:t>27A</w:t>
      </w:r>
      <w:r>
        <w:t>.</w:t>
      </w:r>
      <w:r>
        <w:tab/>
        <w:t>WA modifications of clause 27</w:t>
      </w:r>
      <w:bookmarkEnd w:id="18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1810" w:name="_Toc175836871"/>
      <w:bookmarkStart w:id="1811" w:name="_Toc175837983"/>
      <w:bookmarkStart w:id="1812" w:name="_Toc175842691"/>
      <w:bookmarkStart w:id="1813" w:name="_Toc175914296"/>
      <w:bookmarkStart w:id="1814" w:name="_Toc175915100"/>
      <w:bookmarkStart w:id="1815" w:name="_Toc175922991"/>
      <w:bookmarkStart w:id="1816" w:name="_Toc176257295"/>
      <w:bookmarkStart w:id="1817" w:name="_Toc176259833"/>
      <w:r>
        <w:rPr>
          <w:rStyle w:val="CharDivNo"/>
        </w:rPr>
        <w:t>Part 5</w:t>
      </w:r>
      <w:r>
        <w:t xml:space="preserve"> — </w:t>
      </w:r>
      <w:r>
        <w:rPr>
          <w:rStyle w:val="CharDivText"/>
        </w:rPr>
        <w:t>Distance and time</w:t>
      </w:r>
      <w:bookmarkEnd w:id="1810"/>
      <w:bookmarkEnd w:id="1811"/>
      <w:bookmarkEnd w:id="1812"/>
      <w:bookmarkEnd w:id="1813"/>
      <w:bookmarkEnd w:id="1814"/>
      <w:bookmarkEnd w:id="1815"/>
      <w:bookmarkEnd w:id="1816"/>
      <w:bookmarkEnd w:id="1817"/>
    </w:p>
    <w:p>
      <w:pPr>
        <w:pStyle w:val="Heading5"/>
      </w:pPr>
      <w:bookmarkStart w:id="1818" w:name="_Toc176259834"/>
      <w:r>
        <w:rPr>
          <w:rStyle w:val="CharSectno"/>
        </w:rPr>
        <w:t>28</w:t>
      </w:r>
      <w:r>
        <w:t>.</w:t>
      </w:r>
      <w:r>
        <w:tab/>
        <w:t>Matters relating to distance and time</w:t>
      </w:r>
      <w:bookmarkEnd w:id="18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1819" w:name="_Toc175836873"/>
      <w:bookmarkStart w:id="1820" w:name="_Toc175837985"/>
      <w:bookmarkStart w:id="1821" w:name="_Toc175842693"/>
      <w:bookmarkStart w:id="1822" w:name="_Toc175914298"/>
      <w:bookmarkStart w:id="1823" w:name="_Toc175915102"/>
      <w:bookmarkStart w:id="1824" w:name="_Toc175922993"/>
      <w:bookmarkStart w:id="1825" w:name="_Toc176257297"/>
      <w:bookmarkStart w:id="1826" w:name="_Toc176259835"/>
      <w:r>
        <w:rPr>
          <w:rStyle w:val="CharDivNo"/>
        </w:rPr>
        <w:t>Part 6</w:t>
      </w:r>
      <w:r>
        <w:t xml:space="preserve"> — </w:t>
      </w:r>
      <w:r>
        <w:rPr>
          <w:rStyle w:val="CharDivText"/>
        </w:rPr>
        <w:t>Service of documents</w:t>
      </w:r>
      <w:bookmarkEnd w:id="1819"/>
      <w:bookmarkEnd w:id="1820"/>
      <w:bookmarkEnd w:id="1821"/>
      <w:bookmarkEnd w:id="1822"/>
      <w:bookmarkEnd w:id="1823"/>
      <w:bookmarkEnd w:id="1824"/>
      <w:bookmarkEnd w:id="1825"/>
      <w:bookmarkEnd w:id="1826"/>
    </w:p>
    <w:p>
      <w:pPr>
        <w:pStyle w:val="Heading5"/>
      </w:pPr>
      <w:bookmarkStart w:id="1827" w:name="_Toc176259836"/>
      <w:r>
        <w:rPr>
          <w:rStyle w:val="CharSectno"/>
        </w:rPr>
        <w:t>29</w:t>
      </w:r>
      <w:r>
        <w:t>.</w:t>
      </w:r>
      <w:r>
        <w:tab/>
        <w:t>Service of documents and meaning of service by post etc</w:t>
      </w:r>
      <w:bookmarkEnd w:id="18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1828" w:name="_Toc176259837"/>
      <w:r>
        <w:rPr>
          <w:rStyle w:val="CharSectno"/>
        </w:rPr>
        <w:lastRenderedPageBreak/>
        <w:t>30</w:t>
      </w:r>
      <w:r>
        <w:t>.</w:t>
      </w:r>
      <w:r>
        <w:tab/>
        <w:t>Meaning of service by post etc</w:t>
      </w:r>
      <w:bookmarkEnd w:id="18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1829" w:name="_Toc175836876"/>
      <w:bookmarkStart w:id="1830" w:name="_Toc175837988"/>
      <w:bookmarkStart w:id="1831" w:name="_Toc175842696"/>
      <w:bookmarkStart w:id="1832" w:name="_Toc175914301"/>
      <w:bookmarkStart w:id="1833" w:name="_Toc175915105"/>
      <w:bookmarkStart w:id="1834" w:name="_Toc175922996"/>
      <w:bookmarkStart w:id="1835" w:name="_Toc176257300"/>
      <w:bookmarkStart w:id="1836" w:name="_Toc176259838"/>
      <w:r>
        <w:rPr>
          <w:rStyle w:val="CharDivNo"/>
        </w:rPr>
        <w:t>Part 7</w:t>
      </w:r>
      <w:r>
        <w:t xml:space="preserve"> — </w:t>
      </w:r>
      <w:r>
        <w:rPr>
          <w:rStyle w:val="CharDivText"/>
        </w:rPr>
        <w:t>Evidentiary matters</w:t>
      </w:r>
      <w:bookmarkEnd w:id="1829"/>
      <w:bookmarkEnd w:id="1830"/>
      <w:bookmarkEnd w:id="1831"/>
      <w:bookmarkEnd w:id="1832"/>
      <w:bookmarkEnd w:id="1833"/>
      <w:bookmarkEnd w:id="1834"/>
      <w:bookmarkEnd w:id="1835"/>
      <w:bookmarkEnd w:id="1836"/>
    </w:p>
    <w:p>
      <w:pPr>
        <w:pStyle w:val="Heading4"/>
      </w:pPr>
      <w:bookmarkStart w:id="1837" w:name="_Toc175836877"/>
      <w:bookmarkStart w:id="1838" w:name="_Toc175837989"/>
      <w:bookmarkStart w:id="1839" w:name="_Toc175842697"/>
      <w:bookmarkStart w:id="1840" w:name="_Toc175914302"/>
      <w:bookmarkStart w:id="1841" w:name="_Toc175915106"/>
      <w:bookmarkStart w:id="1842" w:name="_Toc175922997"/>
      <w:bookmarkStart w:id="1843" w:name="_Toc176257301"/>
      <w:bookmarkStart w:id="1844" w:name="_Toc176259839"/>
      <w:r>
        <w:t>Division 1 — Publication on websites</w:t>
      </w:r>
      <w:bookmarkEnd w:id="1837"/>
      <w:bookmarkEnd w:id="1838"/>
      <w:bookmarkEnd w:id="1839"/>
      <w:bookmarkEnd w:id="1840"/>
      <w:bookmarkEnd w:id="1841"/>
      <w:bookmarkEnd w:id="1842"/>
      <w:bookmarkEnd w:id="1843"/>
      <w:bookmarkEnd w:id="1844"/>
    </w:p>
    <w:p>
      <w:pPr>
        <w:pStyle w:val="Heading5"/>
      </w:pPr>
      <w:bookmarkStart w:id="1845" w:name="_Toc176259840"/>
      <w:r>
        <w:rPr>
          <w:rStyle w:val="CharSectno"/>
        </w:rPr>
        <w:t>31</w:t>
      </w:r>
      <w:r>
        <w:t>.</w:t>
      </w:r>
      <w:r>
        <w:tab/>
        <w:t>Definitions</w:t>
      </w:r>
      <w:bookmarkEnd w:id="184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lastRenderedPageBreak/>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1846" w:name="_Toc176259841"/>
      <w:r>
        <w:rPr>
          <w:rStyle w:val="CharSectno"/>
        </w:rPr>
        <w:t>32</w:t>
      </w:r>
      <w:r>
        <w:t>.</w:t>
      </w:r>
      <w:r>
        <w:tab/>
        <w:t>Publication of decisions on websites</w:t>
      </w:r>
      <w:bookmarkEnd w:id="18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1847" w:name="_Toc175836880"/>
      <w:bookmarkStart w:id="1848" w:name="_Toc175837992"/>
      <w:bookmarkStart w:id="1849" w:name="_Toc175842700"/>
      <w:bookmarkStart w:id="1850" w:name="_Toc175914305"/>
      <w:bookmarkStart w:id="1851" w:name="_Toc175915109"/>
      <w:bookmarkStart w:id="1852" w:name="_Toc175923000"/>
      <w:bookmarkStart w:id="1853" w:name="_Toc176257304"/>
      <w:bookmarkStart w:id="1854" w:name="_Toc176259842"/>
      <w:r>
        <w:t>Division 2 — Evidentiary certificates</w:t>
      </w:r>
      <w:bookmarkEnd w:id="1847"/>
      <w:bookmarkEnd w:id="1848"/>
      <w:bookmarkEnd w:id="1849"/>
      <w:bookmarkEnd w:id="1850"/>
      <w:bookmarkEnd w:id="1851"/>
      <w:bookmarkEnd w:id="1852"/>
      <w:bookmarkEnd w:id="1853"/>
      <w:bookmarkEnd w:id="1854"/>
    </w:p>
    <w:p>
      <w:pPr>
        <w:pStyle w:val="Heading5"/>
      </w:pPr>
      <w:bookmarkStart w:id="1855" w:name="_Toc176259843"/>
      <w:r>
        <w:rPr>
          <w:rStyle w:val="CharSectno"/>
        </w:rPr>
        <w:t>33</w:t>
      </w:r>
      <w:r>
        <w:t>.</w:t>
      </w:r>
      <w:r>
        <w:tab/>
        <w:t>Definitions</w:t>
      </w:r>
      <w:bookmarkEnd w:id="185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lastRenderedPageBreak/>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1856" w:name="_Toc176259844"/>
      <w:r>
        <w:rPr>
          <w:rStyle w:val="CharSectno"/>
        </w:rPr>
        <w:t>34</w:t>
      </w:r>
      <w:r>
        <w:t>.</w:t>
      </w:r>
      <w:r>
        <w:tab/>
        <w:t>Evidentiary certificates—AER</w:t>
      </w:r>
      <w:bookmarkEnd w:id="18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lastRenderedPageBreak/>
        <w:tab/>
        <w:t>[Clause 34 modified: WA Act Sch. 1 cl. 16; amended: see SA Act No. 33 of 2018 s. 20(1) and WA Gazette 5 Apr 2019 p. 1007</w:t>
      </w:r>
      <w:r>
        <w:noBreakHyphen/>
        <w:t>8.]</w:t>
      </w:r>
    </w:p>
    <w:p>
      <w:pPr>
        <w:pStyle w:val="Heading5"/>
        <w:keepLines w:val="0"/>
      </w:pPr>
      <w:bookmarkStart w:id="1857" w:name="_Toc176259845"/>
      <w:r>
        <w:rPr>
          <w:rStyle w:val="CharSectno"/>
        </w:rPr>
        <w:t>35</w:t>
      </w:r>
      <w:r>
        <w:t>.</w:t>
      </w:r>
      <w:r>
        <w:tab/>
        <w:t>Evidentiary certificates—AEMC</w:t>
      </w:r>
      <w:bookmarkEnd w:id="1857"/>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1858" w:name="_Toc176259846"/>
      <w:r>
        <w:rPr>
          <w:rStyle w:val="CharSectno"/>
        </w:rPr>
        <w:t>36</w:t>
      </w:r>
      <w:r>
        <w:t>.</w:t>
      </w:r>
      <w:r>
        <w:tab/>
        <w:t>Evidentiary certificates—NCC</w:t>
      </w:r>
      <w:bookmarkEnd w:id="1858"/>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1859" w:name="_Toc176259847"/>
      <w:r>
        <w:rPr>
          <w:rStyle w:val="CharSectno"/>
        </w:rPr>
        <w:t>37</w:t>
      </w:r>
      <w:r>
        <w:t>.</w:t>
      </w:r>
      <w:r>
        <w:tab/>
        <w:t>Evidentiary certificates—relevant Minister and Commonwealth Minister</w:t>
      </w:r>
      <w:bookmarkEnd w:id="1859"/>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1860" w:name="_Toc176259848"/>
      <w:r>
        <w:rPr>
          <w:rStyle w:val="CharSectno"/>
        </w:rPr>
        <w:t>38</w:t>
      </w:r>
      <w:r>
        <w:t>.</w:t>
      </w:r>
      <w:r>
        <w:tab/>
        <w:t>Evidentiary certificates—Bulletin Board operator</w:t>
      </w:r>
      <w:bookmarkEnd w:id="186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1861" w:name="_Toc175836887"/>
      <w:bookmarkStart w:id="1862" w:name="_Toc175837999"/>
      <w:bookmarkStart w:id="1863" w:name="_Toc175842707"/>
      <w:bookmarkStart w:id="1864" w:name="_Toc175914312"/>
      <w:bookmarkStart w:id="1865" w:name="_Toc175915116"/>
      <w:bookmarkStart w:id="1866" w:name="_Toc175923007"/>
      <w:bookmarkStart w:id="1867" w:name="_Toc176257311"/>
      <w:bookmarkStart w:id="1868" w:name="_Toc176259849"/>
      <w:r>
        <w:rPr>
          <w:rStyle w:val="CharDivNo"/>
        </w:rPr>
        <w:t>Part 8</w:t>
      </w:r>
      <w:r>
        <w:t xml:space="preserve"> — </w:t>
      </w:r>
      <w:r>
        <w:rPr>
          <w:rStyle w:val="CharDivText"/>
        </w:rPr>
        <w:t>Commencement of this Law and statutory instruments</w:t>
      </w:r>
      <w:bookmarkEnd w:id="1861"/>
      <w:bookmarkEnd w:id="1862"/>
      <w:bookmarkEnd w:id="1863"/>
      <w:bookmarkEnd w:id="1864"/>
      <w:bookmarkEnd w:id="1865"/>
      <w:bookmarkEnd w:id="1866"/>
      <w:bookmarkEnd w:id="1867"/>
      <w:bookmarkEnd w:id="1868"/>
    </w:p>
    <w:p>
      <w:pPr>
        <w:pStyle w:val="Heading5"/>
      </w:pPr>
      <w:bookmarkStart w:id="1869" w:name="_Toc176259850"/>
      <w:r>
        <w:rPr>
          <w:rStyle w:val="CharSectno"/>
        </w:rPr>
        <w:t>39</w:t>
      </w:r>
      <w:r>
        <w:t>.</w:t>
      </w:r>
      <w:r>
        <w:tab/>
        <w:t>Time of commencement of this Law or a provision of this Law</w:t>
      </w:r>
      <w:bookmarkEnd w:id="1869"/>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1870" w:name="_Toc176259851"/>
      <w:r>
        <w:rPr>
          <w:rStyle w:val="CharSectno"/>
        </w:rPr>
        <w:t>40</w:t>
      </w:r>
      <w:r>
        <w:t>.</w:t>
      </w:r>
      <w:r>
        <w:tab/>
        <w:t>Time of commencement of a Rule</w:t>
      </w:r>
      <w:bookmarkEnd w:id="18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1871" w:name="_Toc175836890"/>
      <w:bookmarkStart w:id="1872" w:name="_Toc175838002"/>
      <w:bookmarkStart w:id="1873" w:name="_Toc175842710"/>
      <w:bookmarkStart w:id="1874" w:name="_Toc175914315"/>
      <w:bookmarkStart w:id="1875" w:name="_Toc175915119"/>
      <w:bookmarkStart w:id="1876" w:name="_Toc175923010"/>
      <w:bookmarkStart w:id="1877" w:name="_Toc176257314"/>
      <w:bookmarkStart w:id="1878" w:name="_Toc176259852"/>
      <w:r>
        <w:rPr>
          <w:rStyle w:val="CharDivNo"/>
        </w:rPr>
        <w:t>Part 9</w:t>
      </w:r>
      <w:r>
        <w:t xml:space="preserve"> — </w:t>
      </w:r>
      <w:r>
        <w:rPr>
          <w:rStyle w:val="CharDivText"/>
        </w:rPr>
        <w:t>Effect of repeal, amendment or expiration</w:t>
      </w:r>
      <w:bookmarkEnd w:id="1871"/>
      <w:bookmarkEnd w:id="1872"/>
      <w:bookmarkEnd w:id="1873"/>
      <w:bookmarkEnd w:id="1874"/>
      <w:bookmarkEnd w:id="1875"/>
      <w:bookmarkEnd w:id="1876"/>
      <w:bookmarkEnd w:id="1877"/>
      <w:bookmarkEnd w:id="1878"/>
    </w:p>
    <w:p>
      <w:pPr>
        <w:pStyle w:val="Heading5"/>
      </w:pPr>
      <w:bookmarkStart w:id="1879" w:name="_Toc176259853"/>
      <w:r>
        <w:rPr>
          <w:rStyle w:val="CharSectno"/>
        </w:rPr>
        <w:t>41</w:t>
      </w:r>
      <w:r>
        <w:t>.</w:t>
      </w:r>
      <w:r>
        <w:tab/>
        <w:t>Time of Law, the Regulations or Rules ceasing to have effect</w:t>
      </w:r>
      <w:bookmarkEnd w:id="1879"/>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1880" w:name="_Toc176259854"/>
      <w:r>
        <w:rPr>
          <w:rStyle w:val="CharSectno"/>
        </w:rPr>
        <w:t>42</w:t>
      </w:r>
      <w:r>
        <w:t>.</w:t>
      </w:r>
      <w:r>
        <w:tab/>
        <w:t>Repealed Law, Regulation or Rule provisions not revived</w:t>
      </w:r>
      <w:bookmarkEnd w:id="18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1881" w:name="_Toc176259855"/>
      <w:r>
        <w:rPr>
          <w:rStyle w:val="CharSectno"/>
        </w:rPr>
        <w:t>43</w:t>
      </w:r>
      <w:r>
        <w:t>.</w:t>
      </w:r>
      <w:r>
        <w:tab/>
        <w:t>Saving of operation of repealed Law, Regulation or Rule provisions</w:t>
      </w:r>
      <w:bookmarkEnd w:id="18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1882" w:name="_Toc176259856"/>
      <w:r>
        <w:rPr>
          <w:rStyle w:val="CharSectno"/>
        </w:rPr>
        <w:t>44</w:t>
      </w:r>
      <w:r>
        <w:t>.</w:t>
      </w:r>
      <w:r>
        <w:tab/>
        <w:t>Continuance of repealed provisions</w:t>
      </w:r>
      <w:bookmarkEnd w:id="18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1883" w:name="_Toc176259857"/>
      <w:r>
        <w:rPr>
          <w:rStyle w:val="CharSectno"/>
        </w:rPr>
        <w:t>45</w:t>
      </w:r>
      <w:r>
        <w:t>.</w:t>
      </w:r>
      <w:r>
        <w:tab/>
        <w:t>Law and amending Acts to be read as one</w:t>
      </w:r>
      <w:bookmarkEnd w:id="1883"/>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1884" w:name="_Toc175836896"/>
      <w:bookmarkStart w:id="1885" w:name="_Toc175838008"/>
      <w:bookmarkStart w:id="1886" w:name="_Toc175842716"/>
      <w:bookmarkStart w:id="1887" w:name="_Toc175914321"/>
      <w:bookmarkStart w:id="1888" w:name="_Toc175915125"/>
      <w:bookmarkStart w:id="1889" w:name="_Toc175923016"/>
      <w:bookmarkStart w:id="1890" w:name="_Toc176257320"/>
      <w:bookmarkStart w:id="1891" w:name="_Toc176259858"/>
      <w:r>
        <w:rPr>
          <w:rStyle w:val="CharDivNo"/>
        </w:rPr>
        <w:t>Part 10</w:t>
      </w:r>
      <w:r>
        <w:t xml:space="preserve"> — </w:t>
      </w:r>
      <w:r>
        <w:rPr>
          <w:rStyle w:val="CharDivText"/>
        </w:rPr>
        <w:t>Offences under this Law</w:t>
      </w:r>
      <w:bookmarkEnd w:id="1884"/>
      <w:bookmarkEnd w:id="1885"/>
      <w:bookmarkEnd w:id="1886"/>
      <w:bookmarkEnd w:id="1887"/>
      <w:bookmarkEnd w:id="1888"/>
      <w:bookmarkEnd w:id="1889"/>
      <w:bookmarkEnd w:id="1890"/>
      <w:bookmarkEnd w:id="1891"/>
    </w:p>
    <w:p>
      <w:pPr>
        <w:pStyle w:val="Heading5"/>
      </w:pPr>
      <w:bookmarkStart w:id="1892" w:name="_Toc176259859"/>
      <w:r>
        <w:rPr>
          <w:rStyle w:val="CharSectno"/>
        </w:rPr>
        <w:t>46</w:t>
      </w:r>
      <w:r>
        <w:t>.</w:t>
      </w:r>
      <w:r>
        <w:tab/>
        <w:t>Penalty at foot of provision</w:t>
      </w:r>
      <w:bookmarkEnd w:id="1892"/>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lastRenderedPageBreak/>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1893" w:name="_Toc176259860"/>
      <w:r>
        <w:rPr>
          <w:rStyle w:val="CharSectno"/>
        </w:rPr>
        <w:t>47</w:t>
      </w:r>
      <w:r>
        <w:t>.</w:t>
      </w:r>
      <w:r>
        <w:tab/>
        <w:t>Penalty other than at foot of provision</w:t>
      </w:r>
      <w:bookmarkEnd w:id="18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rPr>
          <w:b w:val="0"/>
        </w:rPr>
      </w:pPr>
      <w:bookmarkStart w:id="1894" w:name="_Toc176259861"/>
      <w:r>
        <w:rPr>
          <w:rStyle w:val="CharSectno"/>
        </w:rPr>
        <w:t>47A</w:t>
      </w:r>
      <w:r>
        <w:t>.</w:t>
      </w:r>
      <w:r>
        <w:tab/>
        <w:t>Indexation of civil penalty amounts</w:t>
      </w:r>
      <w:bookmarkEnd w:id="18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civil penalty amount is to be adjusted in accordance with the method prescribed by the Regulations for the purposes of this clause.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first adjustment is to occur on </w:t>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next adjustment is to occur on 1 July 2026 and an adjustment is to occur on 1 July every 3 years after that.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on or as soon as practicable after the date of the first adjustment and before each subsequent adjustment, publish on its website the civil penalty amounts that apply on and from the date of the adjustment. However, a failure by the AER to do so does not invalidate an adjustment.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civil penalty amount that is adjusted under this clause applies to a breach of a civil penalty provision that occurs or is alleged to occur on or after the date of the adjustment.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rPr>
        <w:t>civil penalty amount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each amount specified in section 3A(1)(a), (b) or (c)(i) or (ii)(A);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each amount specified as an infringement penalty in section 279.</w:t>
      </w:r>
    </w:p>
    <w:p>
      <w:pPr>
        <w:pStyle w:val="yFootnotesection"/>
      </w:pPr>
      <w:r>
        <w:tab/>
        <w:t>[Clause 47A inserted: see SA Act No. 37 of 2020 s. 72(1) and WA Gazette 4 Sep 2024 p. </w:t>
      </w:r>
      <w:r>
        <w:rPr>
          <w:sz w:val="24"/>
        </w:rPr>
        <w:t>2215</w:t>
      </w:r>
      <w:r>
        <w:t>; modified: WA Act Sch. 1 cl. 16A.]</w:t>
      </w:r>
    </w:p>
    <w:p>
      <w:pPr>
        <w:pStyle w:val="Heading5"/>
        <w:rPr>
          <w:b w:val="0"/>
        </w:rPr>
      </w:pPr>
      <w:bookmarkStart w:id="1895" w:name="_Toc176259862"/>
      <w:r>
        <w:rPr>
          <w:rStyle w:val="CharSectno"/>
        </w:rPr>
        <w:t>47B</w:t>
      </w:r>
      <w:r>
        <w:t>.</w:t>
      </w:r>
      <w:r>
        <w:tab/>
        <w:t>Indexation of criminal penalties</w:t>
      </w:r>
      <w:bookmarkEnd w:id="18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criminal penalty amount is to be adjusted in accordance with the method prescribed by the Regulations for the purposes of this clause.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first adjustment is to occur on </w:t>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next adjustment is to occur on 1 July 2026 and an adjustment is to occur on 1 July every 3 years after that.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on or as soon as practicable after the date of the first adjustment and before each subsequent adjustment, publish on its website the criminal penalty amounts that apply on and from the date of the adjustment. However, a failure by the AER to do so does not invalidate an adjustment.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criminal penalty amount that is adjusted under this clause applies to a breach of a provision that occurs or is alleged to occur on or after the date of the adjustment.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rPr>
        <w:t>criminal penalty amount</w:t>
      </w:r>
      <w:r>
        <w:rPr>
          <w:color w:val="000000"/>
          <w:sz w:val="23"/>
          <w:szCs w:val="23"/>
        </w:rPr>
        <w:t xml:space="preserve"> means any amount, specified in this Law, which is the maximum monetary penalty that may be imposed on conviction for the commission of an offence against this Law.</w:t>
      </w:r>
    </w:p>
    <w:p>
      <w:pPr>
        <w:pStyle w:val="yFootnotesection"/>
      </w:pPr>
      <w:r>
        <w:lastRenderedPageBreak/>
        <w:tab/>
        <w:t>[Clause 47B inserted: see SA Act No. 37 of 2020 s. 72(1) and WA Gazette 4 Sep 2024 p. </w:t>
      </w:r>
      <w:r>
        <w:rPr>
          <w:sz w:val="24"/>
        </w:rPr>
        <w:t>2215</w:t>
      </w:r>
      <w:r>
        <w:t>; modified: WA Act Sch. 1 cl. 16B.]</w:t>
      </w:r>
    </w:p>
    <w:p>
      <w:pPr>
        <w:pStyle w:val="Heading5"/>
      </w:pPr>
      <w:bookmarkStart w:id="1896" w:name="_Toc176259863"/>
      <w:r>
        <w:rPr>
          <w:rStyle w:val="CharSectno"/>
        </w:rPr>
        <w:t>48</w:t>
      </w:r>
      <w:r>
        <w:t>.</w:t>
      </w:r>
      <w:r>
        <w:tab/>
        <w:t>Indictable offences and summary offences</w:t>
      </w:r>
      <w:bookmarkEnd w:id="18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1897" w:name="_Toc176259864"/>
      <w:r>
        <w:rPr>
          <w:rStyle w:val="CharSectno"/>
        </w:rPr>
        <w:t>49</w:t>
      </w:r>
      <w:r>
        <w:t>.</w:t>
      </w:r>
      <w:r>
        <w:tab/>
        <w:t>Double jeopardy</w:t>
      </w:r>
      <w:bookmarkEnd w:id="18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lastRenderedPageBreak/>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has breached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yFootnotesection"/>
      </w:pPr>
      <w:r>
        <w:tab/>
        <w:t>[Clause 49 amended: see SA Act No. 37 of 2020 s. 72(2) and WA Gazette 4 Sep 2024 p. </w:t>
      </w:r>
      <w:r>
        <w:rPr>
          <w:sz w:val="24"/>
        </w:rPr>
        <w:t>2215</w:t>
      </w:r>
      <w:r>
        <w:t>.]</w:t>
      </w:r>
    </w:p>
    <w:p>
      <w:pPr>
        <w:pStyle w:val="Heading5"/>
      </w:pPr>
      <w:bookmarkStart w:id="1898" w:name="_Toc176259865"/>
      <w:r>
        <w:rPr>
          <w:rStyle w:val="CharSectno"/>
        </w:rPr>
        <w:lastRenderedPageBreak/>
        <w:t>50</w:t>
      </w:r>
      <w:r>
        <w:t>.</w:t>
      </w:r>
      <w:r>
        <w:tab/>
        <w:t>Attempts and incitement</w:t>
      </w:r>
      <w:bookmarkEnd w:id="1898"/>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1899" w:name="_Toc175836902"/>
      <w:bookmarkStart w:id="1900" w:name="_Toc175838014"/>
      <w:bookmarkStart w:id="1901" w:name="_Toc175842722"/>
      <w:bookmarkStart w:id="1902" w:name="_Toc175914329"/>
      <w:bookmarkStart w:id="1903" w:name="_Toc175915133"/>
      <w:bookmarkStart w:id="1904" w:name="_Toc175923024"/>
      <w:bookmarkStart w:id="1905" w:name="_Toc176257328"/>
      <w:bookmarkStart w:id="1906" w:name="_Toc176259866"/>
      <w:r>
        <w:rPr>
          <w:rStyle w:val="CharDivNo"/>
        </w:rPr>
        <w:t>Part 11</w:t>
      </w:r>
      <w:r>
        <w:t xml:space="preserve"> — </w:t>
      </w:r>
      <w:r>
        <w:rPr>
          <w:rStyle w:val="CharDivText"/>
        </w:rPr>
        <w:t>Instruments under this Law</w:t>
      </w:r>
      <w:bookmarkEnd w:id="1899"/>
      <w:bookmarkEnd w:id="1900"/>
      <w:bookmarkEnd w:id="1901"/>
      <w:bookmarkEnd w:id="1902"/>
      <w:bookmarkEnd w:id="1903"/>
      <w:bookmarkEnd w:id="1904"/>
      <w:bookmarkEnd w:id="1905"/>
      <w:bookmarkEnd w:id="1906"/>
    </w:p>
    <w:p>
      <w:pPr>
        <w:pStyle w:val="Heading5"/>
      </w:pPr>
      <w:bookmarkStart w:id="1907" w:name="_Toc176259867"/>
      <w:r>
        <w:rPr>
          <w:rStyle w:val="CharSectno"/>
        </w:rPr>
        <w:t>51</w:t>
      </w:r>
      <w:r>
        <w:t>.</w:t>
      </w:r>
      <w:r>
        <w:tab/>
        <w:t>Schedule applies to statutory instruments</w:t>
      </w:r>
      <w:bookmarkEnd w:id="19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1908" w:name="_Toc176259868"/>
      <w:r>
        <w:rPr>
          <w:rStyle w:val="CharSectno"/>
        </w:rPr>
        <w:t>51A</w:t>
      </w:r>
      <w:r>
        <w:t>.</w:t>
      </w:r>
      <w:r>
        <w:tab/>
        <w:t>Rate of return instrument construed not to exceed the legislative power of the Legislature of this jurisdiction or the powers conferred by this Law</w:t>
      </w:r>
      <w:bookmarkEnd w:id="19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1909" w:name="_Toc176259869"/>
      <w:r>
        <w:rPr>
          <w:rStyle w:val="CharSectno"/>
        </w:rPr>
        <w:t>52</w:t>
      </w:r>
      <w:r>
        <w:t>.</w:t>
      </w:r>
      <w:r>
        <w:tab/>
        <w:t>National Gas Rules to be construed so as not to exceed the legislative power of the Legislature of this jurisdiction or the powers conferred by this Law</w:t>
      </w:r>
      <w:bookmarkEnd w:id="19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acts or omissions of corporations to which section 51(xx) of the Constitution of the Commonwealth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1910" w:name="_Toc176259870"/>
      <w:r>
        <w:rPr>
          <w:rStyle w:val="CharSectno"/>
        </w:rPr>
        <w:t>53</w:t>
      </w:r>
      <w:r>
        <w:t>.</w:t>
      </w:r>
      <w:r>
        <w:tab/>
        <w:t>Invalid Rules</w:t>
      </w:r>
      <w:bookmarkEnd w:id="19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1911" w:name="_Toc176259871"/>
      <w:r>
        <w:rPr>
          <w:rStyle w:val="CharSectno"/>
        </w:rPr>
        <w:t>53A</w:t>
      </w:r>
      <w:r>
        <w:t>.</w:t>
      </w:r>
      <w:r>
        <w:tab/>
        <w:t>Invalid rate of return instrument</w:t>
      </w:r>
      <w:bookmarkEnd w:id="19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1912"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19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r>
      <w:hyperlink w:anchor="id5098b1b8_2e27_4cc1_9aa5_91fbe454a8" w:history="1">
        <w:r>
          <w:rPr>
            <w:color w:val="000000"/>
            <w:sz w:val="23"/>
            <w:szCs w:val="23"/>
          </w:rPr>
          <w:t>Subclause (4)</w:t>
        </w:r>
      </w:hyperlink>
      <w:r>
        <w:rPr>
          <w:color w:val="000000"/>
          <w:sz w:val="23"/>
          <w:szCs w:val="23"/>
        </w:rPr>
        <w:t xml:space="preserve">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lastRenderedPageBreak/>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1913" w:name="_Toc175836908"/>
      <w:bookmarkStart w:id="1914" w:name="_Toc175838020"/>
      <w:bookmarkStart w:id="1915" w:name="_Toc175842728"/>
      <w:bookmarkStart w:id="1916" w:name="_Toc175914335"/>
      <w:bookmarkStart w:id="1917" w:name="_Toc175915139"/>
      <w:bookmarkStart w:id="1918" w:name="_Toc175923030"/>
      <w:bookmarkStart w:id="1919" w:name="_Toc176257334"/>
      <w:bookmarkStart w:id="1920" w:name="_Toc176259872"/>
      <w:r>
        <w:rPr>
          <w:rStyle w:val="CharPartNo"/>
        </w:rPr>
        <w:lastRenderedPageBreak/>
        <w:t>Schedule 3</w:t>
      </w:r>
      <w:r>
        <w:t xml:space="preserve"> — </w:t>
      </w:r>
      <w:r>
        <w:rPr>
          <w:rStyle w:val="CharPartText"/>
        </w:rPr>
        <w:t>Savings and transitionals</w:t>
      </w:r>
      <w:bookmarkEnd w:id="1913"/>
      <w:bookmarkEnd w:id="1914"/>
      <w:bookmarkEnd w:id="1915"/>
      <w:bookmarkEnd w:id="1916"/>
      <w:bookmarkEnd w:id="1917"/>
      <w:bookmarkEnd w:id="1918"/>
      <w:bookmarkEnd w:id="1919"/>
      <w:bookmarkEnd w:id="1920"/>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1921" w:name="_Toc175836909"/>
      <w:bookmarkStart w:id="1922" w:name="_Toc175838021"/>
      <w:bookmarkStart w:id="1923" w:name="_Toc175842729"/>
      <w:bookmarkStart w:id="1924" w:name="_Toc175914336"/>
      <w:bookmarkStart w:id="1925" w:name="_Toc175915140"/>
      <w:bookmarkStart w:id="1926" w:name="_Toc175923031"/>
      <w:bookmarkStart w:id="1927" w:name="_Toc176257335"/>
      <w:bookmarkStart w:id="1928" w:name="_Toc176259873"/>
      <w:r>
        <w:rPr>
          <w:rStyle w:val="CharDivNo"/>
        </w:rPr>
        <w:t>Part 1</w:t>
      </w:r>
      <w:r>
        <w:t xml:space="preserve"> — </w:t>
      </w:r>
      <w:r>
        <w:rPr>
          <w:rStyle w:val="CharDivText"/>
        </w:rPr>
        <w:t>General</w:t>
      </w:r>
      <w:bookmarkEnd w:id="1921"/>
      <w:bookmarkEnd w:id="1922"/>
      <w:bookmarkEnd w:id="1923"/>
      <w:bookmarkEnd w:id="1924"/>
      <w:bookmarkEnd w:id="1925"/>
      <w:bookmarkEnd w:id="1926"/>
      <w:bookmarkEnd w:id="1927"/>
      <w:bookmarkEnd w:id="1928"/>
    </w:p>
    <w:p>
      <w:pPr>
        <w:pStyle w:val="Heading5"/>
      </w:pPr>
      <w:bookmarkStart w:id="1929" w:name="_Toc176259874"/>
      <w:r>
        <w:rPr>
          <w:rStyle w:val="CharSectno"/>
        </w:rPr>
        <w:t>1</w:t>
      </w:r>
      <w:r>
        <w:t>.</w:t>
      </w:r>
      <w:r>
        <w:tab/>
        <w:t>Definitions</w:t>
      </w:r>
      <w:bookmarkEnd w:id="1929"/>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lastRenderedPageBreak/>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lastRenderedPageBreak/>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18(1).]</w:t>
      </w:r>
    </w:p>
    <w:p>
      <w:pPr>
        <w:pStyle w:val="Heading5"/>
      </w:pPr>
      <w:bookmarkStart w:id="1930" w:name="_Toc176259875"/>
      <w:r>
        <w:rPr>
          <w:rStyle w:val="CharSectno"/>
        </w:rPr>
        <w:lastRenderedPageBreak/>
        <w:t>2</w:t>
      </w:r>
      <w:r>
        <w:t>.</w:t>
      </w:r>
      <w:r>
        <w:tab/>
        <w:t>Schedule subject to jurisdictional transitional arrangements in jurisdictional legislation</w:t>
      </w:r>
      <w:bookmarkEnd w:id="19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1931" w:name="_Toc175836912"/>
      <w:bookmarkStart w:id="1932" w:name="_Toc175838024"/>
      <w:bookmarkStart w:id="1933" w:name="_Toc175842732"/>
      <w:bookmarkStart w:id="1934" w:name="_Toc175914339"/>
      <w:bookmarkStart w:id="1935" w:name="_Toc175915143"/>
      <w:bookmarkStart w:id="1936" w:name="_Toc175923034"/>
      <w:bookmarkStart w:id="1937" w:name="_Toc176257338"/>
      <w:bookmarkStart w:id="1938" w:name="_Toc176259876"/>
      <w:r>
        <w:rPr>
          <w:rStyle w:val="CharDivNo"/>
        </w:rPr>
        <w:t>Part 2</w:t>
      </w:r>
      <w:r>
        <w:t xml:space="preserve"> — </w:t>
      </w:r>
      <w:r>
        <w:rPr>
          <w:rStyle w:val="CharDivText"/>
        </w:rPr>
        <w:t>General savings provision</w:t>
      </w:r>
      <w:bookmarkEnd w:id="1931"/>
      <w:bookmarkEnd w:id="1932"/>
      <w:bookmarkEnd w:id="1933"/>
      <w:bookmarkEnd w:id="1934"/>
      <w:bookmarkEnd w:id="1935"/>
      <w:bookmarkEnd w:id="1936"/>
      <w:bookmarkEnd w:id="1937"/>
      <w:bookmarkEnd w:id="1938"/>
    </w:p>
    <w:p>
      <w:pPr>
        <w:pStyle w:val="Heading5"/>
      </w:pPr>
      <w:bookmarkStart w:id="1939" w:name="_Toc176259877"/>
      <w:r>
        <w:rPr>
          <w:rStyle w:val="CharSectno"/>
        </w:rPr>
        <w:t>3</w:t>
      </w:r>
      <w:r>
        <w:t>.</w:t>
      </w:r>
      <w:r>
        <w:tab/>
        <w:t>Saving of operation of old access law and Gas Code</w:t>
      </w:r>
      <w:bookmarkEnd w:id="19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1940" w:name="_Toc175836914"/>
      <w:bookmarkStart w:id="1941" w:name="_Toc175838026"/>
      <w:bookmarkStart w:id="1942" w:name="_Toc175842734"/>
      <w:bookmarkStart w:id="1943" w:name="_Toc175914341"/>
      <w:bookmarkStart w:id="1944" w:name="_Toc175915145"/>
      <w:bookmarkStart w:id="1945" w:name="_Toc175923036"/>
      <w:bookmarkStart w:id="1946" w:name="_Toc176257340"/>
      <w:bookmarkStart w:id="1947" w:name="_Toc176259878"/>
      <w:r>
        <w:rPr>
          <w:rStyle w:val="CharDivNo"/>
        </w:rPr>
        <w:t>Part 3</w:t>
      </w:r>
      <w:r>
        <w:t xml:space="preserve"> — </w:t>
      </w:r>
      <w:r>
        <w:rPr>
          <w:rStyle w:val="CharDivText"/>
        </w:rPr>
        <w:t>Classification and coverage of pipelines</w:t>
      </w:r>
      <w:bookmarkEnd w:id="1940"/>
      <w:bookmarkEnd w:id="1941"/>
      <w:bookmarkEnd w:id="1942"/>
      <w:bookmarkEnd w:id="1943"/>
      <w:bookmarkEnd w:id="1944"/>
      <w:bookmarkEnd w:id="1945"/>
      <w:bookmarkEnd w:id="1946"/>
      <w:bookmarkEnd w:id="1947"/>
    </w:p>
    <w:p>
      <w:pPr>
        <w:pStyle w:val="Heading5"/>
      </w:pPr>
      <w:bookmarkStart w:id="1948" w:name="_Toc176259879"/>
      <w:r>
        <w:rPr>
          <w:rStyle w:val="CharSectno"/>
        </w:rPr>
        <w:t>4</w:t>
      </w:r>
      <w:r>
        <w:t>.</w:t>
      </w:r>
      <w:r>
        <w:tab/>
        <w:t>Pending applications for the classification of pipelines lapse</w:t>
      </w:r>
      <w:bookmarkEnd w:id="1948"/>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1949" w:name="_Toc176259880"/>
      <w:r>
        <w:rPr>
          <w:rStyle w:val="CharSectno"/>
        </w:rPr>
        <w:t>5</w:t>
      </w:r>
      <w:r>
        <w:t>.</w:t>
      </w:r>
      <w:r>
        <w:tab/>
        <w:t>Old scheme coverage determinations</w:t>
      </w:r>
      <w:bookmarkEnd w:id="1949"/>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1950" w:name="_Toc176259881"/>
      <w:r>
        <w:rPr>
          <w:rStyle w:val="CharSectno"/>
        </w:rPr>
        <w:t>6</w:t>
      </w:r>
      <w:r>
        <w:t>.</w:t>
      </w:r>
      <w:r>
        <w:tab/>
        <w:t>Old scheme covered transmission pipelines</w:t>
      </w:r>
      <w:bookmarkEnd w:id="1950"/>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1951" w:name="_Toc176259882"/>
      <w:r>
        <w:rPr>
          <w:rStyle w:val="CharSectno"/>
        </w:rPr>
        <w:t>7</w:t>
      </w:r>
      <w:r>
        <w:t>.</w:t>
      </w:r>
      <w:r>
        <w:tab/>
        <w:t>Old scheme covered distribution pipelines</w:t>
      </w:r>
      <w:bookmarkEnd w:id="1951"/>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1952" w:name="_Toc176259883"/>
      <w:r>
        <w:rPr>
          <w:rStyle w:val="CharSectno"/>
        </w:rPr>
        <w:lastRenderedPageBreak/>
        <w:t>8</w:t>
      </w:r>
      <w:r>
        <w:t>.</w:t>
      </w:r>
      <w:r>
        <w:tab/>
        <w:t>Pending coverage applications under old scheme (before NCC recommendation)</w:t>
      </w:r>
      <w:bookmarkEnd w:id="19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1953" w:name="_Toc176259884"/>
      <w:r>
        <w:rPr>
          <w:rStyle w:val="CharSectno"/>
        </w:rPr>
        <w:t>9</w:t>
      </w:r>
      <w:r>
        <w:t>.</w:t>
      </w:r>
      <w:r>
        <w:tab/>
        <w:t>Pending relevant Minister decisions in relation to coverage under old scheme</w:t>
      </w:r>
      <w:bookmarkEnd w:id="19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954" w:name="_Toc176259885"/>
      <w:r>
        <w:rPr>
          <w:rStyle w:val="CharSectno"/>
        </w:rPr>
        <w:t>10</w:t>
      </w:r>
      <w:r>
        <w:t>.</w:t>
      </w:r>
      <w:r>
        <w:tab/>
        <w:t>Pending relevant Minister decisions in relation to coverage that are reviewed under old scheme</w:t>
      </w:r>
      <w:bookmarkEnd w:id="19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955" w:name="_Toc176259886"/>
      <w:r>
        <w:rPr>
          <w:rStyle w:val="CharSectno"/>
        </w:rPr>
        <w:lastRenderedPageBreak/>
        <w:t>11</w:t>
      </w:r>
      <w:r>
        <w:t>.</w:t>
      </w:r>
      <w:r>
        <w:tab/>
        <w:t>Pending old scheme coverage determinations where no applications for review under old scheme</w:t>
      </w:r>
      <w:bookmarkEnd w:id="19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1956" w:name="_Toc176259887"/>
      <w:r>
        <w:rPr>
          <w:rStyle w:val="CharSectno"/>
        </w:rPr>
        <w:t>12</w:t>
      </w:r>
      <w:r>
        <w:t>.</w:t>
      </w:r>
      <w:r>
        <w:tab/>
        <w:t>Pending old scheme coverage determinations where applications for review under old scheme on foot</w:t>
      </w:r>
      <w:bookmarkEnd w:id="19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957" w:name="_Toc176259888"/>
      <w:r>
        <w:rPr>
          <w:rStyle w:val="CharSectno"/>
        </w:rPr>
        <w:t>13</w:t>
      </w:r>
      <w:r>
        <w:t>.</w:t>
      </w:r>
      <w:r>
        <w:tab/>
        <w:t>Pending old scheme no</w:t>
      </w:r>
      <w:r>
        <w:noBreakHyphen/>
        <w:t>coverage determinations where no applications for review under old scheme</w:t>
      </w:r>
      <w:bookmarkEnd w:id="19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1958" w:name="_Toc176259889"/>
      <w:r>
        <w:rPr>
          <w:rStyle w:val="CharSectno"/>
        </w:rPr>
        <w:t>14</w:t>
      </w:r>
      <w:r>
        <w:t>.</w:t>
      </w:r>
      <w:r>
        <w:tab/>
        <w:t>Pending old scheme no</w:t>
      </w:r>
      <w:r>
        <w:noBreakHyphen/>
        <w:t>coverage determinations where applications for review under old scheme on foot</w:t>
      </w:r>
      <w:bookmarkEnd w:id="1958"/>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959" w:name="_Toc176259890"/>
      <w:r>
        <w:rPr>
          <w:rStyle w:val="CharSectno"/>
        </w:rPr>
        <w:t>15</w:t>
      </w:r>
      <w:r>
        <w:t>.</w:t>
      </w:r>
      <w:r>
        <w:tab/>
        <w:t>Pending coverage revocation applications under old scheme (before NCC recommendation)</w:t>
      </w:r>
      <w:bookmarkEnd w:id="19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1960" w:name="_Toc176259891"/>
      <w:r>
        <w:rPr>
          <w:rStyle w:val="CharSectno"/>
        </w:rPr>
        <w:lastRenderedPageBreak/>
        <w:t>16</w:t>
      </w:r>
      <w:r>
        <w:t>.</w:t>
      </w:r>
      <w:r>
        <w:tab/>
        <w:t>Pending relevant Minister decisions in relation to coverage revocation under old scheme</w:t>
      </w:r>
      <w:bookmarkEnd w:id="19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961" w:name="_Toc176259892"/>
      <w:r>
        <w:rPr>
          <w:rStyle w:val="CharSectno"/>
        </w:rPr>
        <w:lastRenderedPageBreak/>
        <w:t>17</w:t>
      </w:r>
      <w:r>
        <w:t>.</w:t>
      </w:r>
      <w:r>
        <w:tab/>
        <w:t>Pending relevant Minister decisions in relation to coverage revocation that are reviewed under old scheme</w:t>
      </w:r>
      <w:bookmarkEnd w:id="19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962" w:name="_Toc176259893"/>
      <w:r>
        <w:rPr>
          <w:rStyle w:val="CharSectno"/>
        </w:rPr>
        <w:t>18</w:t>
      </w:r>
      <w:r>
        <w:t>.</w:t>
      </w:r>
      <w:r>
        <w:tab/>
        <w:t>Pending old scheme coverage revocation determinations where no applications for review under old scheme</w:t>
      </w:r>
      <w:bookmarkEnd w:id="19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1963" w:name="_Toc176259894"/>
      <w:r>
        <w:rPr>
          <w:rStyle w:val="CharSectno"/>
        </w:rPr>
        <w:t>19</w:t>
      </w:r>
      <w:r>
        <w:t>.</w:t>
      </w:r>
      <w:r>
        <w:tab/>
        <w:t>Pending old scheme coverage revocation determinations where applications for review under old scheme on foot</w:t>
      </w:r>
      <w:bookmarkEnd w:id="1963"/>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 xml:space="preserve">If on the review the relevant appeals body makes a determination that sets aside the pending old scheme coverage revocation determination and remits the matter to </w:t>
      </w:r>
      <w:r>
        <w:rPr>
          <w:color w:val="000000"/>
          <w:sz w:val="23"/>
          <w:szCs w:val="23"/>
        </w:rPr>
        <w:lastRenderedPageBreak/>
        <w:t>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964" w:name="_Toc176259895"/>
      <w:r>
        <w:rPr>
          <w:rStyle w:val="CharSectno"/>
        </w:rPr>
        <w:t>20</w:t>
      </w:r>
      <w:r>
        <w:t>.</w:t>
      </w:r>
      <w:r>
        <w:tab/>
        <w:t>Pending old scheme coverage non</w:t>
      </w:r>
      <w:r>
        <w:noBreakHyphen/>
        <w:t>revocation determinations where no applications for review under old scheme</w:t>
      </w:r>
      <w:bookmarkEnd w:id="19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1965" w:name="_Toc176259896"/>
      <w:r>
        <w:rPr>
          <w:rStyle w:val="CharSectno"/>
        </w:rPr>
        <w:lastRenderedPageBreak/>
        <w:t>21</w:t>
      </w:r>
      <w:r>
        <w:t>.</w:t>
      </w:r>
      <w:r>
        <w:tab/>
        <w:t>Pending old scheme coverage non</w:t>
      </w:r>
      <w:r>
        <w:noBreakHyphen/>
        <w:t>revocation determinations where applications for review under old scheme on foot</w:t>
      </w:r>
      <w:bookmarkEnd w:id="19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966" w:name="_Toc176259897"/>
      <w:r>
        <w:rPr>
          <w:rStyle w:val="CharSectno"/>
        </w:rPr>
        <w:t>22</w:t>
      </w:r>
      <w:r>
        <w:t>.</w:t>
      </w:r>
      <w:r>
        <w:tab/>
        <w:t>Binding no</w:t>
      </w:r>
      <w:r>
        <w:noBreakHyphen/>
        <w:t>coverage determinations</w:t>
      </w:r>
      <w:bookmarkEnd w:id="1966"/>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1967" w:name="_Toc176259898"/>
      <w:r>
        <w:rPr>
          <w:rStyle w:val="CharSectno"/>
        </w:rPr>
        <w:t>23</w:t>
      </w:r>
      <w:r>
        <w:t>.</w:t>
      </w:r>
      <w:r>
        <w:tab/>
        <w:t>Pending applications for binding no</w:t>
      </w:r>
      <w:r>
        <w:noBreakHyphen/>
        <w:t>coverage determinations (before NCC recommendation)</w:t>
      </w:r>
      <w:bookmarkEnd w:id="19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1968" w:name="_Toc176259899"/>
      <w:r>
        <w:rPr>
          <w:rStyle w:val="CharSectno"/>
        </w:rPr>
        <w:t>24</w:t>
      </w:r>
      <w:r>
        <w:t>.</w:t>
      </w:r>
      <w:r>
        <w:tab/>
        <w:t>Pending relevant Minister decisions for binding no</w:t>
      </w:r>
      <w:r>
        <w:noBreakHyphen/>
        <w:t>coverage determinations under old scheme</w:t>
      </w:r>
      <w:bookmarkEnd w:id="19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lastRenderedPageBreak/>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1969" w:name="_Toc176259900"/>
      <w:r>
        <w:rPr>
          <w:rStyle w:val="CharSectno"/>
        </w:rPr>
        <w:t>25</w:t>
      </w:r>
      <w:r>
        <w:t>.</w:t>
      </w:r>
      <w:r>
        <w:tab/>
        <w:t>Pending relevant Minister decisions in relation to binding no</w:t>
      </w:r>
      <w:r>
        <w:noBreakHyphen/>
        <w:t>coverage determinations that are reviewed under old scheme</w:t>
      </w:r>
      <w:bookmarkEnd w:id="1969"/>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1970" w:name="_Toc175836937"/>
      <w:bookmarkStart w:id="1971" w:name="_Toc175838049"/>
      <w:bookmarkStart w:id="1972" w:name="_Toc175842757"/>
      <w:bookmarkStart w:id="1973" w:name="_Toc175914364"/>
      <w:bookmarkStart w:id="1974" w:name="_Toc175915168"/>
      <w:bookmarkStart w:id="1975" w:name="_Toc175923059"/>
      <w:bookmarkStart w:id="1976" w:name="_Toc176257363"/>
      <w:bookmarkStart w:id="1977" w:name="_Toc176259901"/>
      <w:r>
        <w:rPr>
          <w:rStyle w:val="CharDivNo"/>
        </w:rPr>
        <w:lastRenderedPageBreak/>
        <w:t>Part 4</w:t>
      </w:r>
      <w:r>
        <w:t xml:space="preserve"> — </w:t>
      </w:r>
      <w:r>
        <w:rPr>
          <w:rStyle w:val="CharDivText"/>
        </w:rPr>
        <w:t>Access arrangements</w:t>
      </w:r>
      <w:bookmarkEnd w:id="1970"/>
      <w:bookmarkEnd w:id="1971"/>
      <w:bookmarkEnd w:id="1972"/>
      <w:bookmarkEnd w:id="1973"/>
      <w:bookmarkEnd w:id="1974"/>
      <w:bookmarkEnd w:id="1975"/>
      <w:bookmarkEnd w:id="1976"/>
      <w:bookmarkEnd w:id="1977"/>
    </w:p>
    <w:p>
      <w:pPr>
        <w:pStyle w:val="Heading5"/>
      </w:pPr>
      <w:bookmarkStart w:id="1978" w:name="_Toc176259902"/>
      <w:r>
        <w:rPr>
          <w:rStyle w:val="CharSectno"/>
        </w:rPr>
        <w:t>26</w:t>
      </w:r>
      <w:r>
        <w:t>.</w:t>
      </w:r>
      <w:r>
        <w:tab/>
        <w:t>Current access arrangements (other than old scheme limited access arrangements)</w:t>
      </w:r>
      <w:bookmarkEnd w:id="1978"/>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1979" w:name="_Toc176259903"/>
      <w:r>
        <w:rPr>
          <w:rStyle w:val="CharSectno"/>
        </w:rPr>
        <w:t>27</w:t>
      </w:r>
      <w:r>
        <w:t>.</w:t>
      </w:r>
      <w:r>
        <w:tab/>
        <w:t>Old scheme limited access arrangements</w:t>
      </w:r>
      <w:bookmarkEnd w:id="1979"/>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1980" w:name="_Toc176259904"/>
      <w:r>
        <w:rPr>
          <w:rStyle w:val="CharSectno"/>
        </w:rPr>
        <w:t>28</w:t>
      </w:r>
      <w:r>
        <w:t>.</w:t>
      </w:r>
      <w:r>
        <w:tab/>
        <w:t>Access arrangements submitted but not approved or rejected before repeal of old scheme</w:t>
      </w:r>
      <w:bookmarkEnd w:id="19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981" w:name="_Toc176259905"/>
      <w:r>
        <w:rPr>
          <w:rStyle w:val="CharSectno"/>
        </w:rPr>
        <w:lastRenderedPageBreak/>
        <w:t>29</w:t>
      </w:r>
      <w:r>
        <w:t>.</w:t>
      </w:r>
      <w:r>
        <w:tab/>
        <w:t>Access arrangement revisions submitted but not approved or rejected before repeal of old scheme</w:t>
      </w:r>
      <w:bookmarkEnd w:id="19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982" w:name="_Toc176259906"/>
      <w:r>
        <w:rPr>
          <w:rStyle w:val="CharSectno"/>
        </w:rPr>
        <w:t>30</w:t>
      </w:r>
      <w:r>
        <w:t>.</w:t>
      </w:r>
      <w:r>
        <w:tab/>
        <w:t>Certain provisions of the Gas Code to continue to apply to current and proposed access arrangements</w:t>
      </w:r>
      <w:bookmarkEnd w:id="19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1983" w:name="_Toc176259907"/>
      <w:r>
        <w:rPr>
          <w:rStyle w:val="CharSectno"/>
        </w:rPr>
        <w:t>31</w:t>
      </w:r>
      <w:r>
        <w:t>.</w:t>
      </w:r>
      <w:r>
        <w:tab/>
        <w:t>Certain decisions relating to certain access arrangements are reviewable regulatory decisions for purposes of Chapter 8 Part 5 of the Law</w:t>
      </w:r>
      <w:bookmarkEnd w:id="19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lastRenderedPageBreak/>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1984" w:name="_Toc176259908"/>
      <w:r>
        <w:rPr>
          <w:rStyle w:val="CharSectno"/>
        </w:rPr>
        <w:t>32</w:t>
      </w:r>
      <w:r>
        <w:t>.</w:t>
      </w:r>
      <w:r>
        <w:tab/>
        <w:t>Limited access arrangements submitted but not approved before repeal of old scheme</w:t>
      </w:r>
      <w:bookmarkEnd w:id="19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1985" w:name="_Toc176259909"/>
      <w:r>
        <w:rPr>
          <w:rStyle w:val="CharSectno"/>
        </w:rPr>
        <w:lastRenderedPageBreak/>
        <w:t>33</w:t>
      </w:r>
      <w:r>
        <w:t>.</w:t>
      </w:r>
      <w:r>
        <w:tab/>
        <w:t>Extensions and expansions policies</w:t>
      </w:r>
      <w:bookmarkEnd w:id="1985"/>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1986" w:name="_Toc176259910"/>
      <w:r>
        <w:rPr>
          <w:rStyle w:val="CharSectno"/>
        </w:rPr>
        <w:t>34</w:t>
      </w:r>
      <w:r>
        <w:t>.</w:t>
      </w:r>
      <w:r>
        <w:tab/>
        <w:t>Queuing policies</w:t>
      </w:r>
      <w:bookmarkEnd w:id="1986"/>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1987" w:name="_Toc175836947"/>
      <w:bookmarkStart w:id="1988" w:name="_Toc175838059"/>
      <w:bookmarkStart w:id="1989" w:name="_Toc175842767"/>
      <w:bookmarkStart w:id="1990" w:name="_Toc175914374"/>
      <w:bookmarkStart w:id="1991" w:name="_Toc175915178"/>
      <w:bookmarkStart w:id="1992" w:name="_Toc175923069"/>
      <w:bookmarkStart w:id="1993" w:name="_Toc176257373"/>
      <w:bookmarkStart w:id="1994" w:name="_Toc176259911"/>
      <w:r>
        <w:rPr>
          <w:rStyle w:val="CharDivNo"/>
        </w:rPr>
        <w:t>Part 5</w:t>
      </w:r>
      <w:r>
        <w:t xml:space="preserve"> — </w:t>
      </w:r>
      <w:r>
        <w:rPr>
          <w:rStyle w:val="CharDivText"/>
        </w:rPr>
        <w:t>Price regulation exemptions</w:t>
      </w:r>
      <w:bookmarkEnd w:id="1987"/>
      <w:bookmarkEnd w:id="1988"/>
      <w:bookmarkEnd w:id="1989"/>
      <w:bookmarkEnd w:id="1990"/>
      <w:bookmarkEnd w:id="1991"/>
      <w:bookmarkEnd w:id="1992"/>
      <w:bookmarkEnd w:id="1993"/>
      <w:bookmarkEnd w:id="1994"/>
    </w:p>
    <w:p>
      <w:pPr>
        <w:pStyle w:val="Heading5"/>
      </w:pPr>
      <w:bookmarkStart w:id="1995" w:name="_Toc176259912"/>
      <w:r>
        <w:rPr>
          <w:rStyle w:val="CharSectno"/>
        </w:rPr>
        <w:t>35</w:t>
      </w:r>
      <w:r>
        <w:t>.</w:t>
      </w:r>
      <w:r>
        <w:tab/>
        <w:t>Old scheme price regulation exemptions</w:t>
      </w:r>
      <w:bookmarkEnd w:id="1995"/>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1996" w:name="_Toc176259913"/>
      <w:r>
        <w:rPr>
          <w:rStyle w:val="CharSectno"/>
        </w:rPr>
        <w:t>36</w:t>
      </w:r>
      <w:r>
        <w:t>.</w:t>
      </w:r>
      <w:r>
        <w:tab/>
        <w:t>Pending applications for price regulation exemptions</w:t>
      </w:r>
      <w:bookmarkEnd w:id="199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1997" w:name="_Toc176259914"/>
      <w:r>
        <w:rPr>
          <w:rStyle w:val="CharSectno"/>
        </w:rPr>
        <w:lastRenderedPageBreak/>
        <w:t>37</w:t>
      </w:r>
      <w:r>
        <w:t>.</w:t>
      </w:r>
      <w:r>
        <w:tab/>
        <w:t>Pending Commonwealth Minister decisions for price regulation exemptions</w:t>
      </w:r>
      <w:bookmarkEnd w:id="19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1998" w:name="_Toc175836951"/>
      <w:bookmarkStart w:id="1999" w:name="_Toc175838063"/>
      <w:bookmarkStart w:id="2000" w:name="_Toc175842771"/>
      <w:bookmarkStart w:id="2001" w:name="_Toc175914378"/>
      <w:bookmarkStart w:id="2002" w:name="_Toc175915182"/>
      <w:bookmarkStart w:id="2003" w:name="_Toc175923073"/>
      <w:bookmarkStart w:id="2004" w:name="_Toc176257377"/>
      <w:bookmarkStart w:id="2005" w:name="_Toc176259915"/>
      <w:r>
        <w:rPr>
          <w:rStyle w:val="CharDivNo"/>
        </w:rPr>
        <w:t>Part 6</w:t>
      </w:r>
      <w:r>
        <w:t xml:space="preserve"> — </w:t>
      </w:r>
      <w:r>
        <w:rPr>
          <w:rStyle w:val="CharDivText"/>
        </w:rPr>
        <w:t>Structural and operational separation (ring fencing)</w:t>
      </w:r>
      <w:bookmarkEnd w:id="1998"/>
      <w:bookmarkEnd w:id="1999"/>
      <w:bookmarkEnd w:id="2000"/>
      <w:bookmarkEnd w:id="2001"/>
      <w:bookmarkEnd w:id="2002"/>
      <w:bookmarkEnd w:id="2003"/>
      <w:bookmarkEnd w:id="2004"/>
      <w:bookmarkEnd w:id="2005"/>
    </w:p>
    <w:p>
      <w:pPr>
        <w:pStyle w:val="Heading5"/>
      </w:pPr>
      <w:bookmarkStart w:id="2006" w:name="_Toc176259916"/>
      <w:r>
        <w:rPr>
          <w:rStyle w:val="CharSectno"/>
        </w:rPr>
        <w:t>38</w:t>
      </w:r>
      <w:r>
        <w:t>.</w:t>
      </w:r>
      <w:r>
        <w:tab/>
        <w:t>Definitions</w:t>
      </w:r>
      <w:bookmarkEnd w:id="2006"/>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2007" w:name="_Toc176259917"/>
      <w:r>
        <w:rPr>
          <w:rStyle w:val="CharSectno"/>
        </w:rPr>
        <w:t>39</w:t>
      </w:r>
      <w:r>
        <w:t>.</w:t>
      </w:r>
      <w:r>
        <w:tab/>
        <w:t>Compliance with certain old scheme ring fencing requirements sufficient compliance for 6 month period</w:t>
      </w:r>
      <w:bookmarkEnd w:id="20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2008" w:name="_Toc176259918"/>
      <w:r>
        <w:rPr>
          <w:rStyle w:val="CharSectno"/>
        </w:rPr>
        <w:t>40</w:t>
      </w:r>
      <w:r>
        <w:t>.</w:t>
      </w:r>
      <w:r>
        <w:tab/>
        <w:t>Existing waivers of ring fencing obligations</w:t>
      </w:r>
      <w:bookmarkEnd w:id="20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2009" w:name="_Toc176259919"/>
      <w:r>
        <w:rPr>
          <w:rStyle w:val="CharSectno"/>
        </w:rPr>
        <w:lastRenderedPageBreak/>
        <w:t>41</w:t>
      </w:r>
      <w:r>
        <w:t>.</w:t>
      </w:r>
      <w:r>
        <w:tab/>
        <w:t>Additional ring fencing obligations</w:t>
      </w:r>
      <w:bookmarkEnd w:id="20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2010" w:name="_Toc175836956"/>
      <w:bookmarkStart w:id="2011" w:name="_Toc175838068"/>
      <w:bookmarkStart w:id="2012" w:name="_Toc175842776"/>
      <w:bookmarkStart w:id="2013" w:name="_Toc175914383"/>
      <w:bookmarkStart w:id="2014" w:name="_Toc175915187"/>
      <w:bookmarkStart w:id="2015" w:name="_Toc175923078"/>
      <w:bookmarkStart w:id="2016" w:name="_Toc176257382"/>
      <w:bookmarkStart w:id="2017" w:name="_Toc176259920"/>
      <w:r>
        <w:rPr>
          <w:rStyle w:val="CharDivNo"/>
        </w:rPr>
        <w:t>Part 7</w:t>
      </w:r>
      <w:r>
        <w:t xml:space="preserve"> — </w:t>
      </w:r>
      <w:r>
        <w:rPr>
          <w:rStyle w:val="CharDivText"/>
        </w:rPr>
        <w:t>Access disputes</w:t>
      </w:r>
      <w:bookmarkEnd w:id="2010"/>
      <w:bookmarkEnd w:id="2011"/>
      <w:bookmarkEnd w:id="2012"/>
      <w:bookmarkEnd w:id="2013"/>
      <w:bookmarkEnd w:id="2014"/>
      <w:bookmarkEnd w:id="2015"/>
      <w:bookmarkEnd w:id="2016"/>
      <w:bookmarkEnd w:id="2017"/>
    </w:p>
    <w:p>
      <w:pPr>
        <w:pStyle w:val="Heading5"/>
      </w:pPr>
      <w:bookmarkStart w:id="2018" w:name="_Toc176259921"/>
      <w:r>
        <w:rPr>
          <w:rStyle w:val="CharSectno"/>
        </w:rPr>
        <w:t>42</w:t>
      </w:r>
      <w:r>
        <w:t>.</w:t>
      </w:r>
      <w:r>
        <w:tab/>
        <w:t>Non</w:t>
      </w:r>
      <w:r>
        <w:noBreakHyphen/>
        <w:t>finalised access disputes</w:t>
      </w:r>
      <w:bookmarkEnd w:id="20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2019" w:name="_Toc175836958"/>
      <w:bookmarkStart w:id="2020" w:name="_Toc175838070"/>
      <w:bookmarkStart w:id="2021" w:name="_Toc175842778"/>
      <w:bookmarkStart w:id="2022" w:name="_Toc175914385"/>
      <w:bookmarkStart w:id="2023" w:name="_Toc175915189"/>
      <w:bookmarkStart w:id="2024" w:name="_Toc175923080"/>
      <w:bookmarkStart w:id="2025" w:name="_Toc176257384"/>
      <w:bookmarkStart w:id="2026" w:name="_Toc176259922"/>
      <w:r>
        <w:rPr>
          <w:rStyle w:val="CharDivNo"/>
        </w:rPr>
        <w:t>Part 8</w:t>
      </w:r>
      <w:r>
        <w:t xml:space="preserve"> — </w:t>
      </w:r>
      <w:r>
        <w:rPr>
          <w:rStyle w:val="CharDivText"/>
        </w:rPr>
        <w:t>Investigations and proceedings</w:t>
      </w:r>
      <w:bookmarkEnd w:id="2019"/>
      <w:bookmarkEnd w:id="2020"/>
      <w:bookmarkEnd w:id="2021"/>
      <w:bookmarkEnd w:id="2022"/>
      <w:bookmarkEnd w:id="2023"/>
      <w:bookmarkEnd w:id="2024"/>
      <w:bookmarkEnd w:id="2025"/>
      <w:bookmarkEnd w:id="2026"/>
    </w:p>
    <w:p>
      <w:pPr>
        <w:pStyle w:val="Heading5"/>
      </w:pPr>
      <w:bookmarkStart w:id="2027" w:name="_Toc176259923"/>
      <w:r>
        <w:rPr>
          <w:rStyle w:val="CharSectno"/>
        </w:rPr>
        <w:t>43</w:t>
      </w:r>
      <w:r>
        <w:t>.</w:t>
      </w:r>
      <w:r>
        <w:tab/>
        <w:t>Investigations into breaches and possible breaches of the old access law or Gas Code</w:t>
      </w:r>
      <w:bookmarkEnd w:id="20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2028" w:name="_Toc176259924"/>
      <w:r>
        <w:rPr>
          <w:rStyle w:val="CharSectno"/>
        </w:rPr>
        <w:lastRenderedPageBreak/>
        <w:t>44</w:t>
      </w:r>
      <w:r>
        <w:t>.</w:t>
      </w:r>
      <w:r>
        <w:tab/>
        <w:t>AER may conduct investigations into breaches or possible breaches of Gas Pipelines Access Law not investigated by a relevant Regulator</w:t>
      </w:r>
      <w:bookmarkEnd w:id="20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2029" w:name="_Toc176259925"/>
      <w:r>
        <w:rPr>
          <w:rStyle w:val="CharSectno"/>
        </w:rPr>
        <w:t>45</w:t>
      </w:r>
      <w:r>
        <w:t>.</w:t>
      </w:r>
      <w:r>
        <w:tab/>
        <w:t>AER may bring proceedings in relation to breaches of old access law and Gas Code</w:t>
      </w:r>
      <w:bookmarkEnd w:id="20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18(2).]</w:t>
      </w:r>
    </w:p>
    <w:p>
      <w:pPr>
        <w:pStyle w:val="Heading3"/>
      </w:pPr>
      <w:bookmarkStart w:id="2030" w:name="_Toc175836962"/>
      <w:bookmarkStart w:id="2031" w:name="_Toc175838074"/>
      <w:bookmarkStart w:id="2032" w:name="_Toc175842782"/>
      <w:bookmarkStart w:id="2033" w:name="_Toc175914389"/>
      <w:bookmarkStart w:id="2034" w:name="_Toc175915193"/>
      <w:bookmarkStart w:id="2035" w:name="_Toc175923084"/>
      <w:bookmarkStart w:id="2036" w:name="_Toc176257388"/>
      <w:bookmarkStart w:id="2037" w:name="_Toc176259926"/>
      <w:r>
        <w:rPr>
          <w:rStyle w:val="CharDivNo"/>
        </w:rPr>
        <w:lastRenderedPageBreak/>
        <w:t>Part 9</w:t>
      </w:r>
      <w:r>
        <w:t xml:space="preserve"> — </w:t>
      </w:r>
      <w:r>
        <w:rPr>
          <w:rStyle w:val="CharDivText"/>
        </w:rPr>
        <w:t>Associate contracts</w:t>
      </w:r>
      <w:bookmarkEnd w:id="2030"/>
      <w:bookmarkEnd w:id="2031"/>
      <w:bookmarkEnd w:id="2032"/>
      <w:bookmarkEnd w:id="2033"/>
      <w:bookmarkEnd w:id="2034"/>
      <w:bookmarkEnd w:id="2035"/>
      <w:bookmarkEnd w:id="2036"/>
      <w:bookmarkEnd w:id="2037"/>
    </w:p>
    <w:p>
      <w:pPr>
        <w:pStyle w:val="Heading5"/>
        <w:spacing w:before="100"/>
      </w:pPr>
      <w:bookmarkStart w:id="2038" w:name="_Toc176259927"/>
      <w:r>
        <w:rPr>
          <w:rStyle w:val="CharSectno"/>
        </w:rPr>
        <w:t>46</w:t>
      </w:r>
      <w:r>
        <w:t>.</w:t>
      </w:r>
      <w:r>
        <w:tab/>
        <w:t>Pending associate contract approvals that are approved after commencement day</w:t>
      </w:r>
      <w:bookmarkEnd w:id="2038"/>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2039" w:name="_Toc176259928"/>
      <w:r>
        <w:rPr>
          <w:rStyle w:val="CharSectno"/>
        </w:rPr>
        <w:t>47</w:t>
      </w:r>
      <w:r>
        <w:t>.</w:t>
      </w:r>
      <w:r>
        <w:tab/>
        <w:t>Pending associate contracts approvals that are not approved</w:t>
      </w:r>
      <w:bookmarkEnd w:id="2039"/>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 xml:space="preserve">If an application is not made under section 38 of the old access law for a review of the decision within the time specified by that section, the proposed associate contract is deemed not to be an approved associate contract on the day </w:t>
      </w:r>
      <w:r>
        <w:rPr>
          <w:color w:val="000000"/>
          <w:sz w:val="23"/>
          <w:szCs w:val="23"/>
        </w:rPr>
        <w:lastRenderedPageBreak/>
        <w:t>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lastRenderedPageBreak/>
        <w:t>the proposed associate contract to which the determination relates is deemed to be, on the day the determination takes effect, an approved associate contract.</w:t>
      </w:r>
    </w:p>
    <w:p>
      <w:pPr>
        <w:pStyle w:val="Heading5"/>
      </w:pPr>
      <w:bookmarkStart w:id="2040" w:name="_Toc176259929"/>
      <w:r>
        <w:rPr>
          <w:rStyle w:val="CharSectno"/>
        </w:rPr>
        <w:t>48</w:t>
      </w:r>
      <w:r>
        <w:t>.</w:t>
      </w:r>
      <w:r>
        <w:tab/>
        <w:t>Approved associate contracts</w:t>
      </w:r>
      <w:bookmarkEnd w:id="20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2041" w:name="_Toc175836966"/>
      <w:bookmarkStart w:id="2042" w:name="_Toc175838078"/>
      <w:bookmarkStart w:id="2043" w:name="_Toc175842786"/>
      <w:bookmarkStart w:id="2044" w:name="_Toc175914393"/>
      <w:bookmarkStart w:id="2045" w:name="_Toc175915197"/>
      <w:bookmarkStart w:id="2046" w:name="_Toc175923088"/>
      <w:bookmarkStart w:id="2047" w:name="_Toc176257392"/>
      <w:bookmarkStart w:id="2048" w:name="_Toc176259930"/>
      <w:r>
        <w:rPr>
          <w:rStyle w:val="CharDivNo"/>
        </w:rPr>
        <w:t>Part 10</w:t>
      </w:r>
      <w:r>
        <w:t xml:space="preserve"> — </w:t>
      </w:r>
      <w:r>
        <w:rPr>
          <w:rStyle w:val="CharDivText"/>
        </w:rPr>
        <w:t>Other</w:t>
      </w:r>
      <w:bookmarkEnd w:id="2041"/>
      <w:bookmarkEnd w:id="2042"/>
      <w:bookmarkEnd w:id="2043"/>
      <w:bookmarkEnd w:id="2044"/>
      <w:bookmarkEnd w:id="2045"/>
      <w:bookmarkEnd w:id="2046"/>
      <w:bookmarkEnd w:id="2047"/>
      <w:bookmarkEnd w:id="2048"/>
    </w:p>
    <w:p>
      <w:pPr>
        <w:pStyle w:val="Heading5"/>
      </w:pPr>
      <w:bookmarkStart w:id="2049" w:name="_Toc176259931"/>
      <w:r>
        <w:rPr>
          <w:rStyle w:val="CharSectno"/>
        </w:rPr>
        <w:t>49</w:t>
      </w:r>
      <w:r>
        <w:t>.</w:t>
      </w:r>
      <w:r>
        <w:tab/>
        <w:t>Pending and final tender approval requests lapse</w:t>
      </w:r>
      <w:bookmarkEnd w:id="20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2050" w:name="_Toc176259932"/>
      <w:r>
        <w:rPr>
          <w:rStyle w:val="CharSectno"/>
        </w:rPr>
        <w:lastRenderedPageBreak/>
        <w:t>50</w:t>
      </w:r>
      <w:r>
        <w:t>.</w:t>
      </w:r>
      <w:r>
        <w:tab/>
        <w:t>Decisions approving final approval requests</w:t>
      </w:r>
      <w:bookmarkEnd w:id="20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2051" w:name="_Toc176259933"/>
      <w:r>
        <w:rPr>
          <w:rStyle w:val="CharSectno"/>
        </w:rPr>
        <w:t>51</w:t>
      </w:r>
      <w:r>
        <w:t>.</w:t>
      </w:r>
      <w:r>
        <w:tab/>
        <w:t>Rights under certain change of law provisions in agreements or deeds not to be triggered</w:t>
      </w:r>
      <w:bookmarkEnd w:id="20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2052" w:name="_Toc176259934"/>
      <w:r>
        <w:rPr>
          <w:rStyle w:val="CharSectno"/>
        </w:rPr>
        <w:t>52</w:t>
      </w:r>
      <w:r>
        <w:t>.</w:t>
      </w:r>
      <w:r>
        <w:tab/>
        <w:t>References to relevant Regulator in access arrangements</w:t>
      </w:r>
      <w:bookmarkEnd w:id="2052"/>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2053" w:name="_Toc176259935"/>
      <w:r>
        <w:rPr>
          <w:rStyle w:val="CharSectno"/>
        </w:rPr>
        <w:lastRenderedPageBreak/>
        <w:t>53</w:t>
      </w:r>
      <w:r>
        <w:t>.</w:t>
      </w:r>
      <w:r>
        <w:tab/>
        <w:t>Old scheme classifications and scheme participant determinations</w:t>
      </w:r>
      <w:bookmarkEnd w:id="20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pPr>
      <w:bookmarkStart w:id="2054" w:name="_Toc175836972"/>
      <w:bookmarkStart w:id="2055" w:name="_Toc175838084"/>
      <w:bookmarkStart w:id="2056" w:name="_Toc175842792"/>
      <w:bookmarkStart w:id="2057" w:name="_Toc175914399"/>
      <w:bookmarkStart w:id="2058" w:name="_Toc175915203"/>
      <w:bookmarkStart w:id="2059" w:name="_Toc175923094"/>
      <w:bookmarkStart w:id="2060" w:name="_Toc176257398"/>
      <w:bookmarkStart w:id="2061" w:name="_Toc176259936"/>
      <w:r>
        <w:rPr>
          <w:rStyle w:val="CharDivNo"/>
        </w:rPr>
        <w:t>Part 15</w:t>
      </w:r>
      <w:r>
        <w:t>—</w:t>
      </w:r>
      <w:r>
        <w:rPr>
          <w:rStyle w:val="CharDivText"/>
        </w:rPr>
        <w:t>Transitional provision related to AEMC rule making powers</w:t>
      </w:r>
      <w:bookmarkEnd w:id="2054"/>
      <w:bookmarkEnd w:id="2055"/>
      <w:bookmarkEnd w:id="2056"/>
      <w:bookmarkEnd w:id="2057"/>
      <w:bookmarkEnd w:id="2058"/>
      <w:bookmarkEnd w:id="2059"/>
      <w:bookmarkEnd w:id="2060"/>
      <w:bookmarkEnd w:id="2061"/>
    </w:p>
    <w:p>
      <w:pPr>
        <w:pStyle w:val="Footnoteheading"/>
      </w:pPr>
      <w:r>
        <w:tab/>
        <w:t>[Heading inserted: see SA Act No. 12 of 2018 s. 29 and WA SL 2020/195 cl. 3.]</w:t>
      </w:r>
    </w:p>
    <w:p>
      <w:pPr>
        <w:pStyle w:val="Heading5"/>
      </w:pPr>
      <w:bookmarkStart w:id="2062" w:name="_Toc176259937"/>
      <w:r>
        <w:rPr>
          <w:rStyle w:val="CharSectno"/>
        </w:rPr>
        <w:t>90</w:t>
      </w:r>
      <w:r>
        <w:t>.</w:t>
      </w:r>
      <w:r>
        <w:tab/>
        <w:t>AEMC rule making powers</w:t>
      </w:r>
      <w:bookmarkEnd w:id="2062"/>
    </w:p>
    <w:p>
      <w:pPr>
        <w:keepNext/>
        <w:keepLines/>
        <w:tabs>
          <w:tab w:val="center" w:pos="1191"/>
          <w:tab w:val="left" w:pos="1588"/>
        </w:tabs>
        <w:autoSpaceDE w:val="0"/>
        <w:autoSpaceDN w:val="0"/>
        <w:adjustRightInd w:val="0"/>
        <w:spacing w:before="120"/>
        <w:ind w:left="1588" w:hanging="794"/>
      </w:pPr>
      <w:r>
        <w:tab/>
      </w:r>
      <w:r>
        <w:tab/>
        <w:t xml:space="preserve">The amendment to section 304 of this Law by virtue of the </w:t>
      </w:r>
      <w:r>
        <w:rPr>
          <w:i/>
        </w:rPr>
        <w:t>National Gas Access (WA) Adoption of Amendments Order 2020</w:t>
      </w:r>
      <w:r>
        <w:t xml:space="preserve"> clause 3 (the </w:t>
      </w:r>
      <w:r>
        <w:rPr>
          <w:rStyle w:val="CharDefText"/>
        </w:rPr>
        <w:t>adopting clause</w:t>
      </w:r>
      <w:r>
        <w:t xml:space="preserve">) does not apply to the making of— </w:t>
      </w:r>
    </w:p>
    <w:p>
      <w:pPr>
        <w:keepLines/>
        <w:tabs>
          <w:tab w:val="center" w:pos="1985"/>
          <w:tab w:val="left" w:pos="2382"/>
        </w:tabs>
        <w:autoSpaceDE w:val="0"/>
        <w:autoSpaceDN w:val="0"/>
        <w:adjustRightInd w:val="0"/>
        <w:spacing w:before="120"/>
        <w:ind w:left="2382" w:hanging="794"/>
      </w:pPr>
      <w:r>
        <w:tab/>
        <w:t>(a)</w:t>
      </w:r>
      <w:r>
        <w:tab/>
        <w:t>a Rule on a request under section 295(1) of this Law received by the AEMC before the coming into operation of the adopting clause; or</w:t>
      </w:r>
    </w:p>
    <w:p>
      <w:pPr>
        <w:keepLines/>
        <w:tabs>
          <w:tab w:val="center" w:pos="1985"/>
          <w:tab w:val="left" w:pos="2382"/>
        </w:tabs>
        <w:autoSpaceDE w:val="0"/>
        <w:autoSpaceDN w:val="0"/>
        <w:adjustRightInd w:val="0"/>
        <w:spacing w:before="120"/>
        <w:ind w:left="2382" w:hanging="794"/>
      </w:pPr>
      <w:r>
        <w:lastRenderedPageBreak/>
        <w:tab/>
        <w:t>(b)</w:t>
      </w:r>
      <w:r>
        <w:tab/>
        <w:t>an AEMC initiated Rule (within the meaning of section 290 of this Law) in respect of which the AEMC has, before the coming into operation of the adopting clause, published notice of its intention to make.</w:t>
      </w:r>
    </w:p>
    <w:p>
      <w:pPr>
        <w:pStyle w:val="Footnotesection"/>
      </w:pPr>
      <w:r>
        <w:tab/>
        <w:t>[Clause 90 inserted: see SA Act No. 12 of 2018 s. 29 and WA SL 2020/195 cl. 3; modified: WA Act Sch. 1 cl. 18(2A).]</w:t>
      </w:r>
    </w:p>
    <w:p>
      <w:pPr>
        <w:pStyle w:val="Heading3"/>
      </w:pPr>
      <w:bookmarkStart w:id="2063" w:name="_Toc175836974"/>
      <w:bookmarkStart w:id="2064" w:name="_Toc175838086"/>
      <w:bookmarkStart w:id="2065" w:name="_Toc175842794"/>
      <w:bookmarkStart w:id="2066" w:name="_Toc175914401"/>
      <w:bookmarkStart w:id="2067" w:name="_Toc175915205"/>
      <w:bookmarkStart w:id="2068" w:name="_Toc175923096"/>
      <w:bookmarkStart w:id="2069" w:name="_Toc176257400"/>
      <w:bookmarkStart w:id="2070" w:name="_Toc176259938"/>
      <w:r>
        <w:rPr>
          <w:rStyle w:val="CharDivNo"/>
        </w:rPr>
        <w:t>Part 17</w:t>
      </w:r>
      <w:r>
        <w:t>—</w:t>
      </w:r>
      <w:r>
        <w:rPr>
          <w:rStyle w:val="CharDivText"/>
        </w:rPr>
        <w:t>Transitional provisions for rate of return instrument</w:t>
      </w:r>
      <w:bookmarkEnd w:id="2063"/>
      <w:bookmarkEnd w:id="2064"/>
      <w:bookmarkEnd w:id="2065"/>
      <w:bookmarkEnd w:id="2066"/>
      <w:bookmarkEnd w:id="2067"/>
      <w:bookmarkEnd w:id="2068"/>
      <w:bookmarkEnd w:id="2069"/>
      <w:bookmarkEnd w:id="2070"/>
    </w:p>
    <w:p>
      <w:pPr>
        <w:pStyle w:val="Footnoteheading"/>
        <w:keepNext/>
      </w:pPr>
      <w:r>
        <w:tab/>
        <w:t>[Heading inserted: see SA Act No. 33 of 2018 s. 21 and WA Gazette 5 Apr 2019 p. 1007.]</w:t>
      </w:r>
    </w:p>
    <w:p>
      <w:pPr>
        <w:pStyle w:val="Heading5"/>
      </w:pPr>
      <w:bookmarkStart w:id="2071" w:name="_Toc176259939"/>
      <w:r>
        <w:rPr>
          <w:rStyle w:val="CharSectno"/>
        </w:rPr>
        <w:t>95</w:t>
      </w:r>
      <w:r>
        <w:t>.</w:t>
      </w:r>
      <w:r>
        <w:tab/>
        <w:t>Definitions</w:t>
      </w:r>
      <w:bookmarkEnd w:id="2071"/>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lastRenderedPageBreak/>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2072" w:name="_Toc176259940"/>
      <w:r>
        <w:rPr>
          <w:rStyle w:val="CharSectno"/>
        </w:rPr>
        <w:t>96</w:t>
      </w:r>
      <w:r>
        <w:t>.</w:t>
      </w:r>
      <w:r>
        <w:tab/>
        <w:t>Making first rate of return instrument if review not completed before commencement</w:t>
      </w:r>
      <w:bookmarkEnd w:id="2072"/>
    </w:p>
    <w:p>
      <w:pPr>
        <w:keepNext/>
        <w:keepLines/>
        <w:tabs>
          <w:tab w:val="center" w:pos="1191"/>
          <w:tab w:val="left" w:pos="1588"/>
        </w:tabs>
        <w:autoSpaceDE w:val="0"/>
        <w:autoSpaceDN w:val="0"/>
        <w:adjustRightInd w:val="0"/>
        <w:spacing w:before="120"/>
        <w:ind w:left="1588" w:hanging="794"/>
        <w:rPr>
          <w:color w:val="000000"/>
          <w:sz w:val="23"/>
          <w:szCs w:val="23"/>
        </w:rPr>
      </w:pPr>
      <w:bookmarkStart w:id="2073" w:name="id99369711_09b7_4f6b_aaf3_74b8556267"/>
      <w:r>
        <w:rPr>
          <w:color w:val="000000"/>
          <w:sz w:val="23"/>
          <w:szCs w:val="23"/>
        </w:rPr>
        <w:tab/>
        <w:t>(1)</w:t>
      </w:r>
      <w:r>
        <w:rPr>
          <w:color w:val="000000"/>
          <w:sz w:val="23"/>
          <w:szCs w:val="23"/>
        </w:rPr>
        <w:tab/>
        <w:t>This clause applies if—</w:t>
      </w:r>
      <w:bookmarkEnd w:id="207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2074"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20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The independent panel mentioned in </w:t>
      </w:r>
      <w:hyperlink w:anchor="ida5cce094_141c_41e0_a614_ffea4c768c" w:history="1">
        <w:r>
          <w:rPr>
            <w:color w:val="000000"/>
            <w:sz w:val="23"/>
            <w:szCs w:val="23"/>
          </w:rPr>
          <w:t>subclause (1)(d)</w:t>
        </w:r>
      </w:hyperlink>
      <w:r>
        <w:rPr>
          <w:color w:val="000000"/>
          <w:sz w:val="23"/>
          <w:szCs w:val="23"/>
        </w:rPr>
        <w:t xml:space="preserve">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2075" w:name="_Toc176259941"/>
      <w:r>
        <w:rPr>
          <w:rStyle w:val="CharSectno"/>
        </w:rPr>
        <w:t>97</w:t>
      </w:r>
      <w:r>
        <w:t>.</w:t>
      </w:r>
      <w:r>
        <w:tab/>
        <w:t>Making first rate of return instrument if review completed before commencement</w:t>
      </w:r>
      <w:bookmarkEnd w:id="2075"/>
    </w:p>
    <w:p>
      <w:pPr>
        <w:keepNext/>
        <w:keepLines/>
        <w:tabs>
          <w:tab w:val="center" w:pos="1191"/>
          <w:tab w:val="left" w:pos="1588"/>
        </w:tabs>
        <w:autoSpaceDE w:val="0"/>
        <w:autoSpaceDN w:val="0"/>
        <w:adjustRightInd w:val="0"/>
        <w:spacing w:before="120"/>
        <w:ind w:left="1588" w:hanging="794"/>
        <w:rPr>
          <w:color w:val="000000"/>
          <w:sz w:val="23"/>
          <w:szCs w:val="23"/>
        </w:rPr>
      </w:pPr>
      <w:bookmarkStart w:id="2076" w:name="id66a9885b_573b_4c55_8dc5_e06cae8ccd"/>
      <w:r>
        <w:rPr>
          <w:color w:val="000000"/>
          <w:sz w:val="23"/>
          <w:szCs w:val="23"/>
        </w:rPr>
        <w:tab/>
        <w:t>(1)</w:t>
      </w:r>
      <w:r>
        <w:rPr>
          <w:color w:val="000000"/>
          <w:sz w:val="23"/>
          <w:szCs w:val="23"/>
        </w:rPr>
        <w:tab/>
        <w:t xml:space="preserve">This clause applies if, before the </w:t>
      </w:r>
      <w:bookmarkEnd w:id="2076"/>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2077" w:name="id7190fe64_4e8e_47c1_b3ab_817867f74d"/>
      <w:r>
        <w:rPr>
          <w:color w:val="000000"/>
          <w:sz w:val="23"/>
          <w:szCs w:val="23"/>
        </w:rPr>
        <w:tab/>
        <w:t>(e)</w:t>
      </w:r>
      <w:r>
        <w:rPr>
          <w:color w:val="000000"/>
          <w:sz w:val="23"/>
          <w:szCs w:val="23"/>
        </w:rPr>
        <w:tab/>
        <w:t>the independent panel gave the AER a report on the panel’s review.</w:t>
      </w:r>
      <w:bookmarkEnd w:id="20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 xml:space="preserve">The report mentioned in </w:t>
      </w:r>
      <w:hyperlink w:anchor="id7190fe64_4e8e_47c1_b3ab_817867f74d" w:history="1">
        <w:r>
          <w:rPr>
            <w:color w:val="000000"/>
            <w:sz w:val="23"/>
            <w:szCs w:val="23"/>
          </w:rPr>
          <w:t>subclause (1)(e)</w:t>
        </w:r>
      </w:hyperlink>
      <w:r>
        <w:rPr>
          <w:color w:val="000000"/>
          <w:sz w:val="23"/>
          <w:szCs w:val="23"/>
        </w:rPr>
        <w:t xml:space="preserve"> need not be a consensus report on the panel’s review.</w:t>
      </w:r>
    </w:p>
    <w:p>
      <w:pPr>
        <w:pStyle w:val="Footnotesection"/>
        <w:keepNext/>
        <w:keepLines w:val="0"/>
      </w:pPr>
      <w:r>
        <w:tab/>
        <w:t>[Clause 97 inserted: see SA Act No. 33 of 2018 s. 21 and WA Gazette 5 Apr 2019 p. 1007; modified: WA Act Sch. 1 cl. 18(5).]</w:t>
      </w:r>
    </w:p>
    <w:p>
      <w:pPr>
        <w:pStyle w:val="Heading5"/>
      </w:pPr>
      <w:bookmarkStart w:id="2078" w:name="_Toc176259942"/>
      <w:r>
        <w:rPr>
          <w:rStyle w:val="CharSectno"/>
        </w:rPr>
        <w:t>98</w:t>
      </w:r>
      <w:r>
        <w:t>.</w:t>
      </w:r>
      <w:r>
        <w:tab/>
        <w:t>Application of this Law to particular decisions</w:t>
      </w:r>
      <w:bookmarkEnd w:id="2078"/>
    </w:p>
    <w:p>
      <w:pPr>
        <w:keepNext/>
        <w:keepLines/>
        <w:tabs>
          <w:tab w:val="center" w:pos="1191"/>
          <w:tab w:val="left" w:pos="1588"/>
        </w:tabs>
        <w:autoSpaceDE w:val="0"/>
        <w:autoSpaceDN w:val="0"/>
        <w:adjustRightInd w:val="0"/>
        <w:spacing w:before="120"/>
        <w:ind w:left="1588" w:hanging="794"/>
        <w:rPr>
          <w:color w:val="000000"/>
          <w:sz w:val="23"/>
          <w:szCs w:val="23"/>
        </w:rPr>
      </w:pPr>
      <w:bookmarkStart w:id="2079"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20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w:t>
      </w:r>
      <w:hyperlink w:anchor="id89537a05_fac9_4083_93e3_ca00632e65" w:history="1">
        <w:r>
          <w:rPr>
            <w:color w:val="000000"/>
            <w:sz w:val="23"/>
            <w:szCs w:val="23"/>
          </w:rPr>
          <w:t>subclause (1)</w:t>
        </w:r>
      </w:hyperlink>
      <w:r>
        <w:rPr>
          <w:color w:val="000000"/>
          <w:sz w:val="23"/>
          <w:szCs w:val="23"/>
        </w:rPr>
        <w:t xml:space="preserve">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pStyle w:val="Heading3"/>
        <w:keepLines/>
        <w:rPr>
          <w:b w:val="0"/>
        </w:rPr>
      </w:pPr>
      <w:bookmarkStart w:id="2080" w:name="_Toc175836979"/>
      <w:bookmarkStart w:id="2081" w:name="_Toc175838091"/>
      <w:bookmarkStart w:id="2082" w:name="_Toc175842799"/>
      <w:bookmarkStart w:id="2083" w:name="_Toc175914406"/>
      <w:bookmarkStart w:id="2084" w:name="_Toc175915210"/>
      <w:bookmarkStart w:id="2085" w:name="_Toc175923101"/>
      <w:bookmarkStart w:id="2086" w:name="_Toc176257405"/>
      <w:bookmarkStart w:id="2087" w:name="_Toc176259943"/>
      <w:r>
        <w:rPr>
          <w:rStyle w:val="CharDivNo"/>
        </w:rPr>
        <w:t>Part 20</w:t>
      </w:r>
      <w:r>
        <w:t>—</w:t>
      </w:r>
      <w:r>
        <w:rPr>
          <w:rStyle w:val="CharDivText"/>
        </w:rPr>
        <w:t>Transitional provisions related to national gas objective amendments</w:t>
      </w:r>
      <w:bookmarkEnd w:id="2080"/>
      <w:bookmarkEnd w:id="2081"/>
      <w:bookmarkEnd w:id="2082"/>
      <w:bookmarkEnd w:id="2083"/>
      <w:bookmarkEnd w:id="2084"/>
      <w:bookmarkEnd w:id="2085"/>
      <w:bookmarkEnd w:id="2086"/>
      <w:bookmarkEnd w:id="2087"/>
    </w:p>
    <w:p>
      <w:pPr>
        <w:pStyle w:val="Footnoteheading"/>
        <w:keepNext/>
        <w:keepLines/>
      </w:pPr>
      <w:r>
        <w:tab/>
        <w:t>[Heading inserted: see SA Act No. 26 of 2023 s. 18 and WA Gazette 24 Jan 2024 p. 91-2.]</w:t>
      </w:r>
    </w:p>
    <w:p>
      <w:pPr>
        <w:pStyle w:val="Heading5"/>
        <w:rPr>
          <w:b w:val="0"/>
        </w:rPr>
      </w:pPr>
      <w:bookmarkStart w:id="2088" w:name="_Toc176259944"/>
      <w:r>
        <w:rPr>
          <w:rStyle w:val="CharSectno"/>
        </w:rPr>
        <w:t>133</w:t>
      </w:r>
      <w:r>
        <w:t>.</w:t>
      </w:r>
      <w:r>
        <w:tab/>
        <w:t>Definitions</w:t>
      </w:r>
      <w:bookmarkEnd w:id="2088"/>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pPr>
      <w:r>
        <w:rPr>
          <w:rStyle w:val="CharDefText"/>
          <w:sz w:val="23"/>
        </w:rPr>
        <w:t>adopting clause</w:t>
      </w:r>
      <w:r>
        <w:t xml:space="preserve"> means the </w:t>
      </w:r>
      <w:r>
        <w:rPr>
          <w:i/>
          <w:iCs/>
        </w:rPr>
        <w:t>National Gas Access (WA) Adoption of Amendments Order (No. 2) 2024</w:t>
      </w:r>
      <w:r>
        <w:t xml:space="preserve"> clause 3;</w:t>
      </w:r>
    </w:p>
    <w:p>
      <w:pPr>
        <w:keepLines/>
        <w:autoSpaceDE w:val="0"/>
        <w:autoSpaceDN w:val="0"/>
        <w:adjustRightInd w:val="0"/>
        <w:spacing w:before="120"/>
        <w:ind w:left="1588"/>
        <w:rPr>
          <w:color w:val="000000"/>
          <w:sz w:val="23"/>
          <w:szCs w:val="23"/>
        </w:rPr>
      </w:pPr>
      <w:r>
        <w:rPr>
          <w:b/>
          <w:bCs/>
          <w:i/>
          <w:iCs/>
          <w:color w:val="000000"/>
          <w:sz w:val="23"/>
          <w:szCs w:val="23"/>
        </w:rPr>
        <w:lastRenderedPageBreak/>
        <w:t>amended objective</w:t>
      </w:r>
      <w:r>
        <w:rPr>
          <w:color w:val="000000"/>
          <w:sz w:val="23"/>
          <w:szCs w:val="23"/>
        </w:rPr>
        <w:t xml:space="preserve"> means the national gas objective as in force </w:t>
      </w:r>
      <w:r>
        <w:rPr>
          <w:sz w:val="23"/>
          <w:szCs w:val="23"/>
        </w:rPr>
        <w:t>on</w:t>
      </w:r>
      <w:r>
        <w:rPr>
          <w:color w:val="000000"/>
          <w:sz w:val="23"/>
          <w:szCs w:val="23"/>
        </w:rPr>
        <w:t xml:space="preserve"> the </w:t>
      </w:r>
      <w:r>
        <w:t>coming into operation of the adopting clause;</w:t>
      </w:r>
    </w:p>
    <w:p>
      <w:pPr>
        <w:keepLines/>
        <w:autoSpaceDE w:val="0"/>
        <w:autoSpaceDN w:val="0"/>
        <w:adjustRightInd w:val="0"/>
        <w:spacing w:before="120"/>
        <w:ind w:left="1588"/>
        <w:rPr>
          <w:color w:val="000000"/>
          <w:sz w:val="23"/>
          <w:szCs w:val="23"/>
        </w:rPr>
      </w:pPr>
      <w:r>
        <w:rPr>
          <w:b/>
          <w:bCs/>
          <w:i/>
          <w:iCs/>
          <w:color w:val="000000"/>
          <w:sz w:val="23"/>
          <w:szCs w:val="23"/>
        </w:rPr>
        <w:t>government or regulatory entity</w:t>
      </w:r>
      <w:r>
        <w:rPr>
          <w:color w:val="000000"/>
          <w:sz w:val="23"/>
          <w:szCs w:val="23"/>
        </w:rPr>
        <w:t xml:space="preserve"> means the AEMC, AEMO, the AER, the Energy Security Board, the MCE or another government entity;</w:t>
      </w:r>
    </w:p>
    <w:p>
      <w:pPr>
        <w:keepLines/>
        <w:autoSpaceDE w:val="0"/>
        <w:autoSpaceDN w:val="0"/>
        <w:adjustRightInd w:val="0"/>
        <w:spacing w:before="120"/>
        <w:ind w:left="1588"/>
        <w:rPr>
          <w:color w:val="000000"/>
          <w:sz w:val="23"/>
          <w:szCs w:val="23"/>
        </w:rPr>
      </w:pPr>
      <w:r>
        <w:rPr>
          <w:b/>
          <w:bCs/>
          <w:i/>
          <w:iCs/>
          <w:color w:val="000000"/>
          <w:sz w:val="23"/>
          <w:szCs w:val="23"/>
        </w:rPr>
        <w:t>start day</w:t>
      </w:r>
      <w:r>
        <w:rPr>
          <w:color w:val="000000"/>
          <w:sz w:val="23"/>
          <w:szCs w:val="23"/>
        </w:rPr>
        <w:t xml:space="preserve">—see </w:t>
      </w:r>
      <w:r>
        <w:rPr>
          <w:sz w:val="23"/>
          <w:szCs w:val="23"/>
        </w:rPr>
        <w:t>clause</w:t>
      </w:r>
      <w:r>
        <w:rPr>
          <w:color w:val="000000"/>
          <w:sz w:val="23"/>
          <w:szCs w:val="23"/>
        </w:rPr>
        <w:t> 134(2)(a).</w:t>
      </w:r>
    </w:p>
    <w:p>
      <w:pPr>
        <w:pStyle w:val="Footnotesection"/>
      </w:pPr>
      <w:r>
        <w:tab/>
        <w:t>[Section 133 inserted: see SA Act No. 26 of 2023 s. 18 and WA Gazette 24 Jan 2024 p. 91-2; WA Act Sch. 1 cl. 18(7)-(9).]</w:t>
      </w:r>
    </w:p>
    <w:p>
      <w:pPr>
        <w:pStyle w:val="Heading5"/>
        <w:rPr>
          <w:b w:val="0"/>
        </w:rPr>
      </w:pPr>
      <w:bookmarkStart w:id="2089" w:name="_Toc176259945"/>
      <w:r>
        <w:rPr>
          <w:rStyle w:val="CharSectno"/>
        </w:rPr>
        <w:t>134</w:t>
      </w:r>
      <w:r>
        <w:t>.</w:t>
      </w:r>
      <w:r>
        <w:rPr>
          <w:rStyle w:val="CharSectno"/>
        </w:rPr>
        <w:tab/>
      </w:r>
      <w:r>
        <w:t>When amended objective takes effect for particular matters</w:t>
      </w:r>
      <w:bookmarkEnd w:id="2089"/>
    </w:p>
    <w:p>
      <w:pPr>
        <w:keepNext/>
        <w:keepLines/>
        <w:tabs>
          <w:tab w:val="center" w:pos="1191"/>
          <w:tab w:val="left" w:pos="1588"/>
        </w:tabs>
        <w:autoSpaceDE w:val="0"/>
        <w:autoSpaceDN w:val="0"/>
        <w:adjustRightInd w:val="0"/>
        <w:spacing w:before="120"/>
        <w:ind w:left="1588" w:hanging="794"/>
        <w:rPr>
          <w:color w:val="000000"/>
          <w:sz w:val="23"/>
          <w:szCs w:val="23"/>
        </w:rPr>
      </w:pPr>
      <w:bookmarkStart w:id="2090" w:name="idd83df2f1_70b7_484e_9edd_261c6b1787a9_d"/>
      <w:r>
        <w:rPr>
          <w:color w:val="000000"/>
          <w:sz w:val="23"/>
          <w:szCs w:val="23"/>
        </w:rPr>
        <w:tab/>
        <w:t>(1)</w:t>
      </w:r>
      <w:r>
        <w:rPr>
          <w:color w:val="000000"/>
          <w:sz w:val="23"/>
          <w:szCs w:val="23"/>
        </w:rPr>
        <w:tab/>
        <w:t>This clause applies in relation to a thing required or permitted to be done under this Law by a person or body, other than the AEMC, if, in doing the thing, the person or body is required to consider or apply the national gas objective including, for example, by—</w:t>
      </w:r>
      <w:bookmarkEnd w:id="209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having regard to the national gas </w:t>
      </w:r>
      <w:r>
        <w:t>objective</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doing the thing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2091" w:name="id311ff17d_2339_4408_af2a_aa9d20a74b35_2"/>
      <w:r>
        <w:rPr>
          <w:color w:val="000000"/>
          <w:sz w:val="23"/>
          <w:szCs w:val="23"/>
        </w:rPr>
        <w:tab/>
        <w:t>(2)</w:t>
      </w:r>
      <w:r>
        <w:rPr>
          <w:color w:val="000000"/>
          <w:sz w:val="23"/>
          <w:szCs w:val="23"/>
        </w:rPr>
        <w:tab/>
      </w:r>
      <w:r>
        <w:t>Despite the coming into operation of the adopting clause —</w:t>
      </w:r>
      <w:bookmarkEnd w:id="2091"/>
    </w:p>
    <w:p>
      <w:pPr>
        <w:keepLines/>
        <w:tabs>
          <w:tab w:val="center" w:pos="1985"/>
          <w:tab w:val="left" w:pos="2382"/>
        </w:tabs>
        <w:autoSpaceDE w:val="0"/>
        <w:autoSpaceDN w:val="0"/>
        <w:adjustRightInd w:val="0"/>
        <w:spacing w:before="120"/>
        <w:ind w:left="2382" w:hanging="794"/>
        <w:rPr>
          <w:color w:val="000000"/>
          <w:sz w:val="23"/>
          <w:szCs w:val="23"/>
        </w:rPr>
      </w:pPr>
      <w:bookmarkStart w:id="2092" w:name="id7f54bec1_5478_4c69_ad20_5b1e59560a8f_b"/>
      <w:r>
        <w:rPr>
          <w:color w:val="000000"/>
          <w:sz w:val="23"/>
          <w:szCs w:val="23"/>
        </w:rPr>
        <w:tab/>
        <w:t>(a)</w:t>
      </w:r>
      <w:r>
        <w:rPr>
          <w:color w:val="000000"/>
          <w:sz w:val="23"/>
          <w:szCs w:val="23"/>
        </w:rPr>
        <w:tab/>
        <w:t xml:space="preserve">the national gas objective as in force </w:t>
      </w:r>
      <w:r>
        <w:t>before</w:t>
      </w:r>
      <w:r>
        <w:rPr>
          <w:color w:val="000000"/>
          <w:sz w:val="23"/>
          <w:szCs w:val="23"/>
        </w:rPr>
        <w:t xml:space="preserve"> </w:t>
      </w:r>
      <w:r>
        <w:t>the adopting clause</w:t>
      </w:r>
      <w:r>
        <w:rPr>
          <w:color w:val="000000"/>
          <w:sz w:val="23"/>
          <w:szCs w:val="23"/>
        </w:rPr>
        <w:t xml:space="preserve"> came into operation continues to apply for the doing of the thing until the day (the </w:t>
      </w:r>
      <w:r>
        <w:rPr>
          <w:b/>
          <w:bCs/>
          <w:i/>
          <w:iCs/>
          <w:color w:val="000000"/>
          <w:sz w:val="23"/>
          <w:szCs w:val="23"/>
        </w:rPr>
        <w:t>start day</w:t>
      </w:r>
      <w:r>
        <w:rPr>
          <w:color w:val="000000"/>
          <w:sz w:val="23"/>
          <w:szCs w:val="23"/>
        </w:rPr>
        <w:t xml:space="preserve">) that is 2 months after the </w:t>
      </w:r>
      <w:r>
        <w:t>coming into operation of the adopting clause; and</w:t>
      </w:r>
      <w:bookmarkEnd w:id="2092"/>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amended objective applies in relation to the doing of the thing from the start day.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However, if the thing required or permitted to be done relates to a relevant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on the </w:t>
      </w:r>
      <w:r>
        <w:t>coming into operation of the adopting clause</w:t>
      </w:r>
      <w:r>
        <w:rPr>
          <w:color w:val="000000"/>
          <w:sz w:val="23"/>
          <w:szCs w:val="23"/>
        </w:rPr>
        <w:t xml:space="preserve"> the amended objective applies to the doing of the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clause 135(3) does not apply in relation to the doing of the thing.</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Subclauses (1) and (2) are subject to clause 135.</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autoSpaceDE w:val="0"/>
        <w:autoSpaceDN w:val="0"/>
        <w:adjustRightInd w:val="0"/>
        <w:spacing w:before="120"/>
        <w:ind w:left="1588"/>
        <w:rPr>
          <w:color w:val="000000"/>
          <w:sz w:val="23"/>
          <w:szCs w:val="23"/>
        </w:rPr>
      </w:pPr>
      <w:r>
        <w:rPr>
          <w:b/>
          <w:bCs/>
          <w:i/>
          <w:iCs/>
          <w:color w:val="000000"/>
          <w:sz w:val="23"/>
          <w:szCs w:val="23"/>
        </w:rPr>
        <w:t>relevant access arrangement</w:t>
      </w:r>
      <w:r>
        <w:rPr>
          <w:color w:val="000000"/>
          <w:sz w:val="23"/>
          <w:szCs w:val="23"/>
        </w:rPr>
        <w:t xml:space="preserve"> means an access arrangement under the Rules proposed to commence on 1 January 2025 for—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Mid-West and South-West Gas Distribution System comprised of the scheme distribution pipeline in Western Australia and defined in gas distribution licence 8 (as amended) issued under the </w:t>
      </w:r>
      <w:r>
        <w:rPr>
          <w:i/>
          <w:iCs/>
          <w:color w:val="000000"/>
          <w:sz w:val="23"/>
          <w:szCs w:val="23"/>
        </w:rPr>
        <w:t>Energy Coordination Act 1994</w:t>
      </w:r>
      <w:r>
        <w:rPr>
          <w:color w:val="000000"/>
          <w:sz w:val="23"/>
          <w:szCs w:val="23"/>
        </w:rPr>
        <w:t xml:space="preserve"> of Western Australia, including any extension to or expansion of the capacity of that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Goldfields Gas Pipeline comprised of the transmission pipeline between Yarraloola and Kalgoorlie in Western Australia and defined in Pipeline Licence 24 (as amended) issued under the </w:t>
      </w:r>
      <w:r>
        <w:rPr>
          <w:i/>
          <w:iCs/>
          <w:color w:val="000000"/>
          <w:sz w:val="23"/>
          <w:szCs w:val="23"/>
        </w:rPr>
        <w:t>Petroleum Pipelines Act 1969</w:t>
      </w:r>
      <w:r>
        <w:rPr>
          <w:color w:val="000000"/>
          <w:sz w:val="23"/>
          <w:szCs w:val="23"/>
        </w:rPr>
        <w:t xml:space="preserve"> of Western Australia, including an extension to or expansion of the capacity of, that pipeline.</w:t>
      </w:r>
    </w:p>
    <w:p>
      <w:pPr>
        <w:pStyle w:val="Footnotesection"/>
      </w:pPr>
      <w:r>
        <w:tab/>
        <w:t>[Section 134 inserted: see SA Act No. 26 of 2023 s. 18 and WA Gazette 24 Jan 2024 p. 91-2; WA Act Sch. 1 cl. 18(10).]</w:t>
      </w:r>
    </w:p>
    <w:p>
      <w:pPr>
        <w:pStyle w:val="Heading5"/>
        <w:rPr>
          <w:b w:val="0"/>
        </w:rPr>
      </w:pPr>
      <w:bookmarkStart w:id="2093" w:name="_Toc176259946"/>
      <w:r>
        <w:rPr>
          <w:rStyle w:val="CharSectno"/>
        </w:rPr>
        <w:lastRenderedPageBreak/>
        <w:t>135</w:t>
      </w:r>
      <w:r>
        <w:t>.</w:t>
      </w:r>
      <w:r>
        <w:rPr>
          <w:rStyle w:val="CharSectno"/>
        </w:rPr>
        <w:tab/>
      </w:r>
      <w:r>
        <w:t>Application of national gas objective to particular matters in progress on start day</w:t>
      </w:r>
      <w:bookmarkEnd w:id="2093"/>
    </w:p>
    <w:p>
      <w:pPr>
        <w:keepNext/>
        <w:keepLines/>
        <w:tabs>
          <w:tab w:val="center" w:pos="1191"/>
          <w:tab w:val="left" w:pos="1588"/>
        </w:tabs>
        <w:autoSpaceDE w:val="0"/>
        <w:autoSpaceDN w:val="0"/>
        <w:adjustRightInd w:val="0"/>
        <w:spacing w:before="120"/>
        <w:ind w:left="1588" w:hanging="794"/>
        <w:rPr>
          <w:color w:val="000000"/>
          <w:sz w:val="23"/>
          <w:szCs w:val="23"/>
        </w:rPr>
      </w:pPr>
      <w:bookmarkStart w:id="2094" w:name="id3865e079_e36a_4b6d_9786_cd37e8dbbe39_2"/>
      <w:r>
        <w:rPr>
          <w:color w:val="000000"/>
          <w:sz w:val="23"/>
          <w:szCs w:val="23"/>
        </w:rPr>
        <w:tab/>
        <w:t>(1)</w:t>
      </w:r>
      <w:r>
        <w:rPr>
          <w:color w:val="000000"/>
          <w:sz w:val="23"/>
          <w:szCs w:val="23"/>
        </w:rPr>
        <w:tab/>
        <w:t>This clause applies if—</w:t>
      </w:r>
      <w:bookmarkEnd w:id="209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before</w:t>
      </w:r>
      <w:r>
        <w:rPr>
          <w:color w:val="000000"/>
          <w:sz w:val="23"/>
          <w:szCs w:val="23"/>
        </w:rPr>
        <w:t xml:space="preserve"> the start day, a person or body had started, or was required or permitted to start, doing a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t>on</w:t>
      </w:r>
      <w:r>
        <w:rPr>
          <w:color w:val="000000"/>
          <w:sz w:val="23"/>
          <w:szCs w:val="23"/>
        </w:rPr>
        <w:t xml:space="preserve"> the start day—</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the person or body has not finished doing the thing;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the period within which the thing is required or permitted to be done has not 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in doing the thing the person or body is </w:t>
      </w:r>
      <w:r>
        <w:t>required</w:t>
      </w:r>
      <w:r>
        <w:rPr>
          <w:color w:val="000000"/>
          <w:sz w:val="23"/>
          <w:szCs w:val="23"/>
        </w:rPr>
        <w:t xml:space="preserve"> to consider or apply the national gas objective by, for example—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having regard to the national gas objective;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doing the thing in a manner that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national gas objective as in force before the </w:t>
      </w:r>
      <w:r>
        <w:t xml:space="preserve">coming into operation of the adopting clause, </w:t>
      </w:r>
      <w:r>
        <w:rPr>
          <w:color w:val="000000"/>
          <w:sz w:val="23"/>
          <w:szCs w:val="23"/>
        </w:rPr>
        <w:t>and as continued in effect under clause 134 until the start day, continues to apply in relation to the doing of the thing.</w:t>
      </w:r>
    </w:p>
    <w:p>
      <w:pPr>
        <w:keepLines/>
        <w:tabs>
          <w:tab w:val="center" w:pos="1191"/>
          <w:tab w:val="left" w:pos="1588"/>
        </w:tabs>
        <w:autoSpaceDE w:val="0"/>
        <w:autoSpaceDN w:val="0"/>
        <w:adjustRightInd w:val="0"/>
        <w:spacing w:before="120"/>
        <w:ind w:left="1588" w:hanging="794"/>
        <w:rPr>
          <w:color w:val="000000"/>
          <w:sz w:val="23"/>
          <w:szCs w:val="23"/>
        </w:rPr>
      </w:pPr>
      <w:bookmarkStart w:id="2095" w:name="id1ace0c4c_6d87_4c9a_b20f_b8e3df31d2ba_a"/>
      <w:r>
        <w:rPr>
          <w:color w:val="000000"/>
          <w:sz w:val="23"/>
          <w:szCs w:val="23"/>
        </w:rPr>
        <w:tab/>
        <w:t>(3)</w:t>
      </w:r>
      <w:r>
        <w:rPr>
          <w:color w:val="000000"/>
          <w:sz w:val="23"/>
          <w:szCs w:val="23"/>
        </w:rPr>
        <w:tab/>
        <w:t>However, a government or regulatory entity may decide to consider or apply the amended objective in relation to the doing of the thing.</w:t>
      </w:r>
      <w:bookmarkEnd w:id="209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subclause (1), a matter relating to an access arrangement is taken not to have been started, or required or permitted to have been started, before the start day if, on the start day, the access arrangement proposal for the </w:t>
      </w:r>
      <w:r>
        <w:rPr>
          <w:color w:val="000000"/>
          <w:sz w:val="23"/>
          <w:szCs w:val="23"/>
        </w:rPr>
        <w:lastRenderedPageBreak/>
        <w:t>access arrangement has not been submitted for the AER’s approval under Rule 46 of the Rules.</w:t>
      </w:r>
    </w:p>
    <w:p>
      <w:pPr>
        <w:pStyle w:val="Footnotesection"/>
      </w:pPr>
      <w:r>
        <w:tab/>
        <w:t>[Section 135 inserted: see SA Act No. 26 of 2023 s. 18 and WA Gazette 24 Jan 2024 p. 91-2; WA Act Sch. 1 cl. 18(11).]</w:t>
      </w:r>
    </w:p>
    <w:p>
      <w:pPr>
        <w:pStyle w:val="Heading5"/>
        <w:rPr>
          <w:b w:val="0"/>
        </w:rPr>
      </w:pPr>
      <w:bookmarkStart w:id="2096" w:name="_Toc176259947"/>
      <w:r>
        <w:rPr>
          <w:rStyle w:val="CharSectno"/>
        </w:rPr>
        <w:t>136</w:t>
      </w:r>
      <w:r>
        <w:t>.</w:t>
      </w:r>
      <w:r>
        <w:rPr>
          <w:rStyle w:val="CharSectno"/>
        </w:rPr>
        <w:tab/>
      </w:r>
      <w:r>
        <w:t>Administrative guidance for decisions under clause 135(3)</w:t>
      </w:r>
      <w:bookmarkEnd w:id="2096"/>
    </w:p>
    <w:p>
      <w:pPr>
        <w:tabs>
          <w:tab w:val="center" w:pos="1191"/>
          <w:tab w:val="left" w:pos="1588"/>
        </w:tabs>
        <w:autoSpaceDE w:val="0"/>
        <w:autoSpaceDN w:val="0"/>
        <w:adjustRightInd w:val="0"/>
        <w:spacing w:before="120"/>
        <w:ind w:left="1588" w:hanging="794"/>
        <w:rPr>
          <w:color w:val="000000"/>
          <w:sz w:val="23"/>
          <w:szCs w:val="23"/>
        </w:rPr>
      </w:pPr>
      <w:bookmarkStart w:id="2097" w:name="id12f6ea1c_5f93_4f9c_992c_c3d70668a60e_8"/>
      <w:r>
        <w:rPr>
          <w:color w:val="000000"/>
          <w:sz w:val="23"/>
          <w:szCs w:val="23"/>
        </w:rPr>
        <w:tab/>
        <w:t>(1)</w:t>
      </w:r>
      <w:r>
        <w:rPr>
          <w:color w:val="000000"/>
          <w:sz w:val="23"/>
          <w:szCs w:val="23"/>
        </w:rPr>
        <w:tab/>
        <w:t xml:space="preserve">If a government or regulatory entity, other than the AER, proposes to exercise a discretion under clause 135(3), the entity must use its best endeavours to ensure that within 45 days after the </w:t>
      </w:r>
      <w:r>
        <w:t xml:space="preserve">coming into operation of the adopting clause, </w:t>
      </w:r>
      <w:r>
        <w:rPr>
          <w:color w:val="000000"/>
          <w:sz w:val="23"/>
          <w:szCs w:val="23"/>
        </w:rPr>
        <w:t>it issues administrative guidance about the matters the entity is likely to have regard to in deciding whether to consider or apply the amended objective in doing a thing.</w:t>
      </w:r>
      <w:bookmarkEnd w:id="20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within 45 days after the </w:t>
      </w:r>
      <w:r>
        <w:t xml:space="preserve">coming into operation of the adopting clause, </w:t>
      </w:r>
      <w:r>
        <w:rPr>
          <w:color w:val="000000"/>
          <w:sz w:val="23"/>
          <w:szCs w:val="23"/>
        </w:rPr>
        <w:t>issue administrative guidance about the matters the AER is likely to have regard to in deciding whether to consider or apply the amended objective in doing a 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failure to comply with this section does not prevent a government or regulatory entity from exercising a discretion under clause 135(3).</w:t>
      </w:r>
    </w:p>
    <w:p>
      <w:pPr>
        <w:pStyle w:val="Footnotesection"/>
      </w:pPr>
      <w:r>
        <w:tab/>
        <w:t>[Section 136 inserted: see SA Act No. 26 of 2023 s. 18 and WA Gazette 24 Jan 2024 p. 91-2; WA Act Sch. 1 cl. 18(12).]</w:t>
      </w:r>
    </w:p>
    <w:p>
      <w:pPr>
        <w:pStyle w:val="Heading5"/>
        <w:rPr>
          <w:b w:val="0"/>
        </w:rPr>
      </w:pPr>
      <w:bookmarkStart w:id="2098" w:name="_Toc176259948"/>
      <w:r>
        <w:rPr>
          <w:rStyle w:val="CharSectno"/>
        </w:rPr>
        <w:t>137</w:t>
      </w:r>
      <w:r>
        <w:t>.</w:t>
      </w:r>
      <w:r>
        <w:rPr>
          <w:rStyle w:val="CharSectno"/>
        </w:rPr>
        <w:tab/>
      </w:r>
      <w:r>
        <w:t>Administrative guidance about value of greenhouse gas</w:t>
      </w:r>
      <w:r>
        <w:rPr>
          <w:b w:val="0"/>
          <w:bCs/>
          <w:color w:val="000000"/>
          <w:sz w:val="26"/>
          <w:szCs w:val="26"/>
        </w:rPr>
        <w:t xml:space="preserve"> </w:t>
      </w:r>
      <w:r>
        <w:t>emissions</w:t>
      </w:r>
      <w:bookmarkEnd w:id="2098"/>
    </w:p>
    <w:p>
      <w:pPr>
        <w:keepNext/>
        <w:keepLines/>
        <w:tabs>
          <w:tab w:val="center" w:pos="1191"/>
          <w:tab w:val="left" w:pos="1588"/>
        </w:tabs>
        <w:autoSpaceDE w:val="0"/>
        <w:autoSpaceDN w:val="0"/>
        <w:adjustRightInd w:val="0"/>
        <w:spacing w:before="120"/>
        <w:ind w:left="1588" w:hanging="794"/>
        <w:rPr>
          <w:color w:val="000000"/>
          <w:sz w:val="23"/>
          <w:szCs w:val="23"/>
        </w:rPr>
      </w:pPr>
      <w:bookmarkStart w:id="2099" w:name="idd64a52b3_8889_4bc2_86e2_66e6e48e9279_4"/>
      <w:r>
        <w:rPr>
          <w:color w:val="000000"/>
          <w:sz w:val="23"/>
          <w:szCs w:val="23"/>
        </w:rPr>
        <w:tab/>
        <w:t>(1)</w:t>
      </w:r>
      <w:r>
        <w:rPr>
          <w:color w:val="000000"/>
          <w:sz w:val="23"/>
          <w:szCs w:val="23"/>
        </w:rPr>
        <w:tab/>
        <w:t>This clause applies if—</w:t>
      </w:r>
      <w:bookmarkEnd w:id="209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administrative</w:t>
      </w:r>
      <w:r>
        <w:rPr>
          <w:color w:val="000000"/>
          <w:sz w:val="23"/>
          <w:szCs w:val="23"/>
        </w:rPr>
        <w:t xml:space="preserve"> guidance is issued by a government or regulatory entity about considering or applying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guidance includes the value, or a method of working out the value, of </w:t>
      </w:r>
      <w:r>
        <w:t>greenhouse</w:t>
      </w:r>
      <w:r>
        <w:rPr>
          <w:color w:val="000000"/>
          <w:sz w:val="23"/>
          <w:szCs w:val="23"/>
        </w:rPr>
        <w:t xml:space="preserve"> gas emissions or greenhouse gas emissions reduction;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guidance is consistent with any MCE statement.</w:t>
      </w:r>
    </w:p>
    <w:p>
      <w:pPr>
        <w:keepNext/>
        <w:tabs>
          <w:tab w:val="center" w:pos="1191"/>
          <w:tab w:val="left" w:pos="1588"/>
        </w:tabs>
        <w:autoSpaceDE w:val="0"/>
        <w:autoSpaceDN w:val="0"/>
        <w:adjustRightInd w:val="0"/>
        <w:spacing w:before="120"/>
        <w:ind w:left="1588" w:hanging="794"/>
        <w:rPr>
          <w:color w:val="000000"/>
          <w:sz w:val="23"/>
          <w:szCs w:val="23"/>
        </w:rPr>
      </w:pPr>
      <w:bookmarkStart w:id="2100" w:name="idb84c930c_f7da_44bb_8922_c64ed3c49250_6"/>
      <w:r>
        <w:rPr>
          <w:color w:val="000000"/>
          <w:sz w:val="23"/>
          <w:szCs w:val="23"/>
        </w:rPr>
        <w:tab/>
        <w:t>(2)</w:t>
      </w:r>
      <w:r>
        <w:rPr>
          <w:color w:val="000000"/>
          <w:sz w:val="23"/>
          <w:szCs w:val="23"/>
        </w:rPr>
        <w:tab/>
        <w:t>The value or method stated in the administrative guidance must be complied with by the government or regulatory entity in considering or applying the amended objective.</w:t>
      </w:r>
      <w:bookmarkEnd w:id="2100"/>
    </w:p>
    <w:p>
      <w:pPr>
        <w:keepNext/>
        <w:tabs>
          <w:tab w:val="center" w:pos="1191"/>
          <w:tab w:val="left" w:pos="1588"/>
        </w:tabs>
        <w:autoSpaceDE w:val="0"/>
        <w:autoSpaceDN w:val="0"/>
        <w:adjustRightInd w:val="0"/>
        <w:spacing w:before="120"/>
        <w:ind w:left="1588" w:hanging="794"/>
        <w:rPr>
          <w:color w:val="000000"/>
          <w:sz w:val="23"/>
          <w:szCs w:val="23"/>
        </w:rPr>
      </w:pPr>
      <w:bookmarkStart w:id="2101" w:name="id49659f8d_d8d4_416b_81e1_f227b0a59eb3_7"/>
      <w:r>
        <w:rPr>
          <w:color w:val="000000"/>
          <w:sz w:val="23"/>
          <w:szCs w:val="23"/>
        </w:rPr>
        <w:tab/>
        <w:t>(3)</w:t>
      </w:r>
      <w:r>
        <w:rPr>
          <w:color w:val="000000"/>
          <w:sz w:val="23"/>
          <w:szCs w:val="23"/>
        </w:rPr>
        <w:tab/>
        <w:t>This clause applies until a Regulation or Rule takes effect for the matter described in subclause (1).</w:t>
      </w:r>
      <w:bookmarkEnd w:id="2101"/>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Next/>
        <w:autoSpaceDE w:val="0"/>
        <w:autoSpaceDN w:val="0"/>
        <w:adjustRightInd w:val="0"/>
        <w:spacing w:before="120"/>
        <w:ind w:left="1588"/>
        <w:rPr>
          <w:color w:val="000000"/>
          <w:sz w:val="23"/>
          <w:szCs w:val="23"/>
        </w:rPr>
      </w:pPr>
      <w:r>
        <w:rPr>
          <w:b/>
          <w:bCs/>
          <w:i/>
          <w:iCs/>
          <w:color w:val="000000"/>
          <w:sz w:val="23"/>
          <w:szCs w:val="23"/>
        </w:rPr>
        <w:t>MCE statement</w:t>
      </w:r>
      <w:r>
        <w:rPr>
          <w:color w:val="000000"/>
          <w:sz w:val="23"/>
          <w:szCs w:val="23"/>
        </w:rPr>
        <w: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objective until a Regulation or Rule mentioned in subclause (3) takes effect.</w:t>
      </w:r>
    </w:p>
    <w:p>
      <w:pPr>
        <w:pStyle w:val="Footnotesection"/>
      </w:pPr>
      <w:r>
        <w:tab/>
        <w:t>[Section 137 inserted: see SA Act No. 26 of 2023 s. 18 and WA Gazette 24 Jan 2024 p. 91-2.]</w:t>
      </w:r>
    </w:p>
    <w:p>
      <w:pPr>
        <w:pStyle w:val="Heading5"/>
        <w:rPr>
          <w:b w:val="0"/>
        </w:rPr>
      </w:pPr>
      <w:bookmarkStart w:id="2102" w:name="_Toc176259949"/>
      <w:r>
        <w:rPr>
          <w:rStyle w:val="CharSectno"/>
        </w:rPr>
        <w:t>138</w:t>
      </w:r>
      <w:r>
        <w:t>.</w:t>
      </w:r>
      <w:r>
        <w:rPr>
          <w:rStyle w:val="CharSectno"/>
        </w:rPr>
        <w:tab/>
      </w:r>
      <w:r>
        <w:t>Validation of things done in relation to Rules before commencement</w:t>
      </w:r>
      <w:bookmarkEnd w:id="21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This clause applies if, before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MCE or a Minister of a participating </w:t>
      </w:r>
      <w:r>
        <w:t>jurisdiction</w:t>
      </w:r>
      <w:r>
        <w:rPr>
          <w:color w:val="000000"/>
          <w:sz w:val="23"/>
          <w:szCs w:val="23"/>
        </w:rPr>
        <w:t xml:space="preserve"> had requested a Rule under section 295(1) in relation to the national gas objective as if the amended objective were in force;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AEMC had done a thing under Chapter 9, other than sections 313 to 315, in </w:t>
      </w:r>
      <w:r>
        <w:t>relation</w:t>
      </w:r>
      <w:r>
        <w:rPr>
          <w:color w:val="000000"/>
          <w:sz w:val="23"/>
          <w:szCs w:val="23"/>
        </w:rPr>
        <w:t xml:space="preserve"> to the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On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the</w:t>
      </w:r>
      <w:r>
        <w:rPr>
          <w:color w:val="000000"/>
          <w:sz w:val="23"/>
          <w:szCs w:val="23"/>
        </w:rPr>
        <w:t xml:space="preserve"> thing is taken to have been validly done under Chapter 9; and</w:t>
      </w:r>
    </w:p>
    <w:p>
      <w:pPr>
        <w:keepLines/>
        <w:tabs>
          <w:tab w:val="center" w:pos="1985"/>
          <w:tab w:val="left" w:pos="2382"/>
        </w:tabs>
        <w:autoSpaceDE w:val="0"/>
        <w:autoSpaceDN w:val="0"/>
        <w:adjustRightInd w:val="0"/>
        <w:spacing w:before="120"/>
        <w:ind w:left="2382" w:hanging="794"/>
      </w:pPr>
      <w:r>
        <w:rPr>
          <w:color w:val="000000"/>
          <w:sz w:val="23"/>
          <w:szCs w:val="23"/>
        </w:rPr>
        <w:lastRenderedPageBreak/>
        <w:tab/>
        <w:t>(b)</w:t>
      </w:r>
      <w:r>
        <w:rPr>
          <w:color w:val="000000"/>
          <w:sz w:val="23"/>
          <w:szCs w:val="23"/>
        </w:rPr>
        <w:tab/>
        <w:t>the AEMC is taken to have satisfied a requirement under the Law to apply the national gas objective in relation to the thing.</w:t>
      </w:r>
    </w:p>
    <w:p>
      <w:pPr>
        <w:pStyle w:val="Footnotesection"/>
      </w:pPr>
      <w:r>
        <w:tab/>
        <w:t>[Section 138 inserted: see SA Act No. 26 of 2023 s. 18 and WA Gazette 24 Jan 2024 p. 91-2; WA Act Sch. 1 cl. 18(13).]</w:t>
      </w:r>
    </w:p>
    <w:p>
      <w:pPr>
        <w:pStyle w:val="Footnotesection"/>
      </w:pPr>
    </w:p>
    <w:p>
      <w:pPr>
        <w:sectPr>
          <w:headerReference w:type="even" r:id="rId40"/>
          <w:headerReference w:type="default" r:id="rId41"/>
          <w:endnotePr>
            <w:numFmt w:val="decimal"/>
          </w:endnotePr>
          <w:pgSz w:w="11907" w:h="16840" w:code="9"/>
          <w:pgMar w:top="2381" w:right="2410" w:bottom="3544" w:left="2410" w:header="720" w:footer="3544" w:gutter="0"/>
          <w:cols w:space="720"/>
          <w:docGrid w:linePitch="326"/>
        </w:sectPr>
      </w:pPr>
    </w:p>
    <w:p>
      <w:pPr>
        <w:pStyle w:val="nHeading2"/>
      </w:pPr>
      <w:bookmarkStart w:id="2103" w:name="_Toc175836986"/>
      <w:bookmarkStart w:id="2104" w:name="_Toc175838098"/>
      <w:bookmarkStart w:id="2105" w:name="_Toc175842806"/>
      <w:bookmarkStart w:id="2106" w:name="_Toc175914413"/>
      <w:bookmarkStart w:id="2107" w:name="_Toc175915217"/>
      <w:bookmarkStart w:id="2108" w:name="_Toc175923108"/>
      <w:bookmarkStart w:id="2109" w:name="_Toc176257412"/>
      <w:bookmarkStart w:id="2110" w:name="_Toc176259950"/>
      <w:r>
        <w:lastRenderedPageBreak/>
        <w:t>Notes about the Western Australian National Gas Access Law text</w:t>
      </w:r>
      <w:bookmarkEnd w:id="2103"/>
      <w:bookmarkEnd w:id="2104"/>
      <w:bookmarkEnd w:id="2105"/>
      <w:bookmarkEnd w:id="2106"/>
      <w:bookmarkEnd w:id="2107"/>
      <w:bookmarkEnd w:id="2108"/>
      <w:bookmarkEnd w:id="2109"/>
      <w:bookmarkEnd w:id="2110"/>
    </w:p>
    <w:p>
      <w:pPr>
        <w:pStyle w:val="nHeading3"/>
        <w:rPr>
          <w:snapToGrid w:val="0"/>
        </w:rPr>
      </w:pPr>
      <w:bookmarkStart w:id="2111" w:name="_Toc176259951"/>
      <w:r>
        <w:rPr>
          <w:snapToGrid w:val="0"/>
        </w:rPr>
        <w:t>Compilation table</w:t>
      </w:r>
      <w:bookmarkEnd w:id="2111"/>
    </w:p>
    <w:p>
      <w:pPr>
        <w:pStyle w:val="nStatement"/>
      </w:pPr>
      <w:r>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Note"/>
        <w:tabs>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10"/>
        <w:gridCol w:w="2030"/>
        <w:gridCol w:w="2640"/>
      </w:tblGrid>
      <w:tr>
        <w:trPr>
          <w:cantSplit/>
          <w:tblHeader/>
        </w:trPr>
        <w:tc>
          <w:tcPr>
            <w:tcW w:w="241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Source</w:t>
            </w:r>
          </w:p>
        </w:tc>
        <w:tc>
          <w:tcPr>
            <w:tcW w:w="203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autoSpaceDE w:val="0"/>
              <w:autoSpaceDN w:val="0"/>
              <w:adjustRightInd w:val="0"/>
              <w:spacing w:before="80"/>
              <w:rPr>
                <w:b/>
                <w:bCs/>
                <w:color w:val="000000"/>
                <w:sz w:val="20"/>
              </w:rPr>
            </w:pPr>
            <w:r>
              <w:rPr>
                <w:b/>
                <w:bCs/>
                <w:color w:val="000000"/>
                <w:sz w:val="20"/>
              </w:rPr>
              <w:t>Commencement</w:t>
            </w:r>
          </w:p>
        </w:tc>
      </w:tr>
      <w:tr>
        <w:trPr>
          <w:cantSplit/>
        </w:trPr>
        <w:tc>
          <w:tcPr>
            <w:tcW w:w="2410" w:type="dxa"/>
            <w:tcBorders>
              <w:top w:val="single" w:sz="4" w:space="0" w:color="auto"/>
            </w:tcBorders>
          </w:tcPr>
          <w:p>
            <w:pPr>
              <w:autoSpaceDE w:val="0"/>
              <w:autoSpaceDN w:val="0"/>
              <w:adjustRightInd w:val="0"/>
              <w:spacing w:before="80"/>
              <w:rPr>
                <w:color w:val="000000"/>
                <w:sz w:val="20"/>
                <w:vertAlign w:val="superscript"/>
              </w:rPr>
            </w:pPr>
            <w:r>
              <w:rPr>
                <w:i/>
                <w:iCs/>
                <w:color w:val="000000"/>
                <w:sz w:val="20"/>
              </w:rPr>
              <w:t xml:space="preserve">National Gas (South Australia)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2030" w:type="dxa"/>
            <w:tcBorders>
              <w:top w:val="single" w:sz="4" w:space="0" w:color="auto"/>
            </w:tcBorders>
          </w:tcPr>
          <w:p>
            <w:pPr>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10" w:type="dxa"/>
          </w:tcPr>
          <w:p>
            <w:pPr>
              <w:autoSpaceDE w:val="0"/>
              <w:autoSpaceDN w:val="0"/>
              <w:adjustRightInd w:val="0"/>
              <w:spacing w:before="80"/>
              <w:rPr>
                <w:color w:val="000000"/>
                <w:sz w:val="20"/>
                <w:vertAlign w:val="superscript"/>
              </w:rPr>
            </w:pPr>
            <w:r>
              <w:rPr>
                <w:i/>
                <w:iCs/>
                <w:color w:val="000000"/>
                <w:sz w:val="20"/>
              </w:rPr>
              <w:t>National Gas (South Australia) (National Gas Law—Australian Energy Market Operator) Amendment Act 2009</w:t>
            </w:r>
            <w:r>
              <w:rPr>
                <w:color w:val="000000"/>
                <w:sz w:val="20"/>
              </w:rPr>
              <w:t xml:space="preserve"> s. 6</w:t>
            </w:r>
            <w:r>
              <w:rPr>
                <w:i/>
                <w:iCs/>
                <w:color w:val="000000"/>
                <w:sz w:val="20"/>
              </w:rPr>
              <w:t xml:space="preserve"> </w:t>
            </w:r>
          </w:p>
        </w:tc>
        <w:tc>
          <w:tcPr>
            <w:tcW w:w="2030" w:type="dxa"/>
          </w:tcPr>
          <w:p>
            <w:pPr>
              <w:autoSpaceDE w:val="0"/>
              <w:autoSpaceDN w:val="0"/>
              <w:adjustRightInd w:val="0"/>
              <w:spacing w:before="80"/>
              <w:rPr>
                <w:i/>
                <w:iCs/>
                <w:color w:val="000000"/>
                <w:sz w:val="20"/>
              </w:rPr>
            </w:pPr>
            <w:r>
              <w:rPr>
                <w:color w:val="000000"/>
                <w:sz w:val="20"/>
              </w:rPr>
              <w:t xml:space="preserve">SA Act No. 30 of 2009 </w:t>
            </w:r>
          </w:p>
        </w:tc>
        <w:tc>
          <w:tcPr>
            <w:tcW w:w="2640" w:type="dxa"/>
          </w:tcPr>
          <w:p>
            <w:pPr>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10" w:type="dxa"/>
          </w:tcPr>
          <w:p>
            <w:pPr>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2030" w:type="dxa"/>
          </w:tcPr>
          <w:p>
            <w:pPr>
              <w:autoSpaceDE w:val="0"/>
              <w:autoSpaceDN w:val="0"/>
              <w:adjustRightInd w:val="0"/>
              <w:spacing w:before="80"/>
              <w:rPr>
                <w:color w:val="000000"/>
                <w:sz w:val="20"/>
              </w:rPr>
            </w:pPr>
            <w:r>
              <w:rPr>
                <w:color w:val="000000"/>
                <w:sz w:val="20"/>
              </w:rPr>
              <w:t>SA Act No. 79 of 2013</w:t>
            </w:r>
          </w:p>
        </w:tc>
        <w:tc>
          <w:tcPr>
            <w:tcW w:w="2640" w:type="dxa"/>
          </w:tcPr>
          <w:p>
            <w:pPr>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r>
        <w:trPr>
          <w:cantSplit/>
        </w:trPr>
        <w:tc>
          <w:tcPr>
            <w:tcW w:w="2410" w:type="dxa"/>
          </w:tcPr>
          <w:p>
            <w:pPr>
              <w:autoSpaceDE w:val="0"/>
              <w:autoSpaceDN w:val="0"/>
              <w:adjustRightInd w:val="0"/>
              <w:spacing w:before="80"/>
              <w:rPr>
                <w:iCs/>
                <w:color w:val="000000"/>
                <w:sz w:val="20"/>
              </w:rPr>
            </w:pPr>
            <w:r>
              <w:rPr>
                <w:i/>
                <w:iCs/>
                <w:color w:val="000000"/>
                <w:sz w:val="20"/>
              </w:rPr>
              <w:t>National Gas (South Australia) (Pipelines Access—Arbitration) Amendment Act 2017</w:t>
            </w:r>
          </w:p>
        </w:tc>
        <w:tc>
          <w:tcPr>
            <w:tcW w:w="2030" w:type="dxa"/>
          </w:tcPr>
          <w:p>
            <w:pPr>
              <w:autoSpaceDE w:val="0"/>
              <w:autoSpaceDN w:val="0"/>
              <w:adjustRightInd w:val="0"/>
              <w:spacing w:before="80"/>
              <w:rPr>
                <w:color w:val="000000"/>
                <w:sz w:val="20"/>
              </w:rPr>
            </w:pPr>
            <w:r>
              <w:rPr>
                <w:color w:val="000000"/>
                <w:sz w:val="20"/>
              </w:rPr>
              <w:t>SA Act No. 23 of 2017</w:t>
            </w:r>
          </w:p>
        </w:tc>
        <w:tc>
          <w:tcPr>
            <w:tcW w:w="2640" w:type="dxa"/>
          </w:tcPr>
          <w:p>
            <w:pPr>
              <w:autoSpaceDE w:val="0"/>
              <w:autoSpaceDN w:val="0"/>
              <w:adjustRightInd w:val="0"/>
              <w:spacing w:before="80"/>
              <w:rPr>
                <w:i/>
                <w:color w:val="000000"/>
                <w:sz w:val="20"/>
              </w:rPr>
            </w:pPr>
            <w:r>
              <w:rPr>
                <w:color w:val="000000"/>
                <w:sz w:val="20"/>
              </w:rPr>
              <w:t xml:space="preserve">In SA: 1 Aug 2017 (see </w:t>
            </w:r>
            <w:r>
              <w:rPr>
                <w:i/>
                <w:color w:val="000000"/>
                <w:sz w:val="20"/>
              </w:rPr>
              <w:t>SA Gazette</w:t>
            </w:r>
            <w:r>
              <w:rPr>
                <w:color w:val="000000"/>
                <w:sz w:val="20"/>
              </w:rPr>
              <w:t xml:space="preserve"> 1 Aug 2017 p. 3037)</w:t>
            </w:r>
          </w:p>
          <w:p>
            <w:pPr>
              <w:autoSpaceDE w:val="0"/>
              <w:autoSpaceDN w:val="0"/>
              <w:adjustRightInd w:val="0"/>
              <w:spacing w:before="80"/>
              <w:rPr>
                <w:color w:val="000000"/>
                <w:sz w:val="20"/>
              </w:rPr>
            </w:pPr>
            <w:r>
              <w:rPr>
                <w:color w:val="000000"/>
                <w:sz w:val="20"/>
              </w:rPr>
              <w:t xml:space="preserve">In WA: 23 Dec 2017 (see </w:t>
            </w:r>
            <w:r>
              <w:rPr>
                <w:i/>
                <w:color w:val="000000"/>
                <w:sz w:val="20"/>
              </w:rPr>
              <w:t>WA Gazette</w:t>
            </w:r>
            <w:r>
              <w:rPr>
                <w:color w:val="000000"/>
                <w:sz w:val="20"/>
              </w:rPr>
              <w:t xml:space="preserve"> 22 Dec 2017 p. 5984)</w:t>
            </w:r>
          </w:p>
        </w:tc>
      </w:tr>
      <w:tr>
        <w:trPr>
          <w:cantSplit/>
        </w:trPr>
        <w:tc>
          <w:tcPr>
            <w:tcW w:w="2410" w:type="dxa"/>
          </w:tcPr>
          <w:p>
            <w:pPr>
              <w:autoSpaceDE w:val="0"/>
              <w:autoSpaceDN w:val="0"/>
              <w:adjustRightInd w:val="0"/>
              <w:spacing w:before="80"/>
              <w:rPr>
                <w:i/>
                <w:iCs/>
                <w:color w:val="000000"/>
                <w:sz w:val="20"/>
              </w:rPr>
            </w:pPr>
            <w:r>
              <w:rPr>
                <w:i/>
                <w:iCs/>
                <w:color w:val="000000"/>
                <w:sz w:val="20"/>
              </w:rPr>
              <w:lastRenderedPageBreak/>
              <w:t>Statutes Amendment (National Energy Laws) (Rules) Act 2018</w:t>
            </w:r>
          </w:p>
        </w:tc>
        <w:tc>
          <w:tcPr>
            <w:tcW w:w="2030" w:type="dxa"/>
          </w:tcPr>
          <w:p>
            <w:pPr>
              <w:autoSpaceDE w:val="0"/>
              <w:autoSpaceDN w:val="0"/>
              <w:adjustRightInd w:val="0"/>
              <w:spacing w:before="80"/>
              <w:rPr>
                <w:color w:val="000000"/>
                <w:sz w:val="20"/>
              </w:rPr>
            </w:pPr>
            <w:r>
              <w:rPr>
                <w:color w:val="000000"/>
                <w:sz w:val="20"/>
              </w:rPr>
              <w:t>SA Act No. 12 of 2018</w:t>
            </w:r>
          </w:p>
        </w:tc>
        <w:tc>
          <w:tcPr>
            <w:tcW w:w="2640" w:type="dxa"/>
          </w:tcPr>
          <w:p>
            <w:pPr>
              <w:autoSpaceDE w:val="0"/>
              <w:autoSpaceDN w:val="0"/>
              <w:adjustRightInd w:val="0"/>
              <w:spacing w:before="80"/>
              <w:rPr>
                <w:color w:val="000000"/>
                <w:sz w:val="20"/>
              </w:rPr>
            </w:pPr>
            <w:r>
              <w:rPr>
                <w:color w:val="000000"/>
                <w:sz w:val="20"/>
              </w:rPr>
              <w:t xml:space="preserve">In SA: 20 Sep 2018 (see </w:t>
            </w:r>
            <w:r>
              <w:rPr>
                <w:i/>
                <w:color w:val="000000"/>
                <w:sz w:val="20"/>
              </w:rPr>
              <w:t>SA Gazette</w:t>
            </w:r>
            <w:r>
              <w:rPr>
                <w:color w:val="000000"/>
                <w:sz w:val="20"/>
              </w:rPr>
              <w:t xml:space="preserve"> 20 Sep 2018 p. 3500)</w:t>
            </w:r>
          </w:p>
          <w:p>
            <w:pPr>
              <w:autoSpaceDE w:val="0"/>
              <w:autoSpaceDN w:val="0"/>
              <w:adjustRightInd w:val="0"/>
              <w:spacing w:before="80"/>
              <w:rPr>
                <w:color w:val="000000"/>
                <w:sz w:val="20"/>
              </w:rPr>
            </w:pPr>
            <w:r>
              <w:rPr>
                <w:color w:val="000000"/>
                <w:sz w:val="20"/>
              </w:rPr>
              <w:t>In WA: 10 Oct 2020 (see SL 2020/195 cl. 2(b))</w:t>
            </w:r>
          </w:p>
        </w:tc>
      </w:tr>
      <w:tr>
        <w:trPr>
          <w:cantSplit/>
        </w:trPr>
        <w:tc>
          <w:tcPr>
            <w:tcW w:w="2410" w:type="dxa"/>
          </w:tcPr>
          <w:p>
            <w:pPr>
              <w:keepLines/>
              <w:autoSpaceDE w:val="0"/>
              <w:autoSpaceDN w:val="0"/>
              <w:adjustRightInd w:val="0"/>
              <w:spacing w:before="80"/>
              <w:rPr>
                <w:i/>
                <w:iCs/>
                <w:color w:val="000000"/>
                <w:sz w:val="20"/>
              </w:rPr>
            </w:pPr>
            <w:r>
              <w:rPr>
                <w:i/>
                <w:iCs/>
                <w:color w:val="000000"/>
                <w:sz w:val="20"/>
              </w:rPr>
              <w:t>Statutes Amendment (National Energy Laws) (Binding Rate of Return Instrument) Act 2018</w:t>
            </w:r>
            <w:r>
              <w:rPr>
                <w:iCs/>
                <w:color w:val="000000"/>
                <w:sz w:val="20"/>
              </w:rPr>
              <w:t xml:space="preserve"> Pt. 3</w:t>
            </w:r>
          </w:p>
        </w:tc>
        <w:tc>
          <w:tcPr>
            <w:tcW w:w="2030" w:type="dxa"/>
          </w:tcPr>
          <w:p>
            <w:pPr>
              <w:keepLines/>
              <w:autoSpaceDE w:val="0"/>
              <w:autoSpaceDN w:val="0"/>
              <w:adjustRightInd w:val="0"/>
              <w:spacing w:before="80"/>
              <w:rPr>
                <w:color w:val="000000"/>
                <w:sz w:val="20"/>
              </w:rPr>
            </w:pPr>
            <w:r>
              <w:rPr>
                <w:color w:val="000000"/>
                <w:sz w:val="20"/>
              </w:rPr>
              <w:t>SA Act No. 33 of 2018</w:t>
            </w:r>
          </w:p>
        </w:tc>
        <w:tc>
          <w:tcPr>
            <w:tcW w:w="2640" w:type="dxa"/>
          </w:tcPr>
          <w:p>
            <w:pPr>
              <w:keepLines/>
              <w:autoSpaceDE w:val="0"/>
              <w:autoSpaceDN w:val="0"/>
              <w:adjustRightInd w:val="0"/>
              <w:spacing w:before="80"/>
              <w:rPr>
                <w:color w:val="000000"/>
                <w:sz w:val="20"/>
              </w:rPr>
            </w:pPr>
            <w:r>
              <w:rPr>
                <w:color w:val="000000"/>
                <w:sz w:val="20"/>
              </w:rPr>
              <w:t xml:space="preserve">In SA: 13 Dec 2018 (see </w:t>
            </w:r>
            <w:r>
              <w:rPr>
                <w:i/>
                <w:color w:val="000000"/>
                <w:sz w:val="20"/>
              </w:rPr>
              <w:t>SA Gazette</w:t>
            </w:r>
            <w:r>
              <w:rPr>
                <w:color w:val="000000"/>
                <w:sz w:val="20"/>
              </w:rPr>
              <w:t xml:space="preserve"> 13 Dec 2018 p. 4272)</w:t>
            </w:r>
          </w:p>
          <w:p>
            <w:pPr>
              <w:keepLines/>
              <w:autoSpaceDE w:val="0"/>
              <w:autoSpaceDN w:val="0"/>
              <w:adjustRightInd w:val="0"/>
              <w:spacing w:before="80"/>
              <w:rPr>
                <w:color w:val="000000"/>
                <w:sz w:val="20"/>
              </w:rPr>
            </w:pPr>
            <w:r>
              <w:rPr>
                <w:color w:val="000000"/>
                <w:sz w:val="20"/>
              </w:rPr>
              <w:t xml:space="preserve">In WA: 6 Apr 2019 (see </w:t>
            </w:r>
            <w:r>
              <w:rPr>
                <w:i/>
                <w:color w:val="000000"/>
                <w:sz w:val="20"/>
              </w:rPr>
              <w:t>WA Gazette</w:t>
            </w:r>
            <w:r>
              <w:rPr>
                <w:color w:val="000000"/>
                <w:sz w:val="20"/>
              </w:rPr>
              <w:t xml:space="preserve"> 5 Apr 2019 p. 1007)</w:t>
            </w:r>
          </w:p>
        </w:tc>
      </w:tr>
      <w:tr>
        <w:trPr>
          <w:cantSplit/>
        </w:trPr>
        <w:tc>
          <w:tcPr>
            <w:tcW w:w="2410" w:type="dxa"/>
          </w:tcPr>
          <w:p>
            <w:pPr>
              <w:keepLines/>
              <w:autoSpaceDE w:val="0"/>
              <w:autoSpaceDN w:val="0"/>
              <w:adjustRightInd w:val="0"/>
              <w:spacing w:before="80"/>
              <w:rPr>
                <w:color w:val="000000"/>
                <w:sz w:val="20"/>
              </w:rPr>
            </w:pPr>
            <w:r>
              <w:rPr>
                <w:i/>
                <w:iCs/>
                <w:color w:val="000000"/>
                <w:sz w:val="20"/>
              </w:rPr>
              <w:t>Statutes Amendment (National Energy Laws) (Penalties and Enforcement) Act 2020</w:t>
            </w:r>
            <w:r>
              <w:rPr>
                <w:color w:val="000000"/>
                <w:sz w:val="20"/>
              </w:rPr>
              <w:t xml:space="preserve"> </w:t>
            </w:r>
            <w:r>
              <w:rPr>
                <w:color w:val="000000"/>
                <w:sz w:val="20"/>
              </w:rPr>
              <w:br/>
              <w:t>Pt. 4 (other than s. 55</w:t>
            </w:r>
            <w:r>
              <w:rPr>
                <w:color w:val="000000"/>
                <w:sz w:val="20"/>
              </w:rPr>
              <w:noBreakHyphen/>
              <w:t>60)</w:t>
            </w:r>
          </w:p>
        </w:tc>
        <w:tc>
          <w:tcPr>
            <w:tcW w:w="2030" w:type="dxa"/>
          </w:tcPr>
          <w:p>
            <w:pPr>
              <w:keepLines/>
              <w:autoSpaceDE w:val="0"/>
              <w:autoSpaceDN w:val="0"/>
              <w:adjustRightInd w:val="0"/>
              <w:spacing w:before="80"/>
              <w:rPr>
                <w:color w:val="000000"/>
                <w:sz w:val="20"/>
              </w:rPr>
            </w:pPr>
            <w:r>
              <w:rPr>
                <w:color w:val="000000"/>
                <w:sz w:val="20"/>
              </w:rPr>
              <w:t>SA Act No. 37 of 2020</w:t>
            </w:r>
          </w:p>
        </w:tc>
        <w:tc>
          <w:tcPr>
            <w:tcW w:w="2640" w:type="dxa"/>
          </w:tcPr>
          <w:p>
            <w:pPr>
              <w:keepLines/>
              <w:autoSpaceDE w:val="0"/>
              <w:autoSpaceDN w:val="0"/>
              <w:adjustRightInd w:val="0"/>
              <w:spacing w:before="80"/>
              <w:rPr>
                <w:color w:val="000000"/>
                <w:sz w:val="20"/>
              </w:rPr>
            </w:pPr>
            <w:r>
              <w:rPr>
                <w:color w:val="000000"/>
                <w:sz w:val="20"/>
              </w:rPr>
              <w:t xml:space="preserve">In SA: 29 Jan 2021 (see </w:t>
            </w:r>
            <w:r>
              <w:rPr>
                <w:i/>
                <w:iCs/>
                <w:color w:val="000000"/>
                <w:sz w:val="20"/>
              </w:rPr>
              <w:t>SA Gazette</w:t>
            </w:r>
            <w:r>
              <w:rPr>
                <w:color w:val="000000"/>
                <w:sz w:val="20"/>
              </w:rPr>
              <w:t xml:space="preserve"> 27 Jan 2021 p. 163)</w:t>
            </w:r>
          </w:p>
          <w:p>
            <w:pPr>
              <w:keepLines/>
              <w:autoSpaceDE w:val="0"/>
              <w:autoSpaceDN w:val="0"/>
              <w:adjustRightInd w:val="0"/>
              <w:spacing w:before="80"/>
              <w:rPr>
                <w:color w:val="000000"/>
                <w:sz w:val="20"/>
              </w:rPr>
            </w:pPr>
            <w:r>
              <w:rPr>
                <w:color w:val="000000"/>
                <w:sz w:val="20"/>
              </w:rPr>
              <w:t xml:space="preserve">In WA: 5 Sep 2024 (see </w:t>
            </w:r>
            <w:r>
              <w:rPr>
                <w:i/>
                <w:iCs/>
                <w:color w:val="000000"/>
                <w:sz w:val="20"/>
              </w:rPr>
              <w:t>WA</w:t>
            </w:r>
            <w:r>
              <w:rPr>
                <w:color w:val="000000"/>
                <w:sz w:val="20"/>
              </w:rPr>
              <w:t xml:space="preserve"> </w:t>
            </w:r>
            <w:r>
              <w:rPr>
                <w:i/>
                <w:iCs/>
                <w:color w:val="000000"/>
                <w:sz w:val="20"/>
              </w:rPr>
              <w:t>Gazette</w:t>
            </w:r>
            <w:r>
              <w:rPr>
                <w:color w:val="000000"/>
                <w:sz w:val="20"/>
              </w:rPr>
              <w:t xml:space="preserve"> 4 Sep 2024 p. 2215)</w:t>
            </w:r>
          </w:p>
        </w:tc>
      </w:tr>
      <w:tr>
        <w:trPr>
          <w:cantSplit/>
        </w:trPr>
        <w:tc>
          <w:tcPr>
            <w:tcW w:w="2410" w:type="dxa"/>
            <w:tcBorders>
              <w:bottom w:val="single" w:sz="4" w:space="0" w:color="auto"/>
            </w:tcBorders>
          </w:tcPr>
          <w:p>
            <w:pPr>
              <w:keepLines/>
              <w:autoSpaceDE w:val="0"/>
              <w:autoSpaceDN w:val="0"/>
              <w:adjustRightInd w:val="0"/>
              <w:spacing w:before="80"/>
              <w:rPr>
                <w:i/>
                <w:iCs/>
                <w:color w:val="000000"/>
                <w:sz w:val="20"/>
              </w:rPr>
            </w:pPr>
            <w:r>
              <w:rPr>
                <w:i/>
                <w:iCs/>
                <w:color w:val="000000"/>
                <w:sz w:val="20"/>
              </w:rPr>
              <w:t>Statutes Amendment (National Energy Laws) (Emissions Reduction Objectives) Act 2023</w:t>
            </w:r>
          </w:p>
        </w:tc>
        <w:tc>
          <w:tcPr>
            <w:tcW w:w="2030" w:type="dxa"/>
            <w:tcBorders>
              <w:bottom w:val="single" w:sz="4" w:space="0" w:color="auto"/>
            </w:tcBorders>
          </w:tcPr>
          <w:p>
            <w:pPr>
              <w:keepLines/>
              <w:autoSpaceDE w:val="0"/>
              <w:autoSpaceDN w:val="0"/>
              <w:adjustRightInd w:val="0"/>
              <w:spacing w:before="80"/>
              <w:rPr>
                <w:color w:val="000000"/>
                <w:sz w:val="20"/>
              </w:rPr>
            </w:pPr>
            <w:r>
              <w:rPr>
                <w:color w:val="000000"/>
                <w:sz w:val="20"/>
              </w:rPr>
              <w:t>SA Act No. 26 of 2023</w:t>
            </w:r>
          </w:p>
        </w:tc>
        <w:tc>
          <w:tcPr>
            <w:tcW w:w="2640" w:type="dxa"/>
            <w:tcBorders>
              <w:bottom w:val="single" w:sz="4" w:space="0" w:color="auto"/>
            </w:tcBorders>
          </w:tcPr>
          <w:p>
            <w:pPr>
              <w:keepLines/>
              <w:autoSpaceDE w:val="0"/>
              <w:autoSpaceDN w:val="0"/>
              <w:adjustRightInd w:val="0"/>
              <w:spacing w:before="80"/>
              <w:rPr>
                <w:color w:val="000000"/>
                <w:sz w:val="20"/>
              </w:rPr>
            </w:pPr>
            <w:r>
              <w:rPr>
                <w:color w:val="000000"/>
                <w:sz w:val="20"/>
              </w:rPr>
              <w:t>In SA: 21 Sep 2023 (see s. 2)</w:t>
            </w:r>
          </w:p>
          <w:p>
            <w:pPr>
              <w:keepLines/>
              <w:autoSpaceDE w:val="0"/>
              <w:autoSpaceDN w:val="0"/>
              <w:adjustRightInd w:val="0"/>
              <w:spacing w:before="80"/>
              <w:rPr>
                <w:color w:val="000000"/>
                <w:sz w:val="20"/>
              </w:rPr>
            </w:pPr>
            <w:r>
              <w:rPr>
                <w:color w:val="000000"/>
                <w:sz w:val="20"/>
              </w:rPr>
              <w:t xml:space="preserve">In WA: 25 Jan 2024 (see </w:t>
            </w:r>
            <w:r>
              <w:rPr>
                <w:i/>
                <w:iCs/>
                <w:color w:val="000000"/>
                <w:sz w:val="20"/>
              </w:rPr>
              <w:t>WA Gazette</w:t>
            </w:r>
            <w:r>
              <w:rPr>
                <w:color w:val="000000"/>
                <w:sz w:val="20"/>
              </w:rPr>
              <w:t xml:space="preserve"> 24 Jan 2024 p. 91-2)</w:t>
            </w:r>
          </w:p>
        </w:tc>
      </w:tr>
    </w:tbl>
    <w:p/>
    <w:p>
      <w:pPr>
        <w:sectPr>
          <w:headerReference w:type="even" r:id="rId42"/>
          <w:headerReference w:type="default" r:id="rId43"/>
          <w:pgSz w:w="11907" w:h="16840" w:code="9"/>
          <w:pgMar w:top="2376" w:right="2405" w:bottom="3542" w:left="2405" w:header="706" w:footer="3544" w:gutter="0"/>
          <w:cols w:space="720"/>
          <w:noEndnote/>
          <w:docGrid w:linePitch="326"/>
        </w:sectPr>
      </w:pPr>
    </w:p>
    <w:p>
      <w:pPr>
        <w:keepNext/>
        <w:jc w:val="center"/>
        <w:outlineLvl w:val="1"/>
        <w:rPr>
          <w:b/>
          <w:snapToGrid w:val="0"/>
          <w:sz w:val="28"/>
        </w:rPr>
      </w:pPr>
      <w:r>
        <w:rPr>
          <w:b/>
          <w:snapToGrid w:val="0"/>
          <w:sz w:val="28"/>
        </w:rPr>
        <w:lastRenderedPageBreak/>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w:t>
      </w:r>
    </w:p>
    <w:p>
      <w:pPr>
        <w:ind w:left="850" w:right="850"/>
        <w:jc w:val="center"/>
        <w:rPr>
          <w:i/>
          <w:sz w:val="18"/>
        </w:rPr>
      </w:pPr>
      <w:r>
        <w:rPr>
          <w:i/>
          <w:sz w:val="18"/>
        </w:rPr>
        <w:t>Unless otherwise indicated references are to provisions in the Note.</w:t>
      </w:r>
    </w:p>
    <w:p>
      <w:pPr>
        <w:ind w:left="850" w:right="850"/>
        <w:jc w:val="center"/>
        <w:rPr>
          <w:i/>
          <w:sz w:val="18"/>
        </w:rPr>
      </w:pPr>
      <w:r>
        <w:rPr>
          <w:i/>
          <w:sz w:val="18"/>
        </w:rP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tabs>
          <w:tab w:val="right" w:leader="dot" w:pos="7070"/>
        </w:tabs>
        <w:ind w:left="578" w:right="578"/>
        <w:rPr>
          <w:sz w:val="20"/>
        </w:rPr>
      </w:pPr>
      <w:r>
        <w:rPr>
          <w:sz w:val="20"/>
        </w:rPr>
        <w:t>15</w:t>
      </w:r>
      <w:r>
        <w:rPr>
          <w:sz w:val="20"/>
        </w:rPr>
        <w:noBreakHyphen/>
        <w:t>year no</w:t>
      </w:r>
      <w:r>
        <w:rPr>
          <w:sz w:val="20"/>
        </w:rPr>
        <w:noBreakHyphen/>
        <w:t>coverage determination</w:t>
      </w:r>
      <w:r>
        <w:rPr>
          <w:sz w:val="20"/>
        </w:rPr>
        <w:tab/>
        <w:t>2, 151(1)</w:t>
      </w:r>
    </w:p>
    <w:p>
      <w:pPr>
        <w:tabs>
          <w:tab w:val="right" w:leader="dot" w:pos="7070"/>
        </w:tabs>
        <w:ind w:left="578" w:right="578"/>
        <w:rPr>
          <w:sz w:val="20"/>
        </w:rPr>
      </w:pPr>
      <w:r>
        <w:rPr>
          <w:sz w:val="20"/>
        </w:rPr>
        <w:t>2013 non-binding guideline</w:t>
      </w:r>
      <w:r>
        <w:rPr>
          <w:sz w:val="20"/>
        </w:rPr>
        <w:tab/>
        <w:t>Sch. 3 cl. 95</w:t>
      </w:r>
    </w:p>
    <w:p>
      <w:pPr>
        <w:tabs>
          <w:tab w:val="right" w:leader="dot" w:pos="7070"/>
        </w:tabs>
        <w:ind w:left="578" w:right="578"/>
        <w:rPr>
          <w:sz w:val="20"/>
        </w:rPr>
      </w:pPr>
      <w:r>
        <w:rPr>
          <w:sz w:val="20"/>
        </w:rPr>
        <w:t>ACCC</w:t>
      </w:r>
      <w:r>
        <w:rPr>
          <w:sz w:val="20"/>
        </w:rPr>
        <w:tab/>
        <w:t>2</w:t>
      </w:r>
    </w:p>
    <w:p>
      <w:pPr>
        <w:tabs>
          <w:tab w:val="right" w:leader="dot" w:pos="7070"/>
        </w:tabs>
        <w:ind w:left="578" w:right="578"/>
        <w:rPr>
          <w:sz w:val="20"/>
        </w:rPr>
      </w:pPr>
      <w:r>
        <w:rPr>
          <w:sz w:val="20"/>
        </w:rPr>
        <w:t>access arrangement</w:t>
      </w:r>
      <w:r>
        <w:rPr>
          <w:sz w:val="20"/>
        </w:rPr>
        <w:tab/>
        <w:t>2</w:t>
      </w:r>
    </w:p>
    <w:p>
      <w:pPr>
        <w:tabs>
          <w:tab w:val="right" w:leader="dot" w:pos="7070"/>
        </w:tabs>
        <w:ind w:left="578" w:right="578"/>
        <w:rPr>
          <w:sz w:val="20"/>
        </w:rPr>
      </w:pPr>
      <w:r>
        <w:rPr>
          <w:sz w:val="20"/>
        </w:rPr>
        <w:t>access arrangement revision proposal</w:t>
      </w:r>
      <w:r>
        <w:rPr>
          <w:sz w:val="20"/>
        </w:rPr>
        <w:tab/>
        <w:t>Sch. 3 cl. 30</w:t>
      </w:r>
    </w:p>
    <w:p>
      <w:pPr>
        <w:tabs>
          <w:tab w:val="right" w:leader="dot" w:pos="7070"/>
        </w:tabs>
        <w:ind w:left="578" w:right="578"/>
        <w:rPr>
          <w:sz w:val="20"/>
        </w:rPr>
      </w:pPr>
      <w:r>
        <w:rPr>
          <w:sz w:val="20"/>
        </w:rPr>
        <w:t>access determination</w:t>
      </w:r>
      <w:r>
        <w:rPr>
          <w:sz w:val="20"/>
        </w:rPr>
        <w:tab/>
        <w:t>2, 216A</w:t>
      </w:r>
    </w:p>
    <w:p>
      <w:pPr>
        <w:tabs>
          <w:tab w:val="right" w:leader="dot" w:pos="7070"/>
        </w:tabs>
        <w:ind w:left="578" w:right="578"/>
        <w:rPr>
          <w:sz w:val="20"/>
        </w:rPr>
      </w:pPr>
      <w:r>
        <w:rPr>
          <w:sz w:val="20"/>
        </w:rPr>
        <w:t>access dispute</w:t>
      </w:r>
      <w:r>
        <w:rPr>
          <w:sz w:val="20"/>
        </w:rPr>
        <w:tab/>
        <w:t>178, 216A</w:t>
      </w:r>
    </w:p>
    <w:p>
      <w:pPr>
        <w:tabs>
          <w:tab w:val="right" w:leader="dot" w:pos="7070"/>
        </w:tabs>
        <w:ind w:left="578" w:right="578"/>
        <w:rPr>
          <w:sz w:val="20"/>
        </w:rPr>
      </w:pPr>
      <w:r>
        <w:rPr>
          <w:sz w:val="20"/>
        </w:rPr>
        <w:t xml:space="preserve">access dispute pipeline </w:t>
      </w:r>
      <w:r>
        <w:rPr>
          <w:sz w:val="20"/>
        </w:rPr>
        <w:tab/>
        <w:t>178</w:t>
      </w:r>
    </w:p>
    <w:p>
      <w:pPr>
        <w:tabs>
          <w:tab w:val="right" w:leader="dot" w:pos="7070"/>
        </w:tabs>
        <w:ind w:left="578" w:right="578"/>
        <w:rPr>
          <w:sz w:val="20"/>
        </w:rPr>
      </w:pPr>
      <w:r>
        <w:rPr>
          <w:sz w:val="20"/>
        </w:rPr>
        <w:t>Act</w:t>
      </w:r>
      <w:r>
        <w:rPr>
          <w:sz w:val="20"/>
        </w:rPr>
        <w:tab/>
        <w:t>Sch. 2 cl. 10</w:t>
      </w:r>
    </w:p>
    <w:p>
      <w:pPr>
        <w:tabs>
          <w:tab w:val="right" w:leader="dot" w:pos="7070"/>
        </w:tabs>
        <w:ind w:left="578" w:right="578"/>
        <w:rPr>
          <w:sz w:val="20"/>
        </w:rPr>
      </w:pPr>
      <w:r>
        <w:rPr>
          <w:sz w:val="20"/>
        </w:rPr>
        <w:t>acting SES employee</w:t>
      </w:r>
      <w:r>
        <w:rPr>
          <w:sz w:val="20"/>
        </w:rPr>
        <w:tab/>
        <w:t>Sch. 2 cl. 33</w:t>
      </w:r>
    </w:p>
    <w:p>
      <w:pPr>
        <w:tabs>
          <w:tab w:val="right" w:leader="dot" w:pos="7070"/>
        </w:tabs>
        <w:ind w:left="578" w:right="578"/>
        <w:rPr>
          <w:sz w:val="20"/>
        </w:rPr>
      </w:pPr>
      <w:r>
        <w:rPr>
          <w:sz w:val="20"/>
        </w:rPr>
        <w:t>active request</w:t>
      </w:r>
      <w:r>
        <w:rPr>
          <w:sz w:val="20"/>
        </w:rPr>
        <w:tab/>
        <w:t>301(1)</w:t>
      </w:r>
    </w:p>
    <w:p>
      <w:pPr>
        <w:tabs>
          <w:tab w:val="right" w:leader="dot" w:pos="7070"/>
        </w:tabs>
        <w:ind w:left="578" w:right="578"/>
        <w:rPr>
          <w:sz w:val="20"/>
        </w:rPr>
      </w:pPr>
      <w:r>
        <w:rPr>
          <w:sz w:val="20"/>
        </w:rPr>
        <w:t>additional instrument making power</w:t>
      </w:r>
      <w:r>
        <w:rPr>
          <w:sz w:val="20"/>
        </w:rPr>
        <w:tab/>
        <w:t>Sch. 2 cl. 27</w:t>
      </w:r>
    </w:p>
    <w:p>
      <w:pPr>
        <w:tabs>
          <w:tab w:val="right" w:leader="dot" w:pos="7070"/>
        </w:tabs>
        <w:ind w:left="578" w:right="578"/>
        <w:rPr>
          <w:sz w:val="20"/>
        </w:rPr>
      </w:pPr>
      <w:r>
        <w:rPr>
          <w:sz w:val="20"/>
        </w:rPr>
        <w:t>additional ring fencing requirement</w:t>
      </w:r>
      <w:r>
        <w:rPr>
          <w:sz w:val="20"/>
        </w:rPr>
        <w:tab/>
        <w:t>137, 143(1)</w:t>
      </w:r>
    </w:p>
    <w:p>
      <w:pPr>
        <w:tabs>
          <w:tab w:val="right" w:leader="dot" w:pos="7070"/>
        </w:tabs>
        <w:ind w:left="578" w:right="578"/>
        <w:rPr>
          <w:sz w:val="20"/>
        </w:rPr>
      </w:pPr>
      <w:r>
        <w:rPr>
          <w:sz w:val="20"/>
        </w:rPr>
        <w:t>adjacent area in respect of the State</w:t>
      </w:r>
      <w:r>
        <w:rPr>
          <w:sz w:val="20"/>
        </w:rPr>
        <w:tab/>
        <w:t>Act 5(2)</w:t>
      </w:r>
    </w:p>
    <w:p>
      <w:pPr>
        <w:tabs>
          <w:tab w:val="right" w:leader="dot" w:pos="7070"/>
        </w:tabs>
        <w:ind w:left="578" w:right="578"/>
        <w:rPr>
          <w:sz w:val="20"/>
        </w:rPr>
      </w:pPr>
      <w:r>
        <w:rPr>
          <w:sz w:val="20"/>
        </w:rPr>
        <w:t>adjacent area of another participating jurisdiction</w:t>
      </w:r>
      <w:r>
        <w:rPr>
          <w:sz w:val="20"/>
        </w:rPr>
        <w:tab/>
        <w:t>Act 9(1)</w:t>
      </w:r>
    </w:p>
    <w:p>
      <w:pPr>
        <w:tabs>
          <w:tab w:val="right" w:leader="dot" w:pos="7070"/>
        </w:tabs>
        <w:ind w:left="578" w:right="578"/>
        <w:rPr>
          <w:sz w:val="20"/>
        </w:rPr>
      </w:pPr>
      <w:r>
        <w:rPr>
          <w:sz w:val="20"/>
        </w:rPr>
        <w:t>adjacent area of this jurisdiction</w:t>
      </w:r>
      <w:r>
        <w:rPr>
          <w:sz w:val="20"/>
        </w:rPr>
        <w:tab/>
        <w:t>Act 9(1)</w:t>
      </w:r>
    </w:p>
    <w:p>
      <w:pPr>
        <w:tabs>
          <w:tab w:val="right" w:leader="dot" w:pos="7070"/>
        </w:tabs>
        <w:ind w:left="578" w:right="578"/>
        <w:rPr>
          <w:sz w:val="20"/>
        </w:rPr>
      </w:pPr>
      <w:r>
        <w:rPr>
          <w:sz w:val="20"/>
        </w:rPr>
        <w:t>AEMC</w:t>
      </w:r>
      <w:r>
        <w:rPr>
          <w:sz w:val="20"/>
        </w:rPr>
        <w:tab/>
        <w:t>2</w:t>
      </w:r>
    </w:p>
    <w:p>
      <w:pPr>
        <w:tabs>
          <w:tab w:val="right" w:leader="dot" w:pos="7070"/>
        </w:tabs>
        <w:ind w:left="578" w:right="578"/>
        <w:rPr>
          <w:sz w:val="20"/>
        </w:rPr>
      </w:pPr>
      <w:r>
        <w:rPr>
          <w:sz w:val="20"/>
        </w:rPr>
        <w:t>AEMC chief executive</w:t>
      </w:r>
      <w:r>
        <w:rPr>
          <w:sz w:val="20"/>
        </w:rPr>
        <w:tab/>
        <w:t>Sch. 2 cl. 33</w:t>
      </w:r>
    </w:p>
    <w:p>
      <w:pPr>
        <w:tabs>
          <w:tab w:val="right" w:leader="dot" w:pos="7070"/>
        </w:tabs>
        <w:ind w:left="578" w:right="578"/>
        <w:rPr>
          <w:sz w:val="20"/>
        </w:rPr>
      </w:pPr>
      <w:r>
        <w:rPr>
          <w:sz w:val="20"/>
        </w:rPr>
        <w:t>AEMC Commissioner</w:t>
      </w:r>
      <w:r>
        <w:rPr>
          <w:sz w:val="20"/>
        </w:rPr>
        <w:tab/>
        <w:t>Sch. 2 cl. 33</w:t>
      </w:r>
    </w:p>
    <w:p>
      <w:pPr>
        <w:tabs>
          <w:tab w:val="right" w:leader="dot" w:pos="7070"/>
        </w:tabs>
        <w:ind w:left="578" w:right="578"/>
        <w:rPr>
          <w:sz w:val="20"/>
        </w:rPr>
      </w:pPr>
      <w:r>
        <w:rPr>
          <w:sz w:val="20"/>
        </w:rPr>
        <w:t>AEMC initiated Rule</w:t>
      </w:r>
      <w:r>
        <w:rPr>
          <w:sz w:val="20"/>
        </w:rPr>
        <w:tab/>
        <w:t>290</w:t>
      </w:r>
    </w:p>
    <w:p>
      <w:pPr>
        <w:tabs>
          <w:tab w:val="right" w:leader="dot" w:pos="7070"/>
        </w:tabs>
        <w:ind w:left="578" w:right="578"/>
        <w:rPr>
          <w:sz w:val="20"/>
        </w:rPr>
      </w:pPr>
      <w:r>
        <w:rPr>
          <w:sz w:val="20"/>
        </w:rPr>
        <w:t>AEMC official</w:t>
      </w:r>
      <w:r>
        <w:rPr>
          <w:sz w:val="20"/>
        </w:rPr>
        <w:tab/>
        <w:t>86(3)</w:t>
      </w:r>
    </w:p>
    <w:p>
      <w:pPr>
        <w:tabs>
          <w:tab w:val="right" w:leader="dot" w:pos="7070"/>
        </w:tabs>
        <w:ind w:left="578" w:right="578"/>
        <w:rPr>
          <w:sz w:val="20"/>
        </w:rPr>
      </w:pPr>
      <w:r>
        <w:rPr>
          <w:sz w:val="20"/>
        </w:rPr>
        <w:t>AEMC Rule review</w:t>
      </w:r>
      <w:r>
        <w:rPr>
          <w:sz w:val="20"/>
        </w:rPr>
        <w:tab/>
        <w:t>290</w:t>
      </w:r>
    </w:p>
    <w:p>
      <w:pPr>
        <w:tabs>
          <w:tab w:val="right" w:leader="dot" w:pos="7070"/>
        </w:tabs>
        <w:ind w:left="578" w:right="578"/>
        <w:rPr>
          <w:sz w:val="20"/>
        </w:rPr>
      </w:pPr>
      <w:r>
        <w:rPr>
          <w:sz w:val="20"/>
        </w:rPr>
        <w:t>AER</w:t>
      </w:r>
      <w:r>
        <w:rPr>
          <w:sz w:val="20"/>
        </w:rPr>
        <w:tab/>
        <w:t>2</w:t>
      </w:r>
    </w:p>
    <w:p>
      <w:pPr>
        <w:tabs>
          <w:tab w:val="right" w:leader="dot" w:pos="7070"/>
        </w:tabs>
        <w:ind w:left="578" w:right="578"/>
        <w:rPr>
          <w:sz w:val="20"/>
        </w:rPr>
      </w:pPr>
      <w:r>
        <w:rPr>
          <w:sz w:val="20"/>
        </w:rPr>
        <w:t>AER breach investigation</w:t>
      </w:r>
      <w:r>
        <w:rPr>
          <w:sz w:val="20"/>
        </w:rPr>
        <w:tab/>
        <w:t>Sch. 3 cl. 45</w:t>
      </w:r>
    </w:p>
    <w:p>
      <w:pPr>
        <w:tabs>
          <w:tab w:val="right" w:leader="dot" w:pos="7070"/>
        </w:tabs>
        <w:ind w:left="578" w:right="578"/>
        <w:rPr>
          <w:sz w:val="20"/>
        </w:rPr>
      </w:pPr>
      <w:r>
        <w:rPr>
          <w:sz w:val="20"/>
        </w:rPr>
        <w:t>AER economic regulatory decision</w:t>
      </w:r>
      <w:r>
        <w:rPr>
          <w:sz w:val="20"/>
        </w:rPr>
        <w:tab/>
        <w:t>2</w:t>
      </w:r>
    </w:p>
    <w:p>
      <w:pPr>
        <w:tabs>
          <w:tab w:val="right" w:leader="dot" w:pos="7070"/>
        </w:tabs>
        <w:ind w:left="578" w:right="578"/>
        <w:rPr>
          <w:sz w:val="20"/>
        </w:rPr>
      </w:pPr>
      <w:r>
        <w:rPr>
          <w:sz w:val="20"/>
        </w:rPr>
        <w:t>AER economic regulatory function or power</w:t>
      </w:r>
      <w:r>
        <w:rPr>
          <w:sz w:val="20"/>
        </w:rPr>
        <w:tab/>
        <w:t>2</w:t>
      </w:r>
    </w:p>
    <w:p>
      <w:pPr>
        <w:tabs>
          <w:tab w:val="right" w:leader="dot" w:pos="7070"/>
        </w:tabs>
        <w:ind w:left="578" w:right="578"/>
        <w:rPr>
          <w:sz w:val="20"/>
        </w:rPr>
      </w:pPr>
      <w:r>
        <w:rPr>
          <w:sz w:val="20"/>
        </w:rPr>
        <w:t>AER information disclosure decision</w:t>
      </w:r>
      <w:r>
        <w:rPr>
          <w:sz w:val="20"/>
        </w:rPr>
        <w:tab/>
        <w:t>244</w:t>
      </w:r>
    </w:p>
    <w:p>
      <w:pPr>
        <w:tabs>
          <w:tab w:val="right" w:leader="dot" w:pos="7070"/>
        </w:tabs>
        <w:ind w:left="578" w:right="578"/>
        <w:rPr>
          <w:sz w:val="20"/>
        </w:rPr>
      </w:pPr>
      <w:r>
        <w:rPr>
          <w:sz w:val="20"/>
        </w:rPr>
        <w:t>AER member</w:t>
      </w:r>
      <w:r>
        <w:rPr>
          <w:sz w:val="20"/>
        </w:rPr>
        <w:tab/>
        <w:t>Sch. 2 cl. 33</w:t>
      </w:r>
    </w:p>
    <w:p>
      <w:pPr>
        <w:tabs>
          <w:tab w:val="right" w:leader="dot" w:pos="7070"/>
        </w:tabs>
        <w:ind w:left="578" w:right="578"/>
        <w:rPr>
          <w:sz w:val="20"/>
        </w:rPr>
      </w:pPr>
      <w:r>
        <w:rPr>
          <w:sz w:val="20"/>
        </w:rPr>
        <w:t>AER ring fencing determination</w:t>
      </w:r>
      <w:r>
        <w:rPr>
          <w:sz w:val="20"/>
        </w:rPr>
        <w:tab/>
        <w:t>2</w:t>
      </w:r>
    </w:p>
    <w:p>
      <w:pPr>
        <w:tabs>
          <w:tab w:val="right" w:leader="dot" w:pos="7070"/>
        </w:tabs>
        <w:ind w:left="578" w:right="578"/>
        <w:rPr>
          <w:sz w:val="20"/>
        </w:rPr>
      </w:pPr>
      <w:r>
        <w:rPr>
          <w:sz w:val="20"/>
        </w:rPr>
        <w:t>affected access arrangement decision</w:t>
      </w:r>
      <w:r>
        <w:rPr>
          <w:sz w:val="20"/>
        </w:rPr>
        <w:tab/>
        <w:t>Sch. 2 cl. 53A</w:t>
      </w:r>
    </w:p>
    <w:p>
      <w:pPr>
        <w:tabs>
          <w:tab w:val="right" w:leader="dot" w:pos="7070"/>
        </w:tabs>
        <w:ind w:left="578" w:right="578"/>
        <w:rPr>
          <w:sz w:val="20"/>
        </w:rPr>
      </w:pPr>
      <w:r>
        <w:rPr>
          <w:sz w:val="20"/>
        </w:rPr>
        <w:t>affected or interested person or body</w:t>
      </w:r>
      <w:r>
        <w:rPr>
          <w:sz w:val="20"/>
        </w:rPr>
        <w:tab/>
        <w:t>244, 250</w:t>
      </w:r>
    </w:p>
    <w:p>
      <w:pPr>
        <w:tabs>
          <w:tab w:val="right" w:leader="dot" w:pos="7070"/>
        </w:tabs>
        <w:ind w:left="578" w:right="578"/>
        <w:rPr>
          <w:sz w:val="20"/>
        </w:rPr>
      </w:pPr>
      <w:r>
        <w:rPr>
          <w:sz w:val="20"/>
        </w:rPr>
        <w:t>affidavit</w:t>
      </w:r>
      <w:r>
        <w:rPr>
          <w:sz w:val="20"/>
        </w:rPr>
        <w:tab/>
        <w:t>Sch. 2 cl. 10</w:t>
      </w:r>
    </w:p>
    <w:p>
      <w:pPr>
        <w:tabs>
          <w:tab w:val="right" w:leader="dot" w:pos="7070"/>
        </w:tabs>
        <w:ind w:left="578" w:right="578"/>
        <w:rPr>
          <w:sz w:val="20"/>
        </w:rPr>
      </w:pPr>
      <w:r>
        <w:rPr>
          <w:sz w:val="20"/>
        </w:rPr>
        <w:t>amend</w:t>
      </w:r>
      <w:r>
        <w:rPr>
          <w:sz w:val="20"/>
        </w:rPr>
        <w:tab/>
        <w:t>Sch. 2 cl. 10</w:t>
      </w:r>
    </w:p>
    <w:p>
      <w:pPr>
        <w:tabs>
          <w:tab w:val="right" w:leader="dot" w:pos="7070"/>
        </w:tabs>
        <w:ind w:left="578" w:right="578"/>
        <w:rPr>
          <w:sz w:val="20"/>
        </w:rPr>
      </w:pPr>
      <w:r>
        <w:rPr>
          <w:sz w:val="20"/>
        </w:rPr>
        <w:t>amended Law</w:t>
      </w:r>
      <w:r>
        <w:rPr>
          <w:sz w:val="20"/>
        </w:rPr>
        <w:tab/>
        <w:t>Sch. 3 cl. 98</w:t>
      </w:r>
    </w:p>
    <w:p>
      <w:pPr>
        <w:tabs>
          <w:tab w:val="right" w:leader="dot" w:pos="7070"/>
        </w:tabs>
        <w:ind w:left="578" w:right="578"/>
        <w:rPr>
          <w:sz w:val="20"/>
        </w:rPr>
      </w:pPr>
      <w:r>
        <w:rPr>
          <w:sz w:val="20"/>
        </w:rPr>
        <w:t>amended objective</w:t>
      </w:r>
      <w:r>
        <w:rPr>
          <w:sz w:val="20"/>
        </w:rPr>
        <w:tab/>
        <w:t>294FC, Sch. 3 cl. 133</w:t>
      </w:r>
    </w:p>
    <w:p>
      <w:pPr>
        <w:tabs>
          <w:tab w:val="right" w:leader="dot" w:pos="7070"/>
        </w:tabs>
        <w:ind w:left="578" w:right="578"/>
        <w:rPr>
          <w:sz w:val="20"/>
        </w:rPr>
      </w:pPr>
      <w:r>
        <w:rPr>
          <w:sz w:val="20"/>
        </w:rPr>
        <w:t>amending Act</w:t>
      </w:r>
      <w:r>
        <w:rPr>
          <w:sz w:val="20"/>
        </w:rPr>
        <w:tab/>
        <w:t>Sch. 3 cl. 133</w:t>
      </w:r>
    </w:p>
    <w:p>
      <w:pPr>
        <w:tabs>
          <w:tab w:val="right" w:leader="dot" w:pos="7070"/>
        </w:tabs>
        <w:ind w:left="578" w:right="578"/>
        <w:rPr>
          <w:sz w:val="20"/>
        </w:rPr>
      </w:pPr>
      <w:r>
        <w:rPr>
          <w:sz w:val="20"/>
        </w:rPr>
        <w:t>applicable access arrangement</w:t>
      </w:r>
      <w:r>
        <w:rPr>
          <w:sz w:val="20"/>
        </w:rPr>
        <w:tab/>
        <w:t>2</w:t>
      </w:r>
    </w:p>
    <w:p>
      <w:pPr>
        <w:tabs>
          <w:tab w:val="right" w:leader="dot" w:pos="7070"/>
        </w:tabs>
        <w:ind w:left="578" w:right="578"/>
        <w:rPr>
          <w:sz w:val="20"/>
        </w:rPr>
      </w:pPr>
      <w:r>
        <w:rPr>
          <w:sz w:val="20"/>
        </w:rPr>
        <w:t>applicable access arrangement decision</w:t>
      </w:r>
      <w:r>
        <w:rPr>
          <w:sz w:val="20"/>
        </w:rPr>
        <w:tab/>
        <w:t>2</w:t>
      </w:r>
    </w:p>
    <w:p>
      <w:pPr>
        <w:tabs>
          <w:tab w:val="right" w:leader="dot" w:pos="7070"/>
        </w:tabs>
        <w:ind w:left="578" w:right="578"/>
        <w:rPr>
          <w:sz w:val="20"/>
        </w:rPr>
      </w:pPr>
      <w:r>
        <w:rPr>
          <w:sz w:val="20"/>
        </w:rPr>
        <w:lastRenderedPageBreak/>
        <w:t>applicant</w:t>
      </w:r>
      <w:r>
        <w:rPr>
          <w:sz w:val="20"/>
        </w:rPr>
        <w:tab/>
        <w:t>244</w:t>
      </w:r>
    </w:p>
    <w:p>
      <w:pPr>
        <w:tabs>
          <w:tab w:val="right" w:leader="dot" w:pos="7070"/>
        </w:tabs>
        <w:ind w:left="578" w:right="578"/>
        <w:rPr>
          <w:sz w:val="20"/>
        </w:rPr>
      </w:pPr>
      <w:r>
        <w:rPr>
          <w:sz w:val="20"/>
        </w:rPr>
        <w:t>appoint</w:t>
      </w:r>
      <w:r>
        <w:rPr>
          <w:sz w:val="20"/>
        </w:rPr>
        <w:tab/>
        <w:t>Sch. 2 cl. 10</w:t>
      </w:r>
    </w:p>
    <w:p>
      <w:pPr>
        <w:tabs>
          <w:tab w:val="right" w:leader="dot" w:pos="7070"/>
        </w:tabs>
        <w:ind w:left="578" w:right="578"/>
        <w:rPr>
          <w:sz w:val="20"/>
        </w:rPr>
      </w:pPr>
      <w:r>
        <w:rPr>
          <w:sz w:val="20"/>
        </w:rPr>
        <w:t>approved associate contract</w:t>
      </w:r>
      <w:r>
        <w:rPr>
          <w:sz w:val="20"/>
        </w:rPr>
        <w:tab/>
        <w:t>2</w:t>
      </w:r>
    </w:p>
    <w:p>
      <w:pPr>
        <w:tabs>
          <w:tab w:val="right" w:leader="dot" w:pos="7070"/>
        </w:tabs>
        <w:ind w:left="578" w:right="578"/>
        <w:rPr>
          <w:sz w:val="20"/>
        </w:rPr>
      </w:pPr>
      <w:r>
        <w:rPr>
          <w:sz w:val="20"/>
        </w:rPr>
        <w:t>associate</w:t>
      </w:r>
      <w:r>
        <w:rPr>
          <w:sz w:val="20"/>
        </w:rPr>
        <w:tab/>
        <w:t>2</w:t>
      </w:r>
    </w:p>
    <w:p>
      <w:pPr>
        <w:tabs>
          <w:tab w:val="right" w:leader="dot" w:pos="7070"/>
        </w:tabs>
        <w:ind w:left="578" w:right="578"/>
        <w:rPr>
          <w:sz w:val="20"/>
        </w:rPr>
      </w:pPr>
      <w:r>
        <w:rPr>
          <w:sz w:val="20"/>
        </w:rPr>
        <w:t>associate contract</w:t>
      </w:r>
      <w:r>
        <w:rPr>
          <w:sz w:val="20"/>
        </w:rPr>
        <w:tab/>
        <w:t>2</w:t>
      </w:r>
    </w:p>
    <w:p>
      <w:pPr>
        <w:tabs>
          <w:tab w:val="right" w:leader="dot" w:pos="7070"/>
        </w:tabs>
        <w:ind w:left="578" w:right="578"/>
        <w:rPr>
          <w:sz w:val="20"/>
        </w:rPr>
      </w:pPr>
      <w:r>
        <w:rPr>
          <w:sz w:val="20"/>
        </w:rPr>
        <w:t>associate contract decision</w:t>
      </w:r>
      <w:r>
        <w:rPr>
          <w:sz w:val="20"/>
        </w:rPr>
        <w:tab/>
        <w:t>2</w:t>
      </w:r>
    </w:p>
    <w:p>
      <w:pPr>
        <w:tabs>
          <w:tab w:val="right" w:leader="dot" w:pos="7070"/>
        </w:tabs>
        <w:ind w:left="578" w:right="578"/>
        <w:rPr>
          <w:sz w:val="20"/>
        </w:rPr>
      </w:pPr>
      <w:r>
        <w:rPr>
          <w:sz w:val="20"/>
        </w:rPr>
        <w:t>associate pipeline service</w:t>
      </w:r>
      <w:r>
        <w:rPr>
          <w:sz w:val="20"/>
        </w:rPr>
        <w:tab/>
        <w:t>2</w:t>
      </w:r>
    </w:p>
    <w:p>
      <w:pPr>
        <w:tabs>
          <w:tab w:val="right" w:leader="dot" w:pos="7070"/>
        </w:tabs>
        <w:ind w:left="578" w:right="578"/>
        <w:rPr>
          <w:sz w:val="20"/>
        </w:rPr>
      </w:pPr>
      <w:r>
        <w:rPr>
          <w:sz w:val="20"/>
        </w:rPr>
        <w:t>authorised person</w:t>
      </w:r>
      <w:r>
        <w:rPr>
          <w:sz w:val="20"/>
        </w:rPr>
        <w:tab/>
        <w:t>31</w:t>
      </w:r>
    </w:p>
    <w:p>
      <w:pPr>
        <w:tabs>
          <w:tab w:val="right" w:leader="dot" w:pos="7070"/>
        </w:tabs>
        <w:ind w:left="578" w:right="578"/>
        <w:rPr>
          <w:sz w:val="20"/>
        </w:rPr>
      </w:pPr>
      <w:r>
        <w:rPr>
          <w:sz w:val="20"/>
        </w:rPr>
        <w:t>average annual regulated revenue</w:t>
      </w:r>
      <w:r>
        <w:rPr>
          <w:sz w:val="20"/>
        </w:rPr>
        <w:tab/>
        <w:t>244</w:t>
      </w:r>
    </w:p>
    <w:p>
      <w:pPr>
        <w:tabs>
          <w:tab w:val="right" w:leader="dot" w:pos="7070"/>
        </w:tabs>
        <w:ind w:left="578" w:right="578"/>
        <w:rPr>
          <w:sz w:val="20"/>
        </w:rPr>
      </w:pPr>
      <w:r>
        <w:rPr>
          <w:sz w:val="20"/>
        </w:rPr>
        <w:t>basic instrument making power</w:t>
      </w:r>
      <w:r>
        <w:rPr>
          <w:sz w:val="20"/>
        </w:rPr>
        <w:tab/>
        <w:t>Sch. 2 cl. 27</w:t>
      </w:r>
    </w:p>
    <w:p>
      <w:pPr>
        <w:tabs>
          <w:tab w:val="right" w:leader="dot" w:pos="7070"/>
        </w:tabs>
        <w:ind w:left="578" w:right="578"/>
        <w:rPr>
          <w:sz w:val="20"/>
        </w:rPr>
      </w:pPr>
      <w:r>
        <w:rPr>
          <w:sz w:val="20"/>
        </w:rPr>
        <w:t>binding no</w:t>
      </w:r>
      <w:r>
        <w:rPr>
          <w:sz w:val="20"/>
        </w:rPr>
        <w:noBreakHyphen/>
        <w:t>coverage determination</w:t>
      </w:r>
      <w:r>
        <w:rPr>
          <w:sz w:val="20"/>
        </w:rPr>
        <w:tab/>
        <w:t>Sch. 3 cl. 1</w:t>
      </w:r>
    </w:p>
    <w:p>
      <w:pPr>
        <w:tabs>
          <w:tab w:val="right" w:leader="dot" w:pos="7070"/>
        </w:tabs>
        <w:ind w:left="578" w:right="578"/>
        <w:rPr>
          <w:sz w:val="20"/>
        </w:rPr>
      </w:pPr>
      <w:r>
        <w:rPr>
          <w:sz w:val="20"/>
        </w:rPr>
        <w:t>breach</w:t>
      </w:r>
      <w:r>
        <w:rPr>
          <w:sz w:val="20"/>
        </w:rPr>
        <w:tab/>
        <w:t>Sch. 2 cl. 10</w:t>
      </w:r>
    </w:p>
    <w:p>
      <w:pPr>
        <w:tabs>
          <w:tab w:val="right" w:leader="dot" w:pos="7070"/>
        </w:tabs>
        <w:ind w:left="578" w:right="578"/>
        <w:rPr>
          <w:sz w:val="20"/>
        </w:rPr>
      </w:pPr>
      <w:r>
        <w:rPr>
          <w:sz w:val="20"/>
        </w:rPr>
        <w:t>breach provision</w:t>
      </w:r>
      <w:r>
        <w:rPr>
          <w:sz w:val="20"/>
        </w:rPr>
        <w:tab/>
        <w:t>287</w:t>
      </w:r>
    </w:p>
    <w:p>
      <w:pPr>
        <w:tabs>
          <w:tab w:val="right" w:leader="dot" w:pos="7070"/>
        </w:tabs>
        <w:ind w:left="578" w:right="578"/>
        <w:rPr>
          <w:sz w:val="20"/>
        </w:rPr>
      </w:pPr>
      <w:r>
        <w:rPr>
          <w:sz w:val="20"/>
        </w:rPr>
        <w:t>Bulletin Board information</w:t>
      </w:r>
      <w:r>
        <w:rPr>
          <w:sz w:val="20"/>
        </w:rPr>
        <w:tab/>
        <w:t>2</w:t>
      </w:r>
    </w:p>
    <w:p>
      <w:pPr>
        <w:tabs>
          <w:tab w:val="right" w:leader="dot" w:pos="7070"/>
        </w:tabs>
        <w:ind w:left="578" w:right="578"/>
        <w:rPr>
          <w:sz w:val="20"/>
        </w:rPr>
      </w:pPr>
      <w:r>
        <w:rPr>
          <w:sz w:val="20"/>
        </w:rPr>
        <w:t>Bulletin Board operator</w:t>
      </w:r>
      <w:r>
        <w:rPr>
          <w:sz w:val="20"/>
        </w:rPr>
        <w:tab/>
        <w:t>2</w:t>
      </w:r>
    </w:p>
    <w:p>
      <w:pPr>
        <w:tabs>
          <w:tab w:val="right" w:leader="dot" w:pos="7070"/>
        </w:tabs>
        <w:ind w:left="578" w:right="578"/>
        <w:rPr>
          <w:sz w:val="20"/>
        </w:rPr>
      </w:pPr>
      <w:r>
        <w:rPr>
          <w:sz w:val="20"/>
        </w:rPr>
        <w:t>business day</w:t>
      </w:r>
      <w:r>
        <w:rPr>
          <w:sz w:val="20"/>
        </w:rPr>
        <w:tab/>
        <w:t>Sch. 2 cl. 10</w:t>
      </w:r>
    </w:p>
    <w:p>
      <w:pPr>
        <w:tabs>
          <w:tab w:val="right" w:leader="dot" w:pos="7070"/>
        </w:tabs>
        <w:ind w:left="578" w:right="578"/>
        <w:rPr>
          <w:sz w:val="20"/>
        </w:rPr>
      </w:pPr>
      <w:r>
        <w:rPr>
          <w:sz w:val="20"/>
        </w:rPr>
        <w:t>business unit A</w:t>
      </w:r>
      <w:r>
        <w:rPr>
          <w:sz w:val="20"/>
        </w:rPr>
        <w:tab/>
        <w:t>143(2)</w:t>
      </w:r>
    </w:p>
    <w:p>
      <w:pPr>
        <w:tabs>
          <w:tab w:val="right" w:leader="dot" w:pos="7070"/>
        </w:tabs>
        <w:ind w:left="578" w:right="578"/>
        <w:rPr>
          <w:sz w:val="20"/>
        </w:rPr>
      </w:pPr>
      <w:r>
        <w:rPr>
          <w:sz w:val="20"/>
        </w:rPr>
        <w:t>business unit B</w:t>
      </w:r>
      <w:r>
        <w:rPr>
          <w:sz w:val="20"/>
        </w:rPr>
        <w:tab/>
        <w:t>143(2)</w:t>
      </w:r>
    </w:p>
    <w:p>
      <w:pPr>
        <w:tabs>
          <w:tab w:val="right" w:leader="dot" w:pos="7070"/>
        </w:tabs>
        <w:ind w:left="578" w:right="578"/>
        <w:rPr>
          <w:sz w:val="20"/>
        </w:rPr>
      </w:pPr>
      <w:r>
        <w:rPr>
          <w:sz w:val="20"/>
        </w:rPr>
        <w:t>calendar month</w:t>
      </w:r>
      <w:r>
        <w:rPr>
          <w:sz w:val="20"/>
        </w:rPr>
        <w:tab/>
        <w:t>Sch. 2 cl. 10</w:t>
      </w:r>
    </w:p>
    <w:p>
      <w:pPr>
        <w:tabs>
          <w:tab w:val="right" w:leader="dot" w:pos="7070"/>
        </w:tabs>
        <w:ind w:left="578" w:right="578"/>
        <w:rPr>
          <w:sz w:val="20"/>
        </w:rPr>
      </w:pPr>
      <w:r>
        <w:rPr>
          <w:sz w:val="20"/>
        </w:rPr>
        <w:t>calendar year</w:t>
      </w:r>
      <w:r>
        <w:rPr>
          <w:sz w:val="20"/>
        </w:rPr>
        <w:tab/>
        <w:t>Sch. 2 cl. 10</w:t>
      </w:r>
    </w:p>
    <w:p>
      <w:pPr>
        <w:tabs>
          <w:tab w:val="right" w:leader="dot" w:pos="7070"/>
        </w:tabs>
        <w:ind w:left="578" w:right="578"/>
        <w:rPr>
          <w:sz w:val="20"/>
        </w:rPr>
      </w:pPr>
      <w:r>
        <w:rPr>
          <w:sz w:val="20"/>
        </w:rPr>
        <w:t>charge</w:t>
      </w:r>
      <w:r>
        <w:rPr>
          <w:sz w:val="20"/>
        </w:rPr>
        <w:tab/>
        <w:t>2</w:t>
      </w:r>
    </w:p>
    <w:p>
      <w:pPr>
        <w:tabs>
          <w:tab w:val="right" w:leader="dot" w:pos="7070"/>
        </w:tabs>
        <w:ind w:left="578" w:right="578"/>
        <w:rPr>
          <w:sz w:val="20"/>
        </w:rPr>
      </w:pPr>
      <w:r>
        <w:rPr>
          <w:sz w:val="20"/>
        </w:rPr>
        <w:t>civil monetary liability</w:t>
      </w:r>
      <w:r>
        <w:rPr>
          <w:sz w:val="20"/>
        </w:rPr>
        <w:tab/>
        <w:t>221(6), 226(5)</w:t>
      </w:r>
    </w:p>
    <w:p>
      <w:pPr>
        <w:tabs>
          <w:tab w:val="right" w:leader="dot" w:pos="7070"/>
        </w:tabs>
        <w:ind w:left="578" w:right="578"/>
        <w:rPr>
          <w:sz w:val="20"/>
        </w:rPr>
      </w:pPr>
      <w:r>
        <w:rPr>
          <w:sz w:val="20"/>
        </w:rPr>
        <w:t>civil penalty</w:t>
      </w:r>
      <w:r>
        <w:rPr>
          <w:sz w:val="20"/>
        </w:rPr>
        <w:tab/>
        <w:t>2</w:t>
      </w:r>
    </w:p>
    <w:p>
      <w:pPr>
        <w:tabs>
          <w:tab w:val="right" w:leader="dot" w:pos="7070"/>
        </w:tabs>
        <w:ind w:left="578" w:right="578"/>
        <w:rPr>
          <w:sz w:val="20"/>
        </w:rPr>
      </w:pPr>
      <w:r>
        <w:rPr>
          <w:sz w:val="20"/>
        </w:rPr>
        <w:t>civil penalty provision</w:t>
      </w:r>
      <w:r>
        <w:rPr>
          <w:sz w:val="20"/>
        </w:rPr>
        <w:tab/>
        <w:t>2</w:t>
      </w:r>
    </w:p>
    <w:p>
      <w:pPr>
        <w:tabs>
          <w:tab w:val="right" w:leader="dot" w:pos="7070"/>
        </w:tabs>
        <w:ind w:left="578" w:right="578"/>
        <w:rPr>
          <w:sz w:val="20"/>
        </w:rPr>
      </w:pPr>
      <w:r>
        <w:rPr>
          <w:sz w:val="20"/>
        </w:rPr>
        <w:t>classification decision under the Rules</w:t>
      </w:r>
      <w:r>
        <w:rPr>
          <w:sz w:val="20"/>
        </w:rPr>
        <w:tab/>
        <w:t>2</w:t>
      </w:r>
    </w:p>
    <w:p>
      <w:pPr>
        <w:tabs>
          <w:tab w:val="right" w:leader="dot" w:pos="7070"/>
        </w:tabs>
        <w:ind w:left="578" w:right="578"/>
        <w:rPr>
          <w:sz w:val="20"/>
        </w:rPr>
      </w:pPr>
      <w:r>
        <w:rPr>
          <w:sz w:val="20"/>
        </w:rPr>
        <w:t>coastal waters</w:t>
      </w:r>
      <w:r>
        <w:rPr>
          <w:sz w:val="20"/>
        </w:rPr>
        <w:tab/>
        <w:t>Act 5(2)</w:t>
      </w:r>
    </w:p>
    <w:p>
      <w:pPr>
        <w:tabs>
          <w:tab w:val="right" w:leader="dot" w:pos="7070"/>
        </w:tabs>
        <w:ind w:left="578" w:right="578"/>
        <w:rPr>
          <w:sz w:val="20"/>
        </w:rPr>
      </w:pPr>
      <w:r>
        <w:rPr>
          <w:sz w:val="20"/>
        </w:rPr>
        <w:t>commencement</w:t>
      </w:r>
      <w:r>
        <w:rPr>
          <w:sz w:val="20"/>
        </w:rPr>
        <w:tab/>
        <w:t>Sch. 2 cl. 10, Sch. 3 cl. 95</w:t>
      </w:r>
    </w:p>
    <w:p>
      <w:pPr>
        <w:tabs>
          <w:tab w:val="right" w:leader="dot" w:pos="7070"/>
        </w:tabs>
        <w:ind w:left="578" w:right="578"/>
        <w:rPr>
          <w:sz w:val="20"/>
        </w:rPr>
      </w:pPr>
      <w:r>
        <w:rPr>
          <w:sz w:val="20"/>
        </w:rPr>
        <w:t>commencement day</w:t>
      </w:r>
      <w:r>
        <w:rPr>
          <w:sz w:val="20"/>
        </w:rPr>
        <w:tab/>
        <w:t>Sch. 3 cl. 1</w:t>
      </w:r>
    </w:p>
    <w:p>
      <w:pPr>
        <w:tabs>
          <w:tab w:val="right" w:leader="dot" w:pos="7070"/>
        </w:tabs>
        <w:ind w:left="578" w:right="578"/>
        <w:rPr>
          <w:sz w:val="20"/>
        </w:rPr>
      </w:pPr>
      <w:r>
        <w:rPr>
          <w:sz w:val="20"/>
        </w:rPr>
        <w:t>commission</w:t>
      </w:r>
      <w:r>
        <w:rPr>
          <w:sz w:val="20"/>
        </w:rPr>
        <w:tab/>
        <w:t>2</w:t>
      </w:r>
    </w:p>
    <w:p>
      <w:pPr>
        <w:tabs>
          <w:tab w:val="right" w:leader="dot" w:pos="7070"/>
        </w:tabs>
        <w:ind w:left="578" w:right="578"/>
        <w:rPr>
          <w:sz w:val="20"/>
        </w:rPr>
      </w:pPr>
      <w:r>
        <w:rPr>
          <w:sz w:val="20"/>
        </w:rPr>
        <w:t>Commonwealth bodies</w:t>
      </w:r>
      <w:r>
        <w:rPr>
          <w:sz w:val="20"/>
        </w:rPr>
        <w:tab/>
        <w:t>Act 12(2)</w:t>
      </w:r>
    </w:p>
    <w:p>
      <w:pPr>
        <w:tabs>
          <w:tab w:val="right" w:leader="dot" w:pos="7070"/>
        </w:tabs>
        <w:ind w:left="578" w:right="578"/>
        <w:rPr>
          <w:sz w:val="20"/>
        </w:rPr>
      </w:pPr>
      <w:r>
        <w:rPr>
          <w:sz w:val="20"/>
        </w:rPr>
        <w:t>Commonwealth Minister</w:t>
      </w:r>
      <w:r>
        <w:rPr>
          <w:sz w:val="20"/>
        </w:rPr>
        <w:tab/>
        <w:t>2</w:t>
      </w:r>
    </w:p>
    <w:p>
      <w:pPr>
        <w:tabs>
          <w:tab w:val="right" w:leader="dot" w:pos="7070"/>
        </w:tabs>
        <w:ind w:left="578" w:right="578"/>
        <w:rPr>
          <w:sz w:val="20"/>
        </w:rPr>
      </w:pPr>
      <w:r>
        <w:rPr>
          <w:sz w:val="20"/>
        </w:rPr>
        <w:t>compliance date</w:t>
      </w:r>
      <w:r>
        <w:rPr>
          <w:sz w:val="20"/>
        </w:rPr>
        <w:tab/>
        <w:t>137</w:t>
      </w:r>
    </w:p>
    <w:p>
      <w:pPr>
        <w:tabs>
          <w:tab w:val="right" w:leader="dot" w:pos="7070"/>
        </w:tabs>
        <w:ind w:left="578" w:right="578"/>
        <w:rPr>
          <w:sz w:val="20"/>
        </w:rPr>
      </w:pPr>
      <w:r>
        <w:rPr>
          <w:sz w:val="20"/>
        </w:rPr>
        <w:t>complying service provider</w:t>
      </w:r>
      <w:r>
        <w:rPr>
          <w:sz w:val="20"/>
        </w:rPr>
        <w:tab/>
        <w:t>10(2)</w:t>
      </w:r>
    </w:p>
    <w:p>
      <w:pPr>
        <w:tabs>
          <w:tab w:val="right" w:leader="dot" w:pos="7070"/>
        </w:tabs>
        <w:ind w:left="578" w:right="578"/>
        <w:rPr>
          <w:sz w:val="20"/>
        </w:rPr>
      </w:pPr>
      <w:r>
        <w:rPr>
          <w:sz w:val="20"/>
        </w:rPr>
        <w:t>conduct provision</w:t>
      </w:r>
      <w:r>
        <w:rPr>
          <w:sz w:val="20"/>
        </w:rPr>
        <w:tab/>
        <w:t>2</w:t>
      </w:r>
    </w:p>
    <w:p>
      <w:pPr>
        <w:tabs>
          <w:tab w:val="right" w:leader="dot" w:pos="7070"/>
        </w:tabs>
        <w:ind w:left="578" w:right="578"/>
        <w:rPr>
          <w:sz w:val="20"/>
        </w:rPr>
      </w:pPr>
      <w:r>
        <w:rPr>
          <w:sz w:val="20"/>
        </w:rPr>
        <w:t>confer</w:t>
      </w:r>
      <w:r>
        <w:rPr>
          <w:sz w:val="20"/>
        </w:rPr>
        <w:tab/>
        <w:t>Sch. 2 cl. 10</w:t>
      </w:r>
    </w:p>
    <w:p>
      <w:pPr>
        <w:tabs>
          <w:tab w:val="right" w:leader="dot" w:pos="7070"/>
        </w:tabs>
        <w:ind w:left="578" w:right="578"/>
        <w:rPr>
          <w:sz w:val="20"/>
        </w:rPr>
      </w:pPr>
      <w:r>
        <w:rPr>
          <w:sz w:val="20"/>
        </w:rPr>
        <w:t>consolidated Rule request</w:t>
      </w:r>
      <w:r>
        <w:rPr>
          <w:sz w:val="20"/>
        </w:rPr>
        <w:tab/>
        <w:t>300</w:t>
      </w:r>
    </w:p>
    <w:p>
      <w:pPr>
        <w:tabs>
          <w:tab w:val="right" w:leader="dot" w:pos="7070"/>
        </w:tabs>
        <w:ind w:left="578" w:right="578"/>
        <w:rPr>
          <w:sz w:val="20"/>
        </w:rPr>
      </w:pPr>
      <w:r>
        <w:rPr>
          <w:sz w:val="20"/>
        </w:rPr>
        <w:t>constituent components</w:t>
      </w:r>
      <w:r>
        <w:rPr>
          <w:sz w:val="20"/>
        </w:rPr>
        <w:tab/>
        <w:t>2</w:t>
      </w:r>
    </w:p>
    <w:p>
      <w:pPr>
        <w:tabs>
          <w:tab w:val="right" w:leader="dot" w:pos="7070"/>
        </w:tabs>
        <w:ind w:left="578" w:right="578"/>
        <w:rPr>
          <w:sz w:val="20"/>
        </w:rPr>
      </w:pPr>
      <w:r>
        <w:rPr>
          <w:sz w:val="20"/>
        </w:rPr>
        <w:t>consumer reference group</w:t>
      </w:r>
      <w:r>
        <w:rPr>
          <w:sz w:val="20"/>
        </w:rPr>
        <w:tab/>
        <w:t>30A, 30H</w:t>
      </w:r>
    </w:p>
    <w:p>
      <w:pPr>
        <w:tabs>
          <w:tab w:val="right" w:leader="dot" w:pos="7070"/>
        </w:tabs>
        <w:ind w:left="578" w:right="578"/>
        <w:rPr>
          <w:sz w:val="20"/>
        </w:rPr>
      </w:pPr>
      <w:r>
        <w:rPr>
          <w:sz w:val="20"/>
        </w:rPr>
        <w:t>contravene</w:t>
      </w:r>
      <w:r>
        <w:rPr>
          <w:sz w:val="20"/>
        </w:rPr>
        <w:tab/>
        <w:t>Sch. 2 cl. 10</w:t>
      </w:r>
    </w:p>
    <w:p>
      <w:pPr>
        <w:tabs>
          <w:tab w:val="right" w:leader="dot" w:pos="7070"/>
        </w:tabs>
        <w:ind w:left="578" w:right="578"/>
        <w:rPr>
          <w:sz w:val="20"/>
        </w:rPr>
      </w:pPr>
      <w:r>
        <w:rPr>
          <w:sz w:val="20"/>
        </w:rPr>
        <w:t>contributing service</w:t>
      </w:r>
      <w:r>
        <w:rPr>
          <w:sz w:val="20"/>
        </w:rPr>
        <w:tab/>
        <w:t>43</w:t>
      </w:r>
    </w:p>
    <w:p>
      <w:pPr>
        <w:tabs>
          <w:tab w:val="right" w:leader="dot" w:pos="7070"/>
        </w:tabs>
        <w:ind w:left="578" w:right="578"/>
        <w:rPr>
          <w:sz w:val="20"/>
        </w:rPr>
      </w:pPr>
      <w:r>
        <w:rPr>
          <w:sz w:val="20"/>
        </w:rPr>
        <w:t>controlling pipeline activity</w:t>
      </w:r>
      <w:r>
        <w:rPr>
          <w:sz w:val="20"/>
        </w:rPr>
        <w:tab/>
        <w:t>10(5)</w:t>
      </w:r>
    </w:p>
    <w:p>
      <w:pPr>
        <w:tabs>
          <w:tab w:val="right" w:leader="dot" w:pos="7070"/>
        </w:tabs>
        <w:ind w:left="578" w:right="578"/>
        <w:rPr>
          <w:sz w:val="20"/>
        </w:rPr>
      </w:pPr>
      <w:r>
        <w:rPr>
          <w:sz w:val="20"/>
        </w:rPr>
        <w:t>Councillor</w:t>
      </w:r>
      <w:r>
        <w:rPr>
          <w:sz w:val="20"/>
        </w:rPr>
        <w:tab/>
        <w:t>90(9)</w:t>
      </w:r>
    </w:p>
    <w:p>
      <w:pPr>
        <w:tabs>
          <w:tab w:val="right" w:leader="dot" w:pos="7070"/>
        </w:tabs>
        <w:ind w:left="578" w:right="578"/>
        <w:rPr>
          <w:sz w:val="20"/>
        </w:rPr>
      </w:pPr>
      <w:r>
        <w:rPr>
          <w:sz w:val="20"/>
        </w:rPr>
        <w:t>Court</w:t>
      </w:r>
      <w:r>
        <w:rPr>
          <w:sz w:val="20"/>
        </w:rPr>
        <w:tab/>
        <w:t>Act 9(1)</w:t>
      </w:r>
    </w:p>
    <w:p>
      <w:pPr>
        <w:tabs>
          <w:tab w:val="right" w:leader="dot" w:pos="7070"/>
        </w:tabs>
        <w:ind w:left="578" w:right="578"/>
        <w:rPr>
          <w:sz w:val="20"/>
        </w:rPr>
      </w:pPr>
      <w:r>
        <w:rPr>
          <w:sz w:val="20"/>
        </w:rPr>
        <w:t>coverage determination</w:t>
      </w:r>
      <w:r>
        <w:rPr>
          <w:sz w:val="20"/>
        </w:rPr>
        <w:tab/>
        <w:t>2, 92(1)</w:t>
      </w:r>
    </w:p>
    <w:p>
      <w:pPr>
        <w:tabs>
          <w:tab w:val="right" w:leader="dot" w:pos="7070"/>
        </w:tabs>
        <w:ind w:left="578" w:right="578"/>
        <w:rPr>
          <w:sz w:val="20"/>
        </w:rPr>
      </w:pPr>
      <w:r>
        <w:rPr>
          <w:sz w:val="20"/>
        </w:rPr>
        <w:lastRenderedPageBreak/>
        <w:t>coverage recommendation</w:t>
      </w:r>
      <w:r>
        <w:rPr>
          <w:sz w:val="20"/>
        </w:rPr>
        <w:tab/>
        <w:t>2</w:t>
      </w:r>
    </w:p>
    <w:p>
      <w:pPr>
        <w:tabs>
          <w:tab w:val="right" w:leader="dot" w:pos="7070"/>
        </w:tabs>
        <w:ind w:left="578" w:right="578"/>
        <w:rPr>
          <w:sz w:val="20"/>
        </w:rPr>
      </w:pPr>
      <w:r>
        <w:rPr>
          <w:sz w:val="20"/>
        </w:rPr>
        <w:t>coverage related light regulation decision</w:t>
      </w:r>
      <w:r>
        <w:rPr>
          <w:sz w:val="20"/>
        </w:rPr>
        <w:tab/>
        <w:t>244</w:t>
      </w:r>
    </w:p>
    <w:p>
      <w:pPr>
        <w:tabs>
          <w:tab w:val="right" w:leader="dot" w:pos="7070"/>
        </w:tabs>
        <w:ind w:left="578" w:right="578"/>
        <w:rPr>
          <w:sz w:val="20"/>
        </w:rPr>
      </w:pPr>
      <w:r>
        <w:rPr>
          <w:sz w:val="20"/>
        </w:rPr>
        <w:t>coverage revocation determination</w:t>
      </w:r>
      <w:r>
        <w:rPr>
          <w:sz w:val="20"/>
        </w:rPr>
        <w:tab/>
        <w:t>2, 102(1)</w:t>
      </w:r>
    </w:p>
    <w:p>
      <w:pPr>
        <w:tabs>
          <w:tab w:val="right" w:leader="dot" w:pos="7070"/>
        </w:tabs>
        <w:ind w:left="578" w:right="578"/>
        <w:rPr>
          <w:sz w:val="20"/>
        </w:rPr>
      </w:pPr>
      <w:r>
        <w:rPr>
          <w:sz w:val="20"/>
        </w:rPr>
        <w:t>coverage revocation recommendation</w:t>
      </w:r>
      <w:r>
        <w:rPr>
          <w:sz w:val="20"/>
        </w:rPr>
        <w:tab/>
        <w:t>2</w:t>
      </w:r>
    </w:p>
    <w:p>
      <w:pPr>
        <w:tabs>
          <w:tab w:val="right" w:leader="dot" w:pos="7070"/>
        </w:tabs>
        <w:ind w:left="578" w:right="578"/>
        <w:rPr>
          <w:sz w:val="20"/>
        </w:rPr>
      </w:pPr>
      <w:r>
        <w:rPr>
          <w:sz w:val="20"/>
        </w:rPr>
        <w:t>covered pipeline</w:t>
      </w:r>
      <w:r>
        <w:rPr>
          <w:sz w:val="20"/>
        </w:rPr>
        <w:tab/>
        <w:t>2</w:t>
      </w:r>
    </w:p>
    <w:p>
      <w:pPr>
        <w:tabs>
          <w:tab w:val="right" w:leader="dot" w:pos="7070"/>
        </w:tabs>
        <w:ind w:left="578" w:right="578"/>
        <w:rPr>
          <w:sz w:val="20"/>
        </w:rPr>
      </w:pPr>
      <w:r>
        <w:rPr>
          <w:sz w:val="20"/>
        </w:rPr>
        <w:t>covered pipeline service provider</w:t>
      </w:r>
      <w:r>
        <w:rPr>
          <w:sz w:val="20"/>
        </w:rPr>
        <w:tab/>
        <w:t>2</w:t>
      </w:r>
    </w:p>
    <w:p>
      <w:pPr>
        <w:tabs>
          <w:tab w:val="right" w:leader="dot" w:pos="7070"/>
        </w:tabs>
        <w:ind w:left="578" w:right="578"/>
        <w:rPr>
          <w:sz w:val="20"/>
        </w:rPr>
      </w:pPr>
      <w:r>
        <w:rPr>
          <w:sz w:val="20"/>
        </w:rPr>
        <w:t>cross boundary distribution pipeline</w:t>
      </w:r>
      <w:r>
        <w:rPr>
          <w:sz w:val="20"/>
        </w:rPr>
        <w:tab/>
        <w:t>2</w:t>
      </w:r>
    </w:p>
    <w:p>
      <w:pPr>
        <w:tabs>
          <w:tab w:val="right" w:leader="dot" w:pos="7070"/>
        </w:tabs>
        <w:ind w:left="578" w:right="578"/>
        <w:rPr>
          <w:sz w:val="20"/>
        </w:rPr>
      </w:pPr>
      <w:r>
        <w:rPr>
          <w:sz w:val="20"/>
        </w:rPr>
        <w:t>cross boundary pipeline</w:t>
      </w:r>
      <w:r>
        <w:rPr>
          <w:sz w:val="20"/>
        </w:rPr>
        <w:tab/>
        <w:t>Act 16(4)</w:t>
      </w:r>
    </w:p>
    <w:p>
      <w:pPr>
        <w:tabs>
          <w:tab w:val="right" w:leader="dot" w:pos="7070"/>
        </w:tabs>
        <w:ind w:left="578" w:right="578"/>
        <w:rPr>
          <w:sz w:val="20"/>
        </w:rPr>
      </w:pPr>
      <w:r>
        <w:rPr>
          <w:sz w:val="20"/>
        </w:rPr>
        <w:t>cross boundary transmission pipeline</w:t>
      </w:r>
      <w:r>
        <w:rPr>
          <w:sz w:val="20"/>
        </w:rPr>
        <w:tab/>
        <w:t>2</w:t>
      </w:r>
    </w:p>
    <w:p>
      <w:pPr>
        <w:tabs>
          <w:tab w:val="right" w:leader="dot" w:pos="7070"/>
        </w:tabs>
        <w:ind w:left="578" w:right="578"/>
        <w:rPr>
          <w:sz w:val="20"/>
        </w:rPr>
      </w:pPr>
      <w:r>
        <w:rPr>
          <w:sz w:val="20"/>
        </w:rPr>
        <w:t>current access arrangement</w:t>
      </w:r>
      <w:r>
        <w:rPr>
          <w:sz w:val="20"/>
        </w:rPr>
        <w:tab/>
        <w:t>Sch. 3 cl. 1</w:t>
      </w:r>
    </w:p>
    <w:p>
      <w:pPr>
        <w:tabs>
          <w:tab w:val="right" w:leader="dot" w:pos="7070"/>
        </w:tabs>
        <w:ind w:left="578" w:right="578"/>
        <w:rPr>
          <w:sz w:val="20"/>
        </w:rPr>
      </w:pPr>
      <w:r>
        <w:rPr>
          <w:sz w:val="20"/>
        </w:rPr>
        <w:t>current access arrangement modification Rules</w:t>
      </w:r>
      <w:r>
        <w:rPr>
          <w:sz w:val="20"/>
        </w:rPr>
        <w:tab/>
        <w:t>Sch. 3 cl. 30</w:t>
      </w:r>
    </w:p>
    <w:p>
      <w:pPr>
        <w:tabs>
          <w:tab w:val="right" w:leader="dot" w:pos="7070"/>
        </w:tabs>
        <w:ind w:left="578" w:right="578"/>
        <w:rPr>
          <w:sz w:val="20"/>
        </w:rPr>
      </w:pPr>
      <w:r>
        <w:rPr>
          <w:sz w:val="20"/>
        </w:rPr>
        <w:t>deal with</w:t>
      </w:r>
      <w:r>
        <w:rPr>
          <w:sz w:val="20"/>
        </w:rPr>
        <w:tab/>
        <w:t>Sch. 2 cl. 53A</w:t>
      </w:r>
    </w:p>
    <w:p>
      <w:pPr>
        <w:tabs>
          <w:tab w:val="right" w:leader="dot" w:pos="7070"/>
        </w:tabs>
        <w:ind w:left="578" w:right="578"/>
        <w:rPr>
          <w:sz w:val="20"/>
        </w:rPr>
      </w:pPr>
      <w:r>
        <w:rPr>
          <w:sz w:val="20"/>
        </w:rPr>
        <w:t>decision maker</w:t>
      </w:r>
      <w:r>
        <w:rPr>
          <w:sz w:val="20"/>
        </w:rPr>
        <w:tab/>
        <w:t>Sch. 2 cl. 31</w:t>
      </w:r>
    </w:p>
    <w:p>
      <w:pPr>
        <w:tabs>
          <w:tab w:val="right" w:leader="dot" w:pos="7070"/>
        </w:tabs>
        <w:ind w:left="578" w:right="578"/>
        <w:rPr>
          <w:sz w:val="20"/>
        </w:rPr>
      </w:pPr>
      <w:r>
        <w:rPr>
          <w:sz w:val="20"/>
        </w:rPr>
        <w:t>decision related matter</w:t>
      </w:r>
      <w:r>
        <w:rPr>
          <w:sz w:val="20"/>
        </w:rPr>
        <w:tab/>
        <w:t>68C</w:t>
      </w:r>
    </w:p>
    <w:p>
      <w:pPr>
        <w:tabs>
          <w:tab w:val="right" w:leader="dot" w:pos="7070"/>
        </w:tabs>
        <w:ind w:left="578" w:right="578"/>
        <w:rPr>
          <w:sz w:val="20"/>
        </w:rPr>
      </w:pPr>
      <w:r>
        <w:rPr>
          <w:sz w:val="20"/>
        </w:rPr>
        <w:t>definition</w:t>
      </w:r>
      <w:r>
        <w:rPr>
          <w:sz w:val="20"/>
        </w:rPr>
        <w:tab/>
        <w:t>Sch. 2 cl. 10</w:t>
      </w:r>
    </w:p>
    <w:p>
      <w:pPr>
        <w:tabs>
          <w:tab w:val="right" w:leader="dot" w:pos="7070"/>
        </w:tabs>
        <w:ind w:left="578" w:right="578"/>
        <w:rPr>
          <w:sz w:val="20"/>
        </w:rPr>
      </w:pPr>
      <w:r>
        <w:rPr>
          <w:sz w:val="20"/>
        </w:rPr>
        <w:t>designated Minister</w:t>
      </w:r>
      <w:r>
        <w:rPr>
          <w:sz w:val="20"/>
        </w:rPr>
        <w:tab/>
        <w:t>Act 9(1)</w:t>
      </w:r>
    </w:p>
    <w:p>
      <w:pPr>
        <w:tabs>
          <w:tab w:val="right" w:leader="dot" w:pos="7070"/>
        </w:tabs>
        <w:ind w:left="578" w:right="578"/>
        <w:rPr>
          <w:sz w:val="20"/>
        </w:rPr>
      </w:pPr>
      <w:r>
        <w:rPr>
          <w:sz w:val="20"/>
        </w:rPr>
        <w:t>designated pipeline</w:t>
      </w:r>
      <w:r>
        <w:rPr>
          <w:sz w:val="20"/>
        </w:rPr>
        <w:tab/>
        <w:t>2</w:t>
      </w:r>
    </w:p>
    <w:p>
      <w:pPr>
        <w:tabs>
          <w:tab w:val="right" w:leader="dot" w:pos="7070"/>
        </w:tabs>
        <w:ind w:left="578" w:right="578"/>
        <w:rPr>
          <w:sz w:val="20"/>
        </w:rPr>
      </w:pPr>
      <w:r>
        <w:rPr>
          <w:sz w:val="20"/>
        </w:rPr>
        <w:t>designated reviewable regulatory decision</w:t>
      </w:r>
      <w:r>
        <w:rPr>
          <w:sz w:val="20"/>
        </w:rPr>
        <w:tab/>
        <w:t>2</w:t>
      </w:r>
    </w:p>
    <w:p>
      <w:pPr>
        <w:tabs>
          <w:tab w:val="right" w:leader="dot" w:pos="7070"/>
        </w:tabs>
        <w:ind w:left="578" w:right="578"/>
        <w:rPr>
          <w:sz w:val="20"/>
        </w:rPr>
      </w:pPr>
      <w:r>
        <w:rPr>
          <w:sz w:val="20"/>
        </w:rPr>
        <w:t>developable capacity</w:t>
      </w:r>
      <w:r>
        <w:rPr>
          <w:sz w:val="20"/>
        </w:rPr>
        <w:tab/>
        <w:t>2</w:t>
      </w:r>
    </w:p>
    <w:p>
      <w:pPr>
        <w:tabs>
          <w:tab w:val="right" w:leader="dot" w:pos="7070"/>
        </w:tabs>
        <w:ind w:left="578" w:right="578"/>
        <w:rPr>
          <w:sz w:val="20"/>
        </w:rPr>
      </w:pPr>
      <w:r>
        <w:rPr>
          <w:sz w:val="20"/>
        </w:rPr>
        <w:t>dispute hearing</w:t>
      </w:r>
      <w:r>
        <w:rPr>
          <w:sz w:val="20"/>
        </w:rPr>
        <w:tab/>
        <w:t>178, 216A</w:t>
      </w:r>
    </w:p>
    <w:p>
      <w:pPr>
        <w:tabs>
          <w:tab w:val="right" w:leader="dot" w:pos="7070"/>
        </w:tabs>
        <w:ind w:left="578" w:right="578"/>
        <w:rPr>
          <w:sz w:val="20"/>
        </w:rPr>
      </w:pPr>
      <w:r>
        <w:rPr>
          <w:sz w:val="20"/>
        </w:rPr>
        <w:t>dispute resolution body</w:t>
      </w:r>
      <w:r>
        <w:rPr>
          <w:sz w:val="20"/>
        </w:rPr>
        <w:tab/>
        <w:t>Act 9(1), Note 2</w:t>
      </w:r>
    </w:p>
    <w:p>
      <w:pPr>
        <w:tabs>
          <w:tab w:val="right" w:leader="dot" w:pos="7070"/>
        </w:tabs>
        <w:ind w:left="578" w:right="578"/>
        <w:rPr>
          <w:sz w:val="20"/>
        </w:rPr>
      </w:pPr>
      <w:r>
        <w:rPr>
          <w:sz w:val="20"/>
        </w:rPr>
        <w:t>distribution pipeline</w:t>
      </w:r>
      <w:r>
        <w:rPr>
          <w:sz w:val="20"/>
        </w:rPr>
        <w:tab/>
        <w:t>2, 216A</w:t>
      </w:r>
    </w:p>
    <w:p>
      <w:pPr>
        <w:tabs>
          <w:tab w:val="right" w:leader="dot" w:pos="7070"/>
        </w:tabs>
        <w:ind w:left="578" w:right="578"/>
        <w:rPr>
          <w:sz w:val="20"/>
        </w:rPr>
      </w:pPr>
      <w:r>
        <w:rPr>
          <w:sz w:val="20"/>
        </w:rPr>
        <w:t>document</w:t>
      </w:r>
      <w:r>
        <w:rPr>
          <w:sz w:val="20"/>
        </w:rPr>
        <w:tab/>
        <w:t>Sch. 2 cl. 10</w:t>
      </w:r>
    </w:p>
    <w:p>
      <w:pPr>
        <w:tabs>
          <w:tab w:val="right" w:leader="dot" w:pos="7070"/>
        </w:tabs>
        <w:ind w:left="578" w:right="578"/>
        <w:rPr>
          <w:sz w:val="20"/>
        </w:rPr>
      </w:pPr>
      <w:r>
        <w:rPr>
          <w:sz w:val="20"/>
        </w:rPr>
        <w:t>draft Rule determination</w:t>
      </w:r>
      <w:r>
        <w:rPr>
          <w:sz w:val="20"/>
        </w:rPr>
        <w:tab/>
        <w:t>2</w:t>
      </w:r>
    </w:p>
    <w:p>
      <w:pPr>
        <w:tabs>
          <w:tab w:val="right" w:leader="dot" w:pos="7070"/>
        </w:tabs>
        <w:ind w:left="578" w:right="578"/>
        <w:rPr>
          <w:sz w:val="20"/>
        </w:rPr>
      </w:pPr>
      <w:r>
        <w:rPr>
          <w:sz w:val="20"/>
        </w:rPr>
        <w:t>eligible expert</w:t>
      </w:r>
      <w:r>
        <w:rPr>
          <w:sz w:val="20"/>
        </w:rPr>
        <w:tab/>
        <w:t>30H</w:t>
      </w:r>
    </w:p>
    <w:p>
      <w:pPr>
        <w:tabs>
          <w:tab w:val="right" w:leader="dot" w:pos="7070"/>
        </w:tabs>
        <w:ind w:left="578" w:right="578"/>
        <w:rPr>
          <w:sz w:val="20"/>
        </w:rPr>
      </w:pPr>
      <w:r>
        <w:rPr>
          <w:sz w:val="20"/>
        </w:rPr>
        <w:t>empowering provision</w:t>
      </w:r>
      <w:r>
        <w:rPr>
          <w:sz w:val="20"/>
        </w:rPr>
        <w:tab/>
        <w:t>Sch. 2 cl. 27</w:t>
      </w:r>
    </w:p>
    <w:p>
      <w:pPr>
        <w:tabs>
          <w:tab w:val="right" w:leader="dot" w:pos="7070"/>
        </w:tabs>
        <w:ind w:left="578" w:right="578"/>
        <w:rPr>
          <w:sz w:val="20"/>
        </w:rPr>
      </w:pPr>
      <w:r>
        <w:rPr>
          <w:sz w:val="20"/>
        </w:rPr>
        <w:t>end user</w:t>
      </w:r>
      <w:r>
        <w:rPr>
          <w:sz w:val="20"/>
        </w:rPr>
        <w:tab/>
        <w:t>2, 244</w:t>
      </w:r>
    </w:p>
    <w:p>
      <w:pPr>
        <w:tabs>
          <w:tab w:val="right" w:leader="dot" w:pos="7070"/>
        </w:tabs>
        <w:ind w:left="578" w:right="578"/>
        <w:rPr>
          <w:sz w:val="20"/>
        </w:rPr>
      </w:pPr>
      <w:r>
        <w:rPr>
          <w:sz w:val="20"/>
        </w:rPr>
        <w:t>ERA</w:t>
      </w:r>
      <w:r>
        <w:rPr>
          <w:sz w:val="20"/>
        </w:rPr>
        <w:tab/>
        <w:t>2</w:t>
      </w:r>
    </w:p>
    <w:p>
      <w:pPr>
        <w:tabs>
          <w:tab w:val="right" w:leader="dot" w:pos="7070"/>
        </w:tabs>
        <w:ind w:left="578" w:right="578"/>
        <w:rPr>
          <w:sz w:val="20"/>
        </w:rPr>
      </w:pPr>
      <w:r>
        <w:rPr>
          <w:sz w:val="20"/>
        </w:rPr>
        <w:t>ERA pipeline</w:t>
      </w:r>
      <w:r>
        <w:rPr>
          <w:sz w:val="20"/>
        </w:rPr>
        <w:tab/>
        <w:t>Act 9(1)</w:t>
      </w:r>
    </w:p>
    <w:p>
      <w:pPr>
        <w:tabs>
          <w:tab w:val="right" w:leader="dot" w:pos="7070"/>
        </w:tabs>
        <w:ind w:left="578" w:right="578"/>
        <w:rPr>
          <w:sz w:val="20"/>
        </w:rPr>
      </w:pPr>
      <w:r>
        <w:rPr>
          <w:sz w:val="20"/>
        </w:rPr>
        <w:t>estate</w:t>
      </w:r>
      <w:r>
        <w:rPr>
          <w:sz w:val="20"/>
        </w:rPr>
        <w:tab/>
        <w:t>Sch. 2 cl. 10</w:t>
      </w:r>
    </w:p>
    <w:p>
      <w:pPr>
        <w:tabs>
          <w:tab w:val="right" w:leader="dot" w:pos="7070"/>
        </w:tabs>
        <w:ind w:left="578" w:right="578"/>
        <w:rPr>
          <w:sz w:val="20"/>
        </w:rPr>
      </w:pPr>
      <w:r>
        <w:rPr>
          <w:sz w:val="20"/>
        </w:rPr>
        <w:t>excluded infrastructure</w:t>
      </w:r>
      <w:r>
        <w:rPr>
          <w:sz w:val="20"/>
        </w:rPr>
        <w:tab/>
        <w:t>149</w:t>
      </w:r>
    </w:p>
    <w:p>
      <w:pPr>
        <w:tabs>
          <w:tab w:val="right" w:leader="dot" w:pos="7070"/>
        </w:tabs>
        <w:ind w:left="578" w:right="578"/>
        <w:rPr>
          <w:sz w:val="20"/>
        </w:rPr>
      </w:pPr>
      <w:r>
        <w:rPr>
          <w:sz w:val="20"/>
        </w:rPr>
        <w:t>exempt contract</w:t>
      </w:r>
      <w:r>
        <w:rPr>
          <w:sz w:val="20"/>
        </w:rPr>
        <w:tab/>
        <w:t>Act 19(3)</w:t>
      </w:r>
    </w:p>
    <w:p>
      <w:pPr>
        <w:tabs>
          <w:tab w:val="right" w:leader="dot" w:pos="7070"/>
        </w:tabs>
        <w:ind w:left="578" w:right="578"/>
        <w:rPr>
          <w:sz w:val="20"/>
        </w:rPr>
      </w:pPr>
      <w:r>
        <w:rPr>
          <w:sz w:val="20"/>
        </w:rPr>
        <w:t>exempt matter</w:t>
      </w:r>
      <w:r>
        <w:rPr>
          <w:sz w:val="20"/>
        </w:rPr>
        <w:tab/>
        <w:t>Act 15(2)</w:t>
      </w:r>
    </w:p>
    <w:p>
      <w:pPr>
        <w:tabs>
          <w:tab w:val="right" w:leader="dot" w:pos="7070"/>
        </w:tabs>
        <w:ind w:left="578" w:right="578"/>
        <w:rPr>
          <w:sz w:val="20"/>
        </w:rPr>
      </w:pPr>
      <w:r>
        <w:rPr>
          <w:sz w:val="20"/>
        </w:rPr>
        <w:t>expire</w:t>
      </w:r>
      <w:r>
        <w:rPr>
          <w:sz w:val="20"/>
        </w:rPr>
        <w:tab/>
        <w:t>Sch. 2 cl. 10</w:t>
      </w:r>
    </w:p>
    <w:p>
      <w:pPr>
        <w:tabs>
          <w:tab w:val="right" w:leader="dot" w:pos="7070"/>
        </w:tabs>
        <w:ind w:left="578" w:right="578"/>
        <w:rPr>
          <w:sz w:val="20"/>
        </w:rPr>
      </w:pPr>
      <w:r>
        <w:rPr>
          <w:sz w:val="20"/>
        </w:rPr>
        <w:t>explanatory information</w:t>
      </w:r>
      <w:r>
        <w:rPr>
          <w:sz w:val="20"/>
        </w:rPr>
        <w:tab/>
        <w:t>30A</w:t>
      </w:r>
    </w:p>
    <w:p>
      <w:pPr>
        <w:tabs>
          <w:tab w:val="right" w:leader="dot" w:pos="7070"/>
        </w:tabs>
        <w:ind w:left="578" w:right="578"/>
        <w:rPr>
          <w:sz w:val="20"/>
        </w:rPr>
      </w:pPr>
      <w:r>
        <w:rPr>
          <w:sz w:val="20"/>
        </w:rPr>
        <w:t>extension and expansion requirements</w:t>
      </w:r>
      <w:r>
        <w:rPr>
          <w:sz w:val="20"/>
        </w:rPr>
        <w:tab/>
        <w:t>2</w:t>
      </w:r>
    </w:p>
    <w:p>
      <w:pPr>
        <w:tabs>
          <w:tab w:val="right" w:leader="dot" w:pos="7070"/>
        </w:tabs>
        <w:ind w:left="578" w:right="578"/>
        <w:rPr>
          <w:sz w:val="20"/>
        </w:rPr>
      </w:pPr>
      <w:r>
        <w:rPr>
          <w:sz w:val="20"/>
        </w:rPr>
        <w:t>fail</w:t>
      </w:r>
      <w:r>
        <w:rPr>
          <w:sz w:val="20"/>
        </w:rPr>
        <w:tab/>
        <w:t>Sch. 2 cl. 10</w:t>
      </w:r>
    </w:p>
    <w:p>
      <w:pPr>
        <w:tabs>
          <w:tab w:val="right" w:leader="dot" w:pos="7070"/>
        </w:tabs>
        <w:ind w:left="578" w:right="578"/>
        <w:rPr>
          <w:sz w:val="20"/>
        </w:rPr>
      </w:pPr>
      <w:r>
        <w:rPr>
          <w:sz w:val="20"/>
        </w:rPr>
        <w:t>final Rule determination</w:t>
      </w:r>
      <w:r>
        <w:rPr>
          <w:sz w:val="20"/>
        </w:rPr>
        <w:tab/>
        <w:t>2</w:t>
      </w:r>
    </w:p>
    <w:p>
      <w:pPr>
        <w:tabs>
          <w:tab w:val="right" w:leader="dot" w:pos="7070"/>
        </w:tabs>
        <w:ind w:left="578" w:right="578"/>
        <w:rPr>
          <w:sz w:val="20"/>
        </w:rPr>
      </w:pPr>
      <w:r>
        <w:rPr>
          <w:sz w:val="20"/>
        </w:rPr>
        <w:t>financial year</w:t>
      </w:r>
      <w:r>
        <w:rPr>
          <w:sz w:val="20"/>
        </w:rPr>
        <w:tab/>
        <w:t>Sch. 2 cl. 10</w:t>
      </w:r>
    </w:p>
    <w:p>
      <w:pPr>
        <w:tabs>
          <w:tab w:val="right" w:leader="dot" w:pos="7070"/>
        </w:tabs>
        <w:ind w:left="578" w:right="578"/>
        <w:rPr>
          <w:sz w:val="20"/>
        </w:rPr>
      </w:pPr>
      <w:r>
        <w:rPr>
          <w:sz w:val="20"/>
        </w:rPr>
        <w:t>foreign company</w:t>
      </w:r>
      <w:r>
        <w:rPr>
          <w:sz w:val="20"/>
        </w:rPr>
        <w:tab/>
        <w:t>2</w:t>
      </w:r>
    </w:p>
    <w:p>
      <w:pPr>
        <w:tabs>
          <w:tab w:val="right" w:leader="dot" w:pos="7070"/>
        </w:tabs>
        <w:ind w:left="578" w:right="578"/>
        <w:rPr>
          <w:sz w:val="20"/>
        </w:rPr>
      </w:pPr>
      <w:r>
        <w:rPr>
          <w:sz w:val="20"/>
        </w:rPr>
        <w:t>foreign source</w:t>
      </w:r>
      <w:r>
        <w:rPr>
          <w:sz w:val="20"/>
        </w:rPr>
        <w:tab/>
        <w:t>2</w:t>
      </w:r>
    </w:p>
    <w:p>
      <w:pPr>
        <w:tabs>
          <w:tab w:val="right" w:leader="dot" w:pos="7070"/>
        </w:tabs>
        <w:ind w:left="578" w:right="578"/>
        <w:rPr>
          <w:sz w:val="20"/>
        </w:rPr>
      </w:pPr>
      <w:r>
        <w:rPr>
          <w:sz w:val="20"/>
        </w:rPr>
        <w:t>form of regulation factors</w:t>
      </w:r>
      <w:r>
        <w:rPr>
          <w:sz w:val="20"/>
        </w:rPr>
        <w:tab/>
        <w:t>2</w:t>
      </w:r>
    </w:p>
    <w:p>
      <w:pPr>
        <w:tabs>
          <w:tab w:val="right" w:leader="dot" w:pos="7070"/>
        </w:tabs>
        <w:ind w:left="578" w:right="578"/>
        <w:rPr>
          <w:sz w:val="20"/>
        </w:rPr>
      </w:pPr>
      <w:r>
        <w:rPr>
          <w:sz w:val="20"/>
        </w:rPr>
        <w:t>full access arrangement</w:t>
      </w:r>
      <w:r>
        <w:rPr>
          <w:sz w:val="20"/>
        </w:rPr>
        <w:tab/>
        <w:t>2</w:t>
      </w:r>
    </w:p>
    <w:p>
      <w:pPr>
        <w:tabs>
          <w:tab w:val="right" w:leader="dot" w:pos="7070"/>
        </w:tabs>
        <w:ind w:left="578" w:right="578"/>
        <w:rPr>
          <w:sz w:val="20"/>
        </w:rPr>
      </w:pPr>
      <w:r>
        <w:rPr>
          <w:sz w:val="20"/>
        </w:rPr>
        <w:t>full access arrangement decision</w:t>
      </w:r>
      <w:r>
        <w:rPr>
          <w:sz w:val="20"/>
        </w:rPr>
        <w:tab/>
        <w:t>2</w:t>
      </w:r>
    </w:p>
    <w:p>
      <w:pPr>
        <w:tabs>
          <w:tab w:val="right" w:leader="dot" w:pos="7070"/>
        </w:tabs>
        <w:ind w:left="578" w:right="578"/>
        <w:rPr>
          <w:sz w:val="20"/>
        </w:rPr>
      </w:pPr>
      <w:r>
        <w:rPr>
          <w:sz w:val="20"/>
        </w:rPr>
        <w:lastRenderedPageBreak/>
        <w:t>function</w:t>
      </w:r>
      <w:r>
        <w:rPr>
          <w:sz w:val="20"/>
        </w:rPr>
        <w:tab/>
        <w:t>Sch. 2 cl. 10</w:t>
      </w:r>
    </w:p>
    <w:p>
      <w:pPr>
        <w:tabs>
          <w:tab w:val="right" w:leader="dot" w:pos="7070"/>
        </w:tabs>
        <w:ind w:left="578" w:right="578"/>
        <w:rPr>
          <w:sz w:val="20"/>
        </w:rPr>
      </w:pPr>
      <w:r>
        <w:rPr>
          <w:sz w:val="20"/>
        </w:rPr>
        <w:t>further disclosure notice</w:t>
      </w:r>
      <w:r>
        <w:rPr>
          <w:sz w:val="20"/>
        </w:rPr>
        <w:tab/>
        <w:t>329(6)</w:t>
      </w:r>
    </w:p>
    <w:p>
      <w:pPr>
        <w:tabs>
          <w:tab w:val="right" w:leader="dot" w:pos="7070"/>
        </w:tabs>
        <w:ind w:left="578" w:right="578"/>
        <w:rPr>
          <w:sz w:val="20"/>
        </w:rPr>
      </w:pPr>
      <w:r>
        <w:rPr>
          <w:sz w:val="20"/>
        </w:rPr>
        <w:t>Gas Code</w:t>
      </w:r>
      <w:r>
        <w:rPr>
          <w:sz w:val="20"/>
        </w:rPr>
        <w:tab/>
        <w:t>2</w:t>
      </w:r>
    </w:p>
    <w:p>
      <w:pPr>
        <w:tabs>
          <w:tab w:val="right" w:leader="dot" w:pos="7070"/>
        </w:tabs>
        <w:ind w:left="578" w:right="578"/>
        <w:rPr>
          <w:sz w:val="20"/>
        </w:rPr>
      </w:pPr>
      <w:r>
        <w:rPr>
          <w:sz w:val="20"/>
        </w:rPr>
        <w:t>gas market operator</w:t>
      </w:r>
      <w:r>
        <w:rPr>
          <w:sz w:val="20"/>
        </w:rPr>
        <w:tab/>
        <w:t>2</w:t>
      </w:r>
    </w:p>
    <w:p>
      <w:pPr>
        <w:tabs>
          <w:tab w:val="right" w:leader="dot" w:pos="7070"/>
        </w:tabs>
        <w:ind w:left="578" w:right="578"/>
        <w:rPr>
          <w:sz w:val="20"/>
        </w:rPr>
      </w:pPr>
      <w:r>
        <w:rPr>
          <w:sz w:val="20"/>
        </w:rPr>
        <w:t>gas market regulatory body</w:t>
      </w:r>
      <w:r>
        <w:rPr>
          <w:sz w:val="20"/>
        </w:rPr>
        <w:tab/>
        <w:t>290</w:t>
      </w:r>
    </w:p>
    <w:p>
      <w:pPr>
        <w:tabs>
          <w:tab w:val="right" w:leader="dot" w:pos="7070"/>
        </w:tabs>
        <w:ind w:left="578" w:right="578"/>
        <w:rPr>
          <w:sz w:val="20"/>
        </w:rPr>
      </w:pPr>
      <w:r>
        <w:rPr>
          <w:sz w:val="20"/>
        </w:rPr>
        <w:t>gas other than natural gas</w:t>
      </w:r>
      <w:r>
        <w:rPr>
          <w:sz w:val="20"/>
        </w:rPr>
        <w:tab/>
        <w:t>Act 6A(3)</w:t>
      </w:r>
    </w:p>
    <w:p>
      <w:pPr>
        <w:tabs>
          <w:tab w:val="right" w:leader="dot" w:pos="7070"/>
        </w:tabs>
        <w:ind w:left="578" w:right="578"/>
        <w:rPr>
          <w:sz w:val="20"/>
        </w:rPr>
      </w:pPr>
      <w:r>
        <w:rPr>
          <w:sz w:val="20"/>
        </w:rPr>
        <w:t>Gas Pipelines Access Law</w:t>
      </w:r>
      <w:r>
        <w:rPr>
          <w:sz w:val="20"/>
        </w:rPr>
        <w:tab/>
        <w:t>Act 11(4)</w:t>
      </w:r>
    </w:p>
    <w:p>
      <w:pPr>
        <w:tabs>
          <w:tab w:val="right" w:leader="dot" w:pos="7070"/>
        </w:tabs>
        <w:ind w:left="578" w:right="578"/>
        <w:rPr>
          <w:sz w:val="20"/>
        </w:rPr>
      </w:pPr>
      <w:r>
        <w:rPr>
          <w:sz w:val="20"/>
        </w:rPr>
        <w:t>Gazette</w:t>
      </w:r>
      <w:r>
        <w:rPr>
          <w:sz w:val="20"/>
        </w:rPr>
        <w:tab/>
        <w:t>Sch. 2 cl. 10</w:t>
      </w:r>
    </w:p>
    <w:p>
      <w:pPr>
        <w:tabs>
          <w:tab w:val="right" w:leader="dot" w:pos="7070"/>
        </w:tabs>
        <w:ind w:left="578" w:right="578"/>
        <w:rPr>
          <w:sz w:val="20"/>
        </w:rPr>
      </w:pPr>
      <w:r>
        <w:rPr>
          <w:sz w:val="20"/>
        </w:rPr>
        <w:t>general regulatory information order</w:t>
      </w:r>
      <w:r>
        <w:rPr>
          <w:sz w:val="20"/>
        </w:rPr>
        <w:tab/>
        <w:t>2</w:t>
      </w:r>
    </w:p>
    <w:p>
      <w:pPr>
        <w:tabs>
          <w:tab w:val="right" w:leader="dot" w:pos="7070"/>
        </w:tabs>
        <w:ind w:left="578" w:right="578"/>
        <w:rPr>
          <w:sz w:val="20"/>
        </w:rPr>
      </w:pPr>
      <w:r>
        <w:rPr>
          <w:sz w:val="20"/>
        </w:rPr>
        <w:t>government or regulatory entity</w:t>
      </w:r>
      <w:r>
        <w:rPr>
          <w:sz w:val="20"/>
        </w:rPr>
        <w:tab/>
        <w:t>Sch. 3 cl. 133</w:t>
      </w:r>
    </w:p>
    <w:p>
      <w:pPr>
        <w:tabs>
          <w:tab w:val="right" w:leader="dot" w:pos="7070"/>
        </w:tabs>
        <w:ind w:left="578" w:right="578"/>
        <w:rPr>
          <w:sz w:val="20"/>
        </w:rPr>
      </w:pPr>
      <w:r>
        <w:rPr>
          <w:sz w:val="20"/>
        </w:rPr>
        <w:t>GMCo</w:t>
      </w:r>
      <w:r>
        <w:rPr>
          <w:sz w:val="20"/>
        </w:rPr>
        <w:tab/>
        <w:t>290</w:t>
      </w:r>
    </w:p>
    <w:p>
      <w:pPr>
        <w:tabs>
          <w:tab w:val="right" w:leader="dot" w:pos="7070"/>
        </w:tabs>
        <w:ind w:left="578" w:right="578"/>
        <w:rPr>
          <w:sz w:val="20"/>
        </w:rPr>
      </w:pPr>
      <w:r>
        <w:rPr>
          <w:sz w:val="20"/>
        </w:rPr>
        <w:t>greenfields pipeline incentive</w:t>
      </w:r>
      <w:r>
        <w:rPr>
          <w:sz w:val="20"/>
        </w:rPr>
        <w:tab/>
        <w:t>2</w:t>
      </w:r>
    </w:p>
    <w:p>
      <w:pPr>
        <w:tabs>
          <w:tab w:val="right" w:leader="dot" w:pos="7070"/>
        </w:tabs>
        <w:ind w:left="578" w:right="578"/>
        <w:rPr>
          <w:sz w:val="20"/>
        </w:rPr>
      </w:pPr>
      <w:r>
        <w:rPr>
          <w:sz w:val="20"/>
        </w:rPr>
        <w:t>greenfields pipeline project</w:t>
      </w:r>
      <w:r>
        <w:rPr>
          <w:sz w:val="20"/>
        </w:rPr>
        <w:tab/>
        <w:t>149</w:t>
      </w:r>
    </w:p>
    <w:p>
      <w:pPr>
        <w:tabs>
          <w:tab w:val="right" w:leader="dot" w:pos="7070"/>
        </w:tabs>
        <w:ind w:left="578" w:right="578"/>
        <w:rPr>
          <w:sz w:val="20"/>
        </w:rPr>
      </w:pPr>
      <w:r>
        <w:rPr>
          <w:sz w:val="20"/>
        </w:rPr>
        <w:t>haulage</w:t>
      </w:r>
      <w:r>
        <w:rPr>
          <w:sz w:val="20"/>
        </w:rPr>
        <w:tab/>
        <w:t>2</w:t>
      </w:r>
    </w:p>
    <w:p>
      <w:pPr>
        <w:tabs>
          <w:tab w:val="right" w:leader="dot" w:pos="7070"/>
        </w:tabs>
        <w:ind w:left="578" w:right="578"/>
        <w:rPr>
          <w:sz w:val="20"/>
        </w:rPr>
      </w:pPr>
      <w:r>
        <w:rPr>
          <w:sz w:val="20"/>
        </w:rPr>
        <w:t>information</w:t>
      </w:r>
      <w:r>
        <w:rPr>
          <w:sz w:val="20"/>
        </w:rPr>
        <w:tab/>
        <w:t>30T</w:t>
      </w:r>
    </w:p>
    <w:p>
      <w:pPr>
        <w:tabs>
          <w:tab w:val="right" w:leader="dot" w:pos="7070"/>
        </w:tabs>
        <w:ind w:left="578" w:right="578"/>
        <w:rPr>
          <w:sz w:val="20"/>
        </w:rPr>
      </w:pPr>
      <w:r>
        <w:rPr>
          <w:sz w:val="20"/>
        </w:rPr>
        <w:t>initial classification decision</w:t>
      </w:r>
      <w:r>
        <w:rPr>
          <w:sz w:val="20"/>
        </w:rPr>
        <w:tab/>
        <w:t>2, 98(1), 155(1)</w:t>
      </w:r>
    </w:p>
    <w:p>
      <w:pPr>
        <w:tabs>
          <w:tab w:val="right" w:leader="dot" w:pos="7070"/>
        </w:tabs>
        <w:ind w:left="578" w:right="578"/>
        <w:rPr>
          <w:sz w:val="20"/>
        </w:rPr>
      </w:pPr>
      <w:r>
        <w:rPr>
          <w:sz w:val="20"/>
        </w:rPr>
        <w:t>initial disclosure notice</w:t>
      </w:r>
      <w:r>
        <w:rPr>
          <w:sz w:val="20"/>
        </w:rPr>
        <w:tab/>
        <w:t>329(2), (3)</w:t>
      </w:r>
    </w:p>
    <w:p>
      <w:pPr>
        <w:tabs>
          <w:tab w:val="right" w:leader="dot" w:pos="7070"/>
        </w:tabs>
        <w:ind w:left="578" w:right="578"/>
        <w:rPr>
          <w:sz w:val="20"/>
        </w:rPr>
      </w:pPr>
      <w:r>
        <w:rPr>
          <w:sz w:val="20"/>
        </w:rPr>
        <w:t>initial National Gas Rules</w:t>
      </w:r>
      <w:r>
        <w:rPr>
          <w:sz w:val="20"/>
        </w:rPr>
        <w:tab/>
        <w:t>2</w:t>
      </w:r>
    </w:p>
    <w:p>
      <w:pPr>
        <w:tabs>
          <w:tab w:val="right" w:leader="dot" w:pos="7070"/>
        </w:tabs>
        <w:ind w:left="578" w:right="578"/>
        <w:rPr>
          <w:sz w:val="20"/>
        </w:rPr>
      </w:pPr>
      <w:r>
        <w:rPr>
          <w:sz w:val="20"/>
        </w:rPr>
        <w:t>instrument</w:t>
      </w:r>
      <w:r>
        <w:rPr>
          <w:sz w:val="20"/>
        </w:rPr>
        <w:tab/>
        <w:t>Sch. 2 cl. 10</w:t>
      </w:r>
    </w:p>
    <w:p>
      <w:pPr>
        <w:tabs>
          <w:tab w:val="right" w:leader="dot" w:pos="7070"/>
        </w:tabs>
        <w:ind w:left="578" w:right="578"/>
        <w:rPr>
          <w:sz w:val="20"/>
        </w:rPr>
      </w:pPr>
      <w:r>
        <w:rPr>
          <w:sz w:val="20"/>
        </w:rPr>
        <w:t>interest</w:t>
      </w:r>
      <w:r>
        <w:rPr>
          <w:sz w:val="20"/>
        </w:rPr>
        <w:tab/>
        <w:t>Sch. 2 cl. 10</w:t>
      </w:r>
    </w:p>
    <w:p>
      <w:pPr>
        <w:tabs>
          <w:tab w:val="right" w:leader="dot" w:pos="7070"/>
        </w:tabs>
        <w:ind w:left="578" w:right="578"/>
        <w:rPr>
          <w:sz w:val="20"/>
        </w:rPr>
      </w:pPr>
      <w:r>
        <w:rPr>
          <w:sz w:val="20"/>
        </w:rPr>
        <w:t>international pipeline</w:t>
      </w:r>
      <w:r>
        <w:rPr>
          <w:sz w:val="20"/>
        </w:rPr>
        <w:tab/>
        <w:t>2</w:t>
      </w:r>
    </w:p>
    <w:p>
      <w:pPr>
        <w:tabs>
          <w:tab w:val="right" w:leader="dot" w:pos="7070"/>
        </w:tabs>
        <w:ind w:left="578" w:right="578"/>
        <w:rPr>
          <w:sz w:val="20"/>
        </w:rPr>
      </w:pPr>
      <w:r>
        <w:rPr>
          <w:sz w:val="20"/>
        </w:rPr>
        <w:t>intervener</w:t>
      </w:r>
      <w:r>
        <w:rPr>
          <w:sz w:val="20"/>
        </w:rPr>
        <w:tab/>
        <w:t>244</w:t>
      </w:r>
    </w:p>
    <w:p>
      <w:pPr>
        <w:tabs>
          <w:tab w:val="right" w:leader="dot" w:pos="7070"/>
        </w:tabs>
        <w:ind w:left="578" w:right="578"/>
        <w:rPr>
          <w:sz w:val="20"/>
        </w:rPr>
      </w:pPr>
      <w:r>
        <w:rPr>
          <w:sz w:val="20"/>
        </w:rPr>
        <w:t>jurisdictional determination criteria</w:t>
      </w:r>
      <w:r>
        <w:rPr>
          <w:sz w:val="20"/>
        </w:rPr>
        <w:tab/>
        <w:t>2</w:t>
      </w:r>
    </w:p>
    <w:p>
      <w:pPr>
        <w:tabs>
          <w:tab w:val="right" w:leader="dot" w:pos="7070"/>
        </w:tabs>
        <w:ind w:left="578" w:right="578"/>
        <w:rPr>
          <w:sz w:val="20"/>
        </w:rPr>
      </w:pPr>
      <w:r>
        <w:rPr>
          <w:sz w:val="20"/>
        </w:rPr>
        <w:t>jurisdictional gas legislation</w:t>
      </w:r>
      <w:r>
        <w:rPr>
          <w:sz w:val="20"/>
        </w:rPr>
        <w:tab/>
        <w:t>2</w:t>
      </w:r>
    </w:p>
    <w:p>
      <w:pPr>
        <w:tabs>
          <w:tab w:val="right" w:leader="dot" w:pos="7070"/>
        </w:tabs>
        <w:ind w:left="578" w:right="578"/>
        <w:rPr>
          <w:sz w:val="20"/>
        </w:rPr>
      </w:pPr>
      <w:r>
        <w:rPr>
          <w:sz w:val="20"/>
        </w:rPr>
        <w:t>Law extrinsic material</w:t>
      </w:r>
      <w:r>
        <w:rPr>
          <w:sz w:val="20"/>
        </w:rPr>
        <w:tab/>
        <w:t>Sch. 2 cl. 8</w:t>
      </w:r>
    </w:p>
    <w:p>
      <w:pPr>
        <w:tabs>
          <w:tab w:val="right" w:leader="dot" w:pos="7070"/>
        </w:tabs>
        <w:ind w:left="578" w:right="578"/>
        <w:rPr>
          <w:sz w:val="20"/>
        </w:rPr>
      </w:pPr>
      <w:r>
        <w:rPr>
          <w:sz w:val="20"/>
        </w:rPr>
        <w:t>Legislature of this jurisdiction</w:t>
      </w:r>
      <w:r>
        <w:rPr>
          <w:sz w:val="20"/>
        </w:rPr>
        <w:tab/>
        <w:t>Act 9(1)</w:t>
      </w:r>
    </w:p>
    <w:p>
      <w:pPr>
        <w:tabs>
          <w:tab w:val="right" w:leader="dot" w:pos="7070"/>
        </w:tabs>
        <w:ind w:left="578" w:right="578"/>
        <w:rPr>
          <w:sz w:val="20"/>
        </w:rPr>
      </w:pPr>
      <w:r>
        <w:rPr>
          <w:sz w:val="20"/>
        </w:rPr>
        <w:t>light regulation determination</w:t>
      </w:r>
      <w:r>
        <w:rPr>
          <w:sz w:val="20"/>
        </w:rPr>
        <w:tab/>
        <w:t>2, 110(1), 112(1)</w:t>
      </w:r>
    </w:p>
    <w:p>
      <w:pPr>
        <w:tabs>
          <w:tab w:val="right" w:leader="dot" w:pos="7070"/>
        </w:tabs>
        <w:ind w:left="578" w:right="578"/>
        <w:rPr>
          <w:sz w:val="20"/>
        </w:rPr>
      </w:pPr>
      <w:r>
        <w:rPr>
          <w:sz w:val="20"/>
        </w:rPr>
        <w:t>light regulation services</w:t>
      </w:r>
      <w:r>
        <w:rPr>
          <w:sz w:val="20"/>
        </w:rPr>
        <w:tab/>
        <w:t>2</w:t>
      </w:r>
    </w:p>
    <w:p>
      <w:pPr>
        <w:tabs>
          <w:tab w:val="right" w:leader="dot" w:pos="7070"/>
        </w:tabs>
        <w:ind w:left="578" w:right="578"/>
        <w:rPr>
          <w:sz w:val="20"/>
        </w:rPr>
      </w:pPr>
      <w:r>
        <w:rPr>
          <w:sz w:val="20"/>
        </w:rPr>
        <w:t>limited access arrangement</w:t>
      </w:r>
      <w:r>
        <w:rPr>
          <w:sz w:val="20"/>
        </w:rPr>
        <w:tab/>
        <w:t>2</w:t>
      </w:r>
    </w:p>
    <w:p>
      <w:pPr>
        <w:tabs>
          <w:tab w:val="right" w:leader="dot" w:pos="7070"/>
        </w:tabs>
        <w:ind w:left="578" w:right="578"/>
        <w:rPr>
          <w:sz w:val="20"/>
        </w:rPr>
      </w:pPr>
      <w:r>
        <w:rPr>
          <w:sz w:val="20"/>
        </w:rPr>
        <w:t>limited access arrangement decision</w:t>
      </w:r>
      <w:r>
        <w:rPr>
          <w:sz w:val="20"/>
        </w:rPr>
        <w:tab/>
        <w:t>2</w:t>
      </w:r>
    </w:p>
    <w:p>
      <w:pPr>
        <w:tabs>
          <w:tab w:val="right" w:leader="dot" w:pos="7070"/>
        </w:tabs>
        <w:ind w:left="578" w:right="578"/>
        <w:rPr>
          <w:sz w:val="20"/>
        </w:rPr>
      </w:pPr>
      <w:r>
        <w:rPr>
          <w:sz w:val="20"/>
        </w:rPr>
        <w:t>make</w:t>
      </w:r>
      <w:r>
        <w:rPr>
          <w:sz w:val="20"/>
        </w:rPr>
        <w:tab/>
        <w:t>Sch. 2 cl. 10</w:t>
      </w:r>
    </w:p>
    <w:p>
      <w:pPr>
        <w:tabs>
          <w:tab w:val="right" w:leader="dot" w:pos="7070"/>
        </w:tabs>
        <w:ind w:left="578" w:right="578"/>
        <w:rPr>
          <w:sz w:val="20"/>
        </w:rPr>
      </w:pPr>
      <w:r>
        <w:rPr>
          <w:sz w:val="20"/>
        </w:rPr>
        <w:t>market initiated proposed Rule</w:t>
      </w:r>
      <w:r>
        <w:rPr>
          <w:sz w:val="20"/>
        </w:rPr>
        <w:tab/>
        <w:t>290</w:t>
      </w:r>
    </w:p>
    <w:p>
      <w:pPr>
        <w:tabs>
          <w:tab w:val="right" w:leader="dot" w:pos="7070"/>
        </w:tabs>
        <w:ind w:left="578" w:right="578"/>
        <w:rPr>
          <w:sz w:val="20"/>
        </w:rPr>
      </w:pPr>
      <w:r>
        <w:rPr>
          <w:sz w:val="20"/>
        </w:rPr>
        <w:t>marketing staff</w:t>
      </w:r>
      <w:r>
        <w:rPr>
          <w:sz w:val="20"/>
        </w:rPr>
        <w:tab/>
        <w:t>137</w:t>
      </w:r>
    </w:p>
    <w:p>
      <w:pPr>
        <w:tabs>
          <w:tab w:val="right" w:leader="dot" w:pos="7070"/>
        </w:tabs>
        <w:ind w:left="578" w:right="578"/>
        <w:rPr>
          <w:sz w:val="20"/>
        </w:rPr>
      </w:pPr>
      <w:r>
        <w:rPr>
          <w:sz w:val="20"/>
        </w:rPr>
        <w:t>materially preferable designated NGO decision</w:t>
      </w:r>
      <w:r>
        <w:rPr>
          <w:sz w:val="20"/>
        </w:rPr>
        <w:tab/>
        <w:t>244, 259</w:t>
      </w:r>
    </w:p>
    <w:p>
      <w:pPr>
        <w:tabs>
          <w:tab w:val="right" w:leader="dot" w:pos="7070"/>
        </w:tabs>
        <w:ind w:left="578" w:right="578"/>
        <w:rPr>
          <w:sz w:val="20"/>
        </w:rPr>
      </w:pPr>
      <w:r>
        <w:rPr>
          <w:sz w:val="20"/>
        </w:rPr>
        <w:t>matters of a transitional nature</w:t>
      </w:r>
      <w:r>
        <w:rPr>
          <w:sz w:val="20"/>
        </w:rPr>
        <w:tab/>
        <w:t>Act 11(4)</w:t>
      </w:r>
    </w:p>
    <w:p>
      <w:pPr>
        <w:tabs>
          <w:tab w:val="right" w:leader="dot" w:pos="7070"/>
        </w:tabs>
        <w:ind w:left="578" w:right="578"/>
        <w:rPr>
          <w:sz w:val="20"/>
        </w:rPr>
      </w:pPr>
      <w:r>
        <w:rPr>
          <w:sz w:val="20"/>
        </w:rPr>
        <w:t>MCE</w:t>
      </w:r>
      <w:r>
        <w:rPr>
          <w:sz w:val="20"/>
        </w:rPr>
        <w:tab/>
        <w:t>2</w:t>
      </w:r>
    </w:p>
    <w:p>
      <w:pPr>
        <w:tabs>
          <w:tab w:val="right" w:leader="dot" w:pos="7070"/>
        </w:tabs>
        <w:ind w:left="578" w:right="578"/>
        <w:rPr>
          <w:sz w:val="20"/>
        </w:rPr>
      </w:pPr>
      <w:r>
        <w:rPr>
          <w:sz w:val="20"/>
        </w:rPr>
        <w:t>MCE directed review</w:t>
      </w:r>
      <w:r>
        <w:rPr>
          <w:sz w:val="20"/>
        </w:rPr>
        <w:tab/>
        <w:t>2</w:t>
      </w:r>
    </w:p>
    <w:p>
      <w:pPr>
        <w:tabs>
          <w:tab w:val="right" w:leader="dot" w:pos="7070"/>
        </w:tabs>
        <w:ind w:left="578" w:right="578"/>
        <w:rPr>
          <w:sz w:val="20"/>
        </w:rPr>
      </w:pPr>
      <w:r>
        <w:rPr>
          <w:sz w:val="20"/>
        </w:rPr>
        <w:t>MCE statement</w:t>
      </w:r>
      <w:r>
        <w:rPr>
          <w:sz w:val="20"/>
        </w:rPr>
        <w:tab/>
        <w:t>Sch. 3 cl. 137</w:t>
      </w:r>
    </w:p>
    <w:p>
      <w:pPr>
        <w:tabs>
          <w:tab w:val="right" w:leader="dot" w:pos="7070"/>
        </w:tabs>
        <w:ind w:left="578" w:right="578"/>
        <w:rPr>
          <w:sz w:val="20"/>
        </w:rPr>
      </w:pPr>
      <w:r>
        <w:rPr>
          <w:sz w:val="20"/>
        </w:rPr>
        <w:t>MCE statement of policy principles</w:t>
      </w:r>
      <w:r>
        <w:rPr>
          <w:sz w:val="20"/>
        </w:rPr>
        <w:tab/>
        <w:t>2</w:t>
      </w:r>
    </w:p>
    <w:p>
      <w:pPr>
        <w:tabs>
          <w:tab w:val="right" w:leader="dot" w:pos="7070"/>
        </w:tabs>
        <w:ind w:left="578" w:right="578"/>
        <w:rPr>
          <w:sz w:val="20"/>
        </w:rPr>
      </w:pPr>
      <w:r>
        <w:rPr>
          <w:sz w:val="20"/>
        </w:rPr>
        <w:t>minimum ring fencing requirement</w:t>
      </w:r>
      <w:r>
        <w:rPr>
          <w:sz w:val="20"/>
        </w:rPr>
        <w:tab/>
        <w:t>2</w:t>
      </w:r>
    </w:p>
    <w:p>
      <w:pPr>
        <w:tabs>
          <w:tab w:val="right" w:leader="dot" w:pos="7070"/>
        </w:tabs>
        <w:ind w:left="578" w:right="578"/>
        <w:rPr>
          <w:sz w:val="20"/>
        </w:rPr>
      </w:pPr>
      <w:r>
        <w:rPr>
          <w:sz w:val="20"/>
        </w:rPr>
        <w:t>Minister of a participating jurisdiction</w:t>
      </w:r>
      <w:r>
        <w:rPr>
          <w:sz w:val="20"/>
        </w:rPr>
        <w:tab/>
        <w:t>2</w:t>
      </w:r>
    </w:p>
    <w:p>
      <w:pPr>
        <w:tabs>
          <w:tab w:val="right" w:leader="dot" w:pos="7070"/>
        </w:tabs>
        <w:ind w:left="578" w:right="578"/>
        <w:rPr>
          <w:sz w:val="20"/>
        </w:rPr>
      </w:pPr>
      <w:r>
        <w:rPr>
          <w:sz w:val="20"/>
        </w:rPr>
        <w:t>Minister of this participating jurisdiction</w:t>
      </w:r>
      <w:r>
        <w:rPr>
          <w:sz w:val="20"/>
        </w:rPr>
        <w:tab/>
        <w:t>87(3)</w:t>
      </w:r>
    </w:p>
    <w:p>
      <w:pPr>
        <w:tabs>
          <w:tab w:val="right" w:leader="dot" w:pos="7070"/>
        </w:tabs>
        <w:ind w:left="578" w:right="578"/>
        <w:rPr>
          <w:sz w:val="20"/>
        </w:rPr>
      </w:pPr>
      <w:r>
        <w:rPr>
          <w:sz w:val="20"/>
        </w:rPr>
        <w:t>Ministerial coverage decision</w:t>
      </w:r>
      <w:r>
        <w:rPr>
          <w:sz w:val="20"/>
        </w:rPr>
        <w:tab/>
        <w:t>2</w:t>
      </w:r>
    </w:p>
    <w:p>
      <w:pPr>
        <w:tabs>
          <w:tab w:val="right" w:leader="dot" w:pos="7070"/>
        </w:tabs>
        <w:ind w:left="578" w:right="578"/>
        <w:rPr>
          <w:sz w:val="20"/>
        </w:rPr>
      </w:pPr>
      <w:r>
        <w:rPr>
          <w:sz w:val="20"/>
        </w:rPr>
        <w:t>Ministerial or NCC scheme decision</w:t>
      </w:r>
      <w:r>
        <w:rPr>
          <w:sz w:val="20"/>
        </w:rPr>
        <w:tab/>
        <w:t>333(3)</w:t>
      </w:r>
    </w:p>
    <w:p>
      <w:pPr>
        <w:tabs>
          <w:tab w:val="right" w:leader="dot" w:pos="7070"/>
        </w:tabs>
        <w:ind w:left="578" w:right="578"/>
        <w:rPr>
          <w:sz w:val="20"/>
        </w:rPr>
      </w:pPr>
      <w:r>
        <w:rPr>
          <w:sz w:val="20"/>
        </w:rPr>
        <w:lastRenderedPageBreak/>
        <w:t>minor</w:t>
      </w:r>
      <w:r>
        <w:rPr>
          <w:sz w:val="20"/>
        </w:rPr>
        <w:tab/>
        <w:t>Sch. 2 cl. 10</w:t>
      </w:r>
    </w:p>
    <w:p>
      <w:pPr>
        <w:tabs>
          <w:tab w:val="right" w:leader="dot" w:pos="7070"/>
        </w:tabs>
        <w:ind w:left="578" w:right="578"/>
        <w:rPr>
          <w:sz w:val="20"/>
        </w:rPr>
      </w:pPr>
      <w:r>
        <w:rPr>
          <w:sz w:val="20"/>
        </w:rPr>
        <w:t>modification</w:t>
      </w:r>
      <w:r>
        <w:rPr>
          <w:sz w:val="20"/>
        </w:rPr>
        <w:tab/>
        <w:t>Sch. 2 cl. 10</w:t>
      </w:r>
    </w:p>
    <w:p>
      <w:pPr>
        <w:tabs>
          <w:tab w:val="right" w:leader="dot" w:pos="7070"/>
        </w:tabs>
        <w:ind w:left="578" w:right="578"/>
        <w:rPr>
          <w:sz w:val="20"/>
        </w:rPr>
      </w:pPr>
      <w:r>
        <w:rPr>
          <w:sz w:val="20"/>
        </w:rPr>
        <w:t>month</w:t>
      </w:r>
      <w:r>
        <w:rPr>
          <w:sz w:val="20"/>
        </w:rPr>
        <w:tab/>
        <w:t>Sch. 2 cl. 10</w:t>
      </w:r>
    </w:p>
    <w:p>
      <w:pPr>
        <w:tabs>
          <w:tab w:val="right" w:leader="dot" w:pos="7070"/>
        </w:tabs>
        <w:ind w:left="578" w:right="578"/>
        <w:rPr>
          <w:sz w:val="20"/>
        </w:rPr>
      </w:pPr>
      <w:r>
        <w:rPr>
          <w:sz w:val="20"/>
        </w:rPr>
        <w:t>more preferable Rule</w:t>
      </w:r>
      <w:r>
        <w:rPr>
          <w:sz w:val="20"/>
        </w:rPr>
        <w:tab/>
        <w:t>290, 296</w:t>
      </w:r>
    </w:p>
    <w:p>
      <w:pPr>
        <w:tabs>
          <w:tab w:val="right" w:leader="dot" w:pos="7070"/>
        </w:tabs>
        <w:ind w:left="578" w:right="578"/>
        <w:rPr>
          <w:sz w:val="20"/>
        </w:rPr>
      </w:pPr>
      <w:r>
        <w:rPr>
          <w:sz w:val="20"/>
        </w:rPr>
        <w:t>named month</w:t>
      </w:r>
      <w:r>
        <w:rPr>
          <w:sz w:val="20"/>
        </w:rPr>
        <w:tab/>
        <w:t>Sch. 2 cl. 10</w:t>
      </w:r>
    </w:p>
    <w:p>
      <w:pPr>
        <w:tabs>
          <w:tab w:val="right" w:leader="dot" w:pos="7070"/>
        </w:tabs>
        <w:ind w:left="578" w:right="578"/>
        <w:rPr>
          <w:sz w:val="20"/>
        </w:rPr>
      </w:pPr>
      <w:r>
        <w:rPr>
          <w:sz w:val="20"/>
        </w:rPr>
        <w:t>National Gas Access (Western Australia) Law</w:t>
      </w:r>
      <w:r>
        <w:rPr>
          <w:sz w:val="20"/>
        </w:rPr>
        <w:tab/>
        <w:t>Act 3(1), 11(4)</w:t>
      </w:r>
    </w:p>
    <w:p>
      <w:pPr>
        <w:tabs>
          <w:tab w:val="right" w:leader="dot" w:pos="7070"/>
        </w:tabs>
        <w:ind w:left="578" w:right="578"/>
        <w:rPr>
          <w:sz w:val="20"/>
        </w:rPr>
      </w:pPr>
      <w:r>
        <w:rPr>
          <w:sz w:val="20"/>
        </w:rPr>
        <w:t>National Gas Access (Western Australia) Regulations</w:t>
      </w:r>
      <w:r>
        <w:rPr>
          <w:sz w:val="20"/>
        </w:rPr>
        <w:tab/>
        <w:t>Act 3(1)</w:t>
      </w:r>
    </w:p>
    <w:p>
      <w:pPr>
        <w:tabs>
          <w:tab w:val="right" w:leader="dot" w:pos="7070"/>
        </w:tabs>
        <w:ind w:left="578" w:right="578"/>
        <w:rPr>
          <w:sz w:val="20"/>
        </w:rPr>
      </w:pPr>
      <w:r>
        <w:rPr>
          <w:sz w:val="20"/>
        </w:rPr>
        <w:t>National Gas Law</w:t>
      </w:r>
      <w:r>
        <w:rPr>
          <w:sz w:val="20"/>
        </w:rPr>
        <w:tab/>
        <w:t>Act 9(1)</w:t>
      </w:r>
    </w:p>
    <w:p>
      <w:pPr>
        <w:tabs>
          <w:tab w:val="right" w:leader="dot" w:pos="7070"/>
        </w:tabs>
        <w:ind w:left="578" w:right="578"/>
        <w:rPr>
          <w:sz w:val="20"/>
        </w:rPr>
      </w:pPr>
      <w:r>
        <w:rPr>
          <w:sz w:val="20"/>
        </w:rPr>
        <w:t>national gas legislation</w:t>
      </w:r>
      <w:r>
        <w:rPr>
          <w:sz w:val="20"/>
        </w:rPr>
        <w:tab/>
        <w:t>2</w:t>
      </w:r>
    </w:p>
    <w:p>
      <w:pPr>
        <w:tabs>
          <w:tab w:val="right" w:leader="dot" w:pos="7070"/>
        </w:tabs>
        <w:ind w:left="578" w:right="578"/>
        <w:rPr>
          <w:sz w:val="20"/>
        </w:rPr>
      </w:pPr>
      <w:r>
        <w:rPr>
          <w:sz w:val="20"/>
        </w:rPr>
        <w:t>national gas objective</w:t>
      </w:r>
      <w:r>
        <w:rPr>
          <w:sz w:val="20"/>
        </w:rPr>
        <w:tab/>
        <w:t>2</w:t>
      </w:r>
    </w:p>
    <w:p>
      <w:pPr>
        <w:tabs>
          <w:tab w:val="right" w:leader="dot" w:pos="7070"/>
        </w:tabs>
        <w:ind w:left="578" w:right="578"/>
        <w:rPr>
          <w:sz w:val="20"/>
        </w:rPr>
      </w:pPr>
      <w:r>
        <w:rPr>
          <w:sz w:val="20"/>
        </w:rPr>
        <w:t>National Gas Rules</w:t>
      </w:r>
      <w:r>
        <w:rPr>
          <w:sz w:val="20"/>
        </w:rPr>
        <w:tab/>
        <w:t>2</w:t>
      </w:r>
    </w:p>
    <w:p>
      <w:pPr>
        <w:tabs>
          <w:tab w:val="right" w:leader="dot" w:pos="7070"/>
        </w:tabs>
        <w:ind w:left="578" w:right="578"/>
        <w:rPr>
          <w:sz w:val="20"/>
        </w:rPr>
      </w:pPr>
      <w:r>
        <w:rPr>
          <w:sz w:val="20"/>
        </w:rPr>
        <w:t>national provisions</w:t>
      </w:r>
      <w:r>
        <w:rPr>
          <w:sz w:val="20"/>
        </w:rPr>
        <w:tab/>
        <w:t>Act 19(3)</w:t>
      </w:r>
    </w:p>
    <w:p>
      <w:pPr>
        <w:tabs>
          <w:tab w:val="right" w:leader="dot" w:pos="7070"/>
        </w:tabs>
        <w:ind w:left="578" w:right="578"/>
        <w:rPr>
          <w:sz w:val="20"/>
        </w:rPr>
      </w:pPr>
      <w:r>
        <w:rPr>
          <w:sz w:val="20"/>
        </w:rPr>
        <w:t>natural gas</w:t>
      </w:r>
      <w:r>
        <w:rPr>
          <w:sz w:val="20"/>
        </w:rPr>
        <w:tab/>
        <w:t>2</w:t>
      </w:r>
    </w:p>
    <w:p>
      <w:pPr>
        <w:tabs>
          <w:tab w:val="right" w:leader="dot" w:pos="7070"/>
        </w:tabs>
        <w:ind w:left="578" w:right="578"/>
        <w:rPr>
          <w:sz w:val="20"/>
        </w:rPr>
      </w:pPr>
      <w:r>
        <w:rPr>
          <w:sz w:val="20"/>
        </w:rPr>
        <w:t>natural gas service</w:t>
      </w:r>
      <w:r>
        <w:rPr>
          <w:sz w:val="20"/>
        </w:rPr>
        <w:tab/>
        <w:t>2</w:t>
      </w:r>
    </w:p>
    <w:p>
      <w:pPr>
        <w:tabs>
          <w:tab w:val="right" w:leader="dot" w:pos="7070"/>
        </w:tabs>
        <w:ind w:left="578" w:right="578"/>
        <w:rPr>
          <w:sz w:val="20"/>
        </w:rPr>
      </w:pPr>
      <w:r>
        <w:rPr>
          <w:sz w:val="20"/>
        </w:rPr>
        <w:t>Natural Gas Services Bulletin Board</w:t>
      </w:r>
      <w:r>
        <w:rPr>
          <w:sz w:val="20"/>
        </w:rPr>
        <w:tab/>
        <w:t>2</w:t>
      </w:r>
    </w:p>
    <w:p>
      <w:pPr>
        <w:tabs>
          <w:tab w:val="right" w:leader="dot" w:pos="7070"/>
        </w:tabs>
        <w:ind w:left="578" w:right="578"/>
        <w:rPr>
          <w:sz w:val="20"/>
        </w:rPr>
      </w:pPr>
      <w:r>
        <w:rPr>
          <w:sz w:val="20"/>
        </w:rPr>
        <w:t>NCC</w:t>
      </w:r>
      <w:r>
        <w:rPr>
          <w:sz w:val="20"/>
        </w:rPr>
        <w:tab/>
        <w:t>2</w:t>
      </w:r>
    </w:p>
    <w:p>
      <w:pPr>
        <w:tabs>
          <w:tab w:val="right" w:leader="dot" w:pos="7070"/>
        </w:tabs>
        <w:ind w:left="578" w:right="578"/>
        <w:rPr>
          <w:sz w:val="20"/>
        </w:rPr>
      </w:pPr>
      <w:r>
        <w:rPr>
          <w:sz w:val="20"/>
        </w:rPr>
        <w:t>NCC member</w:t>
      </w:r>
      <w:r>
        <w:rPr>
          <w:sz w:val="20"/>
        </w:rPr>
        <w:tab/>
        <w:t>Sch. 2 cl. 33</w:t>
      </w:r>
    </w:p>
    <w:p>
      <w:pPr>
        <w:tabs>
          <w:tab w:val="right" w:leader="dot" w:pos="7070"/>
        </w:tabs>
        <w:ind w:left="578" w:right="578"/>
        <w:rPr>
          <w:sz w:val="20"/>
        </w:rPr>
      </w:pPr>
      <w:r>
        <w:rPr>
          <w:sz w:val="20"/>
        </w:rPr>
        <w:t>NCC recommendation</w:t>
      </w:r>
      <w:r>
        <w:rPr>
          <w:sz w:val="20"/>
        </w:rPr>
        <w:tab/>
        <w:t>244</w:t>
      </w:r>
    </w:p>
    <w:p>
      <w:pPr>
        <w:tabs>
          <w:tab w:val="right" w:leader="dot" w:pos="7070"/>
        </w:tabs>
        <w:ind w:left="578" w:right="578"/>
        <w:rPr>
          <w:sz w:val="20"/>
        </w:rPr>
      </w:pPr>
      <w:r>
        <w:rPr>
          <w:sz w:val="20"/>
        </w:rPr>
        <w:t>NCC recommendation or decision</w:t>
      </w:r>
      <w:r>
        <w:rPr>
          <w:sz w:val="20"/>
        </w:rPr>
        <w:tab/>
        <w:t>2</w:t>
      </w:r>
    </w:p>
    <w:p>
      <w:pPr>
        <w:tabs>
          <w:tab w:val="right" w:leader="dot" w:pos="7070"/>
        </w:tabs>
        <w:ind w:left="578" w:right="578"/>
        <w:rPr>
          <w:sz w:val="20"/>
        </w:rPr>
      </w:pPr>
      <w:r>
        <w:rPr>
          <w:sz w:val="20"/>
        </w:rPr>
        <w:t>new application Act</w:t>
      </w:r>
      <w:r>
        <w:rPr>
          <w:sz w:val="20"/>
        </w:rPr>
        <w:tab/>
        <w:t>Sch. 3 cl. 1</w:t>
      </w:r>
    </w:p>
    <w:p>
      <w:pPr>
        <w:tabs>
          <w:tab w:val="right" w:leader="dot" w:pos="7070"/>
        </w:tabs>
        <w:ind w:left="578" w:right="578"/>
        <w:rPr>
          <w:sz w:val="20"/>
        </w:rPr>
      </w:pPr>
      <w:r>
        <w:rPr>
          <w:sz w:val="20"/>
        </w:rPr>
        <w:t>new facility</w:t>
      </w:r>
      <w:r>
        <w:rPr>
          <w:sz w:val="20"/>
        </w:rPr>
        <w:tab/>
        <w:t>2</w:t>
      </w:r>
    </w:p>
    <w:p>
      <w:pPr>
        <w:tabs>
          <w:tab w:val="right" w:leader="dot" w:pos="7070"/>
        </w:tabs>
        <w:ind w:left="578" w:right="578"/>
        <w:rPr>
          <w:sz w:val="20"/>
        </w:rPr>
      </w:pPr>
      <w:r>
        <w:rPr>
          <w:sz w:val="20"/>
        </w:rPr>
        <w:t>new scheme revisions commencement date</w:t>
      </w:r>
      <w:r>
        <w:rPr>
          <w:sz w:val="20"/>
        </w:rPr>
        <w:tab/>
        <w:t>Sch. 3 cl. 31</w:t>
      </w:r>
    </w:p>
    <w:p>
      <w:pPr>
        <w:tabs>
          <w:tab w:val="right" w:leader="dot" w:pos="7070"/>
        </w:tabs>
        <w:ind w:left="578" w:right="578"/>
        <w:rPr>
          <w:sz w:val="20"/>
        </w:rPr>
      </w:pPr>
      <w:r>
        <w:rPr>
          <w:sz w:val="20"/>
        </w:rPr>
        <w:t>no</w:t>
      </w:r>
      <w:r>
        <w:rPr>
          <w:sz w:val="20"/>
        </w:rPr>
        <w:noBreakHyphen/>
        <w:t>coverage recommendation</w:t>
      </w:r>
      <w:r>
        <w:rPr>
          <w:sz w:val="20"/>
        </w:rPr>
        <w:tab/>
        <w:t>2</w:t>
      </w:r>
    </w:p>
    <w:p>
      <w:pPr>
        <w:tabs>
          <w:tab w:val="right" w:leader="dot" w:pos="7070"/>
        </w:tabs>
        <w:ind w:left="578" w:right="578"/>
        <w:rPr>
          <w:sz w:val="20"/>
        </w:rPr>
      </w:pPr>
      <w:r>
        <w:rPr>
          <w:sz w:val="20"/>
        </w:rPr>
        <w:t>nominated disputes</w:t>
      </w:r>
      <w:r>
        <w:rPr>
          <w:sz w:val="20"/>
        </w:rPr>
        <w:tab/>
        <w:t>208, 209(2)</w:t>
      </w:r>
    </w:p>
    <w:p>
      <w:pPr>
        <w:tabs>
          <w:tab w:val="right" w:leader="dot" w:pos="7070"/>
        </w:tabs>
        <w:ind w:left="578" w:right="578"/>
        <w:rPr>
          <w:sz w:val="20"/>
        </w:rPr>
      </w:pPr>
      <w:r>
        <w:rPr>
          <w:sz w:val="20"/>
        </w:rPr>
        <w:t>non scheme pipeline user</w:t>
      </w:r>
      <w:r>
        <w:rPr>
          <w:sz w:val="20"/>
        </w:rPr>
        <w:tab/>
        <w:t>2</w:t>
      </w:r>
    </w:p>
    <w:p>
      <w:pPr>
        <w:tabs>
          <w:tab w:val="right" w:leader="dot" w:pos="7070"/>
        </w:tabs>
        <w:ind w:left="578" w:right="578"/>
        <w:rPr>
          <w:sz w:val="20"/>
        </w:rPr>
      </w:pPr>
      <w:r>
        <w:rPr>
          <w:sz w:val="20"/>
        </w:rPr>
        <w:t>non</w:t>
      </w:r>
      <w:r>
        <w:rPr>
          <w:sz w:val="20"/>
        </w:rPr>
        <w:noBreakHyphen/>
        <w:t>controversial Rule</w:t>
      </w:r>
      <w:r>
        <w:rPr>
          <w:sz w:val="20"/>
        </w:rPr>
        <w:tab/>
        <w:t>290</w:t>
      </w:r>
    </w:p>
    <w:p>
      <w:pPr>
        <w:tabs>
          <w:tab w:val="right" w:leader="dot" w:pos="7070"/>
        </w:tabs>
        <w:ind w:left="578" w:right="578"/>
        <w:rPr>
          <w:sz w:val="20"/>
        </w:rPr>
      </w:pPr>
      <w:r>
        <w:rPr>
          <w:sz w:val="20"/>
        </w:rPr>
        <w:t>non</w:t>
      </w:r>
      <w:r>
        <w:rPr>
          <w:sz w:val="20"/>
        </w:rPr>
        <w:noBreakHyphen/>
        <w:t>finalised access dispute</w:t>
      </w:r>
      <w:r>
        <w:rPr>
          <w:sz w:val="20"/>
        </w:rPr>
        <w:tab/>
        <w:t>Sch. 3 cl. 42</w:t>
      </w:r>
    </w:p>
    <w:p>
      <w:pPr>
        <w:tabs>
          <w:tab w:val="right" w:leader="dot" w:pos="7070"/>
        </w:tabs>
        <w:ind w:left="578" w:right="578"/>
        <w:rPr>
          <w:sz w:val="20"/>
        </w:rPr>
      </w:pPr>
      <w:r>
        <w:rPr>
          <w:sz w:val="20"/>
        </w:rPr>
        <w:t>non-scheme pipeline</w:t>
      </w:r>
      <w:r>
        <w:rPr>
          <w:sz w:val="20"/>
        </w:rPr>
        <w:tab/>
        <w:t>83A, 216A</w:t>
      </w:r>
    </w:p>
    <w:p>
      <w:pPr>
        <w:tabs>
          <w:tab w:val="right" w:leader="dot" w:pos="7070"/>
        </w:tabs>
        <w:ind w:left="578" w:right="578"/>
        <w:rPr>
          <w:sz w:val="20"/>
        </w:rPr>
      </w:pPr>
      <w:r>
        <w:rPr>
          <w:sz w:val="20"/>
        </w:rPr>
        <w:t>notified compliance date</w:t>
      </w:r>
      <w:r>
        <w:rPr>
          <w:sz w:val="20"/>
        </w:rPr>
        <w:tab/>
        <w:t>143(4)</w:t>
      </w:r>
    </w:p>
    <w:p>
      <w:pPr>
        <w:tabs>
          <w:tab w:val="right" w:leader="dot" w:pos="7070"/>
        </w:tabs>
        <w:ind w:left="578" w:right="578"/>
        <w:rPr>
          <w:sz w:val="20"/>
        </w:rPr>
      </w:pPr>
      <w:r>
        <w:rPr>
          <w:sz w:val="20"/>
        </w:rPr>
        <w:t>number</w:t>
      </w:r>
      <w:r>
        <w:rPr>
          <w:sz w:val="20"/>
        </w:rPr>
        <w:tab/>
        <w:t>Sch. 2 cl. 10</w:t>
      </w:r>
    </w:p>
    <w:p>
      <w:pPr>
        <w:tabs>
          <w:tab w:val="right" w:leader="dot" w:pos="7070"/>
        </w:tabs>
        <w:ind w:left="578" w:right="578"/>
        <w:rPr>
          <w:sz w:val="20"/>
        </w:rPr>
      </w:pPr>
      <w:r>
        <w:rPr>
          <w:sz w:val="20"/>
        </w:rPr>
        <w:t>oath</w:t>
      </w:r>
      <w:r>
        <w:rPr>
          <w:sz w:val="20"/>
        </w:rPr>
        <w:tab/>
        <w:t>Sch. 2 cl. 10</w:t>
      </w:r>
    </w:p>
    <w:p>
      <w:pPr>
        <w:tabs>
          <w:tab w:val="right" w:leader="dot" w:pos="7070"/>
        </w:tabs>
        <w:ind w:left="578" w:right="578"/>
        <w:rPr>
          <w:sz w:val="20"/>
        </w:rPr>
      </w:pPr>
      <w:r>
        <w:rPr>
          <w:sz w:val="20"/>
        </w:rPr>
        <w:t>offence provision</w:t>
      </w:r>
      <w:r>
        <w:rPr>
          <w:sz w:val="20"/>
        </w:rPr>
        <w:tab/>
        <w:t>2</w:t>
      </w:r>
    </w:p>
    <w:p>
      <w:pPr>
        <w:tabs>
          <w:tab w:val="right" w:leader="dot" w:pos="7070"/>
        </w:tabs>
        <w:ind w:left="578" w:right="578"/>
        <w:rPr>
          <w:sz w:val="20"/>
        </w:rPr>
      </w:pPr>
      <w:r>
        <w:rPr>
          <w:sz w:val="20"/>
        </w:rPr>
        <w:t>office</w:t>
      </w:r>
      <w:r>
        <w:rPr>
          <w:sz w:val="20"/>
        </w:rPr>
        <w:tab/>
        <w:t>Sch. 2 cl. 10</w:t>
      </w:r>
    </w:p>
    <w:p>
      <w:pPr>
        <w:tabs>
          <w:tab w:val="right" w:leader="dot" w:pos="7070"/>
        </w:tabs>
        <w:ind w:left="578" w:right="578"/>
        <w:rPr>
          <w:sz w:val="20"/>
        </w:rPr>
      </w:pPr>
      <w:r>
        <w:rPr>
          <w:sz w:val="20"/>
        </w:rPr>
        <w:t>officer</w:t>
      </w:r>
      <w:r>
        <w:rPr>
          <w:sz w:val="20"/>
        </w:rPr>
        <w:tab/>
        <w:t>2</w:t>
      </w:r>
    </w:p>
    <w:p>
      <w:pPr>
        <w:tabs>
          <w:tab w:val="right" w:leader="dot" w:pos="7070"/>
        </w:tabs>
        <w:ind w:left="578" w:right="578"/>
        <w:rPr>
          <w:sz w:val="20"/>
        </w:rPr>
      </w:pPr>
      <w:r>
        <w:rPr>
          <w:sz w:val="20"/>
        </w:rPr>
        <w:t>old access law</w:t>
      </w:r>
      <w:r>
        <w:rPr>
          <w:sz w:val="20"/>
        </w:rPr>
        <w:tab/>
        <w:t>2</w:t>
      </w:r>
    </w:p>
    <w:p>
      <w:pPr>
        <w:tabs>
          <w:tab w:val="right" w:leader="dot" w:pos="7070"/>
        </w:tabs>
        <w:ind w:left="578" w:right="578"/>
        <w:rPr>
          <w:sz w:val="20"/>
        </w:rPr>
      </w:pPr>
      <w:r>
        <w:rPr>
          <w:sz w:val="20"/>
        </w:rPr>
        <w:t>old scheme classification and scheme participant determination</w:t>
      </w:r>
      <w:r>
        <w:rPr>
          <w:sz w:val="20"/>
        </w:rPr>
        <w:tab/>
        <w:t>Sch. 3 cl. 53</w:t>
      </w:r>
    </w:p>
    <w:p>
      <w:pPr>
        <w:tabs>
          <w:tab w:val="right" w:leader="dot" w:pos="7070"/>
        </w:tabs>
        <w:ind w:left="578" w:right="578"/>
        <w:rPr>
          <w:sz w:val="20"/>
        </w:rPr>
      </w:pPr>
      <w:r>
        <w:rPr>
          <w:sz w:val="20"/>
        </w:rPr>
        <w:t>old scheme classification or determination</w:t>
      </w:r>
      <w:r>
        <w:rPr>
          <w:sz w:val="20"/>
        </w:rPr>
        <w:tab/>
        <w:t>2</w:t>
      </w:r>
    </w:p>
    <w:p>
      <w:pPr>
        <w:tabs>
          <w:tab w:val="right" w:leader="dot" w:pos="7070"/>
        </w:tabs>
        <w:ind w:left="578" w:right="578"/>
        <w:rPr>
          <w:sz w:val="20"/>
        </w:rPr>
      </w:pPr>
      <w:r>
        <w:rPr>
          <w:sz w:val="20"/>
        </w:rPr>
        <w:t>old scheme coverage application</w:t>
      </w:r>
      <w:r>
        <w:rPr>
          <w:sz w:val="20"/>
        </w:rPr>
        <w:tab/>
        <w:t>Sch. 3 cl. 1</w:t>
      </w:r>
    </w:p>
    <w:p>
      <w:pPr>
        <w:tabs>
          <w:tab w:val="right" w:leader="dot" w:pos="7070"/>
        </w:tabs>
        <w:ind w:left="578" w:right="578"/>
        <w:rPr>
          <w:sz w:val="20"/>
        </w:rPr>
      </w:pPr>
      <w:r>
        <w:rPr>
          <w:sz w:val="20"/>
        </w:rPr>
        <w:t>old scheme coverage determination</w:t>
      </w:r>
      <w:r>
        <w:rPr>
          <w:sz w:val="20"/>
        </w:rPr>
        <w:tab/>
        <w:t>Sch. 3 cl. 1</w:t>
      </w:r>
    </w:p>
    <w:p>
      <w:pPr>
        <w:tabs>
          <w:tab w:val="right" w:leader="dot" w:pos="7070"/>
        </w:tabs>
        <w:ind w:left="578" w:right="578"/>
        <w:rPr>
          <w:sz w:val="20"/>
        </w:rPr>
      </w:pPr>
      <w:r>
        <w:rPr>
          <w:sz w:val="20"/>
        </w:rPr>
        <w:t>old scheme coverage revocation application</w:t>
      </w:r>
      <w:r>
        <w:rPr>
          <w:sz w:val="20"/>
        </w:rPr>
        <w:tab/>
        <w:t>Sch. 3 cl. 1</w:t>
      </w:r>
    </w:p>
    <w:p>
      <w:pPr>
        <w:tabs>
          <w:tab w:val="right" w:leader="dot" w:pos="7070"/>
        </w:tabs>
        <w:ind w:left="578" w:right="578"/>
        <w:rPr>
          <w:sz w:val="20"/>
        </w:rPr>
      </w:pPr>
      <w:r>
        <w:rPr>
          <w:sz w:val="20"/>
        </w:rPr>
        <w:t>old scheme coverage revocation determination</w:t>
      </w:r>
      <w:r>
        <w:rPr>
          <w:sz w:val="20"/>
        </w:rPr>
        <w:tab/>
        <w:t>Sch. 3 cl. 1</w:t>
      </w:r>
    </w:p>
    <w:p>
      <w:pPr>
        <w:tabs>
          <w:tab w:val="right" w:leader="dot" w:pos="7070"/>
        </w:tabs>
        <w:ind w:left="578" w:right="578"/>
        <w:rPr>
          <w:sz w:val="20"/>
        </w:rPr>
      </w:pPr>
      <w:r>
        <w:rPr>
          <w:sz w:val="20"/>
        </w:rPr>
        <w:t>old scheme covered pipeline</w:t>
      </w:r>
      <w:r>
        <w:rPr>
          <w:sz w:val="20"/>
        </w:rPr>
        <w:tab/>
        <w:t>Sch. 3 cl. 1</w:t>
      </w:r>
    </w:p>
    <w:p>
      <w:pPr>
        <w:tabs>
          <w:tab w:val="right" w:leader="dot" w:pos="7070"/>
        </w:tabs>
        <w:ind w:left="578" w:right="578"/>
        <w:rPr>
          <w:sz w:val="20"/>
        </w:rPr>
      </w:pPr>
      <w:r>
        <w:rPr>
          <w:sz w:val="20"/>
        </w:rPr>
        <w:t>old scheme distribution pipeline</w:t>
      </w:r>
      <w:r>
        <w:rPr>
          <w:sz w:val="20"/>
        </w:rPr>
        <w:tab/>
        <w:t>2</w:t>
      </w:r>
    </w:p>
    <w:p>
      <w:pPr>
        <w:tabs>
          <w:tab w:val="right" w:leader="dot" w:pos="7070"/>
        </w:tabs>
        <w:ind w:left="578" w:right="578"/>
        <w:rPr>
          <w:sz w:val="20"/>
        </w:rPr>
      </w:pPr>
      <w:r>
        <w:rPr>
          <w:sz w:val="20"/>
        </w:rPr>
        <w:t>old scheme limited access arrangement</w:t>
      </w:r>
      <w:r>
        <w:rPr>
          <w:sz w:val="20"/>
        </w:rPr>
        <w:tab/>
        <w:t>Sch. 3 cl. 1</w:t>
      </w:r>
    </w:p>
    <w:p>
      <w:pPr>
        <w:tabs>
          <w:tab w:val="right" w:leader="dot" w:pos="7070"/>
        </w:tabs>
        <w:ind w:left="578" w:right="578"/>
        <w:rPr>
          <w:sz w:val="20"/>
        </w:rPr>
      </w:pPr>
      <w:r>
        <w:rPr>
          <w:sz w:val="20"/>
        </w:rPr>
        <w:lastRenderedPageBreak/>
        <w:t>old scheme price regulation exemption</w:t>
      </w:r>
      <w:r>
        <w:rPr>
          <w:sz w:val="20"/>
        </w:rPr>
        <w:tab/>
        <w:t>Sch. 3 cl. 1</w:t>
      </w:r>
    </w:p>
    <w:p>
      <w:pPr>
        <w:tabs>
          <w:tab w:val="right" w:leader="dot" w:pos="7070"/>
        </w:tabs>
        <w:ind w:left="578" w:right="578"/>
        <w:rPr>
          <w:sz w:val="20"/>
        </w:rPr>
      </w:pPr>
      <w:r>
        <w:rPr>
          <w:sz w:val="20"/>
        </w:rPr>
        <w:t>old scheme relevant Minister</w:t>
      </w:r>
      <w:r>
        <w:rPr>
          <w:sz w:val="20"/>
        </w:rPr>
        <w:tab/>
        <w:t>Sch. 3 cl. 1</w:t>
      </w:r>
    </w:p>
    <w:p>
      <w:pPr>
        <w:tabs>
          <w:tab w:val="right" w:leader="dot" w:pos="7070"/>
        </w:tabs>
        <w:ind w:left="578" w:right="578"/>
        <w:rPr>
          <w:sz w:val="20"/>
        </w:rPr>
      </w:pPr>
      <w:r>
        <w:rPr>
          <w:sz w:val="20"/>
        </w:rPr>
        <w:t>old scheme ring fencing requirement</w:t>
      </w:r>
      <w:r>
        <w:rPr>
          <w:sz w:val="20"/>
        </w:rPr>
        <w:tab/>
        <w:t>Sch. 3 cl. 38</w:t>
      </w:r>
    </w:p>
    <w:p>
      <w:pPr>
        <w:tabs>
          <w:tab w:val="right" w:leader="dot" w:pos="7070"/>
        </w:tabs>
        <w:ind w:left="578" w:right="578"/>
        <w:rPr>
          <w:sz w:val="20"/>
        </w:rPr>
      </w:pPr>
      <w:r>
        <w:rPr>
          <w:sz w:val="20"/>
        </w:rPr>
        <w:t>old scheme transmission pipeline</w:t>
      </w:r>
      <w:r>
        <w:rPr>
          <w:sz w:val="20"/>
        </w:rPr>
        <w:tab/>
        <w:t>2</w:t>
      </w:r>
    </w:p>
    <w:p>
      <w:pPr>
        <w:tabs>
          <w:tab w:val="right" w:leader="dot" w:pos="7070"/>
        </w:tabs>
        <w:ind w:left="578" w:right="578"/>
        <w:rPr>
          <w:sz w:val="20"/>
        </w:rPr>
      </w:pPr>
      <w:r>
        <w:rPr>
          <w:sz w:val="20"/>
        </w:rPr>
        <w:t>omit</w:t>
      </w:r>
      <w:r>
        <w:rPr>
          <w:sz w:val="20"/>
        </w:rPr>
        <w:tab/>
        <w:t>Sch. 2 cl. 10</w:t>
      </w:r>
    </w:p>
    <w:p>
      <w:pPr>
        <w:tabs>
          <w:tab w:val="right" w:leader="dot" w:pos="7070"/>
        </w:tabs>
        <w:ind w:left="578" w:right="578"/>
        <w:rPr>
          <w:sz w:val="20"/>
        </w:rPr>
      </w:pPr>
      <w:r>
        <w:rPr>
          <w:sz w:val="20"/>
        </w:rPr>
        <w:t>ordinary meaning</w:t>
      </w:r>
      <w:r>
        <w:rPr>
          <w:sz w:val="20"/>
        </w:rPr>
        <w:tab/>
        <w:t>Sch. 2 cl. 8</w:t>
      </w:r>
    </w:p>
    <w:p>
      <w:pPr>
        <w:tabs>
          <w:tab w:val="right" w:leader="dot" w:pos="7070"/>
        </w:tabs>
        <w:ind w:left="578" w:right="578"/>
        <w:rPr>
          <w:sz w:val="20"/>
        </w:rPr>
      </w:pPr>
      <w:r>
        <w:rPr>
          <w:sz w:val="20"/>
        </w:rPr>
        <w:t>original decision maker</w:t>
      </w:r>
      <w:r>
        <w:rPr>
          <w:sz w:val="20"/>
        </w:rPr>
        <w:tab/>
        <w:t>244</w:t>
      </w:r>
    </w:p>
    <w:p>
      <w:pPr>
        <w:tabs>
          <w:tab w:val="right" w:leader="dot" w:pos="7070"/>
        </w:tabs>
        <w:ind w:left="578" w:right="578"/>
        <w:rPr>
          <w:sz w:val="20"/>
        </w:rPr>
      </w:pPr>
      <w:r>
        <w:rPr>
          <w:sz w:val="20"/>
        </w:rPr>
        <w:t>participating jurisdiction</w:t>
      </w:r>
      <w:r>
        <w:rPr>
          <w:sz w:val="20"/>
        </w:rPr>
        <w:tab/>
        <w:t>2</w:t>
      </w:r>
    </w:p>
    <w:p>
      <w:pPr>
        <w:tabs>
          <w:tab w:val="right" w:leader="dot" w:pos="7070"/>
        </w:tabs>
        <w:ind w:left="578" w:right="578"/>
        <w:rPr>
          <w:sz w:val="20"/>
        </w:rPr>
      </w:pPr>
      <w:r>
        <w:rPr>
          <w:sz w:val="20"/>
        </w:rPr>
        <w:t>party</w:t>
      </w:r>
      <w:r>
        <w:rPr>
          <w:sz w:val="20"/>
        </w:rPr>
        <w:tab/>
        <w:t>178, 216A, Sch. 2 cl. 10</w:t>
      </w:r>
    </w:p>
    <w:p>
      <w:pPr>
        <w:tabs>
          <w:tab w:val="right" w:leader="dot" w:pos="7070"/>
        </w:tabs>
        <w:ind w:left="578" w:right="578"/>
        <w:rPr>
          <w:sz w:val="20"/>
        </w:rPr>
      </w:pPr>
      <w:r>
        <w:rPr>
          <w:sz w:val="20"/>
        </w:rPr>
        <w:t>penalty</w:t>
      </w:r>
      <w:r>
        <w:rPr>
          <w:sz w:val="20"/>
        </w:rPr>
        <w:tab/>
        <w:t>Sch. 2 cl. 10</w:t>
      </w:r>
    </w:p>
    <w:p>
      <w:pPr>
        <w:tabs>
          <w:tab w:val="right" w:leader="dot" w:pos="7070"/>
        </w:tabs>
        <w:ind w:left="578" w:right="578"/>
        <w:rPr>
          <w:sz w:val="20"/>
        </w:rPr>
      </w:pPr>
      <w:r>
        <w:rPr>
          <w:sz w:val="20"/>
        </w:rPr>
        <w:t>pending old scheme coverage determination</w:t>
      </w:r>
      <w:r>
        <w:rPr>
          <w:sz w:val="20"/>
        </w:rPr>
        <w:tab/>
        <w:t>Sch. 3 cl. 1</w:t>
      </w:r>
    </w:p>
    <w:p>
      <w:pPr>
        <w:tabs>
          <w:tab w:val="right" w:leader="dot" w:pos="7070"/>
        </w:tabs>
        <w:ind w:left="578" w:right="578"/>
        <w:rPr>
          <w:sz w:val="20"/>
        </w:rPr>
      </w:pPr>
      <w:r>
        <w:rPr>
          <w:sz w:val="20"/>
        </w:rPr>
        <w:t>pending old scheme coverage non</w:t>
      </w:r>
      <w:r>
        <w:rPr>
          <w:sz w:val="20"/>
        </w:rPr>
        <w:noBreakHyphen/>
        <w:t>revocation determination</w:t>
      </w:r>
      <w:r>
        <w:rPr>
          <w:sz w:val="20"/>
        </w:rPr>
        <w:tab/>
        <w:t>Sch. 3 cl. 1</w:t>
      </w:r>
    </w:p>
    <w:p>
      <w:pPr>
        <w:tabs>
          <w:tab w:val="right" w:leader="dot" w:pos="7070"/>
        </w:tabs>
        <w:ind w:left="578" w:right="578"/>
        <w:rPr>
          <w:sz w:val="20"/>
        </w:rPr>
      </w:pPr>
      <w:r>
        <w:rPr>
          <w:sz w:val="20"/>
        </w:rPr>
        <w:t>pending old scheme coverage revocation determination</w:t>
      </w:r>
      <w:r>
        <w:rPr>
          <w:sz w:val="20"/>
        </w:rPr>
        <w:tab/>
        <w:t>Sch. 3 cl. 1</w:t>
      </w:r>
    </w:p>
    <w:p>
      <w:pPr>
        <w:tabs>
          <w:tab w:val="right" w:leader="dot" w:pos="7070"/>
        </w:tabs>
        <w:ind w:left="578" w:right="578"/>
        <w:rPr>
          <w:sz w:val="20"/>
        </w:rPr>
      </w:pPr>
      <w:r>
        <w:rPr>
          <w:sz w:val="20"/>
        </w:rPr>
        <w:t>pending old scheme no</w:t>
      </w:r>
      <w:r>
        <w:rPr>
          <w:sz w:val="20"/>
        </w:rPr>
        <w:noBreakHyphen/>
        <w:t>coverage determination</w:t>
      </w:r>
      <w:r>
        <w:rPr>
          <w:sz w:val="20"/>
        </w:rPr>
        <w:tab/>
        <w:t>Sch. 3 cl. 1</w:t>
      </w:r>
    </w:p>
    <w:p>
      <w:pPr>
        <w:tabs>
          <w:tab w:val="right" w:leader="dot" w:pos="7070"/>
        </w:tabs>
        <w:ind w:left="578" w:right="578"/>
        <w:rPr>
          <w:sz w:val="20"/>
        </w:rPr>
      </w:pPr>
      <w:r>
        <w:rPr>
          <w:sz w:val="20"/>
        </w:rPr>
        <w:t>person</w:t>
      </w:r>
      <w:r>
        <w:rPr>
          <w:sz w:val="20"/>
        </w:rPr>
        <w:tab/>
        <w:t>Sch. 2 cl. 10</w:t>
      </w:r>
    </w:p>
    <w:p>
      <w:pPr>
        <w:tabs>
          <w:tab w:val="right" w:leader="dot" w:pos="7070"/>
        </w:tabs>
        <w:ind w:left="578" w:right="578"/>
        <w:rPr>
          <w:sz w:val="20"/>
        </w:rPr>
      </w:pPr>
      <w:r>
        <w:rPr>
          <w:sz w:val="20"/>
        </w:rPr>
        <w:t>person aggrieved</w:t>
      </w:r>
      <w:r>
        <w:rPr>
          <w:sz w:val="20"/>
        </w:rPr>
        <w:tab/>
        <w:t>241</w:t>
      </w:r>
    </w:p>
    <w:p>
      <w:pPr>
        <w:tabs>
          <w:tab w:val="right" w:leader="dot" w:pos="7070"/>
        </w:tabs>
        <w:ind w:left="578" w:right="578"/>
        <w:rPr>
          <w:sz w:val="20"/>
        </w:rPr>
      </w:pPr>
      <w:r>
        <w:rPr>
          <w:sz w:val="20"/>
        </w:rPr>
        <w:t>pipeline</w:t>
      </w:r>
      <w:r>
        <w:rPr>
          <w:sz w:val="20"/>
        </w:rPr>
        <w:tab/>
        <w:t>2</w:t>
      </w:r>
    </w:p>
    <w:p>
      <w:pPr>
        <w:tabs>
          <w:tab w:val="right" w:leader="dot" w:pos="7070"/>
        </w:tabs>
        <w:ind w:left="578" w:right="578"/>
        <w:rPr>
          <w:sz w:val="20"/>
        </w:rPr>
      </w:pPr>
      <w:r>
        <w:rPr>
          <w:sz w:val="20"/>
        </w:rPr>
        <w:t>pipeline classification criterion</w:t>
      </w:r>
      <w:r>
        <w:rPr>
          <w:sz w:val="20"/>
        </w:rPr>
        <w:tab/>
        <w:t>2</w:t>
      </w:r>
    </w:p>
    <w:p>
      <w:pPr>
        <w:tabs>
          <w:tab w:val="right" w:leader="dot" w:pos="7070"/>
        </w:tabs>
        <w:ind w:left="578" w:right="578"/>
        <w:rPr>
          <w:sz w:val="20"/>
        </w:rPr>
      </w:pPr>
      <w:r>
        <w:rPr>
          <w:sz w:val="20"/>
        </w:rPr>
        <w:t>pipeline coverage criteria</w:t>
      </w:r>
      <w:r>
        <w:rPr>
          <w:sz w:val="20"/>
        </w:rPr>
        <w:tab/>
        <w:t>2</w:t>
      </w:r>
    </w:p>
    <w:p>
      <w:pPr>
        <w:tabs>
          <w:tab w:val="right" w:leader="dot" w:pos="7070"/>
        </w:tabs>
        <w:ind w:left="578" w:right="578"/>
        <w:rPr>
          <w:sz w:val="20"/>
        </w:rPr>
      </w:pPr>
      <w:r>
        <w:rPr>
          <w:sz w:val="20"/>
        </w:rPr>
        <w:t>pipeline reliability standard</w:t>
      </w:r>
      <w:r>
        <w:rPr>
          <w:sz w:val="20"/>
        </w:rPr>
        <w:tab/>
        <w:t>2</w:t>
      </w:r>
    </w:p>
    <w:p>
      <w:pPr>
        <w:tabs>
          <w:tab w:val="right" w:leader="dot" w:pos="7070"/>
        </w:tabs>
        <w:ind w:left="578" w:right="578"/>
        <w:rPr>
          <w:sz w:val="20"/>
        </w:rPr>
      </w:pPr>
      <w:r>
        <w:rPr>
          <w:sz w:val="20"/>
        </w:rPr>
        <w:t>pipeline safety duty</w:t>
      </w:r>
      <w:r>
        <w:rPr>
          <w:sz w:val="20"/>
        </w:rPr>
        <w:tab/>
        <w:t>2</w:t>
      </w:r>
    </w:p>
    <w:p>
      <w:pPr>
        <w:tabs>
          <w:tab w:val="right" w:leader="dot" w:pos="7070"/>
        </w:tabs>
        <w:ind w:left="578" w:right="578"/>
        <w:rPr>
          <w:sz w:val="20"/>
        </w:rPr>
      </w:pPr>
      <w:r>
        <w:rPr>
          <w:sz w:val="20"/>
        </w:rPr>
        <w:t>pipeline service</w:t>
      </w:r>
      <w:r>
        <w:rPr>
          <w:sz w:val="20"/>
        </w:rPr>
        <w:tab/>
        <w:t>2</w:t>
      </w:r>
    </w:p>
    <w:p>
      <w:pPr>
        <w:tabs>
          <w:tab w:val="right" w:leader="dot" w:pos="7070"/>
        </w:tabs>
        <w:ind w:left="578" w:right="578"/>
        <w:rPr>
          <w:sz w:val="20"/>
        </w:rPr>
      </w:pPr>
      <w:r>
        <w:rPr>
          <w:sz w:val="20"/>
        </w:rPr>
        <w:t>pipeline service standard</w:t>
      </w:r>
      <w:r>
        <w:rPr>
          <w:sz w:val="20"/>
        </w:rPr>
        <w:tab/>
        <w:t>2</w:t>
      </w:r>
    </w:p>
    <w:p>
      <w:pPr>
        <w:tabs>
          <w:tab w:val="right" w:leader="dot" w:pos="7070"/>
        </w:tabs>
        <w:ind w:left="578" w:right="578"/>
        <w:rPr>
          <w:sz w:val="20"/>
        </w:rPr>
      </w:pPr>
      <w:r>
        <w:rPr>
          <w:sz w:val="20"/>
        </w:rPr>
        <w:t>Pipelines Access/Arbitration amendments</w:t>
      </w:r>
      <w:r>
        <w:rPr>
          <w:sz w:val="20"/>
        </w:rPr>
        <w:tab/>
        <w:t>294F</w:t>
      </w:r>
    </w:p>
    <w:p>
      <w:pPr>
        <w:tabs>
          <w:tab w:val="right" w:leader="dot" w:pos="7070"/>
        </w:tabs>
        <w:ind w:left="578" w:right="578"/>
        <w:rPr>
          <w:sz w:val="20"/>
        </w:rPr>
      </w:pPr>
      <w:r>
        <w:rPr>
          <w:sz w:val="20"/>
        </w:rPr>
        <w:t>power</w:t>
      </w:r>
      <w:r>
        <w:rPr>
          <w:sz w:val="20"/>
        </w:rPr>
        <w:tab/>
        <w:t>Sch. 2 cl. 10</w:t>
      </w:r>
    </w:p>
    <w:p>
      <w:pPr>
        <w:tabs>
          <w:tab w:val="right" w:leader="dot" w:pos="7070"/>
        </w:tabs>
        <w:ind w:left="578" w:right="578"/>
        <w:rPr>
          <w:sz w:val="20"/>
        </w:rPr>
      </w:pPr>
      <w:r>
        <w:rPr>
          <w:sz w:val="20"/>
        </w:rPr>
        <w:t>pre</w:t>
      </w:r>
      <w:r>
        <w:rPr>
          <w:sz w:val="20"/>
        </w:rPr>
        <w:noBreakHyphen/>
        <w:t>notification right</w:t>
      </w:r>
      <w:r>
        <w:rPr>
          <w:sz w:val="20"/>
        </w:rPr>
        <w:tab/>
        <w:t>188(2), 216N</w:t>
      </w:r>
    </w:p>
    <w:p>
      <w:pPr>
        <w:tabs>
          <w:tab w:val="right" w:leader="dot" w:pos="7070"/>
        </w:tabs>
        <w:ind w:left="578" w:right="578"/>
        <w:rPr>
          <w:sz w:val="20"/>
        </w:rPr>
      </w:pPr>
      <w:r>
        <w:rPr>
          <w:sz w:val="20"/>
        </w:rPr>
        <w:t>prescribed</w:t>
      </w:r>
      <w:r>
        <w:rPr>
          <w:sz w:val="20"/>
        </w:rPr>
        <w:tab/>
        <w:t>Sch. 2 cl. 10</w:t>
      </w:r>
    </w:p>
    <w:p>
      <w:pPr>
        <w:tabs>
          <w:tab w:val="right" w:leader="dot" w:pos="7070"/>
        </w:tabs>
        <w:ind w:left="578" w:right="578"/>
        <w:rPr>
          <w:sz w:val="20"/>
        </w:rPr>
      </w:pPr>
      <w:r>
        <w:rPr>
          <w:sz w:val="20"/>
        </w:rPr>
        <w:t>price or revenue regulation</w:t>
      </w:r>
      <w:r>
        <w:rPr>
          <w:sz w:val="20"/>
        </w:rPr>
        <w:tab/>
        <w:t>2</w:t>
      </w:r>
    </w:p>
    <w:p>
      <w:pPr>
        <w:tabs>
          <w:tab w:val="right" w:leader="dot" w:pos="7070"/>
        </w:tabs>
        <w:ind w:left="578" w:right="578"/>
        <w:rPr>
          <w:sz w:val="20"/>
        </w:rPr>
      </w:pPr>
      <w:r>
        <w:rPr>
          <w:sz w:val="20"/>
        </w:rPr>
        <w:t>price regulation exemption</w:t>
      </w:r>
      <w:r>
        <w:rPr>
          <w:sz w:val="20"/>
        </w:rPr>
        <w:tab/>
        <w:t>2</w:t>
      </w:r>
    </w:p>
    <w:p>
      <w:pPr>
        <w:tabs>
          <w:tab w:val="right" w:leader="dot" w:pos="7070"/>
        </w:tabs>
        <w:ind w:left="578" w:right="578"/>
        <w:rPr>
          <w:sz w:val="20"/>
        </w:rPr>
      </w:pPr>
      <w:r>
        <w:rPr>
          <w:sz w:val="20"/>
        </w:rPr>
        <w:t>price regulation exemption recommendation</w:t>
      </w:r>
      <w:r>
        <w:rPr>
          <w:sz w:val="20"/>
        </w:rPr>
        <w:tab/>
        <w:t>2</w:t>
      </w:r>
    </w:p>
    <w:p>
      <w:pPr>
        <w:tabs>
          <w:tab w:val="right" w:leader="dot" w:pos="7070"/>
        </w:tabs>
        <w:ind w:left="578" w:right="578"/>
        <w:rPr>
          <w:sz w:val="20"/>
        </w:rPr>
      </w:pPr>
      <w:r>
        <w:rPr>
          <w:sz w:val="20"/>
        </w:rPr>
        <w:t>principal decision maker</w:t>
      </w:r>
      <w:r>
        <w:rPr>
          <w:sz w:val="20"/>
        </w:rPr>
        <w:tab/>
        <w:t>331(2)</w:t>
      </w:r>
    </w:p>
    <w:p>
      <w:pPr>
        <w:tabs>
          <w:tab w:val="right" w:leader="dot" w:pos="7070"/>
        </w:tabs>
        <w:ind w:left="578" w:right="578"/>
        <w:rPr>
          <w:sz w:val="20"/>
        </w:rPr>
      </w:pPr>
      <w:r>
        <w:rPr>
          <w:sz w:val="20"/>
        </w:rPr>
        <w:t>printed</w:t>
      </w:r>
      <w:r>
        <w:rPr>
          <w:sz w:val="20"/>
        </w:rPr>
        <w:tab/>
        <w:t>Sch. 2 cl. 10</w:t>
      </w:r>
    </w:p>
    <w:p>
      <w:pPr>
        <w:tabs>
          <w:tab w:val="right" w:leader="dot" w:pos="7070"/>
        </w:tabs>
        <w:ind w:left="578" w:right="578"/>
        <w:rPr>
          <w:sz w:val="20"/>
        </w:rPr>
      </w:pPr>
      <w:r>
        <w:rPr>
          <w:sz w:val="20"/>
        </w:rPr>
        <w:t>proceeding</w:t>
      </w:r>
      <w:r>
        <w:rPr>
          <w:sz w:val="20"/>
        </w:rPr>
        <w:tab/>
        <w:t>Sch. 2 cl. 10</w:t>
      </w:r>
    </w:p>
    <w:p>
      <w:pPr>
        <w:tabs>
          <w:tab w:val="right" w:leader="dot" w:pos="7070"/>
        </w:tabs>
        <w:ind w:left="578" w:right="578"/>
        <w:rPr>
          <w:sz w:val="20"/>
        </w:rPr>
      </w:pPr>
      <w:r>
        <w:rPr>
          <w:sz w:val="20"/>
        </w:rPr>
        <w:t>processable gas</w:t>
      </w:r>
      <w:r>
        <w:rPr>
          <w:sz w:val="20"/>
        </w:rPr>
        <w:tab/>
        <w:t>2</w:t>
      </w:r>
    </w:p>
    <w:p>
      <w:pPr>
        <w:tabs>
          <w:tab w:val="right" w:leader="dot" w:pos="7070"/>
        </w:tabs>
        <w:ind w:left="578" w:right="578"/>
        <w:rPr>
          <w:sz w:val="20"/>
        </w:rPr>
      </w:pPr>
      <w:r>
        <w:rPr>
          <w:sz w:val="20"/>
        </w:rPr>
        <w:t>producer</w:t>
      </w:r>
      <w:r>
        <w:rPr>
          <w:sz w:val="20"/>
        </w:rPr>
        <w:tab/>
        <w:t>2</w:t>
      </w:r>
    </w:p>
    <w:p>
      <w:pPr>
        <w:tabs>
          <w:tab w:val="right" w:leader="dot" w:pos="7070"/>
        </w:tabs>
        <w:ind w:left="578" w:right="578"/>
        <w:rPr>
          <w:sz w:val="20"/>
        </w:rPr>
      </w:pPr>
      <w:r>
        <w:rPr>
          <w:sz w:val="20"/>
        </w:rPr>
        <w:t>property</w:t>
      </w:r>
      <w:r>
        <w:rPr>
          <w:sz w:val="20"/>
        </w:rPr>
        <w:tab/>
        <w:t>Sch. 2 cl. 10</w:t>
      </w:r>
    </w:p>
    <w:p>
      <w:pPr>
        <w:tabs>
          <w:tab w:val="right" w:leader="dot" w:pos="7070"/>
        </w:tabs>
        <w:ind w:left="578" w:right="578"/>
        <w:rPr>
          <w:sz w:val="20"/>
        </w:rPr>
      </w:pPr>
      <w:r>
        <w:rPr>
          <w:sz w:val="20"/>
        </w:rPr>
        <w:t>proposed Rule</w:t>
      </w:r>
      <w:r>
        <w:rPr>
          <w:sz w:val="20"/>
        </w:rPr>
        <w:tab/>
        <w:t>290</w:t>
      </w:r>
    </w:p>
    <w:p>
      <w:pPr>
        <w:tabs>
          <w:tab w:val="right" w:leader="dot" w:pos="7070"/>
        </w:tabs>
        <w:ind w:left="578" w:right="578"/>
        <w:rPr>
          <w:sz w:val="20"/>
        </w:rPr>
      </w:pPr>
      <w:r>
        <w:rPr>
          <w:sz w:val="20"/>
        </w:rPr>
        <w:t>prospective user</w:t>
      </w:r>
      <w:r>
        <w:rPr>
          <w:sz w:val="20"/>
        </w:rPr>
        <w:tab/>
        <w:t>2, 216A</w:t>
      </w:r>
    </w:p>
    <w:p>
      <w:pPr>
        <w:tabs>
          <w:tab w:val="right" w:leader="dot" w:pos="7070"/>
        </w:tabs>
        <w:ind w:left="578" w:right="578"/>
        <w:rPr>
          <w:sz w:val="20"/>
        </w:rPr>
      </w:pPr>
      <w:r>
        <w:rPr>
          <w:sz w:val="20"/>
        </w:rPr>
        <w:t>provision</w:t>
      </w:r>
      <w:r>
        <w:rPr>
          <w:sz w:val="20"/>
        </w:rPr>
        <w:tab/>
        <w:t>Sch. 2 cl. 10</w:t>
      </w:r>
    </w:p>
    <w:p>
      <w:pPr>
        <w:tabs>
          <w:tab w:val="right" w:leader="dot" w:pos="7070"/>
        </w:tabs>
        <w:ind w:left="578" w:right="578"/>
        <w:rPr>
          <w:sz w:val="20"/>
        </w:rPr>
      </w:pPr>
      <w:r>
        <w:rPr>
          <w:sz w:val="20"/>
        </w:rPr>
        <w:t>publish</w:t>
      </w:r>
      <w:r>
        <w:rPr>
          <w:sz w:val="20"/>
        </w:rPr>
        <w:tab/>
        <w:t>290</w:t>
      </w:r>
    </w:p>
    <w:p>
      <w:pPr>
        <w:tabs>
          <w:tab w:val="right" w:leader="dot" w:pos="7070"/>
        </w:tabs>
        <w:ind w:left="578" w:right="578"/>
        <w:rPr>
          <w:sz w:val="20"/>
        </w:rPr>
      </w:pPr>
      <w:r>
        <w:rPr>
          <w:sz w:val="20"/>
        </w:rPr>
        <w:t>queuing requirements</w:t>
      </w:r>
      <w:r>
        <w:rPr>
          <w:sz w:val="20"/>
        </w:rPr>
        <w:tab/>
        <w:t>2</w:t>
      </w:r>
    </w:p>
    <w:p>
      <w:pPr>
        <w:tabs>
          <w:tab w:val="right" w:leader="dot" w:pos="7070"/>
        </w:tabs>
        <w:ind w:left="578" w:right="578"/>
        <w:rPr>
          <w:sz w:val="20"/>
        </w:rPr>
      </w:pPr>
      <w:r>
        <w:rPr>
          <w:sz w:val="20"/>
        </w:rPr>
        <w:t>rate of return instrument</w:t>
      </w:r>
      <w:r>
        <w:rPr>
          <w:sz w:val="20"/>
        </w:rPr>
        <w:tab/>
        <w:t>2, 30D</w:t>
      </w:r>
    </w:p>
    <w:p>
      <w:pPr>
        <w:tabs>
          <w:tab w:val="right" w:leader="dot" w:pos="7070"/>
        </w:tabs>
        <w:ind w:left="578" w:right="578"/>
        <w:rPr>
          <w:sz w:val="20"/>
        </w:rPr>
      </w:pPr>
      <w:r>
        <w:rPr>
          <w:sz w:val="20"/>
        </w:rPr>
        <w:t>reclassification decision</w:t>
      </w:r>
      <w:r>
        <w:rPr>
          <w:sz w:val="20"/>
        </w:rPr>
        <w:tab/>
        <w:t>2, 129</w:t>
      </w:r>
    </w:p>
    <w:p>
      <w:pPr>
        <w:tabs>
          <w:tab w:val="right" w:leader="dot" w:pos="7070"/>
        </w:tabs>
        <w:ind w:left="578" w:right="578"/>
        <w:rPr>
          <w:sz w:val="20"/>
        </w:rPr>
      </w:pPr>
      <w:r>
        <w:rPr>
          <w:sz w:val="20"/>
        </w:rPr>
        <w:t>record</w:t>
      </w:r>
      <w:r>
        <w:rPr>
          <w:sz w:val="20"/>
        </w:rPr>
        <w:tab/>
        <w:t>Sch. 2 cl. 10</w:t>
      </w:r>
    </w:p>
    <w:p>
      <w:pPr>
        <w:tabs>
          <w:tab w:val="right" w:leader="dot" w:pos="7070"/>
        </w:tabs>
        <w:ind w:left="578" w:right="578"/>
        <w:rPr>
          <w:sz w:val="20"/>
        </w:rPr>
      </w:pPr>
      <w:r>
        <w:rPr>
          <w:sz w:val="20"/>
        </w:rPr>
        <w:lastRenderedPageBreak/>
        <w:t>reference service</w:t>
      </w:r>
      <w:r>
        <w:rPr>
          <w:sz w:val="20"/>
        </w:rPr>
        <w:tab/>
        <w:t>2</w:t>
      </w:r>
    </w:p>
    <w:p>
      <w:pPr>
        <w:tabs>
          <w:tab w:val="right" w:leader="dot" w:pos="7070"/>
        </w:tabs>
        <w:ind w:left="578" w:right="578"/>
        <w:rPr>
          <w:sz w:val="20"/>
        </w:rPr>
      </w:pPr>
      <w:r>
        <w:rPr>
          <w:sz w:val="20"/>
        </w:rPr>
        <w:t>reference tariff</w:t>
      </w:r>
      <w:r>
        <w:rPr>
          <w:sz w:val="20"/>
        </w:rPr>
        <w:tab/>
        <w:t>2</w:t>
      </w:r>
    </w:p>
    <w:p>
      <w:pPr>
        <w:tabs>
          <w:tab w:val="right" w:leader="dot" w:pos="7070"/>
        </w:tabs>
        <w:ind w:left="578" w:right="578"/>
        <w:rPr>
          <w:sz w:val="20"/>
        </w:rPr>
      </w:pPr>
      <w:r>
        <w:rPr>
          <w:sz w:val="20"/>
        </w:rPr>
        <w:t>Reference Tariff</w:t>
      </w:r>
      <w:r>
        <w:rPr>
          <w:sz w:val="20"/>
        </w:rPr>
        <w:tab/>
        <w:t>Sch. 3 cl. 31</w:t>
      </w:r>
    </w:p>
    <w:p>
      <w:pPr>
        <w:tabs>
          <w:tab w:val="right" w:leader="dot" w:pos="7070"/>
        </w:tabs>
        <w:ind w:left="578" w:right="578"/>
        <w:rPr>
          <w:sz w:val="20"/>
        </w:rPr>
      </w:pPr>
      <w:r>
        <w:rPr>
          <w:sz w:val="20"/>
        </w:rPr>
        <w:t>regulated revenue</w:t>
      </w:r>
      <w:r>
        <w:rPr>
          <w:sz w:val="20"/>
        </w:rPr>
        <w:tab/>
        <w:t>244</w:t>
      </w:r>
    </w:p>
    <w:p>
      <w:pPr>
        <w:tabs>
          <w:tab w:val="right" w:leader="dot" w:pos="7070"/>
        </w:tabs>
        <w:ind w:left="578" w:right="578"/>
        <w:rPr>
          <w:sz w:val="20"/>
        </w:rPr>
      </w:pPr>
      <w:r>
        <w:rPr>
          <w:sz w:val="20"/>
        </w:rPr>
        <w:t>Regulations</w:t>
      </w:r>
      <w:r>
        <w:rPr>
          <w:sz w:val="20"/>
        </w:rPr>
        <w:tab/>
        <w:t>2</w:t>
      </w:r>
    </w:p>
    <w:p>
      <w:pPr>
        <w:tabs>
          <w:tab w:val="right" w:leader="dot" w:pos="7070"/>
        </w:tabs>
        <w:ind w:left="578" w:right="578"/>
        <w:rPr>
          <w:sz w:val="20"/>
        </w:rPr>
      </w:pPr>
      <w:r>
        <w:rPr>
          <w:sz w:val="20"/>
        </w:rPr>
        <w:t>Regulations or Rules of a savings and transitional nature</w:t>
      </w:r>
      <w:r>
        <w:rPr>
          <w:sz w:val="20"/>
        </w:rPr>
        <w:tab/>
        <w:t>Sch. 3 cl. 2</w:t>
      </w:r>
    </w:p>
    <w:p>
      <w:pPr>
        <w:tabs>
          <w:tab w:val="right" w:leader="dot" w:pos="7070"/>
        </w:tabs>
        <w:ind w:left="578" w:right="578"/>
        <w:rPr>
          <w:sz w:val="20"/>
        </w:rPr>
      </w:pPr>
      <w:r>
        <w:rPr>
          <w:sz w:val="20"/>
        </w:rPr>
        <w:t>regulator</w:t>
      </w:r>
      <w:r>
        <w:rPr>
          <w:sz w:val="20"/>
        </w:rPr>
        <w:tab/>
        <w:t>Act 9(1), Note 2</w:t>
      </w:r>
    </w:p>
    <w:p>
      <w:pPr>
        <w:tabs>
          <w:tab w:val="right" w:leader="dot" w:pos="7070"/>
        </w:tabs>
        <w:ind w:left="578" w:right="578"/>
        <w:rPr>
          <w:sz w:val="20"/>
        </w:rPr>
      </w:pPr>
      <w:r>
        <w:rPr>
          <w:sz w:val="20"/>
        </w:rPr>
        <w:t>regulatory information instrument</w:t>
      </w:r>
      <w:r>
        <w:rPr>
          <w:sz w:val="20"/>
        </w:rPr>
        <w:tab/>
        <w:t>2</w:t>
      </w:r>
    </w:p>
    <w:p>
      <w:pPr>
        <w:tabs>
          <w:tab w:val="right" w:leader="dot" w:pos="7070"/>
        </w:tabs>
        <w:ind w:left="578" w:right="578"/>
        <w:rPr>
          <w:sz w:val="20"/>
        </w:rPr>
      </w:pPr>
      <w:r>
        <w:rPr>
          <w:sz w:val="20"/>
        </w:rPr>
        <w:t xml:space="preserve">regulatory information notice </w:t>
      </w:r>
      <w:r>
        <w:rPr>
          <w:sz w:val="20"/>
        </w:rPr>
        <w:tab/>
        <w:t>2</w:t>
      </w:r>
    </w:p>
    <w:p>
      <w:pPr>
        <w:tabs>
          <w:tab w:val="right" w:leader="dot" w:pos="7070"/>
        </w:tabs>
        <w:ind w:left="578" w:right="578"/>
        <w:rPr>
          <w:sz w:val="20"/>
        </w:rPr>
      </w:pPr>
      <w:r>
        <w:rPr>
          <w:sz w:val="20"/>
        </w:rPr>
        <w:t>regulatory obligation or requirement</w:t>
      </w:r>
      <w:r>
        <w:rPr>
          <w:sz w:val="20"/>
        </w:rPr>
        <w:tab/>
        <w:t>2</w:t>
      </w:r>
    </w:p>
    <w:p>
      <w:pPr>
        <w:tabs>
          <w:tab w:val="right" w:leader="dot" w:pos="7070"/>
        </w:tabs>
        <w:ind w:left="578" w:right="578"/>
        <w:rPr>
          <w:sz w:val="20"/>
        </w:rPr>
      </w:pPr>
      <w:r>
        <w:rPr>
          <w:sz w:val="20"/>
        </w:rPr>
        <w:t xml:space="preserve">regulatory payment </w:t>
      </w:r>
      <w:r>
        <w:rPr>
          <w:sz w:val="20"/>
        </w:rPr>
        <w:tab/>
        <w:t>2</w:t>
      </w:r>
    </w:p>
    <w:p>
      <w:pPr>
        <w:tabs>
          <w:tab w:val="right" w:leader="dot" w:pos="7070"/>
        </w:tabs>
        <w:ind w:left="578" w:right="578"/>
        <w:rPr>
          <w:sz w:val="20"/>
        </w:rPr>
      </w:pPr>
      <w:r>
        <w:rPr>
          <w:sz w:val="20"/>
        </w:rPr>
        <w:t>regulatory period</w:t>
      </w:r>
      <w:r>
        <w:rPr>
          <w:sz w:val="20"/>
        </w:rPr>
        <w:tab/>
        <w:t>244</w:t>
      </w:r>
    </w:p>
    <w:p>
      <w:pPr>
        <w:tabs>
          <w:tab w:val="right" w:leader="dot" w:pos="7070"/>
        </w:tabs>
        <w:ind w:left="578" w:right="578"/>
        <w:rPr>
          <w:sz w:val="20"/>
        </w:rPr>
      </w:pPr>
      <w:r>
        <w:rPr>
          <w:sz w:val="20"/>
        </w:rPr>
        <w:t>regulatory scheme decision maker</w:t>
      </w:r>
      <w:r>
        <w:rPr>
          <w:sz w:val="20"/>
        </w:rPr>
        <w:tab/>
        <w:t>332(3)</w:t>
      </w:r>
    </w:p>
    <w:p>
      <w:pPr>
        <w:tabs>
          <w:tab w:val="right" w:leader="dot" w:pos="7070"/>
        </w:tabs>
        <w:ind w:left="578" w:right="578"/>
        <w:rPr>
          <w:sz w:val="20"/>
        </w:rPr>
      </w:pPr>
      <w:r>
        <w:rPr>
          <w:sz w:val="20"/>
        </w:rPr>
        <w:t>related business</w:t>
      </w:r>
      <w:r>
        <w:rPr>
          <w:sz w:val="20"/>
        </w:rPr>
        <w:tab/>
        <w:t>137</w:t>
      </w:r>
    </w:p>
    <w:p>
      <w:pPr>
        <w:tabs>
          <w:tab w:val="right" w:leader="dot" w:pos="7070"/>
        </w:tabs>
        <w:ind w:left="578" w:right="578"/>
        <w:rPr>
          <w:sz w:val="20"/>
        </w:rPr>
      </w:pPr>
      <w:r>
        <w:rPr>
          <w:sz w:val="20"/>
        </w:rPr>
        <w:t>related provider</w:t>
      </w:r>
      <w:r>
        <w:rPr>
          <w:sz w:val="20"/>
        </w:rPr>
        <w:tab/>
        <w:t>43</w:t>
      </w:r>
    </w:p>
    <w:p>
      <w:pPr>
        <w:tabs>
          <w:tab w:val="right" w:leader="dot" w:pos="7070"/>
        </w:tabs>
        <w:ind w:left="578" w:right="578"/>
        <w:rPr>
          <w:sz w:val="20"/>
        </w:rPr>
      </w:pPr>
      <w:r>
        <w:rPr>
          <w:sz w:val="20"/>
        </w:rPr>
        <w:t>relevant access arrangement</w:t>
      </w:r>
      <w:r>
        <w:rPr>
          <w:sz w:val="20"/>
        </w:rPr>
        <w:tab/>
        <w:t>Sch. 3 cl. 134</w:t>
      </w:r>
    </w:p>
    <w:p>
      <w:pPr>
        <w:tabs>
          <w:tab w:val="right" w:leader="dot" w:pos="7070"/>
        </w:tabs>
        <w:ind w:left="578" w:right="578"/>
        <w:rPr>
          <w:sz w:val="20"/>
        </w:rPr>
      </w:pPr>
      <w:r>
        <w:rPr>
          <w:sz w:val="20"/>
        </w:rPr>
        <w:t>relevant appeals body</w:t>
      </w:r>
      <w:r>
        <w:rPr>
          <w:sz w:val="20"/>
        </w:rPr>
        <w:tab/>
        <w:t>Sch. 3 cl. 1</w:t>
      </w:r>
    </w:p>
    <w:p>
      <w:pPr>
        <w:tabs>
          <w:tab w:val="right" w:leader="dot" w:pos="7070"/>
        </w:tabs>
        <w:ind w:left="578" w:right="578"/>
        <w:rPr>
          <w:sz w:val="20"/>
        </w:rPr>
      </w:pPr>
      <w:r>
        <w:rPr>
          <w:sz w:val="20"/>
        </w:rPr>
        <w:t>relevant decision maker</w:t>
      </w:r>
      <w:r>
        <w:rPr>
          <w:sz w:val="20"/>
        </w:rPr>
        <w:tab/>
        <w:t>330</w:t>
      </w:r>
    </w:p>
    <w:p>
      <w:pPr>
        <w:tabs>
          <w:tab w:val="right" w:leader="dot" w:pos="7070"/>
        </w:tabs>
        <w:ind w:left="578" w:right="578"/>
        <w:rPr>
          <w:sz w:val="20"/>
        </w:rPr>
      </w:pPr>
      <w:r>
        <w:rPr>
          <w:sz w:val="20"/>
        </w:rPr>
        <w:t>relevant decision or document</w:t>
      </w:r>
      <w:r>
        <w:rPr>
          <w:sz w:val="20"/>
        </w:rPr>
        <w:tab/>
        <w:t>Sch. 2 cl. 31</w:t>
      </w:r>
    </w:p>
    <w:p>
      <w:pPr>
        <w:tabs>
          <w:tab w:val="right" w:leader="dot" w:pos="7070"/>
        </w:tabs>
        <w:ind w:left="578" w:right="578"/>
        <w:rPr>
          <w:sz w:val="20"/>
        </w:rPr>
      </w:pPr>
      <w:r>
        <w:rPr>
          <w:sz w:val="20"/>
        </w:rPr>
        <w:t>relevant exclusivity right</w:t>
      </w:r>
      <w:r>
        <w:rPr>
          <w:sz w:val="20"/>
        </w:rPr>
        <w:tab/>
        <w:t>188(2), 216N, 321(2)</w:t>
      </w:r>
    </w:p>
    <w:p>
      <w:pPr>
        <w:tabs>
          <w:tab w:val="right" w:leader="dot" w:pos="7070"/>
        </w:tabs>
        <w:ind w:left="578" w:right="578"/>
        <w:rPr>
          <w:sz w:val="20"/>
        </w:rPr>
      </w:pPr>
      <w:r>
        <w:rPr>
          <w:sz w:val="20"/>
        </w:rPr>
        <w:t>relevant Minister</w:t>
      </w:r>
      <w:r>
        <w:rPr>
          <w:sz w:val="20"/>
        </w:rPr>
        <w:tab/>
        <w:t>2</w:t>
      </w:r>
    </w:p>
    <w:p>
      <w:pPr>
        <w:tabs>
          <w:tab w:val="right" w:leader="dot" w:pos="7070"/>
        </w:tabs>
        <w:ind w:left="578" w:right="578"/>
        <w:rPr>
          <w:sz w:val="20"/>
        </w:rPr>
      </w:pPr>
      <w:r>
        <w:rPr>
          <w:sz w:val="20"/>
        </w:rPr>
        <w:t>relevant national provisions</w:t>
      </w:r>
      <w:r>
        <w:rPr>
          <w:sz w:val="20"/>
        </w:rPr>
        <w:tab/>
        <w:t>Act 19(3)</w:t>
      </w:r>
    </w:p>
    <w:p>
      <w:pPr>
        <w:tabs>
          <w:tab w:val="right" w:leader="dot" w:pos="7070"/>
        </w:tabs>
        <w:ind w:left="578" w:right="578"/>
        <w:rPr>
          <w:sz w:val="20"/>
        </w:rPr>
      </w:pPr>
      <w:r>
        <w:rPr>
          <w:sz w:val="20"/>
        </w:rPr>
        <w:t>relevant notice</w:t>
      </w:r>
      <w:r>
        <w:rPr>
          <w:sz w:val="20"/>
        </w:rPr>
        <w:tab/>
        <w:t>42(1), Sch. 2 cl. 31, 33</w:t>
      </w:r>
    </w:p>
    <w:p>
      <w:pPr>
        <w:tabs>
          <w:tab w:val="right" w:leader="dot" w:pos="7070"/>
        </w:tabs>
        <w:ind w:left="578" w:right="578"/>
        <w:rPr>
          <w:sz w:val="20"/>
        </w:rPr>
      </w:pPr>
      <w:r>
        <w:rPr>
          <w:sz w:val="20"/>
        </w:rPr>
        <w:t>relevant pipeline description</w:t>
      </w:r>
      <w:r>
        <w:rPr>
          <w:sz w:val="20"/>
        </w:rPr>
        <w:tab/>
        <w:t>171(3)</w:t>
      </w:r>
    </w:p>
    <w:p>
      <w:pPr>
        <w:tabs>
          <w:tab w:val="right" w:leader="dot" w:pos="7070"/>
        </w:tabs>
        <w:ind w:left="578" w:right="578"/>
        <w:rPr>
          <w:sz w:val="20"/>
        </w:rPr>
      </w:pPr>
      <w:r>
        <w:rPr>
          <w:sz w:val="20"/>
        </w:rPr>
        <w:t>relevant protected contractual right</w:t>
      </w:r>
      <w:r>
        <w:rPr>
          <w:sz w:val="20"/>
        </w:rPr>
        <w:tab/>
        <w:t>188(2), 216N, 321(2)</w:t>
      </w:r>
    </w:p>
    <w:p>
      <w:pPr>
        <w:tabs>
          <w:tab w:val="right" w:leader="dot" w:pos="7070"/>
        </w:tabs>
        <w:ind w:left="578" w:right="578"/>
        <w:rPr>
          <w:sz w:val="20"/>
        </w:rPr>
      </w:pPr>
      <w:r>
        <w:rPr>
          <w:sz w:val="20"/>
        </w:rPr>
        <w:t>relevant provision</w:t>
      </w:r>
      <w:r>
        <w:rPr>
          <w:sz w:val="20"/>
        </w:rPr>
        <w:tab/>
        <w:t>31</w:t>
      </w:r>
    </w:p>
    <w:p>
      <w:pPr>
        <w:tabs>
          <w:tab w:val="right" w:leader="dot" w:pos="7070"/>
        </w:tabs>
        <w:ind w:left="578" w:right="578"/>
        <w:rPr>
          <w:sz w:val="20"/>
        </w:rPr>
      </w:pPr>
      <w:r>
        <w:rPr>
          <w:sz w:val="20"/>
        </w:rPr>
        <w:t>relevant Regulator</w:t>
      </w:r>
      <w:r>
        <w:rPr>
          <w:sz w:val="20"/>
        </w:rPr>
        <w:tab/>
        <w:t>2</w:t>
      </w:r>
    </w:p>
    <w:p>
      <w:pPr>
        <w:tabs>
          <w:tab w:val="right" w:leader="dot" w:pos="7070"/>
        </w:tabs>
        <w:ind w:left="578" w:right="578"/>
        <w:rPr>
          <w:sz w:val="20"/>
        </w:rPr>
      </w:pPr>
      <w:r>
        <w:rPr>
          <w:sz w:val="20"/>
        </w:rPr>
        <w:t>relevant Regulator investigation</w:t>
      </w:r>
      <w:r>
        <w:rPr>
          <w:sz w:val="20"/>
        </w:rPr>
        <w:tab/>
        <w:t>Sch. 3 cl. 43</w:t>
      </w:r>
    </w:p>
    <w:p>
      <w:pPr>
        <w:tabs>
          <w:tab w:val="right" w:leader="dot" w:pos="7070"/>
        </w:tabs>
        <w:ind w:left="578" w:right="578"/>
        <w:rPr>
          <w:sz w:val="20"/>
        </w:rPr>
      </w:pPr>
      <w:r>
        <w:rPr>
          <w:sz w:val="20"/>
        </w:rPr>
        <w:t>relevant transition date</w:t>
      </w:r>
      <w:r>
        <w:rPr>
          <w:sz w:val="20"/>
        </w:rPr>
        <w:tab/>
        <w:t>Sch. 3 cl. 9, 16, 24</w:t>
      </w:r>
    </w:p>
    <w:p>
      <w:pPr>
        <w:tabs>
          <w:tab w:val="right" w:leader="dot" w:pos="7070"/>
        </w:tabs>
        <w:ind w:left="578" w:right="578"/>
        <w:rPr>
          <w:sz w:val="20"/>
        </w:rPr>
      </w:pPr>
      <w:r>
        <w:rPr>
          <w:sz w:val="20"/>
        </w:rPr>
        <w:t>relevant transition period</w:t>
      </w:r>
      <w:r>
        <w:rPr>
          <w:sz w:val="20"/>
        </w:rPr>
        <w:tab/>
        <w:t>Sch. 3 cl. 31, 38</w:t>
      </w:r>
    </w:p>
    <w:p>
      <w:pPr>
        <w:tabs>
          <w:tab w:val="right" w:leader="dot" w:pos="7070"/>
        </w:tabs>
        <w:ind w:left="578" w:right="578"/>
        <w:rPr>
          <w:sz w:val="20"/>
        </w:rPr>
      </w:pPr>
      <w:r>
        <w:rPr>
          <w:sz w:val="20"/>
        </w:rPr>
        <w:t>REMCo</w:t>
      </w:r>
      <w:r>
        <w:rPr>
          <w:sz w:val="20"/>
        </w:rPr>
        <w:tab/>
        <w:t>290</w:t>
      </w:r>
    </w:p>
    <w:p>
      <w:pPr>
        <w:tabs>
          <w:tab w:val="right" w:leader="dot" w:pos="7070"/>
        </w:tabs>
        <w:ind w:left="578" w:right="578"/>
        <w:rPr>
          <w:sz w:val="20"/>
        </w:rPr>
      </w:pPr>
      <w:r>
        <w:rPr>
          <w:sz w:val="20"/>
        </w:rPr>
        <w:t>repeal</w:t>
      </w:r>
      <w:r>
        <w:rPr>
          <w:sz w:val="20"/>
        </w:rPr>
        <w:tab/>
        <w:t>Sch. 2 cl. 10</w:t>
      </w:r>
    </w:p>
    <w:p>
      <w:pPr>
        <w:tabs>
          <w:tab w:val="right" w:leader="dot" w:pos="7070"/>
        </w:tabs>
        <w:ind w:left="578" w:right="578"/>
        <w:rPr>
          <w:sz w:val="20"/>
        </w:rPr>
      </w:pPr>
      <w:r>
        <w:rPr>
          <w:sz w:val="20"/>
        </w:rPr>
        <w:t>report trigger date</w:t>
      </w:r>
      <w:r>
        <w:rPr>
          <w:sz w:val="20"/>
        </w:rPr>
        <w:tab/>
        <w:t>320(1)</w:t>
      </w:r>
    </w:p>
    <w:p>
      <w:pPr>
        <w:tabs>
          <w:tab w:val="right" w:leader="dot" w:pos="7070"/>
        </w:tabs>
        <w:ind w:left="578" w:right="578"/>
        <w:rPr>
          <w:sz w:val="20"/>
        </w:rPr>
      </w:pPr>
      <w:r>
        <w:rPr>
          <w:sz w:val="20"/>
        </w:rPr>
        <w:t>restricted period</w:t>
      </w:r>
      <w:r>
        <w:rPr>
          <w:sz w:val="20"/>
        </w:rPr>
        <w:tab/>
        <w:t>329(8)</w:t>
      </w:r>
    </w:p>
    <w:p>
      <w:pPr>
        <w:tabs>
          <w:tab w:val="right" w:leader="dot" w:pos="7070"/>
        </w:tabs>
        <w:ind w:left="578" w:right="578"/>
        <w:rPr>
          <w:sz w:val="20"/>
        </w:rPr>
      </w:pPr>
      <w:r>
        <w:rPr>
          <w:sz w:val="20"/>
        </w:rPr>
        <w:t>revenue and pricing principles</w:t>
      </w:r>
      <w:r>
        <w:rPr>
          <w:sz w:val="20"/>
        </w:rPr>
        <w:tab/>
        <w:t>2</w:t>
      </w:r>
    </w:p>
    <w:p>
      <w:pPr>
        <w:tabs>
          <w:tab w:val="right" w:leader="dot" w:pos="7070"/>
        </w:tabs>
        <w:ind w:left="578" w:right="578"/>
        <w:rPr>
          <w:sz w:val="20"/>
        </w:rPr>
      </w:pPr>
      <w:r>
        <w:rPr>
          <w:sz w:val="20"/>
        </w:rPr>
        <w:t>review</w:t>
      </w:r>
      <w:r>
        <w:rPr>
          <w:sz w:val="20"/>
        </w:rPr>
        <w:tab/>
        <w:t>Sch. 3 cl. 95</w:t>
      </w:r>
    </w:p>
    <w:p>
      <w:pPr>
        <w:tabs>
          <w:tab w:val="right" w:leader="dot" w:pos="7070"/>
        </w:tabs>
        <w:ind w:left="578" w:right="578"/>
        <w:rPr>
          <w:sz w:val="20"/>
        </w:rPr>
      </w:pPr>
      <w:r>
        <w:rPr>
          <w:sz w:val="20"/>
        </w:rPr>
        <w:t xml:space="preserve">review related matter </w:t>
      </w:r>
      <w:r>
        <w:rPr>
          <w:sz w:val="20"/>
        </w:rPr>
        <w:tab/>
        <w:t>261(7)</w:t>
      </w:r>
    </w:p>
    <w:p>
      <w:pPr>
        <w:tabs>
          <w:tab w:val="right" w:leader="dot" w:pos="7070"/>
        </w:tabs>
        <w:ind w:left="578" w:right="578"/>
        <w:rPr>
          <w:sz w:val="20"/>
        </w:rPr>
      </w:pPr>
      <w:r>
        <w:rPr>
          <w:sz w:val="20"/>
        </w:rPr>
        <w:t>review under this Part</w:t>
      </w:r>
      <w:r>
        <w:rPr>
          <w:sz w:val="20"/>
        </w:rPr>
        <w:tab/>
        <w:t>244</w:t>
      </w:r>
    </w:p>
    <w:p>
      <w:pPr>
        <w:tabs>
          <w:tab w:val="right" w:leader="dot" w:pos="7070"/>
        </w:tabs>
        <w:ind w:left="578" w:right="578"/>
        <w:rPr>
          <w:sz w:val="20"/>
        </w:rPr>
      </w:pPr>
      <w:r>
        <w:rPr>
          <w:sz w:val="20"/>
        </w:rPr>
        <w:t>reviewable regulatory decision</w:t>
      </w:r>
      <w:r>
        <w:rPr>
          <w:sz w:val="20"/>
        </w:rPr>
        <w:tab/>
        <w:t>2, 244, Sch. 3 cl. 31</w:t>
      </w:r>
    </w:p>
    <w:p>
      <w:pPr>
        <w:tabs>
          <w:tab w:val="right" w:leader="dot" w:pos="7070"/>
        </w:tabs>
        <w:ind w:left="578" w:right="578"/>
        <w:rPr>
          <w:sz w:val="20"/>
        </w:rPr>
      </w:pPr>
      <w:r>
        <w:rPr>
          <w:sz w:val="20"/>
        </w:rPr>
        <w:t>reviewable regulatory decision process participant</w:t>
      </w:r>
      <w:r>
        <w:rPr>
          <w:sz w:val="20"/>
        </w:rPr>
        <w:tab/>
        <w:t>254(2)</w:t>
      </w:r>
    </w:p>
    <w:p>
      <w:pPr>
        <w:tabs>
          <w:tab w:val="right" w:leader="dot" w:pos="7070"/>
        </w:tabs>
        <w:ind w:left="578" w:right="578"/>
        <w:rPr>
          <w:sz w:val="20"/>
        </w:rPr>
      </w:pPr>
      <w:r>
        <w:rPr>
          <w:sz w:val="20"/>
        </w:rPr>
        <w:t>ring fencing decision</w:t>
      </w:r>
      <w:r>
        <w:rPr>
          <w:sz w:val="20"/>
        </w:rPr>
        <w:tab/>
        <w:t>2</w:t>
      </w:r>
    </w:p>
    <w:p>
      <w:pPr>
        <w:tabs>
          <w:tab w:val="right" w:leader="dot" w:pos="7070"/>
        </w:tabs>
        <w:ind w:left="578" w:right="578"/>
        <w:rPr>
          <w:sz w:val="20"/>
        </w:rPr>
      </w:pPr>
      <w:r>
        <w:rPr>
          <w:sz w:val="20"/>
        </w:rPr>
        <w:t>Rule extrinsic material</w:t>
      </w:r>
      <w:r>
        <w:rPr>
          <w:sz w:val="20"/>
        </w:rPr>
        <w:tab/>
        <w:t>Sch. 2 cl. 8</w:t>
      </w:r>
    </w:p>
    <w:p>
      <w:pPr>
        <w:tabs>
          <w:tab w:val="right" w:leader="dot" w:pos="7070"/>
        </w:tabs>
        <w:ind w:left="578" w:right="578"/>
        <w:rPr>
          <w:sz w:val="20"/>
        </w:rPr>
      </w:pPr>
      <w:r>
        <w:rPr>
          <w:sz w:val="20"/>
        </w:rPr>
        <w:t>Rules</w:t>
      </w:r>
      <w:r>
        <w:rPr>
          <w:sz w:val="20"/>
        </w:rPr>
        <w:tab/>
        <w:t>2</w:t>
      </w:r>
    </w:p>
    <w:p>
      <w:pPr>
        <w:tabs>
          <w:tab w:val="right" w:leader="dot" w:pos="7070"/>
        </w:tabs>
        <w:ind w:left="578" w:right="578"/>
        <w:rPr>
          <w:sz w:val="20"/>
        </w:rPr>
      </w:pPr>
      <w:r>
        <w:rPr>
          <w:sz w:val="20"/>
        </w:rPr>
        <w:t>SA Schedule amendment</w:t>
      </w:r>
      <w:r>
        <w:rPr>
          <w:sz w:val="20"/>
        </w:rPr>
        <w:tab/>
        <w:t>Act 7A(1)</w:t>
      </w:r>
    </w:p>
    <w:p>
      <w:pPr>
        <w:tabs>
          <w:tab w:val="right" w:leader="dot" w:pos="7070"/>
        </w:tabs>
        <w:ind w:left="578" w:right="578"/>
        <w:rPr>
          <w:sz w:val="20"/>
        </w:rPr>
      </w:pPr>
      <w:r>
        <w:rPr>
          <w:sz w:val="20"/>
        </w:rPr>
        <w:lastRenderedPageBreak/>
        <w:t>scheme administrator</w:t>
      </w:r>
      <w:r>
        <w:rPr>
          <w:sz w:val="20"/>
        </w:rPr>
        <w:tab/>
        <w:t>216A</w:t>
      </w:r>
    </w:p>
    <w:p>
      <w:pPr>
        <w:tabs>
          <w:tab w:val="right" w:leader="dot" w:pos="7070"/>
        </w:tabs>
        <w:ind w:left="578" w:right="578"/>
        <w:rPr>
          <w:sz w:val="20"/>
        </w:rPr>
      </w:pPr>
      <w:r>
        <w:rPr>
          <w:sz w:val="20"/>
        </w:rPr>
        <w:t>scheme decision</w:t>
      </w:r>
      <w:r>
        <w:rPr>
          <w:sz w:val="20"/>
        </w:rPr>
        <w:tab/>
        <w:t>330</w:t>
      </w:r>
    </w:p>
    <w:p>
      <w:pPr>
        <w:tabs>
          <w:tab w:val="right" w:leader="dot" w:pos="7070"/>
        </w:tabs>
        <w:ind w:left="578" w:right="578"/>
        <w:rPr>
          <w:sz w:val="20"/>
        </w:rPr>
      </w:pPr>
      <w:r>
        <w:rPr>
          <w:sz w:val="20"/>
        </w:rPr>
        <w:t>scheme pipeline</w:t>
      </w:r>
      <w:r>
        <w:rPr>
          <w:sz w:val="20"/>
        </w:rPr>
        <w:tab/>
        <w:t>2</w:t>
      </w:r>
    </w:p>
    <w:p>
      <w:pPr>
        <w:tabs>
          <w:tab w:val="right" w:leader="dot" w:pos="7070"/>
        </w:tabs>
        <w:ind w:left="578" w:right="578"/>
        <w:rPr>
          <w:sz w:val="20"/>
        </w:rPr>
      </w:pPr>
      <w:r>
        <w:rPr>
          <w:sz w:val="20"/>
        </w:rPr>
        <w:t>scheme pipeline service provider</w:t>
      </w:r>
      <w:r>
        <w:rPr>
          <w:sz w:val="20"/>
        </w:rPr>
        <w:tab/>
        <w:t>43</w:t>
      </w:r>
    </w:p>
    <w:p>
      <w:pPr>
        <w:tabs>
          <w:tab w:val="right" w:leader="dot" w:pos="7070"/>
        </w:tabs>
        <w:ind w:left="578" w:right="578"/>
        <w:rPr>
          <w:sz w:val="20"/>
        </w:rPr>
      </w:pPr>
      <w:r>
        <w:rPr>
          <w:sz w:val="20"/>
        </w:rPr>
        <w:t>scheme procedure</w:t>
      </w:r>
      <w:r>
        <w:rPr>
          <w:sz w:val="20"/>
        </w:rPr>
        <w:tab/>
        <w:t>330</w:t>
      </w:r>
    </w:p>
    <w:p>
      <w:pPr>
        <w:tabs>
          <w:tab w:val="right" w:leader="dot" w:pos="7070"/>
        </w:tabs>
        <w:ind w:left="578" w:right="578"/>
        <w:rPr>
          <w:sz w:val="20"/>
        </w:rPr>
      </w:pPr>
      <w:r>
        <w:rPr>
          <w:sz w:val="20"/>
        </w:rPr>
        <w:t>service provider</w:t>
      </w:r>
      <w:r>
        <w:rPr>
          <w:sz w:val="20"/>
        </w:rPr>
        <w:tab/>
        <w:t>2, 151(4), 160(3)</w:t>
      </w:r>
    </w:p>
    <w:p>
      <w:pPr>
        <w:tabs>
          <w:tab w:val="right" w:leader="dot" w:pos="7070"/>
        </w:tabs>
        <w:ind w:left="578" w:right="578"/>
        <w:rPr>
          <w:sz w:val="20"/>
        </w:rPr>
      </w:pPr>
      <w:r>
        <w:rPr>
          <w:sz w:val="20"/>
        </w:rPr>
        <w:t>service provider group</w:t>
      </w:r>
      <w:r>
        <w:rPr>
          <w:sz w:val="20"/>
        </w:rPr>
        <w:tab/>
        <w:t>10(1)</w:t>
      </w:r>
    </w:p>
    <w:p>
      <w:pPr>
        <w:tabs>
          <w:tab w:val="right" w:leader="dot" w:pos="7070"/>
        </w:tabs>
        <w:ind w:left="578" w:right="578"/>
        <w:rPr>
          <w:sz w:val="20"/>
        </w:rPr>
      </w:pPr>
      <w:r>
        <w:rPr>
          <w:sz w:val="20"/>
        </w:rPr>
        <w:t>service provider performance report</w:t>
      </w:r>
      <w:r>
        <w:rPr>
          <w:sz w:val="20"/>
        </w:rPr>
        <w:tab/>
        <w:t>2</w:t>
      </w:r>
    </w:p>
    <w:p>
      <w:pPr>
        <w:tabs>
          <w:tab w:val="right" w:leader="dot" w:pos="7070"/>
        </w:tabs>
        <w:ind w:left="578" w:right="578"/>
        <w:rPr>
          <w:sz w:val="20"/>
        </w:rPr>
      </w:pPr>
      <w:r>
        <w:rPr>
          <w:sz w:val="20"/>
        </w:rPr>
        <w:t>SES employee</w:t>
      </w:r>
      <w:r>
        <w:rPr>
          <w:sz w:val="20"/>
        </w:rPr>
        <w:tab/>
        <w:t>Sch. 2 cl. 33</w:t>
      </w:r>
    </w:p>
    <w:p>
      <w:pPr>
        <w:tabs>
          <w:tab w:val="right" w:leader="dot" w:pos="7070"/>
        </w:tabs>
        <w:ind w:left="578" w:right="578"/>
        <w:rPr>
          <w:sz w:val="20"/>
        </w:rPr>
      </w:pPr>
      <w:r>
        <w:rPr>
          <w:sz w:val="20"/>
        </w:rPr>
        <w:t>sign</w:t>
      </w:r>
      <w:r>
        <w:rPr>
          <w:sz w:val="20"/>
        </w:rPr>
        <w:tab/>
        <w:t>Sch. 2 cl. 10</w:t>
      </w:r>
    </w:p>
    <w:p>
      <w:pPr>
        <w:tabs>
          <w:tab w:val="right" w:leader="dot" w:pos="7070"/>
        </w:tabs>
        <w:ind w:left="578" w:right="578"/>
        <w:rPr>
          <w:sz w:val="20"/>
        </w:rPr>
      </w:pPr>
      <w:r>
        <w:rPr>
          <w:sz w:val="20"/>
        </w:rPr>
        <w:t>small to medium user or end user</w:t>
      </w:r>
      <w:r>
        <w:rPr>
          <w:sz w:val="20"/>
        </w:rPr>
        <w:tab/>
        <w:t>244</w:t>
      </w:r>
    </w:p>
    <w:p>
      <w:pPr>
        <w:tabs>
          <w:tab w:val="right" w:leader="dot" w:pos="7070"/>
        </w:tabs>
        <w:ind w:left="578" w:right="578"/>
        <w:rPr>
          <w:sz w:val="20"/>
        </w:rPr>
      </w:pPr>
      <w:r>
        <w:rPr>
          <w:sz w:val="20"/>
        </w:rPr>
        <w:t>small/medium user or consumer intervener</w:t>
      </w:r>
      <w:r>
        <w:rPr>
          <w:sz w:val="20"/>
        </w:rPr>
        <w:tab/>
        <w:t>244</w:t>
      </w:r>
    </w:p>
    <w:p>
      <w:pPr>
        <w:tabs>
          <w:tab w:val="right" w:leader="dot" w:pos="7070"/>
        </w:tabs>
        <w:ind w:left="578" w:right="578"/>
        <w:rPr>
          <w:sz w:val="20"/>
        </w:rPr>
      </w:pPr>
      <w:r>
        <w:rPr>
          <w:sz w:val="20"/>
        </w:rPr>
        <w:t>South Australian Act</w:t>
      </w:r>
      <w:r>
        <w:rPr>
          <w:sz w:val="20"/>
        </w:rPr>
        <w:tab/>
        <w:t>Act 3(1)</w:t>
      </w:r>
    </w:p>
    <w:p>
      <w:pPr>
        <w:tabs>
          <w:tab w:val="right" w:leader="dot" w:pos="7070"/>
        </w:tabs>
        <w:ind w:left="578" w:right="578"/>
        <w:rPr>
          <w:sz w:val="20"/>
        </w:rPr>
      </w:pPr>
      <w:r>
        <w:rPr>
          <w:sz w:val="20"/>
        </w:rPr>
        <w:t>South Australian Minister</w:t>
      </w:r>
      <w:r>
        <w:rPr>
          <w:sz w:val="20"/>
        </w:rPr>
        <w:tab/>
        <w:t>294CA</w:t>
      </w:r>
    </w:p>
    <w:p>
      <w:pPr>
        <w:tabs>
          <w:tab w:val="right" w:leader="dot" w:pos="7070"/>
        </w:tabs>
        <w:ind w:left="578" w:right="578"/>
        <w:rPr>
          <w:sz w:val="20"/>
        </w:rPr>
      </w:pPr>
      <w:r>
        <w:rPr>
          <w:sz w:val="20"/>
        </w:rPr>
        <w:t>spare capacity</w:t>
      </w:r>
      <w:r>
        <w:rPr>
          <w:sz w:val="20"/>
        </w:rPr>
        <w:tab/>
        <w:t>2</w:t>
      </w:r>
    </w:p>
    <w:p>
      <w:pPr>
        <w:tabs>
          <w:tab w:val="right" w:leader="dot" w:pos="7070"/>
        </w:tabs>
        <w:ind w:left="578" w:right="578"/>
        <w:rPr>
          <w:sz w:val="20"/>
        </w:rPr>
      </w:pPr>
      <w:r>
        <w:rPr>
          <w:sz w:val="20"/>
        </w:rPr>
        <w:t>specified dispute termination circumstance</w:t>
      </w:r>
      <w:r>
        <w:rPr>
          <w:sz w:val="20"/>
        </w:rPr>
        <w:tab/>
        <w:t>186(3), 216O</w:t>
      </w:r>
    </w:p>
    <w:p>
      <w:pPr>
        <w:tabs>
          <w:tab w:val="right" w:leader="dot" w:pos="7070"/>
        </w:tabs>
        <w:ind w:left="578" w:right="578"/>
        <w:rPr>
          <w:sz w:val="20"/>
        </w:rPr>
      </w:pPr>
      <w:r>
        <w:rPr>
          <w:sz w:val="20"/>
        </w:rPr>
        <w:t>stakeholders</w:t>
      </w:r>
      <w:r>
        <w:rPr>
          <w:sz w:val="20"/>
        </w:rPr>
        <w:tab/>
        <w:t>Sch. 3 cl. 95</w:t>
      </w:r>
    </w:p>
    <w:p>
      <w:pPr>
        <w:tabs>
          <w:tab w:val="right" w:leader="dot" w:pos="7070"/>
        </w:tabs>
        <w:ind w:left="578" w:right="578"/>
        <w:rPr>
          <w:sz w:val="20"/>
        </w:rPr>
      </w:pPr>
      <w:r>
        <w:rPr>
          <w:sz w:val="20"/>
        </w:rPr>
        <w:t>standard period</w:t>
      </w:r>
      <w:r>
        <w:rPr>
          <w:sz w:val="20"/>
        </w:rPr>
        <w:tab/>
        <w:t>260(1)</w:t>
      </w:r>
    </w:p>
    <w:p>
      <w:pPr>
        <w:tabs>
          <w:tab w:val="right" w:leader="dot" w:pos="7070"/>
        </w:tabs>
        <w:ind w:left="578" w:right="578"/>
        <w:rPr>
          <w:sz w:val="20"/>
        </w:rPr>
      </w:pPr>
      <w:r>
        <w:rPr>
          <w:sz w:val="20"/>
        </w:rPr>
        <w:t>start dat</w:t>
      </w:r>
      <w:r>
        <w:rPr>
          <w:sz w:val="20"/>
        </w:rPr>
        <w:tab/>
        <w:t>Sch. 3 cl. 133</w:t>
      </w:r>
    </w:p>
    <w:p>
      <w:pPr>
        <w:tabs>
          <w:tab w:val="right" w:leader="dot" w:pos="7070"/>
        </w:tabs>
        <w:ind w:left="578" w:right="578"/>
        <w:rPr>
          <w:sz w:val="20"/>
        </w:rPr>
      </w:pPr>
      <w:r>
        <w:rPr>
          <w:sz w:val="20"/>
        </w:rPr>
        <w:t>statutory declaration</w:t>
      </w:r>
      <w:r>
        <w:rPr>
          <w:sz w:val="20"/>
        </w:rPr>
        <w:tab/>
        <w:t>Sch. 2 cl. 10</w:t>
      </w:r>
    </w:p>
    <w:p>
      <w:pPr>
        <w:tabs>
          <w:tab w:val="right" w:leader="dot" w:pos="7070"/>
        </w:tabs>
        <w:ind w:left="578" w:right="578"/>
        <w:rPr>
          <w:sz w:val="20"/>
        </w:rPr>
      </w:pPr>
      <w:r>
        <w:rPr>
          <w:sz w:val="20"/>
        </w:rPr>
        <w:t>statutory instrument</w:t>
      </w:r>
      <w:r>
        <w:rPr>
          <w:sz w:val="20"/>
        </w:rPr>
        <w:tab/>
        <w:t>Sch. 2 cl. 10, 21, 51</w:t>
      </w:r>
    </w:p>
    <w:p>
      <w:pPr>
        <w:tabs>
          <w:tab w:val="right" w:leader="dot" w:pos="7070"/>
        </w:tabs>
        <w:ind w:left="578" w:right="578"/>
        <w:rPr>
          <w:sz w:val="20"/>
        </w:rPr>
      </w:pPr>
      <w:r>
        <w:rPr>
          <w:sz w:val="20"/>
        </w:rPr>
        <w:t>storage provider</w:t>
      </w:r>
      <w:r>
        <w:rPr>
          <w:sz w:val="20"/>
        </w:rPr>
        <w:tab/>
        <w:t>2</w:t>
      </w:r>
    </w:p>
    <w:p>
      <w:pPr>
        <w:tabs>
          <w:tab w:val="right" w:leader="dot" w:pos="7070"/>
        </w:tabs>
        <w:ind w:left="578" w:right="578"/>
        <w:rPr>
          <w:sz w:val="20"/>
        </w:rPr>
      </w:pPr>
      <w:r>
        <w:rPr>
          <w:sz w:val="20"/>
        </w:rPr>
        <w:t>subsequent service provider</w:t>
      </w:r>
      <w:r>
        <w:rPr>
          <w:sz w:val="20"/>
        </w:rPr>
        <w:tab/>
        <w:t>215(2)</w:t>
      </w:r>
    </w:p>
    <w:p>
      <w:pPr>
        <w:tabs>
          <w:tab w:val="right" w:leader="dot" w:pos="7070"/>
        </w:tabs>
        <w:ind w:left="578" w:right="578"/>
        <w:rPr>
          <w:sz w:val="20"/>
        </w:rPr>
      </w:pPr>
      <w:r>
        <w:rPr>
          <w:sz w:val="20"/>
        </w:rPr>
        <w:t>supply</w:t>
      </w:r>
      <w:r>
        <w:rPr>
          <w:sz w:val="20"/>
        </w:rPr>
        <w:tab/>
        <w:t>2</w:t>
      </w:r>
    </w:p>
    <w:p>
      <w:pPr>
        <w:tabs>
          <w:tab w:val="right" w:leader="dot" w:pos="7070"/>
        </w:tabs>
        <w:ind w:left="578" w:right="578"/>
        <w:rPr>
          <w:sz w:val="20"/>
        </w:rPr>
      </w:pPr>
      <w:r>
        <w:rPr>
          <w:sz w:val="20"/>
        </w:rPr>
        <w:t>swear</w:t>
      </w:r>
      <w:r>
        <w:rPr>
          <w:sz w:val="20"/>
        </w:rPr>
        <w:tab/>
        <w:t>Sch. 2 cl. 10</w:t>
      </w:r>
    </w:p>
    <w:p>
      <w:pPr>
        <w:tabs>
          <w:tab w:val="right" w:leader="dot" w:pos="7070"/>
        </w:tabs>
        <w:ind w:left="578" w:right="578"/>
        <w:rPr>
          <w:sz w:val="20"/>
        </w:rPr>
      </w:pPr>
      <w:r>
        <w:rPr>
          <w:sz w:val="20"/>
        </w:rPr>
        <w:t>target statement</w:t>
      </w:r>
      <w:r>
        <w:rPr>
          <w:sz w:val="20"/>
        </w:rPr>
        <w:tab/>
        <w:t>72A</w:t>
      </w:r>
    </w:p>
    <w:p>
      <w:pPr>
        <w:tabs>
          <w:tab w:val="right" w:leader="dot" w:pos="7070"/>
        </w:tabs>
        <w:ind w:left="578" w:right="578"/>
        <w:rPr>
          <w:sz w:val="20"/>
        </w:rPr>
      </w:pPr>
      <w:r>
        <w:rPr>
          <w:sz w:val="20"/>
        </w:rPr>
        <w:t>tariff</w:t>
      </w:r>
      <w:r>
        <w:rPr>
          <w:sz w:val="20"/>
        </w:rPr>
        <w:tab/>
        <w:t>2</w:t>
      </w:r>
    </w:p>
    <w:p>
      <w:pPr>
        <w:tabs>
          <w:tab w:val="right" w:leader="dot" w:pos="7070"/>
        </w:tabs>
        <w:ind w:left="578" w:right="578"/>
        <w:rPr>
          <w:sz w:val="20"/>
        </w:rPr>
      </w:pPr>
      <w:r>
        <w:rPr>
          <w:sz w:val="20"/>
        </w:rPr>
        <w:t>tender approval decision</w:t>
      </w:r>
      <w:r>
        <w:rPr>
          <w:sz w:val="20"/>
        </w:rPr>
        <w:tab/>
        <w:t>2</w:t>
      </w:r>
    </w:p>
    <w:p>
      <w:pPr>
        <w:tabs>
          <w:tab w:val="right" w:leader="dot" w:pos="7070"/>
        </w:tabs>
        <w:ind w:left="578" w:right="578"/>
        <w:rPr>
          <w:sz w:val="20"/>
        </w:rPr>
      </w:pPr>
      <w:r>
        <w:rPr>
          <w:sz w:val="20"/>
        </w:rPr>
        <w:t>Territory</w:t>
      </w:r>
      <w:r>
        <w:rPr>
          <w:sz w:val="20"/>
        </w:rPr>
        <w:tab/>
        <w:t>2</w:t>
      </w:r>
    </w:p>
    <w:p>
      <w:pPr>
        <w:tabs>
          <w:tab w:val="right" w:leader="dot" w:pos="7070"/>
        </w:tabs>
        <w:ind w:left="578" w:right="578"/>
        <w:rPr>
          <w:sz w:val="20"/>
        </w:rPr>
      </w:pPr>
      <w:r>
        <w:rPr>
          <w:sz w:val="20"/>
        </w:rPr>
        <w:t>that other legislation</w:t>
      </w:r>
      <w:r>
        <w:rPr>
          <w:sz w:val="20"/>
        </w:rPr>
        <w:tab/>
        <w:t>Act 16(1)</w:t>
      </w:r>
    </w:p>
    <w:p>
      <w:pPr>
        <w:tabs>
          <w:tab w:val="right" w:leader="dot" w:pos="7070"/>
        </w:tabs>
        <w:ind w:left="578" w:right="578"/>
        <w:rPr>
          <w:sz w:val="20"/>
        </w:rPr>
      </w:pPr>
      <w:r>
        <w:rPr>
          <w:sz w:val="20"/>
        </w:rPr>
        <w:t>the first terms</w:t>
      </w:r>
      <w:r>
        <w:rPr>
          <w:sz w:val="20"/>
        </w:rPr>
        <w:tab/>
        <w:t>134(1)</w:t>
      </w:r>
    </w:p>
    <w:p>
      <w:pPr>
        <w:tabs>
          <w:tab w:val="right" w:leader="dot" w:pos="7070"/>
        </w:tabs>
        <w:ind w:left="578" w:right="578"/>
        <w:rPr>
          <w:sz w:val="20"/>
        </w:rPr>
      </w:pPr>
      <w:r>
        <w:rPr>
          <w:sz w:val="20"/>
        </w:rPr>
        <w:t>the second terms</w:t>
      </w:r>
      <w:r>
        <w:rPr>
          <w:sz w:val="20"/>
        </w:rPr>
        <w:tab/>
        <w:t>134(1)</w:t>
      </w:r>
    </w:p>
    <w:p>
      <w:pPr>
        <w:tabs>
          <w:tab w:val="right" w:leader="dot" w:pos="7070"/>
        </w:tabs>
        <w:ind w:left="578" w:right="578"/>
        <w:rPr>
          <w:sz w:val="20"/>
        </w:rPr>
      </w:pPr>
      <w:r>
        <w:rPr>
          <w:sz w:val="20"/>
        </w:rPr>
        <w:t>third party</w:t>
      </w:r>
      <w:r>
        <w:rPr>
          <w:sz w:val="20"/>
        </w:rPr>
        <w:tab/>
        <w:t>30S</w:t>
      </w:r>
    </w:p>
    <w:p>
      <w:pPr>
        <w:tabs>
          <w:tab w:val="right" w:leader="dot" w:pos="7070"/>
        </w:tabs>
        <w:ind w:left="578" w:right="578"/>
        <w:rPr>
          <w:sz w:val="20"/>
        </w:rPr>
      </w:pPr>
      <w:r>
        <w:rPr>
          <w:sz w:val="20"/>
        </w:rPr>
        <w:t>this jurisdiction</w:t>
      </w:r>
      <w:r>
        <w:rPr>
          <w:sz w:val="20"/>
        </w:rPr>
        <w:tab/>
        <w:t>Act 9(1)</w:t>
      </w:r>
    </w:p>
    <w:p>
      <w:pPr>
        <w:tabs>
          <w:tab w:val="right" w:leader="dot" w:pos="7070"/>
        </w:tabs>
        <w:ind w:left="578" w:right="578"/>
        <w:rPr>
          <w:sz w:val="20"/>
        </w:rPr>
      </w:pPr>
      <w:r>
        <w:rPr>
          <w:sz w:val="20"/>
        </w:rPr>
        <w:t>this law</w:t>
      </w:r>
      <w:r>
        <w:rPr>
          <w:sz w:val="20"/>
        </w:rPr>
        <w:tab/>
        <w:t>Act 9(1)</w:t>
      </w:r>
    </w:p>
    <w:p>
      <w:pPr>
        <w:tabs>
          <w:tab w:val="right" w:leader="dot" w:pos="7070"/>
        </w:tabs>
        <w:ind w:left="578" w:right="578"/>
        <w:rPr>
          <w:sz w:val="20"/>
        </w:rPr>
      </w:pPr>
      <w:r>
        <w:rPr>
          <w:sz w:val="20"/>
        </w:rPr>
        <w:t>transitional period</w:t>
      </w:r>
      <w:r>
        <w:rPr>
          <w:sz w:val="20"/>
        </w:rPr>
        <w:tab/>
        <w:t>Act 20(2)</w:t>
      </w:r>
    </w:p>
    <w:p>
      <w:pPr>
        <w:tabs>
          <w:tab w:val="right" w:leader="dot" w:pos="7070"/>
        </w:tabs>
        <w:ind w:left="578" w:right="578"/>
        <w:rPr>
          <w:sz w:val="20"/>
        </w:rPr>
      </w:pPr>
      <w:r>
        <w:rPr>
          <w:sz w:val="20"/>
        </w:rPr>
        <w:t>transitioned access arrangement</w:t>
      </w:r>
      <w:r>
        <w:rPr>
          <w:sz w:val="20"/>
        </w:rPr>
        <w:tab/>
        <w:t>Sch. 3 cl. 1</w:t>
      </w:r>
    </w:p>
    <w:p>
      <w:pPr>
        <w:tabs>
          <w:tab w:val="right" w:leader="dot" w:pos="7070"/>
        </w:tabs>
        <w:ind w:left="578" w:right="578"/>
        <w:rPr>
          <w:sz w:val="20"/>
        </w:rPr>
      </w:pPr>
      <w:r>
        <w:rPr>
          <w:sz w:val="20"/>
        </w:rPr>
        <w:t>transmission pipeline</w:t>
      </w:r>
      <w:r>
        <w:rPr>
          <w:sz w:val="20"/>
        </w:rPr>
        <w:tab/>
        <w:t>2, 216A</w:t>
      </w:r>
    </w:p>
    <w:p>
      <w:pPr>
        <w:tabs>
          <w:tab w:val="right" w:leader="dot" w:pos="7070"/>
        </w:tabs>
        <w:ind w:left="578" w:right="578"/>
        <w:rPr>
          <w:sz w:val="20"/>
        </w:rPr>
      </w:pPr>
      <w:r>
        <w:rPr>
          <w:sz w:val="20"/>
        </w:rPr>
        <w:t>Tribunal</w:t>
      </w:r>
      <w:r>
        <w:rPr>
          <w:sz w:val="20"/>
        </w:rPr>
        <w:tab/>
        <w:t>2</w:t>
      </w:r>
    </w:p>
    <w:p>
      <w:pPr>
        <w:tabs>
          <w:tab w:val="right" w:leader="dot" w:pos="7070"/>
        </w:tabs>
        <w:ind w:left="578" w:right="578"/>
        <w:rPr>
          <w:sz w:val="20"/>
        </w:rPr>
      </w:pPr>
      <w:r>
        <w:rPr>
          <w:sz w:val="20"/>
        </w:rPr>
        <w:t>underlying National Gas Law</w:t>
      </w:r>
      <w:r>
        <w:rPr>
          <w:sz w:val="20"/>
        </w:rPr>
        <w:tab/>
        <w:t>Act Sch. 1 cl. 1(2)</w:t>
      </w:r>
    </w:p>
    <w:p>
      <w:pPr>
        <w:tabs>
          <w:tab w:val="right" w:leader="dot" w:pos="7070"/>
        </w:tabs>
        <w:ind w:left="578" w:right="578"/>
        <w:rPr>
          <w:sz w:val="20"/>
        </w:rPr>
      </w:pPr>
      <w:r>
        <w:rPr>
          <w:sz w:val="20"/>
        </w:rPr>
        <w:t>urgent Rule</w:t>
      </w:r>
      <w:r>
        <w:rPr>
          <w:sz w:val="20"/>
        </w:rPr>
        <w:tab/>
        <w:t>290</w:t>
      </w:r>
    </w:p>
    <w:p>
      <w:pPr>
        <w:tabs>
          <w:tab w:val="right" w:leader="dot" w:pos="7070"/>
        </w:tabs>
        <w:ind w:left="578" w:right="578"/>
        <w:rPr>
          <w:sz w:val="20"/>
        </w:rPr>
      </w:pPr>
      <w:r>
        <w:rPr>
          <w:sz w:val="20"/>
        </w:rPr>
        <w:t>user</w:t>
      </w:r>
      <w:r>
        <w:rPr>
          <w:sz w:val="20"/>
        </w:rPr>
        <w:tab/>
        <w:t>2, 216A</w:t>
      </w:r>
    </w:p>
    <w:p>
      <w:pPr>
        <w:tabs>
          <w:tab w:val="right" w:leader="dot" w:pos="7070"/>
        </w:tabs>
        <w:ind w:left="578" w:right="578"/>
        <w:rPr>
          <w:sz w:val="20"/>
        </w:rPr>
      </w:pPr>
      <w:r>
        <w:rPr>
          <w:sz w:val="20"/>
        </w:rPr>
        <w:t>user or consumer association</w:t>
      </w:r>
      <w:r>
        <w:rPr>
          <w:sz w:val="20"/>
        </w:rPr>
        <w:tab/>
        <w:t>2, 244</w:t>
      </w:r>
    </w:p>
    <w:p>
      <w:pPr>
        <w:tabs>
          <w:tab w:val="right" w:leader="dot" w:pos="7070"/>
        </w:tabs>
        <w:ind w:left="578" w:right="578"/>
        <w:rPr>
          <w:sz w:val="20"/>
        </w:rPr>
      </w:pPr>
      <w:r>
        <w:rPr>
          <w:sz w:val="20"/>
        </w:rPr>
        <w:t>user or consumer interest group</w:t>
      </w:r>
      <w:r>
        <w:rPr>
          <w:sz w:val="20"/>
        </w:rPr>
        <w:tab/>
        <w:t>2, 244</w:t>
      </w:r>
    </w:p>
    <w:p>
      <w:pPr>
        <w:tabs>
          <w:tab w:val="right" w:leader="dot" w:pos="7070"/>
        </w:tabs>
        <w:ind w:left="578" w:right="578"/>
        <w:rPr>
          <w:sz w:val="20"/>
        </w:rPr>
      </w:pPr>
      <w:r>
        <w:rPr>
          <w:sz w:val="20"/>
        </w:rPr>
        <w:lastRenderedPageBreak/>
        <w:t xml:space="preserve">user or consumer intervener </w:t>
      </w:r>
      <w:r>
        <w:rPr>
          <w:sz w:val="20"/>
        </w:rPr>
        <w:tab/>
        <w:t>244</w:t>
      </w:r>
    </w:p>
    <w:p>
      <w:pPr>
        <w:tabs>
          <w:tab w:val="right" w:leader="dot" w:pos="7070"/>
        </w:tabs>
        <w:ind w:left="578" w:right="578"/>
        <w:rPr>
          <w:sz w:val="20"/>
        </w:rPr>
      </w:pPr>
      <w:r>
        <w:rPr>
          <w:sz w:val="20"/>
        </w:rPr>
        <w:t>VENCorp</w:t>
      </w:r>
      <w:r>
        <w:rPr>
          <w:sz w:val="20"/>
        </w:rPr>
        <w:tab/>
        <w:t>2</w:t>
      </w:r>
    </w:p>
    <w:p>
      <w:pPr>
        <w:tabs>
          <w:tab w:val="right" w:leader="dot" w:pos="7070"/>
        </w:tabs>
        <w:ind w:left="578" w:right="578"/>
        <w:rPr>
          <w:sz w:val="20"/>
        </w:rPr>
      </w:pPr>
      <w:r>
        <w:rPr>
          <w:sz w:val="20"/>
        </w:rPr>
        <w:t>WA arbitrator</w:t>
      </w:r>
      <w:r>
        <w:rPr>
          <w:sz w:val="20"/>
        </w:rPr>
        <w:tab/>
        <w:t>Act 9(1), Note 2</w:t>
      </w:r>
    </w:p>
    <w:p>
      <w:pPr>
        <w:keepNext/>
        <w:keepLines/>
        <w:tabs>
          <w:tab w:val="right" w:leader="dot" w:pos="7070"/>
        </w:tabs>
        <w:ind w:left="578" w:right="578"/>
        <w:rPr>
          <w:sz w:val="20"/>
        </w:rPr>
      </w:pPr>
      <w:r>
        <w:rPr>
          <w:sz w:val="20"/>
        </w:rPr>
        <w:t>Western Australian National Gas Access Law text</w:t>
      </w:r>
      <w:r>
        <w:rPr>
          <w:sz w:val="20"/>
        </w:rPr>
        <w:tab/>
        <w:t>Act 7(2)</w:t>
      </w:r>
    </w:p>
    <w:p>
      <w:pPr>
        <w:keepNext/>
        <w:keepLines/>
        <w:tabs>
          <w:tab w:val="right" w:leader="dot" w:pos="7070"/>
        </w:tabs>
        <w:ind w:left="578" w:right="578"/>
        <w:rPr>
          <w:sz w:val="20"/>
        </w:rPr>
      </w:pPr>
      <w:r>
        <w:rPr>
          <w:sz w:val="20"/>
        </w:rPr>
        <w:t>word</w:t>
      </w:r>
      <w:r>
        <w:rPr>
          <w:sz w:val="20"/>
        </w:rPr>
        <w:tab/>
        <w:t>Sch. 2 cl. 10</w:t>
      </w:r>
    </w:p>
    <w:p>
      <w:pPr>
        <w:keepNext/>
        <w:keepLines/>
        <w:tabs>
          <w:tab w:val="right" w:leader="dot" w:pos="7070"/>
        </w:tabs>
        <w:ind w:left="578" w:right="578"/>
        <w:rPr>
          <w:sz w:val="20"/>
        </w:rPr>
      </w:pPr>
      <w:r>
        <w:rPr>
          <w:sz w:val="20"/>
        </w:rPr>
        <w:t>writing</w:t>
      </w:r>
      <w:r>
        <w:rPr>
          <w:sz w:val="20"/>
        </w:rPr>
        <w:tab/>
        <w:t>Sch. 2 cl. 10</w:t>
      </w:r>
    </w:p>
    <w:p>
      <w:pPr>
        <w:tabs>
          <w:tab w:val="right" w:leader="dot" w:pos="7070"/>
        </w:tabs>
        <w:ind w:left="578" w:right="578"/>
      </w:pPr>
      <w:r>
        <w:rPr>
          <w:noProof/>
        </w:rPr>
        <mc:AlternateContent>
          <mc:Choice Requires="wps">
            <w:drawing>
              <wp:anchor distT="0" distB="0" distL="114300" distR="114300" simplePos="0" relativeHeight="251661312" behindDoc="0" locked="0" layoutInCell="1" allowOverlap="1">
                <wp:simplePos x="0" y="0"/>
                <wp:positionH relativeFrom="page">
                  <wp:posOffset>28575</wp:posOffset>
                </wp:positionH>
                <wp:positionV relativeFrom="page">
                  <wp:posOffset>7440295</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4C8C684" id="_x0000_t202" coordsize="21600,21600" o:spt="202" path="m,l,21600r21600,l21600,xe">
                <v:stroke joinstyle="miter"/>
                <v:path gradientshapeok="t" o:connecttype="rect"/>
              </v:shapetype>
              <v:shape id="Authority" o:spid="_x0000_s1026" type="#_x0000_t202" style="position:absolute;left:0;text-align:left;margin-left:2.25pt;margin-top:585.85pt;width:10pt;height:51pt;z-index:2516613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" stroked="f" strokeweight=".5pt">
                <v:textbox>
                  <w:txbxContent>
                    <w:p w14:paraId="77334DC2" w14:textId="7553BFD0" w:rsidR="003B4B12" w:rsidRDefault="00CA4ED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93F5E">
                        <w:rPr>
                          <w:sz w:val="16"/>
                        </w:rPr>
                        <w:t>2024</w:t>
                      </w:r>
                      <w:r>
                        <w:rPr>
                          <w:sz w:val="16"/>
                        </w:rPr>
                        <w:fldChar w:fldCharType="end"/>
                      </w:r>
                      <w:r>
                        <w:rPr>
                          <w:sz w:val="16"/>
                        </w:rPr>
                        <w:t>.</w:t>
                      </w:r>
                    </w:p>
                    <w:p w14:paraId="063B07DD" w14:textId="77777777" w:rsidR="003B4B12" w:rsidRDefault="00CA4ED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1A94A7B" w14:textId="600D8BBA" w:rsidR="003B4B12" w:rsidRDefault="00CA4ED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93F5E">
                        <w:rPr>
                          <w:sz w:val="16"/>
                        </w:rPr>
                        <w:t>2024</w:t>
                      </w:r>
                      <w:r>
                        <w:rPr>
                          <w:sz w:val="16"/>
                        </w:rPr>
                        <w:fldChar w:fldCharType="end"/>
                      </w:r>
                      <w:r>
                        <w:rPr>
                          <w:sz w:val="16"/>
                        </w:rPr>
                        <w:t>.</w:t>
                      </w:r>
                    </w:p>
                    <w:p w14:paraId="769B1610" w14:textId="77777777" w:rsidR="003B4B12" w:rsidRDefault="00CA4ED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44"/>
      <w:headerReference w:type="default" r:id="rId45"/>
      <w:pgSz w:w="11907" w:h="16840" w:code="9"/>
      <w:pgMar w:top="2381" w:right="2409" w:bottom="3543" w:left="2409" w:header="720" w:footer="354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xlix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00-j0-00</w:t>
    </w:r>
    <w:r>
      <w:rPr>
        <w:sz w:val="16"/>
      </w:rPr>
      <w:fldChar w:fldCharType="end"/>
    </w:r>
    <w:r>
      <w:rPr>
        <w:sz w:val="16"/>
      </w:rPr>
      <w:t>]</w:t>
    </w: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97"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466"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r>
      <w:trPr>
        <w:jc w:val="center"/>
      </w:trP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80" w:name="Schedule"/>
    <w:bookmarkEnd w:id="28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vMerge w:val="restart"/>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vMerge/>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rPr>
        <w:jc w:val="center"/>
      </w:trP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 about National Gas Access (WA) Act 2009</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112" w:name="Compilation"/>
    <w:bookmarkEnd w:id="2112"/>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B4D5A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C62F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2A66D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044C7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9033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0049"/>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829145857"/>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 w:name="WAFER_20171221105347" w:val="RemoveTocBookmarks,RemoveUnusedBookmarks,RemoveLanguageTags,UsedStyles,ResetPageSize"/>
    <w:docVar w:name="WAFER_20171221105347_GUID" w:val="74fe6d1c-7191-495e-b343-e0d61d64094b"/>
    <w:docVar w:name="WAFER_20201007090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
    <w:docVar w:name="WAFER_20201007090330_GUID" w:val="9174df57-1353-4aaa-b7cc-e86e9d856633"/>
    <w:docVar w:name="WAFER_20240119152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0119152808_GUID" w:val="4838426c-4c4e-486e-8dde-dba2238db899"/>
    <w:docVar w:name="WAFER_202401191529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0119152941_GUID" w:val="f58dca37-fe26-4a93-ac9f-24e86443d046"/>
    <w:docVar w:name="WAFER_20240122110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2110631_GUID" w:val="dc7dc17e-8bfe-445e-82ef-1549706ac327"/>
    <w:docVar w:name="WAFER_202401221138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122113847_GUID" w:val="359736f4-5609-4226-9930-b4864b81d05b"/>
    <w:docVar w:name="WAFER_202401221226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122122625_GUID" w:val="97d2749f-8a4d-47ca-9396-49df5e02ed70"/>
    <w:docVar w:name="WAFER_20240829145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9145857_GUID" w:val="6dfbf2e7-7301-400a-8d96-874beed858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15:docId w15:val="{FEEBE0EC-AEEE-49F6-8DEA-6FB29FF5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9932">
      <w:bodyDiv w:val="1"/>
      <w:marLeft w:val="0"/>
      <w:marRight w:val="0"/>
      <w:marTop w:val="0"/>
      <w:marBottom w:val="0"/>
      <w:divBdr>
        <w:top w:val="none" w:sz="0" w:space="0" w:color="auto"/>
        <w:left w:val="none" w:sz="0" w:space="0" w:color="auto"/>
        <w:bottom w:val="none" w:sz="0" w:space="0" w:color="auto"/>
        <w:right w:val="none" w:sz="0" w:space="0" w:color="auto"/>
      </w:divBdr>
    </w:div>
    <w:div w:id="74059347">
      <w:bodyDiv w:val="1"/>
      <w:marLeft w:val="0"/>
      <w:marRight w:val="0"/>
      <w:marTop w:val="0"/>
      <w:marBottom w:val="0"/>
      <w:divBdr>
        <w:top w:val="none" w:sz="0" w:space="0" w:color="auto"/>
        <w:left w:val="none" w:sz="0" w:space="0" w:color="auto"/>
        <w:bottom w:val="none" w:sz="0" w:space="0" w:color="auto"/>
        <w:right w:val="none" w:sz="0" w:space="0" w:color="auto"/>
      </w:divBdr>
    </w:div>
    <w:div w:id="358355938">
      <w:bodyDiv w:val="1"/>
      <w:marLeft w:val="0"/>
      <w:marRight w:val="0"/>
      <w:marTop w:val="0"/>
      <w:marBottom w:val="0"/>
      <w:divBdr>
        <w:top w:val="none" w:sz="0" w:space="0" w:color="auto"/>
        <w:left w:val="none" w:sz="0" w:space="0" w:color="auto"/>
        <w:bottom w:val="none" w:sz="0" w:space="0" w:color="auto"/>
        <w:right w:val="none" w:sz="0" w:space="0" w:color="auto"/>
      </w:divBdr>
    </w:div>
    <w:div w:id="171928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yperlink" Target="http://www.legislation.sa.gov.au/index.aspx?action=legref&amp;type=act&amp;legtitle=National%20Gas%20(South%20Australia)%20Act%202008" TargetMode="Externa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4" Type="http://schemas.openxmlformats.org/officeDocument/2006/relationships/header" Target="header2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jpeg"/><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yperlink" Target="http://www.legislation.sa.gov.au/index.aspx?action=legref&amp;type=act&amp;legtitle=National%20Gas%20(South%20Australia)%20Act%202008" TargetMode="External"/><Relationship Id="rId38" Type="http://schemas.openxmlformats.org/officeDocument/2006/relationships/header" Target="header21.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744BF2-5B87-48B1-8B13-8313CE4D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111134</Words>
  <Characters>550118</Characters>
  <Application>Microsoft Office Word</Application>
  <DocSecurity>0</DocSecurity>
  <Lines>16179</Lines>
  <Paragraphs>8477</Paragraphs>
  <ScaleCrop>false</ScaleCrop>
  <HeadingPairs>
    <vt:vector size="2" baseType="variant">
      <vt:variant>
        <vt:lpstr>Title</vt:lpstr>
      </vt:variant>
      <vt:variant>
        <vt:i4>1</vt:i4>
      </vt:variant>
    </vt:vector>
  </HeadingPairs>
  <TitlesOfParts>
    <vt:vector size="1" baseType="lpstr">
      <vt:lpstr>National Gas Access (WA) Act 2009 - 00-g0-02</vt:lpstr>
    </vt:vector>
  </TitlesOfParts>
  <Manager/>
  <Company/>
  <LinksUpToDate>false</LinksUpToDate>
  <CharactersWithSpaces>652775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2009 - 00-j0-00</dc:title>
  <dc:subject/>
  <dc:creator/>
  <cp:keywords/>
  <dc:description/>
  <cp:lastModifiedBy>Master Repository Process</cp:lastModifiedBy>
  <cp:revision>4</cp:revision>
  <cp:lastPrinted>2020-10-07T02:44:00Z</cp:lastPrinted>
  <dcterms:created xsi:type="dcterms:W3CDTF">2025-05-30T04:22:00Z</dcterms:created>
  <dcterms:modified xsi:type="dcterms:W3CDTF">2025-05-30T04:27:00Z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OwlsUID">
    <vt:i4>146714</vt:i4>
  </property>
  <property fmtid="{D5CDD505-2E9C-101B-9397-08002B2CF9AE}" pid="4" name="DocumentType">
    <vt:lpwstr>Act</vt:lpwstr>
  </property>
  <property fmtid="{D5CDD505-2E9C-101B-9397-08002B2CF9AE}" pid="5" name="AsAtDate">
    <vt:lpwstr>05 Sep 2024</vt:lpwstr>
  </property>
  <property fmtid="{D5CDD505-2E9C-101B-9397-08002B2CF9AE}" pid="6" name="Suffix">
    <vt:lpwstr>00-j0-00</vt:lpwstr>
  </property>
  <property fmtid="{D5CDD505-2E9C-101B-9397-08002B2CF9AE}" pid="7" name="Official">
    <vt:lpwstr/>
  </property>
  <property fmtid="{D5CDD505-2E9C-101B-9397-08002B2CF9AE}" pid="8" name="CommencementDate">
    <vt:lpwstr>20240905</vt:lpwstr>
  </property>
  <property fmtid="{D5CDD505-2E9C-101B-9397-08002B2CF9AE}" pid="9" name="CommencementAsAt">
    <vt:filetime>2024-09-04T16:00:00Z</vt:filetime>
  </property>
  <property fmtid="{D5CDD505-2E9C-101B-9397-08002B2CF9AE}" pid="10" name="CommencementYear">
    <vt:lpwstr>2024</vt:lpwstr>
  </property>
</Properties>
</file>