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_Toc177041644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_Toc177041645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_Toc177041646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_Toc177041647 \h </w:instrText>
      </w:r>
      <w:r>
        <w:fldChar w:fldCharType="separate"/>
      </w:r>
      <w:r>
        <w:t>3</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_Toc177041648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_Toc177041649 \h </w:instrText>
      </w:r>
      <w:r>
        <w:fldChar w:fldCharType="separate"/>
      </w:r>
      <w:r>
        <w:t>4</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_Toc177041650 \h </w:instrText>
      </w:r>
      <w:r>
        <w:fldChar w:fldCharType="separate"/>
      </w:r>
      <w:r>
        <w:t>6</w:t>
      </w:r>
      <w:r>
        <w:fldChar w:fldCharType="end"/>
      </w:r>
    </w:p>
    <w:p>
      <w:pPr>
        <w:pStyle w:val="TOC8"/>
        <w:rPr>
          <w:rFonts w:asciiTheme="minorHAnsi" w:eastAsiaTheme="minorEastAsia" w:hAnsiTheme="minorHAnsi" w:cstheme="minorBidi"/>
          <w:szCs w:val="22"/>
        </w:rPr>
      </w:pPr>
      <w:r>
        <w:t>7A.</w:t>
      </w:r>
      <w:r>
        <w:tab/>
        <w:t>Information prescribed for register</w:t>
      </w:r>
      <w:r>
        <w:tab/>
      </w:r>
      <w:r>
        <w:fldChar w:fldCharType="begin"/>
      </w:r>
      <w:r>
        <w:instrText xml:space="preserve"> PAGEREF _Toc177041651 \h </w:instrText>
      </w:r>
      <w:r>
        <w:fldChar w:fldCharType="separate"/>
      </w:r>
      <w:r>
        <w:t>6</w:t>
      </w:r>
      <w:r>
        <w:fldChar w:fldCharType="end"/>
      </w:r>
    </w:p>
    <w:p>
      <w:pPr>
        <w:pStyle w:val="TOC8"/>
        <w:rPr>
          <w:rFonts w:asciiTheme="minorHAnsi" w:eastAsiaTheme="minorEastAsia" w:hAnsiTheme="minorHAnsi" w:cstheme="minorBidi"/>
          <w:szCs w:val="22"/>
        </w:rPr>
      </w:pPr>
      <w:r>
        <w:t>7B.</w:t>
      </w:r>
      <w:r>
        <w:tab/>
        <w:t>Removing information from register</w:t>
      </w:r>
      <w:r>
        <w:tab/>
      </w:r>
      <w:r>
        <w:fldChar w:fldCharType="begin"/>
      </w:r>
      <w:r>
        <w:instrText xml:space="preserve"> PAGEREF _Toc177041652 \h </w:instrText>
      </w:r>
      <w:r>
        <w:fldChar w:fldCharType="separate"/>
      </w:r>
      <w:r>
        <w:t>8</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_Toc177041653 \h </w:instrText>
      </w:r>
      <w:r>
        <w:fldChar w:fldCharType="separate"/>
      </w:r>
      <w:r>
        <w:t>9</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_Toc177041654 \h </w:instrText>
      </w:r>
      <w:r>
        <w:fldChar w:fldCharType="separate"/>
      </w:r>
      <w:r>
        <w:t>11</w:t>
      </w:r>
      <w:r>
        <w:fldChar w:fldCharType="end"/>
      </w:r>
    </w:p>
    <w:p>
      <w:pPr>
        <w:pStyle w:val="TOC8"/>
        <w:rPr>
          <w:rFonts w:asciiTheme="minorHAnsi" w:eastAsiaTheme="minorEastAsia" w:hAnsiTheme="minorHAnsi" w:cstheme="minorBidi"/>
          <w:szCs w:val="22"/>
        </w:rPr>
      </w:pPr>
      <w:r>
        <w:t>10.</w:t>
      </w:r>
      <w:r>
        <w:tab/>
        <w:t>Refund of fees</w:t>
      </w:r>
      <w:r>
        <w:tab/>
      </w:r>
      <w:r>
        <w:fldChar w:fldCharType="begin"/>
      </w:r>
      <w:r>
        <w:instrText xml:space="preserve"> PAGEREF _Toc177041655 \h </w:instrText>
      </w:r>
      <w:r>
        <w:fldChar w:fldCharType="separate"/>
      </w:r>
      <w:r>
        <w:t>11</w:t>
      </w:r>
      <w:r>
        <w:fldChar w:fldCharType="end"/>
      </w:r>
    </w:p>
    <w:p>
      <w:pPr>
        <w:pStyle w:val="TOC8"/>
        <w:rPr>
          <w:rFonts w:asciiTheme="minorHAnsi" w:eastAsiaTheme="minorEastAsia" w:hAnsiTheme="minorHAnsi" w:cstheme="minorBidi"/>
          <w:szCs w:val="22"/>
        </w:rPr>
      </w:pPr>
      <w:r>
        <w:t>10A.</w:t>
      </w:r>
      <w:r>
        <w:tab/>
        <w:t>Notification of new director of building service contractor: prescribed information</w:t>
      </w:r>
      <w:r>
        <w:tab/>
      </w:r>
      <w:r>
        <w:fldChar w:fldCharType="begin"/>
      </w:r>
      <w:r>
        <w:instrText xml:space="preserve"> PAGEREF _Toc177041656 \h </w:instrText>
      </w:r>
      <w:r>
        <w:fldChar w:fldCharType="separate"/>
      </w:r>
      <w:r>
        <w:t>11</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_Toc177041657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_Toc177041660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_Toc177041662 \h </w:instrText>
      </w:r>
      <w:r>
        <w:fldChar w:fldCharType="separate"/>
      </w:r>
      <w:r>
        <w:t>14</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_Toc177041663 \h </w:instrText>
      </w:r>
      <w:r>
        <w:fldChar w:fldCharType="separate"/>
      </w:r>
      <w:r>
        <w:t>16</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_Toc177041664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16.</w:t>
      </w:r>
      <w:r>
        <w:tab/>
        <w:t>Qualifications and experience: building practitioners</w:t>
      </w:r>
      <w:r>
        <w:tab/>
      </w:r>
      <w:r>
        <w:fldChar w:fldCharType="begin"/>
      </w:r>
      <w:r>
        <w:instrText xml:space="preserve"> PAGEREF _Toc177041665 \h </w:instrText>
      </w:r>
      <w:r>
        <w:fldChar w:fldCharType="separate"/>
      </w:r>
      <w:r>
        <w:t>17</w:t>
      </w:r>
      <w:r>
        <w:fldChar w:fldCharType="end"/>
      </w:r>
    </w:p>
    <w:p>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_Toc177041666 \h </w:instrText>
      </w:r>
      <w:r>
        <w:fldChar w:fldCharType="separate"/>
      </w:r>
      <w:r>
        <w:t>23</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_Toc177041667 \h </w:instrText>
      </w:r>
      <w:r>
        <w:fldChar w:fldCharType="separate"/>
      </w:r>
      <w:r>
        <w:t>23</w:t>
      </w:r>
      <w:r>
        <w:fldChar w:fldCharType="end"/>
      </w:r>
    </w:p>
    <w:p>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_Toc177041668 \h </w:instrText>
      </w:r>
      <w:r>
        <w:fldChar w:fldCharType="separate"/>
      </w:r>
      <w:r>
        <w:t>24</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_Toc177041669 \h </w:instrText>
      </w:r>
      <w:r>
        <w:fldChar w:fldCharType="separate"/>
      </w:r>
      <w:r>
        <w:t>24</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_Toc177041670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_Toc177041672 \h </w:instrText>
      </w:r>
      <w:r>
        <w:fldChar w:fldCharType="separate"/>
      </w:r>
      <w:r>
        <w:t>25</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_Toc177041673 \h </w:instrText>
      </w:r>
      <w:r>
        <w:fldChar w:fldCharType="separate"/>
      </w:r>
      <w:r>
        <w:t>25</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_Toc177041674 \h </w:instrText>
      </w:r>
      <w:r>
        <w:fldChar w:fldCharType="separate"/>
      </w:r>
      <w:r>
        <w:t>26</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_Toc177041675 \h </w:instrText>
      </w:r>
      <w:r>
        <w:fldChar w:fldCharType="separate"/>
      </w:r>
      <w:r>
        <w:t>26</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_Toc177041676 \h </w:instrText>
      </w:r>
      <w:r>
        <w:fldChar w:fldCharType="separate"/>
      </w:r>
      <w:r>
        <w:t>26</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_Toc177041677 \h </w:instrText>
      </w:r>
      <w:r>
        <w:fldChar w:fldCharType="separate"/>
      </w:r>
      <w:r>
        <w:t>26</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_Toc177041678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2A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_Toc177041680 \h </w:instrText>
      </w:r>
      <w:r>
        <w:fldChar w:fldCharType="separate"/>
      </w:r>
      <w:r>
        <w:t>28</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_Toc177041681 \h </w:instrText>
      </w:r>
      <w:r>
        <w:fldChar w:fldCharType="separate"/>
      </w:r>
      <w:r>
        <w:t>28</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_Toc177041682 \h </w:instrText>
      </w:r>
      <w:r>
        <w:fldChar w:fldCharType="separate"/>
      </w:r>
      <w:r>
        <w:t>30</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_Toc177041683 \h </w:instrText>
      </w:r>
      <w:r>
        <w:fldChar w:fldCharType="separate"/>
      </w:r>
      <w:r>
        <w:t>31</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_Toc177041684 \h </w:instrText>
      </w:r>
      <w:r>
        <w:fldChar w:fldCharType="separate"/>
      </w:r>
      <w:r>
        <w:t>37</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_Toc177041685 \h </w:instrText>
      </w:r>
      <w:r>
        <w:fldChar w:fldCharType="separate"/>
      </w:r>
      <w:r>
        <w:t>38</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_Toc177041686 \h </w:instrText>
      </w:r>
      <w:r>
        <w:fldChar w:fldCharType="separate"/>
      </w:r>
      <w:r>
        <w:t>39</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_Toc177041687 \h </w:instrText>
      </w:r>
      <w:r>
        <w:fldChar w:fldCharType="separate"/>
      </w:r>
      <w:r>
        <w:t>40</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_Toc177041688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2B — Building engineers</w:t>
      </w:r>
    </w:p>
    <w:p>
      <w:pPr>
        <w:pStyle w:val="TOC8"/>
        <w:rPr>
          <w:rFonts w:asciiTheme="minorHAnsi" w:eastAsiaTheme="minorEastAsia" w:hAnsiTheme="minorHAnsi" w:cstheme="minorBidi"/>
          <w:szCs w:val="22"/>
        </w:rPr>
      </w:pPr>
      <w:r>
        <w:t>28J.</w:t>
      </w:r>
      <w:r>
        <w:tab/>
        <w:t>Terms used</w:t>
      </w:r>
      <w:r>
        <w:tab/>
      </w:r>
      <w:r>
        <w:fldChar w:fldCharType="begin"/>
      </w:r>
      <w:r>
        <w:instrText xml:space="preserve"> PAGEREF _Toc177041690 \h </w:instrText>
      </w:r>
      <w:r>
        <w:fldChar w:fldCharType="separate"/>
      </w:r>
      <w:r>
        <w:t>41</w:t>
      </w:r>
      <w:r>
        <w:fldChar w:fldCharType="end"/>
      </w:r>
    </w:p>
    <w:p>
      <w:pPr>
        <w:pStyle w:val="TOC8"/>
        <w:rPr>
          <w:rFonts w:asciiTheme="minorHAnsi" w:eastAsiaTheme="minorEastAsia" w:hAnsiTheme="minorHAnsi" w:cstheme="minorBidi"/>
          <w:szCs w:val="22"/>
        </w:rPr>
      </w:pPr>
      <w:r>
        <w:t>28K.</w:t>
      </w:r>
      <w:r>
        <w:tab/>
        <w:t>Prescribed titles: building engineering practitioners and building engineering contractors</w:t>
      </w:r>
      <w:r>
        <w:tab/>
      </w:r>
      <w:r>
        <w:fldChar w:fldCharType="begin"/>
      </w:r>
      <w:r>
        <w:instrText xml:space="preserve"> PAGEREF _Toc177041691 \h </w:instrText>
      </w:r>
      <w:r>
        <w:fldChar w:fldCharType="separate"/>
      </w:r>
      <w:r>
        <w:t>42</w:t>
      </w:r>
      <w:r>
        <w:fldChar w:fldCharType="end"/>
      </w:r>
    </w:p>
    <w:p>
      <w:pPr>
        <w:pStyle w:val="TOC8"/>
        <w:rPr>
          <w:rFonts w:asciiTheme="minorHAnsi" w:eastAsiaTheme="minorEastAsia" w:hAnsiTheme="minorHAnsi" w:cstheme="minorBidi"/>
          <w:szCs w:val="22"/>
        </w:rPr>
      </w:pPr>
      <w:r>
        <w:lastRenderedPageBreak/>
        <w:t>28L.</w:t>
      </w:r>
      <w:r>
        <w:tab/>
        <w:t>Building engineering contractors: building services prescribed</w:t>
      </w:r>
      <w:r>
        <w:tab/>
      </w:r>
      <w:r>
        <w:fldChar w:fldCharType="begin"/>
      </w:r>
      <w:r>
        <w:instrText xml:space="preserve"> PAGEREF _Toc177041692 \h </w:instrText>
      </w:r>
      <w:r>
        <w:fldChar w:fldCharType="separate"/>
      </w:r>
      <w:r>
        <w:t>44</w:t>
      </w:r>
      <w:r>
        <w:fldChar w:fldCharType="end"/>
      </w:r>
    </w:p>
    <w:p>
      <w:pPr>
        <w:pStyle w:val="TOC8"/>
        <w:rPr>
          <w:rFonts w:asciiTheme="minorHAnsi" w:eastAsiaTheme="minorEastAsia" w:hAnsiTheme="minorHAnsi" w:cstheme="minorBidi"/>
          <w:szCs w:val="22"/>
        </w:rPr>
      </w:pPr>
      <w:r>
        <w:t>28M.</w:t>
      </w:r>
      <w:r>
        <w:tab/>
        <w:t>Qualifications and experience: building engineering practitioners</w:t>
      </w:r>
      <w:r>
        <w:tab/>
      </w:r>
      <w:r>
        <w:fldChar w:fldCharType="begin"/>
      </w:r>
      <w:r>
        <w:instrText xml:space="preserve"> PAGEREF _Toc177041693 \h </w:instrText>
      </w:r>
      <w:r>
        <w:fldChar w:fldCharType="separate"/>
      </w:r>
      <w:r>
        <w:t>47</w:t>
      </w:r>
      <w:r>
        <w:fldChar w:fldCharType="end"/>
      </w:r>
    </w:p>
    <w:p>
      <w:pPr>
        <w:pStyle w:val="TOC8"/>
        <w:rPr>
          <w:rFonts w:asciiTheme="minorHAnsi" w:eastAsiaTheme="minorEastAsia" w:hAnsiTheme="minorHAnsi" w:cstheme="minorBidi"/>
          <w:szCs w:val="22"/>
        </w:rPr>
      </w:pPr>
      <w:r>
        <w:t>28N.</w:t>
      </w:r>
      <w:r>
        <w:tab/>
        <w:t>Financial requirements: building engineering contractors</w:t>
      </w:r>
      <w:r>
        <w:tab/>
      </w:r>
      <w:r>
        <w:fldChar w:fldCharType="begin"/>
      </w:r>
      <w:r>
        <w:instrText xml:space="preserve"> PAGEREF _Toc177041694 \h </w:instrText>
      </w:r>
      <w:r>
        <w:fldChar w:fldCharType="separate"/>
      </w:r>
      <w:r>
        <w:t>51</w:t>
      </w:r>
      <w:r>
        <w:fldChar w:fldCharType="end"/>
      </w:r>
    </w:p>
    <w:p>
      <w:pPr>
        <w:pStyle w:val="TOC8"/>
        <w:rPr>
          <w:rFonts w:asciiTheme="minorHAnsi" w:eastAsiaTheme="minorEastAsia" w:hAnsiTheme="minorHAnsi" w:cstheme="minorBidi"/>
          <w:szCs w:val="22"/>
        </w:rPr>
      </w:pPr>
      <w:r>
        <w:t>28O.</w:t>
      </w:r>
      <w:r>
        <w:tab/>
        <w:t>Insurance requirements: building engineering contractors</w:t>
      </w:r>
      <w:r>
        <w:tab/>
      </w:r>
      <w:r>
        <w:fldChar w:fldCharType="begin"/>
      </w:r>
      <w:r>
        <w:instrText xml:space="preserve"> PAGEREF _Toc177041695 \h </w:instrText>
      </w:r>
      <w:r>
        <w:fldChar w:fldCharType="separate"/>
      </w:r>
      <w:r>
        <w:t>53</w:t>
      </w:r>
      <w:r>
        <w:fldChar w:fldCharType="end"/>
      </w:r>
    </w:p>
    <w:p>
      <w:pPr>
        <w:pStyle w:val="TOC8"/>
        <w:rPr>
          <w:rFonts w:asciiTheme="minorHAnsi" w:eastAsiaTheme="minorEastAsia" w:hAnsiTheme="minorHAnsi" w:cstheme="minorBidi"/>
          <w:szCs w:val="22"/>
        </w:rPr>
      </w:pPr>
      <w:r>
        <w:t>28P.</w:t>
      </w:r>
      <w:r>
        <w:tab/>
        <w:t>Prescribed requirements: building engineering practitioner</w:t>
      </w:r>
      <w:r>
        <w:tab/>
      </w:r>
      <w:r>
        <w:fldChar w:fldCharType="begin"/>
      </w:r>
      <w:r>
        <w:instrText xml:space="preserve"> PAGEREF _Toc177041696 \h </w:instrText>
      </w:r>
      <w:r>
        <w:fldChar w:fldCharType="separate"/>
      </w:r>
      <w:r>
        <w:t>54</w:t>
      </w:r>
      <w:r>
        <w:fldChar w:fldCharType="end"/>
      </w:r>
    </w:p>
    <w:p>
      <w:pPr>
        <w:pStyle w:val="TOC8"/>
        <w:rPr>
          <w:rFonts w:asciiTheme="minorHAnsi" w:eastAsiaTheme="minorEastAsia" w:hAnsiTheme="minorHAnsi" w:cstheme="minorBidi"/>
          <w:szCs w:val="22"/>
        </w:rPr>
      </w:pPr>
      <w:r>
        <w:t>28Q.</w:t>
      </w:r>
      <w:r>
        <w:tab/>
        <w:t>Supervisor for building engineering contractors: eligible person</w:t>
      </w:r>
      <w:r>
        <w:tab/>
      </w:r>
      <w:r>
        <w:fldChar w:fldCharType="begin"/>
      </w:r>
      <w:r>
        <w:instrText xml:space="preserve"> PAGEREF _Toc177041697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_Toc177041699 \h </w:instrText>
      </w:r>
      <w:r>
        <w:fldChar w:fldCharType="separate"/>
      </w:r>
      <w:r>
        <w:t>58</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_Toc177041700 \h </w:instrText>
      </w:r>
      <w:r>
        <w:fldChar w:fldCharType="separate"/>
      </w:r>
      <w:r>
        <w:t>59</w:t>
      </w:r>
      <w:r>
        <w:fldChar w:fldCharType="end"/>
      </w:r>
    </w:p>
    <w:p>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_Toc177041701 \h </w:instrText>
      </w:r>
      <w:r>
        <w:fldChar w:fldCharType="separate"/>
      </w:r>
      <w:r>
        <w:t>60</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_Toc177041702 \h </w:instrText>
      </w:r>
      <w:r>
        <w:fldChar w:fldCharType="separate"/>
      </w:r>
      <w:r>
        <w:t>60</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_Toc177041703 \h </w:instrText>
      </w:r>
      <w:r>
        <w:fldChar w:fldCharType="separate"/>
      </w:r>
      <w:r>
        <w:t>63</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_Toc177041704 \h </w:instrText>
      </w:r>
      <w:r>
        <w:fldChar w:fldCharType="separate"/>
      </w:r>
      <w:r>
        <w:t>64</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_Toc177041705 \h </w:instrText>
      </w:r>
      <w:r>
        <w:fldChar w:fldCharType="separate"/>
      </w:r>
      <w:r>
        <w:t>64</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_Toc177041706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Infringement notices</w:t>
      </w:r>
    </w:p>
    <w:p>
      <w:pPr>
        <w:pStyle w:val="TOC8"/>
        <w:rPr>
          <w:rFonts w:asciiTheme="minorHAnsi" w:eastAsiaTheme="minorEastAsia" w:hAnsiTheme="minorHAnsi" w:cstheme="minorBidi"/>
          <w:szCs w:val="22"/>
        </w:rPr>
      </w:pPr>
      <w:r>
        <w:t>36A.</w:t>
      </w:r>
      <w:r>
        <w:tab/>
        <w:t>Prescribed offences and modified penalties</w:t>
      </w:r>
      <w:r>
        <w:tab/>
      </w:r>
      <w:r>
        <w:fldChar w:fldCharType="begin"/>
      </w:r>
      <w:r>
        <w:instrText xml:space="preserve"> PAGEREF _Toc177041708 \h </w:instrText>
      </w:r>
      <w:r>
        <w:fldChar w:fldCharType="separate"/>
      </w:r>
      <w:r>
        <w:t>66</w:t>
      </w:r>
      <w:r>
        <w:fldChar w:fldCharType="end"/>
      </w:r>
    </w:p>
    <w:p>
      <w:pPr>
        <w:pStyle w:val="TOC8"/>
        <w:rPr>
          <w:rFonts w:asciiTheme="minorHAnsi" w:eastAsiaTheme="minorEastAsia" w:hAnsiTheme="minorHAnsi" w:cstheme="minorBidi"/>
          <w:szCs w:val="22"/>
        </w:rPr>
      </w:pPr>
      <w:r>
        <w:t>36B.</w:t>
      </w:r>
      <w:r>
        <w:tab/>
        <w:t>Authorised officers and approved officers</w:t>
      </w:r>
      <w:r>
        <w:tab/>
      </w:r>
      <w:r>
        <w:fldChar w:fldCharType="begin"/>
      </w:r>
      <w:r>
        <w:instrText xml:space="preserve"> PAGEREF _Toc177041709 \h </w:instrText>
      </w:r>
      <w:r>
        <w:fldChar w:fldCharType="separate"/>
      </w:r>
      <w:r>
        <w:t>66</w:t>
      </w:r>
      <w:r>
        <w:fldChar w:fldCharType="end"/>
      </w:r>
    </w:p>
    <w:p>
      <w:pPr>
        <w:pStyle w:val="TOC8"/>
        <w:rPr>
          <w:rFonts w:asciiTheme="minorHAnsi" w:eastAsiaTheme="minorEastAsia" w:hAnsiTheme="minorHAnsi" w:cstheme="minorBidi"/>
          <w:szCs w:val="22"/>
        </w:rPr>
      </w:pPr>
      <w:r>
        <w:t>36C.</w:t>
      </w:r>
      <w:r>
        <w:tab/>
        <w:t>Forms</w:t>
      </w:r>
      <w:r>
        <w:tab/>
      </w:r>
      <w:r>
        <w:fldChar w:fldCharType="begin"/>
      </w:r>
      <w:r>
        <w:instrText xml:space="preserve"> PAGEREF _Toc177041710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_Toc177041713 \h </w:instrText>
      </w:r>
      <w:r>
        <w:fldChar w:fldCharType="separate"/>
      </w:r>
      <w:r>
        <w:t>67</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_Toc177041714 \h </w:instrText>
      </w:r>
      <w:r>
        <w:fldChar w:fldCharType="separate"/>
      </w:r>
      <w:r>
        <w:t>67</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_Toc177041715 \h </w:instrText>
      </w:r>
      <w:r>
        <w:fldChar w:fldCharType="separate"/>
      </w:r>
      <w:r>
        <w:t>68</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_Toc177041716 \h </w:instrText>
      </w:r>
      <w:r>
        <w:fldChar w:fldCharType="separate"/>
      </w:r>
      <w:r>
        <w:t>68</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_Toc177041717 \h </w:instrText>
      </w:r>
      <w:r>
        <w:fldChar w:fldCharType="separate"/>
      </w:r>
      <w:r>
        <w:t>68</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_Toc177041718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_Toc177041720 \h </w:instrText>
      </w:r>
      <w:r>
        <w:fldChar w:fldCharType="separate"/>
      </w:r>
      <w:r>
        <w:t>69</w:t>
      </w:r>
      <w:r>
        <w:fldChar w:fldCharType="end"/>
      </w:r>
    </w:p>
    <w:p>
      <w:pPr>
        <w:pStyle w:val="TOC8"/>
        <w:rPr>
          <w:rFonts w:asciiTheme="minorHAnsi" w:eastAsiaTheme="minorEastAsia" w:hAnsiTheme="minorHAnsi" w:cstheme="minorBidi"/>
          <w:szCs w:val="22"/>
        </w:rPr>
      </w:pPr>
      <w:r>
        <w:lastRenderedPageBreak/>
        <w:t>44.</w:t>
      </w:r>
      <w:r>
        <w:tab/>
        <w:t>Continuation of registration (Act s. 127)</w:t>
      </w:r>
      <w:r>
        <w:tab/>
      </w:r>
      <w:r>
        <w:fldChar w:fldCharType="begin"/>
      </w:r>
      <w:r>
        <w:instrText xml:space="preserve"> PAGEREF _Toc177041721 \h </w:instrText>
      </w:r>
      <w:r>
        <w:fldChar w:fldCharType="separate"/>
      </w:r>
      <w:r>
        <w:t>69</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_Toc177041722 \h </w:instrText>
      </w:r>
      <w:r>
        <w:fldChar w:fldCharType="separate"/>
      </w:r>
      <w:r>
        <w:t>69</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_Toc177041723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_Toc177041725 \h </w:instrText>
      </w:r>
      <w:r>
        <w:fldChar w:fldCharType="separate"/>
      </w:r>
      <w:r>
        <w:t>70</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_Toc177041726 \h </w:instrText>
      </w:r>
      <w:r>
        <w:fldChar w:fldCharType="separate"/>
      </w:r>
      <w:r>
        <w:t>70</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_Toc177041727 \h </w:instrText>
      </w:r>
      <w:r>
        <w:fldChar w:fldCharType="separate"/>
      </w:r>
      <w:r>
        <w:t>71</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_Toc177041728 \h </w:instrText>
      </w:r>
      <w:r>
        <w:fldChar w:fldCharType="separate"/>
      </w:r>
      <w:r>
        <w:t>72</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_Toc177041729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Building Services (Registration) Amendment Regulations (No. 2) 2017</w:t>
      </w:r>
    </w:p>
    <w:p>
      <w:pPr>
        <w:pStyle w:val="TOC8"/>
        <w:rPr>
          <w:rFonts w:asciiTheme="minorHAnsi" w:eastAsiaTheme="minorEastAsia" w:hAnsiTheme="minorHAnsi" w:cstheme="minorBidi"/>
          <w:szCs w:val="22"/>
        </w:rPr>
      </w:pPr>
      <w:r>
        <w:t>52.</w:t>
      </w:r>
      <w:r>
        <w:tab/>
        <w:t>Painting practitioners: applications for registration made before 1 September 2018</w:t>
      </w:r>
      <w:r>
        <w:tab/>
      </w:r>
      <w:r>
        <w:fldChar w:fldCharType="begin"/>
      </w:r>
      <w:r>
        <w:instrText xml:space="preserve"> PAGEREF _Toc177041731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Commerce Regulations Amendment (Building Services) Regulations 2023</w:t>
      </w:r>
    </w:p>
    <w:p>
      <w:pPr>
        <w:pStyle w:val="TOC8"/>
        <w:rPr>
          <w:rFonts w:asciiTheme="minorHAnsi" w:eastAsiaTheme="minorEastAsia" w:hAnsiTheme="minorHAnsi" w:cstheme="minorBidi"/>
          <w:szCs w:val="22"/>
        </w:rPr>
      </w:pPr>
      <w:r>
        <w:t>53.</w:t>
      </w:r>
      <w:r>
        <w:tab/>
        <w:t xml:space="preserve">Transitional provision for </w:t>
      </w:r>
      <w:r>
        <w:rPr>
          <w:i/>
        </w:rPr>
        <w:t>Commerce Regulations Amendment (Building Services) Regulations 2023</w:t>
      </w:r>
      <w:r>
        <w:t xml:space="preserve"> Part 2 Division 2</w:t>
      </w:r>
      <w:r>
        <w:tab/>
      </w:r>
      <w:r>
        <w:fldChar w:fldCharType="begin"/>
      </w:r>
      <w:r>
        <w:instrText xml:space="preserve"> PAGEREF _Toc177041733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Builders</w:t>
      </w:r>
    </w:p>
    <w:p>
      <w:pPr>
        <w:pStyle w:val="TOC4"/>
        <w:tabs>
          <w:tab w:val="right" w:leader="dot" w:pos="7077"/>
        </w:tabs>
        <w:rPr>
          <w:rFonts w:asciiTheme="minorHAnsi" w:eastAsiaTheme="minorEastAsia" w:hAnsiTheme="minorHAnsi" w:cstheme="minorBidi"/>
          <w:b w:val="0"/>
          <w:szCs w:val="22"/>
        </w:rPr>
      </w:pPr>
      <w:r>
        <w:t>Division 3 — Building surveyors</w:t>
      </w:r>
    </w:p>
    <w:p>
      <w:pPr>
        <w:pStyle w:val="TOC4"/>
        <w:tabs>
          <w:tab w:val="right" w:leader="dot" w:pos="7077"/>
        </w:tabs>
        <w:rPr>
          <w:rFonts w:asciiTheme="minorHAnsi" w:eastAsiaTheme="minorEastAsia" w:hAnsiTheme="minorHAnsi" w:cstheme="minorBidi"/>
          <w:b w:val="0"/>
          <w:szCs w:val="22"/>
        </w:rPr>
      </w:pPr>
      <w:r>
        <w:t>Division 4 — Building engineers</w:t>
      </w:r>
    </w:p>
    <w:p>
      <w:pPr>
        <w:pStyle w:val="TOC4"/>
        <w:tabs>
          <w:tab w:val="right" w:leader="dot" w:pos="7077"/>
        </w:tabs>
        <w:rPr>
          <w:rFonts w:asciiTheme="minorHAnsi" w:eastAsiaTheme="minorEastAsia" w:hAnsiTheme="minorHAnsi" w:cstheme="minorBidi"/>
          <w:b w:val="0"/>
          <w:szCs w:val="22"/>
        </w:rPr>
      </w:pPr>
      <w:r>
        <w:t>Division 5 — Painters</w:t>
      </w:r>
    </w:p>
    <w:p>
      <w:pPr>
        <w:pStyle w:val="TOC4"/>
        <w:tabs>
          <w:tab w:val="right" w:leader="dot" w:pos="7077"/>
        </w:tabs>
        <w:rPr>
          <w:rFonts w:asciiTheme="minorHAnsi" w:eastAsiaTheme="minorEastAsia" w:hAnsiTheme="minorHAnsi" w:cstheme="minorBidi"/>
          <w:b w:val="0"/>
          <w:szCs w:val="22"/>
        </w:rPr>
      </w:pPr>
      <w:r>
        <w:t>Division 6 — Owner</w:t>
      </w:r>
      <w:r>
        <w:noBreakHyphen/>
        <w:t>builders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_Toc177041742 \h </w:instrText>
      </w:r>
      <w:r>
        <w:fldChar w:fldCharType="separate"/>
      </w:r>
      <w:r>
        <w:t>85</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_Toc177041743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_Toc177041745 \h </w:instrText>
      </w:r>
      <w:r>
        <w:fldChar w:fldCharType="separate"/>
      </w:r>
      <w:r>
        <w:t>86</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_Toc177041746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_Toc177041748 \h </w:instrText>
      </w:r>
      <w:r>
        <w:fldChar w:fldCharType="separate"/>
      </w:r>
      <w:r>
        <w:t>88</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_Toc177041749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_Toc177041752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Offences under the Act</w:t>
      </w:r>
    </w:p>
    <w:p>
      <w:pPr>
        <w:pStyle w:val="TOC4"/>
        <w:tabs>
          <w:tab w:val="right" w:leader="dot" w:pos="7077"/>
        </w:tabs>
        <w:rPr>
          <w:rFonts w:asciiTheme="minorHAnsi" w:eastAsiaTheme="minorEastAsia" w:hAnsiTheme="minorHAnsi" w:cstheme="minorBidi"/>
          <w:b w:val="0"/>
          <w:szCs w:val="22"/>
        </w:rPr>
      </w:pPr>
      <w:r>
        <w:t>Division 3 — Offences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_Toc177041757 \h </w:instrText>
      </w:r>
      <w:r>
        <w:fldChar w:fldCharType="separate"/>
      </w:r>
      <w:r>
        <w:t>100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_Toc177041758 \h </w:instrText>
      </w:r>
      <w:r>
        <w:fldChar w:fldCharType="separate"/>
      </w:r>
      <w:r>
        <w:t>103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_Toc177041759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2" w:name="_Toc177039145"/>
      <w:bookmarkStart w:id="3" w:name="_Toc177039687"/>
      <w:bookmarkStart w:id="4" w:name="_Toc177041643"/>
      <w:r>
        <w:rPr>
          <w:rStyle w:val="CharPartNo"/>
        </w:rPr>
        <w:t>Part 1</w:t>
      </w:r>
      <w:r>
        <w:rPr>
          <w:rStyle w:val="CharDivNo"/>
        </w:rPr>
        <w:t> </w:t>
      </w:r>
      <w:r>
        <w:t>—</w:t>
      </w:r>
      <w:r>
        <w:rPr>
          <w:rStyle w:val="CharDivText"/>
        </w:rPr>
        <w:t> </w:t>
      </w:r>
      <w:r>
        <w:rPr>
          <w:rStyle w:val="CharPartText"/>
        </w:rPr>
        <w:t>General provisions</w:t>
      </w:r>
      <w:bookmarkEnd w:id="2"/>
      <w:bookmarkEnd w:id="3"/>
      <w:bookmarkEnd w:id="4"/>
    </w:p>
    <w:p>
      <w:pPr>
        <w:pStyle w:val="Heading5"/>
      </w:pPr>
      <w:bookmarkStart w:id="5" w:name="_Toc177041644"/>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7" w:name="_Toc177041645"/>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8" w:name="_Toc177041646"/>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Code</w:t>
      </w:r>
      <w:r>
        <w:t xml:space="preserve"> means the Building Code of Australia which is volumes 1 and 2, as amended from time to time, of the National Construction Code;</w:t>
      </w:r>
    </w:p>
    <w:p>
      <w:pPr>
        <w:pStyle w:val="Defstart"/>
      </w:pPr>
      <w:r>
        <w:tab/>
      </w:r>
      <w:r>
        <w:rPr>
          <w:rStyle w:val="CharDefText"/>
        </w:rPr>
        <w:t>building engineering work</w:t>
      </w:r>
      <w:r>
        <w:t xml:space="preserve"> has the meaning given in the </w:t>
      </w:r>
      <w:r>
        <w:rPr>
          <w:i/>
        </w:rPr>
        <w:t>Building Services (Complaint Resolution and Administration) Regulations 2011</w:t>
      </w:r>
      <w:r>
        <w:t xml:space="preserve"> regulation 4B(1);</w:t>
      </w:r>
    </w:p>
    <w:p>
      <w:pPr>
        <w:pStyle w:val="Defstart"/>
      </w:pPr>
      <w:r>
        <w:tab/>
      </w:r>
      <w:r>
        <w:rPr>
          <w:rStyle w:val="CharDefText"/>
        </w:rPr>
        <w:t>building surveying work level 1</w:t>
      </w:r>
      <w:r>
        <w:t xml:space="preserve"> has the meaning given in regulation 28A;</w:t>
      </w:r>
    </w:p>
    <w:p>
      <w:pPr>
        <w:pStyle w:val="Defstart"/>
      </w:pPr>
      <w:r>
        <w:lastRenderedPageBreak/>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National Construction Code</w:t>
      </w:r>
      <w:r>
        <w:t xml:space="preserve"> means the National Construction Code series published by, or on behalf of, the Australian Building Codes Board;</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Defstart"/>
        <w:keepNext/>
      </w:pPr>
      <w:r>
        <w:lastRenderedPageBreak/>
        <w:tab/>
      </w:r>
      <w:r>
        <w:rPr>
          <w:rStyle w:val="CharDefText"/>
        </w:rPr>
        <w:t>storey</w:t>
      </w:r>
      <w:r>
        <w:t xml:space="preserve"> has the meaning given in the Building Code Schedule 3.</w:t>
      </w:r>
    </w:p>
    <w:p>
      <w:pPr>
        <w:pStyle w:val="Footnotesection"/>
      </w:pPr>
      <w:r>
        <w:tab/>
        <w:t>[Regulation 3 amended: Gazette 12 Mar 2012 p. 990 and p. 1008; 31 Mar 2017 p. 1941-2; SL 2020/196 r. 11; SL 2021/86 r. 15; SL 2021/213 r. 4; SL 2022/101 r. 4; SL 2023/64 r. 4.]</w:t>
      </w:r>
    </w:p>
    <w:p>
      <w:pPr>
        <w:pStyle w:val="Heading5"/>
      </w:pPr>
      <w:bookmarkStart w:id="9" w:name="_Toc177041647"/>
      <w:r>
        <w:rPr>
          <w:rStyle w:val="CharSectno"/>
        </w:rPr>
        <w:t>4</w:t>
      </w:r>
      <w:r>
        <w:t>.</w:t>
      </w:r>
      <w:r>
        <w:tab/>
        <w:t>Prescribed building services</w:t>
      </w:r>
      <w:bookmarkEnd w:id="9"/>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(bc)</w:t>
      </w:r>
      <w:r>
        <w:tab/>
        <w:t>building engineering work for a class of registration;</w:t>
      </w:r>
    </w:p>
    <w:p>
      <w:pPr>
        <w:pStyle w:val="Indenta"/>
      </w:pPr>
      <w:r>
        <w:tab/>
        <w:t>(b)</w:t>
      </w:r>
      <w:r>
        <w:tab/>
        <w:t>painter work.</w:t>
      </w:r>
    </w:p>
    <w:p>
      <w:pPr>
        <w:pStyle w:val="Footnotesection"/>
      </w:pPr>
      <w:r>
        <w:tab/>
        <w:t>[Regulation 4 amended: Gazette 12 Mar 2012 p. 1008; 31 Mar 2017 p. 1942; SL 2023/64 r. 5.]</w:t>
      </w:r>
    </w:p>
    <w:p>
      <w:pPr>
        <w:pStyle w:val="Heading5"/>
      </w:pPr>
      <w:bookmarkStart w:id="10" w:name="_Toc177041648"/>
      <w:r>
        <w:rPr>
          <w:rStyle w:val="CharSectno"/>
        </w:rPr>
        <w:t>5</w:t>
      </w:r>
      <w:r>
        <w:t>.</w:t>
      </w:r>
      <w:r>
        <w:tab/>
        <w:t>Persons prescribed for purposes of s. 7</w:t>
      </w:r>
      <w:bookmarkEnd w:id="10"/>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1" w:name="_Toc177041649"/>
      <w:r>
        <w:rPr>
          <w:rStyle w:val="CharSectno"/>
        </w:rPr>
        <w:lastRenderedPageBreak/>
        <w:t>6</w:t>
      </w:r>
      <w:r>
        <w:t>.</w:t>
      </w:r>
      <w:r>
        <w:tab/>
        <w:t>Classes of building service practitioner and building service contractor</w:t>
      </w:r>
      <w:bookmarkEnd w:id="11"/>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(bd)</w:t>
      </w:r>
      <w:r>
        <w:tab/>
        <w:t>building engineering practitioner, structural — professional;</w:t>
      </w:r>
    </w:p>
    <w:p>
      <w:pPr>
        <w:pStyle w:val="Indenta"/>
      </w:pPr>
      <w:r>
        <w:tab/>
        <w:t>(be)</w:t>
      </w:r>
      <w:r>
        <w:tab/>
        <w:t>building engineering practitioner, structural — technologist;</w:t>
      </w:r>
    </w:p>
    <w:p>
      <w:pPr>
        <w:pStyle w:val="Indenta"/>
      </w:pPr>
      <w:r>
        <w:tab/>
        <w:t>(bf)</w:t>
      </w:r>
      <w:r>
        <w:tab/>
        <w:t>building engineering practitioner, structural — associate;</w:t>
      </w:r>
    </w:p>
    <w:p>
      <w:pPr>
        <w:pStyle w:val="Indenta"/>
      </w:pPr>
      <w:r>
        <w:tab/>
        <w:t>(bg)</w:t>
      </w:r>
      <w:r>
        <w:tab/>
        <w:t>building engineering practitioner, fire safety — professional;</w:t>
      </w:r>
    </w:p>
    <w:p>
      <w:pPr>
        <w:pStyle w:val="Indenta"/>
      </w:pPr>
      <w:r>
        <w:tab/>
        <w:t>(bh)</w:t>
      </w:r>
      <w:r>
        <w:tab/>
        <w:t>building engineering practitioner, fire systems — technologist;</w:t>
      </w:r>
    </w:p>
    <w:p>
      <w:pPr>
        <w:pStyle w:val="Indenta"/>
      </w:pPr>
      <w:r>
        <w:tab/>
        <w:t>(bi)</w:t>
      </w:r>
      <w:r>
        <w:tab/>
        <w:t>building engineering practitioner, fire systems — associate;</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lastRenderedPageBreak/>
        <w:tab/>
        <w:t>(de)</w:t>
      </w:r>
      <w:r>
        <w:tab/>
        <w:t>building surveying contractor level 2 (partnership);</w:t>
      </w:r>
    </w:p>
    <w:p>
      <w:pPr>
        <w:pStyle w:val="Indenta"/>
        <w:keepNext/>
      </w:pPr>
      <w:r>
        <w:tab/>
        <w:t>(df)</w:t>
      </w:r>
      <w:r>
        <w:tab/>
        <w:t>building surveying contractor level 2 (company);</w:t>
      </w:r>
    </w:p>
    <w:p>
      <w:pPr>
        <w:pStyle w:val="Indenta"/>
      </w:pPr>
      <w:r>
        <w:tab/>
        <w:t>(dg)</w:t>
      </w:r>
      <w:r>
        <w:tab/>
        <w:t>building engineering contractor — professional (individual);</w:t>
      </w:r>
    </w:p>
    <w:p>
      <w:pPr>
        <w:pStyle w:val="Indenta"/>
      </w:pPr>
      <w:r>
        <w:tab/>
        <w:t>(dh)</w:t>
      </w:r>
      <w:r>
        <w:tab/>
        <w:t>building engineering contractor — professional (partnership);</w:t>
      </w:r>
    </w:p>
    <w:p>
      <w:pPr>
        <w:pStyle w:val="Indenta"/>
      </w:pPr>
      <w:r>
        <w:tab/>
        <w:t>(di)</w:t>
      </w:r>
      <w:r>
        <w:tab/>
        <w:t>building engineering contractor — professional (company);</w:t>
      </w:r>
    </w:p>
    <w:p>
      <w:pPr>
        <w:pStyle w:val="Indenta"/>
      </w:pPr>
      <w:r>
        <w:tab/>
        <w:t>(dj)</w:t>
      </w:r>
      <w:r>
        <w:tab/>
        <w:t>building engineering contractor — technologist (individual);</w:t>
      </w:r>
    </w:p>
    <w:p>
      <w:pPr>
        <w:pStyle w:val="Indenta"/>
      </w:pPr>
      <w:r>
        <w:tab/>
        <w:t>(dk)</w:t>
      </w:r>
      <w:r>
        <w:tab/>
        <w:t>building engineering contractor — technologist (partnership);</w:t>
      </w:r>
    </w:p>
    <w:p>
      <w:pPr>
        <w:pStyle w:val="Indenta"/>
      </w:pPr>
      <w:r>
        <w:tab/>
        <w:t>(dl)</w:t>
      </w:r>
      <w:r>
        <w:tab/>
        <w:t>building engineering contractor — technologist (company);</w:t>
      </w:r>
    </w:p>
    <w:p>
      <w:pPr>
        <w:pStyle w:val="Indenta"/>
      </w:pPr>
      <w:r>
        <w:tab/>
        <w:t>(dm)</w:t>
      </w:r>
      <w:r>
        <w:tab/>
        <w:t>building engineering contractor — associate (individual);</w:t>
      </w:r>
    </w:p>
    <w:p>
      <w:pPr>
        <w:pStyle w:val="Indenta"/>
      </w:pPr>
      <w:r>
        <w:tab/>
        <w:t>(dn)</w:t>
      </w:r>
      <w:r>
        <w:tab/>
        <w:t>building engineering contractor — associate (partnership);</w:t>
      </w:r>
    </w:p>
    <w:p>
      <w:pPr>
        <w:pStyle w:val="Indenta"/>
      </w:pPr>
      <w:r>
        <w:tab/>
        <w:t>(do)</w:t>
      </w:r>
      <w:r>
        <w:tab/>
        <w:t>building engineering contractor — associate (company);</w:t>
      </w:r>
    </w:p>
    <w:p>
      <w:pPr>
        <w:pStyle w:val="Indenta"/>
      </w:pPr>
      <w:r>
        <w:tab/>
        <w:t>(dp)</w:t>
      </w:r>
      <w:r>
        <w:tab/>
        <w:t>building engineering contractor, fire systems — technologist (individual);</w:t>
      </w:r>
    </w:p>
    <w:p>
      <w:pPr>
        <w:pStyle w:val="Indenta"/>
      </w:pPr>
      <w:r>
        <w:tab/>
        <w:t>(dq)</w:t>
      </w:r>
      <w:r>
        <w:tab/>
        <w:t>building engineering contractor, fire systems — technologist (partnership);</w:t>
      </w:r>
    </w:p>
    <w:p>
      <w:pPr>
        <w:pStyle w:val="Indenta"/>
      </w:pPr>
      <w:r>
        <w:tab/>
        <w:t>(dr)</w:t>
      </w:r>
      <w:r>
        <w:tab/>
        <w:t>building engineering contractor, fire systems — technologist (company);</w:t>
      </w:r>
    </w:p>
    <w:p>
      <w:pPr>
        <w:pStyle w:val="Indenta"/>
      </w:pPr>
      <w:r>
        <w:tab/>
        <w:t>(ds)</w:t>
      </w:r>
      <w:r>
        <w:tab/>
        <w:t>building engineering contractor, fire systems — associate (individual);</w:t>
      </w:r>
    </w:p>
    <w:p>
      <w:pPr>
        <w:pStyle w:val="Indenta"/>
      </w:pPr>
      <w:r>
        <w:tab/>
        <w:t>(dt)</w:t>
      </w:r>
      <w:r>
        <w:tab/>
        <w:t>building engineering contractor, fire systems — associate (partnership);</w:t>
      </w:r>
    </w:p>
    <w:p>
      <w:pPr>
        <w:pStyle w:val="Indenta"/>
      </w:pPr>
      <w:r>
        <w:tab/>
        <w:t>(du)</w:t>
      </w:r>
      <w:r>
        <w:tab/>
        <w:t>building engineering contractor, fire systems — associate (company);</w:t>
      </w:r>
    </w:p>
    <w:p>
      <w:pPr>
        <w:pStyle w:val="Indenta"/>
      </w:pPr>
      <w:r>
        <w:tab/>
        <w:t>(d)</w:t>
      </w:r>
      <w:r>
        <w:tab/>
        <w:t>painting contractor (individual);</w:t>
      </w:r>
    </w:p>
    <w:p>
      <w:pPr>
        <w:pStyle w:val="Indenta"/>
      </w:pPr>
      <w:r>
        <w:lastRenderedPageBreak/>
        <w:tab/>
        <w:t>(e)</w:t>
      </w:r>
      <w:r>
        <w:tab/>
        <w:t>painting contractor (partnership);</w:t>
      </w:r>
    </w:p>
    <w:p>
      <w:pPr>
        <w:pStyle w:val="Indenta"/>
        <w:keepNext/>
      </w:pPr>
      <w:r>
        <w:tab/>
        <w:t>(f)</w:t>
      </w:r>
      <w:r>
        <w:tab/>
        <w:t>painting contractor (company).</w:t>
      </w:r>
    </w:p>
    <w:p>
      <w:pPr>
        <w:pStyle w:val="Footnotesection"/>
      </w:pPr>
      <w:r>
        <w:tab/>
        <w:t>[Regulation 6 amended: Gazette 12 Mar 2012 p. 990-1; SL 2023/64 r. 6.]</w:t>
      </w:r>
    </w:p>
    <w:p>
      <w:pPr>
        <w:pStyle w:val="Heading5"/>
      </w:pPr>
      <w:bookmarkStart w:id="12" w:name="_Toc177041650"/>
      <w:r>
        <w:rPr>
          <w:rStyle w:val="CharSectno"/>
        </w:rPr>
        <w:t>7</w:t>
      </w:r>
      <w:r>
        <w:t>.</w:t>
      </w:r>
      <w:r>
        <w:tab/>
        <w:t>Registration and renewal of registration</w:t>
      </w:r>
      <w:bookmarkEnd w:id="12"/>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w:t>
      </w:r>
    </w:p>
    <w:p>
      <w:pPr>
        <w:pStyle w:val="Heading5"/>
      </w:pPr>
      <w:bookmarkStart w:id="13" w:name="_Toc177041651"/>
      <w:r>
        <w:rPr>
          <w:rStyle w:val="CharSectno"/>
        </w:rPr>
        <w:t>7A</w:t>
      </w:r>
      <w:r>
        <w:t>.</w:t>
      </w:r>
      <w:r>
        <w:tab/>
        <w:t>Information prescribed for register</w:t>
      </w:r>
      <w:bookmarkEnd w:id="13"/>
    </w:p>
    <w:p>
      <w:pPr>
        <w:pStyle w:val="Subsection"/>
      </w:pPr>
      <w:r>
        <w:tab/>
        <w:t>(1)</w:t>
      </w:r>
      <w:r>
        <w:tab/>
        <w:t>For the purposes of section 29(4)(g) and (5)(h), the information is as follows —</w:t>
      </w:r>
    </w:p>
    <w:p>
      <w:pPr>
        <w:pStyle w:val="Indenta"/>
      </w:pPr>
      <w:r>
        <w:tab/>
        <w:t>(a)</w:t>
      </w:r>
      <w:r>
        <w:tab/>
        <w:t xml:space="preserve">conviction of an offence under any of the following — </w:t>
      </w:r>
    </w:p>
    <w:p>
      <w:pPr>
        <w:pStyle w:val="Indenti"/>
      </w:pPr>
      <w:r>
        <w:tab/>
        <w:t>(i)</w:t>
      </w:r>
      <w:r>
        <w:tab/>
        <w:t>the Act;</w:t>
      </w:r>
    </w:p>
    <w:p>
      <w:pPr>
        <w:pStyle w:val="Indenti"/>
      </w:pPr>
      <w:r>
        <w:tab/>
        <w:t>(ii)</w:t>
      </w:r>
      <w:r>
        <w:tab/>
        <w:t xml:space="preserve">the </w:t>
      </w:r>
      <w:r>
        <w:rPr>
          <w:i/>
        </w:rPr>
        <w:t>Building Services (Complaint Resolution and Administration) Act 2011</w:t>
      </w:r>
      <w:r>
        <w:t>;</w:t>
      </w:r>
    </w:p>
    <w:p>
      <w:pPr>
        <w:pStyle w:val="Indenti"/>
      </w:pPr>
      <w:r>
        <w:tab/>
        <w:t>(iii)</w:t>
      </w:r>
      <w:r>
        <w:tab/>
        <w:t xml:space="preserve">the </w:t>
      </w:r>
      <w:r>
        <w:rPr>
          <w:i/>
        </w:rPr>
        <w:t>Home Building Contracts Act 1991</w:t>
      </w:r>
      <w:r>
        <w:t>;</w:t>
      </w:r>
    </w:p>
    <w:p>
      <w:pPr>
        <w:pStyle w:val="Indenta"/>
      </w:pPr>
      <w:r>
        <w:tab/>
        <w:t>(b)</w:t>
      </w:r>
      <w:r>
        <w:tab/>
        <w:t xml:space="preserve">if the registered building service provider is a building service contractor, details of a fine imposed by the State Administrative Tribunal under section 59(3) on a person who is — </w:t>
      </w:r>
    </w:p>
    <w:p>
      <w:pPr>
        <w:pStyle w:val="Indenti"/>
      </w:pPr>
      <w:r>
        <w:tab/>
        <w:t>(i)</w:t>
      </w:r>
      <w:r>
        <w:tab/>
        <w:t>a nominated supervisor of the contractor; or</w:t>
      </w:r>
    </w:p>
    <w:p>
      <w:pPr>
        <w:pStyle w:val="Indenti"/>
      </w:pPr>
      <w:r>
        <w:tab/>
        <w:t>(ii)</w:t>
      </w:r>
      <w:r>
        <w:tab/>
        <w:t>if the contractor is a partnership — a partner; or</w:t>
      </w:r>
    </w:p>
    <w:p>
      <w:pPr>
        <w:pStyle w:val="Indenti"/>
      </w:pPr>
      <w:r>
        <w:tab/>
        <w:t>(iii)</w:t>
      </w:r>
      <w:r>
        <w:tab/>
        <w:t xml:space="preserve">if the contractor is a body corporate — a director of the body corporate or a person who is </w:t>
      </w:r>
      <w:r>
        <w:lastRenderedPageBreak/>
        <w:t>concerned in the management of the body corporate; or</w:t>
      </w:r>
    </w:p>
    <w:p>
      <w:pPr>
        <w:pStyle w:val="Indenti"/>
      </w:pPr>
      <w:r>
        <w:tab/>
        <w:t>(iv)</w:t>
      </w:r>
      <w:r>
        <w:tab/>
        <w:t>if the contractor is an unincorporated body — a person who is concerned in the management of the body;</w:t>
      </w:r>
    </w:p>
    <w:p>
      <w:pPr>
        <w:pStyle w:val="Indenta"/>
      </w:pPr>
      <w:r>
        <w:tab/>
        <w:t>(c)</w:t>
      </w:r>
      <w:r>
        <w:tab/>
        <w:t xml:space="preserve">if the registered building service provider is a building service practitioner, details of a fine imposed by the State Administrative Tribunal under section 59(3) on that person in the person’s capacity as — </w:t>
      </w:r>
    </w:p>
    <w:p>
      <w:pPr>
        <w:pStyle w:val="Indenti"/>
      </w:pPr>
      <w:r>
        <w:tab/>
        <w:t>(i)</w:t>
      </w:r>
      <w:r>
        <w:tab/>
        <w:t>a nominated supervisor of a building service contractor; or</w:t>
      </w:r>
    </w:p>
    <w:p>
      <w:pPr>
        <w:pStyle w:val="Indenti"/>
      </w:pPr>
      <w:r>
        <w:tab/>
        <w:t>(ii)</w:t>
      </w:r>
      <w:r>
        <w:tab/>
        <w:t>a partner of a building service contractor that is a partnership; or</w:t>
      </w:r>
    </w:p>
    <w:p>
      <w:pPr>
        <w:pStyle w:val="Indenti"/>
      </w:pPr>
      <w:r>
        <w:tab/>
        <w:t>(iii)</w:t>
      </w:r>
      <w:r>
        <w:tab/>
        <w:t>a director of, or person concerned in the management of, a building service contractor that is a body corporate; or</w:t>
      </w:r>
    </w:p>
    <w:p>
      <w:pPr>
        <w:pStyle w:val="Indenti"/>
      </w:pPr>
      <w:r>
        <w:tab/>
        <w:t>(iv)</w:t>
      </w:r>
      <w:r>
        <w:tab/>
        <w:t>a person concerned in the management of a building service contractor that is an unincorporated body;</w:t>
      </w:r>
    </w:p>
    <w:p>
      <w:pPr>
        <w:pStyle w:val="Indenta"/>
      </w:pPr>
      <w:r>
        <w:tab/>
        <w:t>(d)</w:t>
      </w:r>
      <w:r>
        <w:tab/>
        <w:t>details of an order made by the Board under section 57(2)(a);</w:t>
      </w:r>
    </w:p>
    <w:p>
      <w:pPr>
        <w:pStyle w:val="Indenta"/>
      </w:pPr>
      <w:r>
        <w:tab/>
        <w:t>(e)</w:t>
      </w:r>
      <w:r>
        <w:tab/>
        <w:t>details of a caution or reprimand issued by the Board under section 57(2)(b);</w:t>
      </w:r>
    </w:p>
    <w:p>
      <w:pPr>
        <w:pStyle w:val="Indenta"/>
        <w:keepNext/>
      </w:pPr>
      <w:r>
        <w:tab/>
        <w:t>(f)</w:t>
      </w:r>
      <w:r>
        <w:tab/>
        <w:t>details of a requirement of the Board for an undertaking under section 57(2)(c);</w:t>
      </w:r>
    </w:p>
    <w:p>
      <w:pPr>
        <w:pStyle w:val="Indenta"/>
      </w:pPr>
      <w:r>
        <w:tab/>
        <w:t>(g)</w:t>
      </w:r>
      <w:r>
        <w:tab/>
        <w:t>details of an order made by the Board under section 57(2)(d) or 57(3);</w:t>
      </w:r>
    </w:p>
    <w:p>
      <w:pPr>
        <w:pStyle w:val="Indenta"/>
      </w:pPr>
      <w:r>
        <w:tab/>
        <w:t>(h)</w:t>
      </w:r>
      <w:r>
        <w:tab/>
        <w:t>details of a caution or reprimand issued by the State Administrative Tribunal under section 58(1)(c).</w:t>
      </w:r>
    </w:p>
    <w:p>
      <w:pPr>
        <w:pStyle w:val="Subsection"/>
      </w:pPr>
      <w:r>
        <w:tab/>
        <w:t>(2)</w:t>
      </w:r>
      <w:r>
        <w:tab/>
        <w:t>A reference in subregulation (1)(a) to a conviction includes a finding of guilt, or the acceptance of a guilty plea, whether or not a conviction is recorded.</w:t>
      </w:r>
    </w:p>
    <w:p>
      <w:pPr>
        <w:pStyle w:val="Subsection"/>
      </w:pPr>
      <w:r>
        <w:lastRenderedPageBreak/>
        <w:tab/>
        <w:t>(3)</w:t>
      </w:r>
      <w:r>
        <w:tab/>
        <w:t>In the case of a building service contractor that is a partnership, subregulation (1)(a) applies in relation to the conviction of a partner.</w:t>
      </w:r>
    </w:p>
    <w:p>
      <w:pPr>
        <w:pStyle w:val="Subsection"/>
      </w:pPr>
      <w:r>
        <w:tab/>
        <w:t>(4)</w:t>
      </w:r>
      <w:r>
        <w:tab/>
        <w:t xml:space="preserve">This regulation does not apply in relation to conduct by a registered building service provider that occurred before the commencement of the </w:t>
      </w:r>
      <w:r>
        <w:rPr>
          <w:i/>
          <w:noProof/>
        </w:rPr>
        <w:t>Building Services (Registration) Amendment Regulations 2023</w:t>
      </w:r>
      <w:r>
        <w:t xml:space="preserve"> regulation 4.</w:t>
      </w:r>
    </w:p>
    <w:p>
      <w:pPr>
        <w:pStyle w:val="Footnotesection"/>
      </w:pPr>
      <w:r>
        <w:tab/>
        <w:t>[Regulation 7A inserted: SL 2023/76 r. 4.]</w:t>
      </w:r>
    </w:p>
    <w:p>
      <w:pPr>
        <w:pStyle w:val="Heading5"/>
      </w:pPr>
      <w:bookmarkStart w:id="14" w:name="_Toc177041652"/>
      <w:r>
        <w:rPr>
          <w:rStyle w:val="CharSectno"/>
        </w:rPr>
        <w:t>7B</w:t>
      </w:r>
      <w:r>
        <w:t>.</w:t>
      </w:r>
      <w:r>
        <w:tab/>
        <w:t>Removing information from register</w:t>
      </w:r>
      <w:bookmarkEnd w:id="14"/>
    </w:p>
    <w:p>
      <w:pPr>
        <w:pStyle w:val="Subsection"/>
      </w:pPr>
      <w:r>
        <w:tab/>
        <w:t>(1)</w:t>
      </w:r>
      <w:r>
        <w:tab/>
        <w:t xml:space="preserve">The Building Commissioner must remove the information referred to in regulation 7A(1)(a), (b) or (c) as soon as practicable after, and in any event not later than 28 days after, the earlier of the following — </w:t>
      </w:r>
    </w:p>
    <w:p>
      <w:pPr>
        <w:pStyle w:val="Indenta"/>
      </w:pPr>
      <w:r>
        <w:tab/>
        <w:t>(a)</w:t>
      </w:r>
      <w:r>
        <w:tab/>
        <w:t>the expiry of the period of 3 years beginning on the day of conviction or the day on which the fine is imposed (whichever is relevant);</w:t>
      </w:r>
    </w:p>
    <w:p>
      <w:pPr>
        <w:pStyle w:val="Indenta"/>
      </w:pPr>
      <w:r>
        <w:tab/>
        <w:t>(b)</w:t>
      </w:r>
      <w:r>
        <w:tab/>
        <w:t xml:space="preserve">the conviction or the decision to impose a fine (whichever is relevant) is set aside on appeal. </w:t>
      </w:r>
    </w:p>
    <w:p>
      <w:pPr>
        <w:pStyle w:val="Subsection"/>
        <w:keepNext/>
      </w:pPr>
      <w:r>
        <w:tab/>
        <w:t>(2)</w:t>
      </w:r>
      <w:r>
        <w:tab/>
        <w:t>The Building Commissioner must remove the information referred to in regulation 7A(1)(d), (e), (f), (g) or (h) as soon as practicable after, and in any event not later than 28 days after, the earlier of the following —</w:t>
      </w:r>
    </w:p>
    <w:p>
      <w:pPr>
        <w:pStyle w:val="Indenta"/>
      </w:pPr>
      <w:r>
        <w:tab/>
        <w:t>(a)</w:t>
      </w:r>
      <w:r>
        <w:tab/>
        <w:t>the expiry of the period of 12 months beginning on the day on which the order, caution or reprimand or requirement (whichever is relevant) is made or issued;</w:t>
      </w:r>
    </w:p>
    <w:p>
      <w:pPr>
        <w:pStyle w:val="Indenta"/>
      </w:pPr>
      <w:r>
        <w:tab/>
        <w:t>(b)</w:t>
      </w:r>
      <w:r>
        <w:tab/>
        <w:t>the decision to make the order or issue the caution or reprimand or requirement (whichever is relevant) is set aside on review by the State Administrative Tribunal.</w:t>
      </w:r>
    </w:p>
    <w:p>
      <w:pPr>
        <w:pStyle w:val="Subsection"/>
      </w:pPr>
      <w:r>
        <w:tab/>
        <w:t>(3)</w:t>
      </w:r>
      <w:r>
        <w:tab/>
        <w:t xml:space="preserve">A reference in subregulation (1)(a) to the day of conviction means (as applicable) — </w:t>
      </w:r>
    </w:p>
    <w:p>
      <w:pPr>
        <w:pStyle w:val="Indenta"/>
      </w:pPr>
      <w:r>
        <w:tab/>
        <w:t>(a)</w:t>
      </w:r>
      <w:r>
        <w:tab/>
        <w:t>the day on which the conviction is recorded; or</w:t>
      </w:r>
    </w:p>
    <w:p>
      <w:pPr>
        <w:pStyle w:val="Indenta"/>
      </w:pPr>
      <w:r>
        <w:lastRenderedPageBreak/>
        <w:tab/>
        <w:t>(b)</w:t>
      </w:r>
      <w:r>
        <w:tab/>
        <w:t xml:space="preserve">if no conviction is recorded — </w:t>
      </w:r>
    </w:p>
    <w:p>
      <w:pPr>
        <w:pStyle w:val="Indenti"/>
      </w:pPr>
      <w:r>
        <w:tab/>
        <w:t>(i)</w:t>
      </w:r>
      <w:r>
        <w:tab/>
        <w:t xml:space="preserve">the day on which the finding of guilt is made in relation to the building service provider; or </w:t>
      </w:r>
    </w:p>
    <w:p>
      <w:pPr>
        <w:pStyle w:val="Indenti"/>
      </w:pPr>
      <w:r>
        <w:tab/>
        <w:t>(ii)</w:t>
      </w:r>
      <w:r>
        <w:tab/>
        <w:t>the day on which the plea of guilty by the building service provider is accepted.</w:t>
      </w:r>
    </w:p>
    <w:p>
      <w:pPr>
        <w:pStyle w:val="Footnotesection"/>
      </w:pPr>
      <w:r>
        <w:tab/>
        <w:t>[Regulation 7B inserted: SL 2023/76 r. 4.]</w:t>
      </w:r>
    </w:p>
    <w:p>
      <w:pPr>
        <w:pStyle w:val="Heading5"/>
      </w:pPr>
      <w:bookmarkStart w:id="15" w:name="_Toc177041653"/>
      <w:r>
        <w:rPr>
          <w:rStyle w:val="CharSectno"/>
        </w:rPr>
        <w:t>8</w:t>
      </w:r>
      <w:r>
        <w:t>.</w:t>
      </w:r>
      <w:r>
        <w:tab/>
        <w:t>Membership of Board: occupation groups</w:t>
      </w:r>
      <w:bookmarkEnd w:id="15"/>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lastRenderedPageBreak/>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Lines/>
            </w:pPr>
          </w:p>
        </w:tc>
        <w:tc>
          <w:tcPr>
            <w:tcW w:w="2835" w:type="dxa"/>
            <w:tcBorders>
              <w:top w:val="nil"/>
              <w:bottom w:val="single" w:sz="4" w:space="0" w:color="auto"/>
            </w:tcBorders>
          </w:tcPr>
          <w:p>
            <w:pPr>
              <w:pStyle w:val="TableNAm"/>
              <w:keepLines/>
              <w:spacing w:before="0"/>
            </w:pPr>
            <w:r>
              <w:t>Building surveying contractor level 2 (partnership)</w:t>
            </w:r>
          </w:p>
          <w:p>
            <w:pPr>
              <w:pStyle w:val="TableNAm"/>
              <w:keepLines/>
            </w:pPr>
            <w:r>
              <w:t>Building surveying contractor level 2 (company)</w:t>
            </w:r>
          </w:p>
        </w:tc>
        <w:tc>
          <w:tcPr>
            <w:tcW w:w="2410" w:type="dxa"/>
            <w:tcBorders>
              <w:top w:val="nil"/>
              <w:bottom w:val="single" w:sz="4" w:space="0" w:color="auto"/>
            </w:tcBorders>
          </w:tcPr>
          <w:p>
            <w:pPr>
              <w:pStyle w:val="TableNAm"/>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Gazette 12 Mar 2012 p. 991-2.]</w:t>
      </w:r>
    </w:p>
    <w:p>
      <w:pPr>
        <w:pStyle w:val="Heading5"/>
      </w:pPr>
      <w:bookmarkStart w:id="16" w:name="_Toc177041654"/>
      <w:r>
        <w:rPr>
          <w:rStyle w:val="CharSectno"/>
        </w:rPr>
        <w:lastRenderedPageBreak/>
        <w:t>9</w:t>
      </w:r>
      <w:r>
        <w:t>.</w:t>
      </w:r>
      <w:r>
        <w:tab/>
        <w:t>Fees</w:t>
      </w:r>
      <w:bookmarkEnd w:id="16"/>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spacing w:before="180"/>
      </w:pPr>
      <w:bookmarkStart w:id="17" w:name="_Toc177041655"/>
      <w:r>
        <w:rPr>
          <w:rStyle w:val="CharSectno"/>
        </w:rPr>
        <w:t>10</w:t>
      </w:r>
      <w:r>
        <w:t>.</w:t>
      </w:r>
      <w:r>
        <w:tab/>
        <w:t>Refund of fees</w:t>
      </w:r>
      <w:bookmarkEnd w:id="17"/>
    </w:p>
    <w:p>
      <w:pPr>
        <w:pStyle w:val="Subsection"/>
      </w:pPr>
      <w:r>
        <w:tab/>
        <w:t>(1)</w:t>
      </w:r>
      <w:r>
        <w:tab/>
        <w:t>The Building Commissioner may, on the application of a person who has paid a fee under these regulations, refund part or all of the fee if the Commissioner considers that the circumstances warrant the refund of the fee.</w:t>
      </w:r>
    </w:p>
    <w:p>
      <w:pPr>
        <w:pStyle w:val="Subsection"/>
      </w:pPr>
      <w:r>
        <w:tab/>
        <w:t>(2)</w:t>
      </w:r>
      <w:r>
        <w:tab/>
        <w:t>An application for the refund of fees must be in a form approved by the Building Commissioner.</w:t>
      </w:r>
    </w:p>
    <w:p>
      <w:pPr>
        <w:pStyle w:val="Footnotesection"/>
      </w:pPr>
      <w:r>
        <w:tab/>
        <w:t>[Regulation 10 amended: Gazette 21 Sep 2018 p. 3534</w:t>
      </w:r>
      <w:r>
        <w:noBreakHyphen/>
        <w:t>5.]</w:t>
      </w:r>
    </w:p>
    <w:p>
      <w:pPr>
        <w:pStyle w:val="Heading5"/>
      </w:pPr>
      <w:bookmarkStart w:id="18" w:name="_Toc177041656"/>
      <w:r>
        <w:rPr>
          <w:rStyle w:val="CharSectno"/>
        </w:rPr>
        <w:t>10A</w:t>
      </w:r>
      <w:r>
        <w:t>.</w:t>
      </w:r>
      <w:r>
        <w:tab/>
        <w:t>Notification of new director of building service contractor: prescribed information</w:t>
      </w:r>
      <w:bookmarkEnd w:id="18"/>
    </w:p>
    <w:p>
      <w:pPr>
        <w:pStyle w:val="Subsection"/>
        <w:keepNext/>
      </w:pPr>
      <w:r>
        <w:tab/>
        <w:t>(1)</w:t>
      </w:r>
      <w:r>
        <w:tab/>
        <w:t xml:space="preserve">For the purposes of section 32A(3), the following information must be included in a notice of the appointment of any new director of a body that is a building service contractor — </w:t>
      </w:r>
    </w:p>
    <w:p>
      <w:pPr>
        <w:pStyle w:val="Indenta"/>
      </w:pPr>
      <w:r>
        <w:tab/>
        <w:t>(a)</w:t>
      </w:r>
      <w:r>
        <w:tab/>
        <w:t>a copy of an ASIC current and historical company extract for the body that was extracted within the previous 30 days;</w:t>
      </w:r>
    </w:p>
    <w:p>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pPr>
        <w:pStyle w:val="Indenta"/>
      </w:pPr>
      <w:r>
        <w:tab/>
        <w:t>(c)</w:t>
      </w:r>
      <w:r>
        <w:tab/>
        <w:t xml:space="preserve">whether the new director is (or has been) a bankrupt or a person whose affairs are under insolvency laws, according to the </w:t>
      </w:r>
      <w:r>
        <w:rPr>
          <w:i/>
        </w:rPr>
        <w:t>Interpretation Act 1984</w:t>
      </w:r>
      <w:r>
        <w:t xml:space="preserve"> section 13D;</w:t>
      </w:r>
    </w:p>
    <w:p>
      <w:pPr>
        <w:pStyle w:val="Indenta"/>
      </w:pPr>
      <w:r>
        <w:tab/>
        <w:t>(d)</w:t>
      </w:r>
      <w:r>
        <w:tab/>
        <w:t>whether the new director has not paid a building service debt of a kind referred to in section 53(4) that the new director has incurred;</w:t>
      </w:r>
    </w:p>
    <w:p>
      <w:pPr>
        <w:pStyle w:val="Indenta"/>
      </w:pPr>
      <w:r>
        <w:lastRenderedPageBreak/>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pPr>
        <w:pStyle w:val="Subsection"/>
      </w:pPr>
      <w:r>
        <w:tab/>
        <w:t>(2)</w:t>
      </w:r>
      <w:r>
        <w:tab/>
        <w:t>A term used in subregulation (1)(e) has the same meaning as it has in Part 5A of the Act.</w:t>
      </w:r>
    </w:p>
    <w:p>
      <w:pPr>
        <w:pStyle w:val="Footnotesection"/>
      </w:pPr>
      <w:r>
        <w:tab/>
        <w:t>[Regulation 10A inserted: SL 2022/101 r. 5.]</w:t>
      </w:r>
    </w:p>
    <w:p>
      <w:pPr>
        <w:pStyle w:val="Heading5"/>
      </w:pPr>
      <w:bookmarkStart w:id="19" w:name="_Toc177041657"/>
      <w:r>
        <w:rPr>
          <w:rStyle w:val="CharSectno"/>
        </w:rPr>
        <w:t>11</w:t>
      </w:r>
      <w:r>
        <w:t>.</w:t>
      </w:r>
      <w:r>
        <w:tab/>
        <w:t>Notification of disciplinary action: prescribed Acts</w:t>
      </w:r>
      <w:bookmarkEnd w:id="19"/>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(ha)</w:t>
      </w:r>
      <w:r>
        <w:tab/>
      </w:r>
      <w:r>
        <w:rPr>
          <w:i/>
        </w:rPr>
        <w:t>Design and Building Practitioners Act 2020</w:t>
      </w:r>
      <w:r>
        <w:t xml:space="preserve"> (New South Wales);</w:t>
      </w:r>
    </w:p>
    <w:p>
      <w:pPr>
        <w:pStyle w:val="Indenta"/>
      </w:pPr>
      <w:r>
        <w:lastRenderedPageBreak/>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(ob)</w:t>
      </w:r>
      <w:r>
        <w:tab/>
      </w:r>
      <w:r>
        <w:rPr>
          <w:i/>
        </w:rPr>
        <w:t>Professional Engineers Registration Act 2019</w:t>
      </w:r>
      <w:r>
        <w:t xml:space="preserve"> (Victoria);</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 SL 2023/64 r. 7.]</w:t>
      </w:r>
    </w:p>
    <w:p>
      <w:pPr>
        <w:pStyle w:val="Heading2"/>
      </w:pPr>
      <w:bookmarkStart w:id="20" w:name="_Toc177039160"/>
      <w:bookmarkStart w:id="21" w:name="_Toc177039702"/>
      <w:bookmarkStart w:id="22" w:name="_Toc177041658"/>
      <w:r>
        <w:rPr>
          <w:rStyle w:val="CharPartNo"/>
        </w:rPr>
        <w:lastRenderedPageBreak/>
        <w:t>Part 2</w:t>
      </w:r>
      <w:r>
        <w:t> — </w:t>
      </w:r>
      <w:r>
        <w:rPr>
          <w:rStyle w:val="CharPartText"/>
        </w:rPr>
        <w:t>Builders</w:t>
      </w:r>
      <w:bookmarkEnd w:id="20"/>
      <w:bookmarkEnd w:id="21"/>
      <w:bookmarkEnd w:id="22"/>
    </w:p>
    <w:p>
      <w:pPr>
        <w:pStyle w:val="Heading3"/>
      </w:pPr>
      <w:bookmarkStart w:id="23" w:name="_Toc177039161"/>
      <w:bookmarkStart w:id="24" w:name="_Toc177039703"/>
      <w:bookmarkStart w:id="25" w:name="_Toc177041659"/>
      <w:r>
        <w:rPr>
          <w:rStyle w:val="CharDivNo"/>
        </w:rPr>
        <w:t>Division 1</w:t>
      </w:r>
      <w:r>
        <w:t> — </w:t>
      </w:r>
      <w:r>
        <w:rPr>
          <w:rStyle w:val="CharDivText"/>
        </w:rPr>
        <w:t>Preliminary</w:t>
      </w:r>
      <w:bookmarkEnd w:id="23"/>
      <w:bookmarkEnd w:id="24"/>
      <w:bookmarkEnd w:id="25"/>
    </w:p>
    <w:p>
      <w:pPr>
        <w:pStyle w:val="Heading5"/>
      </w:pPr>
      <w:bookmarkStart w:id="26" w:name="_Toc177041660"/>
      <w:r>
        <w:rPr>
          <w:rStyle w:val="CharSectno"/>
        </w:rPr>
        <w:t>12</w:t>
      </w:r>
      <w:r>
        <w:t>.</w:t>
      </w:r>
      <w:r>
        <w:tab/>
        <w:t>Terms used</w:t>
      </w:r>
      <w:bookmarkEnd w:id="26"/>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27" w:name="_Toc177039163"/>
      <w:bookmarkStart w:id="28" w:name="_Toc177039705"/>
      <w:bookmarkStart w:id="29" w:name="_Toc177041661"/>
      <w:r>
        <w:rPr>
          <w:rStyle w:val="CharDivNo"/>
        </w:rPr>
        <w:t>Division 2</w:t>
      </w:r>
      <w:r>
        <w:t> — </w:t>
      </w:r>
      <w:r>
        <w:rPr>
          <w:rStyle w:val="CharDivText"/>
        </w:rPr>
        <w:t>Building service providers</w:t>
      </w:r>
      <w:bookmarkEnd w:id="27"/>
      <w:bookmarkEnd w:id="28"/>
      <w:bookmarkEnd w:id="29"/>
    </w:p>
    <w:p>
      <w:pPr>
        <w:pStyle w:val="Heading5"/>
      </w:pPr>
      <w:bookmarkStart w:id="30" w:name="_Toc177041662"/>
      <w:r>
        <w:rPr>
          <w:rStyle w:val="CharSectno"/>
        </w:rPr>
        <w:t>13</w:t>
      </w:r>
      <w:r>
        <w:t>.</w:t>
      </w:r>
      <w:r>
        <w:tab/>
        <w:t>Terms used</w:t>
      </w:r>
      <w:bookmarkEnd w:id="30"/>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lastRenderedPageBreak/>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 xml:space="preserve">If a person carries out, or undertakes to carry out, building work for another person under more than 1  distinct contract or engagement and the building work is substantially a single undertaking in connection with a single building, the value of all </w:t>
      </w:r>
      <w:r>
        <w:lastRenderedPageBreak/>
        <w:t>the work must be added together for the purposes of calculating the value of the building work.</w:t>
      </w:r>
    </w:p>
    <w:p>
      <w:pPr>
        <w:pStyle w:val="Footnotesection"/>
      </w:pPr>
      <w:r>
        <w:tab/>
        <w:t>[Regulation 13 amended: Gazette 31 Mar 2017 p. 1942; SL 2021/170 r. 4.]</w:t>
      </w:r>
    </w:p>
    <w:p>
      <w:pPr>
        <w:pStyle w:val="Heading5"/>
      </w:pPr>
      <w:bookmarkStart w:id="31" w:name="_Toc177041663"/>
      <w:r>
        <w:rPr>
          <w:rStyle w:val="CharSectno"/>
        </w:rPr>
        <w:t>14</w:t>
      </w:r>
      <w:r>
        <w:t>.</w:t>
      </w:r>
      <w:r>
        <w:tab/>
        <w:t>Prescribed titles: building practitioners and building contractors</w:t>
      </w:r>
      <w:bookmarkEnd w:id="31"/>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lastRenderedPageBreak/>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32" w:name="_Toc177041664"/>
      <w:r>
        <w:rPr>
          <w:rStyle w:val="CharSectno"/>
        </w:rPr>
        <w:t>15</w:t>
      </w:r>
      <w:r>
        <w:t>.</w:t>
      </w:r>
      <w:r>
        <w:tab/>
        <w:t>Building contractors: building services prescribed</w:t>
      </w:r>
      <w:bookmarkEnd w:id="32"/>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33" w:name="_Toc177041665"/>
      <w:r>
        <w:rPr>
          <w:rStyle w:val="CharSectno"/>
        </w:rPr>
        <w:t>16</w:t>
      </w:r>
      <w:r>
        <w:t>.</w:t>
      </w:r>
      <w:r>
        <w:tab/>
        <w:t>Qualifications and experience: building practitioners</w:t>
      </w:r>
      <w:bookmarkEnd w:id="33"/>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lastRenderedPageBreak/>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keepNext/>
            </w:pPr>
            <w:r>
              <w:lastRenderedPageBreak/>
              <w:t>Set 2</w:t>
            </w:r>
          </w:p>
        </w:tc>
        <w:tc>
          <w:tcPr>
            <w:tcW w:w="2977" w:type="dxa"/>
          </w:tcPr>
          <w:p>
            <w:pPr>
              <w:pStyle w:val="TableNAm"/>
              <w:keepNext/>
              <w:tabs>
                <w:tab w:val="clear" w:pos="567"/>
                <w:tab w:val="left" w:pos="300"/>
                <w:tab w:val="left" w:pos="746"/>
              </w:tabs>
            </w:pPr>
            <w:r>
              <w:t xml:space="preserve">qualifications acceptable for — </w:t>
            </w:r>
          </w:p>
          <w:p>
            <w:pPr>
              <w:pStyle w:val="TableNAm"/>
              <w:keepNext/>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keepNext/>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keepNext/>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keepNext/>
              <w:tabs>
                <w:tab w:val="clear" w:pos="567"/>
                <w:tab w:val="left" w:pos="414"/>
                <w:tab w:val="left" w:pos="746"/>
              </w:tabs>
              <w:spacing w:before="100"/>
              <w:ind w:left="414" w:hanging="414"/>
            </w:pPr>
            <w:r>
              <w:t>(d)</w:t>
            </w:r>
            <w:r>
              <w:tab/>
              <w:t>membership as Fellow or Member of the Australasian Institute of Mining and Metallurgy,</w:t>
            </w:r>
          </w:p>
          <w:p>
            <w:pPr>
              <w:pStyle w:val="TableNAm"/>
              <w:keepNext/>
              <w:tabs>
                <w:tab w:val="clear" w:pos="567"/>
                <w:tab w:val="left" w:pos="300"/>
                <w:tab w:val="left" w:pos="746"/>
              </w:tabs>
              <w:spacing w:before="100"/>
            </w:pPr>
            <w:r>
              <w:t>evidenced by such membership or registration</w:t>
            </w:r>
          </w:p>
        </w:tc>
        <w:tc>
          <w:tcPr>
            <w:tcW w:w="2268" w:type="dxa"/>
          </w:tcPr>
          <w:p>
            <w:pPr>
              <w:pStyle w:val="TableNAm"/>
              <w:keepNext/>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keepNext/>
              <w:tabs>
                <w:tab w:val="clear" w:pos="567"/>
                <w:tab w:val="left" w:pos="287"/>
                <w:tab w:val="left" w:pos="589"/>
                <w:tab w:val="left" w:pos="746"/>
              </w:tabs>
              <w:spacing w:before="40"/>
            </w:pPr>
            <w:r>
              <w:t xml:space="preserve">experience in supervising or </w:t>
            </w:r>
            <w:r>
              <w:lastRenderedPageBreak/>
              <w:t xml:space="preserve">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lastRenderedPageBreak/>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 xml:space="preserve">for periods totalling at least the equivalent </w:t>
            </w:r>
            <w:r>
              <w:lastRenderedPageBreak/>
              <w:t>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lastRenderedPageBreak/>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lastRenderedPageBreak/>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34" w:name="_Toc177041666"/>
      <w:r>
        <w:rPr>
          <w:rStyle w:val="CharSectno"/>
        </w:rPr>
        <w:t>17</w:t>
      </w:r>
      <w:r>
        <w:t>.</w:t>
      </w:r>
      <w:r>
        <w:tab/>
        <w:t>Conduct of examinations</w:t>
      </w:r>
      <w:bookmarkEnd w:id="34"/>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35" w:name="_Toc177041667"/>
      <w:r>
        <w:rPr>
          <w:rStyle w:val="CharSectno"/>
        </w:rPr>
        <w:t>18</w:t>
      </w:r>
      <w:r>
        <w:t>.</w:t>
      </w:r>
      <w:r>
        <w:tab/>
        <w:t>Financial requirements: building contractors</w:t>
      </w:r>
      <w:bookmarkEnd w:id="35"/>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36" w:name="_Toc177041668"/>
      <w:r>
        <w:rPr>
          <w:rStyle w:val="CharSectno"/>
        </w:rPr>
        <w:lastRenderedPageBreak/>
        <w:t>19</w:t>
      </w:r>
      <w:r>
        <w:t>.</w:t>
      </w:r>
      <w:r>
        <w:tab/>
        <w:t>Prescribed requirements: building contractors</w:t>
      </w:r>
      <w:bookmarkEnd w:id="36"/>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37" w:name="_Toc177041669"/>
      <w:r>
        <w:rPr>
          <w:rStyle w:val="CharSectno"/>
        </w:rPr>
        <w:t>20</w:t>
      </w:r>
      <w:r>
        <w:t>.</w:t>
      </w:r>
      <w:r>
        <w:tab/>
        <w:t>Supervisor for building contractor: eligible person</w:t>
      </w:r>
      <w:bookmarkEnd w:id="37"/>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38" w:name="_Toc177041670"/>
      <w:r>
        <w:rPr>
          <w:rStyle w:val="CharSectno"/>
        </w:rPr>
        <w:t>21</w:t>
      </w:r>
      <w:r>
        <w:t>.</w:t>
      </w:r>
      <w:r>
        <w:tab/>
        <w:t>Display of signs</w:t>
      </w:r>
      <w:bookmarkEnd w:id="38"/>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lastRenderedPageBreak/>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39" w:name="_Toc177039173"/>
      <w:bookmarkStart w:id="40" w:name="_Toc177039715"/>
      <w:bookmarkStart w:id="41" w:name="_Toc177041671"/>
      <w:r>
        <w:rPr>
          <w:rStyle w:val="CharDivNo"/>
        </w:rPr>
        <w:t>Division 3</w:t>
      </w:r>
      <w:r>
        <w:t> — </w:t>
      </w:r>
      <w:r>
        <w:rPr>
          <w:rStyle w:val="CharDivText"/>
        </w:rPr>
        <w:t>Owner</w:t>
      </w:r>
      <w:r>
        <w:rPr>
          <w:rStyle w:val="CharDivText"/>
        </w:rPr>
        <w:noBreakHyphen/>
        <w:t>builders</w:t>
      </w:r>
      <w:bookmarkEnd w:id="39"/>
      <w:bookmarkEnd w:id="40"/>
      <w:bookmarkEnd w:id="41"/>
    </w:p>
    <w:p>
      <w:pPr>
        <w:pStyle w:val="Heading5"/>
      </w:pPr>
      <w:bookmarkStart w:id="42" w:name="_Toc177041672"/>
      <w:r>
        <w:rPr>
          <w:rStyle w:val="CharSectno"/>
        </w:rPr>
        <w:t>22</w:t>
      </w:r>
      <w:r>
        <w:t>.</w:t>
      </w:r>
      <w:r>
        <w:tab/>
        <w:t>Terms used</w:t>
      </w:r>
      <w:bookmarkEnd w:id="42"/>
    </w:p>
    <w:p>
      <w:pPr>
        <w:pStyle w:val="Subsection"/>
      </w:pPr>
      <w:r>
        <w:tab/>
      </w:r>
      <w:r>
        <w:tab/>
        <w:t xml:space="preserve">In this Division — </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Footnotesection"/>
      </w:pPr>
      <w:r>
        <w:tab/>
        <w:t>[Regulation 22 amended: SL 2023/64 r. 8.]</w:t>
      </w:r>
    </w:p>
    <w:p>
      <w:pPr>
        <w:pStyle w:val="Heading5"/>
      </w:pPr>
      <w:bookmarkStart w:id="43" w:name="_Toc177041673"/>
      <w:r>
        <w:rPr>
          <w:rStyle w:val="CharSectno"/>
        </w:rPr>
        <w:t>23</w:t>
      </w:r>
      <w:r>
        <w:t>.</w:t>
      </w:r>
      <w:r>
        <w:tab/>
        <w:t>Owner</w:t>
      </w:r>
      <w:r>
        <w:noBreakHyphen/>
        <w:t>builder work</w:t>
      </w:r>
      <w:bookmarkEnd w:id="43"/>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44" w:name="_Toc177041674"/>
      <w:r>
        <w:rPr>
          <w:rStyle w:val="CharSectno"/>
        </w:rPr>
        <w:lastRenderedPageBreak/>
        <w:t>24A</w:t>
      </w:r>
      <w:r>
        <w:t>.</w:t>
      </w:r>
      <w:r>
        <w:tab/>
        <w:t>Prescribed interests in land</w:t>
      </w:r>
      <w:bookmarkEnd w:id="44"/>
    </w:p>
    <w:p>
      <w:pPr>
        <w:pStyle w:val="Subsection"/>
        <w:keepNext/>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keepNext/>
      </w:pPr>
      <w:r>
        <w:tab/>
        <w:t>(b)</w:t>
      </w:r>
      <w:r>
        <w:tab/>
        <w:t>an interest as purchaser under a contract to purchase an estate in fee simple in the land.</w:t>
      </w:r>
    </w:p>
    <w:p>
      <w:pPr>
        <w:pStyle w:val="Footnotesection"/>
        <w:keepNext/>
        <w:spacing w:before="80"/>
      </w:pPr>
      <w:r>
        <w:tab/>
        <w:t>[Regulation 24A inserted: Gazette 31 Jan 2012 p. 596.]</w:t>
      </w:r>
    </w:p>
    <w:p>
      <w:pPr>
        <w:pStyle w:val="Heading5"/>
      </w:pPr>
      <w:bookmarkStart w:id="45" w:name="_Toc177041675"/>
      <w:r>
        <w:rPr>
          <w:rStyle w:val="CharSectno"/>
        </w:rPr>
        <w:t>24</w:t>
      </w:r>
      <w:r>
        <w:t>.</w:t>
      </w:r>
      <w:r>
        <w:tab/>
        <w:t>Evidence of knowledge of duties and responsibilities: owner</w:t>
      </w:r>
      <w:r>
        <w:noBreakHyphen/>
        <w:t>builders</w:t>
      </w:r>
      <w:bookmarkEnd w:id="45"/>
    </w:p>
    <w:p>
      <w:pPr>
        <w:pStyle w:val="Subsection"/>
      </w:pPr>
      <w:r>
        <w:tab/>
      </w:r>
      <w:r>
        <w:tab/>
        <w:t>For the purposes of section 43(3)(b) building practitioner is prescribed as a class of building service practitioner.</w:t>
      </w:r>
    </w:p>
    <w:p>
      <w:pPr>
        <w:pStyle w:val="Heading5"/>
      </w:pPr>
      <w:bookmarkStart w:id="46" w:name="_Toc177041676"/>
      <w:r>
        <w:rPr>
          <w:rStyle w:val="CharSectno"/>
        </w:rPr>
        <w:t>25</w:t>
      </w:r>
      <w:r>
        <w:t>.</w:t>
      </w:r>
      <w:r>
        <w:tab/>
        <w:t>Requirements for owner</w:t>
      </w:r>
      <w:r>
        <w:noBreakHyphen/>
        <w:t>builder approval</w:t>
      </w:r>
      <w:bookmarkEnd w:id="46"/>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47" w:name="_Toc177041677"/>
      <w:r>
        <w:rPr>
          <w:rStyle w:val="CharSectno"/>
        </w:rPr>
        <w:t>26</w:t>
      </w:r>
      <w:r>
        <w:t>.</w:t>
      </w:r>
      <w:r>
        <w:tab/>
        <w:t>Conditions on owner</w:t>
      </w:r>
      <w:r>
        <w:noBreakHyphen/>
        <w:t>builder approvals</w:t>
      </w:r>
      <w:bookmarkEnd w:id="47"/>
    </w:p>
    <w:p>
      <w:pPr>
        <w:pStyle w:val="Subsection"/>
        <w:spacing w:before="120"/>
      </w:pPr>
      <w:r>
        <w:tab/>
      </w:r>
      <w:r>
        <w:tab/>
        <w:t>An owner</w:t>
      </w:r>
      <w:r>
        <w:noBreakHyphen/>
        <w:t>builder approval is subject to the condition that, if any part of the owner</w:t>
      </w:r>
      <w:r>
        <w:noBreakHyphen/>
        <w:t xml:space="preserve">builder work to which the approval relates must be carried out by a person registered under another written </w:t>
      </w:r>
      <w:r>
        <w:lastRenderedPageBreak/>
        <w:t>law, the owner</w:t>
      </w:r>
      <w:r>
        <w:noBreakHyphen/>
        <w:t>builder must take all reasonable steps to ensure that the work is carried out by a person who is so registered.</w:t>
      </w:r>
    </w:p>
    <w:p>
      <w:pPr>
        <w:pStyle w:val="Heading5"/>
        <w:spacing w:before="180"/>
      </w:pPr>
      <w:bookmarkStart w:id="48" w:name="_Toc177041678"/>
      <w:r>
        <w:rPr>
          <w:rStyle w:val="CharSectno"/>
        </w:rPr>
        <w:t>27</w:t>
      </w:r>
      <w:r>
        <w:t>.</w:t>
      </w:r>
      <w:r>
        <w:tab/>
        <w:t>Display of signs</w:t>
      </w:r>
      <w:bookmarkEnd w:id="48"/>
    </w:p>
    <w:p>
      <w:pPr>
        <w:pStyle w:val="Subsection"/>
        <w:keepNext/>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keepNext/>
        <w:keepLines/>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for this subregulation: a fine of $1 000.</w:t>
      </w:r>
    </w:p>
    <w:p>
      <w:pPr>
        <w:pStyle w:val="Footnotesection"/>
        <w:spacing w:before="80"/>
        <w:ind w:left="890" w:hanging="890"/>
      </w:pPr>
      <w:r>
        <w:tab/>
        <w:t>[Regulation 27 amended: Gazette 31 Jan 2012 p. 596; SL 2023/64 r. 9.]</w:t>
      </w:r>
    </w:p>
    <w:p>
      <w:pPr>
        <w:pStyle w:val="Heading2"/>
      </w:pPr>
      <w:bookmarkStart w:id="49" w:name="_Toc177039181"/>
      <w:bookmarkStart w:id="50" w:name="_Toc177039723"/>
      <w:bookmarkStart w:id="51" w:name="_Toc177041679"/>
      <w:r>
        <w:rPr>
          <w:rStyle w:val="CharPartNo"/>
        </w:rPr>
        <w:lastRenderedPageBreak/>
        <w:t>Part 2A</w:t>
      </w:r>
      <w:r>
        <w:rPr>
          <w:szCs w:val="30"/>
        </w:rPr>
        <w:t> —</w:t>
      </w:r>
      <w:r>
        <w:rPr>
          <w:rStyle w:val="CharDivText"/>
        </w:rPr>
        <w:t> </w:t>
      </w:r>
      <w:r>
        <w:rPr>
          <w:rStyle w:val="CharPartText"/>
        </w:rPr>
        <w:t>Building surveyors</w:t>
      </w:r>
      <w:bookmarkEnd w:id="49"/>
      <w:bookmarkEnd w:id="50"/>
      <w:bookmarkEnd w:id="51"/>
    </w:p>
    <w:p>
      <w:pPr>
        <w:pStyle w:val="Footnoteheading"/>
      </w:pPr>
      <w:r>
        <w:tab/>
        <w:t>[Heading inserted: Gazette 12 Mar 2012 p. 992; amended: SL 2023/64 r. 10.]</w:t>
      </w:r>
    </w:p>
    <w:p>
      <w:pPr>
        <w:pStyle w:val="Heading5"/>
      </w:pPr>
      <w:bookmarkStart w:id="52" w:name="_Toc177041680"/>
      <w:r>
        <w:rPr>
          <w:rStyle w:val="CharSectno"/>
        </w:rPr>
        <w:t>28A</w:t>
      </w:r>
      <w:r>
        <w:t>.</w:t>
      </w:r>
      <w:r>
        <w:tab/>
        <w:t>Terms used</w:t>
      </w:r>
      <w:bookmarkEnd w:id="52"/>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53" w:name="_Toc177041681"/>
      <w:r>
        <w:rPr>
          <w:rStyle w:val="CharSectno"/>
        </w:rPr>
        <w:t>28B</w:t>
      </w:r>
      <w:r>
        <w:t>.</w:t>
      </w:r>
      <w:r>
        <w:tab/>
        <w:t>Prescribed titles: building surveying practitioners and building surveying contractors</w:t>
      </w:r>
      <w:bookmarkEnd w:id="53"/>
    </w:p>
    <w:p>
      <w:pPr>
        <w:pStyle w:val="Subsection"/>
      </w:pPr>
      <w:r>
        <w:tab/>
        <w:t>(1)</w:t>
      </w:r>
      <w:r>
        <w:tab/>
        <w:t>The titles listed under each Part heading in the Table are prescribed for the purposes of section 4(1).</w:t>
      </w:r>
    </w:p>
    <w:p>
      <w:pPr>
        <w:pStyle w:val="THeading"/>
        <w:keepLines/>
      </w:pPr>
      <w:r>
        <w:lastRenderedPageBreak/>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keepNext/>
            </w:pPr>
            <w:r>
              <w:lastRenderedPageBreak/>
              <w:t>Registered Building Surveying Contractor: Company</w:t>
            </w:r>
          </w:p>
          <w:p>
            <w:pPr>
              <w:pStyle w:val="TableNAm"/>
            </w:pPr>
            <w:r>
              <w:t>Registered Building Surveying Contractor (Company)</w:t>
            </w:r>
          </w:p>
        </w:tc>
      </w:tr>
    </w:tbl>
    <w:p>
      <w:pPr>
        <w:pStyle w:val="Subsection"/>
        <w:keepNext/>
      </w:pPr>
      <w:r>
        <w:lastRenderedPageBreak/>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54" w:name="_Toc177041682"/>
      <w:r>
        <w:rPr>
          <w:rStyle w:val="CharSectno"/>
        </w:rPr>
        <w:t>28C</w:t>
      </w:r>
      <w:r>
        <w:t>.</w:t>
      </w:r>
      <w:r>
        <w:tab/>
        <w:t>Building surveying contractors: building services prescribed</w:t>
      </w:r>
      <w:bookmarkEnd w:id="54"/>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w:t>
      </w:r>
      <w:r>
        <w:lastRenderedPageBreak/>
        <w:t xml:space="preserve">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55" w:name="_Toc177041683"/>
      <w:r>
        <w:rPr>
          <w:rStyle w:val="CharSectno"/>
        </w:rPr>
        <w:t>28D</w:t>
      </w:r>
      <w:r>
        <w:t>.</w:t>
      </w:r>
      <w:r>
        <w:tab/>
        <w:t>Qualifications and experience: building surveying practitioners</w:t>
      </w:r>
      <w:bookmarkEnd w:id="55"/>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lastRenderedPageBreak/>
              <w:t>an equivalent qualification as determined by the Board</w:t>
            </w:r>
          </w:p>
        </w:tc>
        <w:tc>
          <w:tcPr>
            <w:tcW w:w="2552" w:type="dxa"/>
          </w:tcPr>
          <w:p>
            <w:pPr>
              <w:pStyle w:val="TableNAm"/>
            </w:pPr>
            <w:r>
              <w:lastRenderedPageBreak/>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keepNext/>
              <w:spacing w:before="100"/>
            </w:pPr>
            <w:r>
              <w:lastRenderedPageBreak/>
              <w:t>Set 4</w:t>
            </w:r>
          </w:p>
        </w:tc>
        <w:tc>
          <w:tcPr>
            <w:tcW w:w="2551" w:type="dxa"/>
          </w:tcPr>
          <w:p>
            <w:pPr>
              <w:pStyle w:val="TableNAm"/>
              <w:keepNext/>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keepNext/>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lastRenderedPageBreak/>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CPC60121 Advanced Diploma of Building Surveying as described on the National Register; or</w:t>
            </w:r>
          </w:p>
          <w:p>
            <w:pPr>
              <w:pStyle w:val="TableNAm"/>
              <w:ind w:left="484" w:hanging="484"/>
            </w:pPr>
            <w:r>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keepNext/>
              <w:spacing w:before="100"/>
            </w:pPr>
            <w:r>
              <w:lastRenderedPageBreak/>
              <w:t>Set 2</w:t>
            </w:r>
          </w:p>
        </w:tc>
        <w:tc>
          <w:tcPr>
            <w:tcW w:w="2551" w:type="dxa"/>
          </w:tcPr>
          <w:p>
            <w:pPr>
              <w:pStyle w:val="TableNAm"/>
              <w:keepNext/>
              <w:spacing w:before="100"/>
            </w:pPr>
            <w:r>
              <w:t>CPC50108 Diploma of Building Surveying as described on the National Register</w:t>
            </w:r>
          </w:p>
        </w:tc>
        <w:tc>
          <w:tcPr>
            <w:tcW w:w="2552" w:type="dxa"/>
          </w:tcPr>
          <w:p>
            <w:pPr>
              <w:pStyle w:val="TableNAm"/>
              <w:keepNext/>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 xml:space="preserve">who was registered as a building surveying practitioner level 2 at any time in the period of 3 years ending on the </w:t>
      </w:r>
      <w:r>
        <w:lastRenderedPageBreak/>
        <w:t>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 xml:space="preserve">CPC50108 Diploma of </w:t>
            </w:r>
            <w:r>
              <w:lastRenderedPageBreak/>
              <w:t>Building Surveying as described on the National Register; or</w:t>
            </w:r>
          </w:p>
          <w:p>
            <w:pPr>
              <w:pStyle w:val="TableNAm"/>
              <w:ind w:left="484" w:hanging="484"/>
            </w:pPr>
            <w:r>
              <w:t>(d)</w:t>
            </w:r>
            <w:r>
              <w:tab/>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56" w:name="_Toc177041684"/>
      <w:r>
        <w:rPr>
          <w:rStyle w:val="CharSectno"/>
        </w:rPr>
        <w:t>28E</w:t>
      </w:r>
      <w:r>
        <w:t>.</w:t>
      </w:r>
      <w:r>
        <w:tab/>
        <w:t>Financial requirements: building surveying contractors</w:t>
      </w:r>
      <w:bookmarkEnd w:id="56"/>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w:t>
      </w:r>
      <w:r>
        <w:lastRenderedPageBreak/>
        <w:t xml:space="preserve">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57" w:name="_Toc177041685"/>
      <w:r>
        <w:rPr>
          <w:rStyle w:val="CharSectno"/>
        </w:rPr>
        <w:t>28F</w:t>
      </w:r>
      <w:r>
        <w:t>.</w:t>
      </w:r>
      <w:r>
        <w:tab/>
        <w:t>Insurance requirements: building surveying contractors</w:t>
      </w:r>
      <w:bookmarkEnd w:id="57"/>
    </w:p>
    <w:p>
      <w:pPr>
        <w:pStyle w:val="Subsection"/>
      </w:pPr>
      <w:r>
        <w:tab/>
      </w:r>
      <w:r>
        <w:tab/>
        <w:t xml:space="preserve">For the purposes of section 18(1)(c), the insurance requirements for registration as a building surveying contractor are — </w:t>
      </w:r>
    </w:p>
    <w:p>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pPr>
        <w:pStyle w:val="Indenti"/>
      </w:pPr>
      <w:r>
        <w:tab/>
        <w:t>(i)</w:t>
      </w:r>
      <w:r>
        <w:tab/>
        <w:t>the nature of, and risks associated with, the work likely to be carried out by the applicant;</w:t>
      </w:r>
    </w:p>
    <w:p>
      <w:pPr>
        <w:pStyle w:val="Indenti"/>
      </w:pPr>
      <w:r>
        <w:tab/>
        <w:t>(ii)</w:t>
      </w:r>
      <w:r>
        <w:tab/>
        <w:t>the size and volume of the work likely to be carried out by the applicant;</w:t>
      </w:r>
    </w:p>
    <w:p>
      <w:pPr>
        <w:pStyle w:val="Indenti"/>
      </w:pPr>
      <w:r>
        <w:tab/>
        <w:t>(iii)</w:t>
      </w:r>
      <w:r>
        <w:tab/>
        <w:t>the employment or engagement by the applicant of a building surveying practitioner and the length of time the building surveying practitioner has been registered under section 17;</w:t>
      </w:r>
    </w:p>
    <w:p>
      <w:pPr>
        <w:pStyle w:val="Indenti"/>
      </w:pPr>
      <w:r>
        <w:lastRenderedPageBreak/>
        <w:tab/>
        <w:t>(iv)</w:t>
      </w:r>
      <w:r>
        <w:tab/>
        <w:t>a reasonable estimate of the quantum of civil claims that might be brought against the applicant given the matters described in subparagraphs (i) to (iii);</w:t>
      </w:r>
    </w:p>
    <w:p>
      <w:pPr>
        <w:pStyle w:val="Indenti"/>
      </w:pPr>
      <w:r>
        <w:tab/>
        <w:t>(v)</w:t>
      </w:r>
      <w:r>
        <w:tab/>
        <w:t>the financial capacity of the applicant;</w:t>
      </w:r>
    </w:p>
    <w:p>
      <w:pPr>
        <w:pStyle w:val="Indenti"/>
      </w:pPr>
      <w:r>
        <w:tab/>
        <w:t>(vi)</w:t>
      </w:r>
      <w:r>
        <w:tab/>
        <w:t>the terms of the policy;</w:t>
      </w:r>
    </w:p>
    <w:p>
      <w:pPr>
        <w:pStyle w:val="Indenta"/>
      </w:pPr>
      <w:r>
        <w:tab/>
      </w:r>
      <w:r>
        <w:tab/>
        <w:t>or</w:t>
      </w:r>
    </w:p>
    <w:p>
      <w:pPr>
        <w:pStyle w:val="Indenta"/>
      </w:pPr>
      <w:r>
        <w:tab/>
        <w:t>(b)</w:t>
      </w:r>
      <w:r>
        <w:tab/>
        <w:t xml:space="preserve">the applicant must demonstrate that the applicant — </w:t>
      </w:r>
    </w:p>
    <w:p>
      <w:pPr>
        <w:pStyle w:val="Indenti"/>
      </w:pPr>
      <w:r>
        <w:tab/>
        <w:t>(i)</w:t>
      </w:r>
      <w:r>
        <w:tab/>
        <w:t>is a member of a professional standards scheme operated by a professional body; and</w:t>
      </w:r>
    </w:p>
    <w:p>
      <w:pPr>
        <w:pStyle w:val="Indenti"/>
      </w:pPr>
      <w:r>
        <w:tab/>
        <w:t>(ii)</w:t>
      </w:r>
      <w:r>
        <w:tab/>
        <w:t>satisfies the insurance requirements imposed by the body in accordance with the professional standards scheme.</w:t>
      </w:r>
    </w:p>
    <w:p>
      <w:pPr>
        <w:pStyle w:val="Footnotesection"/>
      </w:pPr>
      <w:r>
        <w:tab/>
        <w:t>[Regulation 28F inserted: SL 2023/64 r. 11.]</w:t>
      </w:r>
    </w:p>
    <w:p>
      <w:pPr>
        <w:pStyle w:val="Heading5"/>
      </w:pPr>
      <w:bookmarkStart w:id="58" w:name="_Toc177041686"/>
      <w:r>
        <w:rPr>
          <w:rStyle w:val="CharSectno"/>
        </w:rPr>
        <w:t>28G</w:t>
      </w:r>
      <w:r>
        <w:t>.</w:t>
      </w:r>
      <w:r>
        <w:tab/>
        <w:t>Prescribed requirements: building surveying contractors</w:t>
      </w:r>
      <w:bookmarkEnd w:id="58"/>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59" w:name="_Toc177041687"/>
      <w:r>
        <w:rPr>
          <w:rStyle w:val="CharSectno"/>
        </w:rPr>
        <w:lastRenderedPageBreak/>
        <w:t>28H</w:t>
      </w:r>
      <w:r>
        <w:t>.</w:t>
      </w:r>
      <w:r>
        <w:tab/>
        <w:t>Supervisor for building surveying contractors: eligible person</w:t>
      </w:r>
      <w:bookmarkEnd w:id="59"/>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60" w:name="_Toc177041688"/>
      <w:r>
        <w:rPr>
          <w:rStyle w:val="CharSectno"/>
        </w:rPr>
        <w:t>28I</w:t>
      </w:r>
      <w:r>
        <w:t>.</w:t>
      </w:r>
      <w:r>
        <w:tab/>
        <w:t>Condition on registration: building surveying contractor</w:t>
      </w:r>
      <w:bookmarkEnd w:id="60"/>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2"/>
      </w:pPr>
      <w:bookmarkStart w:id="61" w:name="_Toc177039191"/>
      <w:bookmarkStart w:id="62" w:name="_Toc177039733"/>
      <w:bookmarkStart w:id="63" w:name="_Toc177041689"/>
      <w:r>
        <w:rPr>
          <w:rStyle w:val="CharPartNo"/>
        </w:rPr>
        <w:lastRenderedPageBreak/>
        <w:t>Part 2B</w:t>
      </w:r>
      <w:r>
        <w:t> — </w:t>
      </w:r>
      <w:r>
        <w:rPr>
          <w:rStyle w:val="CharPartText"/>
        </w:rPr>
        <w:t>Building engineers</w:t>
      </w:r>
      <w:bookmarkEnd w:id="61"/>
      <w:bookmarkEnd w:id="62"/>
      <w:bookmarkEnd w:id="63"/>
    </w:p>
    <w:p>
      <w:pPr>
        <w:pStyle w:val="Footnoteheading"/>
      </w:pPr>
      <w:r>
        <w:tab/>
        <w:t>[Heading inserted: SL 2023/64 r. 13.]</w:t>
      </w:r>
    </w:p>
    <w:p>
      <w:pPr>
        <w:pStyle w:val="Heading5"/>
      </w:pPr>
      <w:bookmarkStart w:id="64" w:name="_Toc177041690"/>
      <w:r>
        <w:rPr>
          <w:rStyle w:val="CharSectno"/>
        </w:rPr>
        <w:t>28J</w:t>
      </w:r>
      <w:r>
        <w:t>.</w:t>
      </w:r>
      <w:r>
        <w:tab/>
        <w:t>Terms used</w:t>
      </w:r>
      <w:bookmarkEnd w:id="64"/>
    </w:p>
    <w:p>
      <w:pPr>
        <w:pStyle w:val="Subsection"/>
      </w:pPr>
      <w:r>
        <w:tab/>
      </w:r>
      <w:r>
        <w:tab/>
        <w:t xml:space="preserve">In this Part — </w:t>
      </w:r>
    </w:p>
    <w:p>
      <w:pPr>
        <w:pStyle w:val="Defstart"/>
      </w:pPr>
      <w:r>
        <w:tab/>
      </w:r>
      <w:r>
        <w:rPr>
          <w:rStyle w:val="CharDefText"/>
        </w:rPr>
        <w:t>building engineering contractor</w:t>
      </w:r>
      <w:r>
        <w:t xml:space="preserve"> means any of the following — </w:t>
      </w:r>
    </w:p>
    <w:p>
      <w:pPr>
        <w:pStyle w:val="Defpara"/>
      </w:pPr>
      <w:r>
        <w:tab/>
        <w:t>(a)</w:t>
      </w:r>
      <w:r>
        <w:tab/>
        <w:t>a building engineering contractor — professional (individual);</w:t>
      </w:r>
    </w:p>
    <w:p>
      <w:pPr>
        <w:pStyle w:val="Defpara"/>
      </w:pPr>
      <w:r>
        <w:tab/>
        <w:t>(b)</w:t>
      </w:r>
      <w:r>
        <w:tab/>
        <w:t>a building engineering contractor — professional (partnership);</w:t>
      </w:r>
    </w:p>
    <w:p>
      <w:pPr>
        <w:pStyle w:val="Defpara"/>
      </w:pPr>
      <w:r>
        <w:tab/>
        <w:t>(c)</w:t>
      </w:r>
      <w:r>
        <w:tab/>
        <w:t>a building engineering contractor — professional (company);</w:t>
      </w:r>
    </w:p>
    <w:p>
      <w:pPr>
        <w:pStyle w:val="Defpara"/>
      </w:pPr>
      <w:r>
        <w:tab/>
        <w:t>(d)</w:t>
      </w:r>
      <w:r>
        <w:tab/>
        <w:t>a building engineering contractor — technologist (individual);</w:t>
      </w:r>
    </w:p>
    <w:p>
      <w:pPr>
        <w:pStyle w:val="Defpara"/>
      </w:pPr>
      <w:r>
        <w:tab/>
        <w:t>(e)</w:t>
      </w:r>
      <w:r>
        <w:tab/>
        <w:t>a building engineering contractor — technologist (partnership);</w:t>
      </w:r>
    </w:p>
    <w:p>
      <w:pPr>
        <w:pStyle w:val="Defpara"/>
      </w:pPr>
      <w:r>
        <w:tab/>
        <w:t>(f)</w:t>
      </w:r>
      <w:r>
        <w:tab/>
        <w:t>a building engineering contractor — technologist (company);</w:t>
      </w:r>
    </w:p>
    <w:p>
      <w:pPr>
        <w:pStyle w:val="Defpara"/>
      </w:pPr>
      <w:r>
        <w:tab/>
        <w:t>(g)</w:t>
      </w:r>
      <w:r>
        <w:tab/>
        <w:t>a building engineering contractor — associate (individual);</w:t>
      </w:r>
    </w:p>
    <w:p>
      <w:pPr>
        <w:pStyle w:val="Defpara"/>
      </w:pPr>
      <w:r>
        <w:tab/>
        <w:t>(h)</w:t>
      </w:r>
      <w:r>
        <w:tab/>
        <w:t>a building engineering contractor — associate (partnership);</w:t>
      </w:r>
    </w:p>
    <w:p>
      <w:pPr>
        <w:pStyle w:val="Defpara"/>
      </w:pPr>
      <w:r>
        <w:tab/>
        <w:t>(i)</w:t>
      </w:r>
      <w:r>
        <w:tab/>
        <w:t>a building engineering contractor — associate (company);</w:t>
      </w:r>
    </w:p>
    <w:p>
      <w:pPr>
        <w:pStyle w:val="Defpara"/>
      </w:pPr>
      <w:r>
        <w:tab/>
        <w:t>(j)</w:t>
      </w:r>
      <w:r>
        <w:tab/>
        <w:t>a building engineering contractor, fire systems — technologist (individual);</w:t>
      </w:r>
    </w:p>
    <w:p>
      <w:pPr>
        <w:pStyle w:val="Defpara"/>
      </w:pPr>
      <w:r>
        <w:tab/>
        <w:t>(k)</w:t>
      </w:r>
      <w:r>
        <w:tab/>
        <w:t>a building engineering contractor, fire systems — technologist (partnership);</w:t>
      </w:r>
    </w:p>
    <w:p>
      <w:pPr>
        <w:pStyle w:val="Defpara"/>
      </w:pPr>
      <w:r>
        <w:tab/>
        <w:t>(l)</w:t>
      </w:r>
      <w:r>
        <w:tab/>
        <w:t>a building engineering contractor, fire systems — technologist (company);</w:t>
      </w:r>
    </w:p>
    <w:p>
      <w:pPr>
        <w:pStyle w:val="Defpara"/>
      </w:pPr>
      <w:r>
        <w:lastRenderedPageBreak/>
        <w:tab/>
        <w:t>(m)</w:t>
      </w:r>
      <w:r>
        <w:tab/>
        <w:t>a building engineering contractor, fire systems — associate (individual);</w:t>
      </w:r>
    </w:p>
    <w:p>
      <w:pPr>
        <w:pStyle w:val="Defpara"/>
      </w:pPr>
      <w:r>
        <w:tab/>
        <w:t>(n)</w:t>
      </w:r>
      <w:r>
        <w:tab/>
        <w:t>a building engineering contractor, fire systems — associate (partnership);</w:t>
      </w:r>
    </w:p>
    <w:p>
      <w:pPr>
        <w:pStyle w:val="Defpara"/>
      </w:pPr>
      <w:r>
        <w:tab/>
        <w:t>(o)</w:t>
      </w:r>
      <w:r>
        <w:tab/>
        <w:t>a building engineering contractor, fire systems — associate (company);</w:t>
      </w:r>
    </w:p>
    <w:p>
      <w:pPr>
        <w:pStyle w:val="Defstart"/>
      </w:pPr>
      <w:r>
        <w:tab/>
      </w:r>
      <w:r>
        <w:rPr>
          <w:rStyle w:val="CharDefText"/>
        </w:rPr>
        <w:t>building engineering practitioner</w:t>
      </w:r>
      <w:r>
        <w:t xml:space="preserve"> means any of the following — </w:t>
      </w:r>
    </w:p>
    <w:p>
      <w:pPr>
        <w:pStyle w:val="Defpara"/>
      </w:pPr>
      <w:r>
        <w:tab/>
        <w:t>(a)</w:t>
      </w:r>
      <w:r>
        <w:tab/>
        <w:t>a building engineering practitioner, structural — professional;</w:t>
      </w:r>
    </w:p>
    <w:p>
      <w:pPr>
        <w:pStyle w:val="Defpara"/>
      </w:pPr>
      <w:r>
        <w:tab/>
        <w:t>(b)</w:t>
      </w:r>
      <w:r>
        <w:tab/>
        <w:t>a building engineering practitioner, structural — technologist;</w:t>
      </w:r>
    </w:p>
    <w:p>
      <w:pPr>
        <w:pStyle w:val="Defpara"/>
      </w:pPr>
      <w:r>
        <w:tab/>
        <w:t>(c)</w:t>
      </w:r>
      <w:r>
        <w:tab/>
        <w:t>a building engineering practitioner, structural — associate;</w:t>
      </w:r>
    </w:p>
    <w:p>
      <w:pPr>
        <w:pStyle w:val="Defpara"/>
      </w:pPr>
      <w:r>
        <w:tab/>
        <w:t>(d)</w:t>
      </w:r>
      <w:r>
        <w:tab/>
        <w:t>a building engineering practitioner, fire safety — professional;</w:t>
      </w:r>
    </w:p>
    <w:p>
      <w:pPr>
        <w:pStyle w:val="Defpara"/>
      </w:pPr>
      <w:r>
        <w:tab/>
        <w:t>(e)</w:t>
      </w:r>
      <w:r>
        <w:tab/>
        <w:t>a building engineering practitioner, fire systems — technologist;</w:t>
      </w:r>
    </w:p>
    <w:p>
      <w:pPr>
        <w:pStyle w:val="Defpara"/>
      </w:pPr>
      <w:r>
        <w:tab/>
        <w:t>(f)</w:t>
      </w:r>
      <w:r>
        <w:tab/>
        <w:t>a building engineering practitioner, fire systems — associate.</w:t>
      </w:r>
    </w:p>
    <w:p>
      <w:pPr>
        <w:pStyle w:val="Footnotesection"/>
      </w:pPr>
      <w:r>
        <w:tab/>
        <w:t>[Regulation 28J inserted: SL 2023/64 r. 13.]</w:t>
      </w:r>
    </w:p>
    <w:p>
      <w:pPr>
        <w:pStyle w:val="Heading5"/>
      </w:pPr>
      <w:bookmarkStart w:id="65" w:name="_Toc177041691"/>
      <w:r>
        <w:rPr>
          <w:rStyle w:val="CharSectno"/>
        </w:rPr>
        <w:t>28K</w:t>
      </w:r>
      <w:r>
        <w:t>.</w:t>
      </w:r>
      <w:r>
        <w:tab/>
        <w:t>Prescribed titles: building engineering practitioners and building engineering contractors</w:t>
      </w:r>
      <w:bookmarkEnd w:id="65"/>
    </w:p>
    <w:p>
      <w:pPr>
        <w:pStyle w:val="Subsection"/>
      </w:pPr>
      <w:r>
        <w:tab/>
        <w:t>(1)</w:t>
      </w:r>
      <w:r>
        <w:tab/>
        <w:t>The titles listed under each Part heading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Borders>
              <w:top w:val="single" w:sz="4" w:space="0" w:color="auto"/>
              <w:left w:val="single" w:sz="4" w:space="0" w:color="auto"/>
              <w:bottom w:val="single" w:sz="4" w:space="0" w:color="auto"/>
              <w:right w:val="single" w:sz="4" w:space="0" w:color="auto"/>
            </w:tcBorders>
            <w:noWrap/>
          </w:tcPr>
          <w:p>
            <w:pPr>
              <w:pStyle w:val="TableNAm"/>
              <w:rPr>
                <w:b/>
              </w:rPr>
            </w:pPr>
            <w:r>
              <w:rPr>
                <w:b/>
              </w:rPr>
              <w:t>Part 1 — Building engineering practitioners</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pPr>
            <w:r>
              <w:t>Registered Building Engineer</w:t>
            </w:r>
          </w:p>
          <w:p>
            <w:pPr>
              <w:pStyle w:val="TableNAm"/>
            </w:pPr>
            <w:r>
              <w:lastRenderedPageBreak/>
              <w:t>Registered Building Engineering Practitioner: Structural (Professional)</w:t>
            </w:r>
          </w:p>
          <w:p>
            <w:pPr>
              <w:pStyle w:val="TableNAm"/>
            </w:pPr>
            <w:r>
              <w:t>Registered Building Engineering Practitioner: Structural (Technologist)</w:t>
            </w:r>
          </w:p>
          <w:p>
            <w:pPr>
              <w:pStyle w:val="TableNAm"/>
            </w:pPr>
            <w:r>
              <w:t>Registered Building Engineering Practitioner: Structural (Associate)</w:t>
            </w:r>
          </w:p>
          <w:p>
            <w:pPr>
              <w:pStyle w:val="TableNAm"/>
            </w:pPr>
            <w:r>
              <w:t>Registered Building Engineering Practitioner: Fire Safety (Professional)</w:t>
            </w:r>
          </w:p>
          <w:p>
            <w:pPr>
              <w:pStyle w:val="TableNAm"/>
            </w:pPr>
            <w:r>
              <w:t>Registered Building Engineering Practitioner: Fire Systems (Technologist)</w:t>
            </w:r>
          </w:p>
          <w:p>
            <w:pPr>
              <w:pStyle w:val="TableNAm"/>
            </w:pPr>
            <w:r>
              <w:t>Registered Building Engineering Practitioner: Fire Systems (Associate)</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rPr>
                <w:b/>
              </w:rPr>
            </w:pPr>
            <w:r>
              <w:rPr>
                <w:b/>
              </w:rPr>
              <w:lastRenderedPageBreak/>
              <w:t>Part 2 — Building engineering contractors</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pPr>
            <w:r>
              <w:t>Registered Building Engineering Contractor</w:t>
            </w:r>
          </w:p>
          <w:p>
            <w:pPr>
              <w:pStyle w:val="TableNAm"/>
            </w:pPr>
            <w:r>
              <w:t>Registered Building Engineering Contractor: Professional (Individual)</w:t>
            </w:r>
          </w:p>
          <w:p>
            <w:pPr>
              <w:pStyle w:val="TableNAm"/>
            </w:pPr>
            <w:r>
              <w:t>Registered Building Engineering Contractor: Professional (Partnership)</w:t>
            </w:r>
          </w:p>
          <w:p>
            <w:pPr>
              <w:pStyle w:val="TableNAm"/>
            </w:pPr>
            <w:r>
              <w:t>Registered Building Engineering Contractor: Professional (Company)</w:t>
            </w:r>
          </w:p>
          <w:p>
            <w:pPr>
              <w:pStyle w:val="TableNAm"/>
            </w:pPr>
            <w:r>
              <w:t>Registered Building Engineering Contractor: Technologist (Individual)</w:t>
            </w:r>
          </w:p>
          <w:p>
            <w:pPr>
              <w:pStyle w:val="TableNAm"/>
            </w:pPr>
            <w:r>
              <w:t>Registered Building Engineering Contractor: Technologist (Partnership)</w:t>
            </w:r>
          </w:p>
          <w:p>
            <w:pPr>
              <w:pStyle w:val="TableNAm"/>
            </w:pPr>
            <w:r>
              <w:t>Registered Building Engineering Contractor: Technologist (Company)</w:t>
            </w:r>
          </w:p>
          <w:p>
            <w:pPr>
              <w:pStyle w:val="TableNAm"/>
            </w:pPr>
            <w:r>
              <w:t>Registered Building Engineering Contractor: Associate (Individual)</w:t>
            </w:r>
          </w:p>
          <w:p>
            <w:pPr>
              <w:pStyle w:val="TableNAm"/>
            </w:pPr>
            <w:r>
              <w:lastRenderedPageBreak/>
              <w:t>Registered Building Engineering Contractor: Associate (Partnership)</w:t>
            </w:r>
          </w:p>
          <w:p>
            <w:pPr>
              <w:pStyle w:val="TableNAm"/>
            </w:pPr>
            <w:r>
              <w:t>Registered Building Engineering Contractor: Associate (Company)</w:t>
            </w:r>
          </w:p>
          <w:p>
            <w:pPr>
              <w:pStyle w:val="TableNAm"/>
            </w:pPr>
            <w:r>
              <w:t>Registered Building Engineering Contractor, Fire Systems: Technologist (Individual)</w:t>
            </w:r>
          </w:p>
          <w:p>
            <w:pPr>
              <w:pStyle w:val="TableNAm"/>
            </w:pPr>
            <w:r>
              <w:t>Registered Building Engineering Contractor, Fire Systems: Technologist (Partnership)</w:t>
            </w:r>
          </w:p>
          <w:p>
            <w:pPr>
              <w:pStyle w:val="TableNAm"/>
            </w:pPr>
            <w:r>
              <w:t>Registered Building Engineering Contractor, Fire Systems: Technologist (Company)</w:t>
            </w:r>
          </w:p>
          <w:p>
            <w:pPr>
              <w:pStyle w:val="TableNAm"/>
            </w:pPr>
            <w:r>
              <w:t>Registered Building Engineering Contractor, Fire Systems: Associate (Individual)</w:t>
            </w:r>
          </w:p>
          <w:p>
            <w:pPr>
              <w:pStyle w:val="TableNAm"/>
            </w:pPr>
            <w:r>
              <w:t>Registered Building Engineering Contractor, Fire Systems: Associate (Partnership)</w:t>
            </w:r>
          </w:p>
          <w:p>
            <w:pPr>
              <w:pStyle w:val="TableNAm"/>
            </w:pPr>
            <w:r>
              <w:t>Registered Building Engineering Contractor, Fire Systems: Associate (Company)</w:t>
            </w:r>
          </w:p>
        </w:tc>
      </w:tr>
    </w:tbl>
    <w:p>
      <w:pPr>
        <w:pStyle w:val="Subsection"/>
      </w:pPr>
      <w:r>
        <w:lastRenderedPageBreak/>
        <w:tab/>
        <w:t>(2)</w:t>
      </w:r>
      <w:r>
        <w:tab/>
        <w:t>A building engineering practitioner is entitled to use a title prescribed in Part 1 of the Table to subregulation (1).</w:t>
      </w:r>
    </w:p>
    <w:p>
      <w:pPr>
        <w:pStyle w:val="Subsection"/>
      </w:pPr>
      <w:r>
        <w:tab/>
        <w:t>(3)</w:t>
      </w:r>
      <w:r>
        <w:tab/>
        <w:t>A building engineering contractor is entitled to use a title prescribed in Part 2 of the Table to subregulation (1).</w:t>
      </w:r>
    </w:p>
    <w:p>
      <w:pPr>
        <w:pStyle w:val="Footnotesection"/>
      </w:pPr>
      <w:r>
        <w:tab/>
        <w:t>[Regulation 28K inserted: SL 2023/64 r. 13.]</w:t>
      </w:r>
    </w:p>
    <w:p>
      <w:pPr>
        <w:pStyle w:val="Heading5"/>
      </w:pPr>
      <w:bookmarkStart w:id="66" w:name="_Toc177041692"/>
      <w:r>
        <w:rPr>
          <w:rStyle w:val="CharSectno"/>
        </w:rPr>
        <w:t>28L</w:t>
      </w:r>
      <w:r>
        <w:t>.</w:t>
      </w:r>
      <w:r>
        <w:tab/>
        <w:t>Building engineering contractors: building services prescribed</w:t>
      </w:r>
      <w:bookmarkEnd w:id="66"/>
    </w:p>
    <w:p>
      <w:pPr>
        <w:pStyle w:val="Subsection"/>
      </w:pPr>
      <w:r>
        <w:tab/>
        <w:t>(1)</w:t>
      </w:r>
      <w:r>
        <w:tab/>
        <w:t xml:space="preserve">In this regulation — </w:t>
      </w:r>
    </w:p>
    <w:p>
      <w:pPr>
        <w:pStyle w:val="Defstart"/>
      </w:pPr>
      <w:r>
        <w:tab/>
      </w:r>
      <w:r>
        <w:rPr>
          <w:rStyle w:val="CharDefText"/>
        </w:rPr>
        <w:t>low</w:t>
      </w:r>
      <w:r>
        <w:rPr>
          <w:rStyle w:val="CharDefText"/>
        </w:rPr>
        <w:noBreakHyphen/>
        <w:t>rise building</w:t>
      </w:r>
      <w:r>
        <w:t xml:space="preserve"> means a building that, under the Building Code, is — </w:t>
      </w:r>
    </w:p>
    <w:p>
      <w:pPr>
        <w:pStyle w:val="Defpara"/>
      </w:pPr>
      <w:r>
        <w:tab/>
        <w:t>(a)</w:t>
      </w:r>
      <w:r>
        <w:tab/>
        <w:t>a Class 1 or 10 building; or</w:t>
      </w:r>
    </w:p>
    <w:p>
      <w:pPr>
        <w:pStyle w:val="Defpara"/>
      </w:pPr>
      <w:r>
        <w:lastRenderedPageBreak/>
        <w:tab/>
        <w:t>(b)</w:t>
      </w:r>
      <w:r>
        <w:tab/>
        <w:t>a Class 2 to 9 building with a gross floor area of not more than 2 000 m</w:t>
      </w:r>
      <w:r>
        <w:rPr>
          <w:vertAlign w:val="superscript"/>
        </w:rPr>
        <w:t>2</w:t>
      </w:r>
      <w:r>
        <w:t>, except a building of Type A or Type B construction;</w:t>
      </w:r>
    </w:p>
    <w:p>
      <w:pPr>
        <w:pStyle w:val="Defstart"/>
      </w:pPr>
      <w:r>
        <w:tab/>
      </w:r>
      <w:r>
        <w:rPr>
          <w:rStyle w:val="CharDefText"/>
        </w:rPr>
        <w:t>medium</w:t>
      </w:r>
      <w:r>
        <w:rPr>
          <w:rStyle w:val="CharDefText"/>
        </w:rPr>
        <w:noBreakHyphen/>
        <w:t>rise building</w:t>
      </w:r>
      <w:r>
        <w:t xml:space="preserve"> means a building that, under the Building Code, is — </w:t>
      </w:r>
    </w:p>
    <w:p>
      <w:pPr>
        <w:pStyle w:val="Defpara"/>
      </w:pPr>
      <w:r>
        <w:tab/>
        <w:t>(a)</w:t>
      </w:r>
      <w:r>
        <w:tab/>
        <w:t xml:space="preserve">a Class 2, 3 or 9 building not referred to in paragraph (b) of the definition of </w:t>
      </w:r>
      <w:r>
        <w:rPr>
          <w:b/>
          <w:i/>
        </w:rPr>
        <w:t>low</w:t>
      </w:r>
      <w:r>
        <w:rPr>
          <w:b/>
          <w:i/>
        </w:rPr>
        <w:noBreakHyphen/>
        <w:t>rise building</w:t>
      </w:r>
      <w:r>
        <w:t xml:space="preserve"> to a maximum of 3 storeys above a Class 7a storey; or</w:t>
      </w:r>
    </w:p>
    <w:p>
      <w:pPr>
        <w:pStyle w:val="Defpara"/>
      </w:pPr>
      <w:r>
        <w:tab/>
        <w:t>(b)</w:t>
      </w:r>
      <w:r>
        <w:tab/>
        <w:t xml:space="preserve">a Class 4 to 8 building not referred to in paragraph (b) of the definition of </w:t>
      </w:r>
      <w:r>
        <w:rPr>
          <w:b/>
          <w:i/>
        </w:rPr>
        <w:t>low</w:t>
      </w:r>
      <w:r>
        <w:rPr>
          <w:b/>
          <w:i/>
        </w:rPr>
        <w:noBreakHyphen/>
        <w:t>rise building</w:t>
      </w:r>
      <w:r>
        <w:t xml:space="preserve"> to a maximum of 3 storeys above a Class 7a storey, except a building of Type A construction;</w:t>
      </w:r>
    </w:p>
    <w:p>
      <w:pPr>
        <w:pStyle w:val="Defstart"/>
      </w:pPr>
      <w:r>
        <w:tab/>
      </w:r>
      <w:r>
        <w:rPr>
          <w:rStyle w:val="CharDefText"/>
        </w:rPr>
        <w:t>professional engineering work</w:t>
      </w:r>
      <w:r>
        <w:t xml:space="preserve"> has the meaning given in the </w:t>
      </w:r>
      <w:r>
        <w:rPr>
          <w:i/>
        </w:rPr>
        <w:t>Building Services (Complaint Resolution and Administration) Regulations 2011</w:t>
      </w:r>
      <w:r>
        <w:t xml:space="preserve"> regulation 4B(1);</w:t>
      </w:r>
    </w:p>
    <w:p>
      <w:pPr>
        <w:pStyle w:val="Defstart"/>
      </w:pPr>
      <w:r>
        <w:tab/>
      </w:r>
      <w:r>
        <w:rPr>
          <w:rStyle w:val="CharDefText"/>
        </w:rPr>
        <w:t>technical engineering work</w:t>
      </w:r>
      <w:r>
        <w:t xml:space="preserve"> has the meaning given in the </w:t>
      </w:r>
      <w:r>
        <w:rPr>
          <w:i/>
        </w:rPr>
        <w:t>Building Services (Complaint Resolution and Administration) Regulations 2011</w:t>
      </w:r>
      <w:r>
        <w:t xml:space="preserve"> regulation 4B(1).</w:t>
      </w:r>
    </w:p>
    <w:p>
      <w:pPr>
        <w:pStyle w:val="Subsection"/>
      </w:pPr>
      <w:r>
        <w:tab/>
        <w:t>(2)</w:t>
      </w:r>
      <w:r>
        <w:tab/>
        <w:t xml:space="preserve">For the purposes of section 11(a) — </w:t>
      </w:r>
    </w:p>
    <w:p>
      <w:pPr>
        <w:pStyle w:val="Indenta"/>
      </w:pPr>
      <w:r>
        <w:tab/>
        <w:t>(a)</w:t>
      </w:r>
      <w:r>
        <w:tab/>
        <w:t xml:space="preserve">building engineering comprising professional engineering work or technical engineering work is prescribed for the following — </w:t>
      </w:r>
    </w:p>
    <w:p>
      <w:pPr>
        <w:pStyle w:val="Indenti"/>
      </w:pPr>
      <w:r>
        <w:tab/>
        <w:t>(i)</w:t>
      </w:r>
      <w:r>
        <w:tab/>
        <w:t>a building engineering contractor — professional (individual);</w:t>
      </w:r>
    </w:p>
    <w:p>
      <w:pPr>
        <w:pStyle w:val="Indenti"/>
      </w:pPr>
      <w:r>
        <w:tab/>
        <w:t>(ii)</w:t>
      </w:r>
      <w:r>
        <w:tab/>
        <w:t>a building engineering contractor — professional (partnership);</w:t>
      </w:r>
    </w:p>
    <w:p>
      <w:pPr>
        <w:pStyle w:val="Indenti"/>
      </w:pPr>
      <w:r>
        <w:tab/>
        <w:t>(iii)</w:t>
      </w:r>
      <w:r>
        <w:tab/>
        <w:t>a building engineering contractor — professional (company);</w:t>
      </w:r>
    </w:p>
    <w:p>
      <w:pPr>
        <w:pStyle w:val="Indenta"/>
      </w:pPr>
      <w:r>
        <w:tab/>
      </w:r>
      <w:r>
        <w:tab/>
        <w:t>and</w:t>
      </w:r>
    </w:p>
    <w:p>
      <w:pPr>
        <w:pStyle w:val="Indenta"/>
      </w:pPr>
      <w:r>
        <w:tab/>
        <w:t>(b)</w:t>
      </w:r>
      <w:r>
        <w:tab/>
        <w:t xml:space="preserve">building engineering comprising technical engineering work is prescribed for the following — </w:t>
      </w:r>
    </w:p>
    <w:p>
      <w:pPr>
        <w:pStyle w:val="Indenti"/>
      </w:pPr>
      <w:r>
        <w:tab/>
        <w:t>(i)</w:t>
      </w:r>
      <w:r>
        <w:tab/>
        <w:t>a building engineering contractor, fire systems — technologist (individual);</w:t>
      </w:r>
    </w:p>
    <w:p>
      <w:pPr>
        <w:pStyle w:val="Indenti"/>
      </w:pPr>
      <w:r>
        <w:lastRenderedPageBreak/>
        <w:tab/>
        <w:t>(ii)</w:t>
      </w:r>
      <w:r>
        <w:tab/>
        <w:t>a building engineering contractor, fire systems — technologist (partnership);</w:t>
      </w:r>
    </w:p>
    <w:p>
      <w:pPr>
        <w:pStyle w:val="Indenti"/>
      </w:pPr>
      <w:r>
        <w:tab/>
        <w:t>(iii)</w:t>
      </w:r>
      <w:r>
        <w:tab/>
        <w:t>a building engineering contractor, fire systems — technologist (company);</w:t>
      </w:r>
    </w:p>
    <w:p>
      <w:pPr>
        <w:pStyle w:val="Indenta"/>
      </w:pPr>
      <w:r>
        <w:tab/>
      </w:r>
      <w:r>
        <w:tab/>
        <w:t>and</w:t>
      </w:r>
    </w:p>
    <w:p>
      <w:pPr>
        <w:pStyle w:val="Indenta"/>
      </w:pPr>
      <w:r>
        <w:tab/>
        <w:t>(c)</w:t>
      </w:r>
      <w:r>
        <w:tab/>
        <w:t>building engineering comprising technical engineering work for a low</w:t>
      </w:r>
      <w:r>
        <w:noBreakHyphen/>
        <w:t>rise building or medium</w:t>
      </w:r>
      <w:r>
        <w:noBreakHyphen/>
        <w:t>rise building, or incidental structure, is prescribed for the following —</w:t>
      </w:r>
    </w:p>
    <w:p>
      <w:pPr>
        <w:pStyle w:val="Indenti"/>
      </w:pPr>
      <w:r>
        <w:tab/>
        <w:t>(i)</w:t>
      </w:r>
      <w:r>
        <w:tab/>
        <w:t>a building engineering contractor — technologist (individual);</w:t>
      </w:r>
    </w:p>
    <w:p>
      <w:pPr>
        <w:pStyle w:val="Indenti"/>
      </w:pPr>
      <w:r>
        <w:tab/>
        <w:t>(ii)</w:t>
      </w:r>
      <w:r>
        <w:tab/>
        <w:t>a building engineering contractor — technologist (partnership);</w:t>
      </w:r>
    </w:p>
    <w:p>
      <w:pPr>
        <w:pStyle w:val="Indenti"/>
      </w:pPr>
      <w:r>
        <w:tab/>
        <w:t>(iii)</w:t>
      </w:r>
      <w:r>
        <w:tab/>
        <w:t>a building engineering contractor — technologist (company);</w:t>
      </w:r>
    </w:p>
    <w:p>
      <w:pPr>
        <w:pStyle w:val="Indenti"/>
      </w:pPr>
      <w:r>
        <w:tab/>
        <w:t>(iv)</w:t>
      </w:r>
      <w:r>
        <w:tab/>
        <w:t>a building engineering contractor, fire systems — associate (individual);</w:t>
      </w:r>
    </w:p>
    <w:p>
      <w:pPr>
        <w:pStyle w:val="Indenti"/>
      </w:pPr>
      <w:r>
        <w:tab/>
        <w:t>(v)</w:t>
      </w:r>
      <w:r>
        <w:tab/>
        <w:t>a building engineering contractor, fire systems — associate (partnership);</w:t>
      </w:r>
    </w:p>
    <w:p>
      <w:pPr>
        <w:pStyle w:val="Indenti"/>
      </w:pPr>
      <w:r>
        <w:tab/>
        <w:t>(vi)</w:t>
      </w:r>
      <w:r>
        <w:tab/>
        <w:t>a building engineering contractor, fire systems — associate (company);</w:t>
      </w:r>
    </w:p>
    <w:p>
      <w:pPr>
        <w:pStyle w:val="Indenta"/>
      </w:pPr>
      <w:r>
        <w:tab/>
      </w:r>
      <w:r>
        <w:tab/>
        <w:t>and</w:t>
      </w:r>
    </w:p>
    <w:p>
      <w:pPr>
        <w:pStyle w:val="Indenta"/>
      </w:pPr>
      <w:r>
        <w:tab/>
        <w:t>(d)</w:t>
      </w:r>
      <w:r>
        <w:tab/>
        <w:t>building engineering comprising technical engineering work for a low</w:t>
      </w:r>
      <w:r>
        <w:noBreakHyphen/>
        <w:t xml:space="preserve">rise building or incidental structure is prescribed for the following — </w:t>
      </w:r>
    </w:p>
    <w:p>
      <w:pPr>
        <w:pStyle w:val="Indenti"/>
      </w:pPr>
      <w:r>
        <w:tab/>
        <w:t>(i)</w:t>
      </w:r>
      <w:r>
        <w:tab/>
        <w:t>a building engineering contractor — associate (individual);</w:t>
      </w:r>
    </w:p>
    <w:p>
      <w:pPr>
        <w:pStyle w:val="Indenti"/>
      </w:pPr>
      <w:r>
        <w:tab/>
        <w:t>(ii)</w:t>
      </w:r>
      <w:r>
        <w:tab/>
        <w:t>a building engineering contractor — associate (partnership);</w:t>
      </w:r>
    </w:p>
    <w:p>
      <w:pPr>
        <w:pStyle w:val="Indenti"/>
      </w:pPr>
      <w:r>
        <w:tab/>
        <w:t>(iii)</w:t>
      </w:r>
      <w:r>
        <w:tab/>
        <w:t>a building engineering contractor — associate (company).</w:t>
      </w:r>
    </w:p>
    <w:p>
      <w:pPr>
        <w:pStyle w:val="Footnotesection"/>
      </w:pPr>
      <w:r>
        <w:tab/>
        <w:t>[Regulation 28L inserted: SL 2023/64 r. 13.]</w:t>
      </w:r>
    </w:p>
    <w:p>
      <w:pPr>
        <w:pStyle w:val="Heading5"/>
      </w:pPr>
      <w:bookmarkStart w:id="67" w:name="_Toc177041693"/>
      <w:r>
        <w:rPr>
          <w:rStyle w:val="CharSectno"/>
        </w:rPr>
        <w:lastRenderedPageBreak/>
        <w:t>28M</w:t>
      </w:r>
      <w:r>
        <w:t>.</w:t>
      </w:r>
      <w:r>
        <w:tab/>
        <w:t>Qualifications and experience: building engineering practitioners</w:t>
      </w:r>
      <w:bookmarkEnd w:id="67"/>
    </w:p>
    <w:p>
      <w:pPr>
        <w:pStyle w:val="Subsection"/>
      </w:pPr>
      <w:r>
        <w:tab/>
        <w:t>(1)</w:t>
      </w:r>
      <w:r>
        <w:tab/>
        <w:t xml:space="preserve">In this regulation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engineering practitioner is made; and</w:t>
      </w:r>
    </w:p>
    <w:p>
      <w:pPr>
        <w:pStyle w:val="Defpara"/>
      </w:pPr>
      <w:r>
        <w:tab/>
        <w:t>(b)</w:t>
      </w:r>
      <w:r>
        <w:tab/>
        <w:t>whose registration expired or was suspended or cancelled at the request of the person;</w:t>
      </w:r>
    </w:p>
    <w:p>
      <w:pPr>
        <w:pStyle w:val="Defstart"/>
      </w:pPr>
      <w:r>
        <w:tab/>
      </w:r>
      <w:r>
        <w:rPr>
          <w:rStyle w:val="CharDefText"/>
        </w:rPr>
        <w:t>prescribed fire system</w:t>
      </w:r>
      <w:r>
        <w:t xml:space="preserve"> means any of the following — </w:t>
      </w:r>
    </w:p>
    <w:p>
      <w:pPr>
        <w:pStyle w:val="Defpara"/>
      </w:pPr>
      <w:r>
        <w:tab/>
        <w:t>(a)</w:t>
      </w:r>
      <w:r>
        <w:tab/>
        <w:t xml:space="preserve">a hydraulic fire safety system, including the following — </w:t>
      </w:r>
    </w:p>
    <w:p>
      <w:pPr>
        <w:pStyle w:val="Defsubpara"/>
      </w:pPr>
      <w:r>
        <w:tab/>
        <w:t>(i)</w:t>
      </w:r>
      <w:r>
        <w:tab/>
        <w:t xml:space="preserve">a fire hydrant system; </w:t>
      </w:r>
    </w:p>
    <w:p>
      <w:pPr>
        <w:pStyle w:val="Defsubpara"/>
      </w:pPr>
      <w:r>
        <w:tab/>
        <w:t>(ii)</w:t>
      </w:r>
      <w:r>
        <w:tab/>
        <w:t>a fire hose reel system;</w:t>
      </w:r>
    </w:p>
    <w:p>
      <w:pPr>
        <w:pStyle w:val="Defsubpara"/>
      </w:pPr>
      <w:r>
        <w:tab/>
        <w:t>(iii)</w:t>
      </w:r>
      <w:r>
        <w:tab/>
        <w:t>a fire sprinkler system (whether a wall wetting sprinkler, drencher system or other system);</w:t>
      </w:r>
    </w:p>
    <w:p>
      <w:pPr>
        <w:pStyle w:val="Defsubpara"/>
      </w:pPr>
      <w:r>
        <w:tab/>
        <w:t>(iv)</w:t>
      </w:r>
      <w:r>
        <w:tab/>
        <w:t>any type of automatic fire suppression system of a hydraulic nature;</w:t>
      </w:r>
    </w:p>
    <w:p>
      <w:pPr>
        <w:pStyle w:val="Defpara"/>
      </w:pPr>
      <w:r>
        <w:tab/>
        <w:t>(b)</w:t>
      </w:r>
      <w:r>
        <w:tab/>
        <w:t>a fire detection and alarm system;</w:t>
      </w:r>
    </w:p>
    <w:p>
      <w:pPr>
        <w:pStyle w:val="Defpara"/>
      </w:pPr>
      <w:r>
        <w:tab/>
        <w:t>(c)</w:t>
      </w:r>
      <w:r>
        <w:tab/>
        <w:t>a mechanical ducted smoke control system;</w:t>
      </w:r>
    </w:p>
    <w:p>
      <w:pPr>
        <w:pStyle w:val="Defstart"/>
      </w:pPr>
      <w:r>
        <w:tab/>
      </w:r>
      <w:r>
        <w:rPr>
          <w:rStyle w:val="CharDefText"/>
        </w:rPr>
        <w:t>previously registered</w:t>
      </w:r>
      <w:r>
        <w:t xml:space="preserve"> means previously registered as a building engineering practitioner;</w:t>
      </w:r>
    </w:p>
    <w:p>
      <w:pPr>
        <w:pStyle w:val="Defstart"/>
      </w:pPr>
      <w:r>
        <w:tab/>
      </w:r>
      <w:r>
        <w:rPr>
          <w:rStyle w:val="CharDefText"/>
        </w:rPr>
        <w:t>relevant</w:t>
      </w:r>
      <w:r>
        <w:t>, in relation to experience in building engineering or the building engineering industry, has the meaning given in subregulation (5).</w:t>
      </w:r>
    </w:p>
    <w:p>
      <w:pPr>
        <w:pStyle w:val="Subsection"/>
      </w:pPr>
      <w:r>
        <w:tab/>
        <w:t>(2)</w:t>
      </w:r>
      <w:r>
        <w:tab/>
        <w:t>For the purposes of section 17(1)(b), a qualification (if any) listed in the Table, together with the experience listed opposite the qualification, are prescribed as qualifications and experience for building engineering practitioners.</w:t>
      </w:r>
    </w:p>
    <w:p>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956"/>
      </w:tblGrid>
      <w:tr>
        <w:trPr>
          <w:tblHeader/>
        </w:trPr>
        <w:tc>
          <w:tcPr>
            <w:tcW w:w="4111" w:type="dxa"/>
            <w:noWrap/>
          </w:tcPr>
          <w:p>
            <w:pPr>
              <w:pStyle w:val="TableNAm"/>
              <w:rPr>
                <w:b/>
              </w:rPr>
            </w:pPr>
            <w:r>
              <w:rPr>
                <w:b/>
              </w:rPr>
              <w:t>Qualifications</w:t>
            </w:r>
          </w:p>
        </w:tc>
        <w:tc>
          <w:tcPr>
            <w:tcW w:w="1956" w:type="dxa"/>
            <w:noWrap/>
          </w:tcPr>
          <w:p>
            <w:pPr>
              <w:pStyle w:val="TableNAm"/>
              <w:rPr>
                <w:b/>
              </w:rPr>
            </w:pPr>
            <w:r>
              <w:rPr>
                <w:b/>
              </w:rPr>
              <w:t>Experience</w:t>
            </w:r>
          </w:p>
        </w:tc>
      </w:tr>
      <w:tr>
        <w:tc>
          <w:tcPr>
            <w:tcW w:w="6067" w:type="dxa"/>
            <w:gridSpan w:val="2"/>
            <w:tcBorders>
              <w:bottom w:val="single" w:sz="4" w:space="0" w:color="auto"/>
            </w:tcBorders>
            <w:noWrap/>
          </w:tcPr>
          <w:p>
            <w:pPr>
              <w:pStyle w:val="TableNAm"/>
              <w:ind w:left="323" w:hanging="323"/>
              <w:rPr>
                <w:b/>
              </w:rPr>
            </w:pPr>
            <w:r>
              <w:rPr>
                <w:b/>
              </w:rPr>
              <w:t>1.</w:t>
            </w:r>
            <w:r>
              <w:rPr>
                <w:b/>
              </w:rPr>
              <w:tab/>
              <w:t>Building engineering practitioner, structural — professional</w:t>
            </w:r>
          </w:p>
        </w:tc>
      </w:tr>
      <w:tr>
        <w:tc>
          <w:tcPr>
            <w:tcW w:w="4111" w:type="dxa"/>
            <w:noWrap/>
          </w:tcPr>
          <w:p>
            <w:pPr>
              <w:pStyle w:val="TableNAm"/>
              <w:rPr>
                <w:rStyle w:val="DraftersNotes"/>
              </w:rPr>
            </w:pPr>
            <w:r>
              <w:t>Bachelor or Master of civil or structural engineering accredited to the Washington Accord and published by Engineers Australia’s Australian Engineering Accreditation Centre</w:t>
            </w:r>
          </w:p>
        </w:tc>
        <w:tc>
          <w:tcPr>
            <w:tcW w:w="1956" w:type="dxa"/>
            <w:noWrap/>
          </w:tcPr>
          <w:p>
            <w:pPr>
              <w:pStyle w:val="TableNAm"/>
              <w:rPr>
                <w:rStyle w:val="DraftersNotes"/>
                <w:b w:val="0"/>
                <w:i w:val="0"/>
              </w:rPr>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2.</w:t>
            </w:r>
            <w:r>
              <w:rPr>
                <w:b/>
              </w:rPr>
              <w:tab/>
              <w:t>Building engineering practitioner, structural — technologist</w:t>
            </w:r>
          </w:p>
        </w:tc>
      </w:tr>
      <w:tr>
        <w:tc>
          <w:tcPr>
            <w:tcW w:w="4111" w:type="dxa"/>
            <w:noWrap/>
          </w:tcPr>
          <w:p>
            <w:pPr>
              <w:pStyle w:val="TableNAm"/>
            </w:pPr>
            <w:r>
              <w:t>Bachelor of engineering technology, science or design in the structural discipline accredited to the Sydney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3.</w:t>
            </w:r>
            <w:r>
              <w:rPr>
                <w:b/>
              </w:rPr>
              <w:tab/>
              <w:t>Building engineering practitioner, structural — associate</w:t>
            </w:r>
          </w:p>
        </w:tc>
      </w:tr>
      <w:tr>
        <w:tc>
          <w:tcPr>
            <w:tcW w:w="4111" w:type="dxa"/>
            <w:noWrap/>
          </w:tcPr>
          <w:p>
            <w:pPr>
              <w:pStyle w:val="TableNAm"/>
            </w:pPr>
            <w:r>
              <w:t xml:space="preserve">Advanced Diploma or Associate Degree in structural design or drafting accredited to the Dublin Accord and published by Engineers Australia’s </w:t>
            </w:r>
            <w:r>
              <w:lastRenderedPageBreak/>
              <w:t>Australian Engineering Accreditation Centre</w:t>
            </w:r>
          </w:p>
        </w:tc>
        <w:tc>
          <w:tcPr>
            <w:tcW w:w="1956" w:type="dxa"/>
            <w:noWrap/>
          </w:tcPr>
          <w:p>
            <w:pPr>
              <w:pStyle w:val="TableNAm"/>
            </w:pPr>
            <w:r>
              <w:lastRenderedPageBreak/>
              <w:t>5 years of full</w:t>
            </w:r>
            <w:r>
              <w:noBreakHyphen/>
              <w:t xml:space="preserve">time relevant building engineering </w:t>
            </w:r>
            <w:r>
              <w:lastRenderedPageBreak/>
              <w:t>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lastRenderedPageBreak/>
              <w:t>4.</w:t>
            </w:r>
            <w:r>
              <w:rPr>
                <w:b/>
              </w:rPr>
              <w:tab/>
              <w:t>Building engineering practitioner, fire safety — professional</w:t>
            </w:r>
          </w:p>
        </w:tc>
      </w:tr>
      <w:tr>
        <w:tc>
          <w:tcPr>
            <w:tcW w:w="4111" w:type="dxa"/>
            <w:noWrap/>
          </w:tcPr>
          <w:p>
            <w:pPr>
              <w:pStyle w:val="TableNAm"/>
              <w:keepLines/>
            </w:pPr>
            <w:r>
              <w:t>Bachelor or Master in a relevant field of engineering accredited to the Washington Accord and published by Engineers Australia’s Australian Engineering Accreditation Centre and, if the degree is not in fire engineering, a Graduate Diploma in fire engineering or a Master of fire engineering</w:t>
            </w:r>
          </w:p>
        </w:tc>
        <w:tc>
          <w:tcPr>
            <w:tcW w:w="1956" w:type="dxa"/>
            <w:noWrap/>
          </w:tcPr>
          <w:p>
            <w:pPr>
              <w:pStyle w:val="TableNAm"/>
              <w:keepLines/>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ind w:left="323" w:hanging="323"/>
              <w:rPr>
                <w:b/>
              </w:rPr>
            </w:pPr>
            <w:r>
              <w:rPr>
                <w:b/>
              </w:rPr>
              <w:t>5.</w:t>
            </w:r>
            <w:r>
              <w:rPr>
                <w:b/>
              </w:rPr>
              <w:tab/>
              <w:t>Building engineering practitioner, fire systems — technologist</w:t>
            </w:r>
          </w:p>
        </w:tc>
      </w:tr>
      <w:tr>
        <w:tc>
          <w:tcPr>
            <w:tcW w:w="4111" w:type="dxa"/>
            <w:noWrap/>
          </w:tcPr>
          <w:p>
            <w:pPr>
              <w:pStyle w:val="TableNAm"/>
            </w:pPr>
            <w:r>
              <w:t>Diploma in fire systems design with units relevant to 1 or more prescribed fire systems</w:t>
            </w:r>
          </w:p>
        </w:tc>
        <w:tc>
          <w:tcPr>
            <w:tcW w:w="1956" w:type="dxa"/>
            <w:noWrap/>
          </w:tcPr>
          <w:p>
            <w:pPr>
              <w:pStyle w:val="TableNAm"/>
              <w:rPr>
                <w:rStyle w:val="DraftersNotes"/>
                <w:b w:val="0"/>
                <w:i w:val="0"/>
              </w:rPr>
            </w:pPr>
            <w:r>
              <w:t>5 years of full</w:t>
            </w:r>
            <w:r>
              <w:noBreakHyphen/>
              <w:t>time relevant building engineering experience in the past 10 years</w:t>
            </w:r>
          </w:p>
        </w:tc>
      </w:tr>
      <w:tr>
        <w:tc>
          <w:tcPr>
            <w:tcW w:w="6067" w:type="dxa"/>
            <w:gridSpan w:val="2"/>
            <w:tcBorders>
              <w:bottom w:val="single" w:sz="4" w:space="0" w:color="auto"/>
            </w:tcBorders>
            <w:noWrap/>
          </w:tcPr>
          <w:p>
            <w:pPr>
              <w:pStyle w:val="TableNAm"/>
              <w:ind w:left="323" w:hanging="323"/>
              <w:rPr>
                <w:b/>
              </w:rPr>
            </w:pPr>
            <w:r>
              <w:rPr>
                <w:b/>
              </w:rPr>
              <w:t>6.</w:t>
            </w:r>
            <w:r>
              <w:rPr>
                <w:b/>
              </w:rPr>
              <w:tab/>
              <w:t>Building engineering practitioner, fire systems — associate</w:t>
            </w:r>
          </w:p>
        </w:tc>
      </w:tr>
      <w:tr>
        <w:tc>
          <w:tcPr>
            <w:tcW w:w="4111" w:type="dxa"/>
            <w:noWrap/>
          </w:tcPr>
          <w:p>
            <w:pPr>
              <w:pStyle w:val="TableNAm"/>
              <w:rPr>
                <w:rStyle w:val="DraftersNotes"/>
                <w:b w:val="0"/>
                <w:i w:val="0"/>
                <w:sz w:val="24"/>
              </w:rPr>
            </w:pPr>
            <w:r>
              <w:t>Diploma in fire systems design with units relevant to 1 or more prescribed fire systems</w:t>
            </w:r>
          </w:p>
        </w:tc>
        <w:tc>
          <w:tcPr>
            <w:tcW w:w="1956" w:type="dxa"/>
            <w:noWrap/>
          </w:tcPr>
          <w:p>
            <w:pPr>
              <w:pStyle w:val="TableNAm"/>
            </w:pPr>
            <w:r>
              <w:t>3 years of full</w:t>
            </w:r>
            <w:r>
              <w:noBreakHyphen/>
              <w:t xml:space="preserve">time relevant building </w:t>
            </w:r>
            <w:r>
              <w:lastRenderedPageBreak/>
              <w:t>engineering experience in the past 6 years</w:t>
            </w:r>
          </w:p>
        </w:tc>
      </w:tr>
    </w:tbl>
    <w:p>
      <w:pPr>
        <w:pStyle w:val="Subsection"/>
      </w:pPr>
      <w:r>
        <w:lastRenderedPageBreak/>
        <w:tab/>
        <w:t>(3)</w:t>
      </w:r>
      <w:r>
        <w:tab/>
        <w:t>For the purposes of section 17(1)(b), the qualifications and experience for the renewal of the registration of a building engineering practitioner are the qualifications (if any) and the experience that entitled the person to be registered as evidenced by the registration.</w:t>
      </w:r>
    </w:p>
    <w:p>
      <w:pPr>
        <w:pStyle w:val="Subsection"/>
      </w:pPr>
      <w:r>
        <w:tab/>
        <w:t>(4)</w:t>
      </w:r>
      <w:r>
        <w:tab/>
        <w:t>For the purposes of section 17(1)(b), the qualifications and experience for registration as a building engineering practitioner for an eligible person are the qualifications (if any) and the experience that entitled the eligible person to be previously registered as evidenced by the registration.</w:t>
      </w:r>
    </w:p>
    <w:p>
      <w:pPr>
        <w:pStyle w:val="Subsection"/>
      </w:pPr>
      <w:r>
        <w:tab/>
        <w:t>(5)</w:t>
      </w:r>
      <w:r>
        <w:tab/>
        <w:t xml:space="preserve">For the purposes of section 17(1)(d), reference in the Table to subregulation (2) to </w:t>
      </w:r>
      <w:r>
        <w:rPr>
          <w:rStyle w:val="CharDefText"/>
        </w:rPr>
        <w:t>relevant</w:t>
      </w:r>
      <w:r>
        <w:t xml:space="preserve"> experience in building engineering or the building engineering industry is a reference to experience demonstrating, at a level appropriate to the qualification, competency in each of the following — </w:t>
      </w:r>
    </w:p>
    <w:p>
      <w:pPr>
        <w:pStyle w:val="Indenta"/>
      </w:pPr>
      <w:r>
        <w:tab/>
        <w:t>(a)</w:t>
      </w:r>
      <w:r>
        <w:tab/>
        <w:t>engineering knowledge relevant to the applicant’s area of practice, including a knowledge of any relevant standards and practices;</w:t>
      </w:r>
    </w:p>
    <w:p>
      <w:pPr>
        <w:pStyle w:val="Indenta"/>
      </w:pPr>
      <w:r>
        <w:tab/>
        <w:t>(b)</w:t>
      </w:r>
      <w:r>
        <w:tab/>
        <w:t>the practice of building engineering;</w:t>
      </w:r>
    </w:p>
    <w:p>
      <w:pPr>
        <w:pStyle w:val="Indenta"/>
      </w:pPr>
      <w:r>
        <w:tab/>
        <w:t>(c)</w:t>
      </w:r>
      <w:r>
        <w:tab/>
        <w:t>the development of safe and sustainable solutions to engineering problems or issues;</w:t>
      </w:r>
    </w:p>
    <w:p>
      <w:pPr>
        <w:pStyle w:val="Indenta"/>
      </w:pPr>
      <w:r>
        <w:tab/>
        <w:t>(d)</w:t>
      </w:r>
      <w:r>
        <w:tab/>
        <w:t>the identification, assessment and management of risks;</w:t>
      </w:r>
    </w:p>
    <w:p>
      <w:pPr>
        <w:pStyle w:val="Indenta"/>
      </w:pPr>
      <w:r>
        <w:tab/>
        <w:t>(e)</w:t>
      </w:r>
      <w:r>
        <w:tab/>
        <w:t>the handling of ethical issues.</w:t>
      </w:r>
    </w:p>
    <w:p>
      <w:pPr>
        <w:pStyle w:val="Subsection"/>
      </w:pPr>
      <w:r>
        <w:tab/>
        <w:t>(6)</w:t>
      </w:r>
      <w:r>
        <w:tab/>
        <w:t xml:space="preserve">For the purposes of section 17(1)(d), an application for registration as a building engineering practitioner must include certification from an assessment entity approved by the Building Commissioner that the applicant’s qualifications and </w:t>
      </w:r>
      <w:r>
        <w:lastRenderedPageBreak/>
        <w:t>experience, considered together, are equivalent to, or exceed, the requirements in the Table to subregulation (2).</w:t>
      </w:r>
    </w:p>
    <w:p>
      <w:pPr>
        <w:pStyle w:val="Footnotesection"/>
      </w:pPr>
      <w:r>
        <w:tab/>
        <w:t>[Regulation 28M inserted: SL 2023/64 r. 13.]</w:t>
      </w:r>
    </w:p>
    <w:p>
      <w:pPr>
        <w:pStyle w:val="Heading5"/>
      </w:pPr>
      <w:bookmarkStart w:id="68" w:name="_Toc177041694"/>
      <w:r>
        <w:rPr>
          <w:rStyle w:val="CharSectno"/>
        </w:rPr>
        <w:t>28N</w:t>
      </w:r>
      <w:r>
        <w:t>.</w:t>
      </w:r>
      <w:r>
        <w:tab/>
        <w:t>Financial requirements: building engineering contractors</w:t>
      </w:r>
      <w:bookmarkEnd w:id="68"/>
    </w:p>
    <w:p>
      <w:pPr>
        <w:pStyle w:val="Subsection"/>
      </w:pPr>
      <w:r>
        <w:tab/>
        <w:t>(1)</w:t>
      </w:r>
      <w:r>
        <w:tab/>
        <w:t xml:space="preserve">In this regulation — </w:t>
      </w:r>
    </w:p>
    <w:p>
      <w:pPr>
        <w:pStyle w:val="Defstart"/>
      </w:pPr>
      <w:r>
        <w:tab/>
      </w:r>
      <w:r>
        <w:rPr>
          <w:rStyle w:val="CharDefText"/>
        </w:rPr>
        <w:t>building engineering contractor (company)</w:t>
      </w:r>
      <w:r>
        <w:t xml:space="preserve"> means — </w:t>
      </w:r>
    </w:p>
    <w:p>
      <w:pPr>
        <w:pStyle w:val="Defpara"/>
      </w:pPr>
      <w:r>
        <w:tab/>
        <w:t>(a)</w:t>
      </w:r>
      <w:r>
        <w:tab/>
        <w:t xml:space="preserve">a building engineering contractor — professional (company); </w:t>
      </w:r>
    </w:p>
    <w:p>
      <w:pPr>
        <w:pStyle w:val="Defpara"/>
      </w:pPr>
      <w:r>
        <w:tab/>
        <w:t>(b)</w:t>
      </w:r>
      <w:r>
        <w:tab/>
        <w:t xml:space="preserve">a building engineering contractor — technologist (company); </w:t>
      </w:r>
    </w:p>
    <w:p>
      <w:pPr>
        <w:pStyle w:val="Defpara"/>
      </w:pPr>
      <w:r>
        <w:tab/>
        <w:t>(c)</w:t>
      </w:r>
      <w:r>
        <w:tab/>
        <w:t>a building engineering contractor — associate (company);</w:t>
      </w:r>
    </w:p>
    <w:p>
      <w:pPr>
        <w:pStyle w:val="Defpara"/>
      </w:pPr>
      <w:r>
        <w:tab/>
        <w:t>(d)</w:t>
      </w:r>
      <w:r>
        <w:tab/>
        <w:t>a building engineering contractor, fire systems — technologist (company);</w:t>
      </w:r>
    </w:p>
    <w:p>
      <w:pPr>
        <w:pStyle w:val="Defpara"/>
      </w:pPr>
      <w:r>
        <w:tab/>
        <w:t>(e)</w:t>
      </w:r>
      <w:r>
        <w:tab/>
        <w:t>a building engineering contractor, fire systems — associate (company);</w:t>
      </w:r>
    </w:p>
    <w:p>
      <w:pPr>
        <w:pStyle w:val="Defstart"/>
      </w:pPr>
      <w:r>
        <w:tab/>
      </w:r>
      <w:r>
        <w:rPr>
          <w:rStyle w:val="CharDefText"/>
        </w:rPr>
        <w:t>building engineering contractor (individual)</w:t>
      </w:r>
      <w:r>
        <w:t xml:space="preserve"> means — </w:t>
      </w:r>
    </w:p>
    <w:p>
      <w:pPr>
        <w:pStyle w:val="Defpara"/>
      </w:pPr>
      <w:r>
        <w:tab/>
        <w:t>(a)</w:t>
      </w:r>
      <w:r>
        <w:tab/>
        <w:t xml:space="preserve">a building engineering contractor — professional (individual); </w:t>
      </w:r>
    </w:p>
    <w:p>
      <w:pPr>
        <w:pStyle w:val="Defpara"/>
      </w:pPr>
      <w:r>
        <w:tab/>
        <w:t>(b)</w:t>
      </w:r>
      <w:r>
        <w:tab/>
        <w:t xml:space="preserve">a building engineering contractor — technologist (individual); </w:t>
      </w:r>
    </w:p>
    <w:p>
      <w:pPr>
        <w:pStyle w:val="Defpara"/>
      </w:pPr>
      <w:r>
        <w:tab/>
        <w:t>(c)</w:t>
      </w:r>
      <w:r>
        <w:tab/>
        <w:t>a building engineering contractor — associate (individual);</w:t>
      </w:r>
    </w:p>
    <w:p>
      <w:pPr>
        <w:pStyle w:val="Defpara"/>
      </w:pPr>
      <w:r>
        <w:tab/>
        <w:t>(d)</w:t>
      </w:r>
      <w:r>
        <w:tab/>
        <w:t>a building engineering contractor, fire systems — technologist (individual);</w:t>
      </w:r>
    </w:p>
    <w:p>
      <w:pPr>
        <w:pStyle w:val="Defpara"/>
      </w:pPr>
      <w:r>
        <w:tab/>
        <w:t>(e)</w:t>
      </w:r>
      <w:r>
        <w:tab/>
        <w:t>a building engineering contractor, fire systems — associate (individual);</w:t>
      </w:r>
    </w:p>
    <w:p>
      <w:pPr>
        <w:pStyle w:val="Defstart"/>
      </w:pPr>
      <w:r>
        <w:tab/>
      </w:r>
      <w:r>
        <w:rPr>
          <w:rStyle w:val="CharDefText"/>
        </w:rPr>
        <w:t>building engineering contractor (partnership)</w:t>
      </w:r>
      <w:r>
        <w:t xml:space="preserve"> means — </w:t>
      </w:r>
    </w:p>
    <w:p>
      <w:pPr>
        <w:pStyle w:val="Defpara"/>
      </w:pPr>
      <w:r>
        <w:tab/>
        <w:t>(a)</w:t>
      </w:r>
      <w:r>
        <w:tab/>
        <w:t xml:space="preserve">a building engineering contractor — professional (partnership); </w:t>
      </w:r>
    </w:p>
    <w:p>
      <w:pPr>
        <w:pStyle w:val="Defpara"/>
      </w:pPr>
      <w:r>
        <w:lastRenderedPageBreak/>
        <w:tab/>
        <w:t>(b)</w:t>
      </w:r>
      <w:r>
        <w:tab/>
        <w:t xml:space="preserve">a building engineering contractor — technologist (partnership); </w:t>
      </w:r>
    </w:p>
    <w:p>
      <w:pPr>
        <w:pStyle w:val="Defpara"/>
      </w:pPr>
      <w:r>
        <w:tab/>
        <w:t>(c)</w:t>
      </w:r>
      <w:r>
        <w:tab/>
        <w:t>a building engineering contractor — associate (partnership);</w:t>
      </w:r>
    </w:p>
    <w:p>
      <w:pPr>
        <w:pStyle w:val="Defpara"/>
      </w:pPr>
      <w:r>
        <w:tab/>
        <w:t>(d)</w:t>
      </w:r>
      <w:r>
        <w:tab/>
        <w:t>a building engineering contractor, fire systems — technologist (partnership);</w:t>
      </w:r>
    </w:p>
    <w:p>
      <w:pPr>
        <w:pStyle w:val="Defpara"/>
      </w:pPr>
      <w:r>
        <w:tab/>
        <w:t>(e)</w:t>
      </w:r>
      <w:r>
        <w:tab/>
        <w:t>a building engineering contractor, fire systems — associate (partnership).</w:t>
      </w:r>
    </w:p>
    <w:p>
      <w:pPr>
        <w:pStyle w:val="Subsection"/>
      </w:pPr>
      <w:r>
        <w:tab/>
        <w:t>(2)</w:t>
      </w:r>
      <w:r>
        <w:tab/>
        <w:t xml:space="preserve">For the purposes of section 18(1)(b), the following financial requirements are prescribed for registration as a building engineering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(3)</w:t>
      </w:r>
      <w:r>
        <w:tab/>
        <w:t>For the purposes of section 18(1)(b), the following financial requirements are prescribed for registration as a building engineering contractor (partnership)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(4)</w:t>
      </w:r>
      <w:r>
        <w:tab/>
        <w:t xml:space="preserve">For the purposes of section 18(1)(b), the following financial requirements are prescribed for registration as a building engineering contractor (company) — </w:t>
      </w:r>
    </w:p>
    <w:p>
      <w:pPr>
        <w:pStyle w:val="Indenta"/>
      </w:pPr>
      <w:r>
        <w:tab/>
        <w:t>(a)</w:t>
      </w:r>
      <w:r>
        <w:tab/>
        <w:t>the applicant and each officer of the applicant must not be an insolvent;</w:t>
      </w:r>
    </w:p>
    <w:p>
      <w:pPr>
        <w:pStyle w:val="Indenta"/>
      </w:pPr>
      <w:r>
        <w:tab/>
        <w:t>(b)</w:t>
      </w:r>
      <w:r>
        <w:tab/>
        <w:t>if the applicant or an officer of the applicant has previously been an insolvent, the applicant must have the capacity to meet debts as and when they fall due.</w:t>
      </w:r>
    </w:p>
    <w:p>
      <w:pPr>
        <w:pStyle w:val="Footnotesection"/>
      </w:pPr>
      <w:r>
        <w:tab/>
        <w:t>[Regulation 28N inserted: SL 2023/64 r. 13.]</w:t>
      </w:r>
    </w:p>
    <w:p>
      <w:pPr>
        <w:pStyle w:val="Heading5"/>
      </w:pPr>
      <w:bookmarkStart w:id="69" w:name="_Toc177041695"/>
      <w:r>
        <w:rPr>
          <w:rStyle w:val="CharSectno"/>
        </w:rPr>
        <w:lastRenderedPageBreak/>
        <w:t>28O</w:t>
      </w:r>
      <w:r>
        <w:t>.</w:t>
      </w:r>
      <w:r>
        <w:tab/>
        <w:t>Insurance requirements: building engineering contractors</w:t>
      </w:r>
      <w:bookmarkEnd w:id="69"/>
    </w:p>
    <w:p>
      <w:pPr>
        <w:pStyle w:val="Subsection"/>
      </w:pPr>
      <w:r>
        <w:tab/>
      </w:r>
      <w:r>
        <w:tab/>
        <w:t xml:space="preserve">For the purposes of section 18(1)(c), the insurance requirements for registration as a building engineering contractor are — </w:t>
      </w:r>
    </w:p>
    <w:p>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pPr>
        <w:pStyle w:val="Indenti"/>
      </w:pPr>
      <w:r>
        <w:tab/>
        <w:t>(i)</w:t>
      </w:r>
      <w:r>
        <w:tab/>
        <w:t>the nature of, and risks associated with, the work likely to be carried out by the applicant;</w:t>
      </w:r>
    </w:p>
    <w:p>
      <w:pPr>
        <w:pStyle w:val="Indenti"/>
      </w:pPr>
      <w:r>
        <w:tab/>
        <w:t>(ii)</w:t>
      </w:r>
      <w:r>
        <w:tab/>
        <w:t>the size and volume of the work likely to be carried out by the applicant;</w:t>
      </w:r>
    </w:p>
    <w:p>
      <w:pPr>
        <w:pStyle w:val="Indenti"/>
      </w:pPr>
      <w:r>
        <w:tab/>
        <w:t>(iii)</w:t>
      </w:r>
      <w:r>
        <w:tab/>
        <w:t>the employment or engagement by the applicant of a building engineering practitioner and the length of time the building engineering practitioner has been registered under section 17;</w:t>
      </w:r>
    </w:p>
    <w:p>
      <w:pPr>
        <w:pStyle w:val="Indenti"/>
      </w:pPr>
      <w:r>
        <w:tab/>
        <w:t>(iv)</w:t>
      </w:r>
      <w:r>
        <w:tab/>
        <w:t>a reasonable estimate of the quantum of civil claims that might be brought against the applicant given the matters described in subparagraphs (i) to (iii);</w:t>
      </w:r>
    </w:p>
    <w:p>
      <w:pPr>
        <w:pStyle w:val="Indenti"/>
      </w:pPr>
      <w:r>
        <w:tab/>
        <w:t>(v)</w:t>
      </w:r>
      <w:r>
        <w:tab/>
        <w:t>the financial capacity of the applicant;</w:t>
      </w:r>
    </w:p>
    <w:p>
      <w:pPr>
        <w:pStyle w:val="Indenti"/>
      </w:pPr>
      <w:r>
        <w:tab/>
        <w:t>(vi)</w:t>
      </w:r>
      <w:r>
        <w:tab/>
        <w:t>the terms of the policy;</w:t>
      </w:r>
    </w:p>
    <w:p>
      <w:pPr>
        <w:pStyle w:val="Indenta"/>
      </w:pPr>
      <w:r>
        <w:tab/>
      </w:r>
      <w:r>
        <w:tab/>
        <w:t>or</w:t>
      </w:r>
    </w:p>
    <w:p>
      <w:pPr>
        <w:pStyle w:val="Indenta"/>
      </w:pPr>
      <w:r>
        <w:tab/>
        <w:t>(b)</w:t>
      </w:r>
      <w:r>
        <w:tab/>
        <w:t xml:space="preserve">the applicant must demonstrate that the applicant — </w:t>
      </w:r>
    </w:p>
    <w:p>
      <w:pPr>
        <w:pStyle w:val="Indenti"/>
      </w:pPr>
      <w:r>
        <w:tab/>
        <w:t>(i)</w:t>
      </w:r>
      <w:r>
        <w:tab/>
        <w:t>is a member of a professional standards scheme operated by a professional body; and</w:t>
      </w:r>
    </w:p>
    <w:p>
      <w:pPr>
        <w:pStyle w:val="Indenti"/>
      </w:pPr>
      <w:r>
        <w:tab/>
        <w:t>(ii)</w:t>
      </w:r>
      <w:r>
        <w:tab/>
        <w:t>satisfies the insurance requirements imposed by the body in accordance with the professional standards scheme.</w:t>
      </w:r>
    </w:p>
    <w:p>
      <w:pPr>
        <w:pStyle w:val="Footnotesection"/>
      </w:pPr>
      <w:r>
        <w:tab/>
        <w:t>[Regulation 28O inserted: SL 2023/64 r. 13.]</w:t>
      </w:r>
    </w:p>
    <w:p>
      <w:pPr>
        <w:pStyle w:val="Heading5"/>
      </w:pPr>
      <w:bookmarkStart w:id="70" w:name="_Toc177041696"/>
      <w:r>
        <w:rPr>
          <w:rStyle w:val="CharSectno"/>
        </w:rPr>
        <w:lastRenderedPageBreak/>
        <w:t>28P</w:t>
      </w:r>
      <w:r>
        <w:t>.</w:t>
      </w:r>
      <w:r>
        <w:tab/>
        <w:t>Prescribed requirements: building engineering practitioner</w:t>
      </w:r>
      <w:bookmarkEnd w:id="70"/>
    </w:p>
    <w:p>
      <w:pPr>
        <w:pStyle w:val="Subsection"/>
        <w:keepNext/>
      </w:pPr>
      <w:r>
        <w:tab/>
        <w:t>(1)</w:t>
      </w:r>
      <w:r>
        <w:tab/>
        <w:t xml:space="preserve">In this regulation — </w:t>
      </w:r>
    </w:p>
    <w:p>
      <w:pPr>
        <w:pStyle w:val="Defstart"/>
      </w:pPr>
      <w:r>
        <w:tab/>
      </w:r>
      <w:r>
        <w:rPr>
          <w:rStyle w:val="CharDefText"/>
        </w:rPr>
        <w:t>approved continuing professional development</w:t>
      </w:r>
      <w:r>
        <w:t xml:space="preserve"> means continuing professional development approved by the Building Commissioner and published on the Department’s website.</w:t>
      </w:r>
    </w:p>
    <w:p>
      <w:pPr>
        <w:pStyle w:val="Subsection"/>
      </w:pPr>
      <w:r>
        <w:tab/>
        <w:t>(2)</w:t>
      </w:r>
      <w:r>
        <w:tab/>
        <w:t xml:space="preserve">For the purposes of section 17(1)(d) — </w:t>
      </w:r>
    </w:p>
    <w:p>
      <w:pPr>
        <w:pStyle w:val="Indenta"/>
      </w:pPr>
      <w:r>
        <w:tab/>
        <w:t>(a)</w:t>
      </w:r>
      <w:r>
        <w:tab/>
        <w:t>an applicant for renewal of registration as a building engineering practitioner, fire systems — technologist must have completed 60 hours of approved continuing professional development in the period of 3 years ending on the day on which the application is made; and</w:t>
      </w:r>
    </w:p>
    <w:p>
      <w:pPr>
        <w:pStyle w:val="Indenta"/>
      </w:pPr>
      <w:r>
        <w:tab/>
        <w:t>(b)</w:t>
      </w:r>
      <w:r>
        <w:tab/>
        <w:t>an applicant for renewal of registration as a building engineering practitioner, fire systems — associate must have completed 50 hours of approved continuing professional development in the period of 3 years ending on the day on which the application is made; and</w:t>
      </w:r>
    </w:p>
    <w:p>
      <w:pPr>
        <w:pStyle w:val="Indenta"/>
      </w:pPr>
      <w:r>
        <w:tab/>
        <w:t>(c)</w:t>
      </w:r>
      <w:r>
        <w:tab/>
        <w:t>an applicant for renewal of registration as any other building engineering practitioner must have completed 150 hours of approved continuing professional development in the period of 3 years ending on the day on which the application is made.</w:t>
      </w:r>
    </w:p>
    <w:p>
      <w:pPr>
        <w:pStyle w:val="Subsection"/>
      </w:pPr>
      <w:r>
        <w:tab/>
        <w:t>(3)</w:t>
      </w:r>
      <w:r>
        <w:tab/>
        <w:t>The applicant is taken to satisfy the requirement in subregulation (2) if the applicant can evidence continuing membership of an industry association or professional standards scheme approved by the Building Commissioner.</w:t>
      </w:r>
    </w:p>
    <w:p>
      <w:pPr>
        <w:pStyle w:val="Footnotesection"/>
      </w:pPr>
      <w:r>
        <w:tab/>
        <w:t>[Regulation 28P inserted: SL 2023/64 r. 13; amended: SL 2023/164 r. 4.]</w:t>
      </w:r>
    </w:p>
    <w:p>
      <w:pPr>
        <w:pStyle w:val="Heading5"/>
      </w:pPr>
      <w:bookmarkStart w:id="71" w:name="_Toc177041697"/>
      <w:r>
        <w:rPr>
          <w:rStyle w:val="CharSectno"/>
        </w:rPr>
        <w:lastRenderedPageBreak/>
        <w:t>28Q</w:t>
      </w:r>
      <w:r>
        <w:t>.</w:t>
      </w:r>
      <w:r>
        <w:tab/>
        <w:t>Supervisor for building engineering contractors: eligible person</w:t>
      </w:r>
      <w:bookmarkEnd w:id="71"/>
    </w:p>
    <w:p>
      <w:pPr>
        <w:pStyle w:val="Subsection"/>
        <w:keepNext/>
      </w:pPr>
      <w:r>
        <w:tab/>
        <w:t>(1)</w:t>
      </w:r>
      <w:r>
        <w:tab/>
        <w:t xml:space="preserve">In this regulation — </w:t>
      </w:r>
    </w:p>
    <w:p>
      <w:pPr>
        <w:pStyle w:val="Defstart"/>
        <w:keepNext/>
      </w:pPr>
      <w:r>
        <w:tab/>
      </w:r>
      <w:r>
        <w:rPr>
          <w:rStyle w:val="CharDefText"/>
        </w:rPr>
        <w:t>building engineering practitioner — associate</w:t>
      </w:r>
      <w:r>
        <w:t xml:space="preserve"> means any of the following — </w:t>
      </w:r>
    </w:p>
    <w:p>
      <w:pPr>
        <w:pStyle w:val="Defpara"/>
      </w:pPr>
      <w:r>
        <w:tab/>
        <w:t>(a)</w:t>
      </w:r>
      <w:r>
        <w:tab/>
        <w:t>a building engineering practitioner, structural — associate;</w:t>
      </w:r>
    </w:p>
    <w:p>
      <w:pPr>
        <w:pStyle w:val="Defpara"/>
      </w:pPr>
      <w:r>
        <w:tab/>
        <w:t>(b)</w:t>
      </w:r>
      <w:r>
        <w:tab/>
        <w:t>a building engineering practitioner, fire systems — associate;</w:t>
      </w:r>
    </w:p>
    <w:p>
      <w:pPr>
        <w:pStyle w:val="Defstart"/>
      </w:pPr>
      <w:r>
        <w:tab/>
      </w:r>
      <w:r>
        <w:rPr>
          <w:rStyle w:val="CharDefText"/>
        </w:rPr>
        <w:t>building engineering practitioner — professional</w:t>
      </w:r>
      <w:r>
        <w:t xml:space="preserve"> means any of the following — </w:t>
      </w:r>
    </w:p>
    <w:p>
      <w:pPr>
        <w:pStyle w:val="Defpara"/>
      </w:pPr>
      <w:r>
        <w:tab/>
        <w:t>(a)</w:t>
      </w:r>
      <w:r>
        <w:tab/>
        <w:t>a building engineering practitioner, structural — professional;</w:t>
      </w:r>
    </w:p>
    <w:p>
      <w:pPr>
        <w:pStyle w:val="Defpara"/>
      </w:pPr>
      <w:r>
        <w:tab/>
        <w:t>(b)</w:t>
      </w:r>
      <w:r>
        <w:tab/>
        <w:t>a building engineering practitioner, fire safety — professional;</w:t>
      </w:r>
    </w:p>
    <w:p>
      <w:pPr>
        <w:pStyle w:val="Defstart"/>
      </w:pPr>
      <w:r>
        <w:tab/>
      </w:r>
      <w:r>
        <w:rPr>
          <w:rStyle w:val="CharDefText"/>
        </w:rPr>
        <w:t>building engineering practitioner — technologist</w:t>
      </w:r>
      <w:r>
        <w:t xml:space="preserve"> means any of the following — </w:t>
      </w:r>
    </w:p>
    <w:p>
      <w:pPr>
        <w:pStyle w:val="Defpara"/>
      </w:pPr>
      <w:r>
        <w:tab/>
        <w:t>(a)</w:t>
      </w:r>
      <w:r>
        <w:tab/>
        <w:t>a building engineering practitioner, structural — technologist;</w:t>
      </w:r>
    </w:p>
    <w:p>
      <w:pPr>
        <w:pStyle w:val="Defpara"/>
      </w:pPr>
      <w:r>
        <w:tab/>
        <w:t>(b)</w:t>
      </w:r>
      <w:r>
        <w:tab/>
        <w:t>a building engineering practitioner, fire systems — technologist.</w:t>
      </w:r>
    </w:p>
    <w:p>
      <w:pPr>
        <w:pStyle w:val="Subsection"/>
      </w:pPr>
      <w:r>
        <w:tab/>
        <w:t>(2)</w:t>
      </w:r>
      <w:r>
        <w:tab/>
        <w:t xml:space="preserve">For the purposes of the definition of </w:t>
      </w:r>
      <w:r>
        <w:rPr>
          <w:b/>
          <w:i/>
        </w:rPr>
        <w:t>eligible person</w:t>
      </w:r>
      <w:r>
        <w:t xml:space="preserve"> in section 21(1), building engineering practitioner — professional is prescribed as the class of building service practitioner for the following classes of building service contractor — </w:t>
      </w:r>
    </w:p>
    <w:p>
      <w:pPr>
        <w:pStyle w:val="Indenta"/>
      </w:pPr>
      <w:r>
        <w:tab/>
        <w:t>(a)</w:t>
      </w:r>
      <w:r>
        <w:tab/>
        <w:t>building engineering contractor — professional (individual);</w:t>
      </w:r>
    </w:p>
    <w:p>
      <w:pPr>
        <w:pStyle w:val="Indenta"/>
      </w:pPr>
      <w:r>
        <w:tab/>
        <w:t>(b)</w:t>
      </w:r>
      <w:r>
        <w:tab/>
        <w:t>building engineering contractor — professional (partnership);</w:t>
      </w:r>
    </w:p>
    <w:p>
      <w:pPr>
        <w:pStyle w:val="Indenta"/>
      </w:pPr>
      <w:r>
        <w:tab/>
        <w:t>(c)</w:t>
      </w:r>
      <w:r>
        <w:tab/>
        <w:t>building engineering contractor — professional (company).</w:t>
      </w:r>
    </w:p>
    <w:p>
      <w:pPr>
        <w:pStyle w:val="Subsection"/>
      </w:pPr>
      <w:r>
        <w:lastRenderedPageBreak/>
        <w:tab/>
        <w:t>(3)</w:t>
      </w:r>
      <w:r>
        <w:tab/>
        <w:t xml:space="preserve">For the purposes of the definition of </w:t>
      </w:r>
      <w:r>
        <w:rPr>
          <w:b/>
          <w:i/>
        </w:rPr>
        <w:t>eligible person</w:t>
      </w:r>
      <w:r>
        <w:t xml:space="preserve"> in section 21(1), building engineering practitioner — professional and building engineering practitioner — technologist are prescribed as classes of building service practitioner for the following classes of building service contractor — </w:t>
      </w:r>
    </w:p>
    <w:p>
      <w:pPr>
        <w:pStyle w:val="Indenta"/>
      </w:pPr>
      <w:r>
        <w:tab/>
        <w:t>(a)</w:t>
      </w:r>
      <w:r>
        <w:tab/>
        <w:t>building engineering contractor — technologist (individual);</w:t>
      </w:r>
    </w:p>
    <w:p>
      <w:pPr>
        <w:pStyle w:val="Indenta"/>
      </w:pPr>
      <w:r>
        <w:tab/>
        <w:t>(b)</w:t>
      </w:r>
      <w:r>
        <w:tab/>
        <w:t>building engineering contractor — technologist (partnership);</w:t>
      </w:r>
    </w:p>
    <w:p>
      <w:pPr>
        <w:pStyle w:val="Indenta"/>
      </w:pPr>
      <w:r>
        <w:tab/>
        <w:t>(c)</w:t>
      </w:r>
      <w:r>
        <w:tab/>
        <w:t>building engineering contractor — technologist (company).</w:t>
      </w:r>
    </w:p>
    <w:p>
      <w:pPr>
        <w:pStyle w:val="Subsection"/>
      </w:pPr>
      <w:r>
        <w:tab/>
        <w:t>(4)</w:t>
      </w:r>
      <w:r>
        <w:tab/>
        <w:t xml:space="preserve">For the purposes of the definition of </w:t>
      </w:r>
      <w:r>
        <w:rPr>
          <w:b/>
          <w:i/>
        </w:rPr>
        <w:t>eligible person</w:t>
      </w:r>
      <w:r>
        <w:t xml:space="preserve"> in section 21(1), building engineering practitioner — professional, building engineering practitioner — technologist and building engineering practitioner — associate are prescribed as classes of building service practitioner for the following classes of building service contractor — </w:t>
      </w:r>
    </w:p>
    <w:p>
      <w:pPr>
        <w:pStyle w:val="Indenta"/>
      </w:pPr>
      <w:r>
        <w:tab/>
        <w:t>(a)</w:t>
      </w:r>
      <w:r>
        <w:tab/>
        <w:t>building engineering contractor — associate (individual);</w:t>
      </w:r>
    </w:p>
    <w:p>
      <w:pPr>
        <w:pStyle w:val="Indenta"/>
      </w:pPr>
      <w:r>
        <w:tab/>
        <w:t>(b)</w:t>
      </w:r>
      <w:r>
        <w:tab/>
        <w:t>building engineering contractor — associate (partnership);</w:t>
      </w:r>
    </w:p>
    <w:p>
      <w:pPr>
        <w:pStyle w:val="Indenta"/>
      </w:pPr>
      <w:r>
        <w:tab/>
        <w:t>(c)</w:t>
      </w:r>
      <w:r>
        <w:tab/>
        <w:t>building engineering contractor — associate (company).</w:t>
      </w:r>
    </w:p>
    <w:p>
      <w:pPr>
        <w:pStyle w:val="Subsection"/>
      </w:pPr>
      <w:r>
        <w:tab/>
        <w:t>(5)</w:t>
      </w:r>
      <w:r>
        <w:tab/>
        <w:t xml:space="preserve">For the purposes of the definition of </w:t>
      </w:r>
      <w:r>
        <w:rPr>
          <w:b/>
          <w:i/>
        </w:rPr>
        <w:t>eligible person</w:t>
      </w:r>
      <w:r>
        <w:t xml:space="preserve"> in section 21(1), building engineering practitioner, fire systems — technologist is prescribed as the class of building service practitioner for the following classes of building service contractor —</w:t>
      </w:r>
    </w:p>
    <w:p>
      <w:pPr>
        <w:pStyle w:val="Indenta"/>
      </w:pPr>
      <w:r>
        <w:tab/>
        <w:t>(a)</w:t>
      </w:r>
      <w:r>
        <w:tab/>
        <w:t>building engineering contractor, fire systems — technologist (individual);</w:t>
      </w:r>
    </w:p>
    <w:p>
      <w:pPr>
        <w:pStyle w:val="Indenta"/>
      </w:pPr>
      <w:r>
        <w:tab/>
        <w:t>(b)</w:t>
      </w:r>
      <w:r>
        <w:tab/>
        <w:t>building engineering contractor, fire systems — technologist (partnership);</w:t>
      </w:r>
    </w:p>
    <w:p>
      <w:pPr>
        <w:pStyle w:val="Indenta"/>
      </w:pPr>
      <w:r>
        <w:tab/>
        <w:t>(c)</w:t>
      </w:r>
      <w:r>
        <w:tab/>
        <w:t>building engineering contractor, fire systems — technologist (company).</w:t>
      </w:r>
    </w:p>
    <w:p>
      <w:pPr>
        <w:pStyle w:val="Subsection"/>
      </w:pPr>
      <w:r>
        <w:lastRenderedPageBreak/>
        <w:tab/>
        <w:t>(6)</w:t>
      </w:r>
      <w:r>
        <w:tab/>
        <w:t xml:space="preserve">For the purposes of the definition of </w:t>
      </w:r>
      <w:r>
        <w:rPr>
          <w:b/>
          <w:i/>
        </w:rPr>
        <w:t>eligible person</w:t>
      </w:r>
      <w:r>
        <w:t xml:space="preserve"> in section 21(1), building engineering practitioner, fire systems — technologist and building engineering practitioner, fire systems — associate are prescribed as classes of building service practitioner for the following classes of building service contractor — </w:t>
      </w:r>
    </w:p>
    <w:p>
      <w:pPr>
        <w:pStyle w:val="Indenta"/>
      </w:pPr>
      <w:r>
        <w:tab/>
        <w:t>(a)</w:t>
      </w:r>
      <w:r>
        <w:tab/>
        <w:t>building engineering contractor, fire systems — associate (individual);</w:t>
      </w:r>
    </w:p>
    <w:p>
      <w:pPr>
        <w:pStyle w:val="Indenta"/>
      </w:pPr>
      <w:r>
        <w:tab/>
        <w:t>(b)</w:t>
      </w:r>
      <w:r>
        <w:tab/>
        <w:t>building engineering contractor, fire systems — associate (partnership);</w:t>
      </w:r>
    </w:p>
    <w:p>
      <w:pPr>
        <w:pStyle w:val="Indenta"/>
      </w:pPr>
      <w:r>
        <w:tab/>
        <w:t>(c)</w:t>
      </w:r>
      <w:r>
        <w:tab/>
        <w:t>building engineering contractor, fire systems — associate (company).</w:t>
      </w:r>
    </w:p>
    <w:p>
      <w:pPr>
        <w:pStyle w:val="Footnotesection"/>
      </w:pPr>
      <w:r>
        <w:tab/>
        <w:t>[Regulation 28Q inserted: SL 2023/64 r. 13.]</w:t>
      </w:r>
    </w:p>
    <w:p>
      <w:pPr>
        <w:pStyle w:val="Heading2"/>
      </w:pPr>
      <w:bookmarkStart w:id="72" w:name="_Toc177039200"/>
      <w:bookmarkStart w:id="73" w:name="_Toc177039742"/>
      <w:bookmarkStart w:id="74" w:name="_Toc177041698"/>
      <w:r>
        <w:rPr>
          <w:rStyle w:val="CharPartNo"/>
        </w:rPr>
        <w:lastRenderedPageBreak/>
        <w:t>Part 3</w:t>
      </w:r>
      <w:r>
        <w:rPr>
          <w:rStyle w:val="CharDivNo"/>
        </w:rPr>
        <w:t> </w:t>
      </w:r>
      <w:r>
        <w:t>—</w:t>
      </w:r>
      <w:r>
        <w:rPr>
          <w:rStyle w:val="CharDivText"/>
        </w:rPr>
        <w:t> </w:t>
      </w:r>
      <w:r>
        <w:rPr>
          <w:rStyle w:val="CharPartText"/>
        </w:rPr>
        <w:t>Painters</w:t>
      </w:r>
      <w:bookmarkEnd w:id="72"/>
      <w:bookmarkEnd w:id="73"/>
      <w:bookmarkEnd w:id="74"/>
    </w:p>
    <w:p>
      <w:pPr>
        <w:pStyle w:val="Heading5"/>
        <w:spacing w:before="240"/>
      </w:pPr>
      <w:bookmarkStart w:id="75" w:name="_Toc177041699"/>
      <w:r>
        <w:rPr>
          <w:rStyle w:val="CharSectno"/>
        </w:rPr>
        <w:t>28</w:t>
      </w:r>
      <w:r>
        <w:t>.</w:t>
      </w:r>
      <w:r>
        <w:tab/>
        <w:t>Terms used</w:t>
      </w:r>
      <w:bookmarkEnd w:id="75"/>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 xml:space="preserve">If materials used in painting are provided or supplied at the cost of a person other than the person carrying out the painting the value of the materials is to be added to the value of the contract </w:t>
      </w:r>
      <w:r>
        <w:lastRenderedPageBreak/>
        <w:t>to carry out the work for the purposes of calculating the value of the painting work.</w:t>
      </w:r>
    </w:p>
    <w:p>
      <w:pPr>
        <w:pStyle w:val="Heading5"/>
        <w:spacing w:before="240"/>
      </w:pPr>
      <w:bookmarkStart w:id="76" w:name="_Toc177041700"/>
      <w:r>
        <w:rPr>
          <w:rStyle w:val="CharSectno"/>
        </w:rPr>
        <w:t>29</w:t>
      </w:r>
      <w:r>
        <w:t>.</w:t>
      </w:r>
      <w:r>
        <w:tab/>
        <w:t>Prescribed titles: painting practitioners and painting contractors</w:t>
      </w:r>
      <w:bookmarkEnd w:id="76"/>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lastRenderedPageBreak/>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77" w:name="_Toc177041701"/>
      <w:r>
        <w:rPr>
          <w:rStyle w:val="CharSectno"/>
        </w:rPr>
        <w:t>30</w:t>
      </w:r>
      <w:r>
        <w:t>.</w:t>
      </w:r>
      <w:r>
        <w:tab/>
        <w:t>Painting contractors: building services prescribed</w:t>
      </w:r>
      <w:bookmarkEnd w:id="77"/>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78" w:name="_Toc177041702"/>
      <w:r>
        <w:rPr>
          <w:rStyle w:val="CharSectno"/>
        </w:rPr>
        <w:t>31</w:t>
      </w:r>
      <w:r>
        <w:t>.</w:t>
      </w:r>
      <w:r>
        <w:tab/>
        <w:t>Qualifications and experience: painting practitioners</w:t>
      </w:r>
      <w:bookmarkEnd w:id="78"/>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lastRenderedPageBreak/>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CPC30620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keepNext/>
        <w:spacing w:before="140"/>
      </w:pPr>
      <w:r>
        <w:lastRenderedPageBreak/>
        <w:tab/>
        <w:t>(4)</w:t>
      </w:r>
      <w:r>
        <w:tab/>
        <w:t xml:space="preserve">In subregulation (3) — </w:t>
      </w:r>
    </w:p>
    <w:p>
      <w:pPr>
        <w:pStyle w:val="Defstart"/>
        <w:keepNex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 SL 2023/164 r. 5.]</w:t>
      </w:r>
    </w:p>
    <w:p>
      <w:pPr>
        <w:pStyle w:val="Ednotesection"/>
      </w:pPr>
      <w:r>
        <w:t>[</w:t>
      </w:r>
      <w:r>
        <w:rPr>
          <w:b/>
        </w:rPr>
        <w:t>32.</w:t>
      </w:r>
      <w:r>
        <w:tab/>
        <w:t>Deleted: SL 2024/96 r. 8.]</w:t>
      </w:r>
    </w:p>
    <w:p>
      <w:pPr>
        <w:pStyle w:val="Heading5"/>
      </w:pPr>
      <w:bookmarkStart w:id="79" w:name="_Toc177041703"/>
      <w:r>
        <w:rPr>
          <w:rStyle w:val="CharSectno"/>
        </w:rPr>
        <w:t>33</w:t>
      </w:r>
      <w:r>
        <w:t>.</w:t>
      </w:r>
      <w:r>
        <w:tab/>
        <w:t>Financial requirements: painting contractors</w:t>
      </w:r>
      <w:bookmarkEnd w:id="79"/>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keepNext/>
        <w:spacing w:before="180"/>
      </w:pPr>
      <w:r>
        <w:lastRenderedPageBreak/>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80" w:name="_Toc177041704"/>
      <w:r>
        <w:rPr>
          <w:rStyle w:val="CharSectno"/>
        </w:rPr>
        <w:t>34</w:t>
      </w:r>
      <w:r>
        <w:t>.</w:t>
      </w:r>
      <w:r>
        <w:tab/>
        <w:t>Prescribed requirements: painting contractors</w:t>
      </w:r>
      <w:bookmarkEnd w:id="80"/>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81" w:name="_Toc177041705"/>
      <w:r>
        <w:rPr>
          <w:rStyle w:val="CharSectno"/>
        </w:rPr>
        <w:t>35</w:t>
      </w:r>
      <w:r>
        <w:t>.</w:t>
      </w:r>
      <w:r>
        <w:tab/>
        <w:t>Supervisor for painting contractor: eligible person</w:t>
      </w:r>
      <w:bookmarkEnd w:id="81"/>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82" w:name="_Toc177041706"/>
      <w:r>
        <w:rPr>
          <w:rStyle w:val="CharSectno"/>
        </w:rPr>
        <w:lastRenderedPageBreak/>
        <w:t>36</w:t>
      </w:r>
      <w:r>
        <w:t>.</w:t>
      </w:r>
      <w:r>
        <w:tab/>
        <w:t>Display of signs</w:t>
      </w:r>
      <w:bookmarkEnd w:id="82"/>
    </w:p>
    <w:p>
      <w:pPr>
        <w:pStyle w:val="Subsection"/>
        <w:keepNext/>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keepNext/>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83" w:name="_Toc177039209"/>
      <w:bookmarkStart w:id="84" w:name="_Toc177039751"/>
      <w:bookmarkStart w:id="85" w:name="_Toc177041707"/>
      <w:r>
        <w:rPr>
          <w:rStyle w:val="CharPartNo"/>
        </w:rPr>
        <w:lastRenderedPageBreak/>
        <w:t>Part 3B</w:t>
      </w:r>
      <w:r>
        <w:rPr>
          <w:b w:val="0"/>
        </w:rPr>
        <w:t> </w:t>
      </w:r>
      <w:r>
        <w:t>—</w:t>
      </w:r>
      <w:r>
        <w:rPr>
          <w:b w:val="0"/>
        </w:rPr>
        <w:t> </w:t>
      </w:r>
      <w:r>
        <w:rPr>
          <w:rStyle w:val="CharPartText"/>
        </w:rPr>
        <w:t>Infringement notices</w:t>
      </w:r>
      <w:bookmarkEnd w:id="83"/>
      <w:bookmarkEnd w:id="84"/>
      <w:bookmarkEnd w:id="85"/>
    </w:p>
    <w:p>
      <w:pPr>
        <w:pStyle w:val="Footnoteheading"/>
      </w:pPr>
      <w:r>
        <w:tab/>
        <w:t>[Heading inserted: Gazette 26 Apr 2019 p. 1215.]</w:t>
      </w:r>
    </w:p>
    <w:p>
      <w:pPr>
        <w:pStyle w:val="Heading5"/>
      </w:pPr>
      <w:bookmarkStart w:id="86" w:name="_Toc177041708"/>
      <w:r>
        <w:rPr>
          <w:rStyle w:val="CharSectno"/>
        </w:rPr>
        <w:t>36A</w:t>
      </w:r>
      <w:r>
        <w:t>.</w:t>
      </w:r>
      <w:r>
        <w:tab/>
        <w:t>Prescribed offences and modified penalties</w:t>
      </w:r>
      <w:bookmarkEnd w:id="86"/>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87" w:name="_Toc177041709"/>
      <w:r>
        <w:rPr>
          <w:rStyle w:val="CharSectno"/>
        </w:rPr>
        <w:t>36B</w:t>
      </w:r>
      <w:r>
        <w:t>.</w:t>
      </w:r>
      <w:r>
        <w:tab/>
        <w:t>Authorised officers and approved officers</w:t>
      </w:r>
      <w:bookmarkEnd w:id="87"/>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88" w:name="_Toc177041710"/>
      <w:r>
        <w:rPr>
          <w:rStyle w:val="CharSectno"/>
        </w:rPr>
        <w:t>36C</w:t>
      </w:r>
      <w:r>
        <w:t>.</w:t>
      </w:r>
      <w:r>
        <w:tab/>
        <w:t>Forms</w:t>
      </w:r>
      <w:bookmarkEnd w:id="88"/>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89" w:name="_Toc177039213"/>
      <w:bookmarkStart w:id="90" w:name="_Toc177039755"/>
      <w:bookmarkStart w:id="91" w:name="_Toc177041711"/>
      <w:r>
        <w:rPr>
          <w:rStyle w:val="CharPartNo"/>
        </w:rPr>
        <w:lastRenderedPageBreak/>
        <w:t>Part 4</w:t>
      </w:r>
      <w:r>
        <w:t> — </w:t>
      </w:r>
      <w:r>
        <w:rPr>
          <w:rStyle w:val="CharPartText"/>
        </w:rPr>
        <w:t>Transitional provisions</w:t>
      </w:r>
      <w:bookmarkEnd w:id="89"/>
      <w:bookmarkEnd w:id="90"/>
      <w:bookmarkEnd w:id="91"/>
    </w:p>
    <w:p>
      <w:pPr>
        <w:pStyle w:val="Heading3"/>
      </w:pPr>
      <w:bookmarkStart w:id="92" w:name="_Toc177039214"/>
      <w:bookmarkStart w:id="93" w:name="_Toc177039756"/>
      <w:bookmarkStart w:id="94" w:name="_Toc177041712"/>
      <w:r>
        <w:rPr>
          <w:rStyle w:val="CharDivNo"/>
        </w:rPr>
        <w:t>Division 1</w:t>
      </w:r>
      <w:r>
        <w:t> — </w:t>
      </w:r>
      <w:r>
        <w:rPr>
          <w:rStyle w:val="CharDivText"/>
          <w:i/>
        </w:rPr>
        <w:t>Builders’ Registration Act 1939</w:t>
      </w:r>
      <w:bookmarkEnd w:id="92"/>
      <w:bookmarkEnd w:id="93"/>
      <w:bookmarkEnd w:id="94"/>
    </w:p>
    <w:p>
      <w:pPr>
        <w:pStyle w:val="Heading5"/>
      </w:pPr>
      <w:bookmarkStart w:id="95" w:name="_Toc177041713"/>
      <w:r>
        <w:rPr>
          <w:rStyle w:val="CharSectno"/>
        </w:rPr>
        <w:t>37</w:t>
      </w:r>
      <w:r>
        <w:t>.</w:t>
      </w:r>
      <w:r>
        <w:tab/>
        <w:t>Terms used</w:t>
      </w:r>
      <w:bookmarkEnd w:id="95"/>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96" w:name="_Toc177041714"/>
      <w:r>
        <w:rPr>
          <w:rStyle w:val="CharSectno"/>
        </w:rPr>
        <w:t>38</w:t>
      </w:r>
      <w:r>
        <w:t>.</w:t>
      </w:r>
      <w:r>
        <w:tab/>
        <w:t>Continuation of registration (Act s. 114)</w:t>
      </w:r>
      <w:bookmarkEnd w:id="96"/>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97" w:name="_Toc177041715"/>
      <w:r>
        <w:rPr>
          <w:rStyle w:val="CharSectno"/>
        </w:rPr>
        <w:lastRenderedPageBreak/>
        <w:t>39</w:t>
      </w:r>
      <w:r>
        <w:t>.</w:t>
      </w:r>
      <w:r>
        <w:tab/>
        <w:t>Continuation of declaration of ineligible persons</w:t>
      </w:r>
      <w:bookmarkEnd w:id="97"/>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98" w:name="_Toc177041716"/>
      <w:r>
        <w:rPr>
          <w:rStyle w:val="CharSectno"/>
        </w:rPr>
        <w:t>40</w:t>
      </w:r>
      <w:r>
        <w:t>.</w:t>
      </w:r>
      <w:r>
        <w:tab/>
        <w:t>Membership of Board — experience as builder</w:t>
      </w:r>
      <w:bookmarkEnd w:id="98"/>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99" w:name="_Toc177041717"/>
      <w:r>
        <w:rPr>
          <w:rStyle w:val="CharSectno"/>
        </w:rPr>
        <w:t>41</w:t>
      </w:r>
      <w:r>
        <w:t>.</w:t>
      </w:r>
      <w:r>
        <w:tab/>
        <w:t>Continuation of owner</w:t>
      </w:r>
      <w:r>
        <w:noBreakHyphen/>
        <w:t>builder authorisation</w:t>
      </w:r>
      <w:bookmarkEnd w:id="99"/>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00" w:name="_Toc177041718"/>
      <w:r>
        <w:rPr>
          <w:rStyle w:val="CharSectno"/>
        </w:rPr>
        <w:t>42</w:t>
      </w:r>
      <w:r>
        <w:t>.</w:t>
      </w:r>
      <w:r>
        <w:tab/>
        <w:t>Building Commissioner may exercise powers</w:t>
      </w:r>
      <w:bookmarkEnd w:id="100"/>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lastRenderedPageBreak/>
        <w:tab/>
        <w:t>(b)</w:t>
      </w:r>
      <w:r>
        <w:tab/>
        <w:t>exercise any of the powers of the former registrar for the purposes of taking proceedings under the repealed Act.</w:t>
      </w:r>
    </w:p>
    <w:p>
      <w:pPr>
        <w:pStyle w:val="Heading3"/>
      </w:pPr>
      <w:bookmarkStart w:id="101" w:name="_Toc177039221"/>
      <w:bookmarkStart w:id="102" w:name="_Toc177039763"/>
      <w:bookmarkStart w:id="103" w:name="_Toc177041719"/>
      <w:r>
        <w:rPr>
          <w:rStyle w:val="CharDivNo"/>
        </w:rPr>
        <w:t>Division 2</w:t>
      </w:r>
      <w:r>
        <w:t> — </w:t>
      </w:r>
      <w:r>
        <w:rPr>
          <w:rStyle w:val="CharDivText"/>
          <w:i/>
        </w:rPr>
        <w:t>Painters’ Registration Act 1961</w:t>
      </w:r>
      <w:bookmarkEnd w:id="101"/>
      <w:bookmarkEnd w:id="102"/>
      <w:bookmarkEnd w:id="103"/>
    </w:p>
    <w:p>
      <w:pPr>
        <w:pStyle w:val="Heading5"/>
      </w:pPr>
      <w:bookmarkStart w:id="104" w:name="_Toc177041720"/>
      <w:r>
        <w:rPr>
          <w:rStyle w:val="CharSectno"/>
        </w:rPr>
        <w:t>43</w:t>
      </w:r>
      <w:r>
        <w:t>.</w:t>
      </w:r>
      <w:r>
        <w:tab/>
        <w:t>Terms used</w:t>
      </w:r>
      <w:bookmarkEnd w:id="104"/>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105" w:name="_Toc177041721"/>
      <w:r>
        <w:rPr>
          <w:rStyle w:val="CharSectno"/>
        </w:rPr>
        <w:t>44</w:t>
      </w:r>
      <w:r>
        <w:t>.</w:t>
      </w:r>
      <w:r>
        <w:tab/>
        <w:t>Continuation of registration (Act s. 127)</w:t>
      </w:r>
      <w:bookmarkEnd w:id="105"/>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106" w:name="_Toc177041722"/>
      <w:r>
        <w:rPr>
          <w:rStyle w:val="CharSectno"/>
        </w:rPr>
        <w:t>45</w:t>
      </w:r>
      <w:r>
        <w:t>.</w:t>
      </w:r>
      <w:r>
        <w:tab/>
        <w:t>Membership of Board — experience as painter</w:t>
      </w:r>
      <w:bookmarkEnd w:id="106"/>
    </w:p>
    <w:p>
      <w:pPr>
        <w:pStyle w:val="Subsection"/>
      </w:pPr>
      <w:r>
        <w:tab/>
      </w:r>
      <w:r>
        <w:tab/>
        <w:t xml:space="preserve">For the purposes of section 67(2)(c) a person who has experience as a person registered under section 12 of the </w:t>
      </w:r>
      <w:r>
        <w:lastRenderedPageBreak/>
        <w:t>repealed Act is to be taken to be a person who has experience as a registered building service provider in a class listed in item 2 of the Table to regulation 8.</w:t>
      </w:r>
    </w:p>
    <w:p>
      <w:pPr>
        <w:pStyle w:val="Heading5"/>
      </w:pPr>
      <w:bookmarkStart w:id="107" w:name="_Toc177041723"/>
      <w:r>
        <w:rPr>
          <w:rStyle w:val="CharSectno"/>
        </w:rPr>
        <w:t>46</w:t>
      </w:r>
      <w:r>
        <w:t>.</w:t>
      </w:r>
      <w:r>
        <w:tab/>
        <w:t>Building Commissioner may exercise powers</w:t>
      </w:r>
      <w:bookmarkEnd w:id="107"/>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08" w:name="_Toc177039226"/>
      <w:bookmarkStart w:id="109" w:name="_Toc177039768"/>
      <w:bookmarkStart w:id="110" w:name="_Toc177041724"/>
      <w:r>
        <w:rPr>
          <w:rStyle w:val="CharDivNo"/>
        </w:rPr>
        <w:t>Division 3</w:t>
      </w:r>
      <w:r>
        <w:t> — </w:t>
      </w:r>
      <w:r>
        <w:rPr>
          <w:rStyle w:val="CharDivText"/>
          <w:i/>
        </w:rPr>
        <w:t>Local Government (Building Surveyors) Regulations 2008</w:t>
      </w:r>
      <w:bookmarkEnd w:id="108"/>
      <w:bookmarkEnd w:id="109"/>
      <w:bookmarkEnd w:id="110"/>
    </w:p>
    <w:p>
      <w:pPr>
        <w:pStyle w:val="Footnoteheading"/>
      </w:pPr>
      <w:r>
        <w:tab/>
        <w:t>[Heading inserted: Gazette 12 Mar 2012 p. 1002.]</w:t>
      </w:r>
    </w:p>
    <w:p>
      <w:pPr>
        <w:pStyle w:val="Heading5"/>
      </w:pPr>
      <w:bookmarkStart w:id="111" w:name="_Toc177041725"/>
      <w:r>
        <w:rPr>
          <w:rStyle w:val="CharSectno"/>
        </w:rPr>
        <w:t>47</w:t>
      </w:r>
      <w:r>
        <w:t>.</w:t>
      </w:r>
      <w:r>
        <w:tab/>
        <w:t>Terms used</w:t>
      </w:r>
      <w:bookmarkEnd w:id="111"/>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112" w:name="_Toc177041726"/>
      <w:r>
        <w:rPr>
          <w:rStyle w:val="CharSectno"/>
        </w:rPr>
        <w:t>48</w:t>
      </w:r>
      <w:r>
        <w:t>.</w:t>
      </w:r>
      <w:r>
        <w:tab/>
        <w:t>Continuation of registration</w:t>
      </w:r>
      <w:bookmarkEnd w:id="112"/>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lastRenderedPageBreak/>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113" w:name="_Toc177041727"/>
      <w:r>
        <w:rPr>
          <w:rStyle w:val="CharSectno"/>
        </w:rPr>
        <w:t>49</w:t>
      </w:r>
      <w:r>
        <w:t>.</w:t>
      </w:r>
      <w:r>
        <w:tab/>
        <w:t>Nominated supervisors for contractors before repeal day</w:t>
      </w:r>
      <w:bookmarkEnd w:id="113"/>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 xml:space="preserve">Local Government (Qualifications of Municipal </w:t>
      </w:r>
      <w:r>
        <w:rPr>
          <w:i/>
        </w:rPr>
        <w:lastRenderedPageBreak/>
        <w:t>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114" w:name="_Toc177041728"/>
      <w:r>
        <w:rPr>
          <w:rStyle w:val="CharSectno"/>
        </w:rPr>
        <w:t>50</w:t>
      </w:r>
      <w:r>
        <w:t>.</w:t>
      </w:r>
      <w:r>
        <w:tab/>
        <w:t>Cancellation of certificate</w:t>
      </w:r>
      <w:bookmarkEnd w:id="114"/>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115" w:name="_Toc177041729"/>
      <w:r>
        <w:rPr>
          <w:rStyle w:val="CharSectno"/>
        </w:rPr>
        <w:t>51</w:t>
      </w:r>
      <w:r>
        <w:t>.</w:t>
      </w:r>
      <w:r>
        <w:tab/>
        <w:t>Membership of Board — experience as a building surveyor</w:t>
      </w:r>
      <w:bookmarkEnd w:id="115"/>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116" w:name="_Toc177039232"/>
      <w:bookmarkStart w:id="117" w:name="_Toc177039774"/>
      <w:bookmarkStart w:id="118" w:name="_Toc177041730"/>
      <w:r>
        <w:rPr>
          <w:rStyle w:val="CharDivNo"/>
        </w:rPr>
        <w:lastRenderedPageBreak/>
        <w:t>Division 4</w:t>
      </w:r>
      <w:r>
        <w:t> — </w:t>
      </w:r>
      <w:r>
        <w:rPr>
          <w:rStyle w:val="CharDivText"/>
          <w:i/>
        </w:rPr>
        <w:t>Building Services (Registration) Amendment Regulations (No. 2) 2017</w:t>
      </w:r>
      <w:bookmarkEnd w:id="116"/>
      <w:bookmarkEnd w:id="117"/>
      <w:bookmarkEnd w:id="118"/>
    </w:p>
    <w:p>
      <w:pPr>
        <w:pStyle w:val="Footnoteheading"/>
        <w:keepNext/>
      </w:pPr>
      <w:r>
        <w:tab/>
        <w:t>[Heading inserted: Gazette 5 Jan 2018 p. 6.]</w:t>
      </w:r>
    </w:p>
    <w:p>
      <w:pPr>
        <w:pStyle w:val="Heading5"/>
      </w:pPr>
      <w:bookmarkStart w:id="119" w:name="_Toc177041731"/>
      <w:r>
        <w:rPr>
          <w:rStyle w:val="CharSectno"/>
        </w:rPr>
        <w:t>52</w:t>
      </w:r>
      <w:r>
        <w:t>.</w:t>
      </w:r>
      <w:r>
        <w:tab/>
        <w:t>Painting practitioners: applications for registration made before 1 September 2018</w:t>
      </w:r>
      <w:bookmarkEnd w:id="119"/>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 xml:space="preserve">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w:t>
            </w:r>
            <w:r>
              <w:lastRenderedPageBreak/>
              <w:t>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lastRenderedPageBreak/>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lastRenderedPageBreak/>
              <w:t>(b)</w:t>
            </w:r>
            <w:r>
              <w:tab/>
              <w:t>sufficient to gain knowledge and skills equivalent to those possessed by a person who has successfully completed a qualification referred to in set 3</w:t>
            </w:r>
          </w:p>
        </w:tc>
      </w:tr>
    </w:tbl>
    <w:p>
      <w:pPr>
        <w:pStyle w:val="Footnotesection"/>
      </w:pPr>
      <w:r>
        <w:lastRenderedPageBreak/>
        <w:tab/>
        <w:t>[Regulation 52 inserted: Gazette 5 Jan 2018 p. 6</w:t>
      </w:r>
      <w:r>
        <w:noBreakHyphen/>
        <w:t>8.]</w:t>
      </w:r>
    </w:p>
    <w:p>
      <w:pPr>
        <w:pStyle w:val="Heading3"/>
      </w:pPr>
      <w:bookmarkStart w:id="120" w:name="_Toc177039234"/>
      <w:bookmarkStart w:id="121" w:name="_Toc177039776"/>
      <w:bookmarkStart w:id="122" w:name="_Toc177041732"/>
      <w:r>
        <w:rPr>
          <w:rStyle w:val="CharDivNo"/>
        </w:rPr>
        <w:t>Division 5</w:t>
      </w:r>
      <w:r>
        <w:t> — </w:t>
      </w:r>
      <w:r>
        <w:rPr>
          <w:rStyle w:val="CharDivText"/>
          <w:i/>
        </w:rPr>
        <w:t>Commerce Regulations Amendment (Building Services) Regulations 2023</w:t>
      </w:r>
      <w:bookmarkEnd w:id="120"/>
      <w:bookmarkEnd w:id="121"/>
      <w:bookmarkEnd w:id="122"/>
    </w:p>
    <w:p>
      <w:pPr>
        <w:pStyle w:val="Footnoteheading"/>
      </w:pPr>
      <w:r>
        <w:tab/>
        <w:t>[Heading inserted: SL 2023/64 r. 14.]</w:t>
      </w:r>
    </w:p>
    <w:p>
      <w:pPr>
        <w:pStyle w:val="Heading5"/>
      </w:pPr>
      <w:bookmarkStart w:id="123" w:name="_Toc177041733"/>
      <w:r>
        <w:rPr>
          <w:rStyle w:val="CharSectno"/>
        </w:rPr>
        <w:t>53</w:t>
      </w:r>
      <w:r>
        <w:t>.</w:t>
      </w:r>
      <w:r>
        <w:tab/>
        <w:t xml:space="preserve">Transitional provision for </w:t>
      </w:r>
      <w:r>
        <w:rPr>
          <w:i/>
        </w:rPr>
        <w:t>Commerce Regulations Amendment (Building Services) Regulations 2023</w:t>
      </w:r>
      <w:r>
        <w:t xml:space="preserve"> Part 2 Division 2</w:t>
      </w:r>
      <w:bookmarkEnd w:id="123"/>
    </w:p>
    <w:p>
      <w:pPr>
        <w:pStyle w:val="Subsection"/>
      </w:pPr>
      <w:r>
        <w:tab/>
        <w:t>(1)</w:t>
      </w:r>
      <w:r>
        <w:tab/>
        <w:t xml:space="preserve">In this regulation — </w:t>
      </w:r>
    </w:p>
    <w:p>
      <w:pPr>
        <w:pStyle w:val="Defstart"/>
      </w:pPr>
      <w:r>
        <w:tab/>
      </w:r>
      <w:r>
        <w:rPr>
          <w:rStyle w:val="CharDefText"/>
        </w:rPr>
        <w:t>amending provisions</w:t>
      </w:r>
      <w:r>
        <w:t xml:space="preserve"> means the </w:t>
      </w:r>
      <w:r>
        <w:rPr>
          <w:i/>
        </w:rPr>
        <w:t>Commerce Regulations Amendment (Building Services) Regulations 2023</w:t>
      </w:r>
      <w:r>
        <w:t xml:space="preserve"> Part 2 Division 2;</w:t>
      </w:r>
    </w:p>
    <w:p>
      <w:pPr>
        <w:pStyle w:val="Defstart"/>
      </w:pPr>
      <w:r>
        <w:tab/>
      </w:r>
      <w:r>
        <w:rPr>
          <w:rStyle w:val="CharDefText"/>
        </w:rPr>
        <w:t>commencement day</w:t>
      </w:r>
      <w:r>
        <w:t xml:space="preserve"> means 1 July 2024.</w:t>
      </w:r>
    </w:p>
    <w:p>
      <w:pPr>
        <w:pStyle w:val="Subsection"/>
      </w:pPr>
      <w:r>
        <w:tab/>
        <w:t>(2)</w:t>
      </w:r>
      <w:r>
        <w:tab/>
        <w:t xml:space="preserve">This regulation applies to a person who was, immediately before commencement day, carrying out a building service of a class prescribed in regulation 6(1)(bd) to (bi) (the </w:t>
      </w:r>
      <w:r>
        <w:rPr>
          <w:rStyle w:val="CharDefText"/>
        </w:rPr>
        <w:t>relevant class</w:t>
      </w:r>
      <w:r>
        <w:t>).</w:t>
      </w:r>
    </w:p>
    <w:p>
      <w:pPr>
        <w:pStyle w:val="Subsection"/>
        <w:keepNext/>
      </w:pPr>
      <w:r>
        <w:lastRenderedPageBreak/>
        <w:tab/>
        <w:t>(3)</w:t>
      </w:r>
      <w:r>
        <w:tab/>
        <w:t xml:space="preserve">The person may continue carrying out a building service of the relevant class as if the amending provisions had not come into operation until — </w:t>
      </w:r>
    </w:p>
    <w:p>
      <w:pPr>
        <w:pStyle w:val="Indenta"/>
      </w:pPr>
      <w:r>
        <w:tab/>
        <w:t>(a)</w:t>
      </w:r>
      <w:r>
        <w:tab/>
        <w:t>the day that is 2 years after commencement day; or</w:t>
      </w:r>
    </w:p>
    <w:p>
      <w:pPr>
        <w:pStyle w:val="Indenta"/>
      </w:pPr>
      <w:r>
        <w:tab/>
        <w:t>(b)</w:t>
      </w:r>
      <w:r>
        <w:tab/>
        <w:t xml:space="preserve">if, before that day, the person makes an application under section 13 for registration for the relevant class and the Board determines the application — </w:t>
      </w:r>
    </w:p>
    <w:p>
      <w:pPr>
        <w:pStyle w:val="Indenti"/>
      </w:pPr>
      <w:r>
        <w:tab/>
        <w:t>(i)</w:t>
      </w:r>
      <w:r>
        <w:tab/>
        <w:t>the day on which the Board registers the person under section 17 for the relevant class; or</w:t>
      </w:r>
    </w:p>
    <w:p>
      <w:pPr>
        <w:pStyle w:val="Indenti"/>
      </w:pPr>
      <w:r>
        <w:tab/>
        <w:t>(ii)</w:t>
      </w:r>
      <w:r>
        <w:tab/>
        <w:t>the day on which the Board refuses to register the person under section 17 for the relevant class.</w:t>
      </w:r>
    </w:p>
    <w:p>
      <w:pPr>
        <w:pStyle w:val="Footnotesection"/>
      </w:pPr>
      <w:r>
        <w:tab/>
        <w:t>[Regulation 53 inserted: SL 2023/64 r. 14.]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24" w:name="_Toc177039236"/>
      <w:bookmarkStart w:id="125" w:name="_Toc177039778"/>
      <w:bookmarkStart w:id="126" w:name="_Toc177041734"/>
      <w:r>
        <w:rPr>
          <w:rStyle w:val="CharSchNo"/>
        </w:rPr>
        <w:lastRenderedPageBreak/>
        <w:t>Schedule 1</w:t>
      </w:r>
      <w:r>
        <w:t> — </w:t>
      </w:r>
      <w:r>
        <w:rPr>
          <w:rStyle w:val="CharSchText"/>
        </w:rPr>
        <w:t>Fees</w:t>
      </w:r>
      <w:bookmarkEnd w:id="124"/>
      <w:bookmarkEnd w:id="125"/>
      <w:bookmarkEnd w:id="126"/>
    </w:p>
    <w:p>
      <w:pPr>
        <w:pStyle w:val="yShoulderClause"/>
      </w:pPr>
      <w:r>
        <w:t>[r. 9]</w:t>
      </w:r>
    </w:p>
    <w:p>
      <w:pPr>
        <w:pStyle w:val="yFootnoteheading"/>
      </w:pPr>
      <w:r>
        <w:tab/>
        <w:t>[Heading inserted: SL 2023/35 r. 12.]</w:t>
      </w:r>
    </w:p>
    <w:p>
      <w:pPr>
        <w:pStyle w:val="yHeading3"/>
      </w:pPr>
      <w:bookmarkStart w:id="127" w:name="_Toc177039237"/>
      <w:bookmarkStart w:id="128" w:name="_Toc177039779"/>
      <w:bookmarkStart w:id="129" w:name="_Toc177041735"/>
      <w:r>
        <w:rPr>
          <w:rStyle w:val="CharSDivNo"/>
        </w:rPr>
        <w:t>Division 1</w:t>
      </w:r>
      <w:r>
        <w:t> — </w:t>
      </w:r>
      <w:r>
        <w:rPr>
          <w:rStyle w:val="CharSDivText"/>
        </w:rPr>
        <w:t>General</w:t>
      </w:r>
      <w:bookmarkEnd w:id="127"/>
      <w:bookmarkEnd w:id="128"/>
      <w:bookmarkEnd w:id="129"/>
    </w:p>
    <w:p>
      <w:pPr>
        <w:pStyle w:val="yFootnoteheading"/>
        <w:spacing w:after="80"/>
      </w:pPr>
      <w:r>
        <w:tab/>
        <w:t>[Heading inserted: SL 2024/96 r. 9.]</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registration certificate</w:t>
            </w:r>
          </w:p>
        </w:tc>
        <w:tc>
          <w:tcPr>
            <w:tcW w:w="1418" w:type="dxa"/>
            <w:tcBorders>
              <w:bottom w:val="nil"/>
            </w:tcBorders>
            <w:noWrap/>
            <w:vAlign w:val="bottom"/>
          </w:tcPr>
          <w:p>
            <w:pPr>
              <w:pStyle w:val="yTableNAm"/>
              <w:jc w:val="right"/>
            </w:pPr>
            <w:r>
              <w:t>74.50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registration certificate following name change</w:t>
            </w:r>
          </w:p>
        </w:tc>
        <w:tc>
          <w:tcPr>
            <w:tcW w:w="1418" w:type="dxa"/>
            <w:tcBorders>
              <w:top w:val="nil"/>
              <w:bottom w:val="nil"/>
            </w:tcBorders>
            <w:noWrap/>
            <w:vAlign w:val="bottom"/>
          </w:tcPr>
          <w:p>
            <w:pPr>
              <w:pStyle w:val="yTableNAm"/>
              <w:jc w:val="right"/>
            </w:pPr>
            <w:r>
              <w:t>70.00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 xml:space="preserve">Obtaining any of the following (s. 30(3)) —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certified copy of the register</w:t>
            </w:r>
          </w:p>
        </w:tc>
        <w:tc>
          <w:tcPr>
            <w:tcW w:w="1418" w:type="dxa"/>
            <w:tcBorders>
              <w:top w:val="nil"/>
              <w:bottom w:val="nil"/>
            </w:tcBorders>
            <w:noWrap/>
            <w:vAlign w:val="bottom"/>
          </w:tcPr>
          <w:p>
            <w:pPr>
              <w:pStyle w:val="yTableNAm"/>
              <w:jc w:val="right"/>
            </w:pPr>
            <w:r>
              <w:t>70.00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certified copy of the register in relation to the classes of building service contractors in a specified occupation group referred to in regulation 8</w:t>
            </w:r>
          </w:p>
        </w:tc>
        <w:tc>
          <w:tcPr>
            <w:tcW w:w="1418" w:type="dxa"/>
            <w:tcBorders>
              <w:top w:val="nil"/>
              <w:bottom w:val="nil"/>
            </w:tcBorders>
            <w:noWrap/>
            <w:vAlign w:val="bottom"/>
          </w:tcPr>
          <w:p>
            <w:pPr>
              <w:pStyle w:val="yTableNAm"/>
              <w:jc w:val="right"/>
            </w:pPr>
            <w:r>
              <w:t>70.00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certified copy of an entry in the register that relates to a registered building service provider on a specified day or within a specified period</w:t>
            </w:r>
          </w:p>
        </w:tc>
        <w:tc>
          <w:tcPr>
            <w:tcW w:w="1418" w:type="dxa"/>
            <w:tcBorders>
              <w:top w:val="nil"/>
              <w:bottom w:val="nil"/>
            </w:tcBorders>
            <w:noWrap/>
            <w:vAlign w:val="bottom"/>
          </w:tcPr>
          <w:p>
            <w:pPr>
              <w:pStyle w:val="yTableNAm"/>
              <w:jc w:val="right"/>
            </w:pPr>
            <w:r>
              <w:t>70.00</w:t>
            </w:r>
          </w:p>
        </w:tc>
      </w:tr>
      <w:tr>
        <w:trPr>
          <w:cantSplit/>
          <w:jc w:val="center"/>
        </w:trPr>
        <w:tc>
          <w:tcPr>
            <w:tcW w:w="709" w:type="dxa"/>
            <w:tcBorders>
              <w:top w:val="nil"/>
              <w:bottom w:val="single" w:sz="4" w:space="0" w:color="auto"/>
            </w:tcBorders>
            <w:noWrap/>
          </w:tcPr>
          <w:p>
            <w:pPr>
              <w:pStyle w:val="yTableNAm"/>
              <w:keepNext/>
            </w:pPr>
          </w:p>
        </w:tc>
        <w:tc>
          <w:tcPr>
            <w:tcW w:w="3260" w:type="dxa"/>
            <w:tcBorders>
              <w:top w:val="nil"/>
              <w:bottom w:val="single" w:sz="4" w:space="0" w:color="auto"/>
            </w:tcBorders>
            <w:noWrap/>
          </w:tcPr>
          <w:p>
            <w:pPr>
              <w:pStyle w:val="yTableNAm"/>
              <w:keepNext/>
              <w:tabs>
                <w:tab w:val="clear" w:pos="567"/>
                <w:tab w:val="left" w:pos="459"/>
              </w:tabs>
              <w:ind w:left="459" w:hanging="459"/>
            </w:pPr>
            <w:r>
              <w:t>(d)</w:t>
            </w:r>
            <w:r>
              <w:tab/>
              <w:t>certified copy of entries that have been added to, or deleted from, the register after a specified day</w:t>
            </w:r>
          </w:p>
        </w:tc>
        <w:tc>
          <w:tcPr>
            <w:tcW w:w="1418" w:type="dxa"/>
            <w:tcBorders>
              <w:top w:val="nil"/>
              <w:bottom w:val="single" w:sz="4" w:space="0" w:color="auto"/>
            </w:tcBorders>
            <w:noWrap/>
            <w:vAlign w:val="bottom"/>
          </w:tcPr>
          <w:p>
            <w:pPr>
              <w:pStyle w:val="yTableNAm"/>
              <w:keepNext/>
              <w:jc w:val="right"/>
            </w:pPr>
            <w:r>
              <w:t>70.00</w:t>
            </w:r>
          </w:p>
        </w:tc>
      </w:tr>
    </w:tbl>
    <w:p>
      <w:pPr>
        <w:pStyle w:val="yFootnotesection"/>
      </w:pPr>
      <w:r>
        <w:tab/>
        <w:t>[Division 1 inserted: SL 2024/96 r. 9.]</w:t>
      </w:r>
    </w:p>
    <w:p>
      <w:pPr>
        <w:pStyle w:val="yHeading3"/>
      </w:pPr>
      <w:bookmarkStart w:id="130" w:name="_Toc177039238"/>
      <w:bookmarkStart w:id="131" w:name="_Toc177039780"/>
      <w:bookmarkStart w:id="132" w:name="_Toc177041736"/>
      <w:r>
        <w:rPr>
          <w:rStyle w:val="CharSDivNo"/>
        </w:rPr>
        <w:t>Division 2</w:t>
      </w:r>
      <w:r>
        <w:t> — </w:t>
      </w:r>
      <w:r>
        <w:rPr>
          <w:rStyle w:val="CharSDivText"/>
        </w:rPr>
        <w:t>Builders</w:t>
      </w:r>
      <w:bookmarkEnd w:id="130"/>
      <w:bookmarkEnd w:id="131"/>
      <w:bookmarkEnd w:id="132"/>
    </w:p>
    <w:p>
      <w:pPr>
        <w:pStyle w:val="yFootnoteheading"/>
        <w:keepNext/>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top w:val="nil"/>
              <w:bottom w:val="nil"/>
            </w:tcBorders>
            <w:noWrap/>
          </w:tcPr>
          <w:p>
            <w:pPr>
              <w:pStyle w:val="yTableNAm"/>
              <w:keepNext/>
            </w:pPr>
            <w:r>
              <w:t>1.</w:t>
            </w:r>
          </w:p>
        </w:tc>
        <w:tc>
          <w:tcPr>
            <w:tcW w:w="3260" w:type="dxa"/>
            <w:tcBorders>
              <w:top w:val="nil"/>
              <w:bottom w:val="nil"/>
            </w:tcBorders>
            <w:noWrap/>
          </w:tcPr>
          <w:p>
            <w:pPr>
              <w:pStyle w:val="yTableNAm"/>
              <w:keepNext/>
            </w:pPr>
            <w:r>
              <w:t xml:space="preserve">Application fee for registration (s. 13(3)(c)(i)) — </w:t>
            </w:r>
          </w:p>
        </w:tc>
        <w:tc>
          <w:tcPr>
            <w:tcW w:w="1418" w:type="dxa"/>
            <w:tcBorders>
              <w:top w:val="nil"/>
              <w:bottom w:val="nil"/>
            </w:tcBorders>
            <w:noWrap/>
            <w:vAlign w:val="bottom"/>
          </w:tcPr>
          <w:p>
            <w:pPr>
              <w:pStyle w:val="yTableNAm"/>
              <w:keepNext/>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practitioner</w:t>
            </w:r>
          </w:p>
        </w:tc>
        <w:tc>
          <w:tcPr>
            <w:tcW w:w="1418" w:type="dxa"/>
            <w:tcBorders>
              <w:top w:val="nil"/>
              <w:bottom w:val="nil"/>
            </w:tcBorders>
            <w:noWrap/>
            <w:vAlign w:val="bottom"/>
          </w:tcPr>
          <w:p>
            <w:pPr>
              <w:pStyle w:val="yTableNAm"/>
              <w:jc w:val="right"/>
            </w:pPr>
            <w:r>
              <w:t>271.00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contractor (individual)</w:t>
            </w:r>
          </w:p>
        </w:tc>
        <w:tc>
          <w:tcPr>
            <w:tcW w:w="1418" w:type="dxa"/>
            <w:tcBorders>
              <w:top w:val="nil"/>
              <w:bottom w:val="nil"/>
            </w:tcBorders>
            <w:noWrap/>
            <w:vAlign w:val="bottom"/>
          </w:tcPr>
          <w:p>
            <w:pPr>
              <w:pStyle w:val="yTableNAm"/>
              <w:jc w:val="right"/>
            </w:pPr>
            <w:r>
              <w:t>271.00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contractor (partnership)</w:t>
            </w:r>
          </w:p>
        </w:tc>
        <w:tc>
          <w:tcPr>
            <w:tcW w:w="1418" w:type="dxa"/>
            <w:tcBorders>
              <w:top w:val="nil"/>
              <w:bottom w:val="nil"/>
            </w:tcBorders>
            <w:noWrap/>
            <w:vAlign w:val="bottom"/>
          </w:tcPr>
          <w:p>
            <w:pPr>
              <w:pStyle w:val="yTableNAm"/>
              <w:jc w:val="right"/>
            </w:pPr>
            <w:r>
              <w:t>446.00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contractor (company)</w:t>
            </w:r>
          </w:p>
        </w:tc>
        <w:tc>
          <w:tcPr>
            <w:tcW w:w="1418" w:type="dxa"/>
            <w:tcBorders>
              <w:top w:val="nil"/>
              <w:bottom w:val="nil"/>
            </w:tcBorders>
            <w:noWrap/>
            <w:vAlign w:val="bottom"/>
          </w:tcPr>
          <w:p>
            <w:pPr>
              <w:pStyle w:val="yTableNAm"/>
              <w:jc w:val="right"/>
            </w:pPr>
            <w:r>
              <w:t>446.00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practitioner</w:t>
            </w:r>
          </w:p>
        </w:tc>
        <w:tc>
          <w:tcPr>
            <w:tcW w:w="1418" w:type="dxa"/>
            <w:tcBorders>
              <w:top w:val="nil"/>
              <w:bottom w:val="nil"/>
            </w:tcBorders>
            <w:noWrap/>
            <w:vAlign w:val="bottom"/>
          </w:tcPr>
          <w:p>
            <w:pPr>
              <w:pStyle w:val="yTableNAm"/>
              <w:jc w:val="right"/>
            </w:pPr>
            <w:r>
              <w:t>784.00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contractor (individual)</w:t>
            </w:r>
          </w:p>
        </w:tc>
        <w:tc>
          <w:tcPr>
            <w:tcW w:w="1418" w:type="dxa"/>
            <w:tcBorders>
              <w:top w:val="nil"/>
              <w:bottom w:val="nil"/>
            </w:tcBorders>
            <w:noWrap/>
            <w:vAlign w:val="bottom"/>
          </w:tcPr>
          <w:p>
            <w:pPr>
              <w:pStyle w:val="yTableNAm"/>
              <w:jc w:val="right"/>
            </w:pPr>
            <w:r>
              <w:t>525.00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contractor (partnership)</w:t>
            </w:r>
          </w:p>
        </w:tc>
        <w:tc>
          <w:tcPr>
            <w:tcW w:w="1418" w:type="dxa"/>
            <w:tcBorders>
              <w:top w:val="nil"/>
              <w:bottom w:val="nil"/>
            </w:tcBorders>
            <w:noWrap/>
            <w:vAlign w:val="bottom"/>
          </w:tcPr>
          <w:p>
            <w:pPr>
              <w:pStyle w:val="yTableNAm"/>
              <w:jc w:val="right"/>
            </w:pPr>
            <w:r>
              <w:t>1 700.00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contractor (company)</w:t>
            </w:r>
          </w:p>
        </w:tc>
        <w:tc>
          <w:tcPr>
            <w:tcW w:w="1418" w:type="dxa"/>
            <w:tcBorders>
              <w:top w:val="nil"/>
              <w:bottom w:val="nil"/>
            </w:tcBorders>
            <w:noWrap/>
            <w:vAlign w:val="bottom"/>
          </w:tcPr>
          <w:p>
            <w:pPr>
              <w:pStyle w:val="yTableNAm"/>
              <w:jc w:val="right"/>
            </w:pPr>
            <w:r>
              <w:t>3 610.00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Late fee for application made after renewal period for renewal of registration specified in item 2 (s. 15(4))</w:t>
            </w:r>
          </w:p>
        </w:tc>
        <w:tc>
          <w:tcPr>
            <w:tcW w:w="1418" w:type="dxa"/>
            <w:tcBorders>
              <w:top w:val="nil"/>
              <w:bottom w:val="nil"/>
            </w:tcBorders>
            <w:noWrap/>
            <w:vAlign w:val="bottom"/>
          </w:tcPr>
          <w:p>
            <w:pPr>
              <w:pStyle w:val="yTableNAm"/>
              <w:jc w:val="right"/>
            </w:pPr>
            <w:r>
              <w:t>65.00</w:t>
            </w:r>
          </w:p>
        </w:tc>
      </w:tr>
      <w:tr>
        <w:trPr>
          <w:cantSplit/>
          <w:jc w:val="center"/>
        </w:trPr>
        <w:tc>
          <w:tcPr>
            <w:tcW w:w="5387" w:type="dxa"/>
            <w:gridSpan w:val="3"/>
            <w:tcBorders>
              <w:top w:val="nil"/>
              <w:bottom w:val="nil"/>
            </w:tcBorders>
            <w:noWrap/>
          </w:tcPr>
          <w:p>
            <w:pPr>
              <w:pStyle w:val="yEdnoteitem"/>
              <w:tabs>
                <w:tab w:val="left" w:pos="743"/>
              </w:tabs>
            </w:pPr>
            <w:r>
              <w:t>[4</w:t>
            </w:r>
            <w:r>
              <w:noBreakHyphen/>
              <w:t>9.</w:t>
            </w:r>
            <w:r>
              <w:tab/>
              <w:t>deleted]</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234.00</w:t>
            </w:r>
          </w:p>
        </w:tc>
      </w:tr>
      <w:tr>
        <w:trPr>
          <w:cantSplit/>
          <w:jc w:val="center"/>
        </w:trPr>
        <w:tc>
          <w:tcPr>
            <w:tcW w:w="709" w:type="dxa"/>
            <w:tcBorders>
              <w:top w:val="nil"/>
            </w:tcBorders>
            <w:noWrap/>
          </w:tcPr>
          <w:p>
            <w:pPr>
              <w:pStyle w:val="yTableNAm"/>
              <w:keepNext/>
            </w:pPr>
            <w:r>
              <w:t>11.</w:t>
            </w:r>
          </w:p>
        </w:tc>
        <w:tc>
          <w:tcPr>
            <w:tcW w:w="3260" w:type="dxa"/>
            <w:tcBorders>
              <w:top w:val="nil"/>
            </w:tcBorders>
            <w:noWrap/>
          </w:tcPr>
          <w:p>
            <w:pPr>
              <w:pStyle w:val="yTableNAm"/>
              <w:keepNext/>
            </w:pPr>
            <w:r>
              <w:t>Fee for marking an examination sat outside metropolitan area</w:t>
            </w:r>
          </w:p>
        </w:tc>
        <w:tc>
          <w:tcPr>
            <w:tcW w:w="1418" w:type="dxa"/>
            <w:tcBorders>
              <w:top w:val="nil"/>
            </w:tcBorders>
            <w:noWrap/>
            <w:vAlign w:val="bottom"/>
          </w:tcPr>
          <w:p>
            <w:pPr>
              <w:pStyle w:val="yTableNAm"/>
              <w:keepNext/>
              <w:jc w:val="right"/>
            </w:pPr>
            <w:r>
              <w:rPr>
                <w:color w:val="000000"/>
              </w:rPr>
              <w:t>71.00</w:t>
            </w:r>
          </w:p>
        </w:tc>
      </w:tr>
    </w:tbl>
    <w:p>
      <w:pPr>
        <w:pStyle w:val="yFootnotesection"/>
      </w:pPr>
      <w:r>
        <w:tab/>
        <w:t>[Division 2 inserted: SL 2023/35 r. 12; amended: SL 2024/96 r. 10.]</w:t>
      </w:r>
    </w:p>
    <w:p>
      <w:pPr>
        <w:pStyle w:val="yHeading3"/>
      </w:pPr>
      <w:bookmarkStart w:id="133" w:name="_Toc177039239"/>
      <w:bookmarkStart w:id="134" w:name="_Toc177039781"/>
      <w:bookmarkStart w:id="135" w:name="_Toc177041737"/>
      <w:r>
        <w:rPr>
          <w:rStyle w:val="CharSDivNo"/>
        </w:rPr>
        <w:t>Division 3</w:t>
      </w:r>
      <w:r>
        <w:t> — </w:t>
      </w:r>
      <w:r>
        <w:rPr>
          <w:rStyle w:val="CharSDivText"/>
        </w:rPr>
        <w:t>Building surveyors</w:t>
      </w:r>
      <w:bookmarkEnd w:id="133"/>
      <w:bookmarkEnd w:id="134"/>
      <w:bookmarkEnd w:id="135"/>
    </w:p>
    <w:p>
      <w:pPr>
        <w:pStyle w:val="yFootnoteheading"/>
        <w:spacing w:after="80"/>
      </w:pPr>
      <w:r>
        <w:tab/>
        <w:t>[Heading inserted: SL 2024/96 r. 11.]</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Application fee for registration (s. 13(3)(c)(i)) — </w:t>
            </w:r>
          </w:p>
        </w:tc>
        <w:tc>
          <w:tcPr>
            <w:tcW w:w="1418" w:type="dxa"/>
            <w:tcBorders>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surveying practitioner level 1 or level 2</w:t>
            </w:r>
          </w:p>
        </w:tc>
        <w:tc>
          <w:tcPr>
            <w:tcW w:w="1418" w:type="dxa"/>
            <w:tcBorders>
              <w:top w:val="nil"/>
              <w:bottom w:val="nil"/>
            </w:tcBorders>
            <w:noWrap/>
            <w:vAlign w:val="bottom"/>
          </w:tcPr>
          <w:p>
            <w:pPr>
              <w:pStyle w:val="yTableNAm"/>
              <w:jc w:val="right"/>
            </w:pPr>
            <w:r>
              <w:t>143.00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surveying practitioner technician</w:t>
            </w:r>
          </w:p>
        </w:tc>
        <w:tc>
          <w:tcPr>
            <w:tcW w:w="1418" w:type="dxa"/>
            <w:tcBorders>
              <w:top w:val="nil"/>
              <w:bottom w:val="nil"/>
            </w:tcBorders>
            <w:noWrap/>
            <w:vAlign w:val="bottom"/>
          </w:tcPr>
          <w:p>
            <w:pPr>
              <w:pStyle w:val="yTableNAm"/>
              <w:jc w:val="right"/>
            </w:pPr>
            <w:r>
              <w:t>71.00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surveying contractor level 1 or level 2 (individual)</w:t>
            </w:r>
          </w:p>
        </w:tc>
        <w:tc>
          <w:tcPr>
            <w:tcW w:w="1418" w:type="dxa"/>
            <w:tcBorders>
              <w:top w:val="nil"/>
              <w:bottom w:val="nil"/>
            </w:tcBorders>
            <w:noWrap/>
            <w:vAlign w:val="bottom"/>
          </w:tcPr>
          <w:p>
            <w:pPr>
              <w:pStyle w:val="yTableNAm"/>
              <w:jc w:val="right"/>
            </w:pPr>
            <w:r>
              <w:t>95.50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surveying contractor level 1 or level 2 (partnership)</w:t>
            </w:r>
          </w:p>
        </w:tc>
        <w:tc>
          <w:tcPr>
            <w:tcW w:w="1418" w:type="dxa"/>
            <w:tcBorders>
              <w:top w:val="nil"/>
              <w:bottom w:val="nil"/>
            </w:tcBorders>
            <w:noWrap/>
            <w:vAlign w:val="bottom"/>
          </w:tcPr>
          <w:p>
            <w:pPr>
              <w:pStyle w:val="yTableNAm"/>
              <w:jc w:val="right"/>
            </w:pPr>
            <w:r>
              <w:t>91.00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(e)</w:t>
            </w:r>
            <w:r>
              <w:tab/>
              <w:t>as a building surveying contractor level 1 or level 2 (company)</w:t>
            </w:r>
          </w:p>
        </w:tc>
        <w:tc>
          <w:tcPr>
            <w:tcW w:w="1418" w:type="dxa"/>
            <w:tcBorders>
              <w:top w:val="nil"/>
              <w:bottom w:val="nil"/>
            </w:tcBorders>
            <w:noWrap/>
            <w:vAlign w:val="bottom"/>
          </w:tcPr>
          <w:p>
            <w:pPr>
              <w:pStyle w:val="yTableNAm"/>
              <w:jc w:val="right"/>
            </w:pPr>
            <w:r>
              <w:t>95.50</w:t>
            </w:r>
          </w:p>
        </w:tc>
      </w:tr>
      <w:tr>
        <w:trPr>
          <w:jc w:val="center"/>
        </w:trPr>
        <w:tc>
          <w:tcPr>
            <w:tcW w:w="709" w:type="dxa"/>
            <w:tcBorders>
              <w:top w:val="nil"/>
              <w:bottom w:val="nil"/>
            </w:tcBorders>
            <w:noWrap/>
          </w:tcPr>
          <w:p>
            <w:pPr>
              <w:pStyle w:val="yTableNAm"/>
              <w:keepNext/>
            </w:pPr>
            <w:r>
              <w:t>2.</w:t>
            </w:r>
          </w:p>
        </w:tc>
        <w:tc>
          <w:tcPr>
            <w:tcW w:w="3260" w:type="dxa"/>
            <w:tcBorders>
              <w:top w:val="nil"/>
              <w:bottom w:val="nil"/>
            </w:tcBorders>
            <w:noWrap/>
          </w:tcPr>
          <w:p>
            <w:pPr>
              <w:pStyle w:val="yTableNAm"/>
              <w:keepNext/>
            </w:pPr>
            <w:r>
              <w:t>Registration fee for 3 years registration (s. 13(3)(c)(ii)) —</w:t>
            </w:r>
          </w:p>
        </w:tc>
        <w:tc>
          <w:tcPr>
            <w:tcW w:w="1418" w:type="dxa"/>
            <w:tcBorders>
              <w:top w:val="nil"/>
              <w:bottom w:val="nil"/>
            </w:tcBorders>
            <w:noWrap/>
            <w:vAlign w:val="bottom"/>
          </w:tcPr>
          <w:p>
            <w:pPr>
              <w:pStyle w:val="yTableNAm"/>
              <w:keepNext/>
              <w:jc w:val="right"/>
            </w:pP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surveying practitioner level 1 or level 2</w:t>
            </w:r>
          </w:p>
        </w:tc>
        <w:tc>
          <w:tcPr>
            <w:tcW w:w="1418" w:type="dxa"/>
            <w:tcBorders>
              <w:top w:val="nil"/>
              <w:bottom w:val="nil"/>
            </w:tcBorders>
            <w:noWrap/>
            <w:vAlign w:val="bottom"/>
          </w:tcPr>
          <w:p>
            <w:pPr>
              <w:pStyle w:val="yTableNAm"/>
              <w:jc w:val="right"/>
            </w:pPr>
            <w:r>
              <w:t>1 180.00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surveying practitioner technician</w:t>
            </w:r>
          </w:p>
        </w:tc>
        <w:tc>
          <w:tcPr>
            <w:tcW w:w="1418" w:type="dxa"/>
            <w:tcBorders>
              <w:top w:val="nil"/>
              <w:bottom w:val="nil"/>
            </w:tcBorders>
            <w:noWrap/>
            <w:vAlign w:val="bottom"/>
          </w:tcPr>
          <w:p>
            <w:pPr>
              <w:pStyle w:val="yTableNAm"/>
              <w:jc w:val="right"/>
            </w:pPr>
            <w:r>
              <w:t>614.00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surveying contractor level 1 or level 2 (individual)</w:t>
            </w:r>
          </w:p>
        </w:tc>
        <w:tc>
          <w:tcPr>
            <w:tcW w:w="1418" w:type="dxa"/>
            <w:tcBorders>
              <w:top w:val="nil"/>
              <w:bottom w:val="nil"/>
            </w:tcBorders>
            <w:noWrap/>
            <w:vAlign w:val="bottom"/>
          </w:tcPr>
          <w:p>
            <w:pPr>
              <w:pStyle w:val="yTableNAm"/>
              <w:jc w:val="right"/>
            </w:pPr>
            <w:r>
              <w:t>827.00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surveying contractor level 1 or level 2 (partnership)</w:t>
            </w:r>
          </w:p>
        </w:tc>
        <w:tc>
          <w:tcPr>
            <w:tcW w:w="1418" w:type="dxa"/>
            <w:tcBorders>
              <w:top w:val="nil"/>
              <w:bottom w:val="nil"/>
            </w:tcBorders>
            <w:noWrap/>
            <w:vAlign w:val="bottom"/>
          </w:tcPr>
          <w:p>
            <w:pPr>
              <w:pStyle w:val="yTableNAm"/>
              <w:jc w:val="right"/>
            </w:pPr>
            <w:r>
              <w:t>1 960.00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(e)</w:t>
            </w:r>
            <w:r>
              <w:tab/>
              <w:t>as a building surveying contractor level 1 or level 2 (company)</w:t>
            </w:r>
          </w:p>
        </w:tc>
        <w:tc>
          <w:tcPr>
            <w:tcW w:w="1418" w:type="dxa"/>
            <w:tcBorders>
              <w:top w:val="nil"/>
              <w:bottom w:val="nil"/>
            </w:tcBorders>
            <w:noWrap/>
            <w:vAlign w:val="bottom"/>
          </w:tcPr>
          <w:p>
            <w:pPr>
              <w:pStyle w:val="yTableNAm"/>
              <w:jc w:val="right"/>
            </w:pPr>
            <w:r>
              <w:t>2 690.00</w:t>
            </w:r>
          </w:p>
        </w:tc>
      </w:tr>
      <w:tr>
        <w:trPr>
          <w:jc w:val="center"/>
        </w:trPr>
        <w:tc>
          <w:tcPr>
            <w:tcW w:w="709" w:type="dxa"/>
            <w:tcBorders>
              <w:top w:val="nil"/>
            </w:tcBorders>
            <w:noWrap/>
          </w:tcPr>
          <w:p>
            <w:pPr>
              <w:pStyle w:val="yTableNAm"/>
            </w:pPr>
            <w:r>
              <w:t>3.</w:t>
            </w:r>
          </w:p>
        </w:tc>
        <w:tc>
          <w:tcPr>
            <w:tcW w:w="3260" w:type="dxa"/>
            <w:tcBorders>
              <w:top w:val="nil"/>
            </w:tcBorders>
            <w:noWrap/>
          </w:tcPr>
          <w:p>
            <w:pPr>
              <w:pStyle w:val="yTableNAm"/>
            </w:pPr>
            <w:r>
              <w:t xml:space="preserve">Late fee for application made after renewal period for renewal </w:t>
            </w:r>
            <w:r>
              <w:lastRenderedPageBreak/>
              <w:t>of registration specified in item 2 (s. 15(4))</w:t>
            </w:r>
          </w:p>
        </w:tc>
        <w:tc>
          <w:tcPr>
            <w:tcW w:w="1418" w:type="dxa"/>
            <w:tcBorders>
              <w:top w:val="nil"/>
            </w:tcBorders>
            <w:noWrap/>
            <w:vAlign w:val="bottom"/>
          </w:tcPr>
          <w:p>
            <w:pPr>
              <w:pStyle w:val="yTableNAm"/>
              <w:jc w:val="right"/>
            </w:pPr>
            <w:r>
              <w:lastRenderedPageBreak/>
              <w:t>87.00</w:t>
            </w:r>
          </w:p>
        </w:tc>
      </w:tr>
    </w:tbl>
    <w:p>
      <w:pPr>
        <w:pStyle w:val="yFootnotesection"/>
      </w:pPr>
      <w:r>
        <w:tab/>
        <w:t>[Division 3 inserted: SL 2024/96 r. 11.]</w:t>
      </w:r>
    </w:p>
    <w:p>
      <w:pPr>
        <w:pStyle w:val="yHeading3"/>
      </w:pPr>
      <w:bookmarkStart w:id="136" w:name="_Toc177039240"/>
      <w:bookmarkStart w:id="137" w:name="_Toc177039782"/>
      <w:bookmarkStart w:id="138" w:name="_Toc177041738"/>
      <w:r>
        <w:rPr>
          <w:rStyle w:val="CharSDivNo"/>
        </w:rPr>
        <w:t>Division 4</w:t>
      </w:r>
      <w:r>
        <w:t> — </w:t>
      </w:r>
      <w:r>
        <w:rPr>
          <w:rStyle w:val="CharSDivText"/>
        </w:rPr>
        <w:t>Building engineers</w:t>
      </w:r>
      <w:bookmarkEnd w:id="136"/>
      <w:bookmarkEnd w:id="137"/>
      <w:bookmarkEnd w:id="138"/>
    </w:p>
    <w:p>
      <w:pPr>
        <w:pStyle w:val="yFootnoteheading"/>
        <w:keepNext/>
        <w:spacing w:after="80"/>
      </w:pPr>
      <w:r>
        <w:tab/>
        <w:t>[Heading inserted: SL 2024/96 r. 11.]</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Application fee for registration (s. 13(3)(c)(i)) — </w:t>
            </w:r>
          </w:p>
        </w:tc>
        <w:tc>
          <w:tcPr>
            <w:tcW w:w="1418" w:type="dxa"/>
            <w:tcBorders>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engineering practitioner</w:t>
            </w:r>
          </w:p>
        </w:tc>
        <w:tc>
          <w:tcPr>
            <w:tcW w:w="1418" w:type="dxa"/>
            <w:tcBorders>
              <w:top w:val="nil"/>
              <w:bottom w:val="nil"/>
            </w:tcBorders>
            <w:noWrap/>
            <w:vAlign w:val="bottom"/>
          </w:tcPr>
          <w:p>
            <w:pPr>
              <w:pStyle w:val="yTableNAm"/>
              <w:jc w:val="right"/>
            </w:pPr>
            <w:r>
              <w:t>143.00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engineering contractor</w:t>
            </w:r>
          </w:p>
        </w:tc>
        <w:tc>
          <w:tcPr>
            <w:tcW w:w="1418" w:type="dxa"/>
            <w:tcBorders>
              <w:top w:val="nil"/>
              <w:bottom w:val="nil"/>
            </w:tcBorders>
            <w:noWrap/>
            <w:vAlign w:val="bottom"/>
          </w:tcPr>
          <w:p>
            <w:pPr>
              <w:pStyle w:val="yTableNAm"/>
              <w:jc w:val="right"/>
            </w:pPr>
            <w:r>
              <w:t>95.50</w:t>
            </w:r>
          </w:p>
        </w:tc>
      </w:tr>
      <w:tr>
        <w:trPr>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engineering practitioner</w:t>
            </w:r>
          </w:p>
        </w:tc>
        <w:tc>
          <w:tcPr>
            <w:tcW w:w="1418" w:type="dxa"/>
            <w:tcBorders>
              <w:top w:val="nil"/>
              <w:bottom w:val="nil"/>
            </w:tcBorders>
            <w:noWrap/>
            <w:vAlign w:val="bottom"/>
          </w:tcPr>
          <w:p>
            <w:pPr>
              <w:pStyle w:val="yTableNAm"/>
              <w:jc w:val="right"/>
            </w:pPr>
            <w:r>
              <w:t>1 180.00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engineering contractor (individual)</w:t>
            </w:r>
          </w:p>
        </w:tc>
        <w:tc>
          <w:tcPr>
            <w:tcW w:w="1418" w:type="dxa"/>
            <w:tcBorders>
              <w:top w:val="nil"/>
              <w:bottom w:val="nil"/>
            </w:tcBorders>
            <w:noWrap/>
            <w:vAlign w:val="bottom"/>
          </w:tcPr>
          <w:p>
            <w:pPr>
              <w:pStyle w:val="yTableNAm"/>
              <w:jc w:val="right"/>
            </w:pPr>
            <w:r>
              <w:t>827.00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engineering contractor (partnership)</w:t>
            </w:r>
          </w:p>
        </w:tc>
        <w:tc>
          <w:tcPr>
            <w:tcW w:w="1418" w:type="dxa"/>
            <w:tcBorders>
              <w:top w:val="nil"/>
              <w:bottom w:val="nil"/>
            </w:tcBorders>
            <w:noWrap/>
            <w:vAlign w:val="bottom"/>
          </w:tcPr>
          <w:p>
            <w:pPr>
              <w:pStyle w:val="yTableNAm"/>
              <w:jc w:val="right"/>
            </w:pPr>
            <w:r>
              <w:t>1 960.00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engineering contractor (company)</w:t>
            </w:r>
          </w:p>
        </w:tc>
        <w:tc>
          <w:tcPr>
            <w:tcW w:w="1418" w:type="dxa"/>
            <w:tcBorders>
              <w:top w:val="nil"/>
              <w:bottom w:val="nil"/>
            </w:tcBorders>
            <w:noWrap/>
            <w:vAlign w:val="bottom"/>
          </w:tcPr>
          <w:p>
            <w:pPr>
              <w:pStyle w:val="yTableNAm"/>
              <w:jc w:val="right"/>
            </w:pPr>
            <w:r>
              <w:t>2 690.00</w:t>
            </w:r>
          </w:p>
        </w:tc>
      </w:tr>
      <w:tr>
        <w:trPr>
          <w:jc w:val="center"/>
        </w:trPr>
        <w:tc>
          <w:tcPr>
            <w:tcW w:w="709" w:type="dxa"/>
            <w:tcBorders>
              <w:top w:val="nil"/>
            </w:tcBorders>
            <w:noWrap/>
          </w:tcPr>
          <w:p>
            <w:pPr>
              <w:pStyle w:val="yTableNAm"/>
            </w:pPr>
            <w:r>
              <w:lastRenderedPageBreak/>
              <w:t>3.</w:t>
            </w:r>
          </w:p>
        </w:tc>
        <w:tc>
          <w:tcPr>
            <w:tcW w:w="3260" w:type="dxa"/>
            <w:tcBorders>
              <w:top w:val="nil"/>
            </w:tcBorders>
            <w:noWrap/>
          </w:tcPr>
          <w:p>
            <w:pPr>
              <w:pStyle w:val="yTableNAm"/>
            </w:pPr>
            <w:r>
              <w:t>Late fee for application made after renewal period for renewal of registration specified in item 2 (s. 15(4))</w:t>
            </w:r>
          </w:p>
        </w:tc>
        <w:tc>
          <w:tcPr>
            <w:tcW w:w="1418" w:type="dxa"/>
            <w:tcBorders>
              <w:top w:val="nil"/>
            </w:tcBorders>
            <w:noWrap/>
            <w:vAlign w:val="bottom"/>
          </w:tcPr>
          <w:p>
            <w:pPr>
              <w:pStyle w:val="yTableNAm"/>
              <w:jc w:val="right"/>
            </w:pPr>
            <w:r>
              <w:t>87.00</w:t>
            </w:r>
          </w:p>
        </w:tc>
      </w:tr>
    </w:tbl>
    <w:p>
      <w:pPr>
        <w:pStyle w:val="yFootnotesection"/>
      </w:pPr>
      <w:r>
        <w:tab/>
        <w:t>[Division 4 inserted: SL 2024/96 r. 11.]</w:t>
      </w:r>
    </w:p>
    <w:p>
      <w:pPr>
        <w:pStyle w:val="yHeading3"/>
      </w:pPr>
      <w:bookmarkStart w:id="139" w:name="_Toc177039241"/>
      <w:bookmarkStart w:id="140" w:name="_Toc177039783"/>
      <w:bookmarkStart w:id="141" w:name="_Toc177041739"/>
      <w:r>
        <w:rPr>
          <w:rStyle w:val="CharSDivNo"/>
        </w:rPr>
        <w:t>Division 5</w:t>
      </w:r>
      <w:r>
        <w:t> — </w:t>
      </w:r>
      <w:r>
        <w:rPr>
          <w:rStyle w:val="CharSDivText"/>
        </w:rPr>
        <w:t>Painters</w:t>
      </w:r>
      <w:bookmarkEnd w:id="139"/>
      <w:bookmarkEnd w:id="140"/>
      <w:bookmarkEnd w:id="141"/>
    </w:p>
    <w:p>
      <w:pPr>
        <w:pStyle w:val="yFootnoteheading"/>
        <w:keepNext/>
        <w:spacing w:after="80"/>
      </w:pPr>
      <w:r>
        <w:tab/>
        <w:t>[Heading inserted: SL 2024/96 r. 11.]</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keepNext/>
            </w:pPr>
            <w:r>
              <w:t>1.</w:t>
            </w:r>
          </w:p>
        </w:tc>
        <w:tc>
          <w:tcPr>
            <w:tcW w:w="3260" w:type="dxa"/>
            <w:tcBorders>
              <w:bottom w:val="nil"/>
            </w:tcBorders>
            <w:noWrap/>
          </w:tcPr>
          <w:p>
            <w:pPr>
              <w:pStyle w:val="yTableNAm"/>
              <w:keepNext/>
            </w:pPr>
            <w:r>
              <w:t>Application fee for registration (s. 13(3)(c)(i)) —</w:t>
            </w:r>
          </w:p>
        </w:tc>
        <w:tc>
          <w:tcPr>
            <w:tcW w:w="1418" w:type="dxa"/>
            <w:tcBorders>
              <w:bottom w:val="nil"/>
            </w:tcBorders>
            <w:noWrap/>
            <w:vAlign w:val="bottom"/>
          </w:tcPr>
          <w:p>
            <w:pPr>
              <w:pStyle w:val="yTableNAm"/>
              <w:keepNext/>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painting practitioner</w:t>
            </w:r>
          </w:p>
        </w:tc>
        <w:tc>
          <w:tcPr>
            <w:tcW w:w="1418" w:type="dxa"/>
            <w:tcBorders>
              <w:top w:val="nil"/>
              <w:bottom w:val="nil"/>
            </w:tcBorders>
            <w:noWrap/>
            <w:vAlign w:val="bottom"/>
          </w:tcPr>
          <w:p>
            <w:pPr>
              <w:pStyle w:val="yTableNAm"/>
              <w:jc w:val="right"/>
            </w:pPr>
            <w:r>
              <w:t>112.00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painting contractor (individual)</w:t>
            </w:r>
          </w:p>
        </w:tc>
        <w:tc>
          <w:tcPr>
            <w:tcW w:w="1418" w:type="dxa"/>
            <w:tcBorders>
              <w:top w:val="nil"/>
              <w:bottom w:val="nil"/>
            </w:tcBorders>
            <w:noWrap/>
            <w:vAlign w:val="bottom"/>
          </w:tcPr>
          <w:p>
            <w:pPr>
              <w:pStyle w:val="yTableNAm"/>
              <w:jc w:val="right"/>
            </w:pPr>
            <w:r>
              <w:t>74.50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painting contractor (partnership)</w:t>
            </w:r>
          </w:p>
        </w:tc>
        <w:tc>
          <w:tcPr>
            <w:tcW w:w="1418" w:type="dxa"/>
            <w:tcBorders>
              <w:top w:val="nil"/>
              <w:bottom w:val="nil"/>
            </w:tcBorders>
            <w:noWrap/>
            <w:vAlign w:val="bottom"/>
          </w:tcPr>
          <w:p>
            <w:pPr>
              <w:pStyle w:val="yTableNAm"/>
              <w:jc w:val="right"/>
            </w:pPr>
            <w:r>
              <w:t>182.00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painting contractor (company)</w:t>
            </w:r>
          </w:p>
        </w:tc>
        <w:tc>
          <w:tcPr>
            <w:tcW w:w="1418" w:type="dxa"/>
            <w:tcBorders>
              <w:top w:val="nil"/>
              <w:bottom w:val="nil"/>
            </w:tcBorders>
            <w:noWrap/>
            <w:vAlign w:val="bottom"/>
          </w:tcPr>
          <w:p>
            <w:pPr>
              <w:pStyle w:val="yTableNAm"/>
              <w:jc w:val="right"/>
            </w:pPr>
            <w:r>
              <w:t>182.00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painting practitioner</w:t>
            </w:r>
          </w:p>
        </w:tc>
        <w:tc>
          <w:tcPr>
            <w:tcW w:w="1418" w:type="dxa"/>
            <w:tcBorders>
              <w:top w:val="nil"/>
              <w:bottom w:val="nil"/>
            </w:tcBorders>
            <w:noWrap/>
            <w:vAlign w:val="bottom"/>
          </w:tcPr>
          <w:p>
            <w:pPr>
              <w:pStyle w:val="yTableNAm"/>
              <w:jc w:val="right"/>
            </w:pPr>
            <w:r>
              <w:t>526.00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painting contractor (individual)</w:t>
            </w:r>
          </w:p>
        </w:tc>
        <w:tc>
          <w:tcPr>
            <w:tcW w:w="1418" w:type="dxa"/>
            <w:tcBorders>
              <w:top w:val="nil"/>
              <w:bottom w:val="nil"/>
            </w:tcBorders>
            <w:noWrap/>
            <w:vAlign w:val="bottom"/>
          </w:tcPr>
          <w:p>
            <w:pPr>
              <w:pStyle w:val="yTableNAm"/>
              <w:jc w:val="right"/>
            </w:pPr>
            <w:r>
              <w:t>370.00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painting contractor (partnership)</w:t>
            </w:r>
          </w:p>
        </w:tc>
        <w:tc>
          <w:tcPr>
            <w:tcW w:w="1418" w:type="dxa"/>
            <w:tcBorders>
              <w:top w:val="nil"/>
              <w:bottom w:val="nil"/>
            </w:tcBorders>
            <w:noWrap/>
            <w:vAlign w:val="bottom"/>
          </w:tcPr>
          <w:p>
            <w:pPr>
              <w:pStyle w:val="yTableNAm"/>
              <w:jc w:val="right"/>
            </w:pPr>
            <w:r>
              <w:t>584.00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painting contractor (company)</w:t>
            </w:r>
          </w:p>
        </w:tc>
        <w:tc>
          <w:tcPr>
            <w:tcW w:w="1418" w:type="dxa"/>
            <w:tcBorders>
              <w:top w:val="nil"/>
              <w:bottom w:val="nil"/>
            </w:tcBorders>
            <w:noWrap/>
            <w:vAlign w:val="bottom"/>
          </w:tcPr>
          <w:p>
            <w:pPr>
              <w:pStyle w:val="yTableNAm"/>
              <w:jc w:val="right"/>
            </w:pPr>
            <w:r>
              <w:t>1 200.00</w:t>
            </w:r>
          </w:p>
        </w:tc>
      </w:tr>
      <w:tr>
        <w:trPr>
          <w:cantSplit/>
          <w:jc w:val="center"/>
        </w:trPr>
        <w:tc>
          <w:tcPr>
            <w:tcW w:w="709" w:type="dxa"/>
            <w:tcBorders>
              <w:top w:val="nil"/>
              <w:bottom w:val="single" w:sz="4" w:space="0" w:color="auto"/>
            </w:tcBorders>
            <w:noWrap/>
          </w:tcPr>
          <w:p>
            <w:pPr>
              <w:pStyle w:val="yTableNAm"/>
            </w:pPr>
            <w:r>
              <w:t>3.</w:t>
            </w:r>
          </w:p>
        </w:tc>
        <w:tc>
          <w:tcPr>
            <w:tcW w:w="3260" w:type="dxa"/>
            <w:tcBorders>
              <w:top w:val="nil"/>
              <w:bottom w:val="single" w:sz="4" w:space="0" w:color="auto"/>
            </w:tcBorders>
            <w:noWrap/>
          </w:tcPr>
          <w:p>
            <w:pPr>
              <w:pStyle w:val="yTableNAm"/>
            </w:pPr>
            <w:r>
              <w:t>Late fee for application made after renewal period for renewal of registration specified in item 2 (s. 15(4))</w:t>
            </w:r>
          </w:p>
        </w:tc>
        <w:tc>
          <w:tcPr>
            <w:tcW w:w="1418" w:type="dxa"/>
            <w:tcBorders>
              <w:top w:val="nil"/>
              <w:bottom w:val="single" w:sz="4" w:space="0" w:color="auto"/>
            </w:tcBorders>
            <w:noWrap/>
            <w:vAlign w:val="bottom"/>
          </w:tcPr>
          <w:p>
            <w:pPr>
              <w:pStyle w:val="yTableNAm"/>
              <w:jc w:val="right"/>
            </w:pPr>
            <w:r>
              <w:t>44.80</w:t>
            </w:r>
          </w:p>
        </w:tc>
      </w:tr>
    </w:tbl>
    <w:p>
      <w:pPr>
        <w:pStyle w:val="yFootnotesection"/>
      </w:pPr>
      <w:r>
        <w:tab/>
        <w:t>[Division 5 inserted: SL 2024/96 r. 11.]</w:t>
      </w:r>
    </w:p>
    <w:p>
      <w:pPr>
        <w:pStyle w:val="yHeading3"/>
      </w:pPr>
      <w:bookmarkStart w:id="142" w:name="_Toc177039242"/>
      <w:bookmarkStart w:id="143" w:name="_Toc177039784"/>
      <w:bookmarkStart w:id="144" w:name="_Toc177041740"/>
      <w:r>
        <w:rPr>
          <w:rStyle w:val="CharSDivNo"/>
        </w:rPr>
        <w:t>Division 6</w:t>
      </w:r>
      <w:r>
        <w:t> — </w:t>
      </w:r>
      <w:r>
        <w:rPr>
          <w:rStyle w:val="CharSDivText"/>
        </w:rPr>
        <w:t>Owner</w:t>
      </w:r>
      <w:r>
        <w:rPr>
          <w:rStyle w:val="CharSDivText"/>
        </w:rPr>
        <w:noBreakHyphen/>
        <w:t>builders</w:t>
      </w:r>
      <w:bookmarkEnd w:id="142"/>
      <w:bookmarkEnd w:id="143"/>
      <w:bookmarkEnd w:id="144"/>
    </w:p>
    <w:p>
      <w:pPr>
        <w:pStyle w:val="yFootnoteheading"/>
        <w:spacing w:after="80"/>
      </w:pPr>
      <w:r>
        <w:tab/>
        <w:t>[Heading inserted: SL 2024/96 r. 11.]</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keepNext/>
            </w:pPr>
            <w:r>
              <w:t>1.</w:t>
            </w:r>
          </w:p>
        </w:tc>
        <w:tc>
          <w:tcPr>
            <w:tcW w:w="3260" w:type="dxa"/>
            <w:tcBorders>
              <w:bottom w:val="nil"/>
            </w:tcBorders>
            <w:noWrap/>
          </w:tcPr>
          <w:p>
            <w:pPr>
              <w:pStyle w:val="yTableNAm"/>
              <w:keepNext/>
            </w:pPr>
            <w:r>
              <w:t>Application for owner</w:t>
            </w:r>
            <w:r>
              <w:noBreakHyphen/>
              <w:t xml:space="preserve">builder approval (s. 43(2)(b)(iii)) — </w:t>
            </w:r>
          </w:p>
        </w:tc>
        <w:tc>
          <w:tcPr>
            <w:tcW w:w="1418" w:type="dxa"/>
            <w:tcBorders>
              <w:bottom w:val="nil"/>
            </w:tcBorders>
            <w:noWrap/>
            <w:vAlign w:val="bottom"/>
          </w:tcPr>
          <w:p>
            <w:pPr>
              <w:pStyle w:val="yTableNAm"/>
              <w:keepNext/>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for owner</w:t>
            </w:r>
            <w:r>
              <w:noBreakHyphen/>
              <w:t>builder work to detached house or Class 10 building</w:t>
            </w:r>
          </w:p>
        </w:tc>
        <w:tc>
          <w:tcPr>
            <w:tcW w:w="1418" w:type="dxa"/>
            <w:tcBorders>
              <w:top w:val="nil"/>
              <w:bottom w:val="nil"/>
            </w:tcBorders>
            <w:noWrap/>
            <w:vAlign w:val="bottom"/>
          </w:tcPr>
          <w:p>
            <w:pPr>
              <w:pStyle w:val="yTableNAm"/>
              <w:jc w:val="right"/>
            </w:pPr>
            <w:r>
              <w:t>212.00</w:t>
            </w:r>
          </w:p>
        </w:tc>
      </w:tr>
      <w:tr>
        <w:trPr>
          <w:cantSplit/>
          <w:jc w:val="center"/>
        </w:trPr>
        <w:tc>
          <w:tcPr>
            <w:tcW w:w="709" w:type="dxa"/>
            <w:tcBorders>
              <w:top w:val="nil"/>
              <w:bottom w:val="single" w:sz="4" w:space="0" w:color="auto"/>
            </w:tcBorders>
            <w:noWrap/>
          </w:tcPr>
          <w:p>
            <w:pPr>
              <w:pStyle w:val="yTableNAm"/>
            </w:pPr>
          </w:p>
        </w:tc>
        <w:tc>
          <w:tcPr>
            <w:tcW w:w="3260" w:type="dxa"/>
            <w:tcBorders>
              <w:top w:val="nil"/>
              <w:bottom w:val="single" w:sz="4" w:space="0" w:color="auto"/>
            </w:tcBorders>
            <w:noWrap/>
          </w:tcPr>
          <w:p>
            <w:pPr>
              <w:pStyle w:val="yTableNAm"/>
              <w:tabs>
                <w:tab w:val="clear" w:pos="567"/>
                <w:tab w:val="left" w:pos="459"/>
              </w:tabs>
              <w:ind w:left="459" w:hanging="459"/>
            </w:pPr>
            <w:r>
              <w:t>(b)</w:t>
            </w:r>
            <w:r>
              <w:tab/>
              <w:t>for owner</w:t>
            </w:r>
            <w:r>
              <w:noBreakHyphen/>
              <w:t>builder work to small commercial building</w:t>
            </w:r>
          </w:p>
        </w:tc>
        <w:tc>
          <w:tcPr>
            <w:tcW w:w="1418" w:type="dxa"/>
            <w:tcBorders>
              <w:top w:val="nil"/>
              <w:bottom w:val="single" w:sz="4" w:space="0" w:color="auto"/>
            </w:tcBorders>
            <w:noWrap/>
            <w:vAlign w:val="bottom"/>
          </w:tcPr>
          <w:p>
            <w:pPr>
              <w:pStyle w:val="yTableNAm"/>
              <w:jc w:val="right"/>
            </w:pPr>
            <w:r>
              <w:t>467.00</w:t>
            </w:r>
          </w:p>
        </w:tc>
      </w:tr>
    </w:tbl>
    <w:p>
      <w:pPr>
        <w:pStyle w:val="yFootnotesection"/>
      </w:pPr>
      <w:r>
        <w:tab/>
        <w:t>[Division 6 inserted: SL 2024/96 r. 11.]</w:t>
      </w:r>
    </w:p>
    <w:p>
      <w:pPr>
        <w:pStyle w:val="yFootnotesection"/>
      </w:pPr>
    </w:p>
    <w:p>
      <w:pPr>
        <w:pStyle w:val="yFootnotesection"/>
        <w:rPr>
          <w:i w:val="0"/>
        </w:r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146" w:name="_Toc177039243"/>
      <w:bookmarkStart w:id="147" w:name="_Toc177039785"/>
      <w:bookmarkStart w:id="148" w:name="_Toc177041741"/>
      <w:r>
        <w:rPr>
          <w:rStyle w:val="CharSchNo"/>
        </w:rPr>
        <w:lastRenderedPageBreak/>
        <w:t>Schedule 2</w:t>
      </w:r>
      <w:r>
        <w:rPr>
          <w:rStyle w:val="CharSDivNo"/>
        </w:rPr>
        <w:t> </w:t>
      </w:r>
      <w:r>
        <w:t>—</w:t>
      </w:r>
      <w:r>
        <w:rPr>
          <w:rStyle w:val="CharSDivText"/>
        </w:rPr>
        <w:t> </w:t>
      </w:r>
      <w:r>
        <w:rPr>
          <w:rStyle w:val="CharSchText"/>
        </w:rPr>
        <w:t>Estimating the value of work</w:t>
      </w:r>
      <w:bookmarkEnd w:id="146"/>
      <w:bookmarkEnd w:id="147"/>
      <w:bookmarkEnd w:id="148"/>
    </w:p>
    <w:p>
      <w:pPr>
        <w:pStyle w:val="yShoulderClause"/>
      </w:pPr>
      <w:r>
        <w:t>[r. 13(1), 28(1)]</w:t>
      </w:r>
    </w:p>
    <w:p>
      <w:pPr>
        <w:pStyle w:val="yHeading5"/>
      </w:pPr>
      <w:bookmarkStart w:id="149" w:name="_Toc177041742"/>
      <w:r>
        <w:rPr>
          <w:rStyle w:val="CharSClsNo"/>
        </w:rPr>
        <w:t>1</w:t>
      </w:r>
      <w:r>
        <w:t>.</w:t>
      </w:r>
      <w:r>
        <w:tab/>
        <w:t>Terms used</w:t>
      </w:r>
      <w:bookmarkEnd w:id="149"/>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50" w:name="_Toc177041743"/>
      <w:r>
        <w:rPr>
          <w:rStyle w:val="CharSClsNo"/>
        </w:rPr>
        <w:t>2</w:t>
      </w:r>
      <w:r>
        <w:t>.</w:t>
      </w:r>
      <w:r>
        <w:tab/>
        <w:t>Estimated value of work</w:t>
      </w:r>
      <w:bookmarkEnd w:id="150"/>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151" w:name="_Toc177039246"/>
      <w:bookmarkStart w:id="152" w:name="_Toc177039788"/>
      <w:bookmarkStart w:id="153" w:name="_Toc177041744"/>
      <w:r>
        <w:rPr>
          <w:rStyle w:val="CharSchNo"/>
        </w:rPr>
        <w:lastRenderedPageBreak/>
        <w:t>Schedule 3</w:t>
      </w:r>
      <w:r>
        <w:rPr>
          <w:rStyle w:val="CharSDivNo"/>
        </w:rPr>
        <w:t> </w:t>
      </w:r>
      <w:r>
        <w:t>— </w:t>
      </w:r>
      <w:r>
        <w:rPr>
          <w:rStyle w:val="CharSchText"/>
        </w:rPr>
        <w:t>Builder work: areas of State for purposes of definition</w:t>
      </w:r>
      <w:bookmarkEnd w:id="151"/>
      <w:bookmarkEnd w:id="152"/>
      <w:bookmarkEnd w:id="153"/>
    </w:p>
    <w:p>
      <w:pPr>
        <w:pStyle w:val="yShoulderClause"/>
      </w:pPr>
      <w:r>
        <w:t>[r. 13(1)]</w:t>
      </w:r>
    </w:p>
    <w:p>
      <w:pPr>
        <w:pStyle w:val="yHeading5"/>
      </w:pPr>
      <w:bookmarkStart w:id="154" w:name="_Toc177041745"/>
      <w:r>
        <w:rPr>
          <w:rStyle w:val="CharSClsNo"/>
        </w:rPr>
        <w:t>1</w:t>
      </w:r>
      <w:r>
        <w:t>.</w:t>
      </w:r>
      <w:r>
        <w:tab/>
        <w:t>Term used: townsite</w:t>
      </w:r>
      <w:bookmarkEnd w:id="154"/>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55" w:name="_Toc177041746"/>
      <w:r>
        <w:rPr>
          <w:rStyle w:val="CharSClsNo"/>
        </w:rPr>
        <w:t>2</w:t>
      </w:r>
      <w:r>
        <w:t>.</w:t>
      </w:r>
      <w:r>
        <w:tab/>
        <w:t>Areas of State</w:t>
      </w:r>
      <w:bookmarkEnd w:id="155"/>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lastRenderedPageBreak/>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156" w:name="_Toc177039249"/>
      <w:bookmarkStart w:id="157" w:name="_Toc177039791"/>
      <w:bookmarkStart w:id="158" w:name="_Toc177041747"/>
      <w:r>
        <w:rPr>
          <w:rStyle w:val="CharSchNo"/>
        </w:rPr>
        <w:lastRenderedPageBreak/>
        <w:t>Schedule 4</w:t>
      </w:r>
      <w:r>
        <w:rPr>
          <w:rStyle w:val="CharSDivNo"/>
        </w:rPr>
        <w:t> </w:t>
      </w:r>
      <w:r>
        <w:t>—</w:t>
      </w:r>
      <w:r>
        <w:rPr>
          <w:rStyle w:val="CharSDivText"/>
        </w:rPr>
        <w:t> </w:t>
      </w:r>
      <w:r>
        <w:rPr>
          <w:rStyle w:val="CharSchText"/>
        </w:rPr>
        <w:t>Painter work: areas of the State for purposes of definition</w:t>
      </w:r>
      <w:bookmarkEnd w:id="156"/>
      <w:bookmarkEnd w:id="157"/>
      <w:bookmarkEnd w:id="158"/>
    </w:p>
    <w:p>
      <w:pPr>
        <w:pStyle w:val="yShoulderClause"/>
      </w:pPr>
      <w:r>
        <w:t>[r. 28]</w:t>
      </w:r>
    </w:p>
    <w:p>
      <w:pPr>
        <w:pStyle w:val="yHeading5"/>
      </w:pPr>
      <w:bookmarkStart w:id="159" w:name="_Toc177041748"/>
      <w:r>
        <w:rPr>
          <w:rStyle w:val="CharSClsNo"/>
        </w:rPr>
        <w:t>1</w:t>
      </w:r>
      <w:r>
        <w:t>.</w:t>
      </w:r>
      <w:r>
        <w:tab/>
        <w:t>Term used: townsite</w:t>
      </w:r>
      <w:bookmarkEnd w:id="159"/>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60" w:name="_Toc177041749"/>
      <w:r>
        <w:rPr>
          <w:rStyle w:val="CharSClsNo"/>
        </w:rPr>
        <w:t>2</w:t>
      </w:r>
      <w:r>
        <w:t>.</w:t>
      </w:r>
      <w:r>
        <w:tab/>
        <w:t>Areas of State</w:t>
      </w:r>
      <w:bookmarkEnd w:id="160"/>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161" w:name="_Toc177039252"/>
      <w:bookmarkStart w:id="162" w:name="_Toc177039794"/>
      <w:bookmarkStart w:id="163" w:name="_Toc177041750"/>
      <w:r>
        <w:rPr>
          <w:rStyle w:val="CharSchNo"/>
        </w:rPr>
        <w:lastRenderedPageBreak/>
        <w:t>Schedule 5</w:t>
      </w:r>
      <w:r>
        <w:t> — </w:t>
      </w:r>
      <w:r>
        <w:rPr>
          <w:rStyle w:val="CharSchText"/>
        </w:rPr>
        <w:t>Prescribed offences and modified penalties</w:t>
      </w:r>
      <w:bookmarkEnd w:id="161"/>
      <w:bookmarkEnd w:id="162"/>
      <w:bookmarkEnd w:id="163"/>
    </w:p>
    <w:p>
      <w:pPr>
        <w:pStyle w:val="yShoulderClause"/>
      </w:pPr>
      <w:r>
        <w:t>[r. 36A]</w:t>
      </w:r>
    </w:p>
    <w:p>
      <w:pPr>
        <w:pStyle w:val="yFootnoteheading"/>
      </w:pPr>
      <w:r>
        <w:tab/>
        <w:t>[Heading inserted: Gazette 26 Apr 2019 p. 1216.]</w:t>
      </w:r>
    </w:p>
    <w:p>
      <w:pPr>
        <w:pStyle w:val="yHeading3"/>
      </w:pPr>
      <w:bookmarkStart w:id="164" w:name="_Toc177039253"/>
      <w:bookmarkStart w:id="165" w:name="_Toc177039795"/>
      <w:bookmarkStart w:id="166" w:name="_Toc177041751"/>
      <w:r>
        <w:rPr>
          <w:rStyle w:val="CharSDivNo"/>
        </w:rPr>
        <w:t>Division 1</w:t>
      </w:r>
      <w:r>
        <w:t> — </w:t>
      </w:r>
      <w:r>
        <w:rPr>
          <w:rStyle w:val="CharSDivText"/>
        </w:rPr>
        <w:t>Preliminary</w:t>
      </w:r>
      <w:bookmarkEnd w:id="164"/>
      <w:bookmarkEnd w:id="165"/>
      <w:bookmarkEnd w:id="166"/>
    </w:p>
    <w:p>
      <w:pPr>
        <w:pStyle w:val="yFootnoteheading"/>
      </w:pPr>
      <w:r>
        <w:tab/>
        <w:t>[Heading inserted: Gazette 26 Apr 2019 p. 1216.]</w:t>
      </w:r>
    </w:p>
    <w:p>
      <w:pPr>
        <w:pStyle w:val="yHeading5"/>
      </w:pPr>
      <w:bookmarkStart w:id="167" w:name="_Toc177041752"/>
      <w:r>
        <w:rPr>
          <w:rStyle w:val="CharSClsNo"/>
        </w:rPr>
        <w:t>1</w:t>
      </w:r>
      <w:r>
        <w:t>.</w:t>
      </w:r>
      <w:r>
        <w:tab/>
        <w:t>Terms used</w:t>
      </w:r>
      <w:bookmarkEnd w:id="167"/>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engineering contractor</w:t>
      </w:r>
      <w:r>
        <w:t xml:space="preserve"> has the meaning given in regulation 28J;</w:t>
      </w:r>
    </w:p>
    <w:p>
      <w:pPr>
        <w:pStyle w:val="yDefstart"/>
      </w:pPr>
      <w:r>
        <w:tab/>
      </w:r>
      <w:r>
        <w:rPr>
          <w:rStyle w:val="CharDefText"/>
        </w:rPr>
        <w:t>building engineering practitioner</w:t>
      </w:r>
      <w:r>
        <w:t xml:space="preserve"> has the meaning given in regulation 28J;</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 amended: SL 2023/64 r. 16.]</w:t>
      </w:r>
    </w:p>
    <w:p>
      <w:pPr>
        <w:pStyle w:val="yHeading3"/>
      </w:pPr>
      <w:bookmarkStart w:id="168" w:name="_Toc177039255"/>
      <w:bookmarkStart w:id="169" w:name="_Toc177039797"/>
      <w:bookmarkStart w:id="170" w:name="_Toc177041753"/>
      <w:r>
        <w:rPr>
          <w:rStyle w:val="CharSDivNo"/>
        </w:rPr>
        <w:lastRenderedPageBreak/>
        <w:t>Division 2</w:t>
      </w:r>
      <w:r>
        <w:t> — </w:t>
      </w:r>
      <w:r>
        <w:rPr>
          <w:rStyle w:val="CharSDivText"/>
        </w:rPr>
        <w:t>Offences under the Act</w:t>
      </w:r>
      <w:bookmarkEnd w:id="168"/>
      <w:bookmarkEnd w:id="169"/>
      <w:bookmarkEnd w:id="170"/>
    </w:p>
    <w:p>
      <w:pPr>
        <w:pStyle w:val="yFootnoteheading"/>
        <w:keepNext/>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1072"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2897"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engineering practitioner, building contractor, building surveying contractor or building engineering contractor is entitled to use — $2 500</w:t>
            </w:r>
          </w:p>
          <w:p>
            <w:pPr>
              <w:pStyle w:val="yTableNAm"/>
            </w:pPr>
            <w:r>
              <w:t>For a person who uses the title that a painting practitioner or painting contractor is entitled to use — $1 250</w:t>
            </w:r>
          </w:p>
        </w:tc>
      </w:tr>
      <w:tr>
        <w:trPr>
          <w:cantSplit/>
        </w:trPr>
        <w:tc>
          <w:tcPr>
            <w:tcW w:w="1072" w:type="dxa"/>
            <w:tcBorders>
              <w:top w:val="single" w:sz="4" w:space="0" w:color="auto"/>
              <w:bottom w:val="single" w:sz="4" w:space="0" w:color="auto"/>
            </w:tcBorders>
          </w:tcPr>
          <w:p>
            <w:pPr>
              <w:pStyle w:val="yTableNAm"/>
            </w:pPr>
            <w:r>
              <w:rPr>
                <w:szCs w:val="22"/>
              </w:rPr>
              <w:t>s. 5(1)</w:t>
            </w:r>
          </w:p>
        </w:tc>
        <w:tc>
          <w:tcPr>
            <w:tcW w:w="2897"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building engineering practitioner or building surveying practitioner — $2 500</w:t>
            </w:r>
          </w:p>
          <w:p>
            <w:pPr>
              <w:pStyle w:val="yTableNAm"/>
            </w:pPr>
            <w:r>
              <w:t>For a person who claims to be registered as a painting practitioner — $1 250</w:t>
            </w:r>
          </w:p>
        </w:tc>
      </w:tr>
      <w:tr>
        <w:trPr>
          <w:cantSplit/>
        </w:trPr>
        <w:tc>
          <w:tcPr>
            <w:tcW w:w="1072" w:type="dxa"/>
            <w:tcBorders>
              <w:top w:val="single" w:sz="4" w:space="0" w:color="auto"/>
            </w:tcBorders>
          </w:tcPr>
          <w:p>
            <w:pPr>
              <w:pStyle w:val="yTableNAm"/>
            </w:pPr>
            <w:r>
              <w:rPr>
                <w:szCs w:val="22"/>
              </w:rPr>
              <w:t>s. 5(2)</w:t>
            </w:r>
          </w:p>
        </w:tc>
        <w:tc>
          <w:tcPr>
            <w:tcW w:w="2897"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w:t>
            </w:r>
            <w:r>
              <w:t>, building engineering contractor</w:t>
            </w:r>
            <w:r>
              <w:rPr>
                <w:szCs w:val="22"/>
              </w:rPr>
              <w:t xml:space="preserve"> or building surveying contractor — $2 500</w:t>
            </w:r>
          </w:p>
          <w:p>
            <w:pPr>
              <w:pStyle w:val="yTableNAm"/>
            </w:pPr>
            <w:r>
              <w:t>For a person who claims to be registered as a painting contractor — $1 250</w:t>
            </w:r>
          </w:p>
        </w:tc>
      </w:tr>
      <w:tr>
        <w:trPr>
          <w:cantSplit/>
        </w:trPr>
        <w:tc>
          <w:tcPr>
            <w:tcW w:w="1072" w:type="dxa"/>
          </w:tcPr>
          <w:p>
            <w:pPr>
              <w:pStyle w:val="yTableNAm"/>
            </w:pPr>
            <w:r>
              <w:rPr>
                <w:szCs w:val="22"/>
              </w:rPr>
              <w:lastRenderedPageBreak/>
              <w:t>s. 6(1)</w:t>
            </w:r>
          </w:p>
        </w:tc>
        <w:tc>
          <w:tcPr>
            <w:tcW w:w="2897"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w:t>
            </w:r>
            <w:r>
              <w:t>, building engineering work</w:t>
            </w:r>
            <w:r>
              <w:rPr>
                <w:szCs w:val="22"/>
              </w:rPr>
              <w:t xml:space="preserve"> or building surveying work — $2 500</w:t>
            </w:r>
          </w:p>
          <w:p>
            <w:pPr>
              <w:pStyle w:val="yTableNAm"/>
            </w:pPr>
            <w:r>
              <w:t>For a person who claims an entitlement to carry out painter work — $1 250</w:t>
            </w:r>
          </w:p>
        </w:tc>
      </w:tr>
      <w:tr>
        <w:trPr>
          <w:cantSplit/>
        </w:trPr>
        <w:tc>
          <w:tcPr>
            <w:tcW w:w="1072" w:type="dxa"/>
          </w:tcPr>
          <w:p>
            <w:pPr>
              <w:pStyle w:val="yTableNAm"/>
            </w:pPr>
            <w:r>
              <w:rPr>
                <w:szCs w:val="22"/>
              </w:rPr>
              <w:t>s. 7(1)</w:t>
            </w:r>
          </w:p>
        </w:tc>
        <w:tc>
          <w:tcPr>
            <w:tcW w:w="2897"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w:t>
            </w:r>
            <w:r>
              <w:t>, building engineering work</w:t>
            </w:r>
            <w:r>
              <w:rPr>
                <w:szCs w:val="22"/>
              </w:rPr>
              <w:t xml:space="preserve"> or building surveying work — $2 500</w:t>
            </w:r>
          </w:p>
          <w:p>
            <w:pPr>
              <w:pStyle w:val="yTableNAm"/>
            </w:pPr>
            <w:r>
              <w:t>For a person who carries out, or undertakes to carry out, painter work — $1 250</w:t>
            </w:r>
          </w:p>
        </w:tc>
      </w:tr>
      <w:tr>
        <w:trPr>
          <w:cantSplit/>
        </w:trPr>
        <w:tc>
          <w:tcPr>
            <w:tcW w:w="1072" w:type="dxa"/>
          </w:tcPr>
          <w:p>
            <w:pPr>
              <w:pStyle w:val="yTableNAm"/>
            </w:pPr>
            <w:r>
              <w:rPr>
                <w:szCs w:val="22"/>
              </w:rPr>
              <w:t>s. 7(5)</w:t>
            </w:r>
          </w:p>
        </w:tc>
        <w:tc>
          <w:tcPr>
            <w:tcW w:w="2897"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w:t>
            </w:r>
            <w:r>
              <w:t>, building engineering contractor</w:t>
            </w:r>
            <w:r>
              <w:rPr>
                <w:szCs w:val="22"/>
              </w:rPr>
              <w:t xml:space="preserve"> or building surveying contractor — $2 500</w:t>
            </w:r>
          </w:p>
          <w:p>
            <w:pPr>
              <w:pStyle w:val="yTableNAm"/>
            </w:pPr>
            <w:r>
              <w:t>For a painting contractor — $1 250</w:t>
            </w:r>
          </w:p>
        </w:tc>
      </w:tr>
      <w:tr>
        <w:trPr>
          <w:cantSplit/>
        </w:trPr>
        <w:tc>
          <w:tcPr>
            <w:tcW w:w="1072" w:type="dxa"/>
          </w:tcPr>
          <w:p>
            <w:pPr>
              <w:pStyle w:val="yTableNAm"/>
            </w:pPr>
            <w:r>
              <w:rPr>
                <w:szCs w:val="22"/>
              </w:rPr>
              <w:t>s. 8</w:t>
            </w:r>
          </w:p>
        </w:tc>
        <w:tc>
          <w:tcPr>
            <w:tcW w:w="2897"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1072" w:type="dxa"/>
          </w:tcPr>
          <w:p>
            <w:pPr>
              <w:pStyle w:val="yTableNAm"/>
            </w:pPr>
            <w:r>
              <w:rPr>
                <w:szCs w:val="22"/>
              </w:rPr>
              <w:lastRenderedPageBreak/>
              <w:t>s. 22(2)</w:t>
            </w:r>
          </w:p>
        </w:tc>
        <w:tc>
          <w:tcPr>
            <w:tcW w:w="2897"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w:t>
            </w:r>
            <w:r>
              <w:t>, building engineering contractor</w:t>
            </w:r>
            <w:r>
              <w:rPr>
                <w:szCs w:val="22"/>
              </w:rPr>
              <w:t xml:space="preserve"> or building surveying contractor — $2 500</w:t>
            </w:r>
          </w:p>
          <w:p>
            <w:pPr>
              <w:pStyle w:val="yTableNAm"/>
            </w:pPr>
            <w:r>
              <w:t>For a painting contractor — $750</w:t>
            </w:r>
          </w:p>
        </w:tc>
      </w:tr>
      <w:tr>
        <w:trPr>
          <w:cantSplit/>
        </w:trPr>
        <w:tc>
          <w:tcPr>
            <w:tcW w:w="1072" w:type="dxa"/>
          </w:tcPr>
          <w:p>
            <w:pPr>
              <w:pStyle w:val="yTableNAm"/>
            </w:pPr>
            <w:r>
              <w:rPr>
                <w:szCs w:val="22"/>
              </w:rPr>
              <w:t>s. 22(3)</w:t>
            </w:r>
          </w:p>
        </w:tc>
        <w:tc>
          <w:tcPr>
            <w:tcW w:w="2897"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w:t>
            </w:r>
            <w:r>
              <w:t>, building engineering contractor</w:t>
            </w:r>
            <w:r>
              <w:rPr>
                <w:szCs w:val="22"/>
              </w:rPr>
              <w:t xml:space="preserve"> or building surveying contractor — $500</w:t>
            </w:r>
          </w:p>
          <w:p>
            <w:pPr>
              <w:pStyle w:val="yTableNAm"/>
            </w:pPr>
            <w:r>
              <w:t>For a painting contractor — $250</w:t>
            </w:r>
          </w:p>
        </w:tc>
      </w:tr>
      <w:tr>
        <w:trPr>
          <w:cantSplit/>
        </w:trPr>
        <w:tc>
          <w:tcPr>
            <w:tcW w:w="1072" w:type="dxa"/>
          </w:tcPr>
          <w:p>
            <w:pPr>
              <w:pStyle w:val="yTableNAm"/>
            </w:pPr>
            <w:r>
              <w:rPr>
                <w:szCs w:val="22"/>
              </w:rPr>
              <w:t>s. 25</w:t>
            </w:r>
          </w:p>
        </w:tc>
        <w:tc>
          <w:tcPr>
            <w:tcW w:w="2897"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1072" w:type="dxa"/>
          </w:tcPr>
          <w:p>
            <w:pPr>
              <w:pStyle w:val="yTableNAm"/>
            </w:pPr>
            <w:r>
              <w:rPr>
                <w:szCs w:val="22"/>
              </w:rPr>
              <w:t>s. 32(1)</w:t>
            </w:r>
          </w:p>
        </w:tc>
        <w:tc>
          <w:tcPr>
            <w:tcW w:w="2897"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1072" w:type="dxa"/>
          </w:tcPr>
          <w:p>
            <w:pPr>
              <w:pStyle w:val="yTableNAm"/>
            </w:pPr>
            <w:r>
              <w:t>s. 32A(2)</w:t>
            </w:r>
          </w:p>
        </w:tc>
        <w:tc>
          <w:tcPr>
            <w:tcW w:w="2897" w:type="dxa"/>
          </w:tcPr>
          <w:p>
            <w:pPr>
              <w:pStyle w:val="yTableNAm"/>
            </w:pPr>
            <w:r>
              <w:t>Failure to notify the Board of new director</w:t>
            </w:r>
          </w:p>
        </w:tc>
        <w:tc>
          <w:tcPr>
            <w:tcW w:w="2977" w:type="dxa"/>
          </w:tcPr>
          <w:p>
            <w:pPr>
              <w:pStyle w:val="yTableNAm"/>
            </w:pPr>
            <w:r>
              <w:t>$1 000</w:t>
            </w:r>
          </w:p>
        </w:tc>
      </w:tr>
      <w:tr>
        <w:trPr>
          <w:cantSplit/>
        </w:trPr>
        <w:tc>
          <w:tcPr>
            <w:tcW w:w="1072" w:type="dxa"/>
          </w:tcPr>
          <w:p>
            <w:pPr>
              <w:pStyle w:val="yTableNAm"/>
            </w:pPr>
            <w:r>
              <w:rPr>
                <w:szCs w:val="22"/>
              </w:rPr>
              <w:t>s. 33(1)</w:t>
            </w:r>
          </w:p>
        </w:tc>
        <w:tc>
          <w:tcPr>
            <w:tcW w:w="2897"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1072" w:type="dxa"/>
          </w:tcPr>
          <w:p>
            <w:pPr>
              <w:pStyle w:val="yTableNAm"/>
            </w:pPr>
            <w:r>
              <w:rPr>
                <w:szCs w:val="22"/>
              </w:rPr>
              <w:t>s. 34(1)</w:t>
            </w:r>
          </w:p>
        </w:tc>
        <w:tc>
          <w:tcPr>
            <w:tcW w:w="2897"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1072" w:type="dxa"/>
          </w:tcPr>
          <w:p>
            <w:pPr>
              <w:pStyle w:val="yTableNAm"/>
            </w:pPr>
            <w:r>
              <w:rPr>
                <w:szCs w:val="22"/>
              </w:rPr>
              <w:t>s. 34(3)</w:t>
            </w:r>
          </w:p>
        </w:tc>
        <w:tc>
          <w:tcPr>
            <w:tcW w:w="2897"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1072" w:type="dxa"/>
          </w:tcPr>
          <w:p>
            <w:pPr>
              <w:pStyle w:val="yTableNAm"/>
            </w:pPr>
            <w:r>
              <w:rPr>
                <w:szCs w:val="22"/>
              </w:rPr>
              <w:lastRenderedPageBreak/>
              <w:t>s. 35(1)</w:t>
            </w:r>
          </w:p>
        </w:tc>
        <w:tc>
          <w:tcPr>
            <w:tcW w:w="2897"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35(2)</w:t>
            </w:r>
          </w:p>
        </w:tc>
        <w:tc>
          <w:tcPr>
            <w:tcW w:w="2897"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35(3)</w:t>
            </w:r>
          </w:p>
        </w:tc>
        <w:tc>
          <w:tcPr>
            <w:tcW w:w="2897"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1072" w:type="dxa"/>
          </w:tcPr>
          <w:p>
            <w:pPr>
              <w:pStyle w:val="yTableNAm"/>
            </w:pPr>
            <w:r>
              <w:rPr>
                <w:szCs w:val="22"/>
              </w:rPr>
              <w:t>s. 36(1)</w:t>
            </w:r>
          </w:p>
        </w:tc>
        <w:tc>
          <w:tcPr>
            <w:tcW w:w="2897"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1072" w:type="dxa"/>
          </w:tcPr>
          <w:p>
            <w:pPr>
              <w:pStyle w:val="yTableNAm"/>
            </w:pPr>
            <w:r>
              <w:rPr>
                <w:szCs w:val="22"/>
              </w:rPr>
              <w:t>s. 37(1)</w:t>
            </w:r>
          </w:p>
        </w:tc>
        <w:tc>
          <w:tcPr>
            <w:tcW w:w="2897"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1072" w:type="dxa"/>
          </w:tcPr>
          <w:p>
            <w:pPr>
              <w:pStyle w:val="yTableNAm"/>
            </w:pPr>
            <w:r>
              <w:rPr>
                <w:szCs w:val="22"/>
              </w:rPr>
              <w:t>s. 49</w:t>
            </w:r>
          </w:p>
        </w:tc>
        <w:tc>
          <w:tcPr>
            <w:tcW w:w="2897"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 amended: SL 2022/101 r. 6; SL 2023/64 r. 17.]</w:t>
      </w:r>
    </w:p>
    <w:p>
      <w:pPr>
        <w:pStyle w:val="yHeading3"/>
      </w:pPr>
      <w:bookmarkStart w:id="171" w:name="_Toc177039256"/>
      <w:bookmarkStart w:id="172" w:name="_Toc177039798"/>
      <w:bookmarkStart w:id="173" w:name="_Toc177041754"/>
      <w:r>
        <w:rPr>
          <w:rStyle w:val="CharSDivNo"/>
        </w:rPr>
        <w:t>Division 3</w:t>
      </w:r>
      <w:r>
        <w:t xml:space="preserve"> — </w:t>
      </w:r>
      <w:r>
        <w:rPr>
          <w:rStyle w:val="CharSDivText"/>
        </w:rPr>
        <w:t>Offences under these regulations</w:t>
      </w:r>
      <w:bookmarkEnd w:id="171"/>
      <w:bookmarkEnd w:id="172"/>
      <w:bookmarkEnd w:id="173"/>
    </w:p>
    <w:p>
      <w:pPr>
        <w:pStyle w:val="yFootnoteheading"/>
        <w:keepNext/>
      </w:pPr>
      <w:r>
        <w:tab/>
        <w:t>[Heading inserted: Gazette 26 Apr 2019 p. 1219.]</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keepNext/>
            </w:pPr>
            <w:r>
              <w:rPr>
                <w:szCs w:val="22"/>
              </w:rPr>
              <w:lastRenderedPageBreak/>
              <w:t>r. 36</w:t>
            </w:r>
          </w:p>
        </w:tc>
        <w:tc>
          <w:tcPr>
            <w:tcW w:w="4536" w:type="dxa"/>
          </w:tcPr>
          <w:p>
            <w:pPr>
              <w:pStyle w:val="yTableNAm"/>
              <w:keepNext/>
            </w:pPr>
            <w:r>
              <w:rPr>
                <w:szCs w:val="22"/>
              </w:rPr>
              <w:t>Failure to display sign — painting contractor</w:t>
            </w:r>
          </w:p>
        </w:tc>
        <w:tc>
          <w:tcPr>
            <w:tcW w:w="1418" w:type="dxa"/>
            <w:vAlign w:val="bottom"/>
          </w:tcPr>
          <w:p>
            <w:pPr>
              <w:pStyle w:val="yTableNAm"/>
              <w:keepNext/>
              <w:jc w:val="center"/>
            </w:pPr>
            <w:r>
              <w:rPr>
                <w:szCs w:val="22"/>
              </w:rPr>
              <w:t>$100</w:t>
            </w:r>
          </w:p>
        </w:tc>
      </w:tr>
    </w:tbl>
    <w:p>
      <w:pPr>
        <w:pStyle w:val="yFootnotesection"/>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r>
        <w:tab/>
        <w:t>[Division 3 inserted: Gazette 26 Apr 2019 p. 1219; amended: SL 2023/64 r. 18.]</w:t>
      </w:r>
    </w:p>
    <w:p>
      <w:pPr>
        <w:pStyle w:val="yScheduleHeading"/>
      </w:pPr>
      <w:bookmarkStart w:id="174" w:name="_Toc177039257"/>
      <w:bookmarkStart w:id="175" w:name="_Toc177039799"/>
      <w:bookmarkStart w:id="176" w:name="_Toc177041755"/>
      <w:r>
        <w:rPr>
          <w:rStyle w:val="CharSchNo"/>
        </w:rPr>
        <w:lastRenderedPageBreak/>
        <w:t>Schedule 6</w:t>
      </w:r>
      <w:r>
        <w:rPr>
          <w:rStyle w:val="CharSDivNo"/>
        </w:rPr>
        <w:t> </w:t>
      </w:r>
      <w:r>
        <w:t>—</w:t>
      </w:r>
      <w:r>
        <w:rPr>
          <w:rStyle w:val="CharSDivText"/>
        </w:rPr>
        <w:t> </w:t>
      </w:r>
      <w:r>
        <w:rPr>
          <w:rStyle w:val="CharSchText"/>
        </w:rPr>
        <w:t>Forms</w:t>
      </w:r>
      <w:bookmarkEnd w:id="174"/>
      <w:bookmarkEnd w:id="175"/>
      <w:bookmarkEnd w:id="176"/>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keepNext/>
            </w:pPr>
            <w:r>
              <w:rPr>
                <w:b/>
              </w:rPr>
              <w:lastRenderedPageBreak/>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p>
            <w:pPr>
              <w:pStyle w:val="yTableNAm"/>
              <w:keepNext/>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keepNext/>
            </w:pPr>
            <w:r>
              <w:rPr>
                <w:b/>
              </w:rPr>
              <w:lastRenderedPageBreak/>
              <w:t>How to pay</w:t>
            </w:r>
          </w:p>
        </w:tc>
        <w:tc>
          <w:tcPr>
            <w:tcW w:w="1276" w:type="dxa"/>
            <w:tcBorders>
              <w:bottom w:val="nil"/>
            </w:tcBorders>
          </w:tcPr>
          <w:p>
            <w:pPr>
              <w:pStyle w:val="yTableNAm"/>
              <w:keepNext/>
            </w:pPr>
            <w:r>
              <w:t>By post</w:t>
            </w:r>
          </w:p>
        </w:tc>
        <w:tc>
          <w:tcPr>
            <w:tcW w:w="4394" w:type="dxa"/>
            <w:gridSpan w:val="5"/>
            <w:tcBorders>
              <w:bottom w:val="nil"/>
            </w:tcBorders>
          </w:tcPr>
          <w:p>
            <w:pPr>
              <w:pStyle w:val="yTableNAm"/>
              <w:keepNext/>
            </w:pPr>
            <w:r>
              <w:t>Tick the relevant box below and post this notice to:</w:t>
            </w:r>
          </w:p>
          <w:p>
            <w:pPr>
              <w:pStyle w:val="yTableNAm"/>
              <w:keepNext/>
              <w:rPr>
                <w:i/>
              </w:rPr>
            </w:pPr>
            <w:r>
              <w:t xml:space="preserve">Approved Officer — </w:t>
            </w:r>
            <w:r>
              <w:rPr>
                <w:i/>
              </w:rPr>
              <w:t>Building Services (Registration) Act 2011</w:t>
            </w:r>
          </w:p>
          <w:p>
            <w:pPr>
              <w:pStyle w:val="yTableNAm"/>
              <w:keepNext/>
              <w:spacing w:before="60"/>
              <w:rPr>
                <w:rFonts w:eastAsia="MS Mincho"/>
              </w:rPr>
            </w:pPr>
            <w:r>
              <w:rPr>
                <w:rFonts w:eastAsia="MS Mincho"/>
              </w:rPr>
              <w:t>[</w:t>
            </w:r>
            <w:r>
              <w:rPr>
                <w:rFonts w:eastAsia="MS Mincho"/>
                <w:i/>
              </w:rPr>
              <w:t>Address</w:t>
            </w:r>
            <w:r>
              <w:rPr>
                <w:rFonts w:eastAsia="MS Mincho"/>
              </w:rPr>
              <w:t>]</w:t>
            </w:r>
          </w:p>
          <w:p>
            <w:pPr>
              <w:pStyle w:val="yTableNAm"/>
              <w:keepNext/>
              <w:ind w:left="567" w:hanging="567"/>
            </w:pPr>
            <w:r>
              <w:rPr>
                <w:rFonts w:eastAsia="MS Mincho" w:hint="eastAsia"/>
                <w:sz w:val="20"/>
              </w:rPr>
              <w:sym w:font="ZapfDingbats" w:char="F072"/>
            </w:r>
            <w:r>
              <w:tab/>
              <w:t xml:space="preserve">I want to pay the modified penalty. A cheque or money order (payable to ‘Approved Officer’ — </w:t>
            </w:r>
            <w:r>
              <w:rPr>
                <w:i/>
              </w:rPr>
              <w:t>Building Services (Registration) Act 2011</w:t>
            </w:r>
            <w:r>
              <w:t>) for the modified penalty is enclosed.</w:t>
            </w:r>
          </w:p>
          <w:p>
            <w:pPr>
              <w:pStyle w:val="yTableNAm"/>
              <w:keepNext/>
              <w:ind w:left="567" w:hanging="567"/>
            </w:pPr>
            <w:r>
              <w:rPr>
                <w:rFonts w:eastAsia="MS Mincho" w:hint="eastAsia"/>
                <w:sz w:val="20"/>
              </w:rPr>
              <w:sym w:font="ZapfDingbats" w:char="F072"/>
            </w:r>
            <w:r>
              <w:tab/>
              <w:t>I want to pay the modified penalty by credit card.  Please debit my credit card account.</w:t>
            </w:r>
          </w:p>
          <w:p>
            <w:pPr>
              <w:pStyle w:val="yTableNAm"/>
              <w:keepNext/>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spacing w:after="240"/>
        <w:ind w:left="142"/>
        <w:jc w:val="left"/>
        <w:rPr>
          <w:b/>
          <w:bCs/>
        </w:rPr>
      </w:pPr>
      <w:r>
        <w:rPr>
          <w:rStyle w:val="CharSClsNo"/>
          <w:b/>
        </w:rPr>
        <w:lastRenderedPageBreak/>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lastRenderedPageBreak/>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31"/>
          <w:headerReference w:type="default" r:id="rId32"/>
          <w:endnotePr>
            <w:numFmt w:val="decimal"/>
          </w:endnotePr>
          <w:pgSz w:w="11907" w:h="16840" w:code="9"/>
          <w:pgMar w:top="2381" w:right="2410" w:bottom="3544" w:left="2410" w:header="720" w:footer="3544" w:gutter="0"/>
          <w:cols w:space="720"/>
          <w:docGrid w:linePitch="326"/>
        </w:sectPr>
      </w:pPr>
    </w:p>
    <w:p>
      <w:pPr>
        <w:pStyle w:val="nHeading2"/>
      </w:pPr>
      <w:bookmarkStart w:id="177" w:name="_Toc177039258"/>
      <w:bookmarkStart w:id="178" w:name="_Toc177039800"/>
      <w:bookmarkStart w:id="179" w:name="_Toc177041756"/>
      <w:r>
        <w:lastRenderedPageBreak/>
        <w:t>Notes</w:t>
      </w:r>
      <w:bookmarkEnd w:id="177"/>
      <w:bookmarkEnd w:id="178"/>
      <w:bookmarkEnd w:id="179"/>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80" w:name="_Toc177041757"/>
      <w:r>
        <w:t>Compilation table</w:t>
      </w:r>
      <w:bookmarkEnd w:id="180"/>
    </w:p>
    <w:tbl>
      <w:tblPr>
        <w:tblW w:w="7068" w:type="dxa"/>
        <w:tblInd w:w="57"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5"/>
        <w:gridCol w:w="1254"/>
        <w:gridCol w:w="2679"/>
      </w:tblGrid>
      <w:tr>
        <w:trPr>
          <w:tblHeader/>
        </w:trPr>
        <w:tc>
          <w:tcPr>
            <w:tcW w:w="3135" w:type="dxa"/>
          </w:tcPr>
          <w:p>
            <w:pPr>
              <w:pStyle w:val="nTable"/>
              <w:spacing w:after="40"/>
              <w:rPr>
                <w:b/>
              </w:rPr>
            </w:pPr>
            <w:r>
              <w:rPr>
                <w:b/>
              </w:rPr>
              <w:t>Citation</w:t>
            </w:r>
          </w:p>
        </w:tc>
        <w:tc>
          <w:tcPr>
            <w:tcW w:w="1254" w:type="dxa"/>
          </w:tcPr>
          <w:p>
            <w:pPr>
              <w:pStyle w:val="nTable"/>
              <w:spacing w:after="40"/>
              <w:rPr>
                <w:b/>
              </w:rPr>
            </w:pPr>
            <w:r>
              <w:rPr>
                <w:b/>
              </w:rPr>
              <w:t>Published</w:t>
            </w:r>
          </w:p>
        </w:tc>
        <w:tc>
          <w:tcPr>
            <w:tcW w:w="2679" w:type="dxa"/>
          </w:tcPr>
          <w:p>
            <w:pPr>
              <w:pStyle w:val="nTable"/>
              <w:spacing w:after="40"/>
              <w:rPr>
                <w:b/>
              </w:rPr>
            </w:pPr>
            <w:r>
              <w:rPr>
                <w:b/>
              </w:rPr>
              <w:t>Commencement</w:t>
            </w:r>
          </w:p>
        </w:tc>
      </w:tr>
      <w:tr>
        <w:tc>
          <w:tcPr>
            <w:tcW w:w="3135" w:type="dxa"/>
            <w:tcBorders>
              <w:top w:val="single" w:sz="8" w:space="0" w:color="auto"/>
              <w:bottom w:val="nil"/>
            </w:tcBorders>
          </w:tcPr>
          <w:p>
            <w:pPr>
              <w:pStyle w:val="nTable"/>
              <w:spacing w:after="40"/>
            </w:pPr>
            <w:r>
              <w:rPr>
                <w:i/>
                <w:snapToGrid w:val="0"/>
              </w:rPr>
              <w:t>Building Services (Registration) Regulations 2011</w:t>
            </w:r>
          </w:p>
        </w:tc>
        <w:tc>
          <w:tcPr>
            <w:tcW w:w="1254" w:type="dxa"/>
            <w:tcBorders>
              <w:top w:val="single" w:sz="8" w:space="0" w:color="auto"/>
              <w:bottom w:val="nil"/>
            </w:tcBorders>
          </w:tcPr>
          <w:p>
            <w:pPr>
              <w:pStyle w:val="nTable"/>
              <w:spacing w:after="40"/>
            </w:pPr>
            <w:r>
              <w:t>26 Aug 2011 p. 3411-52</w:t>
            </w:r>
          </w:p>
        </w:tc>
        <w:tc>
          <w:tcPr>
            <w:tcW w:w="2679"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54" w:type="dxa"/>
            <w:tcBorders>
              <w:top w:val="nil"/>
              <w:left w:val="nil"/>
              <w:bottom w:val="nil"/>
              <w:right w:val="nil"/>
            </w:tcBorders>
          </w:tcPr>
          <w:p>
            <w:pPr>
              <w:pStyle w:val="nTable"/>
              <w:spacing w:after="40"/>
            </w:pPr>
            <w:r>
              <w:t>31 Jan 2012 p. 591</w:t>
            </w:r>
            <w:r>
              <w:noBreakHyphen/>
              <w:t>601</w:t>
            </w:r>
          </w:p>
        </w:tc>
        <w:tc>
          <w:tcPr>
            <w:tcW w:w="2679" w:type="dxa"/>
            <w:tcBorders>
              <w:top w:val="nil"/>
              <w:left w:val="nil"/>
              <w:bottom w:val="nil"/>
            </w:tcBorders>
          </w:tcPr>
          <w:p>
            <w:pPr>
              <w:pStyle w:val="nTable"/>
              <w:spacing w:after="40"/>
            </w:pPr>
            <w:r>
              <w:t>r. 1 and 2: 31 Jan 2012 (see r. 2(a));</w:t>
            </w:r>
            <w:r>
              <w:br/>
              <w:t>Regulations other than r. 1 and 2: 1 Feb 2012 (see r. 2(b))</w:t>
            </w:r>
          </w:p>
        </w:tc>
      </w:tr>
      <w:tr>
        <w:tc>
          <w:tcPr>
            <w:tcW w:w="3135"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54" w:type="dxa"/>
            <w:tcBorders>
              <w:top w:val="nil"/>
              <w:left w:val="nil"/>
              <w:bottom w:val="nil"/>
              <w:right w:val="nil"/>
            </w:tcBorders>
          </w:tcPr>
          <w:p>
            <w:pPr>
              <w:pStyle w:val="nTable"/>
              <w:spacing w:after="40"/>
            </w:pPr>
            <w:r>
              <w:t>12 Mar 2012 p. 989-1011</w:t>
            </w:r>
          </w:p>
        </w:tc>
        <w:tc>
          <w:tcPr>
            <w:tcW w:w="2679"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54" w:type="dxa"/>
            <w:tcBorders>
              <w:top w:val="nil"/>
              <w:left w:val="nil"/>
              <w:bottom w:val="nil"/>
              <w:right w:val="nil"/>
            </w:tcBorders>
          </w:tcPr>
          <w:p>
            <w:pPr>
              <w:pStyle w:val="nTable"/>
              <w:spacing w:after="40"/>
            </w:pPr>
            <w:r>
              <w:t>15 Jun 2012 p. 2617-20</w:t>
            </w:r>
          </w:p>
        </w:tc>
        <w:tc>
          <w:tcPr>
            <w:tcW w:w="2679" w:type="dxa"/>
            <w:tcBorders>
              <w:top w:val="nil"/>
              <w:left w:val="nil"/>
              <w:bottom w:val="nil"/>
            </w:tcBorders>
          </w:tcPr>
          <w:p>
            <w:pPr>
              <w:pStyle w:val="nTable"/>
              <w:spacing w:after="40"/>
            </w:pPr>
            <w:r>
              <w:t>r. 1 and 2: 15 Jun 2012 (see r. 2(a));</w:t>
            </w:r>
            <w:r>
              <w:br/>
              <w:t>Regulations other than r. 1 and 2: 1 Jul 2012 (see r. 2(b))</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54" w:type="dxa"/>
            <w:tcBorders>
              <w:top w:val="nil"/>
              <w:left w:val="nil"/>
              <w:bottom w:val="nil"/>
              <w:right w:val="nil"/>
            </w:tcBorders>
          </w:tcPr>
          <w:p>
            <w:pPr>
              <w:pStyle w:val="nTable"/>
              <w:spacing w:after="40"/>
            </w:pPr>
            <w:r>
              <w:t>6 Nov 2012 p. 5293-4</w:t>
            </w:r>
          </w:p>
        </w:tc>
        <w:tc>
          <w:tcPr>
            <w:tcW w:w="2679" w:type="dxa"/>
            <w:tcBorders>
              <w:top w:val="nil"/>
              <w:left w:val="nil"/>
              <w:bottom w:val="nil"/>
            </w:tcBorders>
          </w:tcPr>
          <w:p>
            <w:pPr>
              <w:pStyle w:val="nTable"/>
              <w:spacing w:after="40"/>
            </w:pPr>
            <w:r>
              <w:t>r. 1 and 2: 6 Nov 2012 (see r. 2(a));</w:t>
            </w:r>
            <w:r>
              <w:br/>
              <w:t>Regulations other than r. 1 and 2: 7 Nov 2012 (see r. 2(b))</w:t>
            </w:r>
          </w:p>
        </w:tc>
      </w:tr>
      <w:tr>
        <w:tc>
          <w:tcPr>
            <w:tcW w:w="3135"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54" w:type="dxa"/>
            <w:tcBorders>
              <w:top w:val="nil"/>
              <w:left w:val="nil"/>
              <w:bottom w:val="nil"/>
              <w:right w:val="nil"/>
            </w:tcBorders>
          </w:tcPr>
          <w:p>
            <w:pPr>
              <w:pStyle w:val="nTable"/>
              <w:spacing w:after="40"/>
            </w:pPr>
            <w:r>
              <w:t>18 Dec 2012 p. 6585-9</w:t>
            </w:r>
          </w:p>
        </w:tc>
        <w:tc>
          <w:tcPr>
            <w:tcW w:w="2679" w:type="dxa"/>
            <w:tcBorders>
              <w:top w:val="nil"/>
              <w:left w:val="nil"/>
              <w:bottom w:val="nil"/>
            </w:tcBorders>
          </w:tcPr>
          <w:p>
            <w:pPr>
              <w:pStyle w:val="nTable"/>
              <w:spacing w:after="40"/>
            </w:pPr>
            <w:r>
              <w:t>r. 1 and 2: 18 Dec 2012 (see r. 2(a));</w:t>
            </w:r>
            <w:r>
              <w:br/>
              <w:t>Regulations other than r. 1 and 2: 19 Dec 2012 (see r. 2(b))</w:t>
            </w:r>
          </w:p>
        </w:tc>
      </w:tr>
      <w:tr>
        <w:tc>
          <w:tcPr>
            <w:tcW w:w="3135"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54" w:type="dxa"/>
            <w:tcBorders>
              <w:top w:val="nil"/>
              <w:left w:val="nil"/>
              <w:bottom w:val="nil"/>
              <w:right w:val="nil"/>
            </w:tcBorders>
            <w:shd w:val="clear" w:color="auto" w:fill="auto"/>
          </w:tcPr>
          <w:p>
            <w:pPr>
              <w:pStyle w:val="nTable"/>
              <w:spacing w:after="40"/>
            </w:pPr>
            <w:r>
              <w:t>22 Jan 2013 p. 211</w:t>
            </w:r>
          </w:p>
        </w:tc>
        <w:tc>
          <w:tcPr>
            <w:tcW w:w="2679"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6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35" w:type="dxa"/>
            <w:tcBorders>
              <w:top w:val="nil"/>
              <w:bottom w:val="nil"/>
              <w:right w:val="nil"/>
            </w:tcBorders>
            <w:shd w:val="clear" w:color="auto" w:fill="auto"/>
          </w:tcPr>
          <w:p>
            <w:pPr>
              <w:pStyle w:val="nTable"/>
              <w:keepNext/>
              <w:spacing w:after="40"/>
              <w:rPr>
                <w:i/>
                <w:snapToGrid w:val="0"/>
              </w:rPr>
            </w:pPr>
            <w:r>
              <w:rPr>
                <w:i/>
                <w:snapToGrid w:val="0"/>
              </w:rPr>
              <w:lastRenderedPageBreak/>
              <w:t>Building Services (Registration) Amendment Regulations (No. 3) 2013</w:t>
            </w:r>
          </w:p>
        </w:tc>
        <w:tc>
          <w:tcPr>
            <w:tcW w:w="1254" w:type="dxa"/>
            <w:tcBorders>
              <w:top w:val="nil"/>
              <w:left w:val="nil"/>
              <w:bottom w:val="nil"/>
              <w:right w:val="nil"/>
            </w:tcBorders>
            <w:shd w:val="clear" w:color="auto" w:fill="auto"/>
          </w:tcPr>
          <w:p>
            <w:pPr>
              <w:pStyle w:val="nTable"/>
              <w:keepNext/>
              <w:spacing w:after="40"/>
            </w:pPr>
            <w:r>
              <w:t>27 Jun 2013 p. 2665-9</w:t>
            </w:r>
          </w:p>
        </w:tc>
        <w:tc>
          <w:tcPr>
            <w:tcW w:w="2679"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35"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54" w:type="dxa"/>
            <w:tcBorders>
              <w:top w:val="nil"/>
              <w:left w:val="nil"/>
              <w:bottom w:val="nil"/>
              <w:right w:val="nil"/>
            </w:tcBorders>
            <w:shd w:val="clear" w:color="auto" w:fill="auto"/>
          </w:tcPr>
          <w:p>
            <w:pPr>
              <w:pStyle w:val="nTable"/>
              <w:spacing w:after="40"/>
            </w:pPr>
            <w:r>
              <w:t>14 Nov 2013 p. 5029</w:t>
            </w:r>
          </w:p>
        </w:tc>
        <w:tc>
          <w:tcPr>
            <w:tcW w:w="2679"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54" w:type="dxa"/>
            <w:tcBorders>
              <w:top w:val="nil"/>
              <w:left w:val="nil"/>
              <w:bottom w:val="nil"/>
              <w:right w:val="nil"/>
            </w:tcBorders>
            <w:shd w:val="clear" w:color="auto" w:fill="auto"/>
          </w:tcPr>
          <w:p>
            <w:pPr>
              <w:pStyle w:val="nTable"/>
              <w:spacing w:after="40"/>
            </w:pPr>
            <w:r>
              <w:t>31 Dec 2013 p. 6535</w:t>
            </w:r>
            <w:r>
              <w:noBreakHyphen/>
              <w:t>9</w:t>
            </w:r>
          </w:p>
        </w:tc>
        <w:tc>
          <w:tcPr>
            <w:tcW w:w="2679"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54" w:type="dxa"/>
            <w:tcBorders>
              <w:top w:val="nil"/>
              <w:left w:val="nil"/>
              <w:bottom w:val="nil"/>
              <w:right w:val="nil"/>
            </w:tcBorders>
            <w:shd w:val="clear" w:color="auto" w:fill="auto"/>
          </w:tcPr>
          <w:p>
            <w:pPr>
              <w:pStyle w:val="nTable"/>
              <w:spacing w:after="40"/>
            </w:pPr>
            <w:r>
              <w:t>17 Jun 2014 p. 1959</w:t>
            </w:r>
            <w:r>
              <w:noBreakHyphen/>
              <w:t>61</w:t>
            </w:r>
          </w:p>
        </w:tc>
        <w:tc>
          <w:tcPr>
            <w:tcW w:w="2679"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54" w:type="dxa"/>
            <w:tcBorders>
              <w:top w:val="nil"/>
              <w:left w:val="nil"/>
              <w:bottom w:val="nil"/>
              <w:right w:val="nil"/>
            </w:tcBorders>
            <w:shd w:val="clear" w:color="auto" w:fill="auto"/>
          </w:tcPr>
          <w:p>
            <w:pPr>
              <w:pStyle w:val="nTable"/>
              <w:spacing w:after="40"/>
            </w:pPr>
            <w:r>
              <w:t>19 Dec 2014 p. 4841</w:t>
            </w:r>
            <w:r>
              <w:noBreakHyphen/>
              <w:t>2</w:t>
            </w:r>
          </w:p>
        </w:tc>
        <w:tc>
          <w:tcPr>
            <w:tcW w:w="2679"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6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35"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54" w:type="dxa"/>
            <w:tcBorders>
              <w:top w:val="nil"/>
              <w:bottom w:val="nil"/>
            </w:tcBorders>
            <w:shd w:val="clear" w:color="auto" w:fill="auto"/>
          </w:tcPr>
          <w:p>
            <w:pPr>
              <w:pStyle w:val="nTable"/>
              <w:spacing w:after="40"/>
              <w:rPr>
                <w:b/>
                <w:bCs/>
                <w:snapToGrid w:val="0"/>
              </w:rPr>
            </w:pPr>
            <w:r>
              <w:t>23 Jun 2015 p. 2165</w:t>
            </w:r>
            <w:r>
              <w:noBreakHyphen/>
              <w:t>7</w:t>
            </w:r>
          </w:p>
        </w:tc>
        <w:tc>
          <w:tcPr>
            <w:tcW w:w="2679"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35" w:type="dxa"/>
            <w:tcBorders>
              <w:top w:val="nil"/>
              <w:bottom w:val="nil"/>
            </w:tcBorders>
          </w:tcPr>
          <w:p>
            <w:pPr>
              <w:pStyle w:val="nTable"/>
              <w:spacing w:after="40"/>
            </w:pPr>
            <w:r>
              <w:rPr>
                <w:i/>
              </w:rPr>
              <w:t>Commerce Regulations Amendment (Fees and Charges) Regulations 2016</w:t>
            </w:r>
            <w:r>
              <w:t xml:space="preserve"> Pt. 4</w:t>
            </w:r>
          </w:p>
        </w:tc>
        <w:tc>
          <w:tcPr>
            <w:tcW w:w="1254" w:type="dxa"/>
            <w:tcBorders>
              <w:top w:val="nil"/>
              <w:bottom w:val="nil"/>
            </w:tcBorders>
          </w:tcPr>
          <w:p>
            <w:pPr>
              <w:pStyle w:val="nTable"/>
              <w:spacing w:after="40"/>
            </w:pPr>
            <w:r>
              <w:t>3 Jun 2016 p. 1745-73</w:t>
            </w:r>
          </w:p>
        </w:tc>
        <w:tc>
          <w:tcPr>
            <w:tcW w:w="2679" w:type="dxa"/>
            <w:tcBorders>
              <w:top w:val="nil"/>
              <w:bottom w:val="nil"/>
            </w:tcBorders>
          </w:tcPr>
          <w:p>
            <w:pPr>
              <w:pStyle w:val="nTable"/>
              <w:spacing w:after="40"/>
            </w:pPr>
            <w:r>
              <w:t>1 Jul 2016 (see r. 2(b))</w:t>
            </w:r>
          </w:p>
        </w:tc>
      </w:tr>
      <w:tr>
        <w:tc>
          <w:tcPr>
            <w:tcW w:w="3135" w:type="dxa"/>
            <w:tcBorders>
              <w:top w:val="nil"/>
              <w:bottom w:val="nil"/>
            </w:tcBorders>
          </w:tcPr>
          <w:p>
            <w:pPr>
              <w:pStyle w:val="nTable"/>
              <w:spacing w:after="40"/>
              <w:rPr>
                <w:i/>
              </w:rPr>
            </w:pPr>
            <w:r>
              <w:rPr>
                <w:i/>
              </w:rPr>
              <w:t>Building Services (Registration) Amendment Regulations 2017</w:t>
            </w:r>
          </w:p>
        </w:tc>
        <w:tc>
          <w:tcPr>
            <w:tcW w:w="1254" w:type="dxa"/>
            <w:tcBorders>
              <w:top w:val="nil"/>
              <w:bottom w:val="nil"/>
            </w:tcBorders>
          </w:tcPr>
          <w:p>
            <w:pPr>
              <w:pStyle w:val="nTable"/>
              <w:spacing w:after="40"/>
            </w:pPr>
            <w:r>
              <w:t>31 Mar 2017 p. 1941-2</w:t>
            </w:r>
          </w:p>
        </w:tc>
        <w:tc>
          <w:tcPr>
            <w:tcW w:w="2679"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35"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54" w:type="dxa"/>
            <w:tcBorders>
              <w:top w:val="nil"/>
              <w:bottom w:val="nil"/>
            </w:tcBorders>
          </w:tcPr>
          <w:p>
            <w:pPr>
              <w:pStyle w:val="nTable"/>
              <w:spacing w:after="40"/>
            </w:pPr>
            <w:r>
              <w:t>23 Jun 2017 p. 3213</w:t>
            </w:r>
            <w:r>
              <w:noBreakHyphen/>
              <w:t>52</w:t>
            </w:r>
          </w:p>
        </w:tc>
        <w:tc>
          <w:tcPr>
            <w:tcW w:w="2679" w:type="dxa"/>
            <w:tcBorders>
              <w:top w:val="nil"/>
              <w:bottom w:val="nil"/>
            </w:tcBorders>
          </w:tcPr>
          <w:p>
            <w:pPr>
              <w:pStyle w:val="nTable"/>
              <w:spacing w:after="40"/>
            </w:pPr>
            <w:r>
              <w:t>1 Jul 2017 (see r. 2(b))</w:t>
            </w:r>
          </w:p>
        </w:tc>
      </w:tr>
      <w:tr>
        <w:tc>
          <w:tcPr>
            <w:tcW w:w="3135" w:type="dxa"/>
            <w:tcBorders>
              <w:top w:val="nil"/>
              <w:bottom w:val="nil"/>
            </w:tcBorders>
          </w:tcPr>
          <w:p>
            <w:pPr>
              <w:pStyle w:val="nTable"/>
              <w:spacing w:after="40"/>
            </w:pPr>
            <w:r>
              <w:rPr>
                <w:i/>
              </w:rPr>
              <w:t>Building Regulations Amendment Regulations 2017</w:t>
            </w:r>
            <w:r>
              <w:t xml:space="preserve"> Pt. 3</w:t>
            </w:r>
          </w:p>
        </w:tc>
        <w:tc>
          <w:tcPr>
            <w:tcW w:w="1254" w:type="dxa"/>
            <w:tcBorders>
              <w:top w:val="nil"/>
              <w:bottom w:val="nil"/>
            </w:tcBorders>
          </w:tcPr>
          <w:p>
            <w:pPr>
              <w:pStyle w:val="nTable"/>
              <w:spacing w:after="40"/>
            </w:pPr>
            <w:r>
              <w:t>8 Aug 2017 p. 4343</w:t>
            </w:r>
            <w:r>
              <w:noBreakHyphen/>
              <w:t>5</w:t>
            </w:r>
          </w:p>
        </w:tc>
        <w:tc>
          <w:tcPr>
            <w:tcW w:w="2679"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35" w:type="dxa"/>
            <w:tcBorders>
              <w:top w:val="nil"/>
              <w:bottom w:val="nil"/>
            </w:tcBorders>
          </w:tcPr>
          <w:p>
            <w:pPr>
              <w:pStyle w:val="nTable"/>
              <w:keepNext/>
              <w:spacing w:after="40"/>
              <w:rPr>
                <w:i/>
              </w:rPr>
            </w:pPr>
            <w:r>
              <w:rPr>
                <w:i/>
              </w:rPr>
              <w:lastRenderedPageBreak/>
              <w:t>Building Services (Registration) Amendment Regulations (No. 2) 2017</w:t>
            </w:r>
            <w:r>
              <w:t xml:space="preserve"> </w:t>
            </w:r>
          </w:p>
        </w:tc>
        <w:tc>
          <w:tcPr>
            <w:tcW w:w="1254" w:type="dxa"/>
            <w:tcBorders>
              <w:top w:val="nil"/>
              <w:bottom w:val="nil"/>
            </w:tcBorders>
          </w:tcPr>
          <w:p>
            <w:pPr>
              <w:pStyle w:val="nTable"/>
              <w:keepNext/>
              <w:spacing w:after="40"/>
            </w:pPr>
            <w:r>
              <w:t>5 Jan 2018 p. 4</w:t>
            </w:r>
            <w:r>
              <w:noBreakHyphen/>
              <w:t>8</w:t>
            </w:r>
          </w:p>
        </w:tc>
        <w:tc>
          <w:tcPr>
            <w:tcW w:w="2679"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35"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54" w:type="dxa"/>
            <w:tcBorders>
              <w:top w:val="nil"/>
              <w:bottom w:val="nil"/>
            </w:tcBorders>
          </w:tcPr>
          <w:p>
            <w:pPr>
              <w:pStyle w:val="nTable"/>
              <w:keepNext/>
              <w:spacing w:after="40"/>
            </w:pPr>
            <w:r>
              <w:t>25 Jun 2018 p. 2325</w:t>
            </w:r>
            <w:r>
              <w:noBreakHyphen/>
              <w:t>53</w:t>
            </w:r>
          </w:p>
        </w:tc>
        <w:tc>
          <w:tcPr>
            <w:tcW w:w="2679"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35" w:type="dxa"/>
            <w:tcBorders>
              <w:top w:val="nil"/>
              <w:bottom w:val="nil"/>
            </w:tcBorders>
          </w:tcPr>
          <w:p>
            <w:pPr>
              <w:pStyle w:val="nTable"/>
              <w:spacing w:after="40"/>
              <w:rPr>
                <w:i/>
              </w:rPr>
            </w:pPr>
            <w:r>
              <w:rPr>
                <w:i/>
              </w:rPr>
              <w:t>Building Services (Registration) Amendment Regulations 2018</w:t>
            </w:r>
          </w:p>
        </w:tc>
        <w:tc>
          <w:tcPr>
            <w:tcW w:w="1254" w:type="dxa"/>
            <w:tcBorders>
              <w:top w:val="nil"/>
              <w:bottom w:val="nil"/>
            </w:tcBorders>
          </w:tcPr>
          <w:p>
            <w:pPr>
              <w:pStyle w:val="nTable"/>
              <w:keepNext/>
              <w:spacing w:after="40"/>
            </w:pPr>
            <w:r>
              <w:t>21 Sep 2018 p. 3534</w:t>
            </w:r>
            <w:r>
              <w:noBreakHyphen/>
              <w:t>7</w:t>
            </w:r>
          </w:p>
        </w:tc>
        <w:tc>
          <w:tcPr>
            <w:tcW w:w="2679"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35" w:type="dxa"/>
            <w:tcBorders>
              <w:top w:val="nil"/>
              <w:bottom w:val="nil"/>
            </w:tcBorders>
          </w:tcPr>
          <w:p>
            <w:pPr>
              <w:pStyle w:val="nTable"/>
              <w:spacing w:after="40"/>
            </w:pPr>
            <w:r>
              <w:rPr>
                <w:i/>
              </w:rPr>
              <w:t xml:space="preserve">Commerce Regulations Amendment (Infringement Notices) Regulations 2019 </w:t>
            </w:r>
            <w:r>
              <w:t>Pt. 4</w:t>
            </w:r>
          </w:p>
        </w:tc>
        <w:tc>
          <w:tcPr>
            <w:tcW w:w="1254" w:type="dxa"/>
            <w:tcBorders>
              <w:top w:val="nil"/>
              <w:bottom w:val="nil"/>
            </w:tcBorders>
          </w:tcPr>
          <w:p>
            <w:pPr>
              <w:pStyle w:val="nTable"/>
              <w:spacing w:after="40"/>
            </w:pPr>
            <w:r>
              <w:t>26 Apr 2019 p. 1209-22</w:t>
            </w:r>
          </w:p>
        </w:tc>
        <w:tc>
          <w:tcPr>
            <w:tcW w:w="2679"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54" w:type="dxa"/>
            <w:tcBorders>
              <w:top w:val="nil"/>
              <w:left w:val="nil"/>
              <w:bottom w:val="nil"/>
              <w:right w:val="nil"/>
            </w:tcBorders>
          </w:tcPr>
          <w:p>
            <w:pPr>
              <w:pStyle w:val="nTable"/>
              <w:spacing w:after="40"/>
            </w:pPr>
            <w:r>
              <w:t>18 Jun 2019 p. 2077</w:t>
            </w:r>
            <w:r>
              <w:noBreakHyphen/>
              <w:t>115</w:t>
            </w:r>
          </w:p>
        </w:tc>
        <w:tc>
          <w:tcPr>
            <w:tcW w:w="2679"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54" w:type="dxa"/>
            <w:tcBorders>
              <w:top w:val="nil"/>
              <w:left w:val="nil"/>
              <w:bottom w:val="nil"/>
              <w:right w:val="nil"/>
            </w:tcBorders>
          </w:tcPr>
          <w:p>
            <w:pPr>
              <w:pStyle w:val="nTable"/>
              <w:spacing w:after="40"/>
            </w:pPr>
            <w:r>
              <w:t>SL 2020/163 25 Sep 2020</w:t>
            </w:r>
          </w:p>
        </w:tc>
        <w:tc>
          <w:tcPr>
            <w:tcW w:w="2679"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54" w:type="dxa"/>
            <w:tcBorders>
              <w:top w:val="nil"/>
              <w:left w:val="nil"/>
              <w:bottom w:val="nil"/>
              <w:right w:val="nil"/>
            </w:tcBorders>
          </w:tcPr>
          <w:p>
            <w:pPr>
              <w:pStyle w:val="nTable"/>
              <w:spacing w:after="40"/>
            </w:pPr>
            <w:r>
              <w:t>SL 2020/196 27 Oct 2020</w:t>
            </w:r>
          </w:p>
        </w:tc>
        <w:tc>
          <w:tcPr>
            <w:tcW w:w="2679"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54" w:type="dxa"/>
            <w:tcBorders>
              <w:top w:val="nil"/>
              <w:left w:val="nil"/>
              <w:bottom w:val="nil"/>
              <w:right w:val="nil"/>
            </w:tcBorders>
          </w:tcPr>
          <w:p>
            <w:pPr>
              <w:pStyle w:val="nTable"/>
              <w:spacing w:after="40"/>
            </w:pPr>
            <w:r>
              <w:t>SL 2021/86 21 Jun 2021</w:t>
            </w:r>
          </w:p>
        </w:tc>
        <w:tc>
          <w:tcPr>
            <w:tcW w:w="2679"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2) 2021</w:t>
            </w:r>
          </w:p>
        </w:tc>
        <w:tc>
          <w:tcPr>
            <w:tcW w:w="1254" w:type="dxa"/>
            <w:tcBorders>
              <w:top w:val="nil"/>
              <w:left w:val="nil"/>
              <w:bottom w:val="nil"/>
              <w:right w:val="nil"/>
            </w:tcBorders>
          </w:tcPr>
          <w:p>
            <w:pPr>
              <w:pStyle w:val="nTable"/>
              <w:spacing w:after="40"/>
            </w:pPr>
            <w:r>
              <w:t>SL 2021/170 8 Oct 2021</w:t>
            </w:r>
          </w:p>
        </w:tc>
        <w:tc>
          <w:tcPr>
            <w:tcW w:w="2679" w:type="dxa"/>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3) 2021</w:t>
            </w:r>
          </w:p>
        </w:tc>
        <w:tc>
          <w:tcPr>
            <w:tcW w:w="1254" w:type="dxa"/>
            <w:tcBorders>
              <w:top w:val="nil"/>
              <w:left w:val="nil"/>
              <w:bottom w:val="nil"/>
              <w:right w:val="nil"/>
            </w:tcBorders>
          </w:tcPr>
          <w:p>
            <w:pPr>
              <w:pStyle w:val="nTable"/>
              <w:spacing w:after="40"/>
            </w:pPr>
            <w:r>
              <w:t>SL 2021/213 17 Dec 2021</w:t>
            </w:r>
          </w:p>
        </w:tc>
        <w:tc>
          <w:tcPr>
            <w:tcW w:w="2679" w:type="dxa"/>
            <w:tcBorders>
              <w:top w:val="nil"/>
              <w:left w:val="nil"/>
              <w:bottom w:val="nil"/>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2022</w:t>
            </w:r>
            <w:r>
              <w:t xml:space="preserve"> Pt. 5</w:t>
            </w:r>
          </w:p>
        </w:tc>
        <w:tc>
          <w:tcPr>
            <w:tcW w:w="1254" w:type="dxa"/>
            <w:tcBorders>
              <w:top w:val="nil"/>
              <w:left w:val="nil"/>
              <w:bottom w:val="nil"/>
              <w:right w:val="nil"/>
            </w:tcBorders>
          </w:tcPr>
          <w:p>
            <w:pPr>
              <w:pStyle w:val="nTable"/>
              <w:spacing w:after="40"/>
            </w:pPr>
            <w:r>
              <w:t>SL 2022/59 20 May 2022</w:t>
            </w:r>
          </w:p>
        </w:tc>
        <w:tc>
          <w:tcPr>
            <w:tcW w:w="2679" w:type="dxa"/>
            <w:tcBorders>
              <w:top w:val="nil"/>
              <w:left w:val="nil"/>
              <w:bottom w:val="nil"/>
            </w:tcBorders>
          </w:tcPr>
          <w:p>
            <w:pPr>
              <w:pStyle w:val="nTable"/>
              <w:spacing w:after="40"/>
              <w:rPr>
                <w:bCs/>
                <w:snapToGrid w:val="0"/>
                <w:spacing w:val="-2"/>
              </w:rPr>
            </w:pPr>
            <w:r>
              <w:t>1 Jul 2022 (see r. 2(b))</w:t>
            </w:r>
          </w:p>
        </w:tc>
      </w:tr>
      <w:tr>
        <w:tc>
          <w:tcPr>
            <w:tcW w:w="3135" w:type="dxa"/>
            <w:tcBorders>
              <w:top w:val="nil"/>
              <w:bottom w:val="nil"/>
            </w:tcBorders>
          </w:tcPr>
          <w:p>
            <w:pPr>
              <w:pStyle w:val="nTable"/>
              <w:spacing w:after="40"/>
            </w:pPr>
            <w:r>
              <w:rPr>
                <w:i/>
              </w:rPr>
              <w:t>Building Services (Registration) Amendment Regulations 2022</w:t>
            </w:r>
          </w:p>
        </w:tc>
        <w:tc>
          <w:tcPr>
            <w:tcW w:w="1254" w:type="dxa"/>
            <w:tcBorders>
              <w:top w:val="nil"/>
              <w:bottom w:val="nil"/>
            </w:tcBorders>
          </w:tcPr>
          <w:p>
            <w:pPr>
              <w:pStyle w:val="nTable"/>
              <w:spacing w:after="40"/>
            </w:pPr>
            <w:r>
              <w:t>SL 2022/101 17 Jun 2022</w:t>
            </w:r>
          </w:p>
        </w:tc>
        <w:tc>
          <w:tcPr>
            <w:tcW w:w="2679" w:type="dxa"/>
            <w:tcBorders>
              <w:top w:val="nil"/>
              <w:bottom w:val="nil"/>
            </w:tcBorders>
          </w:tcPr>
          <w:p>
            <w:pPr>
              <w:pStyle w:val="nTable"/>
              <w:spacing w:after="40"/>
            </w:pPr>
            <w:r>
              <w:t>r. 1 and 2: 17 Jun 2022 (see r. 2(a));</w:t>
            </w:r>
            <w:r>
              <w:br/>
              <w:t>Regulations other than r. 1 and 2: 1 Feb 2023 (see r. 2(b))</w:t>
            </w:r>
          </w:p>
        </w:tc>
      </w:tr>
      <w:tr>
        <w:tc>
          <w:tcPr>
            <w:tcW w:w="3135" w:type="dxa"/>
            <w:tcBorders>
              <w:top w:val="nil"/>
              <w:bottom w:val="nil"/>
            </w:tcBorders>
          </w:tcPr>
          <w:p>
            <w:pPr>
              <w:pStyle w:val="nTable"/>
              <w:spacing w:after="40"/>
              <w:rPr>
                <w:i/>
              </w:rPr>
            </w:pPr>
            <w:r>
              <w:rPr>
                <w:i/>
              </w:rPr>
              <w:lastRenderedPageBreak/>
              <w:t>Commerce Regulations Amendment (Fees and Charges) Regulations 2023</w:t>
            </w:r>
            <w:r>
              <w:t xml:space="preserve"> Pt. 5</w:t>
            </w:r>
          </w:p>
        </w:tc>
        <w:tc>
          <w:tcPr>
            <w:tcW w:w="1254" w:type="dxa"/>
            <w:tcBorders>
              <w:top w:val="nil"/>
              <w:bottom w:val="nil"/>
            </w:tcBorders>
          </w:tcPr>
          <w:p>
            <w:pPr>
              <w:pStyle w:val="nTable"/>
              <w:spacing w:after="40"/>
            </w:pPr>
            <w:r>
              <w:t>SL 2023/35 5 May 2023</w:t>
            </w:r>
          </w:p>
        </w:tc>
        <w:tc>
          <w:tcPr>
            <w:tcW w:w="2679" w:type="dxa"/>
            <w:tcBorders>
              <w:top w:val="nil"/>
              <w:bottom w:val="nil"/>
            </w:tcBorders>
          </w:tcPr>
          <w:p>
            <w:pPr>
              <w:pStyle w:val="nTable"/>
              <w:spacing w:after="40"/>
            </w:pPr>
            <w:r>
              <w:t>1 Jul 2023 (see r. 2(b))</w:t>
            </w:r>
          </w:p>
        </w:tc>
      </w:tr>
      <w:tr>
        <w:tc>
          <w:tcPr>
            <w:tcW w:w="3135" w:type="dxa"/>
            <w:tcBorders>
              <w:top w:val="nil"/>
              <w:bottom w:val="nil"/>
            </w:tcBorders>
          </w:tcPr>
          <w:p>
            <w:pPr>
              <w:pStyle w:val="nTable"/>
              <w:spacing w:after="40"/>
              <w:rPr>
                <w:i/>
              </w:rPr>
            </w:pPr>
            <w:r>
              <w:rPr>
                <w:i/>
              </w:rPr>
              <w:t>Commerce Regulations Amendment (Building Services) Regulations 2023</w:t>
            </w:r>
            <w:r>
              <w:t xml:space="preserve"> Pt. 2 Div. 1 and 2</w:t>
            </w:r>
          </w:p>
        </w:tc>
        <w:tc>
          <w:tcPr>
            <w:tcW w:w="1254" w:type="dxa"/>
            <w:tcBorders>
              <w:top w:val="nil"/>
              <w:bottom w:val="nil"/>
            </w:tcBorders>
          </w:tcPr>
          <w:p>
            <w:pPr>
              <w:pStyle w:val="nTable"/>
              <w:spacing w:after="40"/>
            </w:pPr>
            <w:r>
              <w:t>SL 2023/64 2 Jun 2023</w:t>
            </w:r>
          </w:p>
        </w:tc>
        <w:tc>
          <w:tcPr>
            <w:tcW w:w="2679" w:type="dxa"/>
            <w:tcBorders>
              <w:top w:val="nil"/>
              <w:bottom w:val="nil"/>
            </w:tcBorders>
          </w:tcPr>
          <w:p>
            <w:pPr>
              <w:pStyle w:val="nTable"/>
              <w:spacing w:after="40"/>
            </w:pPr>
            <w:r>
              <w:t>1 Jul 2024 (see r. 2(b))</w:t>
            </w:r>
          </w:p>
        </w:tc>
      </w:tr>
      <w:tr>
        <w:tc>
          <w:tcPr>
            <w:tcW w:w="3135" w:type="dxa"/>
            <w:tcBorders>
              <w:top w:val="nil"/>
              <w:bottom w:val="nil"/>
            </w:tcBorders>
          </w:tcPr>
          <w:p>
            <w:pPr>
              <w:pStyle w:val="nTable"/>
              <w:spacing w:after="40"/>
              <w:rPr>
                <w:i/>
              </w:rPr>
            </w:pPr>
            <w:r>
              <w:rPr>
                <w:i/>
              </w:rPr>
              <w:t>Building Services (Registration) Amendment Regulations 2023</w:t>
            </w:r>
          </w:p>
        </w:tc>
        <w:tc>
          <w:tcPr>
            <w:tcW w:w="1254" w:type="dxa"/>
            <w:tcBorders>
              <w:top w:val="nil"/>
              <w:bottom w:val="nil"/>
            </w:tcBorders>
          </w:tcPr>
          <w:p>
            <w:pPr>
              <w:pStyle w:val="nTable"/>
              <w:spacing w:after="40"/>
            </w:pPr>
            <w:r>
              <w:t>SL 2023/76 16 Jun 2023</w:t>
            </w:r>
          </w:p>
        </w:tc>
        <w:tc>
          <w:tcPr>
            <w:tcW w:w="2679" w:type="dxa"/>
            <w:tcBorders>
              <w:top w:val="nil"/>
              <w:bottom w:val="nil"/>
            </w:tcBorders>
          </w:tcPr>
          <w:p>
            <w:pPr>
              <w:pStyle w:val="nTable"/>
              <w:spacing w:after="40"/>
            </w:pPr>
            <w:r>
              <w:t>r. 1 and 2: 16 Jun 2023 (see r. 2(a));</w:t>
            </w:r>
            <w:r>
              <w:br/>
              <w:t>Regulations other than r. 1 and 2: 16 Jun 2024 (see r. 2(b))</w:t>
            </w:r>
          </w:p>
        </w:tc>
      </w:tr>
      <w:tr>
        <w:tc>
          <w:tcPr>
            <w:tcW w:w="3135" w:type="dxa"/>
            <w:tcBorders>
              <w:top w:val="nil"/>
              <w:bottom w:val="nil"/>
            </w:tcBorders>
          </w:tcPr>
          <w:p>
            <w:pPr>
              <w:pStyle w:val="nTable"/>
              <w:spacing w:after="40"/>
            </w:pPr>
            <w:r>
              <w:rPr>
                <w:i/>
              </w:rPr>
              <w:t>Building Services (Registration) Amendment Regulations (No. 2) 2023</w:t>
            </w:r>
          </w:p>
        </w:tc>
        <w:tc>
          <w:tcPr>
            <w:tcW w:w="1254" w:type="dxa"/>
            <w:tcBorders>
              <w:top w:val="nil"/>
              <w:bottom w:val="nil"/>
            </w:tcBorders>
          </w:tcPr>
          <w:p>
            <w:pPr>
              <w:pStyle w:val="nTable"/>
              <w:spacing w:after="40"/>
            </w:pPr>
            <w:r>
              <w:t>SL 2023/164 1 Nov 2023</w:t>
            </w:r>
          </w:p>
        </w:tc>
        <w:tc>
          <w:tcPr>
            <w:tcW w:w="2679" w:type="dxa"/>
            <w:tcBorders>
              <w:top w:val="nil"/>
              <w:bottom w:val="nil"/>
            </w:tcBorders>
          </w:tcPr>
          <w:p>
            <w:pPr>
              <w:pStyle w:val="nTable"/>
              <w:spacing w:after="40"/>
            </w:pPr>
            <w:r>
              <w:t>r. 1 and 2: 1 Nov 2023 (see r. 2(a));</w:t>
            </w:r>
            <w:r>
              <w:br/>
              <w:t>r. 3 and 5: 2 Nov 2023 (see r. 2(c));</w:t>
            </w:r>
            <w:r>
              <w:br/>
              <w:t>r. 4: 1 Jul 2024 (see r. 2(b)(ii) and SL 2023/64 r. 2(b))</w:t>
            </w:r>
          </w:p>
        </w:tc>
      </w:tr>
      <w:tr>
        <w:tc>
          <w:tcPr>
            <w:tcW w:w="3135" w:type="dxa"/>
            <w:tcBorders>
              <w:top w:val="nil"/>
              <w:bottom w:val="single" w:sz="4" w:space="0" w:color="auto"/>
            </w:tcBorders>
          </w:tcPr>
          <w:p>
            <w:pPr>
              <w:pStyle w:val="nTable"/>
              <w:spacing w:after="40"/>
              <w:rPr>
                <w:i/>
              </w:rPr>
            </w:pPr>
            <w:r>
              <w:rPr>
                <w:i/>
              </w:rPr>
              <w:t xml:space="preserve">Commerce Regulations Amendment (Fees and Charges) Regulations 2024 </w:t>
            </w:r>
            <w:r>
              <w:rPr>
                <w:iCs/>
              </w:rPr>
              <w:t>Pt. 4</w:t>
            </w:r>
          </w:p>
        </w:tc>
        <w:tc>
          <w:tcPr>
            <w:tcW w:w="1254" w:type="dxa"/>
            <w:tcBorders>
              <w:top w:val="nil"/>
              <w:bottom w:val="single" w:sz="4" w:space="0" w:color="auto"/>
            </w:tcBorders>
          </w:tcPr>
          <w:p>
            <w:pPr>
              <w:pStyle w:val="nTable"/>
              <w:spacing w:after="40"/>
            </w:pPr>
            <w:r>
              <w:t>SL 2024/96 12 Jun 2024</w:t>
            </w:r>
          </w:p>
        </w:tc>
        <w:tc>
          <w:tcPr>
            <w:tcW w:w="2679" w:type="dxa"/>
            <w:tcBorders>
              <w:top w:val="nil"/>
              <w:bottom w:val="single" w:sz="4" w:space="0" w:color="auto"/>
            </w:tcBorders>
          </w:tcPr>
          <w:p>
            <w:pPr>
              <w:pStyle w:val="nTable"/>
              <w:spacing w:after="40"/>
            </w:pPr>
            <w:r>
              <w:t>1 Jul 2024 (see r. 2(b))</w:t>
            </w:r>
          </w:p>
        </w:tc>
      </w:tr>
    </w:tbl>
    <w:p>
      <w:pPr>
        <w:pStyle w:val="nHeading3"/>
      </w:pPr>
      <w:bookmarkStart w:id="181" w:name="_Toc177041758"/>
      <w:r>
        <w:t>Uncommenced provisions table</w:t>
      </w:r>
      <w:bookmarkEnd w:id="18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Commerce Regulations Amendment (Building Services) Regulations 2023</w:t>
            </w:r>
            <w:r>
              <w:t xml:space="preserve"> Pt. 2 Div. 3 and 4</w:t>
            </w:r>
          </w:p>
        </w:tc>
        <w:tc>
          <w:tcPr>
            <w:tcW w:w="1276" w:type="dxa"/>
            <w:tcBorders>
              <w:top w:val="single" w:sz="8" w:space="0" w:color="auto"/>
              <w:bottom w:val="nil"/>
            </w:tcBorders>
          </w:tcPr>
          <w:p>
            <w:pPr>
              <w:pStyle w:val="nTable"/>
              <w:spacing w:after="40"/>
            </w:pPr>
            <w:r>
              <w:t>SL 2023/64 2 Jun 2023</w:t>
            </w:r>
          </w:p>
        </w:tc>
        <w:tc>
          <w:tcPr>
            <w:tcW w:w="2693" w:type="dxa"/>
            <w:tcBorders>
              <w:top w:val="single" w:sz="8" w:space="0" w:color="auto"/>
              <w:bottom w:val="nil"/>
            </w:tcBorders>
          </w:tcPr>
          <w:p>
            <w:pPr>
              <w:pStyle w:val="nTable"/>
              <w:spacing w:after="40"/>
            </w:pPr>
            <w:r>
              <w:t>Pt. 2 Div. 3: 1 Jul 2025 (see r. 2(c));</w:t>
            </w:r>
            <w:r>
              <w:br/>
              <w:t>Pt. 2 Div. 4: 1 Jul 2027 (see r. 2(d))</w:t>
            </w:r>
          </w:p>
        </w:tc>
      </w:tr>
      <w:tr>
        <w:tc>
          <w:tcPr>
            <w:tcW w:w="3118" w:type="dxa"/>
            <w:tcBorders>
              <w:top w:val="nil"/>
              <w:bottom w:val="single" w:sz="4" w:space="0" w:color="auto"/>
            </w:tcBorders>
          </w:tcPr>
          <w:p>
            <w:pPr>
              <w:pStyle w:val="nTable"/>
              <w:spacing w:after="40"/>
              <w:rPr>
                <w:iCs/>
              </w:rPr>
            </w:pPr>
            <w:r>
              <w:rPr>
                <w:i/>
              </w:rPr>
              <w:t>Building Services (Registration) Amendment Regulations 2024</w:t>
            </w:r>
            <w:r>
              <w:rPr>
                <w:iCs/>
              </w:rPr>
              <w:t xml:space="preserve"> r. 3 and 4</w:t>
            </w:r>
          </w:p>
        </w:tc>
        <w:tc>
          <w:tcPr>
            <w:tcW w:w="1276" w:type="dxa"/>
            <w:tcBorders>
              <w:top w:val="nil"/>
              <w:bottom w:val="single" w:sz="4" w:space="0" w:color="auto"/>
            </w:tcBorders>
          </w:tcPr>
          <w:p>
            <w:pPr>
              <w:pStyle w:val="nTable"/>
              <w:spacing w:after="40"/>
            </w:pPr>
            <w:r>
              <w:t>SL 2024/190 18 Sep 2024</w:t>
            </w:r>
          </w:p>
        </w:tc>
        <w:tc>
          <w:tcPr>
            <w:tcW w:w="2693" w:type="dxa"/>
            <w:tcBorders>
              <w:top w:val="nil"/>
              <w:bottom w:val="single" w:sz="4" w:space="0" w:color="auto"/>
            </w:tcBorders>
          </w:tcPr>
          <w:p>
            <w:pPr>
              <w:pStyle w:val="nTable"/>
              <w:spacing w:after="40"/>
            </w:pPr>
            <w:r>
              <w:t>1 Nov 2024 (see r. 2(b))</w:t>
            </w:r>
          </w:p>
        </w:tc>
      </w:tr>
    </w:tbl>
    <w:p>
      <w:pPr>
        <w:pStyle w:val="nHeading3"/>
      </w:pPr>
      <w:bookmarkStart w:id="182" w:name="_Toc177041759"/>
      <w:r>
        <w:t>Other notes</w:t>
      </w:r>
      <w:bookmarkEnd w:id="182"/>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xml:space="preserve">, </w:t>
      </w:r>
      <w:r>
        <w:lastRenderedPageBreak/>
        <w:t>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184" w:name="_Toc177039262"/>
      <w:bookmarkStart w:id="185" w:name="_Toc177039804"/>
      <w:bookmarkStart w:id="186" w:name="_Toc177041760"/>
      <w:r>
        <w:rPr>
          <w:sz w:val="28"/>
        </w:rPr>
        <w:lastRenderedPageBreak/>
        <w:t>Defined terms</w:t>
      </w:r>
      <w:bookmarkEnd w:id="184"/>
      <w:bookmarkEnd w:id="185"/>
      <w:bookmarkEnd w:id="1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amending provisions</w:t>
      </w:r>
      <w:r>
        <w:tab/>
        <w:t>53(1)</w:t>
      </w:r>
    </w:p>
    <w:p>
      <w:pPr>
        <w:pStyle w:val="DefinedTerms"/>
      </w:pPr>
      <w:r>
        <w:t>approval number</w:t>
      </w:r>
      <w:r>
        <w:tab/>
        <w:t>27(1)</w:t>
      </w:r>
    </w:p>
    <w:p>
      <w:pPr>
        <w:pStyle w:val="DefinedTerms"/>
      </w:pPr>
      <w:r>
        <w:t>approved continuing professional development</w:t>
      </w:r>
      <w:r>
        <w:tab/>
        <w:t>28P(1)</w:t>
      </w:r>
    </w:p>
    <w:p>
      <w:pPr>
        <w:pStyle w:val="DefinedTerms"/>
      </w:pPr>
      <w:r>
        <w:t>builder work</w:t>
      </w:r>
      <w:r>
        <w:tab/>
        <w:t>3, 13(1)</w:t>
      </w:r>
    </w:p>
    <w:p>
      <w:pPr>
        <w:pStyle w:val="DefinedTerms"/>
      </w:pPr>
      <w:r>
        <w:t>Building Code</w:t>
      </w:r>
      <w:r>
        <w:tab/>
        <w:t>3</w:t>
      </w:r>
    </w:p>
    <w:p>
      <w:pPr>
        <w:pStyle w:val="DefinedTerms"/>
      </w:pPr>
      <w:r>
        <w:t>building contractor</w:t>
      </w:r>
      <w:r>
        <w:tab/>
        <w:t>13(1), Sch. 5 cl. 1</w:t>
      </w:r>
    </w:p>
    <w:p>
      <w:pPr>
        <w:pStyle w:val="DefinedTerms"/>
      </w:pPr>
      <w:r>
        <w:t>building engineering contractor</w:t>
      </w:r>
      <w:r>
        <w:tab/>
        <w:t>28J, Sch. 5 cl. 1</w:t>
      </w:r>
    </w:p>
    <w:p>
      <w:pPr>
        <w:pStyle w:val="DefinedTerms"/>
      </w:pPr>
      <w:r>
        <w:t>building engineering contractor (company)</w:t>
      </w:r>
      <w:r>
        <w:tab/>
        <w:t>28N(1)</w:t>
      </w:r>
    </w:p>
    <w:p>
      <w:pPr>
        <w:pStyle w:val="DefinedTerms"/>
      </w:pPr>
      <w:r>
        <w:t>building engineering contractor (individual)</w:t>
      </w:r>
      <w:r>
        <w:tab/>
        <w:t>28N(1)</w:t>
      </w:r>
    </w:p>
    <w:p>
      <w:pPr>
        <w:pStyle w:val="DefinedTerms"/>
      </w:pPr>
      <w:r>
        <w:t>building engineering contractor (partnership)</w:t>
      </w:r>
      <w:r>
        <w:tab/>
        <w:t>28N(1)</w:t>
      </w:r>
    </w:p>
    <w:p>
      <w:pPr>
        <w:pStyle w:val="DefinedTerms"/>
      </w:pPr>
      <w:r>
        <w:t>building engineering practitioner</w:t>
      </w:r>
      <w:r>
        <w:tab/>
        <w:t>28J, Sch. 5 cl. 1</w:t>
      </w:r>
    </w:p>
    <w:p>
      <w:pPr>
        <w:pStyle w:val="DefinedTerms"/>
      </w:pPr>
      <w:r>
        <w:t>building engineering practitioner - associate</w:t>
      </w:r>
      <w:r>
        <w:tab/>
        <w:t>28Q(1)</w:t>
      </w:r>
    </w:p>
    <w:p>
      <w:pPr>
        <w:pStyle w:val="DefinedTerms"/>
      </w:pPr>
      <w:r>
        <w:t>building engineering practitioner - professional</w:t>
      </w:r>
      <w:r>
        <w:tab/>
        <w:t>28Q(1)</w:t>
      </w:r>
    </w:p>
    <w:p>
      <w:pPr>
        <w:pStyle w:val="DefinedTerms"/>
      </w:pPr>
      <w:r>
        <w:t>building engineering practitioner - technologist</w:t>
      </w:r>
      <w:r>
        <w:tab/>
        <w:t>28Q(1)</w:t>
      </w:r>
    </w:p>
    <w:p>
      <w:pPr>
        <w:pStyle w:val="DefinedTerms"/>
      </w:pPr>
      <w:r>
        <w:t>building engineering work</w:t>
      </w:r>
      <w:r>
        <w:tab/>
        <w:t>3</w:t>
      </w:r>
    </w:p>
    <w:p>
      <w:pPr>
        <w:pStyle w:val="DefinedTerms"/>
      </w:pPr>
      <w:r>
        <w:t>building surveying contractor</w:t>
      </w:r>
      <w:r>
        <w:tab/>
        <w:t>28A, Sch. 5 cl. 1</w:t>
      </w:r>
    </w:p>
    <w:p>
      <w:pPr>
        <w:pStyle w:val="DefinedTerms"/>
      </w:pPr>
      <w:r>
        <w:t>building surveying practitioner</w:t>
      </w:r>
      <w:r>
        <w:tab/>
        <w:t>Sch. 5 cl. 1</w:t>
      </w:r>
    </w:p>
    <w:p>
      <w:pPr>
        <w:pStyle w:val="DefinedTerms"/>
      </w:pPr>
      <w:r>
        <w:t>building surveying work</w:t>
      </w:r>
      <w:r>
        <w:tab/>
        <w:t>28A, Sch. 5 cl. 1</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 53(1)</w:t>
      </w:r>
    </w:p>
    <w:p>
      <w:pPr>
        <w:pStyle w:val="DefinedTerms"/>
      </w:pPr>
      <w:r>
        <w:t>compliance certificate</w:t>
      </w:r>
      <w:r>
        <w:tab/>
        <w:t>3</w:t>
      </w:r>
    </w:p>
    <w:p>
      <w:pPr>
        <w:pStyle w:val="DefinedTerms"/>
      </w:pPr>
      <w:r>
        <w:t>detached house</w:t>
      </w:r>
      <w:r>
        <w:tab/>
        <w:t>22</w:t>
      </w:r>
    </w:p>
    <w:p>
      <w:pPr>
        <w:pStyle w:val="DefinedTerms"/>
      </w:pPr>
      <w:r>
        <w:t>DIN</w:t>
      </w:r>
      <w:r>
        <w:tab/>
        <w:t>10A(1)</w:t>
      </w:r>
    </w:p>
    <w:p>
      <w:pPr>
        <w:pStyle w:val="DefinedTerms"/>
      </w:pPr>
      <w:r>
        <w:t>eligible person</w:t>
      </w:r>
      <w:r>
        <w:tab/>
        <w:t>16(4), 28D(2A) and (3A), 28M(1), 31(4)</w:t>
      </w:r>
    </w:p>
    <w:p>
      <w:pPr>
        <w:pStyle w:val="DefinedTerms"/>
      </w:pPr>
      <w:r>
        <w:t>exempt shed</w:t>
      </w:r>
      <w:r>
        <w:tab/>
        <w:t>13(1)</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low-rise building</w:t>
      </w:r>
      <w:r>
        <w:tab/>
        <w:t>28L(1)</w:t>
      </w:r>
    </w:p>
    <w:p>
      <w:pPr>
        <w:pStyle w:val="DefinedTerms"/>
      </w:pPr>
      <w:r>
        <w:t>medium-rise building</w:t>
      </w:r>
      <w:r>
        <w:tab/>
        <w:t>28L(1)</w:t>
      </w:r>
    </w:p>
    <w:p>
      <w:pPr>
        <w:pStyle w:val="DefinedTerms"/>
      </w:pPr>
      <w:r>
        <w:t>National Construction Code</w:t>
      </w:r>
      <w:r>
        <w:tab/>
        <w:t>3</w:t>
      </w:r>
    </w:p>
    <w:p>
      <w:pPr>
        <w:pStyle w:val="DefinedTerms"/>
      </w:pPr>
      <w:r>
        <w:lastRenderedPageBreak/>
        <w:t>National Register</w:t>
      </w:r>
      <w:r>
        <w:tab/>
        <w:t>3</w:t>
      </w:r>
    </w:p>
    <w:p>
      <w:pPr>
        <w:pStyle w:val="DefinedTerms"/>
      </w:pPr>
      <w:r>
        <w:t>owner-builder</w:t>
      </w:r>
      <w:r>
        <w:tab/>
        <w:t>3</w:t>
      </w:r>
    </w:p>
    <w:p>
      <w:pPr>
        <w:pStyle w:val="DefinedTerms"/>
      </w:pPr>
      <w:r>
        <w:t>owner-builder authorisation</w:t>
      </w:r>
      <w:r>
        <w:tab/>
        <w:t>37</w:t>
      </w:r>
    </w:p>
    <w:p>
      <w:pPr>
        <w:pStyle w:val="DefinedTerms"/>
      </w:pPr>
      <w:r>
        <w:t>painter work</w:t>
      </w:r>
      <w:r>
        <w:tab/>
        <w:t>3, 28(1)</w:t>
      </w:r>
    </w:p>
    <w:p>
      <w:pPr>
        <w:pStyle w:val="DefinedTerms"/>
      </w:pPr>
      <w:r>
        <w:t>painting contractor</w:t>
      </w:r>
      <w:r>
        <w:tab/>
        <w:t>28(1), Sch. 5 cl. 1</w:t>
      </w:r>
    </w:p>
    <w:p>
      <w:pPr>
        <w:pStyle w:val="DefinedTerms"/>
      </w:pPr>
      <w:r>
        <w:t>painting work</w:t>
      </w:r>
      <w:r>
        <w:tab/>
        <w:t>28(1)</w:t>
      </w:r>
    </w:p>
    <w:p>
      <w:pPr>
        <w:pStyle w:val="DefinedTerms"/>
      </w:pPr>
      <w:r>
        <w:t>prescribed fire system</w:t>
      </w:r>
      <w:r>
        <w:tab/>
        <w:t>28M(1)</w:t>
      </w:r>
    </w:p>
    <w:p>
      <w:pPr>
        <w:pStyle w:val="DefinedTerms"/>
      </w:pPr>
      <w:r>
        <w:t>previously registered</w:t>
      </w:r>
      <w:r>
        <w:tab/>
        <w:t>16(4), 28M(1)</w:t>
      </w:r>
    </w:p>
    <w:p>
      <w:pPr>
        <w:pStyle w:val="DefinedTerms"/>
      </w:pPr>
      <w:r>
        <w:t>principal builder</w:t>
      </w:r>
      <w:r>
        <w:tab/>
        <w:t>3</w:t>
      </w:r>
    </w:p>
    <w:p>
      <w:pPr>
        <w:pStyle w:val="DefinedTerms"/>
      </w:pPr>
      <w:r>
        <w:t>professional engineering work</w:t>
      </w:r>
      <w:r>
        <w:tab/>
        <w:t>28L(1)</w:t>
      </w:r>
    </w:p>
    <w:p>
      <w:pPr>
        <w:pStyle w:val="DefinedTerms"/>
      </w:pPr>
      <w:r>
        <w:t>relevant</w:t>
      </w:r>
      <w:r>
        <w:tab/>
        <w:t>28M(1) and (5)</w:t>
      </w:r>
    </w:p>
    <w:p>
      <w:pPr>
        <w:pStyle w:val="DefinedTerms"/>
      </w:pPr>
      <w:r>
        <w:t>relevant class</w:t>
      </w:r>
      <w:r>
        <w:tab/>
        <w:t>53(2)</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storey</w:t>
      </w:r>
      <w:r>
        <w:tab/>
        <w:t>3</w:t>
      </w:r>
    </w:p>
    <w:p>
      <w:pPr>
        <w:pStyle w:val="DefinedTerms"/>
      </w:pPr>
      <w:r>
        <w:t>technical engineering work</w:t>
      </w:r>
      <w:r>
        <w:tab/>
        <w:t>28L(1)</w:t>
      </w:r>
    </w:p>
    <w:p>
      <w:pPr>
        <w:pStyle w:val="DefinedTerms"/>
      </w:pPr>
      <w:r>
        <w:t>townsite</w:t>
      </w:r>
      <w:r>
        <w:tab/>
        <w:t>Sch. 3 cl. 1, Sch. 4 cl. 1</w:t>
      </w:r>
    </w:p>
    <w:p/>
    <w:p>
      <w:pPr>
        <w:pStyle w:val="DefinedTerms"/>
        <w:sectPr>
          <w:headerReference w:type="even" r:id="rId35"/>
          <w:headerReference w:type="default" r:id="rId36"/>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C397A4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15A4F32" w14:textId="54127A11" w:rsidR="002A0930" w:rsidRDefault="00A7547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F4F3B">
                        <w:rPr>
                          <w:sz w:val="16"/>
                        </w:rPr>
                        <w:t>2024</w:t>
                      </w:r>
                      <w:r>
                        <w:rPr>
                          <w:sz w:val="16"/>
                        </w:rPr>
                        <w:fldChar w:fldCharType="end"/>
                      </w:r>
                      <w:r>
                        <w:rPr>
                          <w:sz w:val="16"/>
                        </w:rPr>
                        <w:t>.</w:t>
                      </w:r>
                    </w:p>
                    <w:p w14:paraId="109D0683" w14:textId="77777777" w:rsidR="002A0930" w:rsidRDefault="00A7547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30F7ECB" w14:textId="6679D652" w:rsidR="002A0930" w:rsidRDefault="00A7547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F4F3B">
                        <w:rPr>
                          <w:sz w:val="16"/>
                        </w:rPr>
                        <w:t>2024</w:t>
                      </w:r>
                      <w:r>
                        <w:rPr>
                          <w:sz w:val="16"/>
                        </w:rPr>
                        <w:fldChar w:fldCharType="end"/>
                      </w:r>
                      <w:r>
                        <w:rPr>
                          <w:sz w:val="16"/>
                        </w:rPr>
                        <w:t>.</w:t>
                      </w:r>
                    </w:p>
                    <w:p w14:paraId="34801C38" w14:textId="77777777" w:rsidR="002A0930" w:rsidRDefault="00A7547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02-ag0-00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02-ag0-00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45" w:name="Schedule"/>
    <w:bookmarkEnd w:id="14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Owner-builders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Owner-builders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6</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3" w:name="Compilation"/>
    <w:bookmarkEnd w:id="18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87" w:name="DefinedTerms"/>
    <w:bookmarkEnd w:id="187"/>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8" w:name="Coversheet"/>
    <w:bookmarkEnd w:id="18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682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12131045"/>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 w:name="WAFER_20230530160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0410_GUID" w:val="71509fd3-f7e2-4d66-b585-5bda305127aa"/>
    <w:docVar w:name="WAFER_2023061314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3143501_GUID" w:val="71a8e7de-a2a0-41e5-8f1c-8b3c7b3a0df5"/>
    <w:docVar w:name="WAFER_20230626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24_GUID" w:val="5e8a1c1b-72e5-49f8-9f73-3632fdbae9ab"/>
    <w:docVar w:name="WAFER_20231027125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25120_GUID" w:val="c795c576-3b2f-4e53-96df-289fbf521383"/>
    <w:docVar w:name="WAFER_2023102712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25150_GUID" w:val="8c8842b5-505c-410a-a903-ad0e7ff66f2f"/>
    <w:docVar w:name="WAFER_20231227155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608_GUID" w:val="d33749f3-98c7-4e22-82bd-c950198c2bae"/>
    <w:docVar w:name="WAFER_20240606154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048_GUID" w:val="cf7e03a1-5ff9-4e21-8ee4-2cd934b57b5e"/>
    <w:docVar w:name="WAFER_202406120922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2234_GUID" w:val="0d240f02-467c-4b1a-afea-30fb49d84bde"/>
    <w:docVar w:name="WAFER_20240624095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5246_GUID" w:val="b96b1f16-3d68-429e-b953-351b10be66f7"/>
    <w:docVar w:name="WAFER_20240912131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1045_GUID" w:val="3ab02354-b181-4a5d-9cef-974a9640ff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8289"/>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5FA36-D444-4A2E-9250-C95E96113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18890</Words>
  <Characters>104085</Characters>
  <Application>Microsoft Office Word</Application>
  <DocSecurity>0</DocSecurity>
  <Lines>4003</Lines>
  <Paragraphs>2157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120818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2011 - 02-ag0-00</dc:title>
  <dc:subject/>
  <dc:creator/>
  <cp:keywords/>
  <dc:description/>
  <cp:lastModifiedBy>Master Repository Process</cp:lastModifiedBy>
  <cp:revision>4</cp:revision>
  <cp:lastPrinted>2019-05-01T01:45:00Z</cp:lastPrinted>
  <dcterms:created xsi:type="dcterms:W3CDTF">2025-06-16T04:26:00Z</dcterms:created>
  <dcterms:modified xsi:type="dcterms:W3CDTF">2025-06-16T04:27:00Z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18 Sep 2024</vt:lpwstr>
  </property>
  <property fmtid="{D5CDD505-2E9C-101B-9397-08002B2CF9AE}" pid="7" name="Suffix">
    <vt:lpwstr>02-ag0-00</vt:lpwstr>
  </property>
  <property fmtid="{D5CDD505-2E9C-101B-9397-08002B2CF9AE}" pid="8" name="Official">
    <vt:lpwstr/>
  </property>
  <property fmtid="{D5CDD505-2E9C-101B-9397-08002B2CF9AE}" pid="9" name="CommencementDate">
    <vt:lpwstr>20240918</vt:lpwstr>
  </property>
  <property fmtid="{D5CDD505-2E9C-101B-9397-08002B2CF9AE}" pid="10" name="CommencementAsAt">
    <vt:filetime>2024-09-17T16:00:00Z</vt:filetime>
  </property>
  <property fmtid="{D5CDD505-2E9C-101B-9397-08002B2CF9AE}" pid="11" name="CommencementYear">
    <vt:lpwstr>2024</vt:lpwstr>
  </property>
</Properties>
</file>