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Short-Term Rental Accommodation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Short-Term Rental Accommodation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_Toc177052955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_Toc177052956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_Toc177052957 \h </w:instrText>
      </w:r>
      <w:r>
        <w:fldChar w:fldCharType="separate"/>
      </w:r>
      <w:r>
        <w:t>1</w:t>
      </w:r>
      <w:r>
        <w:fldChar w:fldCharType="end"/>
      </w:r>
    </w:p>
    <w:p>
      <w:pPr>
        <w:pStyle w:val="TOC8"/>
        <w:rPr>
          <w:rFonts w:asciiTheme="minorHAnsi" w:eastAsiaTheme="minorEastAsia" w:hAnsiTheme="minorHAnsi" w:cstheme="minorBidi"/>
          <w:szCs w:val="22"/>
        </w:rPr>
      </w:pPr>
      <w:r>
        <w:t>4.</w:t>
      </w:r>
      <w:r>
        <w:tab/>
        <w:t>Hosted accommodation</w:t>
      </w:r>
      <w:r>
        <w:tab/>
      </w:r>
      <w:r>
        <w:fldChar w:fldCharType="begin"/>
      </w:r>
      <w:r>
        <w:instrText xml:space="preserve"> PAGEREF _Toc177052958 \h </w:instrText>
      </w:r>
      <w:r>
        <w:fldChar w:fldCharType="separate"/>
      </w:r>
      <w:r>
        <w:t>1</w:t>
      </w:r>
      <w:r>
        <w:fldChar w:fldCharType="end"/>
      </w:r>
    </w:p>
    <w:p>
      <w:pPr>
        <w:pStyle w:val="TOC8"/>
        <w:rPr>
          <w:rFonts w:asciiTheme="minorHAnsi" w:eastAsiaTheme="minorEastAsia" w:hAnsiTheme="minorHAnsi" w:cstheme="minorBidi"/>
          <w:szCs w:val="22"/>
        </w:rPr>
      </w:pPr>
      <w:r>
        <w:t>5.</w:t>
      </w:r>
      <w:r>
        <w:tab/>
        <w:t>Premises to which Act does not apply</w:t>
      </w:r>
      <w:r>
        <w:tab/>
      </w:r>
      <w:r>
        <w:fldChar w:fldCharType="begin"/>
      </w:r>
      <w:r>
        <w:instrText xml:space="preserve"> PAGEREF _Toc177052959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to be included in applications for registration</w:t>
      </w:r>
      <w:r>
        <w:tab/>
      </w:r>
      <w:r>
        <w:fldChar w:fldCharType="begin"/>
      </w:r>
      <w:r>
        <w:instrText xml:space="preserve"> PAGEREF _Toc177052960 \h </w:instrText>
      </w:r>
      <w:r>
        <w:fldChar w:fldCharType="separate"/>
      </w:r>
      <w:r>
        <w:t>3</w:t>
      </w:r>
      <w:r>
        <w:fldChar w:fldCharType="end"/>
      </w:r>
    </w:p>
    <w:p>
      <w:pPr>
        <w:pStyle w:val="TOC8"/>
        <w:rPr>
          <w:rFonts w:asciiTheme="minorHAnsi" w:eastAsiaTheme="minorEastAsia" w:hAnsiTheme="minorHAnsi" w:cstheme="minorBidi"/>
          <w:szCs w:val="22"/>
        </w:rPr>
      </w:pPr>
      <w:r>
        <w:t>7.</w:t>
      </w:r>
      <w:r>
        <w:tab/>
        <w:t>Suspension or cancellation of registration</w:t>
      </w:r>
      <w:r>
        <w:tab/>
      </w:r>
      <w:r>
        <w:fldChar w:fldCharType="begin"/>
      </w:r>
      <w:r>
        <w:instrText xml:space="preserve"> PAGEREF _Toc177052961 \h </w:instrText>
      </w:r>
      <w:r>
        <w:fldChar w:fldCharType="separate"/>
      </w:r>
      <w:r>
        <w:t>3</w:t>
      </w:r>
      <w:r>
        <w:fldChar w:fldCharType="end"/>
      </w:r>
    </w:p>
    <w:p>
      <w:pPr>
        <w:pStyle w:val="TOC8"/>
        <w:rPr>
          <w:rFonts w:asciiTheme="minorHAnsi" w:eastAsiaTheme="minorEastAsia" w:hAnsiTheme="minorHAnsi" w:cstheme="minorBidi"/>
          <w:szCs w:val="22"/>
        </w:rPr>
      </w:pPr>
      <w:r>
        <w:t>8.</w:t>
      </w:r>
      <w:r>
        <w:tab/>
        <w:t>Changes to be notified to Commissioner</w:t>
      </w:r>
      <w:r>
        <w:tab/>
      </w:r>
      <w:r>
        <w:fldChar w:fldCharType="begin"/>
      </w:r>
      <w:r>
        <w:instrText xml:space="preserve"> PAGEREF _Toc177052962 \h </w:instrText>
      </w:r>
      <w:r>
        <w:fldChar w:fldCharType="separate"/>
      </w:r>
      <w:r>
        <w:t>6</w:t>
      </w:r>
      <w:r>
        <w:fldChar w:fldCharType="end"/>
      </w:r>
    </w:p>
    <w:p>
      <w:pPr>
        <w:pStyle w:val="TOC8"/>
        <w:rPr>
          <w:rFonts w:asciiTheme="minorHAnsi" w:eastAsiaTheme="minorEastAsia" w:hAnsiTheme="minorHAnsi" w:cstheme="minorBidi"/>
          <w:szCs w:val="22"/>
        </w:rPr>
      </w:pPr>
      <w:r>
        <w:t>9.</w:t>
      </w:r>
      <w:r>
        <w:tab/>
        <w:t>Certificate evidence</w:t>
      </w:r>
      <w:r>
        <w:tab/>
      </w:r>
      <w:r>
        <w:fldChar w:fldCharType="begin"/>
      </w:r>
      <w:r>
        <w:instrText xml:space="preserve"> PAGEREF _Toc177052963 \h </w:instrText>
      </w:r>
      <w:r>
        <w:fldChar w:fldCharType="separate"/>
      </w:r>
      <w:r>
        <w:t>6</w:t>
      </w:r>
      <w:r>
        <w:fldChar w:fldCharType="end"/>
      </w:r>
    </w:p>
    <w:p>
      <w:pPr>
        <w:pStyle w:val="TOC8"/>
        <w:rPr>
          <w:rFonts w:asciiTheme="minorHAnsi" w:eastAsiaTheme="minorEastAsia" w:hAnsiTheme="minorHAnsi" w:cstheme="minorBidi"/>
          <w:szCs w:val="22"/>
        </w:rPr>
      </w:pPr>
      <w:r>
        <w:t>10.</w:t>
      </w:r>
      <w:r>
        <w:tab/>
        <w:t>Information to be included in Register</w:t>
      </w:r>
      <w:r>
        <w:tab/>
      </w:r>
      <w:r>
        <w:fldChar w:fldCharType="begin"/>
      </w:r>
      <w:r>
        <w:instrText xml:space="preserve"> PAGEREF _Toc177052964 \h </w:instrText>
      </w:r>
      <w:r>
        <w:fldChar w:fldCharType="separate"/>
      </w:r>
      <w:r>
        <w:t>6</w:t>
      </w:r>
      <w:r>
        <w:fldChar w:fldCharType="end"/>
      </w:r>
    </w:p>
    <w:p>
      <w:pPr>
        <w:pStyle w:val="TOC8"/>
        <w:rPr>
          <w:rFonts w:asciiTheme="minorHAnsi" w:eastAsiaTheme="minorEastAsia" w:hAnsiTheme="minorHAnsi" w:cstheme="minorBidi"/>
          <w:szCs w:val="22"/>
        </w:rPr>
      </w:pPr>
      <w:r>
        <w:t>11.</w:t>
      </w:r>
      <w:r>
        <w:tab/>
        <w:t>Disclosure of information: health and safety</w:t>
      </w:r>
      <w:r>
        <w:tab/>
      </w:r>
      <w:r>
        <w:fldChar w:fldCharType="begin"/>
      </w:r>
      <w:r>
        <w:instrText xml:space="preserve"> PAGEREF _Toc177052965 \h </w:instrText>
      </w:r>
      <w:r>
        <w:fldChar w:fldCharType="separate"/>
      </w:r>
      <w:r>
        <w:t>7</w:t>
      </w:r>
      <w:r>
        <w:fldChar w:fldCharType="end"/>
      </w:r>
    </w:p>
    <w:p>
      <w:pPr>
        <w:pStyle w:val="TOC8"/>
        <w:rPr>
          <w:rFonts w:asciiTheme="minorHAnsi" w:eastAsiaTheme="minorEastAsia" w:hAnsiTheme="minorHAnsi" w:cstheme="minorBidi"/>
          <w:szCs w:val="22"/>
        </w:rPr>
      </w:pPr>
      <w:r>
        <w:t>12.</w:t>
      </w:r>
      <w:r>
        <w:tab/>
        <w:t>Disclosure of information: community titles schemes and strata titles schemes</w:t>
      </w:r>
      <w:r>
        <w:tab/>
      </w:r>
      <w:r>
        <w:fldChar w:fldCharType="begin"/>
      </w:r>
      <w:r>
        <w:instrText xml:space="preserve"> PAGEREF _Toc177052966 \h </w:instrText>
      </w:r>
      <w:r>
        <w:fldChar w:fldCharType="separate"/>
      </w:r>
      <w:r>
        <w:t>8</w:t>
      </w:r>
      <w:r>
        <w:fldChar w:fldCharType="end"/>
      </w:r>
    </w:p>
    <w:p>
      <w:pPr>
        <w:pStyle w:val="TOC8"/>
        <w:rPr>
          <w:rFonts w:asciiTheme="minorHAnsi" w:eastAsiaTheme="minorEastAsia" w:hAnsiTheme="minorHAnsi" w:cstheme="minorBidi"/>
          <w:szCs w:val="22"/>
        </w:rPr>
      </w:pPr>
      <w:r>
        <w:t>13.</w:t>
      </w:r>
      <w:r>
        <w:tab/>
        <w:t>Particulars of short</w:t>
      </w:r>
      <w:r>
        <w:noBreakHyphen/>
        <w:t>term rental arrangements to be notified to Commissioner</w:t>
      </w:r>
      <w:r>
        <w:tab/>
      </w:r>
      <w:r>
        <w:fldChar w:fldCharType="begin"/>
      </w:r>
      <w:r>
        <w:instrText xml:space="preserve"> PAGEREF _Toc177052967 \h </w:instrText>
      </w:r>
      <w:r>
        <w:fldChar w:fldCharType="separate"/>
      </w:r>
      <w:r>
        <w:t>8</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_Toc177052968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Prescribed offences and modified penalties</w:t>
      </w:r>
      <w:r>
        <w:tab/>
      </w:r>
      <w:r>
        <w:fldChar w:fldCharType="begin"/>
      </w:r>
      <w:r>
        <w:instrText xml:space="preserve"> PAGEREF _Toc177052969 \h </w:instrText>
      </w:r>
      <w:r>
        <w:fldChar w:fldCharType="separate"/>
      </w:r>
      <w:r>
        <w:t>11</w:t>
      </w:r>
      <w:r>
        <w:fldChar w:fldCharType="end"/>
      </w:r>
    </w:p>
    <w:p>
      <w:pPr>
        <w:pStyle w:val="TOC8"/>
        <w:rPr>
          <w:rFonts w:asciiTheme="minorHAnsi" w:eastAsiaTheme="minorEastAsia" w:hAnsiTheme="minorHAnsi" w:cstheme="minorBidi"/>
          <w:szCs w:val="22"/>
        </w:rPr>
      </w:pPr>
      <w:r>
        <w:t>16.</w:t>
      </w:r>
      <w:r>
        <w:tab/>
        <w:t>Authorised officers and approved officers</w:t>
      </w:r>
      <w:r>
        <w:tab/>
      </w:r>
      <w:r>
        <w:fldChar w:fldCharType="begin"/>
      </w:r>
      <w:r>
        <w:instrText xml:space="preserve"> PAGEREF _Toc177052970 \h </w:instrText>
      </w:r>
      <w:r>
        <w:fldChar w:fldCharType="separate"/>
      </w:r>
      <w:r>
        <w:t>11</w:t>
      </w:r>
      <w:r>
        <w:fldChar w:fldCharType="end"/>
      </w:r>
    </w:p>
    <w:p>
      <w:pPr>
        <w:pStyle w:val="TOC8"/>
        <w:rPr>
          <w:rFonts w:asciiTheme="minorHAnsi" w:eastAsiaTheme="minorEastAsia" w:hAnsiTheme="minorHAnsi" w:cstheme="minorBidi"/>
          <w:szCs w:val="22"/>
        </w:rPr>
      </w:pPr>
      <w:r>
        <w:t>17.</w:t>
      </w:r>
      <w:r>
        <w:tab/>
        <w:t>Forms</w:t>
      </w:r>
      <w:r>
        <w:tab/>
      </w:r>
      <w:r>
        <w:fldChar w:fldCharType="begin"/>
      </w:r>
      <w:r>
        <w:instrText xml:space="preserve"> PAGEREF _Toc177052971 \h </w:instrText>
      </w:r>
      <w:r>
        <w:fldChar w:fldCharType="separate"/>
      </w:r>
      <w:r>
        <w:t>11</w:t>
      </w:r>
      <w:r>
        <w:fldChar w:fldCharType="end"/>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_Toc177052972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i/>
          <w:iCs/>
        </w:rPr>
        <w:t>Building Regulations 2012</w:t>
      </w:r>
      <w:r>
        <w:t xml:space="preserve"> amended</w:t>
      </w:r>
      <w:r>
        <w:tab/>
      </w:r>
      <w:r>
        <w:fldChar w:fldCharType="begin"/>
      </w:r>
      <w:r>
        <w:instrText xml:space="preserve"> PAGEREF _Toc177052973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62.</w:t>
      </w:r>
      <w:r>
        <w:rPr>
          <w:noProof/>
        </w:rPr>
        <w:tab/>
        <w:t>Requirement to maintain certain smoke alarms</w:t>
      </w:r>
      <w:r>
        <w:rPr>
          <w:noProof/>
        </w:rPr>
        <w:tab/>
      </w:r>
      <w:r>
        <w:rPr>
          <w:noProof/>
        </w:rPr>
        <w:fldChar w:fldCharType="begin"/>
      </w:r>
      <w:r>
        <w:rPr>
          <w:noProof/>
        </w:rPr>
        <w:instrText xml:space="preserve"> PAGEREF _Toc177052974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20.</w:t>
      </w:r>
      <w:r>
        <w:tab/>
      </w:r>
      <w:r>
        <w:rPr>
          <w:i/>
        </w:rPr>
        <w:t>Electricity Regulations 1947</w:t>
      </w:r>
      <w:r>
        <w:t xml:space="preserve"> amended</w:t>
      </w:r>
      <w:r>
        <w:tab/>
      </w:r>
      <w:r>
        <w:fldChar w:fldCharType="begin"/>
      </w:r>
      <w:r>
        <w:instrText xml:space="preserve"> PAGEREF _Toc177052975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_Toc177052981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2" w:name="_Toc177052955"/>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4" w:name="_Toc177052956"/>
      <w:r>
        <w:rPr>
          <w:rStyle w:val="CharSectno"/>
        </w:rPr>
        <w:t>2</w:t>
      </w:r>
      <w:r>
        <w:rPr>
          <w:spacing w:val="-2"/>
        </w:rPr>
        <w:t>.</w:t>
      </w:r>
      <w:r>
        <w:rPr>
          <w:spacing w:val="-2"/>
        </w:rPr>
        <w:tab/>
        <w:t>Commencement</w:t>
      </w:r>
      <w:bookmarkEnd w:id="4"/>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5" w:name="_Toc177052957"/>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6" w:name="_Toc177052958"/>
      <w:r>
        <w:rPr>
          <w:rStyle w:val="CharSectno"/>
        </w:rPr>
        <w:t>4</w:t>
      </w:r>
      <w:r>
        <w:t>.</w:t>
      </w:r>
      <w:r>
        <w:tab/>
        <w:t>Hosted accommodation</w:t>
      </w:r>
      <w:bookmarkEnd w:id="6"/>
    </w:p>
    <w:p>
      <w:pPr>
        <w:pStyle w:val="Subsection"/>
      </w:pPr>
      <w:r>
        <w:tab/>
        <w:t>(1)</w:t>
      </w:r>
      <w:r>
        <w:tab/>
        <w:t xml:space="preserve">In this regulation — </w:t>
      </w:r>
    </w:p>
    <w:p>
      <w:pPr>
        <w:pStyle w:val="Defstar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another dwelling that is comprised in the same title as the ancillary dwelling; or</w:t>
      </w:r>
    </w:p>
    <w:p>
      <w:pPr>
        <w:pStyle w:val="Indenti"/>
      </w:pPr>
      <w:r>
        <w:tab/>
        <w:t>(ii)</w:t>
      </w:r>
      <w:r>
        <w:tab/>
        <w:t>an agent of the accommodation provider who ordinarily resides at the ancillary dwelling, or at another dwelling that is comprised in the same title as the ancillary dwelling, resides at the other dwelling.</w:t>
      </w:r>
    </w:p>
    <w:p>
      <w:pPr>
        <w:pStyle w:val="Subsection"/>
      </w:pPr>
      <w:r>
        <w:tab/>
        <w:t>(2A)</w:t>
      </w:r>
      <w:r>
        <w:tab/>
        <w:t>Short</w:t>
      </w:r>
      <w:r>
        <w:noBreakHyphen/>
        <w:t xml:space="preserve">term rental accommodation is hosted accommodation if — </w:t>
      </w:r>
    </w:p>
    <w:p>
      <w:pPr>
        <w:pStyle w:val="Indenta"/>
      </w:pPr>
      <w:r>
        <w:tab/>
        <w:t>(a)</w:t>
      </w:r>
      <w:r>
        <w:tab/>
        <w:t>it is a dwelling that is comprised in the same title as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the ancillary dwelling; or</w:t>
      </w:r>
    </w:p>
    <w:p>
      <w:pPr>
        <w:pStyle w:val="Indenti"/>
      </w:pPr>
      <w:r>
        <w:tab/>
        <w:t>(ii)</w:t>
      </w:r>
      <w:r>
        <w:tab/>
        <w:t>an agent of the accommodation provider who ordinarily resides at the dwelling, or at the ancillary dwelling, resides at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pPr>
      <w:r>
        <w:tab/>
        <w:t>[Regulation 4 amended: SL 2024/189 r. 4.]</w:t>
      </w:r>
    </w:p>
    <w:p>
      <w:pPr>
        <w:pStyle w:val="Heading5"/>
      </w:pPr>
      <w:bookmarkStart w:id="7" w:name="_Toc177052959"/>
      <w:r>
        <w:rPr>
          <w:rStyle w:val="CharSectno"/>
        </w:rPr>
        <w:lastRenderedPageBreak/>
        <w:t>5</w:t>
      </w:r>
      <w:r>
        <w:t>.</w:t>
      </w:r>
      <w:r>
        <w:tab/>
        <w:t>Premises to which Act does not apply</w:t>
      </w:r>
      <w:bookmarkEnd w:id="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tourist and visitor accommodation;</w:t>
      </w:r>
    </w:p>
    <w:p>
      <w:pPr>
        <w:pStyle w:val="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p>
    <w:p>
      <w:pPr>
        <w:pStyle w:val="Footnotesection"/>
      </w:pPr>
      <w:r>
        <w:tab/>
        <w:t>[Regulation 5 amended: SL 2024/189 r. 5.]</w:t>
      </w:r>
    </w:p>
    <w:p>
      <w:pPr>
        <w:pStyle w:val="Heading5"/>
      </w:pPr>
      <w:bookmarkStart w:id="8" w:name="_Toc177052960"/>
      <w:r>
        <w:rPr>
          <w:rStyle w:val="CharSectno"/>
        </w:rPr>
        <w:t>6</w:t>
      </w:r>
      <w:r>
        <w:t>.</w:t>
      </w:r>
      <w:r>
        <w:tab/>
        <w:t>Information to be included in applications for registration</w:t>
      </w:r>
      <w:bookmarkEnd w:id="8"/>
    </w:p>
    <w:p>
      <w:pPr>
        <w:pStyle w:val="Subsection"/>
      </w:pPr>
      <w:r>
        <w:tab/>
      </w:r>
      <w:r>
        <w:tab/>
        <w:t>An application made under section 17 of the Act must include the information set out in regulation 10.</w:t>
      </w:r>
    </w:p>
    <w:p>
      <w:pPr>
        <w:pStyle w:val="Heading5"/>
      </w:pPr>
      <w:bookmarkStart w:id="9" w:name="_Toc177052961"/>
      <w:r>
        <w:rPr>
          <w:rStyle w:val="CharSectno"/>
        </w:rPr>
        <w:t>7</w:t>
      </w:r>
      <w:r>
        <w:t>.</w:t>
      </w:r>
      <w:r>
        <w:tab/>
        <w:t>Suspension or cancellation of registration</w:t>
      </w:r>
      <w:bookmarkEnd w:id="9"/>
    </w:p>
    <w:p>
      <w:pPr>
        <w:pStyle w:val="Subsection"/>
      </w:pPr>
      <w:r>
        <w:tab/>
        <w:t>(1)</w:t>
      </w:r>
      <w:r>
        <w:tab/>
        <w:t xml:space="preserve">The Commissioner may cancel or suspend the registration of residential premises under section 24(b) of the Act on the ground that the accommodation provider has contravened a </w:t>
      </w:r>
      <w:r>
        <w:lastRenderedPageBreak/>
        <w:t>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lastRenderedPageBreak/>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Merge w:val="restart"/>
            <w:vAlign w:val="center"/>
          </w:tcPr>
          <w:p>
            <w:pPr>
              <w:pStyle w:val="TableNAm"/>
            </w:pPr>
            <w:r>
              <w:rPr>
                <w:i/>
              </w:rPr>
              <w:t>Health (Miscellaneous Provisions) Act 1911</w:t>
            </w:r>
          </w:p>
        </w:tc>
        <w:tc>
          <w:tcPr>
            <w:tcW w:w="3034" w:type="dxa"/>
            <w:vAlign w:val="center"/>
          </w:tcPr>
          <w:p>
            <w:pPr>
              <w:pStyle w:val="TableNAm"/>
              <w:rPr>
                <w:i/>
                <w:iCs/>
              </w:rPr>
            </w:pPr>
            <w:r>
              <w:rPr>
                <w:i/>
                <w:iCs/>
              </w:rPr>
              <w:t>Fly Eradication Regulations</w:t>
            </w:r>
          </w:p>
        </w:tc>
      </w:tr>
      <w:tr>
        <w:tc>
          <w:tcPr>
            <w:tcW w:w="3033" w:type="dxa"/>
            <w:vMerge/>
            <w:vAlign w:val="center"/>
          </w:tcPr>
          <w:p>
            <w:pPr>
              <w:pStyle w:val="TableNAm"/>
              <w:rPr>
                <w:i/>
              </w:rPr>
            </w:pPr>
          </w:p>
        </w:tc>
        <w:tc>
          <w:tcPr>
            <w:tcW w:w="3034" w:type="dxa"/>
            <w:vAlign w:val="center"/>
          </w:tcPr>
          <w:p>
            <w:pPr>
              <w:pStyle w:val="TableNAm"/>
              <w:rPr>
                <w:b/>
                <w:bCs/>
                <w:i/>
                <w:iCs/>
                <w:sz w:val="20"/>
                <w:szCs w:val="16"/>
              </w:rPr>
            </w:pPr>
            <w:r>
              <w:rPr>
                <w:i/>
                <w:iCs/>
              </w:rPr>
              <w:t>Sewerage (Lighting, Ventilation and Construction) Regulations 1971</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Heading5"/>
      </w:pPr>
      <w:bookmarkStart w:id="10" w:name="_Toc177052962"/>
      <w:r>
        <w:rPr>
          <w:rStyle w:val="CharSectno"/>
        </w:rPr>
        <w:lastRenderedPageBreak/>
        <w:t>8</w:t>
      </w:r>
      <w:r>
        <w:t>.</w:t>
      </w:r>
      <w:r>
        <w:tab/>
        <w:t>Changes to be notified to Commissioner</w:t>
      </w:r>
      <w:bookmarkEnd w:id="10"/>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11" w:name="_Toc177052963"/>
      <w:r>
        <w:rPr>
          <w:rStyle w:val="CharSectno"/>
        </w:rPr>
        <w:t>9</w:t>
      </w:r>
      <w:r>
        <w:t>.</w:t>
      </w:r>
      <w:r>
        <w:tab/>
        <w:t>Certificate evidence</w:t>
      </w:r>
      <w:bookmarkEnd w:id="11"/>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12" w:name="_Toc177052964"/>
      <w:r>
        <w:rPr>
          <w:rStyle w:val="CharSectno"/>
        </w:rPr>
        <w:t>10</w:t>
      </w:r>
      <w:r>
        <w:t>.</w:t>
      </w:r>
      <w:r>
        <w:tab/>
        <w:t>Information to be included in Register</w:t>
      </w:r>
      <w:bookmarkEnd w:id="12"/>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 xml:space="preserve">laws </w:t>
      </w:r>
      <w:r>
        <w:lastRenderedPageBreak/>
        <w:t>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13" w:name="_Toc177052965"/>
      <w:r>
        <w:rPr>
          <w:rStyle w:val="CharSectno"/>
        </w:rPr>
        <w:t>11</w:t>
      </w:r>
      <w:r>
        <w:t>.</w:t>
      </w:r>
      <w:r>
        <w:tab/>
        <w:t>Disclosure of information: health and safety</w:t>
      </w:r>
      <w:bookmarkEnd w:id="13"/>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14" w:name="_Toc177052966"/>
      <w:r>
        <w:rPr>
          <w:rStyle w:val="CharSectno"/>
        </w:rPr>
        <w:lastRenderedPageBreak/>
        <w:t>12</w:t>
      </w:r>
      <w:r>
        <w:t>.</w:t>
      </w:r>
      <w:r>
        <w:tab/>
        <w:t>Disclosure of information: community titles schemes and strata titles schemes</w:t>
      </w:r>
      <w:bookmarkEnd w:id="14"/>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15" w:name="_Toc177052967"/>
      <w:r>
        <w:rPr>
          <w:rStyle w:val="CharSectno"/>
        </w:rPr>
        <w:t>13</w:t>
      </w:r>
      <w:r>
        <w:t>.</w:t>
      </w:r>
      <w:r>
        <w:tab/>
        <w:t>Particulars of short</w:t>
      </w:r>
      <w:r>
        <w:noBreakHyphen/>
        <w:t>term rental arrangements to be notified to Commissioner</w:t>
      </w:r>
      <w:bookmarkEnd w:id="15"/>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lastRenderedPageBreak/>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 xml:space="preserve">term rental arrangement is made in relation to a registered premises other than by means of an electronically integrated booking platform, </w:t>
      </w:r>
      <w:r>
        <w:lastRenderedPageBreak/>
        <w:t>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16" w:name="_Toc177052968"/>
      <w:r>
        <w:rPr>
          <w:rStyle w:val="CharSectno"/>
        </w:rPr>
        <w:t>14</w:t>
      </w:r>
      <w:r>
        <w:t>.</w:t>
      </w:r>
      <w:r>
        <w:tab/>
        <w:t>Fees</w:t>
      </w:r>
      <w:bookmarkEnd w:id="16"/>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17" w:name="_Toc177052969"/>
      <w:r>
        <w:rPr>
          <w:rStyle w:val="CharSectno"/>
        </w:rPr>
        <w:lastRenderedPageBreak/>
        <w:t>15</w:t>
      </w:r>
      <w:r>
        <w:t>.</w:t>
      </w:r>
      <w:r>
        <w:tab/>
        <w:t>Prescribed offences and modified penalties</w:t>
      </w:r>
      <w:bookmarkEnd w:id="17"/>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18" w:name="_Toc177052970"/>
      <w:r>
        <w:rPr>
          <w:rStyle w:val="CharSectno"/>
        </w:rPr>
        <w:t>16</w:t>
      </w:r>
      <w:r>
        <w:t>.</w:t>
      </w:r>
      <w:r>
        <w:tab/>
        <w:t>Authorised officers and approved officers</w:t>
      </w:r>
      <w:bookmarkEnd w:id="18"/>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19" w:name="_Toc177052971"/>
      <w:r>
        <w:rPr>
          <w:rStyle w:val="CharSectno"/>
        </w:rPr>
        <w:t>17</w:t>
      </w:r>
      <w:r>
        <w:t>.</w:t>
      </w:r>
      <w:r>
        <w:tab/>
        <w:t>Forms</w:t>
      </w:r>
      <w:bookmarkEnd w:id="19"/>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20" w:name="_Toc177052972"/>
      <w:r>
        <w:rPr>
          <w:rStyle w:val="CharSectno"/>
        </w:rPr>
        <w:t>18</w:t>
      </w:r>
      <w:r>
        <w:t>.</w:t>
      </w:r>
      <w:r>
        <w:tab/>
        <w:t>Transitional provision</w:t>
      </w:r>
      <w:bookmarkEnd w:id="20"/>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ending on 1 December 2024.</w:t>
      </w:r>
    </w:p>
    <w:p>
      <w:pPr>
        <w:pStyle w:val="Subsection"/>
      </w:pPr>
      <w:r>
        <w:lastRenderedPageBreak/>
        <w:tab/>
        <w:t>(2)</w:t>
      </w:r>
      <w:r>
        <w:tab/>
        <w:t>The Commissioner may waive, in whole or in part, the application fee in respect of an application made during the fee waiver period.</w:t>
      </w:r>
    </w:p>
    <w:p>
      <w:pPr>
        <w:pStyle w:val="Footnotesection"/>
      </w:pPr>
      <w:r>
        <w:tab/>
        <w:t>[Regulation 18 amended: SL 2024/189 r. 6.]</w:t>
      </w:r>
    </w:p>
    <w:p>
      <w:pPr>
        <w:pStyle w:val="Heading5"/>
      </w:pPr>
      <w:bookmarkStart w:id="21" w:name="_Toc177052973"/>
      <w:r>
        <w:rPr>
          <w:rStyle w:val="CharSectno"/>
        </w:rPr>
        <w:t>19</w:t>
      </w:r>
      <w:r>
        <w:t>.</w:t>
      </w:r>
      <w:r>
        <w:tab/>
      </w:r>
      <w:r>
        <w:rPr>
          <w:i/>
          <w:iCs/>
        </w:rPr>
        <w:t>Building Regulations 2012</w:t>
      </w:r>
      <w:r>
        <w:t xml:space="preserve"> amended</w:t>
      </w:r>
      <w:bookmarkEnd w:id="21"/>
    </w:p>
    <w:p>
      <w:pPr>
        <w:pStyle w:val="Subsection"/>
      </w:pPr>
      <w:r>
        <w:tab/>
        <w:t>(1)</w:t>
      </w:r>
      <w:r>
        <w:tab/>
        <w:t xml:space="preserve">This regulation amends the </w:t>
      </w:r>
      <w:r>
        <w:rPr>
          <w:i/>
        </w:rPr>
        <w:t>Building Regulations 2012</w:t>
      </w:r>
      <w:r>
        <w:t>.</w:t>
      </w:r>
    </w:p>
    <w:p>
      <w:pPr>
        <w:pStyle w:val="Subsection"/>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tab/>
        <w:t>(8)</w:t>
      </w:r>
      <w:r>
        <w:tab/>
        <w:t>Delete regulation 62 and insert:</w:t>
      </w:r>
    </w:p>
    <w:p>
      <w:pPr>
        <w:pStyle w:val="BlankOpen"/>
      </w:pPr>
    </w:p>
    <w:p>
      <w:pPr>
        <w:pStyle w:val="zHeading5"/>
      </w:pPr>
      <w:bookmarkStart w:id="22" w:name="_Toc177052974"/>
      <w:r>
        <w:t>62.</w:t>
      </w:r>
      <w:r>
        <w:tab/>
        <w:t>Requirement to maintain certain smoke alarms</w:t>
      </w:r>
      <w:bookmarkEnd w:id="22"/>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lastRenderedPageBreak/>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If an expiry date is provided on a smoke alarm installed in the dwelling, the lessor or owner must, to the extent 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23" w:name="_Toc177052975"/>
      <w:r>
        <w:rPr>
          <w:rStyle w:val="CharSectno"/>
        </w:rPr>
        <w:lastRenderedPageBreak/>
        <w:t>20</w:t>
      </w:r>
      <w:r>
        <w:t>.</w:t>
      </w:r>
      <w:r>
        <w:tab/>
      </w:r>
      <w:r>
        <w:rPr>
          <w:i/>
        </w:rPr>
        <w:t>Electricity Regulations 1947</w:t>
      </w:r>
      <w:r>
        <w:t xml:space="preserve"> amended</w:t>
      </w:r>
      <w:bookmarkEnd w:id="23"/>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7040237"/>
      <w:bookmarkStart w:id="25" w:name="_Toc177041739"/>
      <w:bookmarkStart w:id="26" w:name="_Toc177045813"/>
      <w:bookmarkStart w:id="27" w:name="_Toc177052976"/>
      <w:r>
        <w:rPr>
          <w:rStyle w:val="CharSchNo"/>
        </w:rPr>
        <w:lastRenderedPageBreak/>
        <w:t>Schedule 1</w:t>
      </w:r>
      <w:r>
        <w:t> — </w:t>
      </w:r>
      <w:r>
        <w:rPr>
          <w:rStyle w:val="CharSchText"/>
        </w:rPr>
        <w:t>Prescribed offences and modified penalties</w:t>
      </w:r>
      <w:bookmarkEnd w:id="24"/>
      <w:bookmarkEnd w:id="25"/>
      <w:bookmarkEnd w:id="26"/>
      <w:bookmarkEnd w:id="27"/>
    </w:p>
    <w:p>
      <w:pPr>
        <w:pStyle w:val="yShoulderClause"/>
      </w:pPr>
      <w:r>
        <w:t>[r. 15(1) and (2)]</w:t>
      </w:r>
    </w:p>
    <w:p>
      <w:pPr>
        <w:pStyle w:val="yHeading3"/>
      </w:pPr>
      <w:bookmarkStart w:id="28" w:name="_Toc177040238"/>
      <w:bookmarkStart w:id="29" w:name="_Toc177041740"/>
      <w:bookmarkStart w:id="30" w:name="_Toc177045814"/>
      <w:bookmarkStart w:id="31" w:name="_Toc177052977"/>
      <w:r>
        <w:rPr>
          <w:rStyle w:val="CharSDivNo"/>
        </w:rPr>
        <w:t>Division 1</w:t>
      </w:r>
      <w:r>
        <w:rPr>
          <w:rStyle w:val="CharSClsNo"/>
        </w:rPr>
        <w:t> </w:t>
      </w:r>
      <w:r>
        <w:t>—</w:t>
      </w:r>
      <w:r>
        <w:rPr>
          <w:rStyle w:val="CharSClsNo"/>
        </w:rPr>
        <w:t> </w:t>
      </w:r>
      <w:r>
        <w:rPr>
          <w:rStyle w:val="CharSDivText"/>
        </w:rPr>
        <w:t>Offences under Act</w:t>
      </w:r>
      <w:bookmarkEnd w:id="28"/>
      <w:bookmarkEnd w:id="29"/>
      <w:bookmarkEnd w:id="30"/>
      <w:bookmarkEnd w:id="31"/>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spacing w:after="120"/>
            </w:pPr>
            <w:r>
              <w:t>s. 9</w:t>
            </w:r>
          </w:p>
        </w:tc>
        <w:tc>
          <w:tcPr>
            <w:tcW w:w="3260" w:type="dxa"/>
            <w:noWrap/>
            <w:vAlign w:val="center"/>
          </w:tcPr>
          <w:p>
            <w:pPr>
              <w:pStyle w:val="yTableNAm"/>
              <w:spacing w:after="120"/>
            </w:pPr>
            <w:r>
              <w:t>Entering into, or seeking to enter into, short</w:t>
            </w:r>
            <w:r>
              <w:noBreakHyphen/>
              <w:t>term rental arrangement for unregistered premises</w:t>
            </w:r>
          </w:p>
        </w:tc>
        <w:tc>
          <w:tcPr>
            <w:tcW w:w="2410" w:type="dxa"/>
            <w:noWrap/>
          </w:tcPr>
          <w:p>
            <w:pPr>
              <w:pStyle w:val="yTableNAm"/>
              <w:spacing w:after="120"/>
              <w:jc w:val="center"/>
            </w:pPr>
            <w:r>
              <w:t>For entering into a short</w:t>
            </w:r>
            <w:r>
              <w:noBreakHyphen/>
              <w:t>term rental arrangement — $2 000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16(2)</w:t>
            </w:r>
          </w:p>
        </w:tc>
        <w:tc>
          <w:tcPr>
            <w:tcW w:w="3260" w:type="dxa"/>
            <w:noWrap/>
            <w:vAlign w:val="center"/>
          </w:tcPr>
          <w:p>
            <w:pPr>
              <w:pStyle w:val="yTableNAm"/>
              <w:spacing w:after="120"/>
            </w:pPr>
            <w:r>
              <w:t>Display of false registration number for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Heading3"/>
      </w:pPr>
      <w:bookmarkStart w:id="32" w:name="_Toc177040239"/>
      <w:bookmarkStart w:id="33" w:name="_Toc177041741"/>
      <w:bookmarkStart w:id="34" w:name="_Toc177045815"/>
      <w:bookmarkStart w:id="35" w:name="_Toc177052978"/>
      <w:r>
        <w:rPr>
          <w:rStyle w:val="CharSDivNo"/>
        </w:rPr>
        <w:lastRenderedPageBreak/>
        <w:t>Division 2</w:t>
      </w:r>
      <w:r>
        <w:t> — </w:t>
      </w:r>
      <w:r>
        <w:rPr>
          <w:rStyle w:val="CharSDivText"/>
        </w:rPr>
        <w:t>Offences under regulations</w:t>
      </w:r>
      <w:bookmarkEnd w:id="32"/>
      <w:bookmarkEnd w:id="33"/>
      <w:bookmarkEnd w:id="34"/>
      <w:bookmarkEnd w:id="35"/>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36" w:name="_Toc177040240"/>
      <w:bookmarkStart w:id="37" w:name="_Toc177041742"/>
      <w:bookmarkStart w:id="38" w:name="_Toc177045816"/>
      <w:bookmarkStart w:id="39" w:name="_Toc177052979"/>
      <w:r>
        <w:rPr>
          <w:rStyle w:val="CharSchNo"/>
        </w:rPr>
        <w:lastRenderedPageBreak/>
        <w:t>Schedule 2</w:t>
      </w:r>
      <w:r>
        <w:rPr>
          <w:rStyle w:val="CharSDivNo"/>
        </w:rPr>
        <w:t> </w:t>
      </w:r>
      <w:r>
        <w:t>—</w:t>
      </w:r>
      <w:r>
        <w:rPr>
          <w:rStyle w:val="CharSDivText"/>
        </w:rPr>
        <w:t> </w:t>
      </w:r>
      <w:r>
        <w:rPr>
          <w:rStyle w:val="CharSchText"/>
        </w:rPr>
        <w:t>Forms</w:t>
      </w:r>
      <w:bookmarkEnd w:id="36"/>
      <w:bookmarkEnd w:id="37"/>
      <w:bookmarkEnd w:id="38"/>
      <w:bookmarkEnd w:id="39"/>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lastRenderedPageBreak/>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lastRenderedPageBreak/>
              <w:t>[*Delete whichever is not applicable]</w:t>
            </w:r>
          </w:p>
        </w:tc>
        <w:tc>
          <w:tcPr>
            <w:tcW w:w="5245" w:type="dxa"/>
            <w:gridSpan w:val="5"/>
            <w:tcBorders>
              <w:top w:val="single" w:sz="4" w:space="0" w:color="auto"/>
              <w:bottom w:val="nil"/>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lastRenderedPageBreak/>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1" w:name="_Toc177040241"/>
      <w:bookmarkStart w:id="42" w:name="_Toc177041743"/>
      <w:bookmarkStart w:id="43" w:name="_Toc177045817"/>
      <w:bookmarkStart w:id="44" w:name="_Toc177052980"/>
      <w:r>
        <w:lastRenderedPageBreak/>
        <w:t>Notes</w:t>
      </w:r>
      <w:bookmarkEnd w:id="41"/>
      <w:bookmarkEnd w:id="42"/>
      <w:bookmarkEnd w:id="43"/>
      <w:bookmarkEnd w:id="44"/>
    </w:p>
    <w:p>
      <w:pPr>
        <w:pStyle w:val="nStatement"/>
      </w:pPr>
      <w:r>
        <w:t xml:space="preserve">This is a compilation of the </w:t>
      </w:r>
      <w:r>
        <w:rPr>
          <w:i/>
          <w:noProof/>
        </w:rPr>
        <w:t>Short-Term Rental Accommodation Regulations 2024</w:t>
      </w:r>
      <w:r>
        <w:t xml:space="preserve"> and includes amendments made by other written laws. For provisions that have come into operation see the compilation table.</w:t>
      </w:r>
    </w:p>
    <w:p>
      <w:pPr>
        <w:pStyle w:val="nHeading3"/>
      </w:pPr>
      <w:bookmarkStart w:id="45" w:name="_Toc177052981"/>
      <w:r>
        <w:t>Compilation table</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r>
        <w:tc>
          <w:tcPr>
            <w:tcW w:w="3118" w:type="dxa"/>
            <w:tcBorders>
              <w:top w:val="nil"/>
            </w:tcBorders>
          </w:tcPr>
          <w:p>
            <w:pPr>
              <w:pStyle w:val="nTable"/>
              <w:spacing w:after="40"/>
              <w:rPr>
                <w:i/>
                <w:noProof/>
              </w:rPr>
            </w:pPr>
            <w:r>
              <w:rPr>
                <w:i/>
                <w:noProof/>
              </w:rPr>
              <w:t xml:space="preserve">Short-Term Rental Accommodation Amendment Regulations 2024 </w:t>
            </w:r>
          </w:p>
        </w:tc>
        <w:tc>
          <w:tcPr>
            <w:tcW w:w="1276" w:type="dxa"/>
            <w:tcBorders>
              <w:top w:val="nil"/>
            </w:tcBorders>
          </w:tcPr>
          <w:p>
            <w:pPr>
              <w:pStyle w:val="nTable"/>
              <w:spacing w:after="40"/>
            </w:pPr>
            <w:r>
              <w:t>SL 2024/189 18 Sep 2024</w:t>
            </w:r>
          </w:p>
        </w:tc>
        <w:tc>
          <w:tcPr>
            <w:tcW w:w="2693" w:type="dxa"/>
            <w:tcBorders>
              <w:top w:val="nil"/>
            </w:tcBorders>
          </w:tcPr>
          <w:p>
            <w:pPr>
              <w:pStyle w:val="nTable"/>
              <w:spacing w:after="40"/>
            </w:pPr>
            <w:r>
              <w:rPr>
                <w:snapToGrid w:val="0"/>
              </w:rPr>
              <w:t>r. 1 and 2: 18 Sep 2024 (see r. 2(a));</w:t>
            </w:r>
            <w:r>
              <w:rPr>
                <w:snapToGrid w:val="0"/>
              </w:rPr>
              <w:br/>
              <w:t>Regulations other than r. 1 and 2: 19 Sep 2024 (see r. 2(b) and SL 2024/194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7" w:name="_Toc177052982"/>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ancillary dwelling</w:t>
      </w:r>
      <w:r>
        <w:tab/>
        <w:t>4(1)</w:t>
      </w:r>
    </w:p>
    <w:p>
      <w:pPr>
        <w:pStyle w:val="DefinedTerms"/>
      </w:pPr>
      <w:r>
        <w:t>API</w:t>
      </w:r>
      <w:r>
        <w:tab/>
        <w:t>13(1)</w:t>
      </w:r>
    </w:p>
    <w:p>
      <w:pPr>
        <w:pStyle w:val="DefinedTerms"/>
      </w:pPr>
      <w:r>
        <w:t>application fee</w:t>
      </w:r>
      <w:r>
        <w:tab/>
        <w:t>14(1), 18(1)</w:t>
      </w:r>
    </w:p>
    <w:p>
      <w:pPr>
        <w:pStyle w:val="DefinedTerms"/>
      </w:pPr>
      <w:r>
        <w:t>application programming interface</w:t>
      </w:r>
      <w:r>
        <w:tab/>
        <w:t>13(1)</w:t>
      </w:r>
    </w:p>
    <w:p>
      <w:pPr>
        <w:pStyle w:val="DefinedTerms"/>
      </w:pPr>
      <w:r>
        <w:t>approved form</w:t>
      </w:r>
      <w:r>
        <w:tab/>
        <w:t>9(1)</w:t>
      </w:r>
    </w:p>
    <w:p>
      <w:pPr>
        <w:pStyle w:val="DefinedTerms"/>
      </w:pPr>
      <w:r>
        <w:t>commencement day</w:t>
      </w:r>
      <w:r>
        <w:tab/>
        <w:t>5(1)</w:t>
      </w:r>
    </w:p>
    <w:p>
      <w:pPr>
        <w:pStyle w:val="DefinedTerms"/>
      </w:pPr>
      <w:r>
        <w:t>community titles scheme</w:t>
      </w:r>
      <w:r>
        <w:tab/>
        <w:t>3</w:t>
      </w:r>
    </w:p>
    <w:p>
      <w:pPr>
        <w:pStyle w:val="DefinedTerms"/>
      </w:pPr>
      <w:r>
        <w:t>dwelling</w:t>
      </w:r>
      <w:r>
        <w:tab/>
        <w:t>4(1)</w:t>
      </w:r>
    </w:p>
    <w:p>
      <w:pPr>
        <w:pStyle w:val="DefinedTerms"/>
      </w:pPr>
      <w:r>
        <w:t>electronically integrated</w:t>
      </w:r>
      <w:r>
        <w:tab/>
        <w:t>13(2)</w:t>
      </w:r>
    </w:p>
    <w:p>
      <w:pPr>
        <w:pStyle w:val="DefinedTerms"/>
      </w:pPr>
      <w:r>
        <w:t>fee waiver period</w:t>
      </w:r>
      <w:r>
        <w:tab/>
        <w:t>18(1)</w:t>
      </w:r>
    </w:p>
    <w:p>
      <w:pPr>
        <w:pStyle w:val="DefinedTerms"/>
      </w:pPr>
      <w:r>
        <w:t>notifiable particulars</w:t>
      </w:r>
      <w:r>
        <w:tab/>
        <w:t>13(1)</w:t>
      </w:r>
    </w:p>
    <w:p>
      <w:pPr>
        <w:pStyle w:val="DefinedTerms"/>
      </w:pPr>
      <w:r>
        <w:t>R-Codes</w:t>
      </w:r>
      <w:r>
        <w:tab/>
        <w:t>4(1)</w:t>
      </w:r>
    </w:p>
    <w:p>
      <w:pPr>
        <w:pStyle w:val="DefinedTerms"/>
      </w:pPr>
      <w:r>
        <w:t>renewal fee</w:t>
      </w:r>
      <w:r>
        <w:tab/>
        <w:t>14(1)</w:t>
      </w:r>
    </w:p>
    <w:p>
      <w:pPr>
        <w:pStyle w:val="DefinedTerms"/>
      </w:pPr>
      <w:r>
        <w:t>scheme corporation</w:t>
      </w:r>
      <w:r>
        <w:tab/>
        <w:t>12(1)</w:t>
      </w:r>
    </w:p>
    <w:p>
      <w:pPr>
        <w:pStyle w:val="DefinedTerms"/>
      </w:pPr>
      <w:r>
        <w:t>strata titles scheme</w:t>
      </w:r>
      <w:r>
        <w:tab/>
        <w:t>3</w:t>
      </w:r>
    </w:p>
    <w:p>
      <w:pPr>
        <w:pStyle w:val="DefinedTerms"/>
      </w:pPr>
      <w:r>
        <w:t>title</w:t>
      </w:r>
      <w:r>
        <w:tab/>
        <w:t>4(1)</w:t>
      </w:r>
    </w:p>
    <w:p>
      <w:pPr>
        <w:pStyle w:val="DefinedTerms"/>
      </w:pPr>
      <w:r>
        <w:t>tourist and visitor accommodation</w:t>
      </w:r>
      <w:r>
        <w:tab/>
        <w:t>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 w:name="DefinedTerms"/>
    <w:bookmarkEnd w:id="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90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213284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4055</Words>
  <Characters>21293</Characters>
  <Application>Microsoft Office Word</Application>
  <DocSecurity>0</DocSecurity>
  <Lines>887</Lines>
  <Paragraphs>478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2024 - 00-b0-00</dc:title>
  <dc:subject/>
  <dc:creator/>
  <cp:keywords/>
  <dc:description/>
  <cp:lastModifiedBy>Master Repository Process</cp:lastModifiedBy>
  <cp:revision>4</cp:revision>
  <cp:lastPrinted>2024-05-02T06:58:00Z</cp:lastPrinted>
  <dcterms:created xsi:type="dcterms:W3CDTF">2025-07-02T03:25:00Z</dcterms:created>
  <dcterms:modified xsi:type="dcterms:W3CDTF">2025-07-02T03:25:00Z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AsAtDate">
    <vt:lpwstr>19 Sep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20240919</vt:lpwstr>
  </property>
  <property fmtid="{D5CDD505-2E9C-101B-9397-08002B2CF9AE}" pid="8" name="CommencementAsAt">
    <vt:filetime>2024-09-18T16:00:00Z</vt:filetime>
  </property>
  <property fmtid="{D5CDD505-2E9C-101B-9397-08002B2CF9AE}" pid="9" name="CommencementYear">
    <vt:lpwstr>2024</vt:lpwstr>
  </property>
</Properties>
</file>