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_Toc177051679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_Toc177051680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_Toc177051681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_Toc177051682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_Toc177051683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_Toc177051684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_Toc177051688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_Toc177051689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2" w:name="_Toc177051679"/>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17705168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4" w:name="_Toc177051681"/>
      <w:r>
        <w:rPr>
          <w:rStyle w:val="CharSectno"/>
        </w:rPr>
        <w:t>3A</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5" w:name="_Toc177051682"/>
      <w:r>
        <w:rPr>
          <w:rStyle w:val="CharSectno"/>
        </w:rPr>
        <w:t>3</w:t>
      </w:r>
      <w:r>
        <w:rPr>
          <w:snapToGrid w:val="0"/>
        </w:rPr>
        <w:t>.</w:t>
      </w:r>
      <w:r>
        <w:rPr>
          <w:snapToGrid w:val="0"/>
        </w:rPr>
        <w:tab/>
        <w:t>Modified penalties</w:t>
      </w:r>
      <w:bookmarkEnd w:id="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6" w:name="_Toc177051683"/>
      <w:r>
        <w:rPr>
          <w:rStyle w:val="CharSectno"/>
        </w:rPr>
        <w:lastRenderedPageBreak/>
        <w:t>4</w:t>
      </w:r>
      <w:r>
        <w:rPr>
          <w:snapToGrid w:val="0"/>
        </w:rPr>
        <w:t>.</w:t>
      </w:r>
      <w:r>
        <w:rPr>
          <w:snapToGrid w:val="0"/>
        </w:rPr>
        <w:tab/>
        <w:t>Forms</w:t>
      </w:r>
      <w:bookmarkEnd w:id="6"/>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7" w:name="_Toc177051684"/>
      <w:r>
        <w:rPr>
          <w:rStyle w:val="CharSectno"/>
        </w:rPr>
        <w:t>5</w:t>
      </w:r>
      <w:r>
        <w:rPr>
          <w:snapToGrid w:val="0"/>
        </w:rPr>
        <w:t>.</w:t>
      </w:r>
      <w:r>
        <w:rPr>
          <w:snapToGrid w:val="0"/>
        </w:rPr>
        <w:tab/>
        <w:t>Offence of unauthorised endorsement or alteration of infringement notices</w:t>
      </w:r>
      <w:bookmarkEnd w:id="7"/>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8" w:name="endcomma"/>
      <w:bookmarkEnd w:id="8"/>
      <w:r>
        <w:t xml:space="preserve"> </w:t>
      </w:r>
      <w:bookmarkStart w:id="9" w:name="comma"/>
      <w:bookmarkEnd w:id="9"/>
      <w:r>
        <w:t>have the respective meanings given to them by section 132(11) of the Act.</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 w:name="_Toc177045043"/>
      <w:bookmarkStart w:id="11" w:name="_Toc177045673"/>
      <w:bookmarkStart w:id="12" w:name="_Toc177045725"/>
      <w:bookmarkStart w:id="13" w:name="_Toc177051685"/>
      <w:r>
        <w:rPr>
          <w:rStyle w:val="CharSchNo"/>
        </w:rPr>
        <w:lastRenderedPageBreak/>
        <w:t>Schedule 1</w:t>
      </w:r>
      <w:r>
        <w:t> — </w:t>
      </w:r>
      <w:r>
        <w:rPr>
          <w:rStyle w:val="CharSchText"/>
        </w:rPr>
        <w:t>Modified penalties</w:t>
      </w:r>
      <w:bookmarkEnd w:id="10"/>
      <w:bookmarkEnd w:id="11"/>
      <w:bookmarkEnd w:id="12"/>
      <w:bookmarkEnd w:id="13"/>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 xml:space="preserve">Navigable Waters </w:t>
            </w:r>
            <w:r>
              <w:rPr>
                <w:rFonts w:ascii="Times New Roman Bold" w:hAnsi="Times New Roman Bold"/>
                <w:b/>
                <w:i/>
                <w:spacing w:val="-6"/>
                <w:sz w:val="18"/>
              </w:rPr>
              <w:t>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lastRenderedPageBreak/>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lastRenderedPageBreak/>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883"/>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holding a recreational skipper’s ticket and driving at not more than 8 knots and during the daytime; or</w:t>
            </w:r>
          </w:p>
          <w:p>
            <w:pPr>
              <w:pStyle w:val="yTable"/>
              <w:tabs>
                <w:tab w:val="left" w:pos="317"/>
                <w:tab w:val="right" w:leader="dot" w:pos="4111"/>
              </w:tabs>
              <w:spacing w:before="80"/>
              <w:ind w:left="742" w:hanging="884"/>
              <w:rPr>
                <w:sz w:val="18"/>
              </w:rPr>
            </w:pPr>
            <w:r>
              <w:rPr>
                <w:sz w:val="18"/>
              </w:rPr>
              <w:tab/>
              <w:t>(b)</w:t>
            </w:r>
            <w:r>
              <w:rPr>
                <w:sz w:val="18"/>
              </w:rPr>
              <w:tab/>
              <w:t>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ind w:left="56" w:right="104"/>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23H</w:t>
            </w:r>
          </w:p>
        </w:tc>
        <w:tc>
          <w:tcPr>
            <w:tcW w:w="1383" w:type="dxa"/>
          </w:tcPr>
          <w:p>
            <w:pPr>
              <w:pStyle w:val="yTable"/>
              <w:spacing w:before="80" w:after="20"/>
              <w:rPr>
                <w:sz w:val="18"/>
              </w:rPr>
            </w:pPr>
            <w:r>
              <w:rPr>
                <w:sz w:val="18"/>
              </w:rP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w:t>
            </w:r>
            <w:r>
              <w:rPr>
                <w:sz w:val="18"/>
              </w:rPr>
              <w:tab/>
            </w:r>
          </w:p>
        </w:tc>
        <w:tc>
          <w:tcPr>
            <w:tcW w:w="977" w:type="dxa"/>
            <w:tcMar>
              <w:bottom w:w="57" w:type="dxa"/>
            </w:tcMar>
            <w:vAlign w:val="bottom"/>
          </w:tcPr>
          <w:p>
            <w:pPr>
              <w:pStyle w:val="yTable"/>
              <w:spacing w:before="80" w:after="2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 xml:space="preserve">sailing in or through mooring </w:t>
            </w:r>
            <w:r>
              <w:rPr>
                <w:sz w:val="18"/>
              </w:rPr>
              <w:br/>
              <w:t>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lastRenderedPageBreak/>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underway</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w:t>
            </w:r>
            <w:r>
              <w:rPr>
                <w:snapToGrid w:val="0"/>
                <w:sz w:val="18"/>
                <w:szCs w:val="18"/>
              </w:rPr>
              <w:br/>
              <w:t>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lastRenderedPageBreak/>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w:t>
            </w:r>
            <w:r>
              <w:rPr>
                <w:sz w:val="18"/>
              </w:rPr>
              <w:br/>
              <w:t>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50(1)</w:t>
            </w:r>
          </w:p>
        </w:tc>
        <w:tc>
          <w:tcPr>
            <w:tcW w:w="4111" w:type="dxa"/>
          </w:tcPr>
          <w:p>
            <w:pPr>
              <w:pStyle w:val="yTable"/>
              <w:tabs>
                <w:tab w:val="right" w:leader="dot" w:pos="4111"/>
              </w:tabs>
              <w:spacing w:before="80"/>
              <w:ind w:left="68"/>
              <w:rPr>
                <w:sz w:val="18"/>
              </w:rPr>
            </w:pPr>
            <w:r>
              <w:rPr>
                <w:sz w:val="18"/>
              </w:rPr>
              <w:t xml:space="preserve">Driving motor boat towing water skier between sunset and 8 am on Swan River or between sunset and 9 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38C</w:t>
            </w:r>
          </w:p>
        </w:tc>
        <w:tc>
          <w:tcPr>
            <w:tcW w:w="1383" w:type="dxa"/>
          </w:tcPr>
          <w:p>
            <w:pPr>
              <w:pStyle w:val="yTable"/>
              <w:spacing w:before="80"/>
              <w:ind w:left="88" w:right="70"/>
              <w:rPr>
                <w:sz w:val="18"/>
              </w:rPr>
            </w:pPr>
            <w:r>
              <w:rPr>
                <w:sz w:val="18"/>
              </w:rPr>
              <w:t xml:space="preserve">50B(3) and (4) </w:t>
            </w:r>
            <w:r>
              <w:rPr>
                <w:spacing w:val="-4"/>
                <w:sz w:val="18"/>
              </w:rPr>
              <w:t>(as read with (8))</w:t>
            </w:r>
          </w:p>
        </w:tc>
        <w:tc>
          <w:tcPr>
            <w:tcW w:w="4111" w:type="dxa"/>
          </w:tcPr>
          <w:p>
            <w:pPr>
              <w:pStyle w:val="yTable"/>
              <w:tabs>
                <w:tab w:val="right" w:leader="dot" w:pos="4111"/>
              </w:tabs>
              <w:spacing w:before="80"/>
              <w:ind w:left="68"/>
              <w:rPr>
                <w:snapToGrid w:val="0"/>
                <w:sz w:val="18"/>
                <w:szCs w:val="18"/>
              </w:rPr>
            </w:pPr>
            <w:r>
              <w:rPr>
                <w:sz w:val="18"/>
              </w:rPr>
              <w:t>Person over 12 years failing to wear appropriate lifejacket</w:t>
            </w:r>
            <w:r>
              <w:rPr>
                <w:sz w:val="18"/>
              </w:rPr>
              <w:tab/>
            </w:r>
          </w:p>
        </w:tc>
        <w:tc>
          <w:tcPr>
            <w:tcW w:w="977" w:type="dxa"/>
            <w:tcMar>
              <w:bottom w:w="57" w:type="dxa"/>
            </w:tcMar>
            <w:vAlign w:val="bottom"/>
          </w:tcPr>
          <w:p>
            <w:pPr>
              <w:pStyle w:val="yTable"/>
              <w:spacing w:before="80"/>
              <w:ind w:left="82" w:right="88"/>
              <w:jc w:val="center"/>
              <w:rPr>
                <w:sz w:val="18"/>
              </w:rPr>
            </w:pPr>
            <w:r>
              <w:rPr>
                <w:sz w:val="18"/>
                <w:szCs w:val="18"/>
              </w:rPr>
              <w:t>200</w:t>
            </w:r>
          </w:p>
        </w:tc>
      </w:tr>
      <w:tr>
        <w:tc>
          <w:tcPr>
            <w:tcW w:w="602" w:type="dxa"/>
            <w:tcMar>
              <w:left w:w="40" w:type="dxa"/>
              <w:right w:w="0" w:type="dxa"/>
            </w:tcMar>
          </w:tcPr>
          <w:p>
            <w:pPr>
              <w:pStyle w:val="yTable"/>
              <w:spacing w:before="80"/>
              <w:ind w:left="56" w:right="104"/>
              <w:rPr>
                <w:sz w:val="18"/>
              </w:rPr>
            </w:pPr>
            <w:r>
              <w:rPr>
                <w:sz w:val="18"/>
              </w:rPr>
              <w:t>38D</w:t>
            </w:r>
          </w:p>
        </w:tc>
        <w:tc>
          <w:tcPr>
            <w:tcW w:w="1383" w:type="dxa"/>
          </w:tcPr>
          <w:p>
            <w:pPr>
              <w:pStyle w:val="yTable"/>
              <w:spacing w:before="80"/>
              <w:ind w:left="88" w:right="70"/>
              <w:rPr>
                <w:sz w:val="18"/>
              </w:rPr>
            </w:pPr>
            <w:r>
              <w:rPr>
                <w:sz w:val="18"/>
              </w:rPr>
              <w:t>50B(5) (as read with (8))</w:t>
            </w:r>
          </w:p>
        </w:tc>
        <w:tc>
          <w:tcPr>
            <w:tcW w:w="4111" w:type="dxa"/>
          </w:tcPr>
          <w:p>
            <w:pPr>
              <w:pStyle w:val="yTable"/>
              <w:tabs>
                <w:tab w:val="right" w:leader="dot" w:pos="4111"/>
              </w:tabs>
              <w:spacing w:before="80"/>
              <w:ind w:left="68"/>
              <w:rPr>
                <w:snapToGrid w:val="0"/>
                <w:sz w:val="18"/>
                <w:szCs w:val="18"/>
              </w:rPr>
            </w:pPr>
            <w:r>
              <w:rPr>
                <w:sz w:val="18"/>
              </w:rPr>
              <w:t>Person over 12 years required to wear appropriate lifejacket failing to produce the lifejacket they are wearing to officer of Department on demand</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38E</w:t>
            </w:r>
          </w:p>
        </w:tc>
        <w:tc>
          <w:tcPr>
            <w:tcW w:w="1383" w:type="dxa"/>
          </w:tcPr>
          <w:p>
            <w:pPr>
              <w:pStyle w:val="yTable"/>
              <w:spacing w:before="80"/>
              <w:ind w:left="88" w:right="70"/>
              <w:rPr>
                <w:sz w:val="18"/>
              </w:rPr>
            </w:pPr>
            <w:r>
              <w:rPr>
                <w:sz w:val="18"/>
              </w:rPr>
              <w:t>50B(6)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or person in charge of a vessel failing to ensure that an appropriate lifejacket is worn by a person on the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38F</w:t>
            </w:r>
          </w:p>
        </w:tc>
        <w:tc>
          <w:tcPr>
            <w:tcW w:w="1383" w:type="dxa"/>
          </w:tcPr>
          <w:p>
            <w:pPr>
              <w:pStyle w:val="yTable"/>
              <w:spacing w:before="80"/>
              <w:ind w:left="88" w:right="70"/>
              <w:rPr>
                <w:sz w:val="18"/>
              </w:rPr>
            </w:pPr>
            <w:r>
              <w:rPr>
                <w:sz w:val="18"/>
              </w:rPr>
              <w:t>50B(7)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Master or person in charge of a vessel failing to produce to officer of Department on demand a lifejacket being worn by a person on board who is under 12 and required to wear an appropriate </w:t>
            </w:r>
            <w:r>
              <w:rPr>
                <w:snapToGrid w:val="0"/>
                <w:sz w:val="18"/>
                <w:szCs w:val="18"/>
              </w:rPr>
              <w:br/>
              <w:t>lifejacket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39</w:t>
            </w:r>
          </w:p>
        </w:tc>
        <w:tc>
          <w:tcPr>
            <w:tcW w:w="1383" w:type="dxa"/>
          </w:tcPr>
          <w:p>
            <w:pPr>
              <w:pStyle w:val="yTable"/>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lastRenderedPageBreak/>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7073" w:type="dxa"/>
            <w:gridSpan w:val="4"/>
            <w:tcMar>
              <w:left w:w="40" w:type="dxa"/>
              <w:right w:w="0" w:type="dxa"/>
            </w:tcMar>
          </w:tcPr>
          <w:p>
            <w:pPr>
              <w:pStyle w:val="yTableNAm"/>
              <w:rPr>
                <w:i/>
                <w:sz w:val="18"/>
                <w:szCs w:val="18"/>
              </w:rPr>
            </w:pPr>
            <w:r>
              <w:rPr>
                <w:i/>
                <w:sz w:val="18"/>
                <w:szCs w:val="18"/>
              </w:rPr>
              <w:t>[40A, 41</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52A(2)</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registrable vessel being navigated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42A</w:t>
            </w:r>
          </w:p>
        </w:tc>
        <w:tc>
          <w:tcPr>
            <w:tcW w:w="1383" w:type="dxa"/>
          </w:tcPr>
          <w:p>
            <w:pPr>
              <w:pStyle w:val="yTable"/>
              <w:spacing w:before="80"/>
              <w:ind w:left="88" w:right="70"/>
              <w:rPr>
                <w:sz w:val="18"/>
              </w:rPr>
            </w:pPr>
            <w:r>
              <w:rPr>
                <w:sz w:val="18"/>
              </w:rPr>
              <w:t>52A(3)</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non</w:t>
            </w:r>
            <w:r>
              <w:rPr>
                <w:snapToGrid w:val="0"/>
                <w:sz w:val="18"/>
                <w:szCs w:val="18"/>
              </w:rPr>
              <w:noBreakHyphen/>
              <w:t>registrable vessel being navigated outside protected waters and more than 400 m from any shore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b/>
                <w:i/>
                <w:snapToGrid w:val="0"/>
                <w:sz w:val="18"/>
                <w:szCs w:val="18"/>
              </w:rPr>
            </w:pPr>
            <w:r>
              <w:rPr>
                <w:snapToGrid w:val="0"/>
                <w:sz w:val="18"/>
                <w:szCs w:val="18"/>
              </w:rPr>
              <w:t>Failing to equip vessel being navigated outside protected waters and more than 400 m from any shore with required number of distress signals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vessel being navigated more than 4 nautical miles from any shore with a marine transceiver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vessel being navigated outside protected waters and more than 400 m from any shore with —</w:t>
            </w:r>
          </w:p>
          <w:p>
            <w:pPr>
              <w:pStyle w:val="yTable"/>
              <w:tabs>
                <w:tab w:val="left" w:pos="437"/>
                <w:tab w:val="left" w:pos="851"/>
                <w:tab w:val="right" w:leader="dot" w:pos="4111"/>
              </w:tabs>
              <w:spacing w:before="80"/>
              <w:ind w:left="851" w:hanging="709"/>
              <w:rPr>
                <w:sz w:val="18"/>
              </w:rPr>
            </w:pPr>
            <w:r>
              <w:rPr>
                <w:snapToGrid w:val="0"/>
                <w:sz w:val="18"/>
                <w:szCs w:val="18"/>
              </w:rPr>
              <w:tab/>
              <w:t>(a)</w:t>
            </w:r>
            <w:r>
              <w:rPr>
                <w:snapToGrid w:val="0"/>
                <w:sz w:val="18"/>
                <w:szCs w:val="18"/>
              </w:rPr>
              <w:tab/>
              <w:t xml:space="preserve">an </w:t>
            </w:r>
            <w:r>
              <w:rPr>
                <w:sz w:val="18"/>
              </w:rPr>
              <w:t>Electronic</w:t>
            </w:r>
            <w:r>
              <w:rPr>
                <w:snapToGrid w:val="0"/>
                <w:sz w:val="18"/>
                <w:szCs w:val="18"/>
              </w:rPr>
              <w:t xml:space="preserve"> Position</w:t>
            </w:r>
            <w:r>
              <w:rPr>
                <w:snapToGrid w:val="0"/>
                <w:sz w:val="18"/>
                <w:szCs w:val="18"/>
              </w:rPr>
              <w:noBreakHyphen/>
              <w:t>Indicating Radio Beacon</w:t>
            </w:r>
            <w:r>
              <w:rPr>
                <w:sz w:val="18"/>
              </w:rPr>
              <w:t>; or</w:t>
            </w:r>
          </w:p>
          <w:p>
            <w:pPr>
              <w:pStyle w:val="yTable"/>
              <w:tabs>
                <w:tab w:val="left" w:pos="437"/>
                <w:tab w:val="left" w:pos="851"/>
                <w:tab w:val="right" w:leader="dot" w:pos="4111"/>
              </w:tabs>
              <w:spacing w:before="80"/>
              <w:ind w:left="851" w:hanging="709"/>
              <w:rPr>
                <w:snapToGrid w:val="0"/>
                <w:sz w:val="18"/>
                <w:szCs w:val="18"/>
              </w:rPr>
            </w:pPr>
            <w:r>
              <w:rPr>
                <w:snapToGrid w:val="0"/>
                <w:sz w:val="18"/>
                <w:szCs w:val="18"/>
              </w:rPr>
              <w:tab/>
              <w:t>(b)</w:t>
            </w:r>
            <w:r>
              <w:rPr>
                <w:snapToGrid w:val="0"/>
                <w:sz w:val="18"/>
                <w:szCs w:val="18"/>
              </w:rPr>
              <w:tab/>
              <w:t xml:space="preserve">a personal locator beacon attached to a person on </w:t>
            </w:r>
            <w:r>
              <w:rPr>
                <w:sz w:val="18"/>
              </w:rPr>
              <w:t>board</w:t>
            </w:r>
            <w:r>
              <w:rPr>
                <w:snapToGrid w:val="0"/>
                <w:sz w:val="18"/>
                <w:szCs w:val="18"/>
              </w:rPr>
              <w:t xml:space="preserve"> the vessel</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46A</w:t>
            </w:r>
          </w:p>
        </w:tc>
        <w:tc>
          <w:tcPr>
            <w:tcW w:w="1383" w:type="dxa"/>
          </w:tcPr>
          <w:p>
            <w:pPr>
              <w:pStyle w:val="yTable"/>
              <w:spacing w:before="80"/>
              <w:ind w:left="88" w:right="70"/>
              <w:rPr>
                <w:sz w:val="18"/>
              </w:rPr>
            </w:pPr>
            <w:r>
              <w:rPr>
                <w:sz w:val="18"/>
              </w:rPr>
              <w:t>52BB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lifejacket worn on personal watercraft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7073" w:type="dxa"/>
            <w:gridSpan w:val="4"/>
            <w:tcMar>
              <w:left w:w="40" w:type="dxa"/>
              <w:right w:w="0" w:type="dxa"/>
            </w:tcMar>
          </w:tcPr>
          <w:p>
            <w:pPr>
              <w:pStyle w:val="yTableNAm"/>
              <w:tabs>
                <w:tab w:val="clear" w:pos="567"/>
                <w:tab w:val="left" w:pos="643"/>
              </w:tabs>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lastRenderedPageBreak/>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szCs w:val="18"/>
              </w:rPr>
              <w:t>49</w:t>
            </w:r>
          </w:p>
        </w:tc>
        <w:tc>
          <w:tcPr>
            <w:tcW w:w="1375" w:type="dxa"/>
            <w:tcBorders>
              <w:top w:val="single" w:sz="8" w:space="0" w:color="auto"/>
            </w:tcBorders>
          </w:tcPr>
          <w:p>
            <w:pPr>
              <w:pStyle w:val="yTable"/>
              <w:spacing w:before="80"/>
              <w:ind w:left="88" w:right="70"/>
              <w:rPr>
                <w:sz w:val="18"/>
              </w:rPr>
            </w:pPr>
            <w:r>
              <w:rPr>
                <w:sz w:val="18"/>
                <w:szCs w:val="18"/>
              </w:rPr>
              <w:t>64A(1)(a) (as read with (3))</w:t>
            </w:r>
          </w:p>
        </w:tc>
        <w:tc>
          <w:tcPr>
            <w:tcW w:w="4111" w:type="dxa"/>
            <w:tcBorders>
              <w:top w:val="single" w:sz="8" w:space="0" w:color="auto"/>
            </w:tcBorders>
          </w:tcPr>
          <w:p>
            <w:pPr>
              <w:pStyle w:val="yTable"/>
              <w:tabs>
                <w:tab w:val="right" w:leader="dot" w:pos="4111"/>
              </w:tabs>
              <w:spacing w:before="80"/>
              <w:ind w:left="70"/>
              <w:rPr>
                <w:sz w:val="18"/>
              </w:rPr>
            </w:pPr>
            <w:r>
              <w:rPr>
                <w:sz w:val="18"/>
                <w:szCs w:val="18"/>
              </w:rPr>
              <w:t xml:space="preserve">Failing to stand by to render assistance after a </w:t>
            </w:r>
            <w:r>
              <w:rPr>
                <w:sz w:val="18"/>
                <w:szCs w:val="18"/>
              </w:rPr>
              <w:br/>
              <w:t>marine incident</w:t>
            </w:r>
            <w:r>
              <w:rPr>
                <w:sz w:val="18"/>
                <w:szCs w:val="18"/>
              </w:rPr>
              <w:tab/>
            </w:r>
          </w:p>
        </w:tc>
        <w:tc>
          <w:tcPr>
            <w:tcW w:w="985" w:type="dxa"/>
            <w:tcBorders>
              <w:top w:val="single" w:sz="8" w:space="0" w:color="auto"/>
            </w:tcBorders>
            <w:vAlign w:val="bottom"/>
          </w:tcPr>
          <w:p>
            <w:pPr>
              <w:pStyle w:val="yTable"/>
              <w:spacing w:before="80"/>
              <w:ind w:left="82" w:right="88"/>
              <w:jc w:val="center"/>
              <w:rPr>
                <w:sz w:val="18"/>
              </w:rPr>
            </w:pPr>
            <w:r>
              <w:rPr>
                <w:sz w:val="18"/>
                <w:szCs w:val="18"/>
              </w:rPr>
              <w:t>500</w:t>
            </w:r>
          </w:p>
        </w:tc>
      </w:tr>
      <w:tr>
        <w:tc>
          <w:tcPr>
            <w:tcW w:w="610" w:type="dxa"/>
          </w:tcPr>
          <w:p>
            <w:pPr>
              <w:pStyle w:val="yTable"/>
              <w:keepNext/>
              <w:keepLines/>
              <w:spacing w:before="80"/>
              <w:ind w:left="56" w:right="104"/>
              <w:rPr>
                <w:sz w:val="18"/>
              </w:rPr>
            </w:pPr>
            <w:r>
              <w:rPr>
                <w:sz w:val="18"/>
                <w:szCs w:val="18"/>
              </w:rPr>
              <w:t>50</w:t>
            </w:r>
          </w:p>
        </w:tc>
        <w:tc>
          <w:tcPr>
            <w:tcW w:w="1375" w:type="dxa"/>
          </w:tcPr>
          <w:p>
            <w:pPr>
              <w:pStyle w:val="yTable"/>
              <w:keepNext/>
              <w:keepLines/>
              <w:spacing w:before="80"/>
              <w:ind w:left="88" w:right="70"/>
              <w:rPr>
                <w:sz w:val="18"/>
              </w:rPr>
            </w:pPr>
            <w:r>
              <w:rPr>
                <w:sz w:val="18"/>
                <w:szCs w:val="18"/>
              </w:rPr>
              <w:t>64A(1)(b) (as read with (3))</w:t>
            </w:r>
          </w:p>
        </w:tc>
        <w:tc>
          <w:tcPr>
            <w:tcW w:w="4111" w:type="dxa"/>
          </w:tcPr>
          <w:p>
            <w:pPr>
              <w:pStyle w:val="yTable"/>
              <w:keepNext/>
              <w:keepLines/>
              <w:tabs>
                <w:tab w:val="right" w:leader="dot" w:pos="4111"/>
              </w:tabs>
              <w:spacing w:before="80"/>
              <w:ind w:left="70"/>
              <w:rPr>
                <w:sz w:val="18"/>
              </w:rPr>
            </w:pPr>
            <w:r>
              <w:rPr>
                <w:sz w:val="18"/>
                <w:szCs w:val="18"/>
              </w:rPr>
              <w:t xml:space="preserve">Failing to render assistance after a marine </w:t>
            </w:r>
            <w:r>
              <w:rPr>
                <w:sz w:val="18"/>
                <w:szCs w:val="18"/>
              </w:rPr>
              <w:br/>
              <w:t>incident</w:t>
            </w:r>
            <w:r>
              <w:rPr>
                <w:sz w:val="18"/>
                <w:szCs w:val="18"/>
              </w:rPr>
              <w:tab/>
            </w:r>
          </w:p>
        </w:tc>
        <w:tc>
          <w:tcPr>
            <w:tcW w:w="985" w:type="dxa"/>
            <w:vAlign w:val="bottom"/>
          </w:tcPr>
          <w:p>
            <w:pPr>
              <w:pStyle w:val="yTable"/>
              <w:keepNext/>
              <w:keepLines/>
              <w:spacing w:before="80"/>
              <w:ind w:left="82" w:right="88"/>
              <w:jc w:val="center"/>
              <w:rPr>
                <w:sz w:val="18"/>
              </w:rPr>
            </w:pPr>
            <w:r>
              <w:rPr>
                <w:sz w:val="18"/>
                <w:szCs w:val="18"/>
              </w:rPr>
              <w:t>500</w:t>
            </w:r>
          </w:p>
        </w:tc>
      </w:tr>
      <w:tr>
        <w:tc>
          <w:tcPr>
            <w:tcW w:w="610" w:type="dxa"/>
          </w:tcPr>
          <w:p>
            <w:pPr>
              <w:pStyle w:val="yTable"/>
              <w:spacing w:before="80"/>
              <w:ind w:left="56" w:right="104"/>
              <w:rPr>
                <w:sz w:val="18"/>
              </w:rPr>
            </w:pPr>
            <w:r>
              <w:rPr>
                <w:sz w:val="18"/>
                <w:szCs w:val="18"/>
              </w:rPr>
              <w:t>51</w:t>
            </w:r>
          </w:p>
        </w:tc>
        <w:tc>
          <w:tcPr>
            <w:tcW w:w="1375" w:type="dxa"/>
          </w:tcPr>
          <w:p>
            <w:pPr>
              <w:pStyle w:val="yTable"/>
              <w:spacing w:before="80"/>
              <w:ind w:left="88" w:right="70"/>
              <w:rPr>
                <w:sz w:val="18"/>
              </w:rPr>
            </w:pPr>
            <w:r>
              <w:rPr>
                <w:sz w:val="18"/>
                <w:szCs w:val="18"/>
              </w:rPr>
              <w:t>64A(1)(c) (as read with (3))</w:t>
            </w:r>
          </w:p>
        </w:tc>
        <w:tc>
          <w:tcPr>
            <w:tcW w:w="4111" w:type="dxa"/>
          </w:tcPr>
          <w:p>
            <w:pPr>
              <w:pStyle w:val="yTable"/>
              <w:tabs>
                <w:tab w:val="right" w:leader="dot" w:pos="4111"/>
              </w:tabs>
              <w:spacing w:before="80"/>
              <w:ind w:left="70"/>
              <w:rPr>
                <w:sz w:val="18"/>
              </w:rPr>
            </w:pPr>
            <w:r>
              <w:rPr>
                <w:sz w:val="18"/>
                <w:szCs w:val="18"/>
              </w:rPr>
              <w:t>Failing to give details after a marine incident</w:t>
            </w:r>
            <w:r>
              <w:rPr>
                <w:sz w:val="18"/>
                <w:szCs w:val="18"/>
              </w:rPr>
              <w:tab/>
            </w:r>
          </w:p>
        </w:tc>
        <w:tc>
          <w:tcPr>
            <w:tcW w:w="985" w:type="dxa"/>
          </w:tcPr>
          <w:p>
            <w:pPr>
              <w:pStyle w:val="yTable"/>
              <w:spacing w:before="80"/>
              <w:ind w:left="82" w:right="88"/>
              <w:jc w:val="center"/>
              <w:rPr>
                <w:sz w:val="18"/>
              </w:rPr>
            </w:pPr>
            <w:r>
              <w:rPr>
                <w:sz w:val="18"/>
                <w:szCs w:val="18"/>
              </w:rPr>
              <w:t>500</w:t>
            </w:r>
          </w:p>
        </w:tc>
      </w:tr>
      <w:tr>
        <w:trPr>
          <w:cantSplit/>
        </w:trPr>
        <w:tc>
          <w:tcPr>
            <w:tcW w:w="610" w:type="dxa"/>
          </w:tcPr>
          <w:p>
            <w:pPr>
              <w:pStyle w:val="yTable"/>
              <w:spacing w:before="80"/>
              <w:ind w:left="56" w:right="104"/>
              <w:rPr>
                <w:sz w:val="18"/>
              </w:rPr>
            </w:pPr>
            <w:r>
              <w:rPr>
                <w:sz w:val="18"/>
                <w:szCs w:val="18"/>
              </w:rPr>
              <w:t>52</w:t>
            </w:r>
          </w:p>
        </w:tc>
        <w:tc>
          <w:tcPr>
            <w:tcW w:w="1375" w:type="dxa"/>
          </w:tcPr>
          <w:p>
            <w:pPr>
              <w:pStyle w:val="yTable"/>
              <w:spacing w:before="80"/>
              <w:ind w:left="88" w:right="70"/>
              <w:rPr>
                <w:sz w:val="18"/>
              </w:rPr>
            </w:pPr>
            <w:r>
              <w:rPr>
                <w:sz w:val="18"/>
                <w:szCs w:val="18"/>
              </w:rPr>
              <w:t>64B(2) (as read with (3C))</w:t>
            </w:r>
          </w:p>
        </w:tc>
        <w:tc>
          <w:tcPr>
            <w:tcW w:w="4111" w:type="dxa"/>
          </w:tcPr>
          <w:p>
            <w:pPr>
              <w:pStyle w:val="yTable"/>
              <w:tabs>
                <w:tab w:val="right" w:leader="dot" w:pos="4111"/>
              </w:tabs>
              <w:spacing w:before="80"/>
              <w:ind w:left="70"/>
              <w:rPr>
                <w:sz w:val="18"/>
              </w:rPr>
            </w:pPr>
            <w:r>
              <w:rPr>
                <w:sz w:val="18"/>
                <w:szCs w:val="18"/>
              </w:rPr>
              <w:t xml:space="preserve">Master or owner of a vessel failing to </w:t>
            </w:r>
            <w:r>
              <w:rPr>
                <w:sz w:val="18"/>
                <w:szCs w:val="18"/>
              </w:rPr>
              <w:br/>
              <w:t>report a marine incident involving damage to the vessel</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Table"/>
              <w:spacing w:before="80"/>
              <w:ind w:left="56" w:right="104"/>
              <w:rPr>
                <w:sz w:val="18"/>
              </w:rPr>
            </w:pPr>
            <w:r>
              <w:rPr>
                <w:sz w:val="18"/>
                <w:szCs w:val="18"/>
              </w:rPr>
              <w:t>53</w:t>
            </w:r>
          </w:p>
        </w:tc>
        <w:tc>
          <w:tcPr>
            <w:tcW w:w="1375" w:type="dxa"/>
          </w:tcPr>
          <w:p>
            <w:pPr>
              <w:pStyle w:val="yTable"/>
              <w:spacing w:before="80"/>
              <w:ind w:left="88" w:right="70"/>
              <w:rPr>
                <w:sz w:val="18"/>
              </w:rPr>
            </w:pPr>
            <w:r>
              <w:rPr>
                <w:sz w:val="18"/>
                <w:szCs w:val="18"/>
              </w:rPr>
              <w:t>64B(4)</w:t>
            </w:r>
          </w:p>
        </w:tc>
        <w:tc>
          <w:tcPr>
            <w:tcW w:w="4111" w:type="dxa"/>
          </w:tcPr>
          <w:p>
            <w:pPr>
              <w:pStyle w:val="yTable"/>
              <w:tabs>
                <w:tab w:val="right" w:leader="dot" w:pos="4111"/>
              </w:tabs>
              <w:spacing w:before="80"/>
              <w:ind w:left="70"/>
              <w:rPr>
                <w:sz w:val="18"/>
              </w:rPr>
            </w:pPr>
            <w:r>
              <w:rPr>
                <w:sz w:val="18"/>
                <w:szCs w:val="18"/>
              </w:rPr>
              <w:t>Master or owner of a vessel failing to give a written report of a marine incident involving an injury or death, or damage to the vessel, confirming any earlier report of the incident</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Ednoteitem"/>
              <w:rPr>
                <w:sz w:val="18"/>
                <w:szCs w:val="16"/>
              </w:rPr>
            </w:pPr>
            <w:r>
              <w:rPr>
                <w:sz w:val="18"/>
                <w:szCs w:val="16"/>
              </w:rPr>
              <w:t>[54</w:t>
            </w:r>
            <w:r>
              <w:rPr>
                <w:sz w:val="18"/>
                <w:szCs w:val="16"/>
              </w:rPr>
              <w:noBreakHyphen/>
              <w:t>73</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75BF</w:t>
            </w:r>
          </w:p>
        </w:tc>
        <w:tc>
          <w:tcPr>
            <w:tcW w:w="4111" w:type="dxa"/>
          </w:tcPr>
          <w:p>
            <w:pPr>
              <w:pStyle w:val="yTable"/>
              <w:tabs>
                <w:tab w:val="right" w:leader="dot" w:pos="4111"/>
              </w:tabs>
              <w:spacing w:before="80"/>
              <w:ind w:left="70"/>
              <w:rPr>
                <w:sz w:val="18"/>
              </w:rPr>
            </w:pPr>
            <w:r>
              <w:rPr>
                <w:sz w:val="18"/>
              </w:rPr>
              <w:t xml:space="preserve">Careless </w:t>
            </w:r>
            <w:r>
              <w:rPr>
                <w:sz w:val="18"/>
                <w:szCs w:val="18"/>
              </w:rPr>
              <w:t>navigation of a vessel</w:t>
            </w:r>
            <w:r>
              <w:rPr>
                <w:sz w:val="18"/>
                <w:szCs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75D(1)</w:t>
            </w:r>
          </w:p>
        </w:tc>
        <w:tc>
          <w:tcPr>
            <w:tcW w:w="4111" w:type="dxa"/>
          </w:tcPr>
          <w:p>
            <w:pPr>
              <w:pStyle w:val="yTable"/>
              <w:tabs>
                <w:tab w:val="right" w:leader="dot" w:pos="4111"/>
              </w:tabs>
              <w:spacing w:before="80"/>
              <w:ind w:left="70"/>
              <w:rPr>
                <w:sz w:val="18"/>
              </w:rPr>
            </w:pPr>
            <w:r>
              <w:rPr>
                <w:sz w:val="18"/>
              </w:rPr>
              <w:t xml:space="preserve">A first offence of navigating or </w:t>
            </w:r>
            <w:r>
              <w:rPr>
                <w:sz w:val="18"/>
                <w:szCs w:val="18"/>
              </w:rPr>
              <w:t>attempting</w:t>
            </w:r>
            <w:r>
              <w:rPr>
                <w:sz w:val="18"/>
              </w:rPr>
              <w:t xml:space="preserve"> to operate a vessel while BAC is 0.05 or above</w:t>
            </w:r>
            <w:r>
              <w:rPr>
                <w:sz w:val="18"/>
              </w:rPr>
              <w:tab/>
            </w:r>
          </w:p>
        </w:tc>
        <w:tc>
          <w:tcPr>
            <w:tcW w:w="985" w:type="dxa"/>
            <w:vAlign w:val="bottom"/>
          </w:tcPr>
          <w:p>
            <w:pPr>
              <w:pStyle w:val="yTable"/>
              <w:spacing w:before="80"/>
              <w:ind w:left="82" w:right="88"/>
              <w:jc w:val="center"/>
              <w:rPr>
                <w:sz w:val="18"/>
              </w:rPr>
            </w:pPr>
            <w:r>
              <w:rPr>
                <w:sz w:val="18"/>
              </w:rPr>
              <w:t>1 000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75GF(5)</w:t>
            </w:r>
          </w:p>
        </w:tc>
        <w:tc>
          <w:tcPr>
            <w:tcW w:w="4111" w:type="dxa"/>
          </w:tcPr>
          <w:p>
            <w:pPr>
              <w:pStyle w:val="yTable"/>
              <w:tabs>
                <w:tab w:val="right" w:leader="dot" w:pos="4111"/>
              </w:tabs>
              <w:spacing w:before="80"/>
              <w:ind w:left="68"/>
              <w:rPr>
                <w:sz w:val="18"/>
              </w:rPr>
            </w:pPr>
            <w:r>
              <w:rPr>
                <w:sz w:val="18"/>
              </w:rPr>
              <w:t>Failing to comply with a prohibition notice</w:t>
            </w:r>
            <w:r>
              <w:rPr>
                <w:sz w:val="18"/>
              </w:rPr>
              <w:tab/>
            </w:r>
          </w:p>
        </w:tc>
        <w:tc>
          <w:tcPr>
            <w:tcW w:w="985" w:type="dxa"/>
            <w:vAlign w:val="bottom"/>
          </w:tcPr>
          <w:p>
            <w:pPr>
              <w:pStyle w:val="yTable"/>
              <w:spacing w:before="80"/>
              <w:ind w:left="82" w:right="88"/>
              <w:jc w:val="center"/>
              <w:rPr>
                <w:sz w:val="18"/>
              </w:rPr>
            </w:pPr>
            <w:r>
              <w:rPr>
                <w:sz w:val="18"/>
              </w:rPr>
              <w:t>600</w:t>
            </w:r>
          </w:p>
        </w:tc>
      </w:tr>
      <w:tr>
        <w:tc>
          <w:tcPr>
            <w:tcW w:w="610" w:type="dxa"/>
          </w:tcPr>
          <w:p>
            <w:pPr>
              <w:pStyle w:val="yEdnoteitem"/>
              <w:rPr>
                <w:sz w:val="18"/>
                <w:szCs w:val="16"/>
              </w:rPr>
            </w:pPr>
            <w:r>
              <w:rPr>
                <w:sz w:val="18"/>
                <w:szCs w:val="16"/>
              </w:rPr>
              <w:t>[82</w:t>
            </w:r>
            <w:r>
              <w:rPr>
                <w:sz w:val="18"/>
                <w:szCs w:val="16"/>
              </w:rPr>
              <w:noBreakHyphen/>
              <w:t>89</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 xml:space="preserve">1; SL 2021/147 r. 38; No. 135 of 2023 r. 39; SL 2024/61 r. 4.] </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5" w:name="_Toc177045044"/>
      <w:bookmarkStart w:id="16" w:name="_Toc177045674"/>
      <w:bookmarkStart w:id="17" w:name="_Toc177045726"/>
      <w:bookmarkStart w:id="18" w:name="_Toc177051686"/>
      <w:r>
        <w:rPr>
          <w:rStyle w:val="CharSchNo"/>
        </w:rPr>
        <w:lastRenderedPageBreak/>
        <w:t>Schedule 2</w:t>
      </w:r>
      <w:r>
        <w:rPr>
          <w:rStyle w:val="CharSDivNo"/>
        </w:rPr>
        <w:t> </w:t>
      </w:r>
      <w:r>
        <w:t>—</w:t>
      </w:r>
      <w:r>
        <w:rPr>
          <w:rStyle w:val="CharSDivText"/>
        </w:rPr>
        <w:t> </w:t>
      </w:r>
      <w:r>
        <w:rPr>
          <w:rStyle w:val="CharSchText"/>
        </w:rPr>
        <w:t>Forms</w:t>
      </w:r>
      <w:bookmarkEnd w:id="15"/>
      <w:bookmarkEnd w:id="16"/>
      <w:bookmarkEnd w:id="17"/>
      <w:bookmarkEnd w:id="18"/>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lastRenderedPageBreak/>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w:t>
            </w:r>
            <w:r>
              <w:rPr>
                <w:snapToGrid w:val="0"/>
              </w:rPr>
              <w:lastRenderedPageBreak/>
              <w:t xml:space="preserve">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lastRenderedPageBreak/>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lastRenderedPageBreak/>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lastRenderedPageBreak/>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lastRenderedPageBreak/>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lastRenderedPageBreak/>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9" w:name="_Toc177045045"/>
      <w:bookmarkStart w:id="20" w:name="_Toc177045675"/>
      <w:bookmarkStart w:id="21" w:name="_Toc177045727"/>
      <w:bookmarkStart w:id="22" w:name="_Toc177051687"/>
      <w:r>
        <w:lastRenderedPageBreak/>
        <w:t>Notes</w:t>
      </w:r>
      <w:bookmarkEnd w:id="19"/>
      <w:bookmarkEnd w:id="20"/>
      <w:bookmarkEnd w:id="21"/>
      <w:bookmarkEnd w:id="22"/>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 w:name="_Toc177051688"/>
      <w:r>
        <w:t>Compilation table</w:t>
      </w:r>
      <w:bookmarkEnd w:id="23"/>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lastRenderedPageBreak/>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lastRenderedPageBreak/>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pPr>
              <w:pStyle w:val="nTable"/>
              <w:spacing w:after="40"/>
            </w:pPr>
            <w:r>
              <w:t>SL 2023/135 9 Aug 2023</w:t>
            </w:r>
          </w:p>
        </w:tc>
        <w:tc>
          <w:tcPr>
            <w:tcW w:w="2640" w:type="dxa"/>
            <w:tcBorders>
              <w:top w:val="nil"/>
              <w:bottom w:val="nil"/>
            </w:tcBorders>
            <w:shd w:val="clear" w:color="auto" w:fill="auto"/>
          </w:tcPr>
          <w:p>
            <w:pPr>
              <w:pStyle w:val="nTable"/>
              <w:spacing w:after="40"/>
            </w:pPr>
            <w:r>
              <w:t>1 Sep 2023 (see r. 2(b))</w:t>
            </w:r>
          </w:p>
        </w:tc>
      </w:tr>
      <w:tr>
        <w:tblPrEx>
          <w:tblBorders>
            <w:top w:val="none" w:sz="0" w:space="0" w:color="auto"/>
            <w:bottom w:val="none" w:sz="0" w:space="0" w:color="auto"/>
            <w:insideH w:val="none" w:sz="0" w:space="0" w:color="auto"/>
          </w:tblBorders>
        </w:tblPrEx>
        <w:trPr>
          <w:cantSplit/>
        </w:trPr>
        <w:tc>
          <w:tcPr>
            <w:tcW w:w="3120" w:type="dxa"/>
            <w:tcBorders>
              <w:bottom w:val="single" w:sz="4" w:space="0" w:color="auto"/>
            </w:tcBorders>
            <w:shd w:val="clear" w:color="auto" w:fill="auto"/>
          </w:tcPr>
          <w:p>
            <w:pPr>
              <w:pStyle w:val="nTable"/>
              <w:spacing w:after="40"/>
              <w:ind w:right="113"/>
              <w:rPr>
                <w:i/>
              </w:rPr>
            </w:pPr>
            <w:r>
              <w:rPr>
                <w:i/>
              </w:rPr>
              <w:t>Western Australian Marine (Infringements) Amendment Regulations 2024</w:t>
            </w:r>
          </w:p>
        </w:tc>
        <w:tc>
          <w:tcPr>
            <w:tcW w:w="1320" w:type="dxa"/>
            <w:tcBorders>
              <w:bottom w:val="single" w:sz="4" w:space="0" w:color="auto"/>
            </w:tcBorders>
            <w:shd w:val="clear" w:color="auto" w:fill="auto"/>
          </w:tcPr>
          <w:p>
            <w:pPr>
              <w:pStyle w:val="nTable"/>
              <w:spacing w:after="40"/>
            </w:pPr>
            <w:r>
              <w:t>SL 2024/61 1 May 2024</w:t>
            </w:r>
          </w:p>
        </w:tc>
        <w:tc>
          <w:tcPr>
            <w:tcW w:w="2640" w:type="dxa"/>
            <w:tcBorders>
              <w:bottom w:val="single" w:sz="4" w:space="0" w:color="auto"/>
            </w:tcBorders>
            <w:shd w:val="clear" w:color="auto" w:fill="auto"/>
          </w:tcPr>
          <w:p>
            <w:pPr>
              <w:pStyle w:val="nTable"/>
              <w:spacing w:after="40"/>
            </w:pPr>
            <w:r>
              <w:t>2 May 2024 (see r. 2)</w:t>
            </w:r>
          </w:p>
        </w:tc>
      </w:tr>
    </w:tbl>
    <w:p>
      <w:pPr>
        <w:pStyle w:val="nHeading3"/>
      </w:pPr>
      <w:bookmarkStart w:id="24" w:name="_Toc177051689"/>
      <w:r>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(Marine Safety Equipment) Regulations 2024 </w:t>
            </w:r>
            <w:r>
              <w:rPr>
                <w:iCs/>
              </w:rPr>
              <w:t>Pt. 5</w:t>
            </w:r>
          </w:p>
        </w:tc>
        <w:tc>
          <w:tcPr>
            <w:tcW w:w="1276" w:type="dxa"/>
          </w:tcPr>
          <w:p>
            <w:pPr>
              <w:pStyle w:val="nTable"/>
              <w:spacing w:after="40"/>
            </w:pPr>
            <w:r>
              <w:t>SL 2024/191 18 Sep 2024</w:t>
            </w:r>
          </w:p>
        </w:tc>
        <w:tc>
          <w:tcPr>
            <w:tcW w:w="2693" w:type="dxa"/>
          </w:tcPr>
          <w:p>
            <w:pPr>
              <w:pStyle w:val="nTable"/>
              <w:spacing w:after="40"/>
            </w:pPr>
            <w:r>
              <w:t>30 Sep 2024 (see r. 2(b))</w:t>
            </w:r>
          </w:p>
        </w:tc>
      </w:tr>
    </w:tbl>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6" w:name="_Toc177045047"/>
      <w:bookmarkStart w:id="27" w:name="_Toc177045678"/>
      <w:bookmarkStart w:id="28" w:name="_Toc177045730"/>
      <w:bookmarkStart w:id="29" w:name="_Toc177051690"/>
      <w:r>
        <w:rPr>
          <w:sz w:val="28"/>
        </w:rPr>
        <w:lastRenderedPageBreak/>
        <w:t>Defined terms</w:t>
      </w:r>
      <w:bookmarkEnd w:id="26"/>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44839"/>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 w:name="WAFER_2024091214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4839_GUID" w:val="3e5fee33-1499-4511-be0b-7950f68a7c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4768</Words>
  <Characters>23604</Characters>
  <Application>Microsoft Office Word</Application>
  <DocSecurity>0</DocSecurity>
  <Lines>1475</Lines>
  <Paragraphs>978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1985 - 03-i0-00</dc:title>
  <dc:subject/>
  <dc:creator/>
  <cp:keywords/>
  <dc:description/>
  <cp:lastModifiedBy>Master Repository Process</cp:lastModifiedBy>
  <cp:revision>4</cp:revision>
  <cp:lastPrinted>2013-11-18T01:12:00Z</cp:lastPrinted>
  <dcterms:created xsi:type="dcterms:W3CDTF">2025-05-29T05:13:00Z</dcterms:created>
  <dcterms:modified xsi:type="dcterms:W3CDTF">2025-05-29T05:14:00Z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AsAtDate">
    <vt:lpwstr>18 Sep 2024</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20240918</vt:lpwstr>
  </property>
  <property fmtid="{D5CDD505-2E9C-101B-9397-08002B2CF9AE}" pid="11" name="CommencementAsAt">
    <vt:filetime>2024-09-17T16:00:00Z</vt:filetime>
  </property>
  <property fmtid="{D5CDD505-2E9C-101B-9397-08002B2CF9AE}" pid="12" name="CommencementYear">
    <vt:lpwstr>2024</vt:lpwstr>
  </property>
</Properties>
</file>