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_Toc177115857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_Toc177115858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_Toc177115859 \h </w:instrText>
      </w:r>
      <w:r>
        <w:fldChar w:fldCharType="separate"/>
      </w:r>
      <w:r>
        <w:t>2</w:t>
      </w:r>
      <w:r>
        <w:fldChar w:fldCharType="end"/>
      </w:r>
    </w:p>
    <w:p>
      <w:pPr>
        <w:pStyle w:val="TOC8"/>
        <w:rPr>
          <w:rFonts w:asciiTheme="minorHAnsi" w:eastAsiaTheme="minorEastAsia" w:hAnsiTheme="minorHAnsi" w:cstheme="minorBidi"/>
          <w:szCs w:val="22"/>
        </w:rPr>
      </w:pPr>
      <w:r>
        <w:t>4.</w:t>
      </w:r>
      <w:r>
        <w:tab/>
        <w:t>Family member</w:t>
      </w:r>
      <w:r>
        <w:tab/>
      </w:r>
      <w:r>
        <w:fldChar w:fldCharType="begin"/>
      </w:r>
      <w:r>
        <w:instrText xml:space="preserve"> PAGEREF _Toc177115860 \h </w:instrText>
      </w:r>
      <w:r>
        <w:fldChar w:fldCharType="separate"/>
      </w:r>
      <w:r>
        <w:t>4</w:t>
      </w:r>
      <w:r>
        <w:fldChar w:fldCharType="end"/>
      </w:r>
    </w:p>
    <w:p>
      <w:pPr>
        <w:pStyle w:val="TOC8"/>
        <w:rPr>
          <w:rFonts w:asciiTheme="minorHAnsi" w:eastAsiaTheme="minorEastAsia" w:hAnsiTheme="minorHAnsi" w:cstheme="minorBidi"/>
          <w:szCs w:val="22"/>
        </w:rPr>
      </w:pPr>
      <w:r>
        <w:t>5.</w:t>
      </w:r>
      <w:r>
        <w:tab/>
        <w:t>Act binds Crown</w:t>
      </w:r>
      <w:r>
        <w:tab/>
      </w:r>
      <w:r>
        <w:fldChar w:fldCharType="begin"/>
      </w:r>
      <w:r>
        <w:instrText xml:space="preserve"> PAGEREF _Toc177115861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Consorting contrary to unlawful consorting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_Toc177115864 \h </w:instrText>
      </w:r>
      <w:r>
        <w:fldChar w:fldCharType="separate"/>
      </w:r>
      <w:r>
        <w:t>6</w:t>
      </w:r>
      <w:r>
        <w:fldChar w:fldCharType="end"/>
      </w:r>
    </w:p>
    <w:p>
      <w:pPr>
        <w:pStyle w:val="TOC8"/>
        <w:rPr>
          <w:rFonts w:asciiTheme="minorHAnsi" w:eastAsiaTheme="minorEastAsia" w:hAnsiTheme="minorHAnsi" w:cstheme="minorBidi"/>
          <w:szCs w:val="22"/>
        </w:rPr>
      </w:pPr>
      <w:r>
        <w:t>7.</w:t>
      </w:r>
      <w:r>
        <w:tab/>
        <w:t>Child sex offence</w:t>
      </w:r>
      <w:r>
        <w:tab/>
      </w:r>
      <w:r>
        <w:fldChar w:fldCharType="begin"/>
      </w:r>
      <w:r>
        <w:instrText xml:space="preserve"> PAGEREF _Toc177115865 \h </w:instrText>
      </w:r>
      <w:r>
        <w:fldChar w:fldCharType="separate"/>
      </w:r>
      <w:r>
        <w:t>7</w:t>
      </w:r>
      <w:r>
        <w:fldChar w:fldCharType="end"/>
      </w:r>
    </w:p>
    <w:p>
      <w:pPr>
        <w:pStyle w:val="TOC8"/>
        <w:rPr>
          <w:rFonts w:asciiTheme="minorHAnsi" w:eastAsiaTheme="minorEastAsia" w:hAnsiTheme="minorHAnsi" w:cstheme="minorBidi"/>
          <w:szCs w:val="22"/>
        </w:rPr>
      </w:pPr>
      <w:r>
        <w:t>8.</w:t>
      </w:r>
      <w:r>
        <w:tab/>
        <w:t>Objects of Part</w:t>
      </w:r>
      <w:r>
        <w:tab/>
      </w:r>
      <w:r>
        <w:fldChar w:fldCharType="begin"/>
      </w:r>
      <w:r>
        <w:instrText xml:space="preserve"> PAGEREF _Toc177115866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Unlawful consorting notices</w:t>
      </w:r>
    </w:p>
    <w:p>
      <w:pPr>
        <w:pStyle w:val="TOC8"/>
        <w:rPr>
          <w:rFonts w:asciiTheme="minorHAnsi" w:eastAsiaTheme="minorEastAsia" w:hAnsiTheme="minorHAnsi" w:cstheme="minorBidi"/>
          <w:szCs w:val="22"/>
        </w:rPr>
      </w:pPr>
      <w:r>
        <w:t>9.</w:t>
      </w:r>
      <w:r>
        <w:tab/>
        <w:t>Issue of unlawful consorting notice</w:t>
      </w:r>
      <w:r>
        <w:tab/>
      </w:r>
      <w:r>
        <w:fldChar w:fldCharType="begin"/>
      </w:r>
      <w:r>
        <w:instrText xml:space="preserve"> PAGEREF _Toc177115868 \h </w:instrText>
      </w:r>
      <w:r>
        <w:fldChar w:fldCharType="separate"/>
      </w:r>
      <w:r>
        <w:t>7</w:t>
      </w:r>
      <w:r>
        <w:fldChar w:fldCharType="end"/>
      </w:r>
    </w:p>
    <w:p>
      <w:pPr>
        <w:pStyle w:val="TOC8"/>
        <w:rPr>
          <w:rFonts w:asciiTheme="minorHAnsi" w:eastAsiaTheme="minorEastAsia" w:hAnsiTheme="minorHAnsi" w:cstheme="minorBidi"/>
          <w:szCs w:val="22"/>
        </w:rPr>
      </w:pPr>
      <w:r>
        <w:t>10.</w:t>
      </w:r>
      <w:r>
        <w:tab/>
        <w:t>Content of unlawful consorting notice</w:t>
      </w:r>
      <w:r>
        <w:tab/>
      </w:r>
      <w:r>
        <w:fldChar w:fldCharType="begin"/>
      </w:r>
      <w:r>
        <w:instrText xml:space="preserve"> PAGEREF _Toc177115869 \h </w:instrText>
      </w:r>
      <w:r>
        <w:fldChar w:fldCharType="separate"/>
      </w:r>
      <w:r>
        <w:t>8</w:t>
      </w:r>
      <w:r>
        <w:fldChar w:fldCharType="end"/>
      </w:r>
    </w:p>
    <w:p>
      <w:pPr>
        <w:pStyle w:val="TOC8"/>
        <w:rPr>
          <w:rFonts w:asciiTheme="minorHAnsi" w:eastAsiaTheme="minorEastAsia" w:hAnsiTheme="minorHAnsi" w:cstheme="minorBidi"/>
          <w:szCs w:val="22"/>
        </w:rPr>
      </w:pPr>
      <w:r>
        <w:t>11.</w:t>
      </w:r>
      <w:r>
        <w:tab/>
        <w:t>Service of unlawful consorting notice</w:t>
      </w:r>
      <w:r>
        <w:tab/>
      </w:r>
      <w:r>
        <w:fldChar w:fldCharType="begin"/>
      </w:r>
      <w:r>
        <w:instrText xml:space="preserve"> PAGEREF _Toc177115870 \h </w:instrText>
      </w:r>
      <w:r>
        <w:fldChar w:fldCharType="separate"/>
      </w:r>
      <w:r>
        <w:t>9</w:t>
      </w:r>
      <w:r>
        <w:fldChar w:fldCharType="end"/>
      </w:r>
    </w:p>
    <w:p>
      <w:pPr>
        <w:pStyle w:val="TOC8"/>
        <w:rPr>
          <w:rFonts w:asciiTheme="minorHAnsi" w:eastAsiaTheme="minorEastAsia" w:hAnsiTheme="minorHAnsi" w:cstheme="minorBidi"/>
          <w:szCs w:val="22"/>
        </w:rPr>
      </w:pPr>
      <w:r>
        <w:t>12.</w:t>
      </w:r>
      <w:r>
        <w:tab/>
        <w:t>Further service of unlawful consorting notice when served orally</w:t>
      </w:r>
      <w:r>
        <w:tab/>
      </w:r>
      <w:r>
        <w:fldChar w:fldCharType="begin"/>
      </w:r>
      <w:r>
        <w:instrText xml:space="preserve"> PAGEREF _Toc177115871 \h </w:instrText>
      </w:r>
      <w:r>
        <w:fldChar w:fldCharType="separate"/>
      </w:r>
      <w:r>
        <w:t>9</w:t>
      </w:r>
      <w:r>
        <w:fldChar w:fldCharType="end"/>
      </w:r>
    </w:p>
    <w:p>
      <w:pPr>
        <w:pStyle w:val="TOC8"/>
        <w:rPr>
          <w:rFonts w:asciiTheme="minorHAnsi" w:eastAsiaTheme="minorEastAsia" w:hAnsiTheme="minorHAnsi" w:cstheme="minorBidi"/>
          <w:szCs w:val="22"/>
        </w:rPr>
      </w:pPr>
      <w:r>
        <w:t>13.</w:t>
      </w:r>
      <w:r>
        <w:tab/>
        <w:t>Duration of unlawful consorting notice</w:t>
      </w:r>
      <w:r>
        <w:tab/>
      </w:r>
      <w:r>
        <w:fldChar w:fldCharType="begin"/>
      </w:r>
      <w:r>
        <w:instrText xml:space="preserve"> PAGEREF _Toc177115872 \h </w:instrText>
      </w:r>
      <w:r>
        <w:fldChar w:fldCharType="separate"/>
      </w:r>
      <w:r>
        <w:t>10</w:t>
      </w:r>
      <w:r>
        <w:fldChar w:fldCharType="end"/>
      </w:r>
    </w:p>
    <w:p>
      <w:pPr>
        <w:pStyle w:val="TOC8"/>
        <w:rPr>
          <w:rFonts w:asciiTheme="minorHAnsi" w:eastAsiaTheme="minorEastAsia" w:hAnsiTheme="minorHAnsi" w:cstheme="minorBidi"/>
          <w:szCs w:val="22"/>
        </w:rPr>
      </w:pPr>
      <w:r>
        <w:t>14.</w:t>
      </w:r>
      <w:r>
        <w:tab/>
        <w:t>Correcting mistakes in unlawful consorting notice</w:t>
      </w:r>
      <w:r>
        <w:tab/>
      </w:r>
      <w:r>
        <w:fldChar w:fldCharType="begin"/>
      </w:r>
      <w:r>
        <w:instrText xml:space="preserve"> PAGEREF _Toc177115873 \h </w:instrText>
      </w:r>
      <w:r>
        <w:fldChar w:fldCharType="separate"/>
      </w:r>
      <w:r>
        <w:t>10</w:t>
      </w:r>
      <w:r>
        <w:fldChar w:fldCharType="end"/>
      </w:r>
    </w:p>
    <w:p>
      <w:pPr>
        <w:pStyle w:val="TOC8"/>
        <w:rPr>
          <w:rFonts w:asciiTheme="minorHAnsi" w:eastAsiaTheme="minorEastAsia" w:hAnsiTheme="minorHAnsi" w:cstheme="minorBidi"/>
          <w:szCs w:val="22"/>
        </w:rPr>
      </w:pPr>
      <w:r>
        <w:t>15.</w:t>
      </w:r>
      <w:r>
        <w:tab/>
        <w:t>Revocation of unlawful consorting notice</w:t>
      </w:r>
      <w:r>
        <w:tab/>
      </w:r>
      <w:r>
        <w:fldChar w:fldCharType="begin"/>
      </w:r>
      <w:r>
        <w:instrText xml:space="preserve"> PAGEREF _Toc177115874 \h </w:instrText>
      </w:r>
      <w:r>
        <w:fldChar w:fldCharType="separate"/>
      </w:r>
      <w:r>
        <w:t>11</w:t>
      </w:r>
      <w:r>
        <w:fldChar w:fldCharType="end"/>
      </w:r>
    </w:p>
    <w:p>
      <w:pPr>
        <w:pStyle w:val="TOC8"/>
        <w:rPr>
          <w:rFonts w:asciiTheme="minorHAnsi" w:eastAsiaTheme="minorEastAsia" w:hAnsiTheme="minorHAnsi" w:cstheme="minorBidi"/>
          <w:szCs w:val="22"/>
        </w:rPr>
      </w:pPr>
      <w:r>
        <w:t>16.</w:t>
      </w:r>
      <w:r>
        <w:tab/>
        <w:t>Variation of unlawful consorting notice</w:t>
      </w:r>
      <w:r>
        <w:tab/>
      </w:r>
      <w:r>
        <w:fldChar w:fldCharType="begin"/>
      </w:r>
      <w:r>
        <w:instrText xml:space="preserve"> PAGEREF _Toc177115875 \h </w:instrText>
      </w:r>
      <w:r>
        <w:fldChar w:fldCharType="separate"/>
      </w:r>
      <w:r>
        <w:t>12</w:t>
      </w:r>
      <w:r>
        <w:fldChar w:fldCharType="end"/>
      </w:r>
    </w:p>
    <w:p>
      <w:pPr>
        <w:pStyle w:val="TOC8"/>
        <w:rPr>
          <w:rFonts w:asciiTheme="minorHAnsi" w:eastAsiaTheme="minorEastAsia" w:hAnsiTheme="minorHAnsi" w:cstheme="minorBidi"/>
          <w:szCs w:val="22"/>
        </w:rPr>
      </w:pPr>
      <w:r>
        <w:t>17.</w:t>
      </w:r>
      <w:r>
        <w:tab/>
        <w:t>Offence of consorting contrary to unlawful consorting notice</w:t>
      </w:r>
      <w:r>
        <w:tab/>
      </w:r>
      <w:r>
        <w:fldChar w:fldCharType="begin"/>
      </w:r>
      <w:r>
        <w:instrText xml:space="preserve"> PAGEREF _Toc177115876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18.</w:t>
      </w:r>
      <w:r>
        <w:tab/>
        <w:t>Defences to charge of consorting contrary to unlawful consorting notice</w:t>
      </w:r>
      <w:r>
        <w:tab/>
      </w:r>
      <w:r>
        <w:fldChar w:fldCharType="begin"/>
      </w:r>
      <w:r>
        <w:instrText xml:space="preserve"> PAGEREF _Toc177115877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Police powers</w:t>
      </w:r>
    </w:p>
    <w:p>
      <w:pPr>
        <w:pStyle w:val="TOC8"/>
        <w:rPr>
          <w:rFonts w:asciiTheme="minorHAnsi" w:eastAsiaTheme="minorEastAsia" w:hAnsiTheme="minorHAnsi" w:cstheme="minorBidi"/>
          <w:szCs w:val="22"/>
        </w:rPr>
      </w:pPr>
      <w:r>
        <w:t>19.</w:t>
      </w:r>
      <w:r>
        <w:tab/>
        <w:t>Police powers relating to unlawful consorting notices</w:t>
      </w:r>
      <w:r>
        <w:tab/>
      </w:r>
      <w:r>
        <w:fldChar w:fldCharType="begin"/>
      </w:r>
      <w:r>
        <w:instrText xml:space="preserve"> PAGEREF _Toc177115879 \h </w:instrText>
      </w:r>
      <w:r>
        <w:fldChar w:fldCharType="separate"/>
      </w:r>
      <w:r>
        <w:t>15</w:t>
      </w:r>
      <w:r>
        <w:fldChar w:fldCharType="end"/>
      </w:r>
    </w:p>
    <w:p>
      <w:pPr>
        <w:pStyle w:val="TOC8"/>
        <w:rPr>
          <w:rFonts w:asciiTheme="minorHAnsi" w:eastAsiaTheme="minorEastAsia" w:hAnsiTheme="minorHAnsi" w:cstheme="minorBidi"/>
          <w:szCs w:val="22"/>
        </w:rPr>
      </w:pPr>
      <w:r>
        <w:t>20.</w:t>
      </w:r>
      <w:r>
        <w:tab/>
        <w:t>Offence of failure to comply with directions of police officer</w:t>
      </w:r>
      <w:r>
        <w:tab/>
      </w:r>
      <w:r>
        <w:fldChar w:fldCharType="begin"/>
      </w:r>
      <w:r>
        <w:instrText xml:space="preserve"> PAGEREF _Toc177115880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Prohibited insignia and consorting contrary to dispersal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_Toc177115883 \h </w:instrText>
      </w:r>
      <w:r>
        <w:fldChar w:fldCharType="separate"/>
      </w:r>
      <w:r>
        <w:t>19</w:t>
      </w:r>
      <w:r>
        <w:fldChar w:fldCharType="end"/>
      </w:r>
    </w:p>
    <w:p>
      <w:pPr>
        <w:pStyle w:val="TOC8"/>
        <w:rPr>
          <w:rFonts w:asciiTheme="minorHAnsi" w:eastAsiaTheme="minorEastAsia" w:hAnsiTheme="minorHAnsi" w:cstheme="minorBidi"/>
          <w:szCs w:val="22"/>
        </w:rPr>
      </w:pPr>
      <w:r>
        <w:t>22.</w:t>
      </w:r>
      <w:r>
        <w:tab/>
        <w:t>Insignia of identified organisation</w:t>
      </w:r>
      <w:r>
        <w:tab/>
      </w:r>
      <w:r>
        <w:fldChar w:fldCharType="begin"/>
      </w:r>
      <w:r>
        <w:instrText xml:space="preserve"> PAGEREF _Toc177115884 \h </w:instrText>
      </w:r>
      <w:r>
        <w:fldChar w:fldCharType="separate"/>
      </w:r>
      <w:r>
        <w:t>20</w:t>
      </w:r>
      <w:r>
        <w:fldChar w:fldCharType="end"/>
      </w:r>
    </w:p>
    <w:p>
      <w:pPr>
        <w:pStyle w:val="TOC8"/>
        <w:rPr>
          <w:rFonts w:asciiTheme="minorHAnsi" w:eastAsiaTheme="minorEastAsia" w:hAnsiTheme="minorHAnsi" w:cstheme="minorBidi"/>
          <w:szCs w:val="22"/>
        </w:rPr>
      </w:pPr>
      <w:r>
        <w:t>23.</w:t>
      </w:r>
      <w:r>
        <w:tab/>
        <w:t>Objects of Part</w:t>
      </w:r>
      <w:r>
        <w:tab/>
      </w:r>
      <w:r>
        <w:fldChar w:fldCharType="begin"/>
      </w:r>
      <w:r>
        <w:instrText xml:space="preserve"> PAGEREF _Toc177115885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Prohibited insignia</w:t>
      </w:r>
    </w:p>
    <w:p>
      <w:pPr>
        <w:pStyle w:val="TOC6"/>
        <w:tabs>
          <w:tab w:val="right" w:leader="dot" w:pos="7077"/>
        </w:tabs>
        <w:rPr>
          <w:rFonts w:asciiTheme="minorHAnsi" w:eastAsiaTheme="minorEastAsia" w:hAnsiTheme="minorHAnsi" w:cstheme="minorBidi"/>
          <w:b w:val="0"/>
          <w:sz w:val="22"/>
          <w:szCs w:val="22"/>
        </w:rPr>
      </w:pPr>
      <w:r>
        <w:t>Subdivision 1 — Display of insignia of identified organisations in public places prohibited</w:t>
      </w:r>
    </w:p>
    <w:p>
      <w:pPr>
        <w:pStyle w:val="TOC8"/>
        <w:rPr>
          <w:rFonts w:asciiTheme="minorHAnsi" w:eastAsiaTheme="minorEastAsia" w:hAnsiTheme="minorHAnsi" w:cstheme="minorBidi"/>
          <w:szCs w:val="22"/>
        </w:rPr>
      </w:pPr>
      <w:r>
        <w:t>24.</w:t>
      </w:r>
      <w:r>
        <w:tab/>
        <w:t>Display of insignia of identified organisation in public place</w:t>
      </w:r>
      <w:r>
        <w:tab/>
      </w:r>
      <w:r>
        <w:fldChar w:fldCharType="begin"/>
      </w:r>
      <w:r>
        <w:instrText xml:space="preserve"> PAGEREF _Toc177115888 \h </w:instrText>
      </w:r>
      <w:r>
        <w:fldChar w:fldCharType="separate"/>
      </w:r>
      <w:r>
        <w:t>22</w:t>
      </w:r>
      <w:r>
        <w:fldChar w:fldCharType="end"/>
      </w:r>
    </w:p>
    <w:p>
      <w:pPr>
        <w:pStyle w:val="TOC8"/>
        <w:rPr>
          <w:rFonts w:asciiTheme="minorHAnsi" w:eastAsiaTheme="minorEastAsia" w:hAnsiTheme="minorHAnsi" w:cstheme="minorBidi"/>
          <w:szCs w:val="22"/>
        </w:rPr>
      </w:pPr>
      <w:r>
        <w:t>25.</w:t>
      </w:r>
      <w:r>
        <w:tab/>
        <w:t>Offence of displaying insignia of identified organisation in public place</w:t>
      </w:r>
      <w:r>
        <w:tab/>
      </w:r>
      <w:r>
        <w:fldChar w:fldCharType="begin"/>
      </w:r>
      <w:r>
        <w:instrText xml:space="preserve"> PAGEREF _Toc177115889 \h </w:instrText>
      </w:r>
      <w:r>
        <w:fldChar w:fldCharType="separate"/>
      </w:r>
      <w:r>
        <w:t>23</w:t>
      </w:r>
      <w:r>
        <w:fldChar w:fldCharType="end"/>
      </w:r>
    </w:p>
    <w:p>
      <w:pPr>
        <w:pStyle w:val="TOC8"/>
        <w:rPr>
          <w:rFonts w:asciiTheme="minorHAnsi" w:eastAsiaTheme="minorEastAsia" w:hAnsiTheme="minorHAnsi" w:cstheme="minorBidi"/>
          <w:szCs w:val="22"/>
        </w:rPr>
      </w:pPr>
      <w:r>
        <w:t>25A.</w:t>
      </w:r>
      <w:r>
        <w:tab/>
        <w:t>Liability of officers for offence by body corporate</w:t>
      </w:r>
      <w:r>
        <w:tab/>
      </w:r>
      <w:r>
        <w:fldChar w:fldCharType="begin"/>
      </w:r>
      <w:r>
        <w:instrText xml:space="preserve"> PAGEREF _Toc177115890 \h </w:instrText>
      </w:r>
      <w:r>
        <w:fldChar w:fldCharType="separate"/>
      </w:r>
      <w:r>
        <w:t>23</w:t>
      </w:r>
      <w:r>
        <w:fldChar w:fldCharType="end"/>
      </w:r>
    </w:p>
    <w:p>
      <w:pPr>
        <w:pStyle w:val="TOC8"/>
        <w:rPr>
          <w:rFonts w:asciiTheme="minorHAnsi" w:eastAsiaTheme="minorEastAsia" w:hAnsiTheme="minorHAnsi" w:cstheme="minorBidi"/>
          <w:szCs w:val="22"/>
        </w:rPr>
      </w:pPr>
      <w:r>
        <w:t>26.</w:t>
      </w:r>
      <w:r>
        <w:tab/>
        <w:t>Defences to charge of displaying insignia of identified organisation in public place</w:t>
      </w:r>
      <w:r>
        <w:tab/>
      </w:r>
      <w:r>
        <w:fldChar w:fldCharType="begin"/>
      </w:r>
      <w:r>
        <w:instrText xml:space="preserve"> PAGEREF _Toc177115891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Insignia removal notices</w:t>
      </w:r>
    </w:p>
    <w:p>
      <w:pPr>
        <w:pStyle w:val="TOC8"/>
        <w:rPr>
          <w:rFonts w:asciiTheme="minorHAnsi" w:eastAsiaTheme="minorEastAsia" w:hAnsiTheme="minorHAnsi" w:cstheme="minorBidi"/>
          <w:szCs w:val="22"/>
        </w:rPr>
      </w:pPr>
      <w:r>
        <w:t>27.</w:t>
      </w:r>
      <w:r>
        <w:tab/>
        <w:t>Issue of insignia removal notice</w:t>
      </w:r>
      <w:r>
        <w:tab/>
      </w:r>
      <w:r>
        <w:fldChar w:fldCharType="begin"/>
      </w:r>
      <w:r>
        <w:instrText xml:space="preserve"> PAGEREF _Toc177115893 \h </w:instrText>
      </w:r>
      <w:r>
        <w:fldChar w:fldCharType="separate"/>
      </w:r>
      <w:r>
        <w:t>24</w:t>
      </w:r>
      <w:r>
        <w:fldChar w:fldCharType="end"/>
      </w:r>
    </w:p>
    <w:p>
      <w:pPr>
        <w:pStyle w:val="TOC8"/>
        <w:rPr>
          <w:rFonts w:asciiTheme="minorHAnsi" w:eastAsiaTheme="minorEastAsia" w:hAnsiTheme="minorHAnsi" w:cstheme="minorBidi"/>
          <w:szCs w:val="22"/>
        </w:rPr>
      </w:pPr>
      <w:r>
        <w:t>28.</w:t>
      </w:r>
      <w:r>
        <w:tab/>
        <w:t>Content of insignia removal notice</w:t>
      </w:r>
      <w:r>
        <w:tab/>
      </w:r>
      <w:r>
        <w:fldChar w:fldCharType="begin"/>
      </w:r>
      <w:r>
        <w:instrText xml:space="preserve"> PAGEREF _Toc177115894 \h </w:instrText>
      </w:r>
      <w:r>
        <w:fldChar w:fldCharType="separate"/>
      </w:r>
      <w:r>
        <w:t>25</w:t>
      </w:r>
      <w:r>
        <w:fldChar w:fldCharType="end"/>
      </w:r>
    </w:p>
    <w:p>
      <w:pPr>
        <w:pStyle w:val="TOC8"/>
        <w:rPr>
          <w:rFonts w:asciiTheme="minorHAnsi" w:eastAsiaTheme="minorEastAsia" w:hAnsiTheme="minorHAnsi" w:cstheme="minorBidi"/>
          <w:szCs w:val="22"/>
        </w:rPr>
      </w:pPr>
      <w:r>
        <w:t>29.</w:t>
      </w:r>
      <w:r>
        <w:tab/>
        <w:t>Service of insignia removal notice</w:t>
      </w:r>
      <w:r>
        <w:tab/>
      </w:r>
      <w:r>
        <w:fldChar w:fldCharType="begin"/>
      </w:r>
      <w:r>
        <w:instrText xml:space="preserve"> PAGEREF _Toc177115895 \h </w:instrText>
      </w:r>
      <w:r>
        <w:fldChar w:fldCharType="separate"/>
      </w:r>
      <w:r>
        <w:t>26</w:t>
      </w:r>
      <w:r>
        <w:fldChar w:fldCharType="end"/>
      </w:r>
    </w:p>
    <w:p>
      <w:pPr>
        <w:pStyle w:val="TOC8"/>
        <w:rPr>
          <w:rFonts w:asciiTheme="minorHAnsi" w:eastAsiaTheme="minorEastAsia" w:hAnsiTheme="minorHAnsi" w:cstheme="minorBidi"/>
          <w:szCs w:val="22"/>
        </w:rPr>
      </w:pPr>
      <w:r>
        <w:t>30.</w:t>
      </w:r>
      <w:r>
        <w:tab/>
        <w:t>Duration of insignia removal notice</w:t>
      </w:r>
      <w:r>
        <w:tab/>
      </w:r>
      <w:r>
        <w:fldChar w:fldCharType="begin"/>
      </w:r>
      <w:r>
        <w:instrText xml:space="preserve"> PAGEREF _Toc177115896 \h </w:instrText>
      </w:r>
      <w:r>
        <w:fldChar w:fldCharType="separate"/>
      </w:r>
      <w:r>
        <w:t>26</w:t>
      </w:r>
      <w:r>
        <w:fldChar w:fldCharType="end"/>
      </w:r>
    </w:p>
    <w:p>
      <w:pPr>
        <w:pStyle w:val="TOC8"/>
        <w:rPr>
          <w:rFonts w:asciiTheme="minorHAnsi" w:eastAsiaTheme="minorEastAsia" w:hAnsiTheme="minorHAnsi" w:cstheme="minorBidi"/>
          <w:szCs w:val="22"/>
        </w:rPr>
      </w:pPr>
      <w:r>
        <w:t>31.</w:t>
      </w:r>
      <w:r>
        <w:tab/>
        <w:t>Correcting mistakes in insignia removal notice</w:t>
      </w:r>
      <w:r>
        <w:tab/>
      </w:r>
      <w:r>
        <w:fldChar w:fldCharType="begin"/>
      </w:r>
      <w:r>
        <w:instrText xml:space="preserve"> PAGEREF _Toc177115897 \h </w:instrText>
      </w:r>
      <w:r>
        <w:fldChar w:fldCharType="separate"/>
      </w:r>
      <w:r>
        <w:t>26</w:t>
      </w:r>
      <w:r>
        <w:fldChar w:fldCharType="end"/>
      </w:r>
    </w:p>
    <w:p>
      <w:pPr>
        <w:pStyle w:val="TOC8"/>
        <w:rPr>
          <w:rFonts w:asciiTheme="minorHAnsi" w:eastAsiaTheme="minorEastAsia" w:hAnsiTheme="minorHAnsi" w:cstheme="minorBidi"/>
          <w:szCs w:val="22"/>
        </w:rPr>
      </w:pPr>
      <w:r>
        <w:t>32.</w:t>
      </w:r>
      <w:r>
        <w:tab/>
        <w:t>Revocation of insignia removal notice</w:t>
      </w:r>
      <w:r>
        <w:tab/>
      </w:r>
      <w:r>
        <w:fldChar w:fldCharType="begin"/>
      </w:r>
      <w:r>
        <w:instrText xml:space="preserve"> PAGEREF _Toc177115898 \h </w:instrText>
      </w:r>
      <w:r>
        <w:fldChar w:fldCharType="separate"/>
      </w:r>
      <w:r>
        <w:t>27</w:t>
      </w:r>
      <w:r>
        <w:fldChar w:fldCharType="end"/>
      </w:r>
    </w:p>
    <w:p>
      <w:pPr>
        <w:pStyle w:val="TOC8"/>
        <w:rPr>
          <w:rFonts w:asciiTheme="minorHAnsi" w:eastAsiaTheme="minorEastAsia" w:hAnsiTheme="minorHAnsi" w:cstheme="minorBidi"/>
          <w:szCs w:val="22"/>
        </w:rPr>
      </w:pPr>
      <w:r>
        <w:t>33.</w:t>
      </w:r>
      <w:r>
        <w:tab/>
        <w:t>Offence of hindering removal or modification of prohibited things under insignia removal notice</w:t>
      </w:r>
      <w:r>
        <w:tab/>
      </w:r>
      <w:r>
        <w:fldChar w:fldCharType="begin"/>
      </w:r>
      <w:r>
        <w:instrText xml:space="preserve"> PAGEREF _Toc177115899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Police powers</w:t>
      </w:r>
    </w:p>
    <w:p>
      <w:pPr>
        <w:pStyle w:val="TOC8"/>
        <w:rPr>
          <w:rFonts w:asciiTheme="minorHAnsi" w:eastAsiaTheme="minorEastAsia" w:hAnsiTheme="minorHAnsi" w:cstheme="minorBidi"/>
          <w:szCs w:val="22"/>
        </w:rPr>
      </w:pPr>
      <w:r>
        <w:t>34.</w:t>
      </w:r>
      <w:r>
        <w:tab/>
        <w:t>Police powers relating to insignia removal notice</w:t>
      </w:r>
      <w:r>
        <w:tab/>
      </w:r>
      <w:r>
        <w:fldChar w:fldCharType="begin"/>
      </w:r>
      <w:r>
        <w:instrText xml:space="preserve"> PAGEREF _Toc177115901 \h </w:instrText>
      </w:r>
      <w:r>
        <w:fldChar w:fldCharType="separate"/>
      </w:r>
      <w:r>
        <w:t>29</w:t>
      </w:r>
      <w:r>
        <w:fldChar w:fldCharType="end"/>
      </w:r>
    </w:p>
    <w:p>
      <w:pPr>
        <w:pStyle w:val="TOC8"/>
        <w:rPr>
          <w:rFonts w:asciiTheme="minorHAnsi" w:eastAsiaTheme="minorEastAsia" w:hAnsiTheme="minorHAnsi" w:cstheme="minorBidi"/>
          <w:szCs w:val="22"/>
        </w:rPr>
      </w:pPr>
      <w:r>
        <w:t>35.</w:t>
      </w:r>
      <w:r>
        <w:tab/>
        <w:t>No compensation under this Part</w:t>
      </w:r>
      <w:r>
        <w:tab/>
      </w:r>
      <w:r>
        <w:fldChar w:fldCharType="begin"/>
      </w:r>
      <w:r>
        <w:instrText xml:space="preserve"> PAGEREF _Toc177115902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Consorting contrary to dispersal notices</w:t>
      </w:r>
    </w:p>
    <w:p>
      <w:pPr>
        <w:pStyle w:val="TOC6"/>
        <w:tabs>
          <w:tab w:val="right" w:leader="dot" w:pos="7077"/>
        </w:tabs>
        <w:rPr>
          <w:rFonts w:asciiTheme="minorHAnsi" w:eastAsiaTheme="minorEastAsia" w:hAnsiTheme="minorHAnsi" w:cstheme="minorBidi"/>
          <w:b w:val="0"/>
          <w:sz w:val="22"/>
          <w:szCs w:val="22"/>
        </w:rPr>
      </w:pPr>
      <w:r>
        <w:t>Subdivision 1 — Dispersal notices</w:t>
      </w:r>
    </w:p>
    <w:p>
      <w:pPr>
        <w:pStyle w:val="TOC8"/>
        <w:rPr>
          <w:rFonts w:asciiTheme="minorHAnsi" w:eastAsiaTheme="minorEastAsia" w:hAnsiTheme="minorHAnsi" w:cstheme="minorBidi"/>
          <w:szCs w:val="22"/>
        </w:rPr>
      </w:pPr>
      <w:r>
        <w:t>36.</w:t>
      </w:r>
      <w:r>
        <w:tab/>
        <w:t>Issue of dispersal notice</w:t>
      </w:r>
      <w:r>
        <w:tab/>
      </w:r>
      <w:r>
        <w:fldChar w:fldCharType="begin"/>
      </w:r>
      <w:r>
        <w:instrText xml:space="preserve"> PAGEREF _Toc177115905 \h </w:instrText>
      </w:r>
      <w:r>
        <w:fldChar w:fldCharType="separate"/>
      </w:r>
      <w:r>
        <w:t>30</w:t>
      </w:r>
      <w:r>
        <w:fldChar w:fldCharType="end"/>
      </w:r>
    </w:p>
    <w:p>
      <w:pPr>
        <w:pStyle w:val="TOC8"/>
        <w:rPr>
          <w:rFonts w:asciiTheme="minorHAnsi" w:eastAsiaTheme="minorEastAsia" w:hAnsiTheme="minorHAnsi" w:cstheme="minorBidi"/>
          <w:szCs w:val="22"/>
        </w:rPr>
      </w:pPr>
      <w:r>
        <w:t>37.</w:t>
      </w:r>
      <w:r>
        <w:tab/>
        <w:t>Content of dispersal notice</w:t>
      </w:r>
      <w:r>
        <w:tab/>
      </w:r>
      <w:r>
        <w:fldChar w:fldCharType="begin"/>
      </w:r>
      <w:r>
        <w:instrText xml:space="preserve"> PAGEREF _Toc177115906 \h </w:instrText>
      </w:r>
      <w:r>
        <w:fldChar w:fldCharType="separate"/>
      </w:r>
      <w:r>
        <w:t>30</w:t>
      </w:r>
      <w:r>
        <w:fldChar w:fldCharType="end"/>
      </w:r>
    </w:p>
    <w:p>
      <w:pPr>
        <w:pStyle w:val="TOC8"/>
        <w:rPr>
          <w:rFonts w:asciiTheme="minorHAnsi" w:eastAsiaTheme="minorEastAsia" w:hAnsiTheme="minorHAnsi" w:cstheme="minorBidi"/>
          <w:szCs w:val="22"/>
        </w:rPr>
      </w:pPr>
      <w:r>
        <w:t>38.</w:t>
      </w:r>
      <w:r>
        <w:tab/>
        <w:t>Service of dispersal notice</w:t>
      </w:r>
      <w:r>
        <w:tab/>
      </w:r>
      <w:r>
        <w:fldChar w:fldCharType="begin"/>
      </w:r>
      <w:r>
        <w:instrText xml:space="preserve"> PAGEREF _Toc177115907 \h </w:instrText>
      </w:r>
      <w:r>
        <w:fldChar w:fldCharType="separate"/>
      </w:r>
      <w:r>
        <w:t>31</w:t>
      </w:r>
      <w:r>
        <w:fldChar w:fldCharType="end"/>
      </w:r>
    </w:p>
    <w:p>
      <w:pPr>
        <w:pStyle w:val="TOC8"/>
        <w:rPr>
          <w:rFonts w:asciiTheme="minorHAnsi" w:eastAsiaTheme="minorEastAsia" w:hAnsiTheme="minorHAnsi" w:cstheme="minorBidi"/>
          <w:szCs w:val="22"/>
        </w:rPr>
      </w:pPr>
      <w:r>
        <w:t>39.</w:t>
      </w:r>
      <w:r>
        <w:tab/>
        <w:t>Duration of dispersal notice</w:t>
      </w:r>
      <w:r>
        <w:tab/>
      </w:r>
      <w:r>
        <w:fldChar w:fldCharType="begin"/>
      </w:r>
      <w:r>
        <w:instrText xml:space="preserve"> PAGEREF _Toc177115908 \h </w:instrText>
      </w:r>
      <w:r>
        <w:fldChar w:fldCharType="separate"/>
      </w:r>
      <w:r>
        <w:t>31</w:t>
      </w:r>
      <w:r>
        <w:fldChar w:fldCharType="end"/>
      </w:r>
    </w:p>
    <w:p>
      <w:pPr>
        <w:pStyle w:val="TOC8"/>
        <w:rPr>
          <w:rFonts w:asciiTheme="minorHAnsi" w:eastAsiaTheme="minorEastAsia" w:hAnsiTheme="minorHAnsi" w:cstheme="minorBidi"/>
          <w:szCs w:val="22"/>
        </w:rPr>
      </w:pPr>
      <w:r>
        <w:t>40.</w:t>
      </w:r>
      <w:r>
        <w:tab/>
        <w:t>Correcting mistakes in dispersal notice</w:t>
      </w:r>
      <w:r>
        <w:tab/>
      </w:r>
      <w:r>
        <w:fldChar w:fldCharType="begin"/>
      </w:r>
      <w:r>
        <w:instrText xml:space="preserve"> PAGEREF _Toc177115909 \h </w:instrText>
      </w:r>
      <w:r>
        <w:fldChar w:fldCharType="separate"/>
      </w:r>
      <w:r>
        <w:t>32</w:t>
      </w:r>
      <w:r>
        <w:fldChar w:fldCharType="end"/>
      </w:r>
    </w:p>
    <w:p>
      <w:pPr>
        <w:pStyle w:val="TOC8"/>
        <w:rPr>
          <w:rFonts w:asciiTheme="minorHAnsi" w:eastAsiaTheme="minorEastAsia" w:hAnsiTheme="minorHAnsi" w:cstheme="minorBidi"/>
          <w:szCs w:val="22"/>
        </w:rPr>
      </w:pPr>
      <w:r>
        <w:t>41.</w:t>
      </w:r>
      <w:r>
        <w:tab/>
        <w:t>Revocation of dispersal notice</w:t>
      </w:r>
      <w:r>
        <w:tab/>
      </w:r>
      <w:r>
        <w:fldChar w:fldCharType="begin"/>
      </w:r>
      <w:r>
        <w:instrText xml:space="preserve"> PAGEREF _Toc177115910 \h </w:instrText>
      </w:r>
      <w:r>
        <w:fldChar w:fldCharType="separate"/>
      </w:r>
      <w:r>
        <w:t>32</w:t>
      </w:r>
      <w:r>
        <w:fldChar w:fldCharType="end"/>
      </w:r>
    </w:p>
    <w:p>
      <w:pPr>
        <w:pStyle w:val="TOC8"/>
        <w:rPr>
          <w:rFonts w:asciiTheme="minorHAnsi" w:eastAsiaTheme="minorEastAsia" w:hAnsiTheme="minorHAnsi" w:cstheme="minorBidi"/>
          <w:szCs w:val="22"/>
        </w:rPr>
      </w:pPr>
      <w:r>
        <w:t>42.</w:t>
      </w:r>
      <w:r>
        <w:tab/>
        <w:t>Offence of consorting contrary to dispersal notice</w:t>
      </w:r>
      <w:r>
        <w:tab/>
      </w:r>
      <w:r>
        <w:fldChar w:fldCharType="begin"/>
      </w:r>
      <w:r>
        <w:instrText xml:space="preserve"> PAGEREF _Toc177115911 \h </w:instrText>
      </w:r>
      <w:r>
        <w:fldChar w:fldCharType="separate"/>
      </w:r>
      <w:r>
        <w:t>33</w:t>
      </w:r>
      <w:r>
        <w:fldChar w:fldCharType="end"/>
      </w:r>
    </w:p>
    <w:p>
      <w:pPr>
        <w:pStyle w:val="TOC8"/>
        <w:rPr>
          <w:rFonts w:asciiTheme="minorHAnsi" w:eastAsiaTheme="minorEastAsia" w:hAnsiTheme="minorHAnsi" w:cstheme="minorBidi"/>
          <w:szCs w:val="22"/>
        </w:rPr>
      </w:pPr>
      <w:r>
        <w:t>43.</w:t>
      </w:r>
      <w:r>
        <w:tab/>
        <w:t>Defences to charge of consorting contrary to dispersal notice</w:t>
      </w:r>
      <w:r>
        <w:tab/>
      </w:r>
      <w:r>
        <w:fldChar w:fldCharType="begin"/>
      </w:r>
      <w:r>
        <w:instrText xml:space="preserve"> PAGEREF _Toc177115912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Police powers</w:t>
      </w:r>
    </w:p>
    <w:p>
      <w:pPr>
        <w:pStyle w:val="TOC8"/>
        <w:rPr>
          <w:rFonts w:asciiTheme="minorHAnsi" w:eastAsiaTheme="minorEastAsia" w:hAnsiTheme="minorHAnsi" w:cstheme="minorBidi"/>
          <w:szCs w:val="22"/>
        </w:rPr>
      </w:pPr>
      <w:r>
        <w:t>44.</w:t>
      </w:r>
      <w:r>
        <w:tab/>
        <w:t>Police powers relating to issue and service of dispersal notices</w:t>
      </w:r>
      <w:r>
        <w:tab/>
      </w:r>
      <w:r>
        <w:fldChar w:fldCharType="begin"/>
      </w:r>
      <w:r>
        <w:instrText xml:space="preserve"> PAGEREF _Toc177115914 \h </w:instrText>
      </w:r>
      <w:r>
        <w:fldChar w:fldCharType="separate"/>
      </w:r>
      <w:r>
        <w:t>35</w:t>
      </w:r>
      <w:r>
        <w:fldChar w:fldCharType="end"/>
      </w:r>
    </w:p>
    <w:p>
      <w:pPr>
        <w:pStyle w:val="TOC8"/>
        <w:rPr>
          <w:rFonts w:asciiTheme="minorHAnsi" w:eastAsiaTheme="minorEastAsia" w:hAnsiTheme="minorHAnsi" w:cstheme="minorBidi"/>
          <w:szCs w:val="22"/>
        </w:rPr>
      </w:pPr>
      <w:r>
        <w:t>45.</w:t>
      </w:r>
      <w:r>
        <w:tab/>
        <w:t>Police powers in relation to dispersal notices that have been served and issued</w:t>
      </w:r>
      <w:r>
        <w:tab/>
      </w:r>
      <w:r>
        <w:fldChar w:fldCharType="begin"/>
      </w:r>
      <w:r>
        <w:instrText xml:space="preserve"> PAGEREF _Toc177115915 \h </w:instrText>
      </w:r>
      <w:r>
        <w:fldChar w:fldCharType="separate"/>
      </w:r>
      <w:r>
        <w:t>37</w:t>
      </w:r>
      <w:r>
        <w:fldChar w:fldCharType="end"/>
      </w:r>
    </w:p>
    <w:p>
      <w:pPr>
        <w:pStyle w:val="TOC8"/>
        <w:rPr>
          <w:rFonts w:asciiTheme="minorHAnsi" w:eastAsiaTheme="minorEastAsia" w:hAnsiTheme="minorHAnsi" w:cstheme="minorBidi"/>
          <w:szCs w:val="22"/>
        </w:rPr>
      </w:pPr>
      <w:r>
        <w:t>46.</w:t>
      </w:r>
      <w:r>
        <w:tab/>
        <w:t>Offence of failure to comply with directions of police officer</w:t>
      </w:r>
      <w:r>
        <w:tab/>
      </w:r>
      <w:r>
        <w:fldChar w:fldCharType="begin"/>
      </w:r>
      <w:r>
        <w:instrText xml:space="preserve"> PAGEREF _Toc177115916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Monitoring</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_Toc177115918 \h </w:instrText>
      </w:r>
      <w:r>
        <w:fldChar w:fldCharType="separate"/>
      </w:r>
      <w:r>
        <w:t>39</w:t>
      </w:r>
      <w:r>
        <w:fldChar w:fldCharType="end"/>
      </w:r>
    </w:p>
    <w:p>
      <w:pPr>
        <w:pStyle w:val="TOC8"/>
        <w:rPr>
          <w:rFonts w:asciiTheme="minorHAnsi" w:eastAsiaTheme="minorEastAsia" w:hAnsiTheme="minorHAnsi" w:cstheme="minorBidi"/>
          <w:szCs w:val="22"/>
        </w:rPr>
      </w:pPr>
      <w:r>
        <w:t>48.</w:t>
      </w:r>
      <w:r>
        <w:tab/>
        <w:t>Parliamentary Commissioner to monitor exercise of powers</w:t>
      </w:r>
      <w:r>
        <w:tab/>
      </w:r>
      <w:r>
        <w:fldChar w:fldCharType="begin"/>
      </w:r>
      <w:r>
        <w:instrText xml:space="preserve"> PAGEREF _Toc177115919 \h </w:instrText>
      </w:r>
      <w:r>
        <w:fldChar w:fldCharType="separate"/>
      </w:r>
      <w:r>
        <w:t>39</w:t>
      </w:r>
      <w:r>
        <w:fldChar w:fldCharType="end"/>
      </w:r>
    </w:p>
    <w:p>
      <w:pPr>
        <w:pStyle w:val="TOC8"/>
        <w:rPr>
          <w:rFonts w:asciiTheme="minorHAnsi" w:eastAsiaTheme="minorEastAsia" w:hAnsiTheme="minorHAnsi" w:cstheme="minorBidi"/>
          <w:szCs w:val="22"/>
        </w:rPr>
      </w:pPr>
      <w:r>
        <w:t>49.</w:t>
      </w:r>
      <w:r>
        <w:tab/>
        <w:t>Powers for entry and inspection of records</w:t>
      </w:r>
      <w:r>
        <w:tab/>
      </w:r>
      <w:r>
        <w:fldChar w:fldCharType="begin"/>
      </w:r>
      <w:r>
        <w:instrText xml:space="preserve"> PAGEREF _Toc177115920 \h </w:instrText>
      </w:r>
      <w:r>
        <w:fldChar w:fldCharType="separate"/>
      </w:r>
      <w:r>
        <w:t>39</w:t>
      </w:r>
      <w:r>
        <w:fldChar w:fldCharType="end"/>
      </w:r>
    </w:p>
    <w:p>
      <w:pPr>
        <w:pStyle w:val="TOC8"/>
        <w:rPr>
          <w:rFonts w:asciiTheme="minorHAnsi" w:eastAsiaTheme="minorEastAsia" w:hAnsiTheme="minorHAnsi" w:cstheme="minorBidi"/>
          <w:szCs w:val="22"/>
        </w:rPr>
      </w:pPr>
      <w:r>
        <w:t>50.</w:t>
      </w:r>
      <w:r>
        <w:tab/>
        <w:t>Powers to obtain information relevant to inspections</w:t>
      </w:r>
      <w:r>
        <w:tab/>
      </w:r>
      <w:r>
        <w:fldChar w:fldCharType="begin"/>
      </w:r>
      <w:r>
        <w:instrText xml:space="preserve"> PAGEREF _Toc177115921 \h </w:instrText>
      </w:r>
      <w:r>
        <w:fldChar w:fldCharType="separate"/>
      </w:r>
      <w:r>
        <w:t>40</w:t>
      </w:r>
      <w:r>
        <w:fldChar w:fldCharType="end"/>
      </w:r>
    </w:p>
    <w:p>
      <w:pPr>
        <w:pStyle w:val="TOC8"/>
        <w:rPr>
          <w:rFonts w:asciiTheme="minorHAnsi" w:eastAsiaTheme="minorEastAsia" w:hAnsiTheme="minorHAnsi" w:cstheme="minorBidi"/>
          <w:szCs w:val="22"/>
        </w:rPr>
      </w:pPr>
      <w:r>
        <w:t>51.</w:t>
      </w:r>
      <w:r>
        <w:tab/>
        <w:t>Authorised recording, disclosure or use of information</w:t>
      </w:r>
      <w:r>
        <w:tab/>
      </w:r>
      <w:r>
        <w:fldChar w:fldCharType="begin"/>
      </w:r>
      <w:r>
        <w:instrText xml:space="preserve"> PAGEREF _Toc177115922 \h </w:instrText>
      </w:r>
      <w:r>
        <w:fldChar w:fldCharType="separate"/>
      </w:r>
      <w:r>
        <w:t>41</w:t>
      </w:r>
      <w:r>
        <w:fldChar w:fldCharType="end"/>
      </w:r>
    </w:p>
    <w:p>
      <w:pPr>
        <w:pStyle w:val="TOC8"/>
        <w:rPr>
          <w:rFonts w:asciiTheme="minorHAnsi" w:eastAsiaTheme="minorEastAsia" w:hAnsiTheme="minorHAnsi" w:cstheme="minorBidi"/>
          <w:szCs w:val="22"/>
        </w:rPr>
      </w:pPr>
      <w:r>
        <w:t>52.</w:t>
      </w:r>
      <w:r>
        <w:tab/>
        <w:t>Parliamentary Commissioner may recommend revocation or variation of unlawful consorting notices</w:t>
      </w:r>
      <w:r>
        <w:tab/>
      </w:r>
      <w:r>
        <w:fldChar w:fldCharType="begin"/>
      </w:r>
      <w:r>
        <w:instrText xml:space="preserve"> PAGEREF _Toc177115923 \h </w:instrText>
      </w:r>
      <w:r>
        <w:fldChar w:fldCharType="separate"/>
      </w:r>
      <w:r>
        <w:t>42</w:t>
      </w:r>
      <w:r>
        <w:fldChar w:fldCharType="end"/>
      </w:r>
    </w:p>
    <w:p>
      <w:pPr>
        <w:pStyle w:val="TOC8"/>
        <w:rPr>
          <w:rFonts w:asciiTheme="minorHAnsi" w:eastAsiaTheme="minorEastAsia" w:hAnsiTheme="minorHAnsi" w:cstheme="minorBidi"/>
          <w:szCs w:val="22"/>
        </w:rPr>
      </w:pPr>
      <w:r>
        <w:t>53.</w:t>
      </w:r>
      <w:r>
        <w:tab/>
        <w:t>Commissioner of Police to report on use of police powers to Parliamentary Commissioner</w:t>
      </w:r>
      <w:r>
        <w:tab/>
      </w:r>
      <w:r>
        <w:fldChar w:fldCharType="begin"/>
      </w:r>
      <w:r>
        <w:instrText xml:space="preserve"> PAGEREF _Toc177115924 \h </w:instrText>
      </w:r>
      <w:r>
        <w:fldChar w:fldCharType="separate"/>
      </w:r>
      <w:r>
        <w:t>43</w:t>
      </w:r>
      <w:r>
        <w:fldChar w:fldCharType="end"/>
      </w:r>
    </w:p>
    <w:p>
      <w:pPr>
        <w:pStyle w:val="TOC8"/>
        <w:rPr>
          <w:rFonts w:asciiTheme="minorHAnsi" w:eastAsiaTheme="minorEastAsia" w:hAnsiTheme="minorHAnsi" w:cstheme="minorBidi"/>
          <w:szCs w:val="22"/>
        </w:rPr>
      </w:pPr>
      <w:r>
        <w:t>54.</w:t>
      </w:r>
      <w:r>
        <w:tab/>
        <w:t>Parliamentary Commissioner to report on monitoring activities</w:t>
      </w:r>
      <w:r>
        <w:tab/>
      </w:r>
      <w:r>
        <w:fldChar w:fldCharType="begin"/>
      </w:r>
      <w:r>
        <w:instrText xml:space="preserve"> PAGEREF _Toc177115925 \h </w:instrText>
      </w:r>
      <w:r>
        <w:fldChar w:fldCharType="separate"/>
      </w:r>
      <w:r>
        <w:t>44</w:t>
      </w:r>
      <w:r>
        <w:fldChar w:fldCharType="end"/>
      </w:r>
    </w:p>
    <w:p>
      <w:pPr>
        <w:pStyle w:val="TOC8"/>
        <w:rPr>
          <w:rFonts w:asciiTheme="minorHAnsi" w:eastAsiaTheme="minorEastAsia" w:hAnsiTheme="minorHAnsi" w:cstheme="minorBidi"/>
          <w:szCs w:val="22"/>
        </w:rPr>
      </w:pPr>
      <w:r>
        <w:t>55.</w:t>
      </w:r>
      <w:r>
        <w:tab/>
        <w:t xml:space="preserve">Jurisdiction under </w:t>
      </w:r>
      <w:r>
        <w:rPr>
          <w:i/>
        </w:rPr>
        <w:t>Parliamentary Commissioner Act 1971</w:t>
      </w:r>
      <w:r>
        <w:t xml:space="preserve"> not limited</w:t>
      </w:r>
      <w:r>
        <w:tab/>
      </w:r>
      <w:r>
        <w:fldChar w:fldCharType="begin"/>
      </w:r>
      <w:r>
        <w:instrText xml:space="preserve"> PAGEREF _Toc177115926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w:t>
      </w:r>
    </w:p>
    <w:p>
      <w:pPr>
        <w:pStyle w:val="TOC8"/>
        <w:rPr>
          <w:rFonts w:asciiTheme="minorHAnsi" w:eastAsiaTheme="minorEastAsia" w:hAnsiTheme="minorHAnsi" w:cstheme="minorBidi"/>
          <w:szCs w:val="22"/>
        </w:rPr>
      </w:pPr>
      <w:r>
        <w:t>56.</w:t>
      </w:r>
      <w:r>
        <w:tab/>
        <w:t>Proof of service</w:t>
      </w:r>
      <w:r>
        <w:tab/>
      </w:r>
      <w:r>
        <w:fldChar w:fldCharType="begin"/>
      </w:r>
      <w:r>
        <w:instrText xml:space="preserve"> PAGEREF _Toc177115928 \h </w:instrText>
      </w:r>
      <w:r>
        <w:fldChar w:fldCharType="separate"/>
      </w:r>
      <w:r>
        <w:t>46</w:t>
      </w:r>
      <w:r>
        <w:fldChar w:fldCharType="end"/>
      </w:r>
    </w:p>
    <w:p>
      <w:pPr>
        <w:pStyle w:val="TOC8"/>
        <w:rPr>
          <w:rFonts w:asciiTheme="minorHAnsi" w:eastAsiaTheme="minorEastAsia" w:hAnsiTheme="minorHAnsi" w:cstheme="minorBidi"/>
          <w:szCs w:val="22"/>
        </w:rPr>
      </w:pPr>
      <w:r>
        <w:t>57.</w:t>
      </w:r>
      <w:r>
        <w:tab/>
        <w:t>Protection from personal liability</w:t>
      </w:r>
      <w:r>
        <w:tab/>
      </w:r>
      <w:r>
        <w:fldChar w:fldCharType="begin"/>
      </w:r>
      <w:r>
        <w:instrText xml:space="preserve"> PAGEREF _Toc177115929 \h </w:instrText>
      </w:r>
      <w:r>
        <w:fldChar w:fldCharType="separate"/>
      </w:r>
      <w:r>
        <w:t>46</w:t>
      </w:r>
      <w:r>
        <w:fldChar w:fldCharType="end"/>
      </w:r>
    </w:p>
    <w:p>
      <w:pPr>
        <w:pStyle w:val="TOC8"/>
        <w:rPr>
          <w:rFonts w:asciiTheme="minorHAnsi" w:eastAsiaTheme="minorEastAsia" w:hAnsiTheme="minorHAnsi" w:cstheme="minorBidi"/>
          <w:szCs w:val="22"/>
        </w:rPr>
      </w:pPr>
      <w:r>
        <w:t>58.</w:t>
      </w:r>
      <w:r>
        <w:tab/>
        <w:t>Delegation by Commissioner of Police of revocation or variation functions</w:t>
      </w:r>
      <w:r>
        <w:tab/>
      </w:r>
      <w:r>
        <w:fldChar w:fldCharType="begin"/>
      </w:r>
      <w:r>
        <w:instrText xml:space="preserve"> PAGEREF _Toc177115930 \h </w:instrText>
      </w:r>
      <w:r>
        <w:fldChar w:fldCharType="separate"/>
      </w:r>
      <w:r>
        <w:t>47</w:t>
      </w:r>
      <w:r>
        <w:fldChar w:fldCharType="end"/>
      </w:r>
    </w:p>
    <w:p>
      <w:pPr>
        <w:pStyle w:val="TOC8"/>
        <w:rPr>
          <w:rFonts w:asciiTheme="minorHAnsi" w:eastAsiaTheme="minorEastAsia" w:hAnsiTheme="minorHAnsi" w:cstheme="minorBidi"/>
          <w:szCs w:val="22"/>
        </w:rPr>
      </w:pPr>
      <w:r>
        <w:t>59.</w:t>
      </w:r>
      <w:r>
        <w:tab/>
        <w:t>Delegation by Commissioner of Police of insignia removal function</w:t>
      </w:r>
      <w:r>
        <w:tab/>
      </w:r>
      <w:r>
        <w:fldChar w:fldCharType="begin"/>
      </w:r>
      <w:r>
        <w:instrText xml:space="preserve"> PAGEREF _Toc177115931 \h </w:instrText>
      </w:r>
      <w:r>
        <w:fldChar w:fldCharType="separate"/>
      </w:r>
      <w:r>
        <w:t>48</w:t>
      </w:r>
      <w:r>
        <w:fldChar w:fldCharType="end"/>
      </w:r>
    </w:p>
    <w:p>
      <w:pPr>
        <w:pStyle w:val="TOC8"/>
        <w:rPr>
          <w:rFonts w:asciiTheme="minorHAnsi" w:eastAsiaTheme="minorEastAsia" w:hAnsiTheme="minorHAnsi" w:cstheme="minorBidi"/>
          <w:szCs w:val="22"/>
        </w:rPr>
      </w:pPr>
      <w:r>
        <w:t>60.</w:t>
      </w:r>
      <w:r>
        <w:tab/>
        <w:t>Delegation by Parliamentary Commissioner</w:t>
      </w:r>
      <w:r>
        <w:tab/>
      </w:r>
      <w:r>
        <w:fldChar w:fldCharType="begin"/>
      </w:r>
      <w:r>
        <w:instrText xml:space="preserve"> PAGEREF _Toc177115932 \h </w:instrText>
      </w:r>
      <w:r>
        <w:fldChar w:fldCharType="separate"/>
      </w:r>
      <w:r>
        <w:t>48</w:t>
      </w:r>
      <w:r>
        <w:fldChar w:fldCharType="end"/>
      </w:r>
    </w:p>
    <w:p>
      <w:pPr>
        <w:pStyle w:val="TOC8"/>
        <w:rPr>
          <w:rFonts w:asciiTheme="minorHAnsi" w:eastAsiaTheme="minorEastAsia" w:hAnsiTheme="minorHAnsi" w:cstheme="minorBidi"/>
          <w:szCs w:val="22"/>
        </w:rPr>
      </w:pPr>
      <w:r>
        <w:t>61.</w:t>
      </w:r>
      <w:r>
        <w:tab/>
        <w:t>Regulations</w:t>
      </w:r>
      <w:r>
        <w:tab/>
      </w:r>
      <w:r>
        <w:fldChar w:fldCharType="begin"/>
      </w:r>
      <w:r>
        <w:instrText xml:space="preserve"> PAGEREF _Toc177115933 \h </w:instrText>
      </w:r>
      <w:r>
        <w:fldChar w:fldCharType="separate"/>
      </w:r>
      <w:r>
        <w:t>49</w:t>
      </w:r>
      <w:r>
        <w:fldChar w:fldCharType="end"/>
      </w:r>
    </w:p>
    <w:p>
      <w:pPr>
        <w:pStyle w:val="TOC8"/>
        <w:rPr>
          <w:rFonts w:asciiTheme="minorHAnsi" w:eastAsiaTheme="minorEastAsia" w:hAnsiTheme="minorHAnsi" w:cstheme="minorBidi"/>
          <w:szCs w:val="22"/>
        </w:rPr>
      </w:pPr>
      <w:r>
        <w:t>62.</w:t>
      </w:r>
      <w:r>
        <w:tab/>
        <w:t>Review of Act</w:t>
      </w:r>
      <w:r>
        <w:tab/>
      </w:r>
      <w:r>
        <w:fldChar w:fldCharType="begin"/>
      </w:r>
      <w:r>
        <w:instrText xml:space="preserve"> PAGEREF _Toc177115934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Other Acts amended</w:t>
      </w:r>
    </w:p>
    <w:p>
      <w:pPr>
        <w:pStyle w:val="TOC4"/>
        <w:tabs>
          <w:tab w:val="right" w:leader="dot" w:pos="7077"/>
        </w:tabs>
        <w:rPr>
          <w:rFonts w:asciiTheme="minorHAnsi" w:eastAsiaTheme="minorEastAsia" w:hAnsiTheme="minorHAnsi" w:cstheme="minorBidi"/>
          <w:b w:val="0"/>
          <w:szCs w:val="22"/>
        </w:rPr>
      </w:pPr>
      <w:r>
        <w:t>Division 1 — </w:t>
      </w:r>
      <w:r>
        <w:rPr>
          <w:i/>
        </w:rPr>
        <w:t>Community Protection (Offender Reporting) Act 2004</w:t>
      </w:r>
      <w:r>
        <w:t xml:space="preserve"> amended</w:t>
      </w:r>
    </w:p>
    <w:p>
      <w:pPr>
        <w:pStyle w:val="TOC8"/>
        <w:rPr>
          <w:rFonts w:asciiTheme="minorHAnsi" w:eastAsiaTheme="minorEastAsia" w:hAnsiTheme="minorHAnsi" w:cstheme="minorBidi"/>
          <w:szCs w:val="22"/>
        </w:rPr>
      </w:pPr>
      <w:r>
        <w:t>63.</w:t>
      </w:r>
      <w:r>
        <w:tab/>
        <w:t>Act amended</w:t>
      </w:r>
      <w:r>
        <w:tab/>
      </w:r>
      <w:r>
        <w:fldChar w:fldCharType="begin"/>
      </w:r>
      <w:r>
        <w:instrText xml:space="preserve"> PAGEREF _Toc177115937 \h </w:instrText>
      </w:r>
      <w:r>
        <w:fldChar w:fldCharType="separate"/>
      </w:r>
      <w:r>
        <w:t>50</w:t>
      </w:r>
      <w:r>
        <w:fldChar w:fldCharType="end"/>
      </w:r>
    </w:p>
    <w:p>
      <w:pPr>
        <w:pStyle w:val="TOC8"/>
        <w:rPr>
          <w:rFonts w:asciiTheme="minorHAnsi" w:eastAsiaTheme="minorEastAsia" w:hAnsiTheme="minorHAnsi" w:cstheme="minorBidi"/>
          <w:szCs w:val="22"/>
        </w:rPr>
      </w:pPr>
      <w:r>
        <w:t>64.</w:t>
      </w:r>
      <w:r>
        <w:tab/>
        <w:t>Schedule 2 amended</w:t>
      </w:r>
      <w:r>
        <w:tab/>
      </w:r>
      <w:r>
        <w:fldChar w:fldCharType="begin"/>
      </w:r>
      <w:r>
        <w:instrText xml:space="preserve"> PAGEREF _Toc177115938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The Criminal Code</w:t>
      </w:r>
      <w:r>
        <w:t xml:space="preserve"> amended</w:t>
      </w:r>
    </w:p>
    <w:p>
      <w:pPr>
        <w:pStyle w:val="TOC8"/>
        <w:rPr>
          <w:rFonts w:asciiTheme="minorHAnsi" w:eastAsiaTheme="minorEastAsia" w:hAnsiTheme="minorHAnsi" w:cstheme="minorBidi"/>
          <w:szCs w:val="22"/>
        </w:rPr>
      </w:pPr>
      <w:r>
        <w:t>65.</w:t>
      </w:r>
      <w:r>
        <w:tab/>
        <w:t xml:space="preserve">Act </w:t>
      </w:r>
      <w:r>
        <w:rPr>
          <w:iCs/>
        </w:rPr>
        <w:t>amended</w:t>
      </w:r>
      <w:r>
        <w:tab/>
      </w:r>
      <w:r>
        <w:fldChar w:fldCharType="begin"/>
      </w:r>
      <w:r>
        <w:instrText xml:space="preserve"> PAGEREF _Toc177115940 \h </w:instrText>
      </w:r>
      <w:r>
        <w:fldChar w:fldCharType="separate"/>
      </w:r>
      <w:r>
        <w:t>51</w:t>
      </w:r>
      <w:r>
        <w:fldChar w:fldCharType="end"/>
      </w:r>
    </w:p>
    <w:p>
      <w:pPr>
        <w:pStyle w:val="TOC8"/>
        <w:rPr>
          <w:rFonts w:asciiTheme="minorHAnsi" w:eastAsiaTheme="minorEastAsia" w:hAnsiTheme="minorHAnsi" w:cstheme="minorBidi"/>
          <w:szCs w:val="22"/>
        </w:rPr>
      </w:pPr>
      <w:r>
        <w:t>66.</w:t>
      </w:r>
      <w:r>
        <w:tab/>
        <w:t>Section 557J deleted</w:t>
      </w:r>
      <w:r>
        <w:tab/>
      </w:r>
      <w:r>
        <w:fldChar w:fldCharType="begin"/>
      </w:r>
      <w:r>
        <w:instrText xml:space="preserve"> PAGEREF _Toc177115941 \h </w:instrText>
      </w:r>
      <w:r>
        <w:fldChar w:fldCharType="separate"/>
      </w:r>
      <w:r>
        <w:t>51</w:t>
      </w:r>
      <w:r>
        <w:fldChar w:fldCharType="end"/>
      </w:r>
    </w:p>
    <w:p>
      <w:pPr>
        <w:pStyle w:val="TOC8"/>
        <w:rPr>
          <w:rFonts w:asciiTheme="minorHAnsi" w:eastAsiaTheme="minorEastAsia" w:hAnsiTheme="minorHAnsi" w:cstheme="minorBidi"/>
          <w:szCs w:val="22"/>
        </w:rPr>
      </w:pPr>
      <w:r>
        <w:t>68.</w:t>
      </w:r>
      <w:r>
        <w:tab/>
        <w:t>Schedule 1 clause 4 inserted</w:t>
      </w:r>
      <w:r>
        <w:tab/>
      </w:r>
      <w:r>
        <w:fldChar w:fldCharType="begin"/>
      </w:r>
      <w:r>
        <w:instrText xml:space="preserve"> PAGEREF _Toc177115942 \h </w:instrText>
      </w:r>
      <w:r>
        <w:fldChar w:fldCharType="separate"/>
      </w:r>
      <w:r>
        <w:t>51</w:t>
      </w:r>
      <w:r>
        <w:fldChar w:fldCharType="end"/>
      </w:r>
    </w:p>
    <w:p>
      <w:pPr>
        <w:pStyle w:val="TOC9"/>
        <w:rPr>
          <w:rFonts w:asciiTheme="minorHAnsi" w:eastAsiaTheme="minorEastAsia" w:hAnsiTheme="minorHAnsi" w:cstheme="minorBidi"/>
          <w:noProof/>
          <w:sz w:val="22"/>
          <w:szCs w:val="22"/>
        </w:rPr>
      </w:pPr>
      <w:r>
        <w:rPr>
          <w:noProof/>
        </w:rPr>
        <w:t>4.</w:t>
      </w:r>
      <w:r>
        <w:rPr>
          <w:noProof/>
        </w:rPr>
        <w:tab/>
        <w:t xml:space="preserve">Transitional provisions for </w:t>
      </w:r>
      <w:r>
        <w:rPr>
          <w:i/>
          <w:noProof/>
        </w:rPr>
        <w:t>Criminal Law (Unlawful Consorting and Prohibited Insignia) Act 2021</w:t>
      </w:r>
      <w:r>
        <w:rPr>
          <w:noProof/>
        </w:rPr>
        <w:tab/>
      </w:r>
      <w:r>
        <w:rPr>
          <w:noProof/>
        </w:rPr>
        <w:fldChar w:fldCharType="begin"/>
      </w:r>
      <w:r>
        <w:rPr>
          <w:noProof/>
        </w:rPr>
        <w:instrText xml:space="preserve"> PAGEREF _Toc177115943 \h </w:instrText>
      </w:r>
      <w:r>
        <w:rPr>
          <w:noProof/>
        </w:rPr>
      </w:r>
      <w:r>
        <w:rPr>
          <w:noProof/>
        </w:rPr>
        <w:fldChar w:fldCharType="separate"/>
      </w:r>
      <w:r>
        <w:rPr>
          <w:noProof/>
        </w:rPr>
        <w:t>51</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Schedule 1 — Child sex offences</w:t>
      </w:r>
    </w:p>
    <w:p>
      <w:pPr>
        <w:pStyle w:val="TOC2"/>
        <w:tabs>
          <w:tab w:val="right" w:leader="dot" w:pos="7077"/>
        </w:tabs>
        <w:rPr>
          <w:rFonts w:asciiTheme="minorHAnsi" w:eastAsiaTheme="minorEastAsia" w:hAnsiTheme="minorHAnsi" w:cstheme="minorBidi"/>
          <w:b w:val="0"/>
          <w:sz w:val="22"/>
          <w:szCs w:val="22"/>
        </w:rPr>
      </w:pPr>
      <w:r>
        <w:t>Schedule 2 — Identified organisations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_Toc177115947 \h </w:instrText>
      </w:r>
      <w:r>
        <w:fldChar w:fldCharType="separate"/>
      </w:r>
      <w:r>
        <w:t>56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_Toc177115948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 w:after="360"/>
      </w:pPr>
      <w:r>
        <w:t>Criminal Law (Unlawful Consorting and Prohibited Insignia) Act 2021</w:t>
      </w:r>
    </w:p>
    <w:p>
      <w:pPr>
        <w:pStyle w:val="LongTitle"/>
      </w:pPr>
      <w:bookmarkStart w:id="2" w:name="BillCited"/>
      <w:bookmarkEnd w:id="2"/>
      <w:r>
        <w:t xml:space="preserve">An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77114152"/>
      <w:bookmarkStart w:id="4" w:name="_Toc177114427"/>
      <w:bookmarkStart w:id="5" w:name="_Toc17711585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77115857"/>
      <w:r>
        <w:rPr>
          <w:rStyle w:val="CharSectno"/>
        </w:rPr>
        <w:t>1</w:t>
      </w:r>
      <w:r>
        <w:t>.</w:t>
      </w:r>
      <w:r>
        <w:tab/>
        <w:t>Short title</w:t>
      </w:r>
      <w:bookmarkEnd w:id="6"/>
    </w:p>
    <w:p>
      <w:pPr>
        <w:pStyle w:val="Subsection"/>
      </w:pPr>
      <w:r>
        <w:tab/>
      </w:r>
      <w:r>
        <w:tab/>
        <w:t>This is the</w:t>
      </w:r>
      <w:r>
        <w:rPr>
          <w:i/>
        </w:rPr>
        <w:t xml:space="preserve"> Criminal Law (Unlawful Consorting and Prohibited Insignia) Act 2021</w:t>
      </w:r>
      <w:r>
        <w:t>.</w:t>
      </w:r>
    </w:p>
    <w:p>
      <w:pPr>
        <w:pStyle w:val="Heading5"/>
      </w:pPr>
      <w:bookmarkStart w:id="7" w:name="_Toc177115858"/>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8" w:name="_Toc177115859"/>
      <w:r>
        <w:rPr>
          <w:rStyle w:val="CharSectno"/>
        </w:rPr>
        <w:t>3</w:t>
      </w:r>
      <w:r>
        <w:t>.</w:t>
      </w:r>
      <w:r>
        <w:tab/>
        <w:t>Terms used</w:t>
      </w:r>
      <w:bookmarkEnd w:id="8"/>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lastRenderedPageBreak/>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lastRenderedPageBreak/>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9" w:name="_Toc177115860"/>
      <w:r>
        <w:rPr>
          <w:rStyle w:val="CharSectno"/>
        </w:rPr>
        <w:t>4</w:t>
      </w:r>
      <w:r>
        <w:t>.</w:t>
      </w:r>
      <w:r>
        <w:tab/>
        <w:t>Family member</w:t>
      </w:r>
      <w:bookmarkEnd w:id="9"/>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lastRenderedPageBreak/>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10" w:name="_Toc177115861"/>
      <w:r>
        <w:rPr>
          <w:rStyle w:val="CharSectno"/>
        </w:rPr>
        <w:t>5</w:t>
      </w:r>
      <w:r>
        <w:t>.</w:t>
      </w:r>
      <w:r>
        <w:tab/>
        <w:t>Act binds Crown</w:t>
      </w:r>
      <w:bookmarkEnd w:id="10"/>
    </w:p>
    <w:p>
      <w:pPr>
        <w:pStyle w:val="Subsection"/>
      </w:pPr>
      <w:r>
        <w:tab/>
      </w:r>
      <w:r>
        <w:tab/>
        <w:t>This Act binds the Crown in right of Western Australia and, so far as the legislative power of the Parliament permits, the Crown in all its other capacities.</w:t>
      </w:r>
    </w:p>
    <w:p>
      <w:pPr>
        <w:pStyle w:val="Heading2"/>
      </w:pPr>
      <w:bookmarkStart w:id="11" w:name="_Toc177114158"/>
      <w:bookmarkStart w:id="12" w:name="_Toc177114433"/>
      <w:bookmarkStart w:id="13" w:name="_Toc177115862"/>
      <w:r>
        <w:rPr>
          <w:rStyle w:val="CharPartNo"/>
        </w:rPr>
        <w:lastRenderedPageBreak/>
        <w:t>Part 2</w:t>
      </w:r>
      <w:r>
        <w:t> — </w:t>
      </w:r>
      <w:r>
        <w:rPr>
          <w:rStyle w:val="CharPartText"/>
        </w:rPr>
        <w:t>Consorting contrary to unlawful consorting notices</w:t>
      </w:r>
      <w:bookmarkEnd w:id="11"/>
      <w:bookmarkEnd w:id="12"/>
      <w:bookmarkEnd w:id="13"/>
    </w:p>
    <w:p>
      <w:pPr>
        <w:pStyle w:val="Heading3"/>
      </w:pPr>
      <w:bookmarkStart w:id="14" w:name="_Toc177114159"/>
      <w:bookmarkStart w:id="15" w:name="_Toc177114434"/>
      <w:bookmarkStart w:id="16" w:name="_Toc177115863"/>
      <w:r>
        <w:rPr>
          <w:rStyle w:val="CharDivNo"/>
        </w:rPr>
        <w:t>Division 1</w:t>
      </w:r>
      <w:r>
        <w:t> — </w:t>
      </w:r>
      <w:r>
        <w:rPr>
          <w:rStyle w:val="CharDivText"/>
        </w:rPr>
        <w:t>Preliminary</w:t>
      </w:r>
      <w:bookmarkEnd w:id="14"/>
      <w:bookmarkEnd w:id="15"/>
      <w:bookmarkEnd w:id="16"/>
    </w:p>
    <w:p>
      <w:pPr>
        <w:pStyle w:val="Heading5"/>
      </w:pPr>
      <w:bookmarkStart w:id="17" w:name="_Toc177115864"/>
      <w:r>
        <w:rPr>
          <w:rStyle w:val="CharSectno"/>
        </w:rPr>
        <w:t>6</w:t>
      </w:r>
      <w:r>
        <w:t>.</w:t>
      </w:r>
      <w:r>
        <w:tab/>
        <w:t>Terms used</w:t>
      </w:r>
      <w:bookmarkEnd w:id="17"/>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lastRenderedPageBreak/>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18" w:name="_Toc177115865"/>
      <w:r>
        <w:rPr>
          <w:rStyle w:val="CharSectno"/>
        </w:rPr>
        <w:t>7</w:t>
      </w:r>
      <w:r>
        <w:t>.</w:t>
      </w:r>
      <w:r>
        <w:tab/>
        <w:t>Child sex offence</w:t>
      </w:r>
      <w:bookmarkEnd w:id="18"/>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19" w:name="_Toc177115866"/>
      <w:r>
        <w:rPr>
          <w:rStyle w:val="CharSectno"/>
        </w:rPr>
        <w:t>8</w:t>
      </w:r>
      <w:r>
        <w:t>.</w:t>
      </w:r>
      <w:r>
        <w:tab/>
        <w:t>Objects of Part</w:t>
      </w:r>
      <w:bookmarkEnd w:id="19"/>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20" w:name="_Toc177114163"/>
      <w:bookmarkStart w:id="21" w:name="_Toc177114438"/>
      <w:bookmarkStart w:id="22" w:name="_Toc177115867"/>
      <w:r>
        <w:rPr>
          <w:rStyle w:val="CharDivNo"/>
        </w:rPr>
        <w:t>Division 2</w:t>
      </w:r>
      <w:r>
        <w:t> — </w:t>
      </w:r>
      <w:r>
        <w:rPr>
          <w:rStyle w:val="CharDivText"/>
        </w:rPr>
        <w:t>Unlawful consorting notices</w:t>
      </w:r>
      <w:bookmarkEnd w:id="20"/>
      <w:bookmarkEnd w:id="21"/>
      <w:bookmarkEnd w:id="22"/>
    </w:p>
    <w:p>
      <w:pPr>
        <w:pStyle w:val="Heading5"/>
      </w:pPr>
      <w:bookmarkStart w:id="23" w:name="_Toc177115868"/>
      <w:r>
        <w:rPr>
          <w:rStyle w:val="CharSectno"/>
        </w:rPr>
        <w:t>9</w:t>
      </w:r>
      <w:r>
        <w:t>.</w:t>
      </w:r>
      <w:r>
        <w:tab/>
        <w:t>Issue of unlawful consorting notice</w:t>
      </w:r>
      <w:bookmarkEnd w:id="23"/>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lastRenderedPageBreak/>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24" w:name="_Toc177115869"/>
      <w:r>
        <w:rPr>
          <w:rStyle w:val="CharSectno"/>
        </w:rPr>
        <w:t>10</w:t>
      </w:r>
      <w:r>
        <w:t>.</w:t>
      </w:r>
      <w:r>
        <w:tab/>
        <w:t>Content of unlawful consorting notice</w:t>
      </w:r>
      <w:bookmarkEnd w:id="24"/>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lastRenderedPageBreak/>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25" w:name="_Toc177115870"/>
      <w:r>
        <w:rPr>
          <w:rStyle w:val="CharSectno"/>
        </w:rPr>
        <w:t>11</w:t>
      </w:r>
      <w:r>
        <w:t>.</w:t>
      </w:r>
      <w:r>
        <w:tab/>
        <w:t>Service of unlawful consorting notice</w:t>
      </w:r>
      <w:bookmarkEnd w:id="25"/>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26" w:name="_Toc177115871"/>
      <w:r>
        <w:rPr>
          <w:rStyle w:val="CharSectno"/>
        </w:rPr>
        <w:t>12</w:t>
      </w:r>
      <w:r>
        <w:t>.</w:t>
      </w:r>
      <w:r>
        <w:tab/>
        <w:t>Further service of unlawful consorting notice when served orally</w:t>
      </w:r>
      <w:bookmarkEnd w:id="26"/>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 xml:space="preserve">For the purposes of subsection (1)(a), the police officer must serve, by a relevant service method, a written record of the </w:t>
      </w:r>
      <w:r>
        <w:lastRenderedPageBreak/>
        <w:t>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27" w:name="_Toc177115872"/>
      <w:r>
        <w:rPr>
          <w:rStyle w:val="CharSectno"/>
        </w:rPr>
        <w:t>13</w:t>
      </w:r>
      <w:r>
        <w:t>.</w:t>
      </w:r>
      <w:r>
        <w:tab/>
        <w:t>Duration of unlawful consorting notice</w:t>
      </w:r>
      <w:bookmarkEnd w:id="27"/>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28" w:name="_Toc177115873"/>
      <w:r>
        <w:rPr>
          <w:rStyle w:val="CharSectno"/>
        </w:rPr>
        <w:t>14</w:t>
      </w:r>
      <w:r>
        <w:t>.</w:t>
      </w:r>
      <w:r>
        <w:tab/>
        <w:t>Correcting mistakes in unlawful consorting notice</w:t>
      </w:r>
      <w:bookmarkEnd w:id="28"/>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29" w:name="_Toc177115874"/>
      <w:r>
        <w:rPr>
          <w:rStyle w:val="CharSectno"/>
        </w:rPr>
        <w:lastRenderedPageBreak/>
        <w:t>15</w:t>
      </w:r>
      <w:r>
        <w:t>.</w:t>
      </w:r>
      <w:r>
        <w:tab/>
        <w:t>Revocation of unlawful consorting notice</w:t>
      </w:r>
      <w:bookmarkEnd w:id="29"/>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lastRenderedPageBreak/>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30" w:name="_Toc177115875"/>
      <w:r>
        <w:rPr>
          <w:rStyle w:val="CharSectno"/>
        </w:rPr>
        <w:t>16</w:t>
      </w:r>
      <w:r>
        <w:t>.</w:t>
      </w:r>
      <w:r>
        <w:tab/>
        <w:t>Variation of unlawful consorting notice</w:t>
      </w:r>
      <w:bookmarkEnd w:id="30"/>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lastRenderedPageBreak/>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31" w:name="_Toc177115876"/>
      <w:r>
        <w:rPr>
          <w:rStyle w:val="CharSectno"/>
        </w:rPr>
        <w:t>17</w:t>
      </w:r>
      <w:r>
        <w:t>.</w:t>
      </w:r>
      <w:r>
        <w:tab/>
        <w:t>Offence of consorting contrary to unlawful consorting notice</w:t>
      </w:r>
      <w:bookmarkEnd w:id="31"/>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lastRenderedPageBreak/>
        <w:tab/>
        <w:t>(b)</w:t>
      </w:r>
      <w:r>
        <w:tab/>
        <w:t>that the consorting would have led to engaging in conduct constituting an indictable offence.</w:t>
      </w:r>
    </w:p>
    <w:p>
      <w:pPr>
        <w:pStyle w:val="Heading5"/>
      </w:pPr>
      <w:bookmarkStart w:id="32" w:name="_Toc177115877"/>
      <w:r>
        <w:rPr>
          <w:rStyle w:val="CharSectno"/>
        </w:rPr>
        <w:t>18</w:t>
      </w:r>
      <w:r>
        <w:t>.</w:t>
      </w:r>
      <w:r>
        <w:tab/>
        <w:t>Defences to charge of consorting contrary to unlawful consorting notice</w:t>
      </w:r>
      <w:bookmarkEnd w:id="32"/>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lastRenderedPageBreak/>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33" w:name="_Toc177114174"/>
      <w:bookmarkStart w:id="34" w:name="_Toc177114449"/>
      <w:bookmarkStart w:id="35" w:name="_Toc177115878"/>
      <w:r>
        <w:rPr>
          <w:rStyle w:val="CharDivNo"/>
        </w:rPr>
        <w:t>Division 3</w:t>
      </w:r>
      <w:r>
        <w:t> — </w:t>
      </w:r>
      <w:r>
        <w:rPr>
          <w:rStyle w:val="CharDivText"/>
        </w:rPr>
        <w:t>Police powers</w:t>
      </w:r>
      <w:bookmarkEnd w:id="33"/>
      <w:bookmarkEnd w:id="34"/>
      <w:bookmarkEnd w:id="35"/>
    </w:p>
    <w:p>
      <w:pPr>
        <w:pStyle w:val="Heading5"/>
      </w:pPr>
      <w:bookmarkStart w:id="36" w:name="_Toc177115879"/>
      <w:r>
        <w:rPr>
          <w:rStyle w:val="CharSectno"/>
        </w:rPr>
        <w:t>19</w:t>
      </w:r>
      <w:r>
        <w:t>.</w:t>
      </w:r>
      <w:r>
        <w:tab/>
        <w:t>Police powers relating to unlawful consorting notices</w:t>
      </w:r>
      <w:bookmarkEnd w:id="36"/>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lastRenderedPageBreak/>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lastRenderedPageBreak/>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37" w:name="_Toc177115880"/>
      <w:r>
        <w:rPr>
          <w:rStyle w:val="CharSectno"/>
        </w:rPr>
        <w:t>20</w:t>
      </w:r>
      <w:r>
        <w:t>.</w:t>
      </w:r>
      <w:r>
        <w:tab/>
        <w:t>Offence of failure to comply with directions of police officer</w:t>
      </w:r>
      <w:bookmarkEnd w:id="37"/>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lastRenderedPageBreak/>
        <w:tab/>
        <w:t>(4)</w:t>
      </w:r>
      <w:r>
        <w:tab/>
        <w:t>It is not a defence to a charge of an offence under subsection (2) or (3) that information required to be given would or might incriminate the person.</w:t>
      </w:r>
    </w:p>
    <w:p>
      <w:pPr>
        <w:pStyle w:val="Heading2"/>
      </w:pPr>
      <w:bookmarkStart w:id="38" w:name="_Toc177114177"/>
      <w:bookmarkStart w:id="39" w:name="_Toc177114452"/>
      <w:bookmarkStart w:id="40" w:name="_Toc177115881"/>
      <w:r>
        <w:rPr>
          <w:rStyle w:val="CharPartNo"/>
        </w:rPr>
        <w:lastRenderedPageBreak/>
        <w:t>Part 3</w:t>
      </w:r>
      <w:r>
        <w:t> — </w:t>
      </w:r>
      <w:r>
        <w:rPr>
          <w:rStyle w:val="CharPartText"/>
        </w:rPr>
        <w:t>Prohibited insignia and consorting contrary to dispersal notices</w:t>
      </w:r>
      <w:bookmarkEnd w:id="38"/>
      <w:bookmarkEnd w:id="39"/>
      <w:bookmarkEnd w:id="40"/>
    </w:p>
    <w:p>
      <w:pPr>
        <w:pStyle w:val="Heading3"/>
      </w:pPr>
      <w:bookmarkStart w:id="41" w:name="_Toc177114178"/>
      <w:bookmarkStart w:id="42" w:name="_Toc177114453"/>
      <w:bookmarkStart w:id="43" w:name="_Toc177115882"/>
      <w:r>
        <w:rPr>
          <w:rStyle w:val="CharDivNo"/>
        </w:rPr>
        <w:t>Division 1</w:t>
      </w:r>
      <w:r>
        <w:t> — </w:t>
      </w:r>
      <w:r>
        <w:rPr>
          <w:rStyle w:val="CharDivText"/>
        </w:rPr>
        <w:t>Preliminary</w:t>
      </w:r>
      <w:bookmarkEnd w:id="41"/>
      <w:bookmarkEnd w:id="42"/>
      <w:bookmarkEnd w:id="43"/>
    </w:p>
    <w:p>
      <w:pPr>
        <w:pStyle w:val="Heading5"/>
      </w:pPr>
      <w:bookmarkStart w:id="44" w:name="_Toc177115883"/>
      <w:r>
        <w:rPr>
          <w:rStyle w:val="CharSectno"/>
        </w:rPr>
        <w:t>21</w:t>
      </w:r>
      <w:r>
        <w:t>.</w:t>
      </w:r>
      <w:r>
        <w:tab/>
        <w:t>Terms used</w:t>
      </w:r>
      <w:bookmarkEnd w:id="44"/>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lastRenderedPageBreak/>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45" w:name="_Toc177115884"/>
      <w:r>
        <w:rPr>
          <w:rStyle w:val="CharSectno"/>
        </w:rPr>
        <w:t>22</w:t>
      </w:r>
      <w:r>
        <w:t>.</w:t>
      </w:r>
      <w:r>
        <w:tab/>
        <w:t>Insignia of identified organisation</w:t>
      </w:r>
      <w:bookmarkEnd w:id="45"/>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46" w:name="_Toc177115885"/>
      <w:r>
        <w:rPr>
          <w:rStyle w:val="CharSectno"/>
        </w:rPr>
        <w:lastRenderedPageBreak/>
        <w:t>23</w:t>
      </w:r>
      <w:r>
        <w:t>.</w:t>
      </w:r>
      <w:r>
        <w:tab/>
        <w:t>Objects of Part</w:t>
      </w:r>
      <w:bookmarkEnd w:id="46"/>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47" w:name="_Toc177114182"/>
      <w:bookmarkStart w:id="48" w:name="_Toc177114457"/>
      <w:bookmarkStart w:id="49" w:name="_Toc177115886"/>
      <w:r>
        <w:rPr>
          <w:rStyle w:val="CharDivNo"/>
        </w:rPr>
        <w:lastRenderedPageBreak/>
        <w:t>Division 2</w:t>
      </w:r>
      <w:r>
        <w:t> — </w:t>
      </w:r>
      <w:r>
        <w:rPr>
          <w:rStyle w:val="CharDivText"/>
        </w:rPr>
        <w:t>Prohibited insignia</w:t>
      </w:r>
      <w:bookmarkEnd w:id="47"/>
      <w:bookmarkEnd w:id="48"/>
      <w:bookmarkEnd w:id="49"/>
    </w:p>
    <w:p>
      <w:pPr>
        <w:pStyle w:val="Heading4"/>
      </w:pPr>
      <w:bookmarkStart w:id="50" w:name="_Toc177114183"/>
      <w:bookmarkStart w:id="51" w:name="_Toc177114458"/>
      <w:bookmarkStart w:id="52" w:name="_Toc177115887"/>
      <w:r>
        <w:t>Subdivision 1 — Display of insignia of identified organisations in public places prohibited</w:t>
      </w:r>
      <w:bookmarkEnd w:id="50"/>
      <w:bookmarkEnd w:id="51"/>
      <w:bookmarkEnd w:id="52"/>
    </w:p>
    <w:p>
      <w:pPr>
        <w:pStyle w:val="Heading5"/>
      </w:pPr>
      <w:bookmarkStart w:id="53" w:name="_Toc177115888"/>
      <w:r>
        <w:rPr>
          <w:rStyle w:val="CharSectno"/>
        </w:rPr>
        <w:t>24</w:t>
      </w:r>
      <w:r>
        <w:t>.</w:t>
      </w:r>
      <w:r>
        <w:tab/>
        <w:t>Display of insignia of identified organisation in public place</w:t>
      </w:r>
      <w:bookmarkEnd w:id="53"/>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 xml:space="preserve">Subsection (1) applies — </w:t>
      </w:r>
    </w:p>
    <w:p>
      <w:pPr>
        <w:pStyle w:val="Indenta"/>
      </w:pPr>
      <w:r>
        <w:tab/>
        <w:t>(a)</w:t>
      </w:r>
      <w:r>
        <w:tab/>
        <w:t xml:space="preserve">whether the thing or person marked with insignia of an identified organisation is — </w:t>
      </w:r>
    </w:p>
    <w:p>
      <w:pPr>
        <w:pStyle w:val="Indenti"/>
      </w:pPr>
      <w:r>
        <w:tab/>
        <w:t>(i)</w:t>
      </w:r>
      <w:r>
        <w:tab/>
        <w:t>physically in the public place; or</w:t>
      </w:r>
    </w:p>
    <w:p>
      <w:pPr>
        <w:pStyle w:val="Indenti"/>
      </w:pPr>
      <w:r>
        <w:tab/>
        <w:t>(ii)</w:t>
      </w:r>
      <w:r>
        <w:tab/>
        <w:t>physically in some other place from where the insignia would be visible to another person in the public place;</w:t>
      </w:r>
    </w:p>
    <w:p>
      <w:pPr>
        <w:pStyle w:val="Indenta"/>
      </w:pPr>
      <w:r>
        <w:tab/>
      </w:r>
      <w:r>
        <w:tab/>
        <w:t>and</w:t>
      </w:r>
    </w:p>
    <w:p>
      <w:pPr>
        <w:pStyle w:val="Indenta"/>
      </w:pPr>
      <w:r>
        <w:tab/>
        <w:t>(b)</w:t>
      </w:r>
      <w:r>
        <w:tab/>
        <w:t xml:space="preserve">regardless of whether — </w:t>
      </w:r>
    </w:p>
    <w:p>
      <w:pPr>
        <w:pStyle w:val="Indenti"/>
      </w:pPr>
      <w:r>
        <w:tab/>
        <w:t>(i)</w:t>
      </w:r>
      <w:r>
        <w:tab/>
        <w:t>the insignia is seen by another person; or</w:t>
      </w:r>
    </w:p>
    <w:p>
      <w:pPr>
        <w:pStyle w:val="Indenti"/>
      </w:pPr>
      <w:r>
        <w:tab/>
        <w:t>(ii)</w:t>
      </w:r>
      <w:r>
        <w:tab/>
        <w:t>another person is in the public place.</w:t>
      </w:r>
    </w:p>
    <w:p>
      <w:pPr>
        <w:pStyle w:val="Footnotesection"/>
      </w:pPr>
      <w:r>
        <w:tab/>
        <w:t>[Section 24 amended: No. 29 of 2024 s. 6.]</w:t>
      </w:r>
    </w:p>
    <w:p>
      <w:pPr>
        <w:pStyle w:val="Heading5"/>
      </w:pPr>
      <w:bookmarkStart w:id="54" w:name="_Toc177115889"/>
      <w:r>
        <w:rPr>
          <w:rStyle w:val="CharSectno"/>
        </w:rPr>
        <w:lastRenderedPageBreak/>
        <w:t>25</w:t>
      </w:r>
      <w:r>
        <w:t>.</w:t>
      </w:r>
      <w:r>
        <w:tab/>
        <w:t>Offence of displaying insignia of identified organisation in public place</w:t>
      </w:r>
      <w:bookmarkEnd w:id="54"/>
    </w:p>
    <w:p>
      <w:pPr>
        <w:pStyle w:val="Ednotesubsection"/>
      </w:pPr>
      <w:r>
        <w:tab/>
        <w:t>[(1)</w:t>
      </w:r>
      <w:r>
        <w:tab/>
        <w:t>deleted]</w:t>
      </w:r>
    </w:p>
    <w:p>
      <w:pPr>
        <w:pStyle w:val="Subsection"/>
        <w:keepNext/>
      </w:pPr>
      <w:r>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tab/>
        <w:t>(b)</w:t>
      </w:r>
      <w:r>
        <w:tab/>
        <w:t>in the case of a body corporate — a fine of $60 000.</w:t>
      </w:r>
    </w:p>
    <w:p>
      <w:pPr>
        <w:pStyle w:val="Subsection"/>
      </w:pPr>
      <w:r>
        <w:tab/>
        <w:t>(3)</w:t>
      </w:r>
      <w:r>
        <w:tab/>
        <w:t>Subsection (2) does not apply to an individual who has not reached 18 years of age.</w:t>
      </w:r>
    </w:p>
    <w:p>
      <w:pPr>
        <w:pStyle w:val="Ednotesubsection"/>
      </w:pPr>
      <w:r>
        <w:tab/>
        <w:t>[(4)-(6)</w:t>
      </w:r>
      <w:r>
        <w:tab/>
        <w:t>deleted]</w:t>
      </w:r>
    </w:p>
    <w:p>
      <w:pPr>
        <w:pStyle w:val="Footnotesection"/>
      </w:pPr>
      <w:r>
        <w:tab/>
        <w:t>[Section 25 amended: No. 9 of 2023 s. 45.]</w:t>
      </w:r>
    </w:p>
    <w:p>
      <w:pPr>
        <w:pStyle w:val="Heading5"/>
      </w:pPr>
      <w:bookmarkStart w:id="55" w:name="_Toc177115890"/>
      <w:r>
        <w:rPr>
          <w:rStyle w:val="CharSectno"/>
        </w:rPr>
        <w:t>25A</w:t>
      </w:r>
      <w:r>
        <w:t>.</w:t>
      </w:r>
      <w:r>
        <w:tab/>
        <w:t>Liability of officers for offence by body corporate</w:t>
      </w:r>
      <w:bookmarkEnd w:id="55"/>
    </w:p>
    <w:p>
      <w:pPr>
        <w:pStyle w:val="Subsection"/>
      </w:pPr>
      <w:r>
        <w:tab/>
      </w:r>
      <w:r>
        <w:tab/>
      </w:r>
      <w:r>
        <w:rPr>
          <w:i/>
        </w:rPr>
        <w:t>The Criminal Code</w:t>
      </w:r>
      <w:r>
        <w:t xml:space="preserve"> section 41 (which provides for the criminal liability of officers of a body corporate) applies to an offence under section 25(2) of this Act.</w:t>
      </w:r>
    </w:p>
    <w:p>
      <w:pPr>
        <w:pStyle w:val="Footnotesection"/>
      </w:pPr>
      <w:r>
        <w:tab/>
        <w:t>[Section 25A inserted: No. 9 of 2023 s. 46.]</w:t>
      </w:r>
    </w:p>
    <w:p>
      <w:pPr>
        <w:pStyle w:val="Heading5"/>
      </w:pPr>
      <w:bookmarkStart w:id="56" w:name="_Toc177115891"/>
      <w:r>
        <w:rPr>
          <w:rStyle w:val="CharSectno"/>
        </w:rPr>
        <w:t>26</w:t>
      </w:r>
      <w:r>
        <w:t>.</w:t>
      </w:r>
      <w:r>
        <w:tab/>
        <w:t>Defences to charge of displaying insignia of identified organisation in public place</w:t>
      </w:r>
      <w:bookmarkEnd w:id="56"/>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lastRenderedPageBreak/>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57" w:name="_Toc177114188"/>
      <w:bookmarkStart w:id="58" w:name="_Toc177114463"/>
      <w:bookmarkStart w:id="59" w:name="_Toc177115892"/>
      <w:r>
        <w:t>Subdivision 2 — Insignia removal notices</w:t>
      </w:r>
      <w:bookmarkEnd w:id="57"/>
      <w:bookmarkEnd w:id="58"/>
      <w:bookmarkEnd w:id="59"/>
    </w:p>
    <w:p>
      <w:pPr>
        <w:pStyle w:val="Heading5"/>
      </w:pPr>
      <w:bookmarkStart w:id="60" w:name="_Toc177115893"/>
      <w:r>
        <w:rPr>
          <w:rStyle w:val="CharSectno"/>
        </w:rPr>
        <w:t>27</w:t>
      </w:r>
      <w:r>
        <w:t>.</w:t>
      </w:r>
      <w:r>
        <w:tab/>
        <w:t>Issue of insignia removal notice</w:t>
      </w:r>
      <w:bookmarkEnd w:id="60"/>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lastRenderedPageBreak/>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61" w:name="_Toc177115894"/>
      <w:r>
        <w:rPr>
          <w:rStyle w:val="CharSectno"/>
        </w:rPr>
        <w:t>28</w:t>
      </w:r>
      <w:r>
        <w:t>.</w:t>
      </w:r>
      <w:r>
        <w:tab/>
        <w:t>Content of insignia removal notice</w:t>
      </w:r>
      <w:bookmarkEnd w:id="61"/>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within 14 days after the day on which the notice is served, the prohibited thing must be removed 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62" w:name="_Toc177115895"/>
      <w:r>
        <w:rPr>
          <w:rStyle w:val="CharSectno"/>
        </w:rPr>
        <w:lastRenderedPageBreak/>
        <w:t>29</w:t>
      </w:r>
      <w:r>
        <w:t>.</w:t>
      </w:r>
      <w:r>
        <w:tab/>
        <w:t>Service of insignia removal notice</w:t>
      </w:r>
      <w:bookmarkEnd w:id="62"/>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63" w:name="_Toc177115896"/>
      <w:r>
        <w:rPr>
          <w:rStyle w:val="CharSectno"/>
        </w:rPr>
        <w:t>30</w:t>
      </w:r>
      <w:r>
        <w:t>.</w:t>
      </w:r>
      <w:r>
        <w:tab/>
        <w:t>Duration of insignia removal notice</w:t>
      </w:r>
      <w:bookmarkEnd w:id="63"/>
    </w:p>
    <w:p>
      <w:pPr>
        <w:pStyle w:val="Subsection"/>
      </w:pPr>
      <w:r>
        <w:tab/>
        <w:t>(1)</w:t>
      </w:r>
      <w:r>
        <w:tab/>
        <w:t>An insignia removal notice takes effect when the notice is served in accordance with section 29(2).</w:t>
      </w:r>
    </w:p>
    <w:p>
      <w:pPr>
        <w:pStyle w:val="Subsection"/>
      </w:pPr>
      <w:r>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64" w:name="_Toc177115897"/>
      <w:r>
        <w:rPr>
          <w:rStyle w:val="CharSectno"/>
        </w:rPr>
        <w:t>31</w:t>
      </w:r>
      <w:r>
        <w:t>.</w:t>
      </w:r>
      <w:r>
        <w:tab/>
        <w:t>Correcting mistakes in insignia removal notice</w:t>
      </w:r>
      <w:bookmarkEnd w:id="64"/>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lastRenderedPageBreak/>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65" w:name="_Toc177115898"/>
      <w:r>
        <w:rPr>
          <w:rStyle w:val="CharSectno"/>
        </w:rPr>
        <w:t>32</w:t>
      </w:r>
      <w:r>
        <w:t>.</w:t>
      </w:r>
      <w:r>
        <w:tab/>
        <w:t>Revocation of insignia removal notice</w:t>
      </w:r>
      <w:bookmarkEnd w:id="65"/>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lastRenderedPageBreak/>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66" w:name="_Toc177115899"/>
      <w:r>
        <w:rPr>
          <w:rStyle w:val="CharSectno"/>
        </w:rPr>
        <w:t>33</w:t>
      </w:r>
      <w:r>
        <w:t>.</w:t>
      </w:r>
      <w:r>
        <w:tab/>
        <w:t>Offence of hindering removal or modification of prohibited things under insignia removal notice</w:t>
      </w:r>
      <w:bookmarkEnd w:id="66"/>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67" w:name="_Toc177114196"/>
      <w:bookmarkStart w:id="68" w:name="_Toc177114471"/>
      <w:bookmarkStart w:id="69" w:name="_Toc177115900"/>
      <w:r>
        <w:lastRenderedPageBreak/>
        <w:t>Subdivision 3 — Police powers</w:t>
      </w:r>
      <w:bookmarkEnd w:id="67"/>
      <w:bookmarkEnd w:id="68"/>
      <w:bookmarkEnd w:id="69"/>
    </w:p>
    <w:p>
      <w:pPr>
        <w:pStyle w:val="Heading5"/>
      </w:pPr>
      <w:bookmarkStart w:id="70" w:name="_Toc177115901"/>
      <w:r>
        <w:rPr>
          <w:rStyle w:val="CharSectno"/>
        </w:rPr>
        <w:t>34</w:t>
      </w:r>
      <w:r>
        <w:t>.</w:t>
      </w:r>
      <w:r>
        <w:tab/>
        <w:t>Police powers relating to insignia removal notice</w:t>
      </w:r>
      <w:bookmarkEnd w:id="70"/>
    </w:p>
    <w:p>
      <w:pPr>
        <w:pStyle w:val="Subsection"/>
        <w:keepNext/>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tab/>
        <w:t>(5)</w:t>
      </w:r>
      <w:r>
        <w:tab/>
        <w:t>The Commissioner of Police may recover from the owner of the relevant place costs incurred by the Commissioner under this section in a court of competent jurisdiction as a debt due to the State.</w:t>
      </w:r>
    </w:p>
    <w:p>
      <w:pPr>
        <w:pStyle w:val="Heading5"/>
      </w:pPr>
      <w:bookmarkStart w:id="71" w:name="_Toc177115902"/>
      <w:r>
        <w:rPr>
          <w:rStyle w:val="CharSectno"/>
        </w:rPr>
        <w:lastRenderedPageBreak/>
        <w:t>35</w:t>
      </w:r>
      <w:r>
        <w:t>.</w:t>
      </w:r>
      <w:r>
        <w:tab/>
        <w:t>No compensation under this Part</w:t>
      </w:r>
      <w:bookmarkEnd w:id="71"/>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72" w:name="_Toc177114199"/>
      <w:bookmarkStart w:id="73" w:name="_Toc177114474"/>
      <w:bookmarkStart w:id="74" w:name="_Toc177115903"/>
      <w:r>
        <w:rPr>
          <w:rStyle w:val="CharDivNo"/>
        </w:rPr>
        <w:t>Division 3</w:t>
      </w:r>
      <w:r>
        <w:t> — </w:t>
      </w:r>
      <w:r>
        <w:rPr>
          <w:rStyle w:val="CharDivText"/>
        </w:rPr>
        <w:t>Consorting contrary to dispersal notices</w:t>
      </w:r>
      <w:bookmarkEnd w:id="72"/>
      <w:bookmarkEnd w:id="73"/>
      <w:bookmarkEnd w:id="74"/>
    </w:p>
    <w:p>
      <w:pPr>
        <w:pStyle w:val="Heading4"/>
      </w:pPr>
      <w:bookmarkStart w:id="75" w:name="_Toc177114200"/>
      <w:bookmarkStart w:id="76" w:name="_Toc177114475"/>
      <w:bookmarkStart w:id="77" w:name="_Toc177115904"/>
      <w:r>
        <w:t>Subdivision 1 — Dispersal notices</w:t>
      </w:r>
      <w:bookmarkEnd w:id="75"/>
      <w:bookmarkEnd w:id="76"/>
      <w:bookmarkEnd w:id="77"/>
    </w:p>
    <w:p>
      <w:pPr>
        <w:pStyle w:val="Heading5"/>
      </w:pPr>
      <w:bookmarkStart w:id="78" w:name="_Toc177115905"/>
      <w:r>
        <w:rPr>
          <w:rStyle w:val="CharSectno"/>
        </w:rPr>
        <w:t>36</w:t>
      </w:r>
      <w:r>
        <w:t>.</w:t>
      </w:r>
      <w:r>
        <w:tab/>
        <w:t>Issue of dispersal notice</w:t>
      </w:r>
      <w:bookmarkEnd w:id="78"/>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79" w:name="_Toc177115906"/>
      <w:r>
        <w:rPr>
          <w:rStyle w:val="CharSectno"/>
        </w:rPr>
        <w:t>37</w:t>
      </w:r>
      <w:r>
        <w:t>.</w:t>
      </w:r>
      <w:r>
        <w:tab/>
        <w:t>Content of dispersal notice</w:t>
      </w:r>
      <w:bookmarkEnd w:id="79"/>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tab/>
        <w:t>(b)</w:t>
      </w:r>
      <w:r>
        <w:tab/>
        <w:t xml:space="preserve">the name of each person referred to in section 36(b)(ii) (a </w:t>
      </w:r>
      <w:r>
        <w:rPr>
          <w:rStyle w:val="CharDefText"/>
        </w:rPr>
        <w:t>named person</w:t>
      </w:r>
      <w:r>
        <w:t>) with whom the restricted person must not consort in a public place;</w:t>
      </w:r>
    </w:p>
    <w:p>
      <w:pPr>
        <w:pStyle w:val="Indenta"/>
      </w:pPr>
      <w:r>
        <w:lastRenderedPageBreak/>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80" w:name="_Toc177115907"/>
      <w:r>
        <w:rPr>
          <w:rStyle w:val="CharSectno"/>
        </w:rPr>
        <w:t>38</w:t>
      </w:r>
      <w:r>
        <w:t>.</w:t>
      </w:r>
      <w:r>
        <w:tab/>
        <w:t>Service of dispersal notice</w:t>
      </w:r>
      <w:bookmarkEnd w:id="80"/>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81" w:name="_Toc177115908"/>
      <w:r>
        <w:rPr>
          <w:rStyle w:val="CharSectno"/>
        </w:rPr>
        <w:t>39</w:t>
      </w:r>
      <w:r>
        <w:t>.</w:t>
      </w:r>
      <w:r>
        <w:tab/>
        <w:t>Duration of dispersal notice</w:t>
      </w:r>
      <w:bookmarkEnd w:id="81"/>
    </w:p>
    <w:p>
      <w:pPr>
        <w:pStyle w:val="Subsection"/>
      </w:pPr>
      <w:r>
        <w:tab/>
        <w:t>(1)</w:t>
      </w:r>
      <w:r>
        <w:tab/>
        <w:t>A dispersal notice takes effect when the notice is served on the restricted person.</w:t>
      </w:r>
    </w:p>
    <w:p>
      <w:pPr>
        <w:pStyle w:val="Subsection"/>
      </w:pPr>
      <w:r>
        <w:tab/>
        <w:t>(2)</w:t>
      </w:r>
      <w:r>
        <w:tab/>
        <w:t>The dispersal notice remains in effect for a period of 7 days beginning on the day on which it takes effect, unless the notice is revoked sooner under section 41(4).</w:t>
      </w:r>
    </w:p>
    <w:p>
      <w:pPr>
        <w:pStyle w:val="Heading5"/>
      </w:pPr>
      <w:bookmarkStart w:id="82" w:name="_Toc177115909"/>
      <w:r>
        <w:rPr>
          <w:rStyle w:val="CharSectno"/>
        </w:rPr>
        <w:lastRenderedPageBreak/>
        <w:t>40</w:t>
      </w:r>
      <w:r>
        <w:t>.</w:t>
      </w:r>
      <w:r>
        <w:tab/>
        <w:t>Correcting mistakes in dispersal notice</w:t>
      </w:r>
      <w:bookmarkEnd w:id="82"/>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tab/>
        <w:t>(3)</w:t>
      </w:r>
      <w:r>
        <w:tab/>
        <w:t>A dispersal notice corrected under this section has the same validity and effect as if the mistake had not been made.</w:t>
      </w:r>
    </w:p>
    <w:p>
      <w:pPr>
        <w:pStyle w:val="Heading5"/>
      </w:pPr>
      <w:bookmarkStart w:id="83" w:name="_Toc177115910"/>
      <w:r>
        <w:rPr>
          <w:rStyle w:val="CharSectno"/>
        </w:rPr>
        <w:t>41</w:t>
      </w:r>
      <w:r>
        <w:t>.</w:t>
      </w:r>
      <w:r>
        <w:tab/>
        <w:t>Revocation of dispersal notice</w:t>
      </w:r>
      <w:bookmarkEnd w:id="83"/>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 dispersal notice if the </w:t>
      </w:r>
      <w:r>
        <w:lastRenderedPageBreak/>
        <w:t xml:space="preserve">Commissioner is, on an application under subsection (1) or on the Commissioner’s own initiative — </w:t>
      </w:r>
    </w:p>
    <w:p>
      <w:pPr>
        <w:pStyle w:val="Indenta"/>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84" w:name="_Toc177115911"/>
      <w:r>
        <w:rPr>
          <w:rStyle w:val="CharSectno"/>
        </w:rPr>
        <w:t>42</w:t>
      </w:r>
      <w:r>
        <w:t>.</w:t>
      </w:r>
      <w:r>
        <w:tab/>
        <w:t>Offence of consorting contrary to dispersal notice</w:t>
      </w:r>
      <w:bookmarkEnd w:id="84"/>
    </w:p>
    <w:p>
      <w:pPr>
        <w:pStyle w:val="Subsection"/>
      </w:pPr>
      <w:r>
        <w:tab/>
        <w:t>(1)</w:t>
      </w:r>
      <w:r>
        <w:tab/>
        <w:t>A person commits an offence if —</w:t>
      </w:r>
    </w:p>
    <w:p>
      <w:pPr>
        <w:pStyle w:val="Indenta"/>
      </w:pPr>
      <w:r>
        <w:tab/>
        <w:t>(a)</w:t>
      </w:r>
      <w:r>
        <w:tab/>
        <w:t>a dispersal notice is served on the person; and</w:t>
      </w:r>
    </w:p>
    <w:p>
      <w:pPr>
        <w:pStyle w:val="Indenta"/>
      </w:pPr>
      <w:r>
        <w:lastRenderedPageBreak/>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85" w:name="_Toc177115912"/>
      <w:r>
        <w:rPr>
          <w:rStyle w:val="CharSectno"/>
        </w:rPr>
        <w:t>43</w:t>
      </w:r>
      <w:r>
        <w:t>.</w:t>
      </w:r>
      <w:r>
        <w:tab/>
        <w:t>Defences to charge of consorting contrary to dispersal notice</w:t>
      </w:r>
      <w:bookmarkEnd w:id="85"/>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lastRenderedPageBreak/>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86" w:name="_Toc177114209"/>
      <w:bookmarkStart w:id="87" w:name="_Toc177114484"/>
      <w:bookmarkStart w:id="88" w:name="_Toc177115913"/>
      <w:r>
        <w:t>Subdivision 2 — Police powers</w:t>
      </w:r>
      <w:bookmarkEnd w:id="86"/>
      <w:bookmarkEnd w:id="87"/>
      <w:bookmarkEnd w:id="88"/>
    </w:p>
    <w:p>
      <w:pPr>
        <w:pStyle w:val="Heading5"/>
      </w:pPr>
      <w:bookmarkStart w:id="89" w:name="_Toc177115914"/>
      <w:r>
        <w:rPr>
          <w:rStyle w:val="CharSectno"/>
        </w:rPr>
        <w:t>44</w:t>
      </w:r>
      <w:r>
        <w:t>.</w:t>
      </w:r>
      <w:r>
        <w:tab/>
        <w:t>Police powers relating to issue and service of dispersal notices</w:t>
      </w:r>
      <w:bookmarkEnd w:id="89"/>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lastRenderedPageBreak/>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 xml:space="preserve">If the relevant person refuses or fails to comply with a requirement under this section, the police officer may convey the person to, and detain the person at, a place for as long as is </w:t>
      </w:r>
      <w:r>
        <w:lastRenderedPageBreak/>
        <w:t>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90" w:name="_Toc177115915"/>
      <w:r>
        <w:rPr>
          <w:rStyle w:val="CharSectno"/>
        </w:rPr>
        <w:t>45</w:t>
      </w:r>
      <w:r>
        <w:t>.</w:t>
      </w:r>
      <w:r>
        <w:tab/>
        <w:t>Police powers in relation to dispersal notices that have been served and issued</w:t>
      </w:r>
      <w:bookmarkEnd w:id="90"/>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91" w:name="_Toc177115916"/>
      <w:r>
        <w:rPr>
          <w:rStyle w:val="CharSectno"/>
        </w:rPr>
        <w:t>46</w:t>
      </w:r>
      <w:r>
        <w:t>.</w:t>
      </w:r>
      <w:r>
        <w:tab/>
        <w:t>Offence of failure to comply with directions of police officer</w:t>
      </w:r>
      <w:bookmarkEnd w:id="91"/>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lastRenderedPageBreak/>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92" w:name="_Toc177114213"/>
      <w:bookmarkStart w:id="93" w:name="_Toc177114488"/>
      <w:bookmarkStart w:id="94" w:name="_Toc177115917"/>
      <w:r>
        <w:rPr>
          <w:rStyle w:val="CharPartNo"/>
        </w:rPr>
        <w:lastRenderedPageBreak/>
        <w:t>Part 4</w:t>
      </w:r>
      <w:r>
        <w:rPr>
          <w:rStyle w:val="CharDivNo"/>
        </w:rPr>
        <w:t> </w:t>
      </w:r>
      <w:r>
        <w:t>—</w:t>
      </w:r>
      <w:r>
        <w:rPr>
          <w:rStyle w:val="CharDivText"/>
        </w:rPr>
        <w:t> </w:t>
      </w:r>
      <w:r>
        <w:rPr>
          <w:rStyle w:val="CharPartText"/>
        </w:rPr>
        <w:t>Monitoring</w:t>
      </w:r>
      <w:bookmarkEnd w:id="92"/>
      <w:bookmarkEnd w:id="93"/>
      <w:bookmarkEnd w:id="94"/>
    </w:p>
    <w:p>
      <w:pPr>
        <w:pStyle w:val="Heading5"/>
      </w:pPr>
      <w:bookmarkStart w:id="95" w:name="_Toc177115918"/>
      <w:r>
        <w:rPr>
          <w:rStyle w:val="CharSectno"/>
        </w:rPr>
        <w:t>47</w:t>
      </w:r>
      <w:r>
        <w:t>.</w:t>
      </w:r>
      <w:r>
        <w:tab/>
        <w:t>Terms used</w:t>
      </w:r>
      <w:bookmarkEnd w:id="95"/>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96" w:name="_Toc177115919"/>
      <w:r>
        <w:rPr>
          <w:rStyle w:val="CharSectno"/>
        </w:rPr>
        <w:t>48</w:t>
      </w:r>
      <w:r>
        <w:t>.</w:t>
      </w:r>
      <w:r>
        <w:tab/>
        <w:t>Parliamentary Commissioner to monitor exercise of powers</w:t>
      </w:r>
      <w:bookmarkEnd w:id="96"/>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97" w:name="_Toc177115920"/>
      <w:r>
        <w:rPr>
          <w:rStyle w:val="CharSectno"/>
        </w:rPr>
        <w:t>49</w:t>
      </w:r>
      <w:r>
        <w:t>.</w:t>
      </w:r>
      <w:r>
        <w:tab/>
        <w:t>Powers for entry and inspection of records</w:t>
      </w:r>
      <w:bookmarkEnd w:id="97"/>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lastRenderedPageBreak/>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98" w:name="_Toc177115921"/>
      <w:r>
        <w:rPr>
          <w:rStyle w:val="CharSectno"/>
        </w:rPr>
        <w:t>50</w:t>
      </w:r>
      <w:r>
        <w:t>.</w:t>
      </w:r>
      <w:r>
        <w:tab/>
        <w:t>Powers to obtain information relevant to inspections</w:t>
      </w:r>
      <w:bookmarkEnd w:id="98"/>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lastRenderedPageBreak/>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99" w:name="_Toc177115922"/>
      <w:r>
        <w:rPr>
          <w:rStyle w:val="CharSectno"/>
        </w:rPr>
        <w:t>51</w:t>
      </w:r>
      <w:r>
        <w:t>.</w:t>
      </w:r>
      <w:r>
        <w:tab/>
        <w:t>Authorised recording, disclosure or use of information</w:t>
      </w:r>
      <w:bookmarkEnd w:id="99"/>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lastRenderedPageBreak/>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100" w:name="_Toc177115923"/>
      <w:r>
        <w:rPr>
          <w:rStyle w:val="CharSectno"/>
        </w:rPr>
        <w:t>52</w:t>
      </w:r>
      <w:r>
        <w:t>.</w:t>
      </w:r>
      <w:r>
        <w:tab/>
        <w:t>Parliamentary Commissioner may recommend revocation or variation of unlawful consorting notices</w:t>
      </w:r>
      <w:bookmarkEnd w:id="100"/>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 xml:space="preserve">If, as a result of an inspection under this Part, the Parliamentary Commissioner is of the opinion that an unlawful consorting </w:t>
      </w:r>
      <w:r>
        <w:lastRenderedPageBreak/>
        <w:t>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101" w:name="_Toc177115924"/>
      <w:r>
        <w:rPr>
          <w:rStyle w:val="CharSectno"/>
        </w:rPr>
        <w:t>53</w:t>
      </w:r>
      <w:r>
        <w:t>.</w:t>
      </w:r>
      <w:r>
        <w:tab/>
        <w:t>Commissioner of Police to report on use of police powers to Parliamentary Commissioner</w:t>
      </w:r>
      <w:bookmarkEnd w:id="101"/>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lastRenderedPageBreak/>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102" w:name="_Toc177115925"/>
      <w:r>
        <w:rPr>
          <w:rStyle w:val="CharSectno"/>
        </w:rPr>
        <w:t>54</w:t>
      </w:r>
      <w:r>
        <w:t>.</w:t>
      </w:r>
      <w:r>
        <w:tab/>
        <w:t>Parliamentary Commissioner to report on monitoring activities</w:t>
      </w:r>
      <w:bookmarkEnd w:id="102"/>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lastRenderedPageBreak/>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103" w:name="_Toc177115926"/>
      <w:r>
        <w:rPr>
          <w:rStyle w:val="CharSectno"/>
        </w:rPr>
        <w:t>55</w:t>
      </w:r>
      <w:r>
        <w:t>.</w:t>
      </w:r>
      <w:r>
        <w:tab/>
        <w:t xml:space="preserve">Jurisdiction under </w:t>
      </w:r>
      <w:r>
        <w:rPr>
          <w:i/>
        </w:rPr>
        <w:t>Parliamentary Commissioner Act 1971</w:t>
      </w:r>
      <w:r>
        <w:t xml:space="preserve"> not limited</w:t>
      </w:r>
      <w:bookmarkEnd w:id="103"/>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104" w:name="_Toc177114223"/>
      <w:bookmarkStart w:id="105" w:name="_Toc177114498"/>
      <w:bookmarkStart w:id="106" w:name="_Toc177115927"/>
      <w:r>
        <w:rPr>
          <w:rStyle w:val="CharPartNo"/>
        </w:rPr>
        <w:lastRenderedPageBreak/>
        <w:t>Part 5</w:t>
      </w:r>
      <w:r>
        <w:t> — </w:t>
      </w:r>
      <w:r>
        <w:rPr>
          <w:rStyle w:val="CharPartText"/>
        </w:rPr>
        <w:t>Miscellaneous</w:t>
      </w:r>
      <w:bookmarkEnd w:id="104"/>
      <w:bookmarkEnd w:id="105"/>
      <w:bookmarkEnd w:id="106"/>
    </w:p>
    <w:p>
      <w:pPr>
        <w:pStyle w:val="Heading5"/>
      </w:pPr>
      <w:bookmarkStart w:id="107" w:name="_Toc177115928"/>
      <w:r>
        <w:rPr>
          <w:rStyle w:val="CharSectno"/>
        </w:rPr>
        <w:t>56</w:t>
      </w:r>
      <w:r>
        <w:t>.</w:t>
      </w:r>
      <w:r>
        <w:tab/>
        <w:t>Proof of service</w:t>
      </w:r>
      <w:bookmarkEnd w:id="107"/>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108" w:name="_Toc177115929"/>
      <w:r>
        <w:rPr>
          <w:rStyle w:val="CharSectno"/>
        </w:rPr>
        <w:t>57</w:t>
      </w:r>
      <w:r>
        <w:t>.</w:t>
      </w:r>
      <w:r>
        <w:tab/>
        <w:t>Protection from personal liability</w:t>
      </w:r>
      <w:bookmarkEnd w:id="108"/>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lastRenderedPageBreak/>
        <w:tab/>
        <w:t>(6)</w:t>
      </w:r>
      <w:r>
        <w:tab/>
        <w:t>In this section, a reference to the doing of anything includes a reference to the omission to do anything.</w:t>
      </w:r>
    </w:p>
    <w:p>
      <w:pPr>
        <w:pStyle w:val="Heading5"/>
      </w:pPr>
      <w:bookmarkStart w:id="109" w:name="_Toc177115930"/>
      <w:r>
        <w:rPr>
          <w:rStyle w:val="CharSectno"/>
        </w:rPr>
        <w:t>58</w:t>
      </w:r>
      <w:r>
        <w:t>.</w:t>
      </w:r>
      <w:r>
        <w:tab/>
        <w:t>Delegation by Commissioner of Police of revocation or variation functions</w:t>
      </w:r>
      <w:bookmarkEnd w:id="109"/>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110" w:name="_Toc177115931"/>
      <w:r>
        <w:rPr>
          <w:rStyle w:val="CharSectno"/>
        </w:rPr>
        <w:lastRenderedPageBreak/>
        <w:t>59</w:t>
      </w:r>
      <w:r>
        <w:t>.</w:t>
      </w:r>
      <w:r>
        <w:tab/>
        <w:t>Delegation by Commissioner of Police of insignia removal function</w:t>
      </w:r>
      <w:bookmarkEnd w:id="110"/>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111" w:name="_Toc177115932"/>
      <w:r>
        <w:rPr>
          <w:rStyle w:val="CharSectno"/>
        </w:rPr>
        <w:t>60</w:t>
      </w:r>
      <w:r>
        <w:t>.</w:t>
      </w:r>
      <w:r>
        <w:tab/>
        <w:t>Delegation by Parliamentary Commissioner</w:t>
      </w:r>
      <w:bookmarkEnd w:id="111"/>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lastRenderedPageBreak/>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112" w:name="_Toc177115933"/>
      <w:r>
        <w:rPr>
          <w:rStyle w:val="CharSectno"/>
        </w:rPr>
        <w:t>61</w:t>
      </w:r>
      <w:r>
        <w:t>.</w:t>
      </w:r>
      <w:r>
        <w:tab/>
        <w:t>Regulations</w:t>
      </w:r>
      <w:bookmarkEnd w:id="112"/>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113" w:name="_Toc177115934"/>
      <w:r>
        <w:rPr>
          <w:rStyle w:val="CharSectno"/>
        </w:rPr>
        <w:t>62</w:t>
      </w:r>
      <w:r>
        <w:t>.</w:t>
      </w:r>
      <w:r>
        <w:tab/>
        <w:t>Review of Act</w:t>
      </w:r>
      <w:bookmarkEnd w:id="113"/>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114" w:name="_Toc177114231"/>
      <w:bookmarkStart w:id="115" w:name="_Toc177114506"/>
      <w:bookmarkStart w:id="116" w:name="_Toc177115935"/>
      <w:r>
        <w:rPr>
          <w:rStyle w:val="CharPartNo"/>
        </w:rPr>
        <w:lastRenderedPageBreak/>
        <w:t>Part 6</w:t>
      </w:r>
      <w:r>
        <w:t> — </w:t>
      </w:r>
      <w:r>
        <w:rPr>
          <w:rStyle w:val="CharPartText"/>
        </w:rPr>
        <w:t>Other Acts amended</w:t>
      </w:r>
      <w:bookmarkEnd w:id="114"/>
      <w:bookmarkEnd w:id="115"/>
      <w:bookmarkEnd w:id="116"/>
    </w:p>
    <w:p>
      <w:pPr>
        <w:pStyle w:val="Heading3"/>
      </w:pPr>
      <w:bookmarkStart w:id="117" w:name="_Toc177114232"/>
      <w:bookmarkStart w:id="118" w:name="_Toc177114507"/>
      <w:bookmarkStart w:id="119" w:name="_Toc177115936"/>
      <w:r>
        <w:rPr>
          <w:rStyle w:val="CharDivNo"/>
        </w:rPr>
        <w:t>Division 1</w:t>
      </w:r>
      <w:r>
        <w:t> — </w:t>
      </w:r>
      <w:r>
        <w:rPr>
          <w:rStyle w:val="CharDivText"/>
          <w:i/>
        </w:rPr>
        <w:t>Community Protection (Offender Reporting) Act 2004</w:t>
      </w:r>
      <w:r>
        <w:rPr>
          <w:rStyle w:val="CharDivText"/>
        </w:rPr>
        <w:t xml:space="preserve"> amended</w:t>
      </w:r>
      <w:bookmarkEnd w:id="117"/>
      <w:bookmarkEnd w:id="118"/>
      <w:bookmarkEnd w:id="119"/>
    </w:p>
    <w:p>
      <w:pPr>
        <w:pStyle w:val="Heading5"/>
      </w:pPr>
      <w:bookmarkStart w:id="120" w:name="_Toc177115937"/>
      <w:r>
        <w:rPr>
          <w:rStyle w:val="CharSectno"/>
        </w:rPr>
        <w:t>63</w:t>
      </w:r>
      <w:r>
        <w:t>.</w:t>
      </w:r>
      <w:r>
        <w:tab/>
        <w:t>Act amended</w:t>
      </w:r>
      <w:bookmarkEnd w:id="120"/>
    </w:p>
    <w:p>
      <w:pPr>
        <w:pStyle w:val="Subsection"/>
      </w:pPr>
      <w:r>
        <w:tab/>
      </w:r>
      <w:r>
        <w:tab/>
        <w:t xml:space="preserve">This Division amends the </w:t>
      </w:r>
      <w:r>
        <w:rPr>
          <w:i/>
        </w:rPr>
        <w:t>Community Protection (Offender Reporting) Act 2004</w:t>
      </w:r>
      <w:r>
        <w:t>.</w:t>
      </w:r>
    </w:p>
    <w:p>
      <w:pPr>
        <w:pStyle w:val="Heading5"/>
      </w:pPr>
      <w:bookmarkStart w:id="121" w:name="_Toc177115938"/>
      <w:r>
        <w:rPr>
          <w:rStyle w:val="CharSectno"/>
        </w:rPr>
        <w:t>64</w:t>
      </w:r>
      <w:r>
        <w:t>.</w:t>
      </w:r>
      <w:r>
        <w:tab/>
        <w:t>Schedule 2 amended</w:t>
      </w:r>
      <w:bookmarkEnd w:id="121"/>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122" w:name="_Toc177114235"/>
      <w:bookmarkStart w:id="123" w:name="_Toc177114510"/>
      <w:bookmarkStart w:id="124" w:name="_Toc177115939"/>
      <w:r>
        <w:rPr>
          <w:rStyle w:val="CharDivNo"/>
        </w:rPr>
        <w:lastRenderedPageBreak/>
        <w:t>Division 2</w:t>
      </w:r>
      <w:r>
        <w:t> — </w:t>
      </w:r>
      <w:r>
        <w:rPr>
          <w:rStyle w:val="CharDivText"/>
          <w:i/>
        </w:rPr>
        <w:t>The Criminal Code</w:t>
      </w:r>
      <w:r>
        <w:rPr>
          <w:rStyle w:val="CharDivText"/>
        </w:rPr>
        <w:t xml:space="preserve"> amended</w:t>
      </w:r>
      <w:bookmarkEnd w:id="122"/>
      <w:bookmarkEnd w:id="123"/>
      <w:bookmarkEnd w:id="124"/>
    </w:p>
    <w:p>
      <w:pPr>
        <w:pStyle w:val="Heading5"/>
      </w:pPr>
      <w:bookmarkStart w:id="125" w:name="_Toc177115940"/>
      <w:r>
        <w:rPr>
          <w:rStyle w:val="CharSectno"/>
        </w:rPr>
        <w:t>65</w:t>
      </w:r>
      <w:r>
        <w:t>.</w:t>
      </w:r>
      <w:r>
        <w:tab/>
        <w:t xml:space="preserve">Act </w:t>
      </w:r>
      <w:r>
        <w:rPr>
          <w:iCs/>
        </w:rPr>
        <w:t>amended</w:t>
      </w:r>
      <w:bookmarkEnd w:id="125"/>
    </w:p>
    <w:p>
      <w:pPr>
        <w:pStyle w:val="Subsection"/>
        <w:keepNext/>
        <w:keepLines/>
      </w:pPr>
      <w:r>
        <w:tab/>
      </w:r>
      <w:r>
        <w:tab/>
        <w:t xml:space="preserve">This Division amends </w:t>
      </w:r>
      <w:r>
        <w:rPr>
          <w:i/>
        </w:rPr>
        <w:t>The Criminal Code</w:t>
      </w:r>
      <w:r>
        <w:t>.</w:t>
      </w:r>
    </w:p>
    <w:p>
      <w:pPr>
        <w:pStyle w:val="Heading5"/>
      </w:pPr>
      <w:bookmarkStart w:id="126" w:name="_Toc177115941"/>
      <w:r>
        <w:rPr>
          <w:rStyle w:val="CharSectno"/>
        </w:rPr>
        <w:t>66</w:t>
      </w:r>
      <w:r>
        <w:t>.</w:t>
      </w:r>
      <w:r>
        <w:tab/>
        <w:t>Section 557J deleted</w:t>
      </w:r>
      <w:bookmarkEnd w:id="126"/>
    </w:p>
    <w:p>
      <w:pPr>
        <w:pStyle w:val="Subsection"/>
      </w:pPr>
      <w:r>
        <w:tab/>
      </w:r>
      <w:r>
        <w:tab/>
        <w:t>Delete section 557J.</w:t>
      </w:r>
    </w:p>
    <w:p>
      <w:pPr>
        <w:pStyle w:val="Ednotesection"/>
      </w:pPr>
      <w:r>
        <w:t>[</w:t>
      </w:r>
      <w:r>
        <w:rPr>
          <w:b/>
        </w:rPr>
        <w:t>67.</w:t>
      </w:r>
      <w:r>
        <w:tab/>
        <w:t>Has not come into operation.]</w:t>
      </w:r>
    </w:p>
    <w:p>
      <w:pPr>
        <w:pStyle w:val="Heading5"/>
      </w:pPr>
      <w:bookmarkStart w:id="127" w:name="_Toc177115942"/>
      <w:r>
        <w:rPr>
          <w:rStyle w:val="CharSectno"/>
        </w:rPr>
        <w:t>68</w:t>
      </w:r>
      <w:r>
        <w:t>.</w:t>
      </w:r>
      <w:r>
        <w:tab/>
        <w:t>Schedule 1 clause 4 inserted</w:t>
      </w:r>
      <w:bookmarkEnd w:id="127"/>
    </w:p>
    <w:p>
      <w:pPr>
        <w:pStyle w:val="Subsection"/>
      </w:pPr>
      <w:r>
        <w:tab/>
      </w:r>
      <w:r>
        <w:tab/>
        <w:t>After Schedule 1 clause 3 insert:</w:t>
      </w:r>
    </w:p>
    <w:p>
      <w:pPr>
        <w:pStyle w:val="BlankOpen"/>
      </w:pPr>
    </w:p>
    <w:p>
      <w:pPr>
        <w:pStyle w:val="zyHeading5"/>
        <w:spacing w:before="200"/>
      </w:pPr>
      <w:bookmarkStart w:id="128" w:name="_Toc177115943"/>
      <w:r>
        <w:t>4.</w:t>
      </w:r>
      <w:r>
        <w:tab/>
        <w:t xml:space="preserve">Transitional provisions for </w:t>
      </w:r>
      <w:r>
        <w:rPr>
          <w:i/>
        </w:rPr>
        <w:t>Criminal Law (Unlawful Consorting and Prohibited Insignia) Act 2021</w:t>
      </w:r>
      <w:bookmarkEnd w:id="128"/>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outlineLvl w:val="0"/>
        <w:sectPr>
          <w:headerReference w:type="even" r:id="rId24"/>
          <w:headerReference w:type="default" r:id="rId25"/>
          <w:pgSz w:w="11907" w:h="16840" w:code="9"/>
          <w:pgMar w:top="2381" w:right="2410" w:bottom="3544" w:left="2410" w:header="720" w:footer="3544" w:gutter="0"/>
          <w:cols w:space="720"/>
          <w:docGrid w:linePitch="326"/>
        </w:sectPr>
      </w:pPr>
    </w:p>
    <w:p>
      <w:pPr>
        <w:pStyle w:val="yScheduleHeading"/>
      </w:pPr>
      <w:bookmarkStart w:id="129" w:name="_Toc177114240"/>
      <w:bookmarkStart w:id="130" w:name="_Toc177114515"/>
      <w:bookmarkStart w:id="131" w:name="_Toc177115944"/>
      <w:r>
        <w:rPr>
          <w:rStyle w:val="CharSchNo"/>
        </w:rPr>
        <w:lastRenderedPageBreak/>
        <w:t>Schedule 1</w:t>
      </w:r>
      <w:r>
        <w:rPr>
          <w:rStyle w:val="CharSDivNo"/>
        </w:rPr>
        <w:t> </w:t>
      </w:r>
      <w:r>
        <w:t>—</w:t>
      </w:r>
      <w:r>
        <w:rPr>
          <w:rStyle w:val="CharSDivText"/>
        </w:rPr>
        <w:t> </w:t>
      </w:r>
      <w:r>
        <w:rPr>
          <w:rStyle w:val="CharSchText"/>
        </w:rPr>
        <w:t>Child sex offences</w:t>
      </w:r>
      <w:bookmarkEnd w:id="129"/>
      <w:bookmarkEnd w:id="130"/>
      <w:bookmarkEnd w:id="131"/>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lastRenderedPageBreak/>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132" w:name="_Toc177114241"/>
      <w:bookmarkStart w:id="133" w:name="_Toc177114516"/>
      <w:bookmarkStart w:id="134" w:name="_Toc177115945"/>
      <w:r>
        <w:rPr>
          <w:rStyle w:val="CharSchNo"/>
        </w:rPr>
        <w:lastRenderedPageBreak/>
        <w:t>Schedule 2</w:t>
      </w:r>
      <w:r>
        <w:rPr>
          <w:rStyle w:val="CharSDivNo"/>
        </w:rPr>
        <w:t> </w:t>
      </w:r>
      <w:r>
        <w:t>—</w:t>
      </w:r>
      <w:r>
        <w:rPr>
          <w:rStyle w:val="CharSDivText"/>
        </w:rPr>
        <w:t> </w:t>
      </w:r>
      <w:r>
        <w:rPr>
          <w:rStyle w:val="CharSchText"/>
        </w:rPr>
        <w:t>Identified organisations</w:t>
      </w:r>
      <w:bookmarkEnd w:id="132"/>
      <w:bookmarkEnd w:id="133"/>
      <w:bookmarkEnd w:id="134"/>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lastRenderedPageBreak/>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outlineLvl w:val="0"/>
        <w:sectPr>
          <w:headerReference w:type="even" r:id="rId27"/>
          <w:headerReference w:type="default" r:id="rId28"/>
          <w:pgSz w:w="11907" w:h="16840" w:code="9"/>
          <w:pgMar w:top="2381" w:right="2410" w:bottom="3544" w:left="2410" w:header="720" w:footer="3544" w:gutter="0"/>
          <w:cols w:space="720"/>
          <w:docGrid w:linePitch="326"/>
        </w:sectPr>
      </w:pPr>
    </w:p>
    <w:p>
      <w:pPr>
        <w:pStyle w:val="nHeading2"/>
      </w:pPr>
      <w:bookmarkStart w:id="136" w:name="_Toc177114242"/>
      <w:bookmarkStart w:id="137" w:name="_Toc177114517"/>
      <w:bookmarkStart w:id="138" w:name="_Toc177115946"/>
      <w:r>
        <w:lastRenderedPageBreak/>
        <w:t>Notes</w:t>
      </w:r>
      <w:bookmarkEnd w:id="136"/>
      <w:bookmarkEnd w:id="137"/>
      <w:bookmarkEnd w:id="138"/>
    </w:p>
    <w:p>
      <w:pPr>
        <w:pStyle w:val="nStatement"/>
      </w:pPr>
      <w:r>
        <w:t xml:space="preserve">This is a compilation of the </w:t>
      </w:r>
      <w:r>
        <w:rPr>
          <w:i/>
          <w:noProof/>
        </w:rPr>
        <w:t>Criminal Law (Unlawful Consorting and Prohibited Insignia) Act 2021</w:t>
      </w:r>
      <w:r>
        <w:t>. For provisions that have come into operation see the compilation table. For provisions that have not yet come into operation see the uncommenced provisions table.</w:t>
      </w:r>
    </w:p>
    <w:p>
      <w:pPr>
        <w:pStyle w:val="nHeading3"/>
      </w:pPr>
      <w:bookmarkStart w:id="139" w:name="_Toc177115947"/>
      <w:r>
        <w:t>Compilation table</w:t>
      </w:r>
      <w:bookmarkEnd w:id="13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(Unlawful Consorting and Prohibited Insignia) Act 2021 </w:t>
            </w:r>
            <w:r>
              <w:rPr>
                <w:noProof/>
              </w:rPr>
              <w:t xml:space="preserve">(other than s. 67) </w:t>
            </w:r>
          </w:p>
        </w:tc>
        <w:tc>
          <w:tcPr>
            <w:tcW w:w="1134" w:type="dxa"/>
            <w:tcBorders>
              <w:bottom w:val="nil"/>
            </w:tcBorders>
          </w:tcPr>
          <w:p>
            <w:pPr>
              <w:pStyle w:val="nTable"/>
              <w:spacing w:after="40"/>
            </w:pPr>
            <w:r>
              <w:t>25 of 2021</w:t>
            </w:r>
          </w:p>
        </w:tc>
        <w:tc>
          <w:tcPr>
            <w:tcW w:w="1134" w:type="dxa"/>
            <w:tcBorders>
              <w:bottom w:val="nil"/>
            </w:tcBorders>
          </w:tcPr>
          <w:p>
            <w:pPr>
              <w:pStyle w:val="nTable"/>
              <w:spacing w:after="40"/>
            </w:pPr>
            <w:r>
              <w:t>13 Dec 2021</w:t>
            </w:r>
          </w:p>
        </w:tc>
        <w:tc>
          <w:tcPr>
            <w:tcW w:w="2552" w:type="dxa"/>
            <w:tcBorders>
              <w:bottom w:val="nil"/>
            </w:tcBorders>
          </w:tcPr>
          <w:p>
            <w:pPr>
              <w:pStyle w:val="nTable"/>
              <w:spacing w:after="40"/>
            </w:pPr>
            <w:r>
              <w:t>Pt. 1: 13 Dec 2021 (see s. 2(a));</w:t>
            </w:r>
            <w:r>
              <w:br/>
              <w:t>Act other than Pt. 1 and s. 67: 24 Dec 2021 (see s. 2(b) and SL 2021/219 cl. 2)</w:t>
            </w:r>
          </w:p>
        </w:tc>
      </w:tr>
      <w:tr>
        <w:tc>
          <w:tcPr>
            <w:tcW w:w="2268" w:type="dxa"/>
            <w:tcBorders>
              <w:top w:val="nil"/>
              <w:bottom w:val="nil"/>
            </w:tcBorders>
          </w:tcPr>
          <w:p>
            <w:pPr>
              <w:pStyle w:val="nTable"/>
              <w:spacing w:after="40"/>
              <w:rPr>
                <w:i/>
                <w:noProof/>
              </w:rPr>
            </w:pPr>
            <w:r>
              <w:rPr>
                <w:i/>
              </w:rPr>
              <w:t>Directors’ Liability Reform Act 2023</w:t>
            </w:r>
            <w:r>
              <w:t xml:space="preserve"> Pt. 3 Div. 16</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pPr>
            <w:r>
              <w:t>5 Apr 2023 (see s. 2(j))</w:t>
            </w:r>
          </w:p>
        </w:tc>
      </w:tr>
      <w:tr>
        <w:tc>
          <w:tcPr>
            <w:tcW w:w="2268" w:type="dxa"/>
            <w:tcBorders>
              <w:top w:val="nil"/>
            </w:tcBorders>
          </w:tcPr>
          <w:p>
            <w:pPr>
              <w:pStyle w:val="nTable"/>
              <w:spacing w:after="40"/>
              <w:rPr>
                <w:iCs/>
              </w:rPr>
            </w:pPr>
            <w:r>
              <w:rPr>
                <w:i/>
              </w:rPr>
              <w:t xml:space="preserve">Criminal Code Amendment (Prohibition on Display of Nazi Symbols or Gesture) Act 2024 </w:t>
            </w:r>
            <w:r>
              <w:rPr>
                <w:iCs/>
              </w:rPr>
              <w:t>Pt. 3</w:t>
            </w:r>
          </w:p>
        </w:tc>
        <w:tc>
          <w:tcPr>
            <w:tcW w:w="1134" w:type="dxa"/>
            <w:tcBorders>
              <w:top w:val="nil"/>
            </w:tcBorders>
          </w:tcPr>
          <w:p>
            <w:pPr>
              <w:pStyle w:val="nTable"/>
              <w:spacing w:after="40"/>
            </w:pPr>
            <w:r>
              <w:t>29 of 2024</w:t>
            </w:r>
          </w:p>
        </w:tc>
        <w:tc>
          <w:tcPr>
            <w:tcW w:w="1134" w:type="dxa"/>
            <w:tcBorders>
              <w:top w:val="nil"/>
            </w:tcBorders>
          </w:tcPr>
          <w:p>
            <w:pPr>
              <w:pStyle w:val="nTable"/>
              <w:spacing w:after="40"/>
            </w:pPr>
            <w:r>
              <w:t>17 Sep 2024</w:t>
            </w:r>
          </w:p>
        </w:tc>
        <w:tc>
          <w:tcPr>
            <w:tcW w:w="2552" w:type="dxa"/>
            <w:tcBorders>
              <w:top w:val="nil"/>
            </w:tcBorders>
          </w:tcPr>
          <w:p>
            <w:pPr>
              <w:pStyle w:val="nTable"/>
              <w:spacing w:after="40"/>
            </w:pPr>
            <w:r>
              <w:t>18 Sep 2024 (see s. 2(c))</w:t>
            </w:r>
          </w:p>
        </w:tc>
      </w:tr>
    </w:tbl>
    <w:p>
      <w:pPr>
        <w:pStyle w:val="nHeading3"/>
      </w:pPr>
      <w:bookmarkStart w:id="140" w:name="_Toc177115948"/>
      <w:r>
        <w:t>Uncommenced provisions table</w:t>
      </w:r>
      <w:bookmarkEnd w:id="14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Criminal Law (Unlawful Consorting and Prohibited Insignia) Act 2021</w:t>
            </w:r>
            <w:r>
              <w:rPr>
                <w:noProof/>
              </w:rPr>
              <w:t xml:space="preserve"> s. 67</w:t>
            </w:r>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24 Dec 2024 (see s. 2(c) and SL 2021/219 cl. 2)</w:t>
            </w:r>
          </w:p>
        </w:tc>
      </w:tr>
    </w:tbl>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142" w:name="_Toc177114245"/>
      <w:bookmarkStart w:id="143" w:name="_Toc177114520"/>
      <w:bookmarkStart w:id="144" w:name="_Toc177115949"/>
      <w:r>
        <w:rPr>
          <w:sz w:val="28"/>
        </w:rPr>
        <w:lastRenderedPageBreak/>
        <w:t>Defined terms</w:t>
      </w:r>
      <w:bookmarkEnd w:id="142"/>
      <w:bookmarkEnd w:id="143"/>
      <w:bookmarkEnd w:id="1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annual report</w:t>
      </w:r>
      <w:r>
        <w:tab/>
        <w:t>54(1)</w:t>
      </w:r>
    </w:p>
    <w:p>
      <w:pPr>
        <w:pStyle w:val="DefinedTerms"/>
      </w:pPr>
      <w:r>
        <w:t>authorised officer</w:t>
      </w:r>
      <w:r>
        <w:tab/>
        <w:t>3</w:t>
      </w:r>
    </w:p>
    <w:p>
      <w:pPr>
        <w:pStyle w:val="DefinedTerms"/>
      </w:pPr>
      <w:r>
        <w:t>authorising law</w:t>
      </w:r>
      <w:r>
        <w:tab/>
        <w:t>26(5)</w:t>
      </w:r>
    </w:p>
    <w:p>
      <w:pPr>
        <w:pStyle w:val="DefinedTerms"/>
      </w:pPr>
      <w:r>
        <w:t>child sex offence</w:t>
      </w:r>
      <w:r>
        <w:tab/>
        <w:t>6, 7(1)</w:t>
      </w:r>
    </w:p>
    <w:p>
      <w:pPr>
        <w:pStyle w:val="DefinedTerms"/>
      </w:pPr>
      <w:r>
        <w:t>Commissioner of Police</w:t>
      </w:r>
      <w:r>
        <w:tab/>
        <w:t>3</w:t>
      </w:r>
    </w:p>
    <w:p>
      <w:pPr>
        <w:pStyle w:val="DefinedTerms"/>
      </w:pPr>
      <w:r>
        <w:t>conduct constituting an indictable offence</w:t>
      </w:r>
      <w:r>
        <w:tab/>
        <w:t>9(2)</w:t>
      </w:r>
    </w:p>
    <w:p>
      <w:pPr>
        <w:pStyle w:val="DefinedTerms"/>
      </w:pPr>
      <w:r>
        <w:t>consort</w:t>
      </w:r>
      <w:r>
        <w:tab/>
        <w:t>3</w:t>
      </w:r>
    </w:p>
    <w:p>
      <w:pPr>
        <w:pStyle w:val="DefinedTerms"/>
      </w:pPr>
      <w:r>
        <w:t>conviction</w:t>
      </w:r>
      <w:r>
        <w:tab/>
        <w:t>6</w:t>
      </w:r>
    </w:p>
    <w:p>
      <w:pPr>
        <w:pStyle w:val="DefinedTerms"/>
      </w:pPr>
      <w:r>
        <w:t>delegated officer</w:t>
      </w:r>
      <w:r>
        <w:tab/>
        <w:t>58(1), 59(1)</w:t>
      </w:r>
    </w:p>
    <w:p>
      <w:pPr>
        <w:pStyle w:val="DefinedTerms"/>
      </w:pPr>
      <w:r>
        <w:t>disclose</w:t>
      </w:r>
      <w:r>
        <w:tab/>
        <w:t>47</w:t>
      </w:r>
    </w:p>
    <w:p>
      <w:pPr>
        <w:pStyle w:val="DefinedTerms"/>
      </w:pPr>
      <w:r>
        <w:t>dispersal notice</w:t>
      </w:r>
      <w:r>
        <w:tab/>
        <w:t>3, 36</w:t>
      </w:r>
    </w:p>
    <w:p>
      <w:pPr>
        <w:pStyle w:val="DefinedTerms"/>
      </w:pPr>
      <w:r>
        <w:t>display</w:t>
      </w:r>
      <w:r>
        <w:tab/>
        <w:t>21, 24(1)</w:t>
      </w:r>
    </w:p>
    <w:p>
      <w:pPr>
        <w:pStyle w:val="DefinedTerms"/>
      </w:pPr>
      <w:r>
        <w:t>family member</w:t>
      </w:r>
      <w:r>
        <w:tab/>
        <w:t>3, 4(1) and (2)</w:t>
      </w:r>
    </w:p>
    <w:p>
      <w:pPr>
        <w:pStyle w:val="DefinedTerms"/>
      </w:pPr>
      <w:r>
        <w:t>health service</w:t>
      </w:r>
      <w:r>
        <w:tab/>
        <w:t>3</w:t>
      </w:r>
    </w:p>
    <w:p>
      <w:pPr>
        <w:pStyle w:val="DefinedTerms"/>
      </w:pPr>
      <w:r>
        <w:t>identified organisation</w:t>
      </w:r>
      <w:r>
        <w:tab/>
        <w:t>21</w:t>
      </w:r>
    </w:p>
    <w:p>
      <w:pPr>
        <w:pStyle w:val="DefinedTerms"/>
      </w:pPr>
      <w:r>
        <w:t>identifying reference</w:t>
      </w:r>
      <w:r>
        <w:tab/>
        <w:t>3</w:t>
      </w:r>
    </w:p>
    <w:p>
      <w:pPr>
        <w:pStyle w:val="DefinedTerms"/>
      </w:pPr>
      <w:r>
        <w:t>Indigenous person</w:t>
      </w:r>
      <w:r>
        <w:tab/>
        <w:t>3</w:t>
      </w:r>
    </w:p>
    <w:p>
      <w:pPr>
        <w:pStyle w:val="DefinedTerms"/>
      </w:pPr>
      <w:r>
        <w:t>insignia</w:t>
      </w:r>
      <w:r>
        <w:tab/>
        <w:t>21, 22(1) and (2)</w:t>
      </w:r>
    </w:p>
    <w:p>
      <w:pPr>
        <w:pStyle w:val="DefinedTerms"/>
      </w:pPr>
      <w:r>
        <w:t>insignia removal notice</w:t>
      </w:r>
      <w:r>
        <w:tab/>
        <w:t>3, 27(2)</w:t>
      </w:r>
    </w:p>
    <w:p>
      <w:pPr>
        <w:pStyle w:val="DefinedTerms"/>
      </w:pPr>
      <w:r>
        <w:t>insignia removal verification functions</w:t>
      </w:r>
      <w:r>
        <w:tab/>
        <w:t>59(1)</w:t>
      </w:r>
    </w:p>
    <w:p>
      <w:pPr>
        <w:pStyle w:val="DefinedTerms"/>
      </w:pPr>
      <w:r>
        <w:t>inspecting officer</w:t>
      </w:r>
      <w:r>
        <w:tab/>
        <w:t>60(1)</w:t>
      </w:r>
    </w:p>
    <w:p>
      <w:pPr>
        <w:pStyle w:val="DefinedTerms"/>
      </w:pPr>
      <w:r>
        <w:t>interested person</w:t>
      </w:r>
      <w:r>
        <w:tab/>
        <w:t>27(1)</w:t>
      </w:r>
    </w:p>
    <w:p>
      <w:pPr>
        <w:pStyle w:val="DefinedTerms"/>
      </w:pPr>
      <w:r>
        <w:t>investigative purposes</w:t>
      </w:r>
      <w:r>
        <w:tab/>
        <w:t>47</w:t>
      </w:r>
    </w:p>
    <w:p>
      <w:pPr>
        <w:pStyle w:val="DefinedTerms"/>
      </w:pPr>
      <w:r>
        <w:t>member</w:t>
      </w:r>
      <w:r>
        <w:tab/>
        <w:t>21</w:t>
      </w:r>
    </w:p>
    <w:p>
      <w:pPr>
        <w:pStyle w:val="DefinedTerms"/>
      </w:pPr>
      <w:r>
        <w:t>named offender</w:t>
      </w:r>
      <w:r>
        <w:tab/>
        <w:t>6, 10</w:t>
      </w:r>
    </w:p>
    <w:p>
      <w:pPr>
        <w:pStyle w:val="DefinedTerms"/>
      </w:pPr>
      <w:r>
        <w:t>named person</w:t>
      </w:r>
      <w:r>
        <w:tab/>
        <w:t>21, 37</w:t>
      </w:r>
    </w:p>
    <w:p>
      <w:pPr>
        <w:pStyle w:val="DefinedTerms"/>
      </w:pPr>
      <w:r>
        <w:t>organisation-related activity</w:t>
      </w:r>
      <w:r>
        <w:tab/>
        <w:t>23(1)</w:t>
      </w:r>
    </w:p>
    <w:p>
      <w:pPr>
        <w:pStyle w:val="DefinedTerms"/>
      </w:pPr>
      <w:r>
        <w:t>owner</w:t>
      </w:r>
      <w:r>
        <w:tab/>
        <w:t>21</w:t>
      </w:r>
    </w:p>
    <w:p>
      <w:pPr>
        <w:pStyle w:val="DefinedTerms"/>
      </w:pPr>
      <w:r>
        <w:t>Parliamentary Commissioner</w:t>
      </w:r>
      <w:r>
        <w:tab/>
        <w:t>3</w:t>
      </w:r>
    </w:p>
    <w:p>
      <w:pPr>
        <w:pStyle w:val="DefinedTerms"/>
      </w:pPr>
      <w:r>
        <w:t>personal details</w:t>
      </w:r>
      <w:r>
        <w:tab/>
        <w:t>3</w:t>
      </w:r>
    </w:p>
    <w:p>
      <w:pPr>
        <w:pStyle w:val="DefinedTerms"/>
      </w:pPr>
      <w:r>
        <w:t>personal information</w:t>
      </w:r>
      <w:r>
        <w:tab/>
        <w:t>47</w:t>
      </w:r>
    </w:p>
    <w:p>
      <w:pPr>
        <w:pStyle w:val="DefinedTerms"/>
      </w:pPr>
      <w:r>
        <w:t>personal service</w:t>
      </w:r>
      <w:r>
        <w:tab/>
        <w:t>3</w:t>
      </w:r>
    </w:p>
    <w:p>
      <w:pPr>
        <w:pStyle w:val="DefinedTerms"/>
      </w:pPr>
      <w:r>
        <w:t>place</w:t>
      </w:r>
      <w:r>
        <w:tab/>
        <w:t>21</w:t>
      </w:r>
    </w:p>
    <w:p>
      <w:pPr>
        <w:pStyle w:val="DefinedTerms"/>
      </w:pPr>
      <w:r>
        <w:t>Police Force</w:t>
      </w:r>
      <w:r>
        <w:tab/>
        <w:t>47</w:t>
      </w:r>
    </w:p>
    <w:p>
      <w:pPr>
        <w:pStyle w:val="DefinedTerms"/>
      </w:pPr>
      <w:r>
        <w:t>potential to cause public harm</w:t>
      </w:r>
      <w:r>
        <w:tab/>
        <w:t>23(1)</w:t>
      </w:r>
    </w:p>
    <w:p>
      <w:pPr>
        <w:pStyle w:val="DefinedTerms"/>
      </w:pPr>
      <w:r>
        <w:t>prescribed</w:t>
      </w:r>
      <w:r>
        <w:tab/>
        <w:t>3</w:t>
      </w:r>
    </w:p>
    <w:p>
      <w:pPr>
        <w:pStyle w:val="DefinedTerms"/>
      </w:pPr>
      <w:r>
        <w:t>prohibited thing</w:t>
      </w:r>
      <w:r>
        <w:tab/>
        <w:t>21</w:t>
      </w:r>
    </w:p>
    <w:p>
      <w:pPr>
        <w:pStyle w:val="DefinedTerms"/>
      </w:pPr>
      <w:r>
        <w:t>public place</w:t>
      </w:r>
      <w:r>
        <w:tab/>
        <w:t>21</w:t>
      </w:r>
    </w:p>
    <w:p>
      <w:pPr>
        <w:pStyle w:val="DefinedTerms"/>
      </w:pPr>
      <w:r>
        <w:t>record</w:t>
      </w:r>
      <w:r>
        <w:tab/>
        <w:t>3</w:t>
      </w:r>
    </w:p>
    <w:p>
      <w:pPr>
        <w:pStyle w:val="DefinedTerms"/>
      </w:pPr>
      <w:r>
        <w:lastRenderedPageBreak/>
        <w:t>relevant offender</w:t>
      </w:r>
      <w:r>
        <w:tab/>
        <w:t>6</w:t>
      </w:r>
    </w:p>
    <w:p>
      <w:pPr>
        <w:pStyle w:val="DefinedTerms"/>
      </w:pPr>
      <w:r>
        <w:t>relevant person</w:t>
      </w:r>
      <w:r>
        <w:tab/>
        <w:t>44(1)</w:t>
      </w:r>
    </w:p>
    <w:p>
      <w:pPr>
        <w:pStyle w:val="DefinedTerms"/>
      </w:pPr>
      <w:r>
        <w:t>relevant place</w:t>
      </w:r>
      <w:r>
        <w:tab/>
        <w:t>21</w:t>
      </w:r>
    </w:p>
    <w:p>
      <w:pPr>
        <w:pStyle w:val="DefinedTerms"/>
      </w:pPr>
      <w:r>
        <w:t>relevant service method</w:t>
      </w:r>
      <w:r>
        <w:tab/>
        <w:t>3</w:t>
      </w:r>
    </w:p>
    <w:p>
      <w:pPr>
        <w:pStyle w:val="DefinedTerms"/>
      </w:pPr>
      <w:r>
        <w:t>required person</w:t>
      </w:r>
      <w:r>
        <w:tab/>
        <w:t>21, 27(3)</w:t>
      </w:r>
    </w:p>
    <w:p>
      <w:pPr>
        <w:pStyle w:val="DefinedTerms"/>
      </w:pPr>
      <w:r>
        <w:t>restricted offender</w:t>
      </w:r>
      <w:r>
        <w:tab/>
        <w:t>6, 9(1)</w:t>
      </w:r>
    </w:p>
    <w:p>
      <w:pPr>
        <w:pStyle w:val="DefinedTerms"/>
      </w:pPr>
      <w:r>
        <w:t>restricted person</w:t>
      </w:r>
      <w:r>
        <w:tab/>
        <w:t>21, 36</w:t>
      </w:r>
    </w:p>
    <w:p>
      <w:pPr>
        <w:pStyle w:val="DefinedTerms"/>
      </w:pPr>
      <w:r>
        <w:t>revocation notice</w:t>
      </w:r>
      <w:r>
        <w:tab/>
        <w:t>15(4), 32(4), 41(4)</w:t>
      </w:r>
    </w:p>
    <w:p>
      <w:pPr>
        <w:pStyle w:val="DefinedTerms"/>
      </w:pPr>
      <w:r>
        <w:t>revocation or variation functions</w:t>
      </w:r>
      <w:r>
        <w:tab/>
        <w:t>58(1)</w:t>
      </w:r>
    </w:p>
    <w:p>
      <w:pPr>
        <w:pStyle w:val="DefinedTerms"/>
      </w:pPr>
      <w:r>
        <w:t>social welfare service</w:t>
      </w:r>
      <w:r>
        <w:tab/>
        <w:t>3</w:t>
      </w:r>
    </w:p>
    <w:p>
      <w:pPr>
        <w:pStyle w:val="DefinedTerms"/>
      </w:pPr>
      <w:r>
        <w:t>time allowed</w:t>
      </w:r>
      <w:r>
        <w:tab/>
        <w:t>34(1)</w:t>
      </w:r>
    </w:p>
    <w:p>
      <w:pPr>
        <w:pStyle w:val="DefinedTerms"/>
      </w:pPr>
      <w:r>
        <w:t>unlawful consorting notice</w:t>
      </w:r>
      <w:r>
        <w:tab/>
        <w:t>3, 9(1)</w:t>
      </w:r>
    </w:p>
    <w:p>
      <w:pPr>
        <w:pStyle w:val="DefinedTerms"/>
      </w:pPr>
      <w:r>
        <w:t>variation notice</w:t>
      </w:r>
      <w:r>
        <w:tab/>
        <w:t>16(4)</w:t>
      </w:r>
    </w:p>
    <w:p>
      <w:pPr>
        <w:pStyle w:val="DefinedTerms"/>
      </w:pPr>
      <w:r>
        <w:t>vehicle</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328ADB1"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9F39D0E" w14:textId="348115AE" w:rsidR="00901B80" w:rsidRDefault="00901B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40678">
                        <w:rPr>
                          <w:sz w:val="16"/>
                        </w:rPr>
                        <w:t>2024</w:t>
                      </w:r>
                      <w:r>
                        <w:rPr>
                          <w:sz w:val="16"/>
                        </w:rPr>
                        <w:fldChar w:fldCharType="end"/>
                      </w:r>
                      <w:r>
                        <w:rPr>
                          <w:sz w:val="16"/>
                        </w:rPr>
                        <w:t>.</w:t>
                      </w:r>
                    </w:p>
                    <w:p w14:paraId="61DCDD0E" w14:textId="77777777" w:rsidR="00901B80" w:rsidRDefault="00901B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193A0D" w14:textId="6AFC4750" w:rsidR="00901B80" w:rsidRDefault="00901B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40678">
                        <w:rPr>
                          <w:sz w:val="16"/>
                        </w:rPr>
                        <w:t>2024</w:t>
                      </w:r>
                      <w:r>
                        <w:rPr>
                          <w:sz w:val="16"/>
                        </w:rPr>
                        <w:fldChar w:fldCharType="end"/>
                      </w:r>
                      <w:r>
                        <w:rPr>
                          <w:sz w:val="16"/>
                        </w:rPr>
                        <w:t>.</w:t>
                      </w:r>
                    </w:p>
                    <w:p w14:paraId="6FD4E800" w14:textId="77777777" w:rsidR="00901B80" w:rsidRDefault="00901B8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135" w:name="Schedule"/>
    <w:bookmarkEnd w:id="13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41" w:name="Compilation"/>
    <w:bookmarkEnd w:id="14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45" w:name="DefinedTerms"/>
    <w:bookmarkEnd w:id="14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6" w:name="Coversheet"/>
    <w:bookmarkEnd w:id="14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1878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9130958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 w:name="WAFER_20240913095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3095815_GUID" w:val="d1bd025a-2d4e-4753-b047-f1ce3efb00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E363-5474-4FC0-B843-E654FC85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12894</Words>
  <Characters>64861</Characters>
  <Application>Microsoft Office Word</Application>
  <DocSecurity>0</DocSecurity>
  <Lines>1853</Lines>
  <Paragraphs>1214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76541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2021 - 00-d0-00</dc:title>
  <dc:subject/>
  <dc:creator/>
  <cp:keywords/>
  <dc:description/>
  <cp:lastModifiedBy>Master Repository Process</cp:lastModifiedBy>
  <cp:revision>4</cp:revision>
  <cp:lastPrinted>2021-10-05T08:37:00Z</cp:lastPrinted>
  <dcterms:created xsi:type="dcterms:W3CDTF">2025-06-09T03:00:00Z</dcterms:created>
  <dcterms:modified xsi:type="dcterms:W3CDTF">2025-06-09T03:00:00Z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AsAtDate">
    <vt:lpwstr>18 Sep 2024</vt:lpwstr>
  </property>
  <property fmtid="{D5CDD505-2E9C-101B-9397-08002B2CF9AE}" pid="5" name="Suffix">
    <vt:lpwstr>00-d0-00</vt:lpwstr>
  </property>
  <property fmtid="{D5CDD505-2E9C-101B-9397-08002B2CF9AE}" pid="6" name="Official">
    <vt:lpwstr/>
  </property>
  <property fmtid="{D5CDD505-2E9C-101B-9397-08002B2CF9AE}" pid="7" name="CommencementDate">
    <vt:lpwstr>20240918</vt:lpwstr>
  </property>
  <property fmtid="{D5CDD505-2E9C-101B-9397-08002B2CF9AE}" pid="8" name="CommencementAsAt">
    <vt:filetime>2024-09-17T16:00:00Z</vt:filetime>
  </property>
  <property fmtid="{D5CDD505-2E9C-101B-9397-08002B2CF9AE}" pid="9" name="CommencementYear">
    <vt:lpwstr>2024</vt:lpwstr>
  </property>
</Properties>
</file>