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336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Police Legislation Amendment Act 2024</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Police Legislation Amendment Act 2024</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Short title</w:t>
      </w:r>
      <w:r>
        <w:tab/>
      </w:r>
      <w:r>
        <w:fldChar w:fldCharType="begin"/>
      </w:r>
      <w:r>
        <w:instrText xml:space="preserve"> PAGEREF _Toc178259150 \h </w:instrText>
      </w:r>
      <w:r>
        <w:fldChar w:fldCharType="separate"/>
      </w:r>
      <w:r>
        <w:t>2</w:t>
      </w:r>
      <w:r>
        <w:fldChar w:fldCharType="end"/>
      </w:r>
    </w:p>
    <w:p>
      <w:pPr>
        <w:pStyle w:val="TOC8"/>
        <w:rPr>
          <w:rFonts w:asciiTheme="minorHAnsi" w:eastAsiaTheme="minorEastAsia" w:hAnsiTheme="minorHAnsi" w:cstheme="minorBidi"/>
          <w:szCs w:val="22"/>
        </w:rPr>
      </w:pPr>
      <w:r>
        <w:t>2.</w:t>
      </w:r>
      <w:r>
        <w:tab/>
        <w:t>Commencement</w:t>
      </w:r>
      <w:r>
        <w:tab/>
      </w:r>
      <w:r>
        <w:fldChar w:fldCharType="begin"/>
      </w:r>
      <w:r>
        <w:instrText xml:space="preserve"> PAGEREF _Toc178259151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2 — </w:t>
      </w:r>
      <w:r>
        <w:rPr>
          <w:i/>
          <w:iCs/>
        </w:rPr>
        <w:t>Criminal Investigation Act 2006</w:t>
      </w:r>
      <w:r>
        <w:t xml:space="preserve"> amended</w:t>
      </w:r>
    </w:p>
    <w:p>
      <w:pPr>
        <w:pStyle w:val="TOC8"/>
        <w:rPr>
          <w:rFonts w:asciiTheme="minorHAnsi" w:eastAsiaTheme="minorEastAsia" w:hAnsiTheme="minorHAnsi" w:cstheme="minorBidi"/>
          <w:szCs w:val="22"/>
        </w:rPr>
      </w:pPr>
      <w:r>
        <w:t>3.</w:t>
      </w:r>
      <w:r>
        <w:tab/>
        <w:t>Act amended</w:t>
      </w:r>
      <w:r>
        <w:tab/>
      </w:r>
      <w:r>
        <w:fldChar w:fldCharType="begin"/>
      </w:r>
      <w:r>
        <w:instrText xml:space="preserve"> PAGEREF _Toc178259153 \h </w:instrText>
      </w:r>
      <w:r>
        <w:fldChar w:fldCharType="separate"/>
      </w:r>
      <w:r>
        <w:t>3</w:t>
      </w:r>
      <w:r>
        <w:fldChar w:fldCharType="end"/>
      </w:r>
    </w:p>
    <w:p>
      <w:pPr>
        <w:pStyle w:val="TOC8"/>
        <w:rPr>
          <w:rFonts w:asciiTheme="minorHAnsi" w:eastAsiaTheme="minorEastAsia" w:hAnsiTheme="minorHAnsi" w:cstheme="minorBidi"/>
          <w:szCs w:val="22"/>
        </w:rPr>
      </w:pPr>
      <w:r>
        <w:t>4.</w:t>
      </w:r>
      <w:r>
        <w:tab/>
        <w:t>Part 4 Division 1 heading inserted</w:t>
      </w:r>
      <w:r>
        <w:tab/>
      </w:r>
      <w:r>
        <w:fldChar w:fldCharType="begin"/>
      </w:r>
      <w:r>
        <w:instrText xml:space="preserve"> PAGEREF _Toc178259154 \h </w:instrText>
      </w:r>
      <w:r>
        <w:fldChar w:fldCharType="separate"/>
      </w:r>
      <w:r>
        <w:t>3</w:t>
      </w:r>
      <w:r>
        <w:fldChar w:fldCharType="end"/>
      </w:r>
    </w:p>
    <w:p>
      <w:pPr>
        <w:pStyle w:val="TOC5"/>
        <w:tabs>
          <w:tab w:val="right" w:leader="dot" w:pos="7077"/>
        </w:tabs>
        <w:rPr>
          <w:rFonts w:asciiTheme="minorHAnsi" w:eastAsiaTheme="minorEastAsia" w:hAnsiTheme="minorHAnsi" w:cstheme="minorBidi"/>
          <w:b w:val="0"/>
          <w:sz w:val="22"/>
          <w:szCs w:val="22"/>
        </w:rPr>
      </w:pPr>
      <w:r>
        <w:t>Division 1 — Move on orders</w:t>
      </w:r>
    </w:p>
    <w:p>
      <w:pPr>
        <w:pStyle w:val="TOC8"/>
        <w:rPr>
          <w:rFonts w:asciiTheme="minorHAnsi" w:eastAsiaTheme="minorEastAsia" w:hAnsiTheme="minorHAnsi" w:cstheme="minorBidi"/>
          <w:szCs w:val="22"/>
        </w:rPr>
      </w:pPr>
      <w:r>
        <w:t>5.</w:t>
      </w:r>
      <w:r>
        <w:tab/>
        <w:t>Section 26A inserted</w:t>
      </w:r>
      <w:r>
        <w:tab/>
      </w:r>
      <w:r>
        <w:fldChar w:fldCharType="begin"/>
      </w:r>
      <w:r>
        <w:instrText xml:space="preserve"> PAGEREF _Toc178259156 \h </w:instrText>
      </w:r>
      <w:r>
        <w:fldChar w:fldCharType="separate"/>
      </w:r>
      <w:r>
        <w:t>3</w:t>
      </w:r>
      <w:r>
        <w:fldChar w:fldCharType="end"/>
      </w:r>
    </w:p>
    <w:p>
      <w:pPr>
        <w:pStyle w:val="TOC9"/>
        <w:rPr>
          <w:rFonts w:asciiTheme="minorHAnsi" w:eastAsiaTheme="minorEastAsia" w:hAnsiTheme="minorHAnsi" w:cstheme="minorBidi"/>
          <w:noProof/>
          <w:sz w:val="22"/>
          <w:szCs w:val="22"/>
        </w:rPr>
      </w:pPr>
      <w:r>
        <w:rPr>
          <w:noProof/>
        </w:rPr>
        <w:t>26A.</w:t>
      </w:r>
      <w:r>
        <w:rPr>
          <w:noProof/>
        </w:rPr>
        <w:tab/>
        <w:t>Terms used</w:t>
      </w:r>
      <w:r>
        <w:rPr>
          <w:noProof/>
        </w:rPr>
        <w:tab/>
      </w:r>
      <w:r>
        <w:rPr>
          <w:noProof/>
        </w:rPr>
        <w:fldChar w:fldCharType="begin"/>
      </w:r>
      <w:r>
        <w:rPr>
          <w:noProof/>
        </w:rPr>
        <w:instrText xml:space="preserve"> PAGEREF _Toc178259157 \h </w:instrText>
      </w:r>
      <w:r>
        <w:rPr>
          <w:noProof/>
        </w:rPr>
      </w:r>
      <w:r>
        <w:rPr>
          <w:noProof/>
        </w:rPr>
        <w:fldChar w:fldCharType="separate"/>
      </w:r>
      <w:r>
        <w:rPr>
          <w:noProof/>
        </w:rPr>
        <w:t>3</w:t>
      </w:r>
      <w:r>
        <w:rPr>
          <w:noProof/>
        </w:rPr>
        <w:fldChar w:fldCharType="end"/>
      </w:r>
    </w:p>
    <w:p>
      <w:pPr>
        <w:pStyle w:val="TOC8"/>
        <w:rPr>
          <w:rFonts w:asciiTheme="minorHAnsi" w:eastAsiaTheme="minorEastAsia" w:hAnsiTheme="minorHAnsi" w:cstheme="minorBidi"/>
          <w:szCs w:val="22"/>
        </w:rPr>
      </w:pPr>
      <w:r>
        <w:t>6.</w:t>
      </w:r>
      <w:r>
        <w:tab/>
        <w:t>Section 27 amended</w:t>
      </w:r>
      <w:r>
        <w:tab/>
      </w:r>
      <w:r>
        <w:fldChar w:fldCharType="begin"/>
      </w:r>
      <w:r>
        <w:instrText xml:space="preserve"> PAGEREF _Toc178259158 \h </w:instrText>
      </w:r>
      <w:r>
        <w:fldChar w:fldCharType="separate"/>
      </w:r>
      <w:r>
        <w:t>4</w:t>
      </w:r>
      <w:r>
        <w:fldChar w:fldCharType="end"/>
      </w:r>
    </w:p>
    <w:p>
      <w:pPr>
        <w:pStyle w:val="TOC8"/>
        <w:rPr>
          <w:rFonts w:asciiTheme="minorHAnsi" w:eastAsiaTheme="minorEastAsia" w:hAnsiTheme="minorHAnsi" w:cstheme="minorBidi"/>
          <w:szCs w:val="22"/>
        </w:rPr>
      </w:pPr>
      <w:r>
        <w:t>7.</w:t>
      </w:r>
      <w:r>
        <w:tab/>
        <w:t>Sections 27A and 27B inserted</w:t>
      </w:r>
      <w:r>
        <w:tab/>
      </w:r>
      <w:r>
        <w:fldChar w:fldCharType="begin"/>
      </w:r>
      <w:r>
        <w:instrText xml:space="preserve"> PAGEREF _Toc178259159 \h </w:instrText>
      </w:r>
      <w:r>
        <w:fldChar w:fldCharType="separate"/>
      </w:r>
      <w:r>
        <w:t>6</w:t>
      </w:r>
      <w:r>
        <w:fldChar w:fldCharType="end"/>
      </w:r>
    </w:p>
    <w:p>
      <w:pPr>
        <w:pStyle w:val="TOC9"/>
        <w:rPr>
          <w:rFonts w:asciiTheme="minorHAnsi" w:eastAsiaTheme="minorEastAsia" w:hAnsiTheme="minorHAnsi" w:cstheme="minorBidi"/>
          <w:noProof/>
          <w:sz w:val="22"/>
          <w:szCs w:val="22"/>
        </w:rPr>
      </w:pPr>
      <w:r>
        <w:rPr>
          <w:noProof/>
        </w:rPr>
        <w:t>27A.</w:t>
      </w:r>
      <w:r>
        <w:rPr>
          <w:noProof/>
        </w:rPr>
        <w:tab/>
        <w:t>Directions for purposes of giving move on orders</w:t>
      </w:r>
      <w:r>
        <w:rPr>
          <w:noProof/>
        </w:rPr>
        <w:tab/>
      </w:r>
      <w:r>
        <w:rPr>
          <w:noProof/>
        </w:rPr>
        <w:fldChar w:fldCharType="begin"/>
      </w:r>
      <w:r>
        <w:rPr>
          <w:noProof/>
        </w:rPr>
        <w:instrText xml:space="preserve"> PAGEREF _Toc178259160 \h </w:instrText>
      </w:r>
      <w:r>
        <w:rPr>
          <w:noProof/>
        </w:rPr>
      </w:r>
      <w:r>
        <w:rPr>
          <w:noProof/>
        </w:rPr>
        <w:fldChar w:fldCharType="separate"/>
      </w:r>
      <w:r>
        <w:rPr>
          <w:noProof/>
        </w:rPr>
        <w:t>6</w:t>
      </w:r>
      <w:r>
        <w:rPr>
          <w:noProof/>
        </w:rPr>
        <w:fldChar w:fldCharType="end"/>
      </w:r>
    </w:p>
    <w:p>
      <w:pPr>
        <w:pStyle w:val="TOC9"/>
        <w:rPr>
          <w:rFonts w:asciiTheme="minorHAnsi" w:eastAsiaTheme="minorEastAsia" w:hAnsiTheme="minorHAnsi" w:cstheme="minorBidi"/>
          <w:noProof/>
          <w:sz w:val="22"/>
          <w:szCs w:val="22"/>
        </w:rPr>
      </w:pPr>
      <w:r>
        <w:rPr>
          <w:noProof/>
        </w:rPr>
        <w:t>27B.</w:t>
      </w:r>
      <w:r>
        <w:rPr>
          <w:noProof/>
        </w:rPr>
        <w:tab/>
        <w:t>Method of giving move on orders</w:t>
      </w:r>
      <w:r>
        <w:rPr>
          <w:noProof/>
        </w:rPr>
        <w:tab/>
      </w:r>
      <w:r>
        <w:rPr>
          <w:noProof/>
        </w:rPr>
        <w:fldChar w:fldCharType="begin"/>
      </w:r>
      <w:r>
        <w:rPr>
          <w:noProof/>
        </w:rPr>
        <w:instrText xml:space="preserve"> PAGEREF _Toc178259161 \h </w:instrText>
      </w:r>
      <w:r>
        <w:rPr>
          <w:noProof/>
        </w:rPr>
      </w:r>
      <w:r>
        <w:rPr>
          <w:noProof/>
        </w:rPr>
        <w:fldChar w:fldCharType="separate"/>
      </w:r>
      <w:r>
        <w:rPr>
          <w:noProof/>
        </w:rPr>
        <w:t>7</w:t>
      </w:r>
      <w:r>
        <w:rPr>
          <w:noProof/>
        </w:rPr>
        <w:fldChar w:fldCharType="end"/>
      </w:r>
    </w:p>
    <w:p>
      <w:pPr>
        <w:pStyle w:val="TOC8"/>
        <w:rPr>
          <w:rFonts w:asciiTheme="minorHAnsi" w:eastAsiaTheme="minorEastAsia" w:hAnsiTheme="minorHAnsi" w:cstheme="minorBidi"/>
          <w:szCs w:val="22"/>
        </w:rPr>
      </w:pPr>
      <w:r>
        <w:t>8.</w:t>
      </w:r>
      <w:r>
        <w:tab/>
        <w:t>Part 4 Division 2 heading inserted</w:t>
      </w:r>
      <w:r>
        <w:tab/>
      </w:r>
      <w:r>
        <w:fldChar w:fldCharType="begin"/>
      </w:r>
      <w:r>
        <w:instrText xml:space="preserve"> PAGEREF _Toc178259162 \h </w:instrText>
      </w:r>
      <w:r>
        <w:fldChar w:fldCharType="separate"/>
      </w:r>
      <w:r>
        <w:t>7</w:t>
      </w:r>
      <w:r>
        <w:fldChar w:fldCharType="end"/>
      </w:r>
    </w:p>
    <w:p>
      <w:pPr>
        <w:pStyle w:val="TOC5"/>
        <w:tabs>
          <w:tab w:val="right" w:leader="dot" w:pos="7077"/>
        </w:tabs>
        <w:rPr>
          <w:rFonts w:asciiTheme="minorHAnsi" w:eastAsiaTheme="minorEastAsia" w:hAnsiTheme="minorHAnsi" w:cstheme="minorBidi"/>
          <w:b w:val="0"/>
          <w:sz w:val="22"/>
          <w:szCs w:val="22"/>
        </w:rPr>
      </w:pPr>
      <w:r>
        <w:t>Division 2 — Miscellaneous</w:t>
      </w:r>
    </w:p>
    <w:p>
      <w:pPr>
        <w:pStyle w:val="TOC8"/>
        <w:rPr>
          <w:rFonts w:asciiTheme="minorHAnsi" w:eastAsiaTheme="minorEastAsia" w:hAnsiTheme="minorHAnsi" w:cstheme="minorBidi"/>
          <w:szCs w:val="22"/>
        </w:rPr>
      </w:pPr>
      <w:r>
        <w:t>9.</w:t>
      </w:r>
      <w:r>
        <w:tab/>
        <w:t>Part 7A inserted</w:t>
      </w:r>
      <w:r>
        <w:tab/>
      </w:r>
      <w:r>
        <w:fldChar w:fldCharType="begin"/>
      </w:r>
      <w:r>
        <w:instrText xml:space="preserve"> PAGEREF _Toc178259164 \h </w:instrText>
      </w:r>
      <w:r>
        <w:fldChar w:fldCharType="separate"/>
      </w:r>
      <w:r>
        <w:t>8</w:t>
      </w:r>
      <w:r>
        <w:fldChar w:fldCharType="end"/>
      </w:r>
    </w:p>
    <w:p>
      <w:pPr>
        <w:pStyle w:val="TOC3"/>
        <w:tabs>
          <w:tab w:val="right" w:leader="dot" w:pos="7077"/>
        </w:tabs>
        <w:rPr>
          <w:rFonts w:asciiTheme="minorHAnsi" w:eastAsiaTheme="minorEastAsia" w:hAnsiTheme="minorHAnsi" w:cstheme="minorBidi"/>
          <w:b w:val="0"/>
          <w:sz w:val="22"/>
          <w:szCs w:val="22"/>
        </w:rPr>
      </w:pPr>
      <w:r>
        <w:t>Part 7A — Use of metal detectors without warrant in designated areas</w:t>
      </w:r>
    </w:p>
    <w:p>
      <w:pPr>
        <w:pStyle w:val="TOC5"/>
        <w:tabs>
          <w:tab w:val="right" w:leader="dot" w:pos="7077"/>
        </w:tabs>
        <w:rPr>
          <w:rFonts w:asciiTheme="minorHAnsi" w:eastAsiaTheme="minorEastAsia" w:hAnsiTheme="minorHAnsi" w:cstheme="minorBidi"/>
          <w:b w:val="0"/>
          <w:sz w:val="22"/>
          <w:szCs w:val="22"/>
        </w:rPr>
      </w:pPr>
      <w:r>
        <w:t>Division 1 — Preliminary</w:t>
      </w:r>
    </w:p>
    <w:p>
      <w:pPr>
        <w:pStyle w:val="TOC9"/>
        <w:rPr>
          <w:rFonts w:asciiTheme="minorHAnsi" w:eastAsiaTheme="minorEastAsia" w:hAnsiTheme="minorHAnsi" w:cstheme="minorBidi"/>
          <w:noProof/>
          <w:sz w:val="22"/>
          <w:szCs w:val="22"/>
        </w:rPr>
      </w:pPr>
      <w:r>
        <w:rPr>
          <w:noProof/>
        </w:rPr>
        <w:t>61A.</w:t>
      </w:r>
      <w:r>
        <w:rPr>
          <w:noProof/>
        </w:rPr>
        <w:tab/>
        <w:t>Terms used</w:t>
      </w:r>
      <w:r>
        <w:rPr>
          <w:noProof/>
        </w:rPr>
        <w:tab/>
      </w:r>
      <w:r>
        <w:rPr>
          <w:noProof/>
        </w:rPr>
        <w:fldChar w:fldCharType="begin"/>
      </w:r>
      <w:r>
        <w:rPr>
          <w:noProof/>
        </w:rPr>
        <w:instrText xml:space="preserve"> PAGEREF _Toc178259167 \h </w:instrText>
      </w:r>
      <w:r>
        <w:rPr>
          <w:noProof/>
        </w:rPr>
      </w:r>
      <w:r>
        <w:rPr>
          <w:noProof/>
        </w:rPr>
        <w:fldChar w:fldCharType="separate"/>
      </w:r>
      <w:r>
        <w:rPr>
          <w:noProof/>
        </w:rPr>
        <w:t>8</w:t>
      </w:r>
      <w:r>
        <w:rPr>
          <w:noProof/>
        </w:rPr>
        <w:fldChar w:fldCharType="end"/>
      </w:r>
    </w:p>
    <w:p>
      <w:pPr>
        <w:pStyle w:val="TOC5"/>
        <w:tabs>
          <w:tab w:val="right" w:leader="dot" w:pos="7077"/>
        </w:tabs>
        <w:rPr>
          <w:rFonts w:asciiTheme="minorHAnsi" w:eastAsiaTheme="minorEastAsia" w:hAnsiTheme="minorHAnsi" w:cstheme="minorBidi"/>
          <w:b w:val="0"/>
          <w:sz w:val="22"/>
          <w:szCs w:val="22"/>
        </w:rPr>
      </w:pPr>
      <w:r>
        <w:t>Division 2 — Declaration of designated areas</w:t>
      </w:r>
    </w:p>
    <w:p>
      <w:pPr>
        <w:pStyle w:val="TOC9"/>
        <w:rPr>
          <w:rFonts w:asciiTheme="minorHAnsi" w:eastAsiaTheme="minorEastAsia" w:hAnsiTheme="minorHAnsi" w:cstheme="minorBidi"/>
          <w:noProof/>
          <w:sz w:val="22"/>
          <w:szCs w:val="22"/>
        </w:rPr>
      </w:pPr>
      <w:r>
        <w:rPr>
          <w:noProof/>
        </w:rPr>
        <w:t>61B.</w:t>
      </w:r>
      <w:r>
        <w:rPr>
          <w:noProof/>
        </w:rPr>
        <w:tab/>
        <w:t>Declaration of designated areas</w:t>
      </w:r>
      <w:r>
        <w:rPr>
          <w:noProof/>
        </w:rPr>
        <w:tab/>
      </w:r>
      <w:r>
        <w:rPr>
          <w:noProof/>
        </w:rPr>
        <w:fldChar w:fldCharType="begin"/>
      </w:r>
      <w:r>
        <w:rPr>
          <w:noProof/>
        </w:rPr>
        <w:instrText xml:space="preserve"> PAGEREF _Toc178259169 \h </w:instrText>
      </w:r>
      <w:r>
        <w:rPr>
          <w:noProof/>
        </w:rPr>
      </w:r>
      <w:r>
        <w:rPr>
          <w:noProof/>
        </w:rPr>
        <w:fldChar w:fldCharType="separate"/>
      </w:r>
      <w:r>
        <w:rPr>
          <w:noProof/>
        </w:rPr>
        <w:t>9</w:t>
      </w:r>
      <w:r>
        <w:rPr>
          <w:noProof/>
        </w:rPr>
        <w:fldChar w:fldCharType="end"/>
      </w:r>
    </w:p>
    <w:p>
      <w:pPr>
        <w:pStyle w:val="TOC5"/>
        <w:tabs>
          <w:tab w:val="right" w:leader="dot" w:pos="7077"/>
        </w:tabs>
        <w:rPr>
          <w:rFonts w:asciiTheme="minorHAnsi" w:eastAsiaTheme="minorEastAsia" w:hAnsiTheme="minorHAnsi" w:cstheme="minorBidi"/>
          <w:b w:val="0"/>
          <w:sz w:val="22"/>
          <w:szCs w:val="22"/>
        </w:rPr>
      </w:pPr>
      <w:r>
        <w:t>Division 3 — Powers in public places within designated areas</w:t>
      </w:r>
    </w:p>
    <w:p>
      <w:pPr>
        <w:pStyle w:val="TOC9"/>
        <w:keepNext/>
        <w:rPr>
          <w:rFonts w:asciiTheme="minorHAnsi" w:eastAsiaTheme="minorEastAsia" w:hAnsiTheme="minorHAnsi" w:cstheme="minorBidi"/>
          <w:noProof/>
          <w:sz w:val="22"/>
          <w:szCs w:val="22"/>
        </w:rPr>
      </w:pPr>
      <w:r>
        <w:rPr>
          <w:noProof/>
        </w:rPr>
        <w:t>61C.</w:t>
      </w:r>
      <w:r>
        <w:rPr>
          <w:noProof/>
        </w:rPr>
        <w:tab/>
        <w:t>Use of metal detectors</w:t>
      </w:r>
      <w:r>
        <w:rPr>
          <w:noProof/>
        </w:rPr>
        <w:tab/>
      </w:r>
      <w:r>
        <w:rPr>
          <w:noProof/>
        </w:rPr>
        <w:fldChar w:fldCharType="begin"/>
      </w:r>
      <w:r>
        <w:rPr>
          <w:noProof/>
        </w:rPr>
        <w:instrText xml:space="preserve"> PAGEREF _Toc178259171 \h </w:instrText>
      </w:r>
      <w:r>
        <w:rPr>
          <w:noProof/>
        </w:rPr>
      </w:r>
      <w:r>
        <w:rPr>
          <w:noProof/>
        </w:rPr>
        <w:fldChar w:fldCharType="separate"/>
      </w:r>
      <w:r>
        <w:rPr>
          <w:noProof/>
        </w:rPr>
        <w:t>10</w:t>
      </w:r>
      <w:r>
        <w:rPr>
          <w:noProof/>
        </w:rPr>
        <w:fldChar w:fldCharType="end"/>
      </w:r>
    </w:p>
    <w:p>
      <w:pPr>
        <w:pStyle w:val="TOC9"/>
        <w:rPr>
          <w:rFonts w:asciiTheme="minorHAnsi" w:eastAsiaTheme="minorEastAsia" w:hAnsiTheme="minorHAnsi" w:cstheme="minorBidi"/>
          <w:noProof/>
          <w:sz w:val="22"/>
          <w:szCs w:val="22"/>
        </w:rPr>
      </w:pPr>
      <w:r>
        <w:rPr>
          <w:noProof/>
        </w:rPr>
        <w:t>61D.</w:t>
      </w:r>
      <w:r>
        <w:rPr>
          <w:noProof/>
        </w:rPr>
        <w:tab/>
        <w:t>Requirements if metal detector indicates metal</w:t>
      </w:r>
      <w:r>
        <w:rPr>
          <w:noProof/>
        </w:rPr>
        <w:tab/>
      </w:r>
      <w:r>
        <w:rPr>
          <w:noProof/>
        </w:rPr>
        <w:fldChar w:fldCharType="begin"/>
      </w:r>
      <w:r>
        <w:rPr>
          <w:noProof/>
        </w:rPr>
        <w:instrText xml:space="preserve"> PAGEREF _Toc178259172 \h </w:instrText>
      </w:r>
      <w:r>
        <w:rPr>
          <w:noProof/>
        </w:rPr>
      </w:r>
      <w:r>
        <w:rPr>
          <w:noProof/>
        </w:rPr>
        <w:fldChar w:fldCharType="separate"/>
      </w:r>
      <w:r>
        <w:rPr>
          <w:noProof/>
        </w:rPr>
        <w:t>10</w:t>
      </w:r>
      <w:r>
        <w:rPr>
          <w:noProof/>
        </w:rPr>
        <w:fldChar w:fldCharType="end"/>
      </w:r>
    </w:p>
    <w:p>
      <w:pPr>
        <w:pStyle w:val="TOC9"/>
        <w:rPr>
          <w:rFonts w:asciiTheme="minorHAnsi" w:eastAsiaTheme="minorEastAsia" w:hAnsiTheme="minorHAnsi" w:cstheme="minorBidi"/>
          <w:noProof/>
          <w:sz w:val="22"/>
          <w:szCs w:val="22"/>
        </w:rPr>
      </w:pPr>
      <w:r>
        <w:rPr>
          <w:noProof/>
        </w:rPr>
        <w:t>61E.</w:t>
      </w:r>
      <w:r>
        <w:rPr>
          <w:noProof/>
        </w:rPr>
        <w:tab/>
        <w:t>Requirements for use of metal detectors</w:t>
      </w:r>
      <w:r>
        <w:rPr>
          <w:noProof/>
        </w:rPr>
        <w:tab/>
      </w:r>
      <w:r>
        <w:rPr>
          <w:noProof/>
        </w:rPr>
        <w:fldChar w:fldCharType="begin"/>
      </w:r>
      <w:r>
        <w:rPr>
          <w:noProof/>
        </w:rPr>
        <w:instrText xml:space="preserve"> PAGEREF _Toc178259173 \h </w:instrText>
      </w:r>
      <w:r>
        <w:rPr>
          <w:noProof/>
        </w:rPr>
      </w:r>
      <w:r>
        <w:rPr>
          <w:noProof/>
        </w:rPr>
        <w:fldChar w:fldCharType="separate"/>
      </w:r>
      <w:r>
        <w:rPr>
          <w:noProof/>
        </w:rPr>
        <w:t>11</w:t>
      </w:r>
      <w:r>
        <w:rPr>
          <w:noProof/>
        </w:rPr>
        <w:fldChar w:fldCharType="end"/>
      </w:r>
    </w:p>
    <w:p>
      <w:pPr>
        <w:pStyle w:val="TOC5"/>
        <w:tabs>
          <w:tab w:val="right" w:leader="dot" w:pos="7077"/>
        </w:tabs>
        <w:rPr>
          <w:rFonts w:asciiTheme="minorHAnsi" w:eastAsiaTheme="minorEastAsia" w:hAnsiTheme="minorHAnsi" w:cstheme="minorBidi"/>
          <w:b w:val="0"/>
          <w:sz w:val="22"/>
          <w:szCs w:val="22"/>
        </w:rPr>
      </w:pPr>
      <w:r>
        <w:t>Division 4 — Miscellaneous</w:t>
      </w:r>
    </w:p>
    <w:p>
      <w:pPr>
        <w:pStyle w:val="TOC9"/>
        <w:rPr>
          <w:rFonts w:asciiTheme="minorHAnsi" w:eastAsiaTheme="minorEastAsia" w:hAnsiTheme="minorHAnsi" w:cstheme="minorBidi"/>
          <w:noProof/>
          <w:sz w:val="22"/>
          <w:szCs w:val="22"/>
        </w:rPr>
      </w:pPr>
      <w:r>
        <w:rPr>
          <w:noProof/>
        </w:rPr>
        <w:t>61F.</w:t>
      </w:r>
      <w:r>
        <w:rPr>
          <w:noProof/>
        </w:rPr>
        <w:tab/>
        <w:t>Annual report to Minister on this Part</w:t>
      </w:r>
      <w:r>
        <w:rPr>
          <w:noProof/>
        </w:rPr>
        <w:tab/>
      </w:r>
      <w:r>
        <w:rPr>
          <w:noProof/>
        </w:rPr>
        <w:fldChar w:fldCharType="begin"/>
      </w:r>
      <w:r>
        <w:rPr>
          <w:noProof/>
        </w:rPr>
        <w:instrText xml:space="preserve"> PAGEREF _Toc178259175 \h </w:instrText>
      </w:r>
      <w:r>
        <w:rPr>
          <w:noProof/>
        </w:rPr>
      </w:r>
      <w:r>
        <w:rPr>
          <w:noProof/>
        </w:rPr>
        <w:fldChar w:fldCharType="separate"/>
      </w:r>
      <w:r>
        <w:rPr>
          <w:noProof/>
        </w:rPr>
        <w:t>12</w:t>
      </w:r>
      <w:r>
        <w:rPr>
          <w:noProof/>
        </w:rPr>
        <w:fldChar w:fldCharType="end"/>
      </w:r>
    </w:p>
    <w:p>
      <w:pPr>
        <w:pStyle w:val="TOC9"/>
        <w:rPr>
          <w:rFonts w:asciiTheme="minorHAnsi" w:eastAsiaTheme="minorEastAsia" w:hAnsiTheme="minorHAnsi" w:cstheme="minorBidi"/>
          <w:noProof/>
          <w:sz w:val="22"/>
          <w:szCs w:val="22"/>
        </w:rPr>
      </w:pPr>
      <w:r>
        <w:rPr>
          <w:noProof/>
        </w:rPr>
        <w:t>61G.</w:t>
      </w:r>
      <w:r>
        <w:rPr>
          <w:noProof/>
        </w:rPr>
        <w:tab/>
        <w:t>Review of Part</w:t>
      </w:r>
      <w:r>
        <w:rPr>
          <w:noProof/>
        </w:rPr>
        <w:tab/>
      </w:r>
      <w:r>
        <w:rPr>
          <w:noProof/>
        </w:rPr>
        <w:fldChar w:fldCharType="begin"/>
      </w:r>
      <w:r>
        <w:rPr>
          <w:noProof/>
        </w:rPr>
        <w:instrText xml:space="preserve"> PAGEREF _Toc178259176 \h </w:instrText>
      </w:r>
      <w:r>
        <w:rPr>
          <w:noProof/>
        </w:rPr>
      </w:r>
      <w:r>
        <w:rPr>
          <w:noProof/>
        </w:rPr>
        <w:fldChar w:fldCharType="separate"/>
      </w:r>
      <w:r>
        <w:rPr>
          <w:noProof/>
        </w:rPr>
        <w:t>12</w:t>
      </w:r>
      <w:r>
        <w:rPr>
          <w:noProof/>
        </w:rPr>
        <w:fldChar w:fldCharType="end"/>
      </w:r>
    </w:p>
    <w:p>
      <w:pPr>
        <w:pStyle w:val="TOC2"/>
        <w:tabs>
          <w:tab w:val="right" w:leader="dot" w:pos="7077"/>
        </w:tabs>
        <w:rPr>
          <w:rFonts w:asciiTheme="minorHAnsi" w:eastAsiaTheme="minorEastAsia" w:hAnsiTheme="minorHAnsi" w:cstheme="minorBidi"/>
          <w:b w:val="0"/>
          <w:sz w:val="22"/>
          <w:szCs w:val="22"/>
        </w:rPr>
      </w:pPr>
      <w:r>
        <w:t>Part 3 — </w:t>
      </w:r>
      <w:r>
        <w:rPr>
          <w:i/>
          <w:iCs/>
        </w:rPr>
        <w:t>Weapons Act 1999</w:t>
      </w:r>
      <w:r>
        <w:t xml:space="preserve"> amended</w:t>
      </w:r>
    </w:p>
    <w:p>
      <w:pPr>
        <w:pStyle w:val="TOC8"/>
        <w:rPr>
          <w:rFonts w:asciiTheme="minorHAnsi" w:eastAsiaTheme="minorEastAsia" w:hAnsiTheme="minorHAnsi" w:cstheme="minorBidi"/>
          <w:szCs w:val="22"/>
        </w:rPr>
      </w:pPr>
      <w:r>
        <w:t>10.</w:t>
      </w:r>
      <w:r>
        <w:tab/>
        <w:t>Act amended</w:t>
      </w:r>
      <w:r>
        <w:tab/>
      </w:r>
      <w:r>
        <w:fldChar w:fldCharType="begin"/>
      </w:r>
      <w:r>
        <w:instrText xml:space="preserve"> PAGEREF _Toc178259178 \h </w:instrText>
      </w:r>
      <w:r>
        <w:fldChar w:fldCharType="separate"/>
      </w:r>
      <w:r>
        <w:t>13</w:t>
      </w:r>
      <w:r>
        <w:fldChar w:fldCharType="end"/>
      </w:r>
    </w:p>
    <w:p>
      <w:pPr>
        <w:pStyle w:val="TOC8"/>
        <w:rPr>
          <w:rFonts w:asciiTheme="minorHAnsi" w:eastAsiaTheme="minorEastAsia" w:hAnsiTheme="minorHAnsi" w:cstheme="minorBidi"/>
          <w:szCs w:val="22"/>
        </w:rPr>
      </w:pPr>
      <w:r>
        <w:t>11.</w:t>
      </w:r>
      <w:r>
        <w:tab/>
        <w:t>Section 3 amended</w:t>
      </w:r>
      <w:r>
        <w:tab/>
      </w:r>
      <w:r>
        <w:fldChar w:fldCharType="begin"/>
      </w:r>
      <w:r>
        <w:instrText xml:space="preserve"> PAGEREF _Toc178259179 \h </w:instrText>
      </w:r>
      <w:r>
        <w:fldChar w:fldCharType="separate"/>
      </w:r>
      <w:r>
        <w:t>13</w:t>
      </w:r>
      <w:r>
        <w:fldChar w:fldCharType="end"/>
      </w:r>
    </w:p>
    <w:p>
      <w:pPr>
        <w:pStyle w:val="TOC8"/>
        <w:rPr>
          <w:rFonts w:asciiTheme="minorHAnsi" w:eastAsiaTheme="minorEastAsia" w:hAnsiTheme="minorHAnsi" w:cstheme="minorBidi"/>
          <w:szCs w:val="22"/>
        </w:rPr>
      </w:pPr>
      <w:r>
        <w:t>12.</w:t>
      </w:r>
      <w:r>
        <w:tab/>
        <w:t>Section 3A inserted</w:t>
      </w:r>
      <w:r>
        <w:tab/>
      </w:r>
      <w:r>
        <w:fldChar w:fldCharType="begin"/>
      </w:r>
      <w:r>
        <w:instrText xml:space="preserve"> PAGEREF _Toc178259180 \h </w:instrText>
      </w:r>
      <w:r>
        <w:fldChar w:fldCharType="separate"/>
      </w:r>
      <w:r>
        <w:t>14</w:t>
      </w:r>
      <w:r>
        <w:fldChar w:fldCharType="end"/>
      </w:r>
    </w:p>
    <w:p>
      <w:pPr>
        <w:pStyle w:val="TOC9"/>
        <w:rPr>
          <w:rFonts w:asciiTheme="minorHAnsi" w:eastAsiaTheme="minorEastAsia" w:hAnsiTheme="minorHAnsi" w:cstheme="minorBidi"/>
          <w:noProof/>
          <w:sz w:val="22"/>
          <w:szCs w:val="22"/>
        </w:rPr>
      </w:pPr>
      <w:r>
        <w:rPr>
          <w:noProof/>
        </w:rPr>
        <w:t>3A.</w:t>
      </w:r>
      <w:r>
        <w:rPr>
          <w:noProof/>
        </w:rPr>
        <w:tab/>
        <w:t>Meaning of edged weapon</w:t>
      </w:r>
      <w:r>
        <w:rPr>
          <w:noProof/>
        </w:rPr>
        <w:tab/>
      </w:r>
      <w:r>
        <w:rPr>
          <w:noProof/>
        </w:rPr>
        <w:fldChar w:fldCharType="begin"/>
      </w:r>
      <w:r>
        <w:rPr>
          <w:noProof/>
        </w:rPr>
        <w:instrText xml:space="preserve"> PAGEREF _Toc178259181 \h </w:instrText>
      </w:r>
      <w:r>
        <w:rPr>
          <w:noProof/>
        </w:rPr>
      </w:r>
      <w:r>
        <w:rPr>
          <w:noProof/>
        </w:rPr>
        <w:fldChar w:fldCharType="separate"/>
      </w:r>
      <w:r>
        <w:rPr>
          <w:noProof/>
        </w:rPr>
        <w:t>14</w:t>
      </w:r>
      <w:r>
        <w:rPr>
          <w:noProof/>
        </w:rPr>
        <w:fldChar w:fldCharType="end"/>
      </w:r>
    </w:p>
    <w:p>
      <w:pPr>
        <w:pStyle w:val="TOC8"/>
        <w:rPr>
          <w:rFonts w:asciiTheme="minorHAnsi" w:eastAsiaTheme="minorEastAsia" w:hAnsiTheme="minorHAnsi" w:cstheme="minorBidi"/>
          <w:szCs w:val="22"/>
        </w:rPr>
      </w:pPr>
      <w:r>
        <w:t>13.</w:t>
      </w:r>
      <w:r>
        <w:tab/>
        <w:t>Section 5A inserted</w:t>
      </w:r>
      <w:r>
        <w:tab/>
      </w:r>
      <w:r>
        <w:fldChar w:fldCharType="begin"/>
      </w:r>
      <w:r>
        <w:instrText xml:space="preserve"> PAGEREF _Toc178259182 \h </w:instrText>
      </w:r>
      <w:r>
        <w:fldChar w:fldCharType="separate"/>
      </w:r>
      <w:r>
        <w:t>15</w:t>
      </w:r>
      <w:r>
        <w:fldChar w:fldCharType="end"/>
      </w:r>
    </w:p>
    <w:p>
      <w:pPr>
        <w:pStyle w:val="TOC9"/>
        <w:rPr>
          <w:rFonts w:asciiTheme="minorHAnsi" w:eastAsiaTheme="minorEastAsia" w:hAnsiTheme="minorHAnsi" w:cstheme="minorBidi"/>
          <w:noProof/>
          <w:sz w:val="22"/>
          <w:szCs w:val="22"/>
        </w:rPr>
      </w:pPr>
      <w:r>
        <w:rPr>
          <w:noProof/>
        </w:rPr>
        <w:t>5A.</w:t>
      </w:r>
      <w:r>
        <w:rPr>
          <w:noProof/>
        </w:rPr>
        <w:tab/>
        <w:t>Lawful excuse</w:t>
      </w:r>
      <w:r>
        <w:rPr>
          <w:noProof/>
        </w:rPr>
        <w:tab/>
      </w:r>
      <w:r>
        <w:rPr>
          <w:noProof/>
        </w:rPr>
        <w:fldChar w:fldCharType="begin"/>
      </w:r>
      <w:r>
        <w:rPr>
          <w:noProof/>
        </w:rPr>
        <w:instrText xml:space="preserve"> PAGEREF _Toc178259183 \h </w:instrText>
      </w:r>
      <w:r>
        <w:rPr>
          <w:noProof/>
        </w:rPr>
      </w:r>
      <w:r>
        <w:rPr>
          <w:noProof/>
        </w:rPr>
        <w:fldChar w:fldCharType="separate"/>
      </w:r>
      <w:r>
        <w:rPr>
          <w:noProof/>
        </w:rPr>
        <w:t>15</w:t>
      </w:r>
      <w:r>
        <w:rPr>
          <w:noProof/>
        </w:rPr>
        <w:fldChar w:fldCharType="end"/>
      </w:r>
    </w:p>
    <w:p>
      <w:pPr>
        <w:pStyle w:val="TOC8"/>
        <w:rPr>
          <w:rFonts w:asciiTheme="minorHAnsi" w:eastAsiaTheme="minorEastAsia" w:hAnsiTheme="minorHAnsi" w:cstheme="minorBidi"/>
          <w:szCs w:val="22"/>
        </w:rPr>
      </w:pPr>
      <w:r>
        <w:t>14.</w:t>
      </w:r>
      <w:r>
        <w:tab/>
        <w:t>Section 6 amended</w:t>
      </w:r>
      <w:r>
        <w:tab/>
      </w:r>
      <w:r>
        <w:fldChar w:fldCharType="begin"/>
      </w:r>
      <w:r>
        <w:instrText xml:space="preserve"> PAGEREF _Toc178259184 \h </w:instrText>
      </w:r>
      <w:r>
        <w:fldChar w:fldCharType="separate"/>
      </w:r>
      <w:r>
        <w:t>16</w:t>
      </w:r>
      <w:r>
        <w:fldChar w:fldCharType="end"/>
      </w:r>
    </w:p>
    <w:p>
      <w:pPr>
        <w:pStyle w:val="TOC8"/>
        <w:rPr>
          <w:rFonts w:asciiTheme="minorHAnsi" w:eastAsiaTheme="minorEastAsia" w:hAnsiTheme="minorHAnsi" w:cstheme="minorBidi"/>
          <w:szCs w:val="22"/>
        </w:rPr>
      </w:pPr>
      <w:r>
        <w:t>15.</w:t>
      </w:r>
      <w:r>
        <w:tab/>
        <w:t>Sections 6A and 6B inserted</w:t>
      </w:r>
      <w:r>
        <w:tab/>
      </w:r>
      <w:r>
        <w:fldChar w:fldCharType="begin"/>
      </w:r>
      <w:r>
        <w:instrText xml:space="preserve"> PAGEREF _Toc178259185 \h </w:instrText>
      </w:r>
      <w:r>
        <w:fldChar w:fldCharType="separate"/>
      </w:r>
      <w:r>
        <w:t>17</w:t>
      </w:r>
      <w:r>
        <w:fldChar w:fldCharType="end"/>
      </w:r>
    </w:p>
    <w:p>
      <w:pPr>
        <w:pStyle w:val="TOC9"/>
        <w:rPr>
          <w:rFonts w:asciiTheme="minorHAnsi" w:eastAsiaTheme="minorEastAsia" w:hAnsiTheme="minorHAnsi" w:cstheme="minorBidi"/>
          <w:noProof/>
          <w:sz w:val="22"/>
          <w:szCs w:val="22"/>
        </w:rPr>
      </w:pPr>
      <w:r>
        <w:rPr>
          <w:noProof/>
        </w:rPr>
        <w:t>6A.</w:t>
      </w:r>
      <w:r>
        <w:rPr>
          <w:noProof/>
        </w:rPr>
        <w:tab/>
        <w:t>Edged weapons</w:t>
      </w:r>
      <w:r>
        <w:rPr>
          <w:noProof/>
        </w:rPr>
        <w:tab/>
      </w:r>
      <w:r>
        <w:rPr>
          <w:noProof/>
        </w:rPr>
        <w:fldChar w:fldCharType="begin"/>
      </w:r>
      <w:r>
        <w:rPr>
          <w:noProof/>
        </w:rPr>
        <w:instrText xml:space="preserve"> PAGEREF _Toc178259186 \h </w:instrText>
      </w:r>
      <w:r>
        <w:rPr>
          <w:noProof/>
        </w:rPr>
      </w:r>
      <w:r>
        <w:rPr>
          <w:noProof/>
        </w:rPr>
        <w:fldChar w:fldCharType="separate"/>
      </w:r>
      <w:r>
        <w:rPr>
          <w:noProof/>
        </w:rPr>
        <w:t>17</w:t>
      </w:r>
      <w:r>
        <w:rPr>
          <w:noProof/>
        </w:rPr>
        <w:fldChar w:fldCharType="end"/>
      </w:r>
    </w:p>
    <w:p>
      <w:pPr>
        <w:pStyle w:val="TOC9"/>
        <w:rPr>
          <w:rFonts w:asciiTheme="minorHAnsi" w:eastAsiaTheme="minorEastAsia" w:hAnsiTheme="minorHAnsi" w:cstheme="minorBidi"/>
          <w:noProof/>
          <w:sz w:val="22"/>
          <w:szCs w:val="22"/>
        </w:rPr>
      </w:pPr>
      <w:r>
        <w:rPr>
          <w:noProof/>
        </w:rPr>
        <w:t>6B.</w:t>
      </w:r>
      <w:r>
        <w:rPr>
          <w:noProof/>
        </w:rPr>
        <w:tab/>
        <w:t>Selling or supplying edged weapons to children</w:t>
      </w:r>
      <w:r>
        <w:rPr>
          <w:noProof/>
        </w:rPr>
        <w:tab/>
      </w:r>
      <w:r>
        <w:rPr>
          <w:noProof/>
        </w:rPr>
        <w:fldChar w:fldCharType="begin"/>
      </w:r>
      <w:r>
        <w:rPr>
          <w:noProof/>
        </w:rPr>
        <w:instrText xml:space="preserve"> PAGEREF _Toc178259187 \h </w:instrText>
      </w:r>
      <w:r>
        <w:rPr>
          <w:noProof/>
        </w:rPr>
      </w:r>
      <w:r>
        <w:rPr>
          <w:noProof/>
        </w:rPr>
        <w:fldChar w:fldCharType="separate"/>
      </w:r>
      <w:r>
        <w:rPr>
          <w:noProof/>
        </w:rPr>
        <w:t>17</w:t>
      </w:r>
      <w:r>
        <w:rPr>
          <w:noProof/>
        </w:rPr>
        <w:fldChar w:fldCharType="end"/>
      </w:r>
    </w:p>
    <w:p>
      <w:pPr>
        <w:pStyle w:val="TOC8"/>
        <w:rPr>
          <w:rFonts w:asciiTheme="minorHAnsi" w:eastAsiaTheme="minorEastAsia" w:hAnsiTheme="minorHAnsi" w:cstheme="minorBidi"/>
          <w:szCs w:val="22"/>
        </w:rPr>
      </w:pPr>
      <w:r>
        <w:t>16.</w:t>
      </w:r>
      <w:r>
        <w:tab/>
        <w:t>Section 7 amended</w:t>
      </w:r>
      <w:r>
        <w:tab/>
      </w:r>
      <w:r>
        <w:fldChar w:fldCharType="begin"/>
      </w:r>
      <w:r>
        <w:instrText xml:space="preserve"> PAGEREF _Toc178259188 \h </w:instrText>
      </w:r>
      <w:r>
        <w:fldChar w:fldCharType="separate"/>
      </w:r>
      <w:r>
        <w:t>18</w:t>
      </w:r>
      <w:r>
        <w:fldChar w:fldCharType="end"/>
      </w:r>
    </w:p>
    <w:p>
      <w:pPr>
        <w:pStyle w:val="TOC8"/>
        <w:rPr>
          <w:rFonts w:asciiTheme="minorHAnsi" w:eastAsiaTheme="minorEastAsia" w:hAnsiTheme="minorHAnsi" w:cstheme="minorBidi"/>
          <w:szCs w:val="22"/>
        </w:rPr>
      </w:pPr>
      <w:r>
        <w:t>17.</w:t>
      </w:r>
      <w:r>
        <w:tab/>
        <w:t>Section 8A amended</w:t>
      </w:r>
      <w:r>
        <w:tab/>
      </w:r>
      <w:r>
        <w:fldChar w:fldCharType="begin"/>
      </w:r>
      <w:r>
        <w:instrText xml:space="preserve"> PAGEREF _Toc178259189 \h </w:instrText>
      </w:r>
      <w:r>
        <w:fldChar w:fldCharType="separate"/>
      </w:r>
      <w:r>
        <w:t>18</w:t>
      </w:r>
      <w:r>
        <w:fldChar w:fldCharType="end"/>
      </w:r>
    </w:p>
    <w:p>
      <w:pPr>
        <w:pStyle w:val="TOC8"/>
        <w:rPr>
          <w:rFonts w:asciiTheme="minorHAnsi" w:eastAsiaTheme="minorEastAsia" w:hAnsiTheme="minorHAnsi" w:cstheme="minorBidi"/>
          <w:szCs w:val="22"/>
        </w:rPr>
      </w:pPr>
      <w:r>
        <w:t>18.</w:t>
      </w:r>
      <w:r>
        <w:tab/>
        <w:t>Section 8 amended</w:t>
      </w:r>
      <w:r>
        <w:tab/>
      </w:r>
      <w:r>
        <w:fldChar w:fldCharType="begin"/>
      </w:r>
      <w:r>
        <w:instrText xml:space="preserve"> PAGEREF _Toc178259190 \h </w:instrText>
      </w:r>
      <w:r>
        <w:fldChar w:fldCharType="separate"/>
      </w:r>
      <w:r>
        <w:t>19</w:t>
      </w:r>
      <w:r>
        <w:fldChar w:fldCharType="end"/>
      </w:r>
    </w:p>
    <w:p>
      <w:pPr>
        <w:pStyle w:val="TOC8"/>
        <w:rPr>
          <w:rFonts w:asciiTheme="minorHAnsi" w:eastAsiaTheme="minorEastAsia" w:hAnsiTheme="minorHAnsi" w:cstheme="minorBidi"/>
          <w:szCs w:val="22"/>
        </w:rPr>
      </w:pPr>
      <w:r>
        <w:t>19.</w:t>
      </w:r>
      <w:r>
        <w:tab/>
        <w:t>Section 9 replaced</w:t>
      </w:r>
      <w:r>
        <w:tab/>
      </w:r>
      <w:r>
        <w:fldChar w:fldCharType="begin"/>
      </w:r>
      <w:r>
        <w:instrText xml:space="preserve"> PAGEREF _Toc178259191 \h </w:instrText>
      </w:r>
      <w:r>
        <w:fldChar w:fldCharType="separate"/>
      </w:r>
      <w:r>
        <w:t>20</w:t>
      </w:r>
      <w:r>
        <w:fldChar w:fldCharType="end"/>
      </w:r>
    </w:p>
    <w:p>
      <w:pPr>
        <w:pStyle w:val="TOC9"/>
        <w:rPr>
          <w:rFonts w:asciiTheme="minorHAnsi" w:eastAsiaTheme="minorEastAsia" w:hAnsiTheme="minorHAnsi" w:cstheme="minorBidi"/>
          <w:noProof/>
          <w:sz w:val="22"/>
          <w:szCs w:val="22"/>
        </w:rPr>
      </w:pPr>
      <w:r>
        <w:rPr>
          <w:noProof/>
        </w:rPr>
        <w:t>9.</w:t>
      </w:r>
      <w:r>
        <w:rPr>
          <w:noProof/>
        </w:rPr>
        <w:tab/>
      </w:r>
      <w:r>
        <w:rPr>
          <w:i/>
          <w:noProof/>
        </w:rPr>
        <w:t>The Criminal Code</w:t>
      </w:r>
      <w:r>
        <w:rPr>
          <w:noProof/>
        </w:rPr>
        <w:t xml:space="preserve"> s. 25 and 31 not affected</w:t>
      </w:r>
      <w:r>
        <w:rPr>
          <w:noProof/>
        </w:rPr>
        <w:tab/>
      </w:r>
      <w:r>
        <w:rPr>
          <w:noProof/>
        </w:rPr>
        <w:fldChar w:fldCharType="begin"/>
      </w:r>
      <w:r>
        <w:rPr>
          <w:noProof/>
        </w:rPr>
        <w:instrText xml:space="preserve"> PAGEREF _Toc178259192 \h </w:instrText>
      </w:r>
      <w:r>
        <w:rPr>
          <w:noProof/>
        </w:rPr>
      </w:r>
      <w:r>
        <w:rPr>
          <w:noProof/>
        </w:rPr>
        <w:fldChar w:fldCharType="separate"/>
      </w:r>
      <w:r>
        <w:rPr>
          <w:noProof/>
        </w:rPr>
        <w:t>20</w:t>
      </w:r>
      <w:r>
        <w:rPr>
          <w:noProof/>
        </w:rPr>
        <w:fldChar w:fldCharType="end"/>
      </w:r>
    </w:p>
    <w:p>
      <w:pPr>
        <w:pStyle w:val="TOC8"/>
        <w:rPr>
          <w:rFonts w:asciiTheme="minorHAnsi" w:eastAsiaTheme="minorEastAsia" w:hAnsiTheme="minorHAnsi" w:cstheme="minorBidi"/>
          <w:szCs w:val="22"/>
        </w:rPr>
      </w:pPr>
      <w:r>
        <w:t>20.</w:t>
      </w:r>
      <w:r>
        <w:tab/>
        <w:t>Section 10 amended</w:t>
      </w:r>
      <w:r>
        <w:tab/>
      </w:r>
      <w:r>
        <w:fldChar w:fldCharType="begin"/>
      </w:r>
      <w:r>
        <w:instrText xml:space="preserve"> PAGEREF _Toc178259193 \h </w:instrText>
      </w:r>
      <w:r>
        <w:fldChar w:fldCharType="separate"/>
      </w:r>
      <w:r>
        <w:t>20</w:t>
      </w:r>
      <w:r>
        <w:fldChar w:fldCharType="end"/>
      </w:r>
    </w:p>
    <w:p>
      <w:pPr>
        <w:pStyle w:val="TOC8"/>
        <w:rPr>
          <w:rFonts w:asciiTheme="minorHAnsi" w:eastAsiaTheme="minorEastAsia" w:hAnsiTheme="minorHAnsi" w:cstheme="minorBidi"/>
          <w:szCs w:val="22"/>
        </w:rPr>
      </w:pPr>
      <w:r>
        <w:t>21.</w:t>
      </w:r>
      <w:r>
        <w:tab/>
        <w:t>Section 11 amended</w:t>
      </w:r>
      <w:r>
        <w:tab/>
      </w:r>
      <w:r>
        <w:fldChar w:fldCharType="begin"/>
      </w:r>
      <w:r>
        <w:instrText xml:space="preserve"> PAGEREF _Toc178259194 \h </w:instrText>
      </w:r>
      <w:r>
        <w:fldChar w:fldCharType="separate"/>
      </w:r>
      <w:r>
        <w:t>20</w:t>
      </w:r>
      <w:r>
        <w:fldChar w:fldCharType="end"/>
      </w:r>
    </w:p>
    <w:p>
      <w:pPr>
        <w:pStyle w:val="TOC8"/>
        <w:rPr>
          <w:rFonts w:asciiTheme="minorHAnsi" w:eastAsiaTheme="minorEastAsia" w:hAnsiTheme="minorHAnsi" w:cstheme="minorBidi"/>
          <w:szCs w:val="22"/>
        </w:rPr>
      </w:pPr>
      <w:r>
        <w:t>22.</w:t>
      </w:r>
      <w:r>
        <w:tab/>
        <w:t>Section 12 amended</w:t>
      </w:r>
      <w:r>
        <w:tab/>
      </w:r>
      <w:r>
        <w:fldChar w:fldCharType="begin"/>
      </w:r>
      <w:r>
        <w:instrText xml:space="preserve"> PAGEREF _Toc178259195 \h </w:instrText>
      </w:r>
      <w:r>
        <w:fldChar w:fldCharType="separate"/>
      </w:r>
      <w:r>
        <w:t>21</w:t>
      </w:r>
      <w:r>
        <w:fldChar w:fldCharType="end"/>
      </w:r>
    </w:p>
    <w:p>
      <w:pPr>
        <w:pStyle w:val="TOC2"/>
        <w:tabs>
          <w:tab w:val="right" w:leader="dot" w:pos="7077"/>
        </w:tabs>
        <w:rPr>
          <w:rFonts w:asciiTheme="minorHAnsi" w:eastAsiaTheme="minorEastAsia" w:hAnsiTheme="minorHAnsi" w:cstheme="minorBidi"/>
          <w:b w:val="0"/>
          <w:sz w:val="22"/>
          <w:szCs w:val="22"/>
        </w:rPr>
      </w:pPr>
      <w:r>
        <w:t>Part 4 — </w:t>
      </w:r>
      <w:r>
        <w:rPr>
          <w:i/>
          <w:iCs/>
        </w:rPr>
        <w:t>Young Offenders Act 1994</w:t>
      </w:r>
      <w:r>
        <w:t xml:space="preserve"> amended</w:t>
      </w:r>
    </w:p>
    <w:p>
      <w:pPr>
        <w:pStyle w:val="TOC8"/>
        <w:rPr>
          <w:rFonts w:asciiTheme="minorHAnsi" w:eastAsiaTheme="minorEastAsia" w:hAnsiTheme="minorHAnsi" w:cstheme="minorBidi"/>
          <w:szCs w:val="22"/>
        </w:rPr>
      </w:pPr>
      <w:r>
        <w:t>23.</w:t>
      </w:r>
      <w:r>
        <w:tab/>
        <w:t>Act amended</w:t>
      </w:r>
      <w:r>
        <w:tab/>
      </w:r>
      <w:r>
        <w:fldChar w:fldCharType="begin"/>
      </w:r>
      <w:r>
        <w:instrText xml:space="preserve"> PAGEREF _Toc178259197 \h </w:instrText>
      </w:r>
      <w:r>
        <w:fldChar w:fldCharType="separate"/>
      </w:r>
      <w:r>
        <w:t>22</w:t>
      </w:r>
      <w:r>
        <w:fldChar w:fldCharType="end"/>
      </w:r>
    </w:p>
    <w:p>
      <w:pPr>
        <w:pStyle w:val="TOC8"/>
        <w:rPr>
          <w:rFonts w:asciiTheme="minorHAnsi" w:eastAsiaTheme="minorEastAsia" w:hAnsiTheme="minorHAnsi" w:cstheme="minorBidi"/>
          <w:szCs w:val="22"/>
        </w:rPr>
      </w:pPr>
      <w:r>
        <w:t>24.</w:t>
      </w:r>
      <w:r>
        <w:tab/>
        <w:t>Section 22 amended</w:t>
      </w:r>
      <w:r>
        <w:tab/>
      </w:r>
      <w:r>
        <w:fldChar w:fldCharType="begin"/>
      </w:r>
      <w:r>
        <w:instrText xml:space="preserve"> PAGEREF _Toc178259198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5 — Other Acts amended</w:t>
      </w:r>
    </w:p>
    <w:p>
      <w:pPr>
        <w:pStyle w:val="TOC4"/>
        <w:tabs>
          <w:tab w:val="right" w:leader="dot" w:pos="7077"/>
        </w:tabs>
        <w:rPr>
          <w:rFonts w:asciiTheme="minorHAnsi" w:eastAsiaTheme="minorEastAsia" w:hAnsiTheme="minorHAnsi" w:cstheme="minorBidi"/>
          <w:b w:val="0"/>
          <w:szCs w:val="22"/>
        </w:rPr>
      </w:pPr>
      <w:r>
        <w:t>Division 1 — </w:t>
      </w:r>
      <w:r>
        <w:rPr>
          <w:i/>
          <w:iCs/>
        </w:rPr>
        <w:t>Children and Community Services Act 2004</w:t>
      </w:r>
      <w:r>
        <w:t xml:space="preserve"> amended</w:t>
      </w:r>
    </w:p>
    <w:p>
      <w:pPr>
        <w:pStyle w:val="TOC8"/>
        <w:rPr>
          <w:rFonts w:asciiTheme="minorHAnsi" w:eastAsiaTheme="minorEastAsia" w:hAnsiTheme="minorHAnsi" w:cstheme="minorBidi"/>
          <w:szCs w:val="22"/>
        </w:rPr>
      </w:pPr>
      <w:r>
        <w:t>25.</w:t>
      </w:r>
      <w:r>
        <w:tab/>
        <w:t>Act amended</w:t>
      </w:r>
      <w:r>
        <w:tab/>
      </w:r>
      <w:r>
        <w:fldChar w:fldCharType="begin"/>
      </w:r>
      <w:r>
        <w:instrText xml:space="preserve"> PAGEREF _Toc178259201 \h </w:instrText>
      </w:r>
      <w:r>
        <w:fldChar w:fldCharType="separate"/>
      </w:r>
      <w:r>
        <w:t>23</w:t>
      </w:r>
      <w:r>
        <w:fldChar w:fldCharType="end"/>
      </w:r>
    </w:p>
    <w:p>
      <w:pPr>
        <w:pStyle w:val="TOC8"/>
        <w:rPr>
          <w:rFonts w:asciiTheme="minorHAnsi" w:eastAsiaTheme="minorEastAsia" w:hAnsiTheme="minorHAnsi" w:cstheme="minorBidi"/>
          <w:szCs w:val="22"/>
        </w:rPr>
      </w:pPr>
      <w:r>
        <w:t>26.</w:t>
      </w:r>
      <w:r>
        <w:tab/>
        <w:t>Section 112 amended</w:t>
      </w:r>
      <w:r>
        <w:tab/>
      </w:r>
      <w:r>
        <w:fldChar w:fldCharType="begin"/>
      </w:r>
      <w:r>
        <w:instrText xml:space="preserve"> PAGEREF _Toc178259202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2 — </w:t>
      </w:r>
      <w:r>
        <w:rPr>
          <w:i/>
          <w:iCs/>
        </w:rPr>
        <w:t>Firearms Act 1973</w:t>
      </w:r>
      <w:r>
        <w:t xml:space="preserve"> amended</w:t>
      </w:r>
    </w:p>
    <w:p>
      <w:pPr>
        <w:pStyle w:val="TOC8"/>
        <w:rPr>
          <w:rFonts w:asciiTheme="minorHAnsi" w:eastAsiaTheme="minorEastAsia" w:hAnsiTheme="minorHAnsi" w:cstheme="minorBidi"/>
          <w:szCs w:val="22"/>
        </w:rPr>
      </w:pPr>
      <w:r>
        <w:t>27.</w:t>
      </w:r>
      <w:r>
        <w:tab/>
        <w:t>Act amended</w:t>
      </w:r>
      <w:r>
        <w:tab/>
      </w:r>
      <w:r>
        <w:fldChar w:fldCharType="begin"/>
      </w:r>
      <w:r>
        <w:instrText xml:space="preserve"> PAGEREF _Toc178259204 \h </w:instrText>
      </w:r>
      <w:r>
        <w:fldChar w:fldCharType="separate"/>
      </w:r>
      <w:r>
        <w:t>23</w:t>
      </w:r>
      <w:r>
        <w:fldChar w:fldCharType="end"/>
      </w:r>
    </w:p>
    <w:p>
      <w:pPr>
        <w:pStyle w:val="TOC8"/>
        <w:rPr>
          <w:rFonts w:asciiTheme="minorHAnsi" w:eastAsiaTheme="minorEastAsia" w:hAnsiTheme="minorHAnsi" w:cstheme="minorBidi"/>
          <w:szCs w:val="22"/>
        </w:rPr>
      </w:pPr>
      <w:r>
        <w:t>28.</w:t>
      </w:r>
      <w:r>
        <w:tab/>
        <w:t>Section 4 amended</w:t>
      </w:r>
      <w:r>
        <w:tab/>
      </w:r>
      <w:r>
        <w:fldChar w:fldCharType="begin"/>
      </w:r>
      <w:r>
        <w:instrText xml:space="preserve"> PAGEREF _Toc178259205 \h </w:instrText>
      </w:r>
      <w:r>
        <w:fldChar w:fldCharType="separate"/>
      </w:r>
      <w:r>
        <w:t>23</w:t>
      </w:r>
      <w:r>
        <w:fldChar w:fldCharType="end"/>
      </w:r>
    </w:p>
    <w:p>
      <w:pPr>
        <w:pStyle w:val="TOC4"/>
        <w:tabs>
          <w:tab w:val="right" w:leader="dot" w:pos="7077"/>
        </w:tabs>
        <w:rPr>
          <w:rFonts w:asciiTheme="minorHAnsi" w:eastAsiaTheme="minorEastAsia" w:hAnsiTheme="minorHAnsi" w:cstheme="minorBidi"/>
          <w:b w:val="0"/>
          <w:szCs w:val="22"/>
        </w:rPr>
      </w:pPr>
      <w:r>
        <w:t>Division 3 — </w:t>
      </w:r>
      <w:r>
        <w:rPr>
          <w:i/>
          <w:iCs/>
        </w:rPr>
        <w:t>Firearms Act 2024</w:t>
      </w:r>
      <w:r>
        <w:t xml:space="preserve"> amended</w:t>
      </w:r>
    </w:p>
    <w:p>
      <w:pPr>
        <w:pStyle w:val="TOC8"/>
        <w:rPr>
          <w:rFonts w:asciiTheme="minorHAnsi" w:eastAsiaTheme="minorEastAsia" w:hAnsiTheme="minorHAnsi" w:cstheme="minorBidi"/>
          <w:szCs w:val="22"/>
        </w:rPr>
      </w:pPr>
      <w:r>
        <w:t>29.</w:t>
      </w:r>
      <w:r>
        <w:tab/>
        <w:t>Act amended</w:t>
      </w:r>
      <w:r>
        <w:tab/>
      </w:r>
      <w:r>
        <w:fldChar w:fldCharType="begin"/>
      </w:r>
      <w:r>
        <w:instrText xml:space="preserve"> PAGEREF _Toc178259207 \h </w:instrText>
      </w:r>
      <w:r>
        <w:fldChar w:fldCharType="separate"/>
      </w:r>
      <w:r>
        <w:t>23</w:t>
      </w:r>
      <w:r>
        <w:fldChar w:fldCharType="end"/>
      </w:r>
    </w:p>
    <w:p>
      <w:pPr>
        <w:pStyle w:val="TOC8"/>
        <w:rPr>
          <w:rFonts w:asciiTheme="minorHAnsi" w:eastAsiaTheme="minorEastAsia" w:hAnsiTheme="minorHAnsi" w:cstheme="minorBidi"/>
          <w:szCs w:val="22"/>
        </w:rPr>
      </w:pPr>
      <w:r>
        <w:t>30.</w:t>
      </w:r>
      <w:r>
        <w:tab/>
        <w:t>Section 6 amended</w:t>
      </w:r>
      <w:r>
        <w:tab/>
      </w:r>
      <w:r>
        <w:fldChar w:fldCharType="begin"/>
      </w:r>
      <w:r>
        <w:instrText xml:space="preserve"> PAGEREF _Toc178259208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4 — </w:t>
      </w:r>
      <w:r>
        <w:rPr>
          <w:i/>
          <w:iCs/>
        </w:rPr>
        <w:t>Major Events Act 2023</w:t>
      </w:r>
      <w:r>
        <w:t xml:space="preserve"> amended</w:t>
      </w:r>
    </w:p>
    <w:p>
      <w:pPr>
        <w:pStyle w:val="TOC8"/>
        <w:rPr>
          <w:rFonts w:asciiTheme="minorHAnsi" w:eastAsiaTheme="minorEastAsia" w:hAnsiTheme="minorHAnsi" w:cstheme="minorBidi"/>
          <w:szCs w:val="22"/>
        </w:rPr>
      </w:pPr>
      <w:r>
        <w:t>31.</w:t>
      </w:r>
      <w:r>
        <w:tab/>
        <w:t>Act amended</w:t>
      </w:r>
      <w:r>
        <w:tab/>
      </w:r>
      <w:r>
        <w:fldChar w:fldCharType="begin"/>
      </w:r>
      <w:r>
        <w:instrText xml:space="preserve"> PAGEREF _Toc178259210 \h </w:instrText>
      </w:r>
      <w:r>
        <w:fldChar w:fldCharType="separate"/>
      </w:r>
      <w:r>
        <w:t>24</w:t>
      </w:r>
      <w:r>
        <w:fldChar w:fldCharType="end"/>
      </w:r>
    </w:p>
    <w:p>
      <w:pPr>
        <w:pStyle w:val="TOC8"/>
        <w:rPr>
          <w:rFonts w:asciiTheme="minorHAnsi" w:eastAsiaTheme="minorEastAsia" w:hAnsiTheme="minorHAnsi" w:cstheme="minorBidi"/>
          <w:szCs w:val="22"/>
        </w:rPr>
      </w:pPr>
      <w:r>
        <w:t>32.</w:t>
      </w:r>
      <w:r>
        <w:tab/>
        <w:t>Section 4 amended</w:t>
      </w:r>
      <w:r>
        <w:tab/>
      </w:r>
      <w:r>
        <w:fldChar w:fldCharType="begin"/>
      </w:r>
      <w:r>
        <w:instrText xml:space="preserve"> PAGEREF _Toc178259211 \h </w:instrText>
      </w:r>
      <w:r>
        <w:fldChar w:fldCharType="separate"/>
      </w:r>
      <w:r>
        <w:t>24</w:t>
      </w:r>
      <w:r>
        <w:fldChar w:fldCharType="end"/>
      </w:r>
    </w:p>
    <w:p>
      <w:pPr>
        <w:pStyle w:val="TOC8"/>
        <w:rPr>
          <w:rFonts w:asciiTheme="minorHAnsi" w:eastAsiaTheme="minorEastAsia" w:hAnsiTheme="minorHAnsi" w:cstheme="minorBidi"/>
          <w:szCs w:val="22"/>
        </w:rPr>
      </w:pPr>
      <w:r>
        <w:t>33.</w:t>
      </w:r>
      <w:r>
        <w:tab/>
        <w:t>Section 96 amended</w:t>
      </w:r>
      <w:r>
        <w:tab/>
      </w:r>
      <w:r>
        <w:fldChar w:fldCharType="begin"/>
      </w:r>
      <w:r>
        <w:instrText xml:space="preserve"> PAGEREF _Toc178259212 \h </w:instrText>
      </w:r>
      <w:r>
        <w:fldChar w:fldCharType="separate"/>
      </w:r>
      <w:r>
        <w:t>24</w:t>
      </w:r>
      <w:r>
        <w:fldChar w:fldCharType="end"/>
      </w:r>
    </w:p>
    <w:p>
      <w:pPr>
        <w:pStyle w:val="TOC8"/>
        <w:rPr>
          <w:rFonts w:asciiTheme="minorHAnsi" w:eastAsiaTheme="minorEastAsia" w:hAnsiTheme="minorHAnsi" w:cstheme="minorBidi"/>
          <w:szCs w:val="22"/>
        </w:rPr>
      </w:pPr>
      <w:r>
        <w:t>34.</w:t>
      </w:r>
      <w:r>
        <w:tab/>
        <w:t>Section 97 amended</w:t>
      </w:r>
      <w:r>
        <w:tab/>
      </w:r>
      <w:r>
        <w:fldChar w:fldCharType="begin"/>
      </w:r>
      <w:r>
        <w:instrText xml:space="preserve"> PAGEREF _Toc178259213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5 — </w:t>
      </w:r>
      <w:r>
        <w:rPr>
          <w:i/>
          <w:iCs/>
        </w:rPr>
        <w:t>Sentencing Act 1995</w:t>
      </w:r>
      <w:r>
        <w:t xml:space="preserve"> amended</w:t>
      </w:r>
    </w:p>
    <w:p>
      <w:pPr>
        <w:pStyle w:val="TOC8"/>
        <w:rPr>
          <w:rFonts w:asciiTheme="minorHAnsi" w:eastAsiaTheme="minorEastAsia" w:hAnsiTheme="minorHAnsi" w:cstheme="minorBidi"/>
          <w:szCs w:val="22"/>
        </w:rPr>
      </w:pPr>
      <w:r>
        <w:t>35.</w:t>
      </w:r>
      <w:r>
        <w:tab/>
        <w:t>Act amended</w:t>
      </w:r>
      <w:r>
        <w:tab/>
      </w:r>
      <w:r>
        <w:fldChar w:fldCharType="begin"/>
      </w:r>
      <w:r>
        <w:instrText xml:space="preserve"> PAGEREF _Toc178259215 \h </w:instrText>
      </w:r>
      <w:r>
        <w:fldChar w:fldCharType="separate"/>
      </w:r>
      <w:r>
        <w:t>25</w:t>
      </w:r>
      <w:r>
        <w:fldChar w:fldCharType="end"/>
      </w:r>
    </w:p>
    <w:p>
      <w:pPr>
        <w:pStyle w:val="TOC8"/>
        <w:rPr>
          <w:rFonts w:asciiTheme="minorHAnsi" w:eastAsiaTheme="minorEastAsia" w:hAnsiTheme="minorHAnsi" w:cstheme="minorBidi"/>
          <w:szCs w:val="22"/>
        </w:rPr>
      </w:pPr>
      <w:r>
        <w:t>36.</w:t>
      </w:r>
      <w:r>
        <w:tab/>
        <w:t>Schedule 1A amended</w:t>
      </w:r>
      <w:r>
        <w:tab/>
      </w:r>
      <w:r>
        <w:fldChar w:fldCharType="begin"/>
      </w:r>
      <w:r>
        <w:instrText xml:space="preserve"> PAGEREF _Toc178259216 \h </w:instrText>
      </w:r>
      <w:r>
        <w:fldChar w:fldCharType="separate"/>
      </w:r>
      <w:r>
        <w:t>25</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after="480"/>
      </w:pPr>
      <w:r>
        <w:rPr>
          <w:noProof/>
        </w:rPr>
        <w:drawing>
          <wp:anchor distT="0" distB="0" distL="114300" distR="114300" simplePos="0" relativeHeight="251661312" behindDoc="1" locked="0" layoutInCell="1" allowOverlap="1">
            <wp:simplePos x="0" y="0"/>
            <wp:positionH relativeFrom="margin">
              <wp:align>center</wp:align>
            </wp:positionH>
            <wp:positionV relativeFrom="paragraph">
              <wp:posOffset>-467995</wp:posOffset>
            </wp:positionV>
            <wp:extent cx="471600" cy="417600"/>
            <wp:effectExtent l="0" t="0" r="5080" b="190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71600" cy="417600"/>
                    </a:xfrm>
                    <a:prstGeom prst="rect">
                      <a:avLst/>
                    </a:prstGeom>
                  </pic:spPr>
                </pic:pic>
              </a:graphicData>
            </a:graphic>
            <wp14:sizeRelH relativeFrom="margin">
              <wp14:pctWidth>0</wp14:pctWidth>
            </wp14:sizeRelH>
            <wp14:sizeRelV relativeFrom="margin">
              <wp14:pctHeight>0</wp14:pctHeight>
            </wp14:sizeRelV>
          </wp:anchor>
        </w:drawing>
      </w:r>
      <w:r>
        <w:t>Western Australia</w:t>
      </w:r>
    </w:p>
    <w:p>
      <w:pPr>
        <w:pStyle w:val="NameofActReg"/>
      </w:pPr>
      <w:r>
        <w:t>Police Legislation Amendment Act 2024</w:t>
      </w:r>
    </w:p>
    <w:p>
      <w:pPr>
        <w:pStyle w:val="ABillFor"/>
        <w:pBdr>
          <w:top w:val="single" w:sz="4" w:space="6" w:color="auto"/>
          <w:bottom w:val="single" w:sz="4" w:space="6" w:color="auto"/>
        </w:pBdr>
        <w:spacing w:before="0" w:after="240"/>
        <w:ind w:left="2551" w:right="2551"/>
      </w:pPr>
      <w:bookmarkStart w:id="2" w:name="BillCited"/>
      <w:bookmarkEnd w:id="2"/>
      <w:r>
        <w:t>No. 33 of 2024</w:t>
      </w:r>
    </w:p>
    <w:p>
      <w:pPr>
        <w:pStyle w:val="LongTitle"/>
      </w:pPr>
      <w:r>
        <w:t xml:space="preserve">An Act to — </w:t>
      </w:r>
    </w:p>
    <w:p>
      <w:pPr>
        <w:pStyle w:val="LongTitle"/>
        <w:numPr>
          <w:ilvl w:val="0"/>
          <w:numId w:val="4"/>
        </w:numPr>
        <w:ind w:left="357" w:hanging="357"/>
      </w:pPr>
      <w:r>
        <w:t xml:space="preserve">amend the </w:t>
      </w:r>
      <w:r>
        <w:rPr>
          <w:i/>
        </w:rPr>
        <w:t>Criminal Investigation Act 2006</w:t>
      </w:r>
      <w:r>
        <w:t>; and</w:t>
      </w:r>
    </w:p>
    <w:p>
      <w:pPr>
        <w:pStyle w:val="LongTitle"/>
        <w:numPr>
          <w:ilvl w:val="0"/>
          <w:numId w:val="4"/>
        </w:numPr>
        <w:ind w:left="357" w:hanging="357"/>
      </w:pPr>
      <w:r>
        <w:t xml:space="preserve">amend the </w:t>
      </w:r>
      <w:r>
        <w:rPr>
          <w:i/>
          <w:iCs/>
        </w:rPr>
        <w:t>Weapons Act 1999</w:t>
      </w:r>
      <w:r>
        <w:t>; and</w:t>
      </w:r>
    </w:p>
    <w:p>
      <w:pPr>
        <w:pStyle w:val="LongTitle"/>
        <w:numPr>
          <w:ilvl w:val="0"/>
          <w:numId w:val="4"/>
        </w:numPr>
        <w:ind w:left="357" w:hanging="357"/>
      </w:pPr>
      <w:r>
        <w:t xml:space="preserve">amend the </w:t>
      </w:r>
      <w:r>
        <w:rPr>
          <w:i/>
          <w:iCs/>
        </w:rPr>
        <w:t>Young Offenders Act 1994</w:t>
      </w:r>
      <w:r>
        <w:t>; and</w:t>
      </w:r>
    </w:p>
    <w:p>
      <w:pPr>
        <w:pStyle w:val="LongTitle"/>
        <w:numPr>
          <w:ilvl w:val="0"/>
          <w:numId w:val="4"/>
        </w:numPr>
        <w:ind w:left="357" w:hanging="357"/>
      </w:pPr>
      <w:r>
        <w:t>make related and consequential amendments to other Acts.</w:t>
      </w:r>
    </w:p>
    <w:p>
      <w:pPr>
        <w:pStyle w:val="AssentDate"/>
        <w:spacing w:before="240" w:after="480"/>
      </w:pPr>
      <w:r>
        <w:t>[</w:t>
      </w:r>
      <w:r>
        <w:rPr>
          <w:i/>
        </w:rPr>
        <w:t>Assented to 26 September 2024</w:t>
      </w:r>
      <w:r>
        <w:t>]</w:t>
      </w:r>
    </w:p>
    <w:p>
      <w:pPr>
        <w:pStyle w:val="Enactment"/>
        <w:spacing w:before="0"/>
      </w:pPr>
      <w:r>
        <w:t>The Parliament of Western Australia enacts as follows:</w:t>
      </w:r>
    </w:p>
    <w:p>
      <w:pPr>
        <w:sectPr>
          <w:headerReference w:type="even" r:id="rId21"/>
          <w:headerReference w:type="default" r:id="rId22"/>
          <w:headerReference w:type="first" r:id="rId23"/>
          <w:endnotePr>
            <w:numFmt w:val="decimal"/>
          </w:endnotePr>
          <w:type w:val="oddPage"/>
          <w:pgSz w:w="11907" w:h="16840" w:code="9"/>
          <w:pgMar w:top="2381" w:right="2410" w:bottom="3544" w:left="2410" w:header="720" w:footer="3544" w:gutter="0"/>
          <w:pgNumType w:start="1"/>
          <w:cols w:space="720"/>
          <w:noEndnote/>
          <w:titlePg/>
          <w:docGrid w:linePitch="326"/>
        </w:sectPr>
      </w:pPr>
    </w:p>
    <w:p>
      <w:pPr>
        <w:pStyle w:val="Heading2"/>
      </w:pPr>
      <w:bookmarkStart w:id="3" w:name="_Toc178259013"/>
      <w:bookmarkStart w:id="4" w:name="_Toc178259081"/>
      <w:bookmarkStart w:id="5" w:name="_Toc178259149"/>
      <w:r>
        <w:rPr>
          <w:rStyle w:val="CharPartNo"/>
        </w:rPr>
        <w:t>Part 1</w:t>
      </w:r>
      <w:r>
        <w:rPr>
          <w:rStyle w:val="CharDivNo"/>
        </w:rPr>
        <w:t> </w:t>
      </w:r>
      <w:r>
        <w:t>—</w:t>
      </w:r>
      <w:r>
        <w:rPr>
          <w:rStyle w:val="CharDivText"/>
        </w:rPr>
        <w:t> </w:t>
      </w:r>
      <w:r>
        <w:rPr>
          <w:rStyle w:val="CharPartText"/>
        </w:rPr>
        <w:t>Preliminary</w:t>
      </w:r>
      <w:bookmarkEnd w:id="3"/>
      <w:bookmarkEnd w:id="4"/>
      <w:bookmarkEnd w:id="5"/>
    </w:p>
    <w:p>
      <w:pPr>
        <w:pStyle w:val="Heading5"/>
      </w:pPr>
      <w:bookmarkStart w:id="6" w:name="_Toc178259150"/>
      <w:r>
        <w:rPr>
          <w:rStyle w:val="CharSectno"/>
        </w:rPr>
        <w:t>1</w:t>
      </w:r>
      <w:r>
        <w:t>.</w:t>
      </w:r>
      <w:r>
        <w:tab/>
        <w:t>Short title</w:t>
      </w:r>
      <w:bookmarkEnd w:id="6"/>
    </w:p>
    <w:p>
      <w:pPr>
        <w:pStyle w:val="Subsection"/>
      </w:pPr>
      <w:r>
        <w:tab/>
      </w:r>
      <w:r>
        <w:tab/>
        <w:t>This is the</w:t>
      </w:r>
      <w:r>
        <w:rPr>
          <w:i/>
        </w:rPr>
        <w:t xml:space="preserve"> Police Legislation Amendment Act 2024</w:t>
      </w:r>
      <w:r>
        <w:t>.</w:t>
      </w:r>
    </w:p>
    <w:p>
      <w:pPr>
        <w:pStyle w:val="Heading5"/>
      </w:pPr>
      <w:bookmarkStart w:id="7" w:name="_Toc178259151"/>
      <w:r>
        <w:rPr>
          <w:rStyle w:val="CharSectno"/>
        </w:rPr>
        <w:t>2</w:t>
      </w:r>
      <w:r>
        <w:t>.</w:t>
      </w:r>
      <w:r>
        <w:tab/>
        <w:t>Commencement</w:t>
      </w:r>
      <w:bookmarkEnd w:id="7"/>
    </w:p>
    <w:p>
      <w:pPr>
        <w:pStyle w:val="Subsection"/>
        <w:rPr>
          <w:spacing w:val="-2"/>
        </w:rPr>
      </w:pPr>
      <w:r>
        <w:tab/>
        <w:t>(1)</w:t>
      </w:r>
      <w:r>
        <w:tab/>
        <w:t xml:space="preserve">This Act </w:t>
      </w:r>
      <w:r>
        <w:rPr>
          <w:spacing w:val="-2"/>
        </w:rPr>
        <w:t xml:space="preserve">comes into </w:t>
      </w:r>
      <w:r>
        <w:t>operation</w:t>
      </w:r>
      <w:r>
        <w:rPr>
          <w:spacing w:val="-2"/>
        </w:rPr>
        <w:t xml:space="preserve"> as follows</w:t>
      </w:r>
      <w:r>
        <w:t> —</w:t>
      </w:r>
    </w:p>
    <w:p>
      <w:pPr>
        <w:pStyle w:val="Indenta"/>
      </w:pPr>
      <w:r>
        <w:tab/>
        <w:t>(a)</w:t>
      </w:r>
      <w:r>
        <w:tab/>
        <w:t>Part 1 — on the day on which this Act receives the Royal Assent;</w:t>
      </w:r>
    </w:p>
    <w:p>
      <w:pPr>
        <w:pStyle w:val="Indenta"/>
      </w:pPr>
      <w:r>
        <w:tab/>
        <w:t>(b)</w:t>
      </w:r>
      <w:r>
        <w:tab/>
        <w:t>the rest of the Act — on a day fixed by proclamation, and different days may be fixed for different provisions.</w:t>
      </w:r>
    </w:p>
    <w:p>
      <w:pPr>
        <w:pStyle w:val="Subsection"/>
      </w:pPr>
      <w:r>
        <w:tab/>
        <w:t>(2)</w:t>
      </w:r>
      <w:r>
        <w:tab/>
        <w:t xml:space="preserve">Despite subsection (1), if the </w:t>
      </w:r>
      <w:r>
        <w:rPr>
          <w:i/>
          <w:iCs/>
        </w:rPr>
        <w:t>Firearms Act 2024</w:t>
      </w:r>
      <w:r>
        <w:t xml:space="preserve"> section 440 comes into operation on or before the day on which Part 5 Division 2 of this Act comes into operation, Part 5 Division 2 of this Act — </w:t>
      </w:r>
    </w:p>
    <w:p>
      <w:pPr>
        <w:pStyle w:val="Indenta"/>
      </w:pPr>
      <w:r>
        <w:tab/>
        <w:t>(a)</w:t>
      </w:r>
      <w:r>
        <w:tab/>
        <w:t>does not come into operation; and</w:t>
      </w:r>
    </w:p>
    <w:p>
      <w:pPr>
        <w:pStyle w:val="Indenta"/>
      </w:pPr>
      <w:r>
        <w:tab/>
        <w:t>(b)</w:t>
      </w:r>
      <w:r>
        <w:tab/>
        <w:t>is deleted.</w:t>
      </w:r>
    </w:p>
    <w:p>
      <w:pPr>
        <w:pStyle w:val="Heading2"/>
      </w:pPr>
      <w:bookmarkStart w:id="8" w:name="_Toc178259016"/>
      <w:bookmarkStart w:id="9" w:name="_Toc178259084"/>
      <w:bookmarkStart w:id="10" w:name="_Toc178259152"/>
      <w:r>
        <w:rPr>
          <w:rStyle w:val="CharPartNo"/>
        </w:rPr>
        <w:t>Part 2</w:t>
      </w:r>
      <w:r>
        <w:rPr>
          <w:rStyle w:val="CharDivNo"/>
        </w:rPr>
        <w:t> </w:t>
      </w:r>
      <w:r>
        <w:t>—</w:t>
      </w:r>
      <w:r>
        <w:rPr>
          <w:rStyle w:val="CharDivText"/>
        </w:rPr>
        <w:t> </w:t>
      </w:r>
      <w:r>
        <w:rPr>
          <w:rStyle w:val="CharPartText"/>
          <w:i/>
          <w:iCs/>
        </w:rPr>
        <w:t>Criminal Investigation Act 2006</w:t>
      </w:r>
      <w:r>
        <w:rPr>
          <w:rStyle w:val="CharPartText"/>
        </w:rPr>
        <w:t xml:space="preserve"> amended</w:t>
      </w:r>
      <w:bookmarkEnd w:id="8"/>
      <w:bookmarkEnd w:id="9"/>
      <w:bookmarkEnd w:id="10"/>
    </w:p>
    <w:p>
      <w:pPr>
        <w:pStyle w:val="Heading5"/>
      </w:pPr>
      <w:bookmarkStart w:id="11" w:name="_Toc178259153"/>
      <w:r>
        <w:rPr>
          <w:rStyle w:val="CharSectno"/>
        </w:rPr>
        <w:t>3</w:t>
      </w:r>
      <w:r>
        <w:t>.</w:t>
      </w:r>
      <w:r>
        <w:tab/>
        <w:t>Act amended</w:t>
      </w:r>
      <w:bookmarkEnd w:id="11"/>
    </w:p>
    <w:p>
      <w:pPr>
        <w:pStyle w:val="Subsection"/>
      </w:pPr>
      <w:r>
        <w:tab/>
      </w:r>
      <w:r>
        <w:tab/>
        <w:t xml:space="preserve">This Part amends the </w:t>
      </w:r>
      <w:r>
        <w:rPr>
          <w:i/>
        </w:rPr>
        <w:t>Criminal Investigation Act 2006</w:t>
      </w:r>
      <w:r>
        <w:t>.</w:t>
      </w:r>
    </w:p>
    <w:p>
      <w:pPr>
        <w:pStyle w:val="Heading5"/>
      </w:pPr>
      <w:bookmarkStart w:id="12" w:name="_Toc178259154"/>
      <w:r>
        <w:rPr>
          <w:rStyle w:val="CharSectno"/>
        </w:rPr>
        <w:t>4</w:t>
      </w:r>
      <w:r>
        <w:t>.</w:t>
      </w:r>
      <w:r>
        <w:tab/>
        <w:t>Part 4 Division 1 heading inserted</w:t>
      </w:r>
      <w:bookmarkEnd w:id="12"/>
    </w:p>
    <w:p>
      <w:pPr>
        <w:pStyle w:val="Subsection"/>
      </w:pPr>
      <w:r>
        <w:tab/>
      </w:r>
      <w:r>
        <w:tab/>
        <w:t>At the beginning of Part 4 insert:</w:t>
      </w:r>
    </w:p>
    <w:p>
      <w:pPr>
        <w:pStyle w:val="BlankOpen"/>
      </w:pPr>
    </w:p>
    <w:p>
      <w:pPr>
        <w:pStyle w:val="zHeading3"/>
      </w:pPr>
      <w:bookmarkStart w:id="13" w:name="_Toc178259019"/>
      <w:bookmarkStart w:id="14" w:name="_Toc178259087"/>
      <w:bookmarkStart w:id="15" w:name="_Toc178259155"/>
      <w:r>
        <w:t>Division 1 — Move on orders</w:t>
      </w:r>
      <w:bookmarkEnd w:id="13"/>
      <w:bookmarkEnd w:id="14"/>
      <w:bookmarkEnd w:id="15"/>
    </w:p>
    <w:p>
      <w:pPr>
        <w:pStyle w:val="BlankClose"/>
      </w:pPr>
    </w:p>
    <w:p>
      <w:pPr>
        <w:pStyle w:val="Heading5"/>
      </w:pPr>
      <w:bookmarkStart w:id="16" w:name="_Toc178259156"/>
      <w:r>
        <w:rPr>
          <w:rStyle w:val="CharSectno"/>
        </w:rPr>
        <w:t>5</w:t>
      </w:r>
      <w:r>
        <w:t>.</w:t>
      </w:r>
      <w:r>
        <w:tab/>
        <w:t>Section 26A inserted</w:t>
      </w:r>
      <w:bookmarkEnd w:id="16"/>
    </w:p>
    <w:p>
      <w:pPr>
        <w:pStyle w:val="Subsection"/>
      </w:pPr>
      <w:r>
        <w:tab/>
      </w:r>
      <w:r>
        <w:tab/>
        <w:t>Before section 27 insert:</w:t>
      </w:r>
    </w:p>
    <w:p>
      <w:pPr>
        <w:pStyle w:val="BlankOpen"/>
      </w:pPr>
    </w:p>
    <w:p>
      <w:pPr>
        <w:pStyle w:val="zHeading5"/>
      </w:pPr>
      <w:bookmarkStart w:id="17" w:name="_Toc178259157"/>
      <w:r>
        <w:t>26A.</w:t>
      </w:r>
      <w:r>
        <w:tab/>
        <w:t>Terms used</w:t>
      </w:r>
      <w:bookmarkEnd w:id="17"/>
    </w:p>
    <w:p>
      <w:pPr>
        <w:pStyle w:val="zSubsection"/>
      </w:pPr>
      <w:r>
        <w:tab/>
      </w:r>
      <w:r>
        <w:tab/>
        <w:t xml:space="preserve">In this Division — </w:t>
      </w:r>
    </w:p>
    <w:p>
      <w:pPr>
        <w:pStyle w:val="zDefstart"/>
      </w:pPr>
      <w:r>
        <w:tab/>
      </w:r>
      <w:r>
        <w:rPr>
          <w:rStyle w:val="CharDefText"/>
        </w:rPr>
        <w:t>approved form</w:t>
      </w:r>
      <w:r>
        <w:t xml:space="preserve"> means a form approved by the Commissioner of Police;</w:t>
      </w:r>
    </w:p>
    <w:p>
      <w:pPr>
        <w:pStyle w:val="zDefstart"/>
      </w:pPr>
      <w:r>
        <w:tab/>
      </w:r>
      <w:r>
        <w:rPr>
          <w:rStyle w:val="CharDefText"/>
        </w:rPr>
        <w:t>move on order</w:t>
      </w:r>
      <w:r>
        <w:t xml:space="preserve"> means an order referred to in section 27(2);</w:t>
      </w:r>
    </w:p>
    <w:p>
      <w:pPr>
        <w:pStyle w:val="zDefstart"/>
      </w:pPr>
      <w:r>
        <w:tab/>
      </w:r>
      <w:r>
        <w:rPr>
          <w:rStyle w:val="CharDefText"/>
        </w:rPr>
        <w:t>relevant place or vehicle</w:t>
      </w:r>
      <w:r>
        <w:t xml:space="preserve"> has the meaning given in section 27(1);</w:t>
      </w:r>
    </w:p>
    <w:p>
      <w:pPr>
        <w:pStyle w:val="zDefstart"/>
      </w:pPr>
      <w:r>
        <w:tab/>
      </w:r>
      <w:r>
        <w:rPr>
          <w:rStyle w:val="CharDefText"/>
        </w:rPr>
        <w:t>specified</w:t>
      </w:r>
      <w:r>
        <w:t xml:space="preserve"> means specified by a police officer.</w:t>
      </w:r>
    </w:p>
    <w:p>
      <w:pPr>
        <w:pStyle w:val="BlankClose"/>
      </w:pPr>
    </w:p>
    <w:p>
      <w:pPr>
        <w:pStyle w:val="Heading5"/>
      </w:pPr>
      <w:bookmarkStart w:id="18" w:name="_Toc178259158"/>
      <w:r>
        <w:rPr>
          <w:rStyle w:val="CharSectno"/>
        </w:rPr>
        <w:t>6</w:t>
      </w:r>
      <w:r>
        <w:t>.</w:t>
      </w:r>
      <w:r>
        <w:tab/>
        <w:t>Section 27 amended</w:t>
      </w:r>
      <w:bookmarkEnd w:id="18"/>
    </w:p>
    <w:p>
      <w:pPr>
        <w:pStyle w:val="Subsection"/>
        <w:keepNext/>
        <w:keepLines/>
      </w:pPr>
      <w:r>
        <w:tab/>
        <w:t>(1)</w:t>
      </w:r>
      <w:r>
        <w:tab/>
        <w:t>In section 27(1) delete “order a person who is in a public place, or in a vehicle used for public transport, to leave it, or a part of it specified by the officer, if the officer reasonably suspects that the person — ” and insert:</w:t>
      </w:r>
    </w:p>
    <w:p>
      <w:pPr>
        <w:pStyle w:val="BlankOpen"/>
      </w:pPr>
    </w:p>
    <w:p>
      <w:pPr>
        <w:pStyle w:val="Subsection"/>
      </w:pPr>
      <w:r>
        <w:tab/>
      </w:r>
      <w:r>
        <w:tab/>
        <w:t xml:space="preserve">give a move on order to a person if the officer reasonably suspects that the person, while in a public place or in a vehicle used for public transport (the </w:t>
      </w:r>
      <w:r>
        <w:rPr>
          <w:rStyle w:val="CharDefText"/>
        </w:rPr>
        <w:t>relevant place or vehicle</w:t>
      </w:r>
      <w:r>
        <w:t>) —</w:t>
      </w:r>
    </w:p>
    <w:p>
      <w:pPr>
        <w:pStyle w:val="BlankClose"/>
      </w:pPr>
    </w:p>
    <w:p>
      <w:pPr>
        <w:pStyle w:val="Subsection"/>
      </w:pPr>
      <w:r>
        <w:tab/>
        <w:t>(2)</w:t>
      </w:r>
      <w:r>
        <w:tab/>
        <w:t>Delete section 27(2) and (3) and insert:</w:t>
      </w:r>
    </w:p>
    <w:p>
      <w:pPr>
        <w:pStyle w:val="BlankOpen"/>
      </w:pPr>
    </w:p>
    <w:p>
      <w:pPr>
        <w:pStyle w:val="zSubsection"/>
      </w:pPr>
      <w:r>
        <w:tab/>
        <w:t>(2)</w:t>
      </w:r>
      <w:r>
        <w:tab/>
        <w:t>A move on order may require the person to do 1 or more of the following —</w:t>
      </w:r>
    </w:p>
    <w:p>
      <w:pPr>
        <w:pStyle w:val="zIndenta"/>
      </w:pPr>
      <w:r>
        <w:tab/>
        <w:t>(a)</w:t>
      </w:r>
      <w:r>
        <w:tab/>
        <w:t>to leave the relevant place or vehicle, or a specified part of the relevant place or vehicle;</w:t>
      </w:r>
    </w:p>
    <w:p>
      <w:pPr>
        <w:pStyle w:val="zIndenta"/>
      </w:pPr>
      <w:r>
        <w:tab/>
        <w:t>(b)</w:t>
      </w:r>
      <w:r>
        <w:tab/>
        <w:t>to go beyond a specified reasonable distance from the public place, or a specified part of the place;</w:t>
      </w:r>
    </w:p>
    <w:p>
      <w:pPr>
        <w:pStyle w:val="zIndenta"/>
      </w:pPr>
      <w:r>
        <w:tab/>
        <w:t>(c)</w:t>
      </w:r>
      <w:r>
        <w:tab/>
        <w:t>to stay away from the relevant place or vehicle, or a specified part of the relevant place or vehicle, for a specified reasonable period of not more than 24 hours;</w:t>
      </w:r>
    </w:p>
    <w:p>
      <w:pPr>
        <w:pStyle w:val="zIndenta"/>
      </w:pPr>
      <w:r>
        <w:tab/>
        <w:t>(d)</w:t>
      </w:r>
      <w:r>
        <w:tab/>
        <w:t>to stay a specified reasonable distance from the public place, or a specified part of the place, for a specified reasonable period of not more than 24 hours.</w:t>
      </w:r>
    </w:p>
    <w:p>
      <w:pPr>
        <w:pStyle w:val="zSubsection"/>
        <w:keepNext/>
      </w:pPr>
      <w:r>
        <w:tab/>
        <w:t>(2A)</w:t>
      </w:r>
      <w:r>
        <w:tab/>
        <w:t>The move on order must be given to the person as soon as reasonably practicable after the police officer forms the reasonable suspicion referred to in subsection (1).</w:t>
      </w:r>
    </w:p>
    <w:p>
      <w:pPr>
        <w:pStyle w:val="zSubsection"/>
        <w:keepNext/>
        <w:keepLines/>
      </w:pPr>
      <w:r>
        <w:tab/>
        <w:t>(3)</w:t>
      </w:r>
      <w:r>
        <w:tab/>
        <w:t xml:space="preserve">When giving the move on order to the person, the police officer must take into account the likely effect of the order on the person, including, but not limited to, the following — </w:t>
      </w:r>
    </w:p>
    <w:p>
      <w:pPr>
        <w:pStyle w:val="zIndenta"/>
      </w:pPr>
      <w:r>
        <w:tab/>
        <w:t>(a)</w:t>
      </w:r>
      <w:r>
        <w:tab/>
        <w:t>the effect on the person’s access to the places where the person ordinarily resides, shops and works;</w:t>
      </w:r>
    </w:p>
    <w:p>
      <w:pPr>
        <w:pStyle w:val="zIndenta"/>
      </w:pPr>
      <w:r>
        <w:tab/>
        <w:t>(b)</w:t>
      </w:r>
      <w:r>
        <w:tab/>
        <w:t>the effect on the person’s access to transport, health, education or other essential services;</w:t>
      </w:r>
    </w:p>
    <w:p>
      <w:pPr>
        <w:pStyle w:val="zIndenta"/>
      </w:pPr>
      <w:r>
        <w:tab/>
        <w:t>(c)</w:t>
      </w:r>
      <w:r>
        <w:tab/>
        <w:t>the effect on the person’s safety and wellbeing.</w:t>
      </w:r>
    </w:p>
    <w:p>
      <w:pPr>
        <w:pStyle w:val="BlankClose"/>
      </w:pPr>
    </w:p>
    <w:p>
      <w:pPr>
        <w:pStyle w:val="Subsection"/>
      </w:pPr>
      <w:r>
        <w:tab/>
        <w:t>(3)</w:t>
      </w:r>
      <w:r>
        <w:tab/>
        <w:t>In section 27(4) delete “an order under this section” and insert:</w:t>
      </w:r>
    </w:p>
    <w:p>
      <w:pPr>
        <w:pStyle w:val="BlankOpen"/>
      </w:pPr>
    </w:p>
    <w:p>
      <w:pPr>
        <w:pStyle w:val="Subsection"/>
      </w:pPr>
      <w:r>
        <w:tab/>
      </w:r>
      <w:r>
        <w:tab/>
        <w:t>a move on order</w:t>
      </w:r>
    </w:p>
    <w:p>
      <w:pPr>
        <w:pStyle w:val="BlankClose"/>
      </w:pPr>
    </w:p>
    <w:p>
      <w:pPr>
        <w:pStyle w:val="Subsection"/>
      </w:pPr>
      <w:r>
        <w:tab/>
        <w:t>(4)</w:t>
      </w:r>
      <w:r>
        <w:tab/>
        <w:t>Delete section 27(6) and insert:</w:t>
      </w:r>
    </w:p>
    <w:p>
      <w:pPr>
        <w:pStyle w:val="BlankOpen"/>
      </w:pPr>
    </w:p>
    <w:p>
      <w:pPr>
        <w:pStyle w:val="zSubsection"/>
      </w:pPr>
      <w:r>
        <w:tab/>
        <w:t>(6)</w:t>
      </w:r>
      <w:r>
        <w:tab/>
        <w:t>A move on order must be given to a person in an approved form.</w:t>
      </w:r>
    </w:p>
    <w:p>
      <w:pPr>
        <w:pStyle w:val="BlankClose"/>
      </w:pPr>
    </w:p>
    <w:p>
      <w:pPr>
        <w:pStyle w:val="Subsection"/>
      </w:pPr>
      <w:r>
        <w:tab/>
        <w:t>(5)</w:t>
      </w:r>
      <w:r>
        <w:tab/>
        <w:t>In section 27(7) delete “order and move out of the area.” and insert:</w:t>
      </w:r>
    </w:p>
    <w:p>
      <w:pPr>
        <w:pStyle w:val="BlankOpen"/>
      </w:pPr>
    </w:p>
    <w:p>
      <w:pPr>
        <w:pStyle w:val="Subsection"/>
      </w:pPr>
      <w:r>
        <w:tab/>
      </w:r>
      <w:r>
        <w:tab/>
        <w:t>order.</w:t>
      </w:r>
    </w:p>
    <w:p>
      <w:pPr>
        <w:pStyle w:val="BlankClose"/>
      </w:pPr>
    </w:p>
    <w:p>
      <w:pPr>
        <w:pStyle w:val="Heading5"/>
      </w:pPr>
      <w:bookmarkStart w:id="19" w:name="_Toc178259159"/>
      <w:r>
        <w:rPr>
          <w:rStyle w:val="CharSectno"/>
        </w:rPr>
        <w:t>7</w:t>
      </w:r>
      <w:r>
        <w:t>.</w:t>
      </w:r>
      <w:r>
        <w:tab/>
        <w:t>Sections 27A and 27B inserted</w:t>
      </w:r>
      <w:bookmarkEnd w:id="19"/>
    </w:p>
    <w:p>
      <w:pPr>
        <w:pStyle w:val="Subsection"/>
        <w:keepNext/>
      </w:pPr>
      <w:r>
        <w:tab/>
      </w:r>
      <w:r>
        <w:tab/>
        <w:t>After section 27 insert:</w:t>
      </w:r>
    </w:p>
    <w:p>
      <w:pPr>
        <w:pStyle w:val="BlankOpen"/>
      </w:pPr>
    </w:p>
    <w:p>
      <w:pPr>
        <w:pStyle w:val="zHeading5"/>
      </w:pPr>
      <w:bookmarkStart w:id="20" w:name="_Toc178259160"/>
      <w:r>
        <w:t>27A.</w:t>
      </w:r>
      <w:r>
        <w:tab/>
        <w:t>Directions for purposes of giving move on orders</w:t>
      </w:r>
      <w:bookmarkEnd w:id="20"/>
    </w:p>
    <w:p>
      <w:pPr>
        <w:pStyle w:val="zSubsection"/>
        <w:keepNext/>
      </w:pPr>
      <w:r>
        <w:tab/>
        <w:t>(1)</w:t>
      </w:r>
      <w:r>
        <w:tab/>
        <w:t xml:space="preserve">For the purpose of giving a move on order to a person, a police officer may direct the person — </w:t>
      </w:r>
    </w:p>
    <w:p>
      <w:pPr>
        <w:pStyle w:val="zIndenta"/>
      </w:pPr>
      <w:r>
        <w:tab/>
        <w:t>(a)</w:t>
      </w:r>
      <w:r>
        <w:tab/>
        <w:t>to stay in the relevant place or vehicle for as long as is reasonably necessary for the police officer to give the order to the person; or</w:t>
      </w:r>
    </w:p>
    <w:p>
      <w:pPr>
        <w:pStyle w:val="zIndenta"/>
      </w:pPr>
      <w:r>
        <w:tab/>
        <w:t>(b)</w:t>
      </w:r>
      <w:r>
        <w:tab/>
        <w:t>to accompany the police officer to a suitable location, including a police station, and to stay there for as long as is reasonably necessary for the police officer to give the order to the person.</w:t>
      </w:r>
    </w:p>
    <w:p>
      <w:pPr>
        <w:pStyle w:val="zSubsection"/>
      </w:pPr>
      <w:r>
        <w:tab/>
        <w:t>(2)</w:t>
      </w:r>
      <w:r>
        <w:tab/>
        <w:t>For the purpose of determining a suitable location under subsection (1)(b), the police officer must take into account the likely effect that the direction will have on the person’s safety and wellbeing.</w:t>
      </w:r>
    </w:p>
    <w:p>
      <w:pPr>
        <w:pStyle w:val="zSubsection"/>
      </w:pPr>
      <w:r>
        <w:tab/>
        <w:t>(3)</w:t>
      </w:r>
      <w:r>
        <w:tab/>
        <w:t>A person must not, without reasonable excuse, refuse or fail to comply with a direction given to the person under subsection (1).</w:t>
      </w:r>
    </w:p>
    <w:p>
      <w:pPr>
        <w:pStyle w:val="zPenstart"/>
      </w:pPr>
      <w:r>
        <w:tab/>
        <w:t>Penalty for this subsection: a fine of $6 000.</w:t>
      </w:r>
    </w:p>
    <w:p>
      <w:pPr>
        <w:pStyle w:val="zSubsection"/>
      </w:pPr>
      <w:r>
        <w:tab/>
        <w:t>(4)</w:t>
      </w:r>
      <w:r>
        <w:tab/>
        <w:t>A person who is given a direction under subsection (1) is taken to be in lawful custody for as long as is reasonably necessary for the police officer to give the move on order to the person.</w:t>
      </w:r>
    </w:p>
    <w:p>
      <w:pPr>
        <w:pStyle w:val="zHeading5"/>
      </w:pPr>
      <w:bookmarkStart w:id="21" w:name="_Toc178259161"/>
      <w:r>
        <w:t>27B.</w:t>
      </w:r>
      <w:r>
        <w:tab/>
        <w:t>Method of giving move on orders</w:t>
      </w:r>
      <w:bookmarkEnd w:id="21"/>
    </w:p>
    <w:p>
      <w:pPr>
        <w:pStyle w:val="zSubsection"/>
        <w:keepNext/>
      </w:pPr>
      <w:r>
        <w:tab/>
        <w:t>(1)</w:t>
      </w:r>
      <w:r>
        <w:tab/>
        <w:t xml:space="preserve">A police officer may give a move on order to a person — </w:t>
      </w:r>
    </w:p>
    <w:p>
      <w:pPr>
        <w:pStyle w:val="zIndenta"/>
        <w:keepNext/>
      </w:pPr>
      <w:r>
        <w:tab/>
        <w:t>(a)</w:t>
      </w:r>
      <w:r>
        <w:tab/>
        <w:t>by handing it to the person; or</w:t>
      </w:r>
    </w:p>
    <w:p>
      <w:pPr>
        <w:pStyle w:val="zIndenta"/>
      </w:pPr>
      <w:r>
        <w:tab/>
        <w:t>(b)</w:t>
      </w:r>
      <w:r>
        <w:tab/>
        <w:t>if the person refuses to accept it — by leaving it near the person and orally drawing the person’s attention to it; or</w:t>
      </w:r>
    </w:p>
    <w:p>
      <w:pPr>
        <w:pStyle w:val="zIndenta"/>
      </w:pPr>
      <w:r>
        <w:tab/>
        <w:t>(c)</w:t>
      </w:r>
      <w:r>
        <w:tab/>
        <w:t>with the person’s consent, by electronic means.</w:t>
      </w:r>
    </w:p>
    <w:p>
      <w:pPr>
        <w:pStyle w:val="zSubsection"/>
      </w:pPr>
      <w:r>
        <w:tab/>
        <w:t>(2)</w:t>
      </w:r>
      <w:r>
        <w:tab/>
        <w:t>Subsection (1)(c) does not apply to a move on order given to a person who is under 18 years of age.</w:t>
      </w:r>
    </w:p>
    <w:p>
      <w:pPr>
        <w:pStyle w:val="zSubsection"/>
      </w:pPr>
      <w:r>
        <w:tab/>
        <w:t>(3)</w:t>
      </w:r>
      <w:r>
        <w:tab/>
        <w:t xml:space="preserve">The regulations may make provision for or in relation to the following — </w:t>
      </w:r>
    </w:p>
    <w:p>
      <w:pPr>
        <w:pStyle w:val="zIndenta"/>
      </w:pPr>
      <w:r>
        <w:tab/>
        <w:t>(a)</w:t>
      </w:r>
      <w:r>
        <w:tab/>
        <w:t>the way in which a person’s consent may or must be given;</w:t>
      </w:r>
    </w:p>
    <w:p>
      <w:pPr>
        <w:pStyle w:val="zIndenta"/>
      </w:pPr>
      <w:r>
        <w:tab/>
        <w:t>(b)</w:t>
      </w:r>
      <w:r>
        <w:tab/>
        <w:t>the circumstances in which a person’s consent is taken not to be given;</w:t>
      </w:r>
    </w:p>
    <w:p>
      <w:pPr>
        <w:pStyle w:val="zIndenta"/>
      </w:pPr>
      <w:r>
        <w:tab/>
        <w:t>(c)</w:t>
      </w:r>
      <w:r>
        <w:tab/>
        <w:t>the time at which a move on order is taken to be given;</w:t>
      </w:r>
    </w:p>
    <w:p>
      <w:pPr>
        <w:pStyle w:val="zIndenta"/>
      </w:pPr>
      <w:r>
        <w:tab/>
        <w:t>(d)</w:t>
      </w:r>
      <w:r>
        <w:tab/>
        <w:t>the circumstances in which a move on order is taken not to be given.</w:t>
      </w:r>
    </w:p>
    <w:p>
      <w:pPr>
        <w:pStyle w:val="BlankClose"/>
      </w:pPr>
    </w:p>
    <w:p>
      <w:pPr>
        <w:pStyle w:val="Heading5"/>
      </w:pPr>
      <w:bookmarkStart w:id="22" w:name="_Toc178259162"/>
      <w:r>
        <w:rPr>
          <w:rStyle w:val="CharSectno"/>
        </w:rPr>
        <w:t>8</w:t>
      </w:r>
      <w:r>
        <w:t>.</w:t>
      </w:r>
      <w:r>
        <w:tab/>
        <w:t>Part 4 Division 2 heading inserted</w:t>
      </w:r>
      <w:bookmarkEnd w:id="22"/>
    </w:p>
    <w:p>
      <w:pPr>
        <w:pStyle w:val="Subsection"/>
      </w:pPr>
      <w:r>
        <w:tab/>
      </w:r>
      <w:r>
        <w:tab/>
        <w:t>Before section 28 insert:</w:t>
      </w:r>
    </w:p>
    <w:p>
      <w:pPr>
        <w:pStyle w:val="BlankOpen"/>
      </w:pPr>
    </w:p>
    <w:p>
      <w:pPr>
        <w:pStyle w:val="zHeading3"/>
      </w:pPr>
      <w:bookmarkStart w:id="23" w:name="_Toc178259027"/>
      <w:bookmarkStart w:id="24" w:name="_Toc178259095"/>
      <w:bookmarkStart w:id="25" w:name="_Toc178259163"/>
      <w:r>
        <w:t>Division 2 — Miscellaneous</w:t>
      </w:r>
      <w:bookmarkEnd w:id="23"/>
      <w:bookmarkEnd w:id="24"/>
      <w:bookmarkEnd w:id="25"/>
    </w:p>
    <w:p>
      <w:pPr>
        <w:pStyle w:val="BlankClose"/>
      </w:pPr>
    </w:p>
    <w:p>
      <w:pPr>
        <w:pStyle w:val="Heading5"/>
      </w:pPr>
      <w:bookmarkStart w:id="26" w:name="_Toc178259164"/>
      <w:r>
        <w:rPr>
          <w:rStyle w:val="CharSectno"/>
        </w:rPr>
        <w:t>9</w:t>
      </w:r>
      <w:r>
        <w:t>.</w:t>
      </w:r>
      <w:r>
        <w:tab/>
        <w:t>Part 7A inserted</w:t>
      </w:r>
      <w:bookmarkEnd w:id="26"/>
    </w:p>
    <w:p>
      <w:pPr>
        <w:pStyle w:val="Subsection"/>
        <w:keepNext/>
      </w:pPr>
      <w:r>
        <w:tab/>
      </w:r>
      <w:r>
        <w:tab/>
        <w:t>After section 61 insert:</w:t>
      </w:r>
    </w:p>
    <w:p>
      <w:pPr>
        <w:pStyle w:val="BlankOpen"/>
      </w:pPr>
    </w:p>
    <w:p>
      <w:pPr>
        <w:pStyle w:val="zHeading2"/>
      </w:pPr>
      <w:bookmarkStart w:id="27" w:name="_Toc178259029"/>
      <w:bookmarkStart w:id="28" w:name="_Toc178259097"/>
      <w:bookmarkStart w:id="29" w:name="_Toc178259165"/>
      <w:r>
        <w:t>Part 7A — Use of metal detectors without warrant in designated areas</w:t>
      </w:r>
      <w:bookmarkEnd w:id="27"/>
      <w:bookmarkEnd w:id="28"/>
      <w:bookmarkEnd w:id="29"/>
    </w:p>
    <w:p>
      <w:pPr>
        <w:pStyle w:val="zHeading3"/>
      </w:pPr>
      <w:bookmarkStart w:id="30" w:name="_Toc178259030"/>
      <w:bookmarkStart w:id="31" w:name="_Toc178259098"/>
      <w:bookmarkStart w:id="32" w:name="_Toc178259166"/>
      <w:r>
        <w:t>Division 1 — Preliminary</w:t>
      </w:r>
      <w:bookmarkEnd w:id="30"/>
      <w:bookmarkEnd w:id="31"/>
      <w:bookmarkEnd w:id="32"/>
    </w:p>
    <w:p>
      <w:pPr>
        <w:pStyle w:val="zHeading5"/>
      </w:pPr>
      <w:bookmarkStart w:id="33" w:name="_Toc178259167"/>
      <w:r>
        <w:t>61A.</w:t>
      </w:r>
      <w:r>
        <w:tab/>
        <w:t>Terms used</w:t>
      </w:r>
      <w:bookmarkEnd w:id="33"/>
    </w:p>
    <w:p>
      <w:pPr>
        <w:pStyle w:val="zSubsection"/>
      </w:pPr>
      <w:r>
        <w:tab/>
      </w:r>
      <w:r>
        <w:tab/>
        <w:t xml:space="preserve">In this Part — </w:t>
      </w:r>
    </w:p>
    <w:p>
      <w:pPr>
        <w:pStyle w:val="zDefstart"/>
      </w:pPr>
      <w:r>
        <w:tab/>
      </w:r>
      <w:r>
        <w:rPr>
          <w:rStyle w:val="CharDefText"/>
        </w:rPr>
        <w:t>arch scanner</w:t>
      </w:r>
      <w:r>
        <w:t xml:space="preserve"> means an electronic device — </w:t>
      </w:r>
    </w:p>
    <w:p>
      <w:pPr>
        <w:pStyle w:val="zDefpara"/>
      </w:pPr>
      <w:r>
        <w:tab/>
        <w:t>(a)</w:t>
      </w:r>
      <w:r>
        <w:tab/>
        <w:t>designed for a person to walk through; and</w:t>
      </w:r>
    </w:p>
    <w:p>
      <w:pPr>
        <w:pStyle w:val="zDefpara"/>
      </w:pPr>
      <w:r>
        <w:tab/>
        <w:t>(b)</w:t>
      </w:r>
      <w:r>
        <w:tab/>
        <w:t>capable of detecting the presence of metal;</w:t>
      </w:r>
    </w:p>
    <w:p>
      <w:pPr>
        <w:pStyle w:val="zDefstart"/>
      </w:pPr>
      <w:r>
        <w:tab/>
      </w:r>
      <w:r>
        <w:rPr>
          <w:rStyle w:val="CharDefText"/>
        </w:rPr>
        <w:t>designated area</w:t>
      </w:r>
      <w:r>
        <w:t xml:space="preserve"> means — </w:t>
      </w:r>
    </w:p>
    <w:p>
      <w:pPr>
        <w:pStyle w:val="zDefpara"/>
      </w:pPr>
      <w:r>
        <w:tab/>
        <w:t>(a)</w:t>
      </w:r>
      <w:r>
        <w:tab/>
        <w:t>a protected entertainment precinct; and</w:t>
      </w:r>
    </w:p>
    <w:p>
      <w:pPr>
        <w:pStyle w:val="zDefpara"/>
      </w:pPr>
      <w:r>
        <w:tab/>
        <w:t>(b)</w:t>
      </w:r>
      <w:r>
        <w:tab/>
        <w:t>an area or place declared under section 61B to be a designated area;</w:t>
      </w:r>
    </w:p>
    <w:p>
      <w:pPr>
        <w:pStyle w:val="zDefstart"/>
      </w:pPr>
      <w:r>
        <w:tab/>
      </w:r>
      <w:r>
        <w:rPr>
          <w:rStyle w:val="CharDefText"/>
        </w:rPr>
        <w:t>hand</w:t>
      </w:r>
      <w:r>
        <w:rPr>
          <w:rStyle w:val="CharDefText"/>
        </w:rPr>
        <w:noBreakHyphen/>
        <w:t>held scanner</w:t>
      </w:r>
      <w:r>
        <w:t xml:space="preserve"> means a hand</w:t>
      </w:r>
      <w:r>
        <w:noBreakHyphen/>
        <w:t>held electronic device capable of detecting the presence of metal;</w:t>
      </w:r>
    </w:p>
    <w:p>
      <w:pPr>
        <w:pStyle w:val="zDefstart"/>
      </w:pPr>
      <w:r>
        <w:tab/>
      </w:r>
      <w:r>
        <w:rPr>
          <w:rStyle w:val="CharDefText"/>
        </w:rPr>
        <w:t>metal detector</w:t>
      </w:r>
      <w:r>
        <w:t xml:space="preserve"> means the following — </w:t>
      </w:r>
    </w:p>
    <w:p>
      <w:pPr>
        <w:pStyle w:val="zDefpara"/>
      </w:pPr>
      <w:r>
        <w:tab/>
        <w:t>(a)</w:t>
      </w:r>
      <w:r>
        <w:tab/>
        <w:t>an arch scanner;</w:t>
      </w:r>
    </w:p>
    <w:p>
      <w:pPr>
        <w:pStyle w:val="zDefpara"/>
      </w:pPr>
      <w:r>
        <w:tab/>
        <w:t>(b)</w:t>
      </w:r>
      <w:r>
        <w:tab/>
        <w:t>a hand</w:t>
      </w:r>
      <w:r>
        <w:noBreakHyphen/>
        <w:t>held scanner;</w:t>
      </w:r>
    </w:p>
    <w:p>
      <w:pPr>
        <w:pStyle w:val="zDefstart"/>
      </w:pPr>
      <w:r>
        <w:tab/>
      </w:r>
      <w:r>
        <w:rPr>
          <w:rStyle w:val="CharDefText"/>
        </w:rPr>
        <w:t>protected entertainment precinct</w:t>
      </w:r>
      <w:r>
        <w:t xml:space="preserve"> has the meaning given in the </w:t>
      </w:r>
      <w:r>
        <w:rPr>
          <w:i/>
        </w:rPr>
        <w:t>Liquor Control Act 1988</w:t>
      </w:r>
      <w:r>
        <w:t xml:space="preserve"> section 3(1);</w:t>
      </w:r>
    </w:p>
    <w:p>
      <w:pPr>
        <w:pStyle w:val="zDefstart"/>
      </w:pPr>
      <w:r>
        <w:tab/>
      </w:r>
      <w:r>
        <w:rPr>
          <w:rStyle w:val="CharDefText"/>
        </w:rPr>
        <w:t>use</w:t>
      </w:r>
      <w:r>
        <w:t xml:space="preserve">, of a metal detector, means a scan of a person or of things in the person’s possession or control that involves — </w:t>
      </w:r>
    </w:p>
    <w:p>
      <w:pPr>
        <w:pStyle w:val="zDefpara"/>
      </w:pPr>
      <w:r>
        <w:tab/>
        <w:t>(a)</w:t>
      </w:r>
      <w:r>
        <w:tab/>
        <w:t>requiring the person, or a thing in the person’s possession or control, to pass through an arch scanner; or</w:t>
      </w:r>
    </w:p>
    <w:p>
      <w:pPr>
        <w:pStyle w:val="zDefpara"/>
      </w:pPr>
      <w:r>
        <w:tab/>
        <w:t>(b)</w:t>
      </w:r>
      <w:r>
        <w:tab/>
        <w:t>passing a hand</w:t>
      </w:r>
      <w:r>
        <w:noBreakHyphen/>
        <w:t>held scanner over or in close proximity to the person’s outer clothing or a thing in the person’s possession or control.</w:t>
      </w:r>
    </w:p>
    <w:p>
      <w:pPr>
        <w:pStyle w:val="zHeading3"/>
      </w:pPr>
      <w:bookmarkStart w:id="34" w:name="_Toc178259032"/>
      <w:bookmarkStart w:id="35" w:name="_Toc178259100"/>
      <w:bookmarkStart w:id="36" w:name="_Toc178259168"/>
      <w:r>
        <w:t>Division 2 — Declaration of designated areas</w:t>
      </w:r>
      <w:bookmarkEnd w:id="34"/>
      <w:bookmarkEnd w:id="35"/>
      <w:bookmarkEnd w:id="36"/>
    </w:p>
    <w:p>
      <w:pPr>
        <w:pStyle w:val="zHeading5"/>
      </w:pPr>
      <w:bookmarkStart w:id="37" w:name="_Toc178259169"/>
      <w:r>
        <w:t>61B.</w:t>
      </w:r>
      <w:r>
        <w:tab/>
        <w:t>Declaration of designated areas</w:t>
      </w:r>
      <w:bookmarkEnd w:id="37"/>
    </w:p>
    <w:p>
      <w:pPr>
        <w:pStyle w:val="zSubsection"/>
      </w:pPr>
      <w:r>
        <w:tab/>
        <w:t>(1)</w:t>
      </w:r>
      <w:r>
        <w:tab/>
        <w:t xml:space="preserve">A senior police officer may declare an area or place to be a designated area if the senior police officer — </w:t>
      </w:r>
    </w:p>
    <w:p>
      <w:pPr>
        <w:pStyle w:val="zIndenta"/>
      </w:pPr>
      <w:r>
        <w:tab/>
        <w:t>(a)</w:t>
      </w:r>
      <w:r>
        <w:tab/>
        <w:t>is of the opinion that the declaration is necessary to safeguard the area or place or people who are in or may enter the area or place; and</w:t>
      </w:r>
    </w:p>
    <w:p>
      <w:pPr>
        <w:pStyle w:val="zIndenta"/>
      </w:pPr>
      <w:r>
        <w:tab/>
        <w:t>(b)</w:t>
      </w:r>
      <w:r>
        <w:tab/>
        <w:t>considers the use of metal detectors is likely to be effective in detecting or deterring the commission of an offence involving a knife or other weapon in the area or place.</w:t>
      </w:r>
    </w:p>
    <w:p>
      <w:pPr>
        <w:pStyle w:val="zSubsection"/>
      </w:pPr>
      <w:r>
        <w:tab/>
        <w:t>(2)</w:t>
      </w:r>
      <w:r>
        <w:tab/>
        <w:t xml:space="preserve">A declaration may be made in relation to an area or place — </w:t>
      </w:r>
    </w:p>
    <w:p>
      <w:pPr>
        <w:pStyle w:val="zIndenta"/>
      </w:pPr>
      <w:r>
        <w:tab/>
        <w:t>(a)</w:t>
      </w:r>
      <w:r>
        <w:tab/>
        <w:t>not exceeding 3 km</w:t>
      </w:r>
      <w:r>
        <w:rPr>
          <w:vertAlign w:val="superscript"/>
        </w:rPr>
        <w:t>2</w:t>
      </w:r>
      <w:r>
        <w:t>; and</w:t>
      </w:r>
    </w:p>
    <w:p>
      <w:pPr>
        <w:pStyle w:val="zIndenta"/>
      </w:pPr>
      <w:r>
        <w:tab/>
        <w:t>(b)</w:t>
      </w:r>
      <w:r>
        <w:tab/>
        <w:t>for a period of up to 12 hours.</w:t>
      </w:r>
    </w:p>
    <w:p>
      <w:pPr>
        <w:pStyle w:val="zSubsection"/>
      </w:pPr>
      <w:r>
        <w:tab/>
        <w:t>(3)</w:t>
      </w:r>
      <w:r>
        <w:tab/>
        <w:t xml:space="preserve">The senior police officer who makes the declaration must make a written record of all of the following — </w:t>
      </w:r>
    </w:p>
    <w:p>
      <w:pPr>
        <w:pStyle w:val="zIndenta"/>
      </w:pPr>
      <w:r>
        <w:tab/>
        <w:t>(a)</w:t>
      </w:r>
      <w:r>
        <w:tab/>
        <w:t>the date and time from which the declaration is in force;</w:t>
      </w:r>
    </w:p>
    <w:p>
      <w:pPr>
        <w:pStyle w:val="zIndenta"/>
      </w:pPr>
      <w:r>
        <w:tab/>
        <w:t>(b)</w:t>
      </w:r>
      <w:r>
        <w:tab/>
        <w:t>a description of the area or place to which the declaration applies;</w:t>
      </w:r>
    </w:p>
    <w:p>
      <w:pPr>
        <w:pStyle w:val="zIndenta"/>
      </w:pPr>
      <w:r>
        <w:tab/>
        <w:t>(c)</w:t>
      </w:r>
      <w:r>
        <w:tab/>
        <w:t>the period during which the declaration will remain in force;</w:t>
      </w:r>
    </w:p>
    <w:p>
      <w:pPr>
        <w:pStyle w:val="zIndenta"/>
      </w:pPr>
      <w:r>
        <w:tab/>
        <w:t>(d)</w:t>
      </w:r>
      <w:r>
        <w:tab/>
        <w:t>the reasons for making the declaration;</w:t>
      </w:r>
    </w:p>
    <w:p>
      <w:pPr>
        <w:pStyle w:val="zIndenta"/>
      </w:pPr>
      <w:r>
        <w:tab/>
        <w:t>(e)</w:t>
      </w:r>
      <w:r>
        <w:tab/>
        <w:t>whether the declaration has been ratified under subsection (4).</w:t>
      </w:r>
    </w:p>
    <w:p>
      <w:pPr>
        <w:pStyle w:val="zSubsection"/>
      </w:pPr>
      <w:r>
        <w:tab/>
        <w:t>(4)</w:t>
      </w:r>
      <w:r>
        <w:tab/>
        <w:t>If the declaration is made by a police officer of the rank of inspector, the declaration must be ratified by a police officer of at least the rank of superintendent.</w:t>
      </w:r>
    </w:p>
    <w:p>
      <w:pPr>
        <w:pStyle w:val="zSubsection"/>
      </w:pPr>
      <w:r>
        <w:tab/>
        <w:t>(5)</w:t>
      </w:r>
      <w:r>
        <w:tab/>
        <w:t xml:space="preserve">A declaration referred to in subsection (4) ceases to have effect 3 hours after it is made if — </w:t>
      </w:r>
    </w:p>
    <w:p>
      <w:pPr>
        <w:pStyle w:val="zIndenta"/>
      </w:pPr>
      <w:r>
        <w:tab/>
        <w:t>(a)</w:t>
      </w:r>
      <w:r>
        <w:tab/>
        <w:t>it is not ratified under that subsection; and</w:t>
      </w:r>
    </w:p>
    <w:p>
      <w:pPr>
        <w:pStyle w:val="zIndenta"/>
      </w:pPr>
      <w:r>
        <w:tab/>
        <w:t>(b)</w:t>
      </w:r>
      <w:r>
        <w:tab/>
        <w:t>it has not expired or otherwise ceased to have effect.</w:t>
      </w:r>
    </w:p>
    <w:p>
      <w:pPr>
        <w:pStyle w:val="zSubsection"/>
      </w:pPr>
      <w:r>
        <w:tab/>
        <w:t>(6)</w:t>
      </w:r>
      <w:r>
        <w:tab/>
        <w:t>A failure to ratify a declaration referred to in subsection (4) does not invalidate the declaration.</w:t>
      </w:r>
    </w:p>
    <w:p>
      <w:pPr>
        <w:pStyle w:val="zSubsection"/>
      </w:pPr>
      <w:r>
        <w:tab/>
        <w:t>(7)</w:t>
      </w:r>
      <w:r>
        <w:tab/>
        <w:t>Declarations for 2 or more consecutive periods may be made under this section in relation to the same area or place.</w:t>
      </w:r>
    </w:p>
    <w:p>
      <w:pPr>
        <w:pStyle w:val="zHeading3"/>
      </w:pPr>
      <w:bookmarkStart w:id="38" w:name="_Toc178259034"/>
      <w:bookmarkStart w:id="39" w:name="_Toc178259102"/>
      <w:bookmarkStart w:id="40" w:name="_Toc178259170"/>
      <w:r>
        <w:t>Division 3 — Powers in public places within designated areas</w:t>
      </w:r>
      <w:bookmarkEnd w:id="38"/>
      <w:bookmarkEnd w:id="39"/>
      <w:bookmarkEnd w:id="40"/>
    </w:p>
    <w:p>
      <w:pPr>
        <w:pStyle w:val="zHeading5"/>
      </w:pPr>
      <w:bookmarkStart w:id="41" w:name="_Toc178259171"/>
      <w:r>
        <w:t>61C.</w:t>
      </w:r>
      <w:r>
        <w:tab/>
        <w:t>Use of metal detectors</w:t>
      </w:r>
      <w:bookmarkEnd w:id="41"/>
    </w:p>
    <w:p>
      <w:pPr>
        <w:pStyle w:val="zSubsection"/>
      </w:pPr>
      <w:r>
        <w:tab/>
        <w:t>(1)</w:t>
      </w:r>
      <w:r>
        <w:tab/>
        <w:t>A police officer may, without a warrant, require a person in a public place within a designated area to stop and submit to the use of a metal detector.</w:t>
      </w:r>
    </w:p>
    <w:p>
      <w:pPr>
        <w:pStyle w:val="zSubsection"/>
      </w:pPr>
      <w:r>
        <w:tab/>
        <w:t>(2)</w:t>
      </w:r>
      <w:r>
        <w:tab/>
        <w:t>A person must not, without reasonable excuse, fail or refuse to comply with a requirement made of the person under subsection (1).</w:t>
      </w:r>
    </w:p>
    <w:p>
      <w:pPr>
        <w:pStyle w:val="zPenstart"/>
      </w:pPr>
      <w:r>
        <w:tab/>
        <w:t>Penalty for this subsection: imprisonment for 12 months and a fine of $12 000.</w:t>
      </w:r>
    </w:p>
    <w:p>
      <w:pPr>
        <w:pStyle w:val="zHeading5"/>
      </w:pPr>
      <w:bookmarkStart w:id="42" w:name="_Toc178259172"/>
      <w:r>
        <w:t>61D.</w:t>
      </w:r>
      <w:r>
        <w:tab/>
        <w:t>Requirements if metal detector indicates metal</w:t>
      </w:r>
      <w:bookmarkEnd w:id="42"/>
    </w:p>
    <w:p>
      <w:pPr>
        <w:pStyle w:val="zSubsection"/>
      </w:pPr>
      <w:r>
        <w:tab/>
        <w:t>(1)</w:t>
      </w:r>
      <w:r>
        <w:tab/>
        <w:t>This section applies if a metal detector indicates the presence or likely presence of metal on a person or a thing in the person’s possession or control.</w:t>
      </w:r>
    </w:p>
    <w:p>
      <w:pPr>
        <w:pStyle w:val="zSubsection"/>
        <w:keepNext/>
      </w:pPr>
      <w:r>
        <w:tab/>
        <w:t>(2)</w:t>
      </w:r>
      <w:r>
        <w:tab/>
        <w:t xml:space="preserve">A police officer may require the person — </w:t>
      </w:r>
    </w:p>
    <w:p>
      <w:pPr>
        <w:pStyle w:val="zIndenta"/>
      </w:pPr>
      <w:r>
        <w:tab/>
        <w:t>(a)</w:t>
      </w:r>
      <w:r>
        <w:tab/>
        <w:t>to produce any thing that may be causing the metal detector to indicate the presence or likely presence of metal; and</w:t>
      </w:r>
    </w:p>
    <w:p>
      <w:pPr>
        <w:pStyle w:val="zIndenta"/>
      </w:pPr>
      <w:r>
        <w:tab/>
        <w:t>(b)</w:t>
      </w:r>
      <w:r>
        <w:tab/>
        <w:t>to resubmit to the use of a metal detector.</w:t>
      </w:r>
    </w:p>
    <w:p>
      <w:pPr>
        <w:pStyle w:val="zSubsection"/>
      </w:pPr>
      <w:r>
        <w:tab/>
        <w:t>(3)</w:t>
      </w:r>
      <w:r>
        <w:tab/>
        <w:t>A person must not, without reasonable excuse, fail or refuse to comply with a requirement made of the person under subsection (2).</w:t>
      </w:r>
    </w:p>
    <w:p>
      <w:pPr>
        <w:pStyle w:val="zPenstart"/>
      </w:pPr>
      <w:r>
        <w:tab/>
        <w:t>Penalty for this subsection: imprisonment for 12 months and a fine of $12 000.</w:t>
      </w:r>
    </w:p>
    <w:p>
      <w:pPr>
        <w:pStyle w:val="zHeading5"/>
      </w:pPr>
      <w:bookmarkStart w:id="43" w:name="_Toc178259173"/>
      <w:r>
        <w:t>61E.</w:t>
      </w:r>
      <w:r>
        <w:tab/>
        <w:t>Requirements for use of metal detectors</w:t>
      </w:r>
      <w:bookmarkEnd w:id="43"/>
    </w:p>
    <w:p>
      <w:pPr>
        <w:pStyle w:val="zSubsection"/>
      </w:pPr>
      <w:r>
        <w:tab/>
        <w:t>(1)</w:t>
      </w:r>
      <w:r>
        <w:tab/>
        <w:t xml:space="preserve">A police officer must inform a person that — </w:t>
      </w:r>
    </w:p>
    <w:p>
      <w:pPr>
        <w:pStyle w:val="zIndenta"/>
      </w:pPr>
      <w:r>
        <w:tab/>
        <w:t>(a)</w:t>
      </w:r>
      <w:r>
        <w:tab/>
        <w:t>the person is required to submit or resubmit to the use of a metal detector; and</w:t>
      </w:r>
    </w:p>
    <w:p>
      <w:pPr>
        <w:pStyle w:val="zIndenta"/>
      </w:pPr>
      <w:r>
        <w:tab/>
        <w:t>(b)</w:t>
      </w:r>
      <w:r>
        <w:tab/>
        <w:t>failure to submit or resubmit to the use of a metal detector may constitute an offence.</w:t>
      </w:r>
    </w:p>
    <w:p>
      <w:pPr>
        <w:pStyle w:val="zSubsection"/>
      </w:pPr>
      <w:r>
        <w:tab/>
        <w:t>(2)</w:t>
      </w:r>
      <w:r>
        <w:tab/>
        <w:t>Subsection (1)(b) does not apply if the person has already submitted or resubmitted to, or is in the process of submitting or resubmitting to, the use of the metal detector.</w:t>
      </w:r>
    </w:p>
    <w:p>
      <w:pPr>
        <w:pStyle w:val="zSubsection"/>
      </w:pPr>
      <w:r>
        <w:tab/>
        <w:t>(3)</w:t>
      </w:r>
      <w:r>
        <w:tab/>
        <w:t>A police officer must use a metal detector in the least invasive way practicable in the circumstances.</w:t>
      </w:r>
    </w:p>
    <w:p>
      <w:pPr>
        <w:pStyle w:val="zSubsection"/>
      </w:pPr>
      <w:r>
        <w:tab/>
        <w:t>(4)</w:t>
      </w:r>
      <w:r>
        <w:tab/>
        <w:t>A police officer may detain a person for as long as is reasonably necessary for the person to submit or resubmit to the use of a metal detector under this Division.</w:t>
      </w:r>
    </w:p>
    <w:p>
      <w:pPr>
        <w:pStyle w:val="zHeading3"/>
      </w:pPr>
      <w:bookmarkStart w:id="44" w:name="_Toc178259038"/>
      <w:bookmarkStart w:id="45" w:name="_Toc178259106"/>
      <w:bookmarkStart w:id="46" w:name="_Toc178259174"/>
      <w:r>
        <w:t>Division 4 — Miscellaneous</w:t>
      </w:r>
      <w:bookmarkEnd w:id="44"/>
      <w:bookmarkEnd w:id="45"/>
      <w:bookmarkEnd w:id="46"/>
    </w:p>
    <w:p>
      <w:pPr>
        <w:pStyle w:val="zHeading5"/>
      </w:pPr>
      <w:bookmarkStart w:id="47" w:name="_Toc178259175"/>
      <w:r>
        <w:t>61F.</w:t>
      </w:r>
      <w:r>
        <w:tab/>
        <w:t>Annual report to Minister on this Part</w:t>
      </w:r>
      <w:bookmarkEnd w:id="47"/>
    </w:p>
    <w:p>
      <w:pPr>
        <w:pStyle w:val="zSubsection"/>
        <w:keepNext/>
      </w:pPr>
      <w:r>
        <w:tab/>
        <w:t>(1)</w:t>
      </w:r>
      <w:r>
        <w:tab/>
        <w:t xml:space="preserve">The Commissioner of Police must give an annual report to the Minister that provides the following information for each financial year in relation to each designated area — </w:t>
      </w:r>
    </w:p>
    <w:p>
      <w:pPr>
        <w:pStyle w:val="zIndenta"/>
      </w:pPr>
      <w:r>
        <w:tab/>
        <w:t>(a)</w:t>
      </w:r>
      <w:r>
        <w:tab/>
        <w:t>the number of people required to submit to the use of a metal detector under this Part;</w:t>
      </w:r>
    </w:p>
    <w:p>
      <w:pPr>
        <w:pStyle w:val="zIndenta"/>
      </w:pPr>
      <w:r>
        <w:tab/>
        <w:t>(b)</w:t>
      </w:r>
      <w:r>
        <w:tab/>
        <w:t xml:space="preserve">the number of charges laid under the </w:t>
      </w:r>
      <w:r>
        <w:rPr>
          <w:i/>
        </w:rPr>
        <w:t>Weapons Act 1999</w:t>
      </w:r>
      <w:r>
        <w:t xml:space="preserve"> section 6A(1) and (2) as a result of the use of metal detectors under this Part;</w:t>
      </w:r>
    </w:p>
    <w:p>
      <w:pPr>
        <w:pStyle w:val="zIndenta"/>
      </w:pPr>
      <w:r>
        <w:tab/>
        <w:t>(c)</w:t>
      </w:r>
      <w:r>
        <w:tab/>
        <w:t>the number of charges laid under this Part;</w:t>
      </w:r>
    </w:p>
    <w:p>
      <w:pPr>
        <w:pStyle w:val="zIndenta"/>
      </w:pPr>
      <w:r>
        <w:tab/>
        <w:t>(d)</w:t>
      </w:r>
      <w:r>
        <w:tab/>
        <w:t>any other information requested by the Minister.</w:t>
      </w:r>
    </w:p>
    <w:p>
      <w:pPr>
        <w:pStyle w:val="zSubsection"/>
      </w:pPr>
      <w:r>
        <w:tab/>
        <w:t>(2)</w:t>
      </w:r>
      <w:r>
        <w:tab/>
        <w:t xml:space="preserve">The report may form part of the annual report submitted by WA Police under the </w:t>
      </w:r>
      <w:r>
        <w:rPr>
          <w:i/>
        </w:rPr>
        <w:t>Financial Management Act 2006</w:t>
      </w:r>
      <w:r>
        <w:t xml:space="preserve"> Part 5 Division 2.</w:t>
      </w:r>
    </w:p>
    <w:p>
      <w:pPr>
        <w:pStyle w:val="zHeading5"/>
      </w:pPr>
      <w:bookmarkStart w:id="48" w:name="_Toc178259176"/>
      <w:r>
        <w:t>61G.</w:t>
      </w:r>
      <w:r>
        <w:tab/>
        <w:t>Review of Part</w:t>
      </w:r>
      <w:bookmarkEnd w:id="48"/>
    </w:p>
    <w:p>
      <w:pPr>
        <w:pStyle w:val="zSubsection"/>
      </w:pPr>
      <w:r>
        <w:tab/>
        <w:t>(1)</w:t>
      </w:r>
      <w:r>
        <w:tab/>
        <w:t>The Minister must review the operation and effectiveness of this Part, and prepare a report based on the review, as soon as practicable after the 3</w:t>
      </w:r>
      <w:r>
        <w:rPr>
          <w:vertAlign w:val="superscript"/>
        </w:rPr>
        <w:t>rd</w:t>
      </w:r>
      <w:r>
        <w:t xml:space="preserve"> anniversary of the day on which the </w:t>
      </w:r>
      <w:r>
        <w:rPr>
          <w:i/>
        </w:rPr>
        <w:t>Police Legislation Amendment Act 2024</w:t>
      </w:r>
      <w:r>
        <w:t xml:space="preserve"> section 9 comes into operation.</w:t>
      </w:r>
    </w:p>
    <w:p>
      <w:pPr>
        <w:pStyle w:val="zSubsection"/>
        <w:keepNext/>
      </w:pPr>
      <w:r>
        <w:tab/>
        <w:t>(2)</w:t>
      </w:r>
      <w:r>
        <w:tab/>
        <w:t>The Minister must cause the report to be laid before each House of Parliament as soon as practicable after it is prepared, but not later than 12 months after the 3</w:t>
      </w:r>
      <w:r>
        <w:rPr>
          <w:vertAlign w:val="superscript"/>
        </w:rPr>
        <w:t>rd</w:t>
      </w:r>
      <w:r>
        <w:t> anniversary.</w:t>
      </w:r>
    </w:p>
    <w:p>
      <w:pPr>
        <w:pStyle w:val="BlankClose"/>
      </w:pPr>
    </w:p>
    <w:p>
      <w:pPr>
        <w:pStyle w:val="Heading2"/>
      </w:pPr>
      <w:bookmarkStart w:id="49" w:name="_Toc178259041"/>
      <w:bookmarkStart w:id="50" w:name="_Toc178259109"/>
      <w:bookmarkStart w:id="51" w:name="_Toc178259177"/>
      <w:r>
        <w:rPr>
          <w:rStyle w:val="CharPartNo"/>
        </w:rPr>
        <w:t>Part 3</w:t>
      </w:r>
      <w:r>
        <w:rPr>
          <w:rStyle w:val="CharDivNo"/>
        </w:rPr>
        <w:t> </w:t>
      </w:r>
      <w:r>
        <w:t>—</w:t>
      </w:r>
      <w:r>
        <w:rPr>
          <w:rStyle w:val="CharDivText"/>
        </w:rPr>
        <w:t> </w:t>
      </w:r>
      <w:r>
        <w:rPr>
          <w:rStyle w:val="CharPartText"/>
          <w:i/>
          <w:iCs/>
        </w:rPr>
        <w:t>Weapons Act 1999</w:t>
      </w:r>
      <w:r>
        <w:rPr>
          <w:rStyle w:val="CharPartText"/>
        </w:rPr>
        <w:t xml:space="preserve"> amended</w:t>
      </w:r>
      <w:bookmarkEnd w:id="49"/>
      <w:bookmarkEnd w:id="50"/>
      <w:bookmarkEnd w:id="51"/>
    </w:p>
    <w:p>
      <w:pPr>
        <w:pStyle w:val="Heading5"/>
      </w:pPr>
      <w:bookmarkStart w:id="52" w:name="_Toc178259178"/>
      <w:r>
        <w:rPr>
          <w:rStyle w:val="CharSectno"/>
        </w:rPr>
        <w:t>10</w:t>
      </w:r>
      <w:r>
        <w:t>.</w:t>
      </w:r>
      <w:r>
        <w:tab/>
        <w:t>Act amended</w:t>
      </w:r>
      <w:bookmarkEnd w:id="52"/>
    </w:p>
    <w:p>
      <w:pPr>
        <w:pStyle w:val="Subsection"/>
      </w:pPr>
      <w:r>
        <w:tab/>
      </w:r>
      <w:r>
        <w:tab/>
        <w:t xml:space="preserve">This Part amends the </w:t>
      </w:r>
      <w:r>
        <w:rPr>
          <w:i/>
          <w:iCs/>
        </w:rPr>
        <w:t>Weapons Act 1999</w:t>
      </w:r>
      <w:r>
        <w:t>.</w:t>
      </w:r>
    </w:p>
    <w:p>
      <w:pPr>
        <w:pStyle w:val="Heading5"/>
      </w:pPr>
      <w:bookmarkStart w:id="53" w:name="_Toc178259179"/>
      <w:r>
        <w:rPr>
          <w:rStyle w:val="CharSectno"/>
        </w:rPr>
        <w:t>11</w:t>
      </w:r>
      <w:r>
        <w:t>.</w:t>
      </w:r>
      <w:r>
        <w:tab/>
        <w:t>Section 3 amended</w:t>
      </w:r>
      <w:bookmarkEnd w:id="53"/>
    </w:p>
    <w:p>
      <w:pPr>
        <w:pStyle w:val="Subsection"/>
      </w:pPr>
      <w:r>
        <w:tab/>
        <w:t>(1)</w:t>
      </w:r>
      <w:r>
        <w:tab/>
        <w:t>In section 3 insert in alphabetical order:</w:t>
      </w:r>
    </w:p>
    <w:p>
      <w:pPr>
        <w:pStyle w:val="BlankOpen"/>
      </w:pPr>
    </w:p>
    <w:p>
      <w:pPr>
        <w:pStyle w:val="zDefstart"/>
      </w:pPr>
      <w:r>
        <w:tab/>
      </w:r>
      <w:r>
        <w:rPr>
          <w:rStyle w:val="CharDefText"/>
        </w:rPr>
        <w:t>child</w:t>
      </w:r>
      <w:r>
        <w:t xml:space="preserve"> means a person who is under 18 years of age;</w:t>
      </w:r>
    </w:p>
    <w:p>
      <w:pPr>
        <w:pStyle w:val="zDefstart"/>
      </w:pPr>
      <w:r>
        <w:tab/>
      </w:r>
      <w:r>
        <w:rPr>
          <w:rStyle w:val="CharDefText"/>
        </w:rPr>
        <w:t>edged weapon</w:t>
      </w:r>
      <w:r>
        <w:t xml:space="preserve"> has the meaning given in section 3A;</w:t>
      </w:r>
    </w:p>
    <w:p>
      <w:pPr>
        <w:pStyle w:val="BlankClose"/>
      </w:pPr>
    </w:p>
    <w:p>
      <w:pPr>
        <w:pStyle w:val="Subsection"/>
      </w:pPr>
      <w:r>
        <w:tab/>
        <w:t>(2)</w:t>
      </w:r>
      <w:r>
        <w:tab/>
        <w:t xml:space="preserve">In section 3 in the definition of </w:t>
      </w:r>
      <w:r>
        <w:rPr>
          <w:b/>
          <w:bCs/>
          <w:i/>
          <w:iCs/>
        </w:rPr>
        <w:t>controlled weapon</w:t>
      </w:r>
      <w:r>
        <w:t xml:space="preserve"> paragraph (b) delete “firearm or a prohibited weapon,” and insert:</w:t>
      </w:r>
    </w:p>
    <w:p>
      <w:pPr>
        <w:pStyle w:val="BlankOpen"/>
      </w:pPr>
    </w:p>
    <w:p>
      <w:pPr>
        <w:pStyle w:val="Subsection"/>
      </w:pPr>
      <w:r>
        <w:tab/>
      </w:r>
      <w:r>
        <w:tab/>
        <w:t xml:space="preserve">firearm, a prohibited weapon or an edged weapon, </w:t>
      </w:r>
    </w:p>
    <w:p>
      <w:pPr>
        <w:pStyle w:val="BlankClose"/>
      </w:pPr>
    </w:p>
    <w:p>
      <w:pPr>
        <w:pStyle w:val="Subsection"/>
        <w:keepNext/>
      </w:pPr>
      <w:r>
        <w:tab/>
        <w:t>(3)</w:t>
      </w:r>
      <w:r>
        <w:tab/>
        <w:t xml:space="preserve">In section 3 in the definition of </w:t>
      </w:r>
      <w:r>
        <w:rPr>
          <w:b/>
          <w:bCs/>
          <w:i/>
          <w:iCs/>
        </w:rPr>
        <w:t>weapon</w:t>
      </w:r>
      <w:r>
        <w:t xml:space="preserve"> after “prohibited weapon,” insert:</w:t>
      </w:r>
    </w:p>
    <w:p>
      <w:pPr>
        <w:pStyle w:val="BlankOpen"/>
      </w:pPr>
    </w:p>
    <w:p>
      <w:pPr>
        <w:pStyle w:val="Subsection"/>
      </w:pPr>
      <w:r>
        <w:tab/>
      </w:r>
      <w:r>
        <w:tab/>
        <w:t>an edged weapon,</w:t>
      </w:r>
    </w:p>
    <w:p>
      <w:pPr>
        <w:pStyle w:val="BlankClose"/>
      </w:pPr>
    </w:p>
    <w:p>
      <w:pPr>
        <w:pStyle w:val="SectAltNote"/>
      </w:pPr>
      <w:r>
        <w:tab/>
        <w:t>Note: The heading to amended section 3 is to read:</w:t>
      </w:r>
    </w:p>
    <w:p>
      <w:pPr>
        <w:pStyle w:val="SectAltHeading"/>
      </w:pPr>
      <w:r>
        <w:tab/>
      </w:r>
      <w:r>
        <w:tab/>
        <w:t>Terms used</w:t>
      </w:r>
    </w:p>
    <w:p>
      <w:pPr>
        <w:pStyle w:val="Heading5"/>
      </w:pPr>
      <w:bookmarkStart w:id="54" w:name="_Toc178259180"/>
      <w:r>
        <w:rPr>
          <w:rStyle w:val="CharSectno"/>
        </w:rPr>
        <w:t>12</w:t>
      </w:r>
      <w:r>
        <w:t>.</w:t>
      </w:r>
      <w:r>
        <w:tab/>
        <w:t>Section 3A inserted</w:t>
      </w:r>
      <w:bookmarkEnd w:id="54"/>
    </w:p>
    <w:p>
      <w:pPr>
        <w:pStyle w:val="Subsection"/>
        <w:keepNext/>
      </w:pPr>
      <w:r>
        <w:tab/>
      </w:r>
      <w:r>
        <w:tab/>
        <w:t>After section 3 insert:</w:t>
      </w:r>
    </w:p>
    <w:p>
      <w:pPr>
        <w:pStyle w:val="BlankOpen"/>
      </w:pPr>
    </w:p>
    <w:p>
      <w:pPr>
        <w:pStyle w:val="zHeading5"/>
      </w:pPr>
      <w:bookmarkStart w:id="55" w:name="_Toc178259181"/>
      <w:r>
        <w:t>3A.</w:t>
      </w:r>
      <w:r>
        <w:tab/>
        <w:t>Meaning of edged weapon</w:t>
      </w:r>
      <w:bookmarkEnd w:id="55"/>
    </w:p>
    <w:p>
      <w:pPr>
        <w:pStyle w:val="zSubsection"/>
        <w:keepNext/>
      </w:pPr>
      <w:r>
        <w:tab/>
        <w:t>(1)</w:t>
      </w:r>
      <w:r>
        <w:tab/>
        <w:t xml:space="preserve">An </w:t>
      </w:r>
      <w:r>
        <w:rPr>
          <w:rStyle w:val="CharDefText"/>
        </w:rPr>
        <w:t>edged weapon</w:t>
      </w:r>
      <w:r>
        <w:t xml:space="preserve"> means the following — </w:t>
      </w:r>
    </w:p>
    <w:p>
      <w:pPr>
        <w:pStyle w:val="zIndenta"/>
      </w:pPr>
      <w:r>
        <w:tab/>
        <w:t>(a)</w:t>
      </w:r>
      <w:r>
        <w:tab/>
        <w:t>a knife, a machete, a sickle or a scythe;</w:t>
      </w:r>
    </w:p>
    <w:p>
      <w:pPr>
        <w:pStyle w:val="zIndenta"/>
      </w:pPr>
      <w:r>
        <w:tab/>
        <w:t>(b)</w:t>
      </w:r>
      <w:r>
        <w:tab/>
        <w:t>a blade of an article referred to in paragraph (a);</w:t>
      </w:r>
    </w:p>
    <w:p>
      <w:pPr>
        <w:pStyle w:val="zIndenta"/>
      </w:pPr>
      <w:r>
        <w:tab/>
        <w:t>(c)</w:t>
      </w:r>
      <w:r>
        <w:tab/>
        <w:t>an axe or an axe head;</w:t>
      </w:r>
    </w:p>
    <w:p>
      <w:pPr>
        <w:pStyle w:val="zIndenta"/>
      </w:pPr>
      <w:r>
        <w:tab/>
        <w:t>(d)</w:t>
      </w:r>
      <w:r>
        <w:tab/>
        <w:t xml:space="preserve">an article with a sharpened edge, that is reasonably capable of being held in 1 or both hands, and that is made or modified to be used — </w:t>
      </w:r>
    </w:p>
    <w:p>
      <w:pPr>
        <w:pStyle w:val="zIndenti"/>
      </w:pPr>
      <w:r>
        <w:tab/>
        <w:t>(i)</w:t>
      </w:r>
      <w:r>
        <w:tab/>
        <w:t>to injure or disable a person; or</w:t>
      </w:r>
    </w:p>
    <w:p>
      <w:pPr>
        <w:pStyle w:val="zIndenti"/>
      </w:pPr>
      <w:r>
        <w:tab/>
        <w:t>(ii)</w:t>
      </w:r>
      <w:r>
        <w:tab/>
        <w:t>to cause a person to fear that someone will be injured or disabled by that use; or</w:t>
      </w:r>
    </w:p>
    <w:p>
      <w:pPr>
        <w:pStyle w:val="zIndenti"/>
      </w:pPr>
      <w:r>
        <w:tab/>
        <w:t>(iii)</w:t>
      </w:r>
      <w:r>
        <w:tab/>
        <w:t>for attack or defence in the practice of a martial sport, art or similar discipline;</w:t>
      </w:r>
    </w:p>
    <w:p>
      <w:pPr>
        <w:pStyle w:val="zIndenta"/>
      </w:pPr>
      <w:r>
        <w:tab/>
        <w:t>(e)</w:t>
      </w:r>
      <w:r>
        <w:tab/>
        <w:t>an article prescribed by the regulations to be an edged weapon.</w:t>
      </w:r>
    </w:p>
    <w:p>
      <w:pPr>
        <w:pStyle w:val="zSubsection"/>
      </w:pPr>
      <w:r>
        <w:tab/>
        <w:t>(2)</w:t>
      </w:r>
      <w:r>
        <w:tab/>
        <w:t xml:space="preserve">Despite subsection (1), an </w:t>
      </w:r>
      <w:r>
        <w:rPr>
          <w:rStyle w:val="CharDefText"/>
        </w:rPr>
        <w:t>edged weapon</w:t>
      </w:r>
      <w:r>
        <w:t xml:space="preserve"> does not include the following — </w:t>
      </w:r>
    </w:p>
    <w:p>
      <w:pPr>
        <w:pStyle w:val="zIndenta"/>
      </w:pPr>
      <w:r>
        <w:tab/>
        <w:t>(a)</w:t>
      </w:r>
      <w:r>
        <w:tab/>
        <w:t>a firearm, an article prescribed by the regulations to be a controlled weapon or a prohibited weapon;</w:t>
      </w:r>
    </w:p>
    <w:p>
      <w:pPr>
        <w:pStyle w:val="zIndenta"/>
      </w:pPr>
      <w:r>
        <w:tab/>
        <w:t>(b)</w:t>
      </w:r>
      <w:r>
        <w:tab/>
        <w:t>a plastic or wooden knife designed to be used for eating;</w:t>
      </w:r>
    </w:p>
    <w:p>
      <w:pPr>
        <w:pStyle w:val="zIndenta"/>
      </w:pPr>
      <w:r>
        <w:tab/>
        <w:t>(c)</w:t>
      </w:r>
      <w:r>
        <w:tab/>
        <w:t>a knife with a rounded tip and dull edge;</w:t>
      </w:r>
    </w:p>
    <w:p>
      <w:pPr>
        <w:pStyle w:val="zIndenta"/>
        <w:keepNext/>
      </w:pPr>
      <w:r>
        <w:tab/>
        <w:t>(d)</w:t>
      </w:r>
      <w:r>
        <w:tab/>
        <w:t>an article prescribed by the regulations not to be an edged weapon.</w:t>
      </w:r>
    </w:p>
    <w:p>
      <w:pPr>
        <w:pStyle w:val="BlankClose"/>
        <w:keepNext/>
      </w:pPr>
    </w:p>
    <w:p>
      <w:pPr>
        <w:pStyle w:val="Heading5"/>
      </w:pPr>
      <w:bookmarkStart w:id="56" w:name="_Toc178259182"/>
      <w:r>
        <w:rPr>
          <w:rStyle w:val="CharSectno"/>
        </w:rPr>
        <w:t>13</w:t>
      </w:r>
      <w:r>
        <w:t>.</w:t>
      </w:r>
      <w:r>
        <w:tab/>
        <w:t>Section 5A inserted</w:t>
      </w:r>
      <w:bookmarkEnd w:id="56"/>
    </w:p>
    <w:p>
      <w:pPr>
        <w:pStyle w:val="Subsection"/>
      </w:pPr>
      <w:r>
        <w:tab/>
      </w:r>
      <w:r>
        <w:tab/>
        <w:t>At the beginning of Part 2 insert:</w:t>
      </w:r>
    </w:p>
    <w:p>
      <w:pPr>
        <w:pStyle w:val="BlankOpen"/>
      </w:pPr>
    </w:p>
    <w:p>
      <w:pPr>
        <w:pStyle w:val="zHeading5"/>
      </w:pPr>
      <w:bookmarkStart w:id="57" w:name="_Toc178259183"/>
      <w:r>
        <w:t>5A.</w:t>
      </w:r>
      <w:r>
        <w:tab/>
        <w:t>Lawful excuse</w:t>
      </w:r>
      <w:bookmarkEnd w:id="57"/>
    </w:p>
    <w:p>
      <w:pPr>
        <w:pStyle w:val="zSubsection"/>
      </w:pPr>
      <w:r>
        <w:tab/>
        <w:t>(1)</w:t>
      </w:r>
      <w:r>
        <w:tab/>
        <w:t xml:space="preserve">In this Part — </w:t>
      </w:r>
    </w:p>
    <w:p>
      <w:pPr>
        <w:pStyle w:val="zDefstart"/>
      </w:pPr>
      <w:r>
        <w:tab/>
      </w:r>
      <w:r>
        <w:rPr>
          <w:rStyle w:val="CharDefText"/>
        </w:rPr>
        <w:t>lawful excuse</w:t>
      </w:r>
      <w:r>
        <w:t xml:space="preserve">, in relation to carrying or possessing a weapon — </w:t>
      </w:r>
    </w:p>
    <w:p>
      <w:pPr>
        <w:pStyle w:val="zDefpara"/>
      </w:pPr>
      <w:r>
        <w:tab/>
        <w:t>(a)</w:t>
      </w:r>
      <w:r>
        <w:tab/>
        <w:t xml:space="preserve">includes carrying or possessing the weapon for the purposes of any of the following — </w:t>
      </w:r>
    </w:p>
    <w:p>
      <w:pPr>
        <w:pStyle w:val="zDefsubpara"/>
      </w:pPr>
      <w:r>
        <w:tab/>
        <w:t>(i)</w:t>
      </w:r>
      <w:r>
        <w:tab/>
        <w:t xml:space="preserve">a lawful employment, duty or activity; </w:t>
      </w:r>
    </w:p>
    <w:p>
      <w:pPr>
        <w:pStyle w:val="zDefsubpara"/>
      </w:pPr>
      <w:r>
        <w:tab/>
        <w:t>(ii)</w:t>
      </w:r>
      <w:r>
        <w:tab/>
        <w:t xml:space="preserve">a lawful sport, recreation or entertainment; </w:t>
      </w:r>
    </w:p>
    <w:p>
      <w:pPr>
        <w:pStyle w:val="zDefsubpara"/>
      </w:pPr>
      <w:r>
        <w:tab/>
        <w:t>(iii)</w:t>
      </w:r>
      <w:r>
        <w:tab/>
        <w:t>a lawful collection, display or exhibition of weapons;</w:t>
      </w:r>
    </w:p>
    <w:p>
      <w:pPr>
        <w:pStyle w:val="zDefpara"/>
      </w:pPr>
      <w:r>
        <w:tab/>
      </w:r>
      <w:r>
        <w:tab/>
        <w:t>but</w:t>
      </w:r>
    </w:p>
    <w:p>
      <w:pPr>
        <w:pStyle w:val="zDefpara"/>
      </w:pPr>
      <w:r>
        <w:tab/>
        <w:t>(b)</w:t>
      </w:r>
      <w:r>
        <w:tab/>
        <w:t>does not include carrying or possessing the weapon for defence unless subsection (2) applies.</w:t>
      </w:r>
    </w:p>
    <w:p>
      <w:pPr>
        <w:pStyle w:val="zSubsection"/>
      </w:pPr>
      <w:r>
        <w:tab/>
        <w:t>(2)</w:t>
      </w:r>
      <w:r>
        <w:tab/>
        <w:t>A controlled weapon of a kind prescribed by the regulations may be carried or possessed for defence if it is carried or possessed in the circumstances, if any, prescribed by the regulations.</w:t>
      </w:r>
    </w:p>
    <w:p>
      <w:pPr>
        <w:pStyle w:val="zSubsection"/>
      </w:pPr>
      <w:r>
        <w:tab/>
        <w:t>(3)</w:t>
      </w:r>
      <w:r>
        <w:tab/>
        <w:t>Regulations under subsection (2) may apply generally or to a particular person or class of persons.</w:t>
      </w:r>
    </w:p>
    <w:p>
      <w:pPr>
        <w:pStyle w:val="BlankClose"/>
      </w:pPr>
    </w:p>
    <w:p>
      <w:pPr>
        <w:pStyle w:val="Heading5"/>
      </w:pPr>
      <w:bookmarkStart w:id="58" w:name="_Toc178259184"/>
      <w:r>
        <w:rPr>
          <w:rStyle w:val="CharSectno"/>
        </w:rPr>
        <w:t>14</w:t>
      </w:r>
      <w:r>
        <w:t>.</w:t>
      </w:r>
      <w:r>
        <w:tab/>
        <w:t>Section 6 amended</w:t>
      </w:r>
      <w:bookmarkEnd w:id="58"/>
    </w:p>
    <w:p>
      <w:pPr>
        <w:pStyle w:val="Subsection"/>
        <w:keepNext/>
      </w:pPr>
      <w:r>
        <w:tab/>
        <w:t>(1)</w:t>
      </w:r>
      <w:r>
        <w:tab/>
        <w:t>Delete section 6(1) and insert:</w:t>
      </w:r>
    </w:p>
    <w:p>
      <w:pPr>
        <w:pStyle w:val="BlankOpen"/>
      </w:pPr>
    </w:p>
    <w:p>
      <w:pPr>
        <w:pStyle w:val="zSubsection"/>
      </w:pPr>
      <w:r>
        <w:tab/>
        <w:t>(1)</w:t>
      </w:r>
      <w:r>
        <w:tab/>
        <w:t xml:space="preserve">Except as provided in subsections (2) and (3) and section 10, a person who does or attempts to do any of the following commits a crime — </w:t>
      </w:r>
    </w:p>
    <w:p>
      <w:pPr>
        <w:pStyle w:val="zIndenta"/>
      </w:pPr>
      <w:r>
        <w:tab/>
        <w:t>(a)</w:t>
      </w:r>
      <w:r>
        <w:tab/>
        <w:t>brings or sends a prohibited weapon into the State;</w:t>
      </w:r>
    </w:p>
    <w:p>
      <w:pPr>
        <w:pStyle w:val="zIndenta"/>
      </w:pPr>
      <w:r>
        <w:tab/>
        <w:t>(b)</w:t>
      </w:r>
      <w:r>
        <w:tab/>
        <w:t>carries or possesses a prohibited weapon;</w:t>
      </w:r>
    </w:p>
    <w:p>
      <w:pPr>
        <w:pStyle w:val="zIndenta"/>
      </w:pPr>
      <w:r>
        <w:tab/>
        <w:t>(c)</w:t>
      </w:r>
      <w:r>
        <w:tab/>
        <w:t>purchases, sells or supplies a prohibited weapon;</w:t>
      </w:r>
    </w:p>
    <w:p>
      <w:pPr>
        <w:pStyle w:val="zIndenta"/>
      </w:pPr>
      <w:r>
        <w:tab/>
        <w:t>(d)</w:t>
      </w:r>
      <w:r>
        <w:tab/>
        <w:t>manufactures a prohibited weapon.</w:t>
      </w:r>
    </w:p>
    <w:p>
      <w:pPr>
        <w:pStyle w:val="zPenstart"/>
      </w:pPr>
      <w:r>
        <w:tab/>
        <w:t>Penalty for this subsection: imprisonment for 5 years and a fine of $60 000.</w:t>
      </w:r>
    </w:p>
    <w:p>
      <w:pPr>
        <w:pStyle w:val="zPenstart"/>
      </w:pPr>
      <w:r>
        <w:tab/>
        <w:t>Summary conviction penalty for this subsection: imprisonment for 3 years and a fine of $36 000.</w:t>
      </w:r>
    </w:p>
    <w:p>
      <w:pPr>
        <w:pStyle w:val="BlankClose"/>
      </w:pPr>
    </w:p>
    <w:p>
      <w:pPr>
        <w:pStyle w:val="Subsection"/>
      </w:pPr>
      <w:r>
        <w:tab/>
        <w:t>(2)</w:t>
      </w:r>
      <w:r>
        <w:tab/>
        <w:t>In section 6(2) and (3) delete “an offence” and insert:</w:t>
      </w:r>
    </w:p>
    <w:p>
      <w:pPr>
        <w:pStyle w:val="BlankOpen"/>
      </w:pPr>
    </w:p>
    <w:p>
      <w:pPr>
        <w:pStyle w:val="Subsection"/>
      </w:pPr>
      <w:r>
        <w:tab/>
      </w:r>
      <w:r>
        <w:tab/>
        <w:t>a crime</w:t>
      </w:r>
    </w:p>
    <w:p>
      <w:pPr>
        <w:pStyle w:val="BlankClose"/>
      </w:pPr>
    </w:p>
    <w:p>
      <w:pPr>
        <w:pStyle w:val="Subsection"/>
      </w:pPr>
      <w:r>
        <w:tab/>
        <w:t>(3)</w:t>
      </w:r>
      <w:r>
        <w:tab/>
        <w:t>At the end of section 6 insert:</w:t>
      </w:r>
    </w:p>
    <w:p>
      <w:pPr>
        <w:pStyle w:val="BlankOpen"/>
      </w:pPr>
    </w:p>
    <w:p>
      <w:pPr>
        <w:pStyle w:val="zPermNoteHeading"/>
      </w:pPr>
      <w:r>
        <w:tab/>
        <w:t xml:space="preserve">Note for this section: </w:t>
      </w:r>
    </w:p>
    <w:p>
      <w:pPr>
        <w:pStyle w:val="zPermNoteText"/>
      </w:pPr>
      <w:r>
        <w:tab/>
      </w:r>
      <w:r>
        <w:tab/>
        <w:t xml:space="preserve">The </w:t>
      </w:r>
      <w:r>
        <w:rPr>
          <w:i/>
        </w:rPr>
        <w:t>Young Offenders Act 1994</w:t>
      </w:r>
      <w:r>
        <w:t xml:space="preserve"> section 22(1) does not allow a member of the Police Force to caution a young person (as defined in section 3(1) of that Act) instead of laying a charge in relation to a crime under this section.</w:t>
      </w:r>
    </w:p>
    <w:p>
      <w:pPr>
        <w:pStyle w:val="BlankClose"/>
      </w:pPr>
    </w:p>
    <w:p>
      <w:pPr>
        <w:pStyle w:val="Heading5"/>
      </w:pPr>
      <w:bookmarkStart w:id="59" w:name="_Toc178259185"/>
      <w:r>
        <w:rPr>
          <w:rStyle w:val="CharSectno"/>
        </w:rPr>
        <w:t>15</w:t>
      </w:r>
      <w:r>
        <w:t>.</w:t>
      </w:r>
      <w:r>
        <w:tab/>
        <w:t>Sections 6A and 6B inserted</w:t>
      </w:r>
      <w:bookmarkEnd w:id="59"/>
    </w:p>
    <w:p>
      <w:pPr>
        <w:pStyle w:val="Subsection"/>
        <w:keepNext/>
      </w:pPr>
      <w:r>
        <w:tab/>
      </w:r>
      <w:r>
        <w:tab/>
        <w:t>After section 6 insert:</w:t>
      </w:r>
    </w:p>
    <w:p>
      <w:pPr>
        <w:pStyle w:val="BlankOpen"/>
      </w:pPr>
    </w:p>
    <w:p>
      <w:pPr>
        <w:pStyle w:val="zHeading5"/>
      </w:pPr>
      <w:bookmarkStart w:id="60" w:name="_Toc178259186"/>
      <w:r>
        <w:t>6A.</w:t>
      </w:r>
      <w:r>
        <w:tab/>
        <w:t>Edged weapons</w:t>
      </w:r>
      <w:bookmarkEnd w:id="60"/>
    </w:p>
    <w:p>
      <w:pPr>
        <w:pStyle w:val="zSubsection"/>
      </w:pPr>
      <w:r>
        <w:tab/>
        <w:t>(1)</w:t>
      </w:r>
      <w:r>
        <w:tab/>
        <w:t>Except as provided in section 10, a person who, without a lawful excuse, carries or possesses an edged weapon commits an offence.</w:t>
      </w:r>
    </w:p>
    <w:p>
      <w:pPr>
        <w:pStyle w:val="zPenstart"/>
      </w:pPr>
      <w:r>
        <w:tab/>
        <w:t>Penalty for this subsection: imprisonment for 3 years and a fine of $36 000.</w:t>
      </w:r>
    </w:p>
    <w:p>
      <w:pPr>
        <w:pStyle w:val="zSubsection"/>
      </w:pPr>
      <w:r>
        <w:tab/>
        <w:t>(2)</w:t>
      </w:r>
      <w:r>
        <w:tab/>
        <w:t xml:space="preserve">Except as provided in section 10, a person who has a lawful excuse to carry or possess an edged weapon commits an offence if the person carries or possesses it in a manner that could reasonably be expected to cause someone — </w:t>
      </w:r>
    </w:p>
    <w:p>
      <w:pPr>
        <w:pStyle w:val="zIndenta"/>
      </w:pPr>
      <w:r>
        <w:tab/>
        <w:t>(a)</w:t>
      </w:r>
      <w:r>
        <w:tab/>
        <w:t>to be injured or disabled; or</w:t>
      </w:r>
    </w:p>
    <w:p>
      <w:pPr>
        <w:pStyle w:val="zIndenta"/>
      </w:pPr>
      <w:r>
        <w:tab/>
        <w:t>(b)</w:t>
      </w:r>
      <w:r>
        <w:tab/>
        <w:t>to fear that someone will be injured or disabled.</w:t>
      </w:r>
    </w:p>
    <w:p>
      <w:pPr>
        <w:pStyle w:val="zPenstart"/>
      </w:pPr>
      <w:r>
        <w:tab/>
        <w:t>Penalty for this subsection: imprisonment for 3 years and a fine of $36 000.</w:t>
      </w:r>
    </w:p>
    <w:p>
      <w:pPr>
        <w:pStyle w:val="zPermNoteHeading"/>
      </w:pPr>
      <w:r>
        <w:tab/>
        <w:t xml:space="preserve">Note for this section: </w:t>
      </w:r>
    </w:p>
    <w:p>
      <w:pPr>
        <w:pStyle w:val="zPermNoteText"/>
      </w:pPr>
      <w:r>
        <w:tab/>
      </w:r>
      <w:r>
        <w:tab/>
        <w:t xml:space="preserve">The </w:t>
      </w:r>
      <w:r>
        <w:rPr>
          <w:i/>
        </w:rPr>
        <w:t>Young Offenders Act 1994</w:t>
      </w:r>
      <w:r>
        <w:t xml:space="preserve"> section 22(1) does not allow a member of the Police Force to caution a young person (as defined in section 3(1) of that Act) instead of laying a charge in relation to an offence under this section.</w:t>
      </w:r>
    </w:p>
    <w:p>
      <w:pPr>
        <w:pStyle w:val="zHeading5"/>
      </w:pPr>
      <w:bookmarkStart w:id="61" w:name="_Toc178259187"/>
      <w:r>
        <w:t>6B.</w:t>
      </w:r>
      <w:r>
        <w:tab/>
        <w:t>Selling or supplying edged weapons to children</w:t>
      </w:r>
      <w:bookmarkEnd w:id="61"/>
    </w:p>
    <w:p>
      <w:pPr>
        <w:pStyle w:val="zSubsection"/>
      </w:pPr>
      <w:r>
        <w:tab/>
        <w:t>(1)</w:t>
      </w:r>
      <w:r>
        <w:tab/>
        <w:t>A person who sells an edged weapon to a child commits an offence.</w:t>
      </w:r>
    </w:p>
    <w:p>
      <w:pPr>
        <w:pStyle w:val="zPenstart"/>
      </w:pPr>
      <w:r>
        <w:tab/>
        <w:t>Penalty for this subsection: imprisonment for 3 years and a fine of $36 000.</w:t>
      </w:r>
    </w:p>
    <w:p>
      <w:pPr>
        <w:pStyle w:val="zSubsection"/>
        <w:keepNext/>
      </w:pPr>
      <w:r>
        <w:tab/>
        <w:t>(2)</w:t>
      </w:r>
      <w:r>
        <w:tab/>
        <w:t>A person who supplies an edged weapon to a child commits an offence.</w:t>
      </w:r>
    </w:p>
    <w:p>
      <w:pPr>
        <w:pStyle w:val="zPenstart"/>
      </w:pPr>
      <w:r>
        <w:tab/>
        <w:t>Penalty for this subsection: imprisonment for 3 years and a fine of $36 000.</w:t>
      </w:r>
    </w:p>
    <w:p>
      <w:pPr>
        <w:pStyle w:val="zSubsection"/>
      </w:pPr>
      <w:r>
        <w:tab/>
        <w:t>(3)</w:t>
      </w:r>
      <w:r>
        <w:tab/>
        <w:t>It is a defence to a charge of an offence under subsection (2) to prove the accused believed on reasonable grounds that, at the time the edged weapon was supplied, the child had a lawful excuse to carry or possess the weapon.</w:t>
      </w:r>
    </w:p>
    <w:p>
      <w:pPr>
        <w:pStyle w:val="zPermNoteHeading"/>
      </w:pPr>
      <w:r>
        <w:tab/>
        <w:t xml:space="preserve">Note for this section: </w:t>
      </w:r>
    </w:p>
    <w:p>
      <w:pPr>
        <w:pStyle w:val="zPermNoteText"/>
      </w:pPr>
      <w:r>
        <w:tab/>
      </w:r>
      <w:r>
        <w:tab/>
        <w:t xml:space="preserve">The </w:t>
      </w:r>
      <w:r>
        <w:rPr>
          <w:i/>
        </w:rPr>
        <w:t>Young Offenders Act 1994</w:t>
      </w:r>
      <w:r>
        <w:t xml:space="preserve"> section 22(1) does not allow a member of the Police Force to caution a young person (as defined in section 3(1) of that Act) instead of laying a charge in relation to an offence under this section.</w:t>
      </w:r>
    </w:p>
    <w:p>
      <w:pPr>
        <w:pStyle w:val="BlankClose"/>
      </w:pPr>
    </w:p>
    <w:p>
      <w:pPr>
        <w:pStyle w:val="Heading5"/>
      </w:pPr>
      <w:bookmarkStart w:id="62" w:name="_Toc178259188"/>
      <w:r>
        <w:rPr>
          <w:rStyle w:val="CharSectno"/>
        </w:rPr>
        <w:t>16</w:t>
      </w:r>
      <w:r>
        <w:t>.</w:t>
      </w:r>
      <w:r>
        <w:tab/>
        <w:t>Section 7 amended</w:t>
      </w:r>
      <w:bookmarkEnd w:id="62"/>
    </w:p>
    <w:p>
      <w:pPr>
        <w:pStyle w:val="Subsection"/>
      </w:pPr>
      <w:r>
        <w:tab/>
        <w:t>(1)</w:t>
      </w:r>
      <w:r>
        <w:tab/>
        <w:t>In section 7(1) and (2) in the Penalty delete “Penalty:” and insert:</w:t>
      </w:r>
    </w:p>
    <w:p>
      <w:pPr>
        <w:pStyle w:val="BlankOpen"/>
      </w:pPr>
    </w:p>
    <w:p>
      <w:pPr>
        <w:pStyle w:val="Subsection"/>
      </w:pPr>
      <w:r>
        <w:tab/>
      </w:r>
      <w:r>
        <w:tab/>
        <w:t>Penalty for this subsection:</w:t>
      </w:r>
    </w:p>
    <w:p>
      <w:pPr>
        <w:pStyle w:val="BlankClose"/>
      </w:pPr>
    </w:p>
    <w:p>
      <w:pPr>
        <w:pStyle w:val="Subsection"/>
      </w:pPr>
      <w:r>
        <w:tab/>
        <w:t>(2)</w:t>
      </w:r>
      <w:r>
        <w:tab/>
        <w:t>Delete section 7(3) to (5).</w:t>
      </w:r>
    </w:p>
    <w:p>
      <w:pPr>
        <w:pStyle w:val="Heading5"/>
      </w:pPr>
      <w:bookmarkStart w:id="63" w:name="_Toc178259189"/>
      <w:r>
        <w:rPr>
          <w:rStyle w:val="CharSectno"/>
        </w:rPr>
        <w:t>17</w:t>
      </w:r>
      <w:r>
        <w:t>.</w:t>
      </w:r>
      <w:r>
        <w:tab/>
        <w:t>Section 8A amended</w:t>
      </w:r>
      <w:bookmarkEnd w:id="63"/>
    </w:p>
    <w:p>
      <w:pPr>
        <w:pStyle w:val="Subsection"/>
      </w:pPr>
      <w:r>
        <w:tab/>
        <w:t>(1)</w:t>
      </w:r>
      <w:r>
        <w:tab/>
        <w:t>Delete section 8A(1).</w:t>
      </w:r>
    </w:p>
    <w:p>
      <w:pPr>
        <w:pStyle w:val="Subsection"/>
      </w:pPr>
      <w:r>
        <w:tab/>
        <w:t>(2)</w:t>
      </w:r>
      <w:r>
        <w:tab/>
        <w:t>In section 8A(2) and (3) in the Penalty delete “Penalty:” and insert:</w:t>
      </w:r>
    </w:p>
    <w:p>
      <w:pPr>
        <w:pStyle w:val="BlankOpen"/>
      </w:pPr>
    </w:p>
    <w:p>
      <w:pPr>
        <w:pStyle w:val="Subsection"/>
      </w:pPr>
      <w:r>
        <w:tab/>
      </w:r>
      <w:r>
        <w:tab/>
        <w:t>Penalty for this subsection:</w:t>
      </w:r>
    </w:p>
    <w:p>
      <w:pPr>
        <w:pStyle w:val="BlankClose"/>
      </w:pPr>
    </w:p>
    <w:p>
      <w:pPr>
        <w:pStyle w:val="Subsection"/>
        <w:keepNext/>
        <w:spacing w:before="120"/>
      </w:pPr>
      <w:r>
        <w:tab/>
        <w:t>(3)</w:t>
      </w:r>
      <w:r>
        <w:tab/>
        <w:t>Delete section 8A(4) and insert:</w:t>
      </w:r>
    </w:p>
    <w:p>
      <w:pPr>
        <w:pStyle w:val="BlankOpen"/>
      </w:pPr>
    </w:p>
    <w:p>
      <w:pPr>
        <w:pStyle w:val="zSubsection"/>
      </w:pPr>
      <w:r>
        <w:tab/>
        <w:t>(4)</w:t>
      </w:r>
      <w:r>
        <w:tab/>
        <w:t>It is a defence to a charge of an offence under subsection (3) to prove the accused believed on reasonable grounds that, at the time the controlled weapon was supplied, the child had a lawful excuse to carry or possess the weapon.</w:t>
      </w:r>
    </w:p>
    <w:p>
      <w:pPr>
        <w:pStyle w:val="BlankClose"/>
      </w:pPr>
    </w:p>
    <w:p>
      <w:pPr>
        <w:pStyle w:val="SectAltNote"/>
      </w:pPr>
      <w:r>
        <w:tab/>
        <w:t>Note: The heading to amended section 8A is to read:</w:t>
      </w:r>
    </w:p>
    <w:p>
      <w:pPr>
        <w:pStyle w:val="SectAltHeading"/>
      </w:pPr>
      <w:r>
        <w:tab/>
      </w:r>
      <w:r>
        <w:tab/>
        <w:t>Selling or supplying controlled weapons to children</w:t>
      </w:r>
    </w:p>
    <w:p>
      <w:pPr>
        <w:pStyle w:val="Heading5"/>
      </w:pPr>
      <w:bookmarkStart w:id="64" w:name="_Toc178259190"/>
      <w:r>
        <w:rPr>
          <w:rStyle w:val="CharSectno"/>
        </w:rPr>
        <w:t>18</w:t>
      </w:r>
      <w:r>
        <w:t>.</w:t>
      </w:r>
      <w:r>
        <w:tab/>
        <w:t>Section 8 amended</w:t>
      </w:r>
      <w:bookmarkEnd w:id="64"/>
    </w:p>
    <w:p>
      <w:pPr>
        <w:pStyle w:val="Subsection"/>
        <w:spacing w:before="120"/>
      </w:pPr>
      <w:r>
        <w:tab/>
      </w:r>
      <w:r>
        <w:tab/>
        <w:t>Delete section 8(1) and insert:</w:t>
      </w:r>
    </w:p>
    <w:p>
      <w:pPr>
        <w:pStyle w:val="BlankOpen"/>
      </w:pPr>
    </w:p>
    <w:p>
      <w:pPr>
        <w:pStyle w:val="zSubsection"/>
      </w:pPr>
      <w:r>
        <w:tab/>
        <w:t>(1)</w:t>
      </w:r>
      <w:r>
        <w:tab/>
        <w:t xml:space="preserve">Except as provided in subsections (3) and (5) and section 10, a person commits an offence if the person carries or possesses an article, not being a firearm, a prohibited weapon, an edged weapon or a controlled weapon, with the intention of using it, whether or not for defence — </w:t>
      </w:r>
    </w:p>
    <w:p>
      <w:pPr>
        <w:pStyle w:val="zIndenta"/>
      </w:pPr>
      <w:r>
        <w:tab/>
        <w:t>(a)</w:t>
      </w:r>
      <w:r>
        <w:tab/>
        <w:t>to injure or disable any person; or</w:t>
      </w:r>
    </w:p>
    <w:p>
      <w:pPr>
        <w:pStyle w:val="zIndenta"/>
        <w:keepNext/>
      </w:pPr>
      <w:r>
        <w:tab/>
        <w:t>(b)</w:t>
      </w:r>
      <w:r>
        <w:tab/>
        <w:t>to cause any person to fear that someone will be injured or disabled by that use.</w:t>
      </w:r>
    </w:p>
    <w:p>
      <w:pPr>
        <w:pStyle w:val="zPenstart"/>
        <w:keepNext/>
      </w:pPr>
      <w:r>
        <w:tab/>
        <w:t>Penalty for this subsection: imprisonment for 2 years and a fine of $24 000.</w:t>
      </w:r>
    </w:p>
    <w:p>
      <w:pPr>
        <w:pStyle w:val="BlankClose"/>
      </w:pPr>
    </w:p>
    <w:p>
      <w:pPr>
        <w:pStyle w:val="Heading5"/>
      </w:pPr>
      <w:bookmarkStart w:id="65" w:name="_Toc178259191"/>
      <w:r>
        <w:rPr>
          <w:rStyle w:val="CharSectno"/>
        </w:rPr>
        <w:t>19</w:t>
      </w:r>
      <w:r>
        <w:t>.</w:t>
      </w:r>
      <w:r>
        <w:tab/>
        <w:t>Section 9 replaced</w:t>
      </w:r>
      <w:bookmarkEnd w:id="65"/>
    </w:p>
    <w:p>
      <w:pPr>
        <w:pStyle w:val="Subsection"/>
        <w:keepNext/>
        <w:spacing w:before="120"/>
      </w:pPr>
      <w:r>
        <w:tab/>
      </w:r>
      <w:r>
        <w:tab/>
        <w:t xml:space="preserve">Delete section 9 and insert: </w:t>
      </w:r>
    </w:p>
    <w:p>
      <w:pPr>
        <w:pStyle w:val="BlankOpen"/>
      </w:pPr>
    </w:p>
    <w:p>
      <w:pPr>
        <w:pStyle w:val="zHeading5"/>
      </w:pPr>
      <w:bookmarkStart w:id="66" w:name="_Toc178259192"/>
      <w:r>
        <w:t>9.</w:t>
      </w:r>
      <w:r>
        <w:tab/>
      </w:r>
      <w:r>
        <w:rPr>
          <w:i/>
        </w:rPr>
        <w:t>The Criminal Code</w:t>
      </w:r>
      <w:r>
        <w:t xml:space="preserve"> s. 25 and 31 not affected</w:t>
      </w:r>
      <w:bookmarkEnd w:id="66"/>
    </w:p>
    <w:p>
      <w:pPr>
        <w:pStyle w:val="zSubsection"/>
        <w:keepNext/>
      </w:pPr>
      <w:r>
        <w:tab/>
      </w:r>
      <w:r>
        <w:tab/>
        <w:t xml:space="preserve">The following provisions of this Act do not affect the operation of </w:t>
      </w:r>
      <w:r>
        <w:rPr>
          <w:i/>
          <w:iCs/>
        </w:rPr>
        <w:t>The Criminal Code</w:t>
      </w:r>
      <w:r>
        <w:t xml:space="preserve"> sections 25 and 31 — </w:t>
      </w:r>
    </w:p>
    <w:p>
      <w:pPr>
        <w:pStyle w:val="zIndenta"/>
        <w:keepNext/>
        <w:keepLines/>
      </w:pPr>
      <w:r>
        <w:tab/>
        <w:t>(a)</w:t>
      </w:r>
      <w:r>
        <w:tab/>
        <w:t xml:space="preserve">paragraph (b) of the definition of </w:t>
      </w:r>
      <w:r>
        <w:rPr>
          <w:b/>
          <w:i/>
        </w:rPr>
        <w:t>lawful excuse</w:t>
      </w:r>
      <w:r>
        <w:t xml:space="preserve"> in section 5A(1);</w:t>
      </w:r>
    </w:p>
    <w:p>
      <w:pPr>
        <w:pStyle w:val="zIndenta"/>
      </w:pPr>
      <w:r>
        <w:tab/>
        <w:t>(b)</w:t>
      </w:r>
      <w:r>
        <w:tab/>
        <w:t>section 8(1).</w:t>
      </w:r>
    </w:p>
    <w:p>
      <w:pPr>
        <w:pStyle w:val="BlankClose"/>
      </w:pPr>
    </w:p>
    <w:p>
      <w:pPr>
        <w:pStyle w:val="Heading5"/>
      </w:pPr>
      <w:bookmarkStart w:id="67" w:name="_Toc178259193"/>
      <w:r>
        <w:rPr>
          <w:rStyle w:val="CharSectno"/>
        </w:rPr>
        <w:t>20</w:t>
      </w:r>
      <w:r>
        <w:t>.</w:t>
      </w:r>
      <w:r>
        <w:tab/>
        <w:t>Section 10 amended</w:t>
      </w:r>
      <w:bookmarkEnd w:id="67"/>
    </w:p>
    <w:p>
      <w:pPr>
        <w:pStyle w:val="Subsection"/>
      </w:pPr>
      <w:r>
        <w:tab/>
        <w:t>(1)</w:t>
      </w:r>
      <w:r>
        <w:tab/>
        <w:t>In section 10(1) after “section 6,” insert:</w:t>
      </w:r>
    </w:p>
    <w:p>
      <w:pPr>
        <w:pStyle w:val="BlankOpen"/>
      </w:pPr>
    </w:p>
    <w:p>
      <w:pPr>
        <w:pStyle w:val="Subsection"/>
      </w:pPr>
      <w:r>
        <w:tab/>
      </w:r>
      <w:r>
        <w:tab/>
        <w:t>6A,</w:t>
      </w:r>
    </w:p>
    <w:p>
      <w:pPr>
        <w:pStyle w:val="BlankClose"/>
      </w:pPr>
    </w:p>
    <w:p>
      <w:pPr>
        <w:pStyle w:val="Subsection"/>
        <w:keepNext/>
      </w:pPr>
      <w:r>
        <w:tab/>
        <w:t>(2)</w:t>
      </w:r>
      <w:r>
        <w:tab/>
        <w:t>In section 10(2) delete “section 6” and insert:</w:t>
      </w:r>
    </w:p>
    <w:p>
      <w:pPr>
        <w:pStyle w:val="BlankOpen"/>
      </w:pPr>
    </w:p>
    <w:p>
      <w:pPr>
        <w:pStyle w:val="Subsection"/>
      </w:pPr>
      <w:r>
        <w:tab/>
      </w:r>
      <w:r>
        <w:tab/>
        <w:t>section 6, 6A(1)</w:t>
      </w:r>
    </w:p>
    <w:p>
      <w:pPr>
        <w:pStyle w:val="BlankClose"/>
      </w:pPr>
    </w:p>
    <w:p>
      <w:pPr>
        <w:pStyle w:val="Subsection"/>
      </w:pPr>
      <w:r>
        <w:tab/>
        <w:t>(3)</w:t>
      </w:r>
      <w:r>
        <w:tab/>
        <w:t>In section 10(3) after “section 6,” insert:</w:t>
      </w:r>
    </w:p>
    <w:p>
      <w:pPr>
        <w:pStyle w:val="BlankOpen"/>
      </w:pPr>
    </w:p>
    <w:p>
      <w:pPr>
        <w:pStyle w:val="Subsection"/>
      </w:pPr>
      <w:r>
        <w:tab/>
      </w:r>
      <w:r>
        <w:tab/>
        <w:t>6A, 6B,</w:t>
      </w:r>
    </w:p>
    <w:p>
      <w:pPr>
        <w:pStyle w:val="BlankClose"/>
      </w:pPr>
    </w:p>
    <w:p>
      <w:pPr>
        <w:pStyle w:val="Heading5"/>
      </w:pPr>
      <w:bookmarkStart w:id="68" w:name="_Toc178259194"/>
      <w:r>
        <w:rPr>
          <w:rStyle w:val="CharSectno"/>
        </w:rPr>
        <w:t>21</w:t>
      </w:r>
      <w:r>
        <w:t>.</w:t>
      </w:r>
      <w:r>
        <w:tab/>
        <w:t>Section 11 amended</w:t>
      </w:r>
      <w:bookmarkEnd w:id="68"/>
    </w:p>
    <w:p>
      <w:pPr>
        <w:pStyle w:val="Subsection"/>
        <w:keepNext/>
      </w:pPr>
      <w:r>
        <w:tab/>
      </w:r>
      <w:r>
        <w:tab/>
        <w:t xml:space="preserve">In section 11 after “section 6,” insert: </w:t>
      </w:r>
    </w:p>
    <w:p>
      <w:pPr>
        <w:pStyle w:val="BlankOpen"/>
      </w:pPr>
    </w:p>
    <w:p>
      <w:pPr>
        <w:pStyle w:val="Subsection"/>
      </w:pPr>
      <w:r>
        <w:tab/>
      </w:r>
      <w:r>
        <w:tab/>
        <w:t>6A, 6B,</w:t>
      </w:r>
    </w:p>
    <w:p>
      <w:pPr>
        <w:pStyle w:val="BlankClose"/>
      </w:pPr>
    </w:p>
    <w:p>
      <w:pPr>
        <w:pStyle w:val="Heading5"/>
      </w:pPr>
      <w:bookmarkStart w:id="69" w:name="_Toc178259195"/>
      <w:r>
        <w:rPr>
          <w:rStyle w:val="CharSectno"/>
        </w:rPr>
        <w:t>22</w:t>
      </w:r>
      <w:r>
        <w:t>.</w:t>
      </w:r>
      <w:r>
        <w:tab/>
        <w:t>Section 12 amended</w:t>
      </w:r>
      <w:bookmarkEnd w:id="69"/>
    </w:p>
    <w:p>
      <w:pPr>
        <w:pStyle w:val="Subsection"/>
      </w:pPr>
      <w:r>
        <w:tab/>
      </w:r>
      <w:r>
        <w:tab/>
        <w:t xml:space="preserve">In section 12(1) in the definition of </w:t>
      </w:r>
      <w:r>
        <w:rPr>
          <w:b/>
          <w:bCs/>
          <w:i/>
          <w:iCs/>
        </w:rPr>
        <w:t>offence</w:t>
      </w:r>
      <w:r>
        <w:t xml:space="preserve"> after “section 6,” insert:</w:t>
      </w:r>
    </w:p>
    <w:p>
      <w:pPr>
        <w:pStyle w:val="BlankOpen"/>
      </w:pPr>
    </w:p>
    <w:p>
      <w:pPr>
        <w:pStyle w:val="Subsection"/>
      </w:pPr>
      <w:r>
        <w:tab/>
      </w:r>
      <w:r>
        <w:tab/>
        <w:t>6A, 6B,</w:t>
      </w:r>
    </w:p>
    <w:p>
      <w:pPr>
        <w:pStyle w:val="BlankClose"/>
      </w:pPr>
    </w:p>
    <w:p>
      <w:pPr>
        <w:pStyle w:val="Heading2"/>
      </w:pPr>
      <w:bookmarkStart w:id="70" w:name="_Toc178259060"/>
      <w:bookmarkStart w:id="71" w:name="_Toc178259128"/>
      <w:bookmarkStart w:id="72" w:name="_Toc178259196"/>
      <w:r>
        <w:rPr>
          <w:rStyle w:val="CharPartNo"/>
        </w:rPr>
        <w:t>Part 4</w:t>
      </w:r>
      <w:r>
        <w:rPr>
          <w:rStyle w:val="CharDivNo"/>
        </w:rPr>
        <w:t> </w:t>
      </w:r>
      <w:r>
        <w:t>—</w:t>
      </w:r>
      <w:r>
        <w:rPr>
          <w:rStyle w:val="CharDivText"/>
        </w:rPr>
        <w:t> </w:t>
      </w:r>
      <w:r>
        <w:rPr>
          <w:rStyle w:val="CharPartText"/>
          <w:i/>
          <w:iCs/>
        </w:rPr>
        <w:t>Young Offenders Act 1994</w:t>
      </w:r>
      <w:r>
        <w:rPr>
          <w:rStyle w:val="CharPartText"/>
        </w:rPr>
        <w:t xml:space="preserve"> amended</w:t>
      </w:r>
      <w:bookmarkEnd w:id="70"/>
      <w:bookmarkEnd w:id="71"/>
      <w:bookmarkEnd w:id="72"/>
    </w:p>
    <w:p>
      <w:pPr>
        <w:pStyle w:val="Heading5"/>
      </w:pPr>
      <w:bookmarkStart w:id="73" w:name="_Toc178259197"/>
      <w:r>
        <w:rPr>
          <w:rStyle w:val="CharSectno"/>
        </w:rPr>
        <w:t>23</w:t>
      </w:r>
      <w:r>
        <w:t>.</w:t>
      </w:r>
      <w:r>
        <w:tab/>
        <w:t>Act amended</w:t>
      </w:r>
      <w:bookmarkEnd w:id="73"/>
    </w:p>
    <w:p>
      <w:pPr>
        <w:pStyle w:val="Subsection"/>
      </w:pPr>
      <w:r>
        <w:tab/>
      </w:r>
      <w:r>
        <w:tab/>
        <w:t xml:space="preserve">This Part amends the </w:t>
      </w:r>
      <w:r>
        <w:rPr>
          <w:i/>
        </w:rPr>
        <w:t>Young Offenders Act 1994</w:t>
      </w:r>
      <w:r>
        <w:t>.</w:t>
      </w:r>
    </w:p>
    <w:p>
      <w:pPr>
        <w:pStyle w:val="Heading5"/>
      </w:pPr>
      <w:bookmarkStart w:id="74" w:name="_Toc178259198"/>
      <w:r>
        <w:rPr>
          <w:rStyle w:val="CharSectno"/>
        </w:rPr>
        <w:t>24</w:t>
      </w:r>
      <w:r>
        <w:t>.</w:t>
      </w:r>
      <w:r>
        <w:tab/>
        <w:t>Section 22 amended</w:t>
      </w:r>
      <w:bookmarkEnd w:id="74"/>
    </w:p>
    <w:p>
      <w:pPr>
        <w:pStyle w:val="Subsection"/>
      </w:pPr>
      <w:r>
        <w:tab/>
      </w:r>
      <w:r>
        <w:tab/>
        <w:t>Delete section 22(3) and insert:</w:t>
      </w:r>
    </w:p>
    <w:p>
      <w:pPr>
        <w:pStyle w:val="BlankOpen"/>
      </w:pPr>
    </w:p>
    <w:p>
      <w:pPr>
        <w:pStyle w:val="zSubsection"/>
      </w:pPr>
      <w:r>
        <w:tab/>
        <w:t>(3)</w:t>
      </w:r>
      <w:r>
        <w:tab/>
        <w:t xml:space="preserve">Subsection (1) does not allow a member of the Police Force to caution a young person instead of laying a charge if the offence is — </w:t>
      </w:r>
    </w:p>
    <w:p>
      <w:pPr>
        <w:pStyle w:val="zIndenta"/>
      </w:pPr>
      <w:r>
        <w:tab/>
        <w:t>(a)</w:t>
      </w:r>
      <w:r>
        <w:tab/>
        <w:t xml:space="preserve">a Schedule 1 offence or a Schedule 2 offence; or </w:t>
      </w:r>
    </w:p>
    <w:p>
      <w:pPr>
        <w:pStyle w:val="zIndenta"/>
      </w:pPr>
      <w:r>
        <w:tab/>
        <w:t>(b)</w:t>
      </w:r>
      <w:r>
        <w:tab/>
        <w:t xml:space="preserve">an offence under the </w:t>
      </w:r>
      <w:r>
        <w:rPr>
          <w:i/>
        </w:rPr>
        <w:t>Weapons Act 1999</w:t>
      </w:r>
      <w:r>
        <w:t xml:space="preserve"> section 6(1), 6A(1) or (2) or 6B(1) or (2). </w:t>
      </w:r>
    </w:p>
    <w:p>
      <w:pPr>
        <w:pStyle w:val="BlankClose"/>
      </w:pPr>
    </w:p>
    <w:p>
      <w:pPr>
        <w:pStyle w:val="SectAltNote"/>
      </w:pPr>
      <w:r>
        <w:tab/>
        <w:t>Note: The heading to amended section 22 is to read:</w:t>
      </w:r>
    </w:p>
    <w:p>
      <w:pPr>
        <w:pStyle w:val="SectAltHeading"/>
      </w:pPr>
      <w:r>
        <w:tab/>
      </w:r>
      <w:r>
        <w:tab/>
        <w:t>Cautions may be given except for certain offences</w:t>
      </w:r>
    </w:p>
    <w:p>
      <w:pPr>
        <w:pStyle w:val="Heading2"/>
      </w:pPr>
      <w:bookmarkStart w:id="75" w:name="_Toc178259063"/>
      <w:bookmarkStart w:id="76" w:name="_Toc178259131"/>
      <w:bookmarkStart w:id="77" w:name="_Toc178259199"/>
      <w:r>
        <w:rPr>
          <w:rStyle w:val="CharPartNo"/>
        </w:rPr>
        <w:t>Part 5</w:t>
      </w:r>
      <w:r>
        <w:t> — </w:t>
      </w:r>
      <w:r>
        <w:rPr>
          <w:rStyle w:val="CharPartText"/>
        </w:rPr>
        <w:t>Other Acts amended</w:t>
      </w:r>
      <w:bookmarkEnd w:id="75"/>
      <w:bookmarkEnd w:id="76"/>
      <w:bookmarkEnd w:id="77"/>
    </w:p>
    <w:p>
      <w:pPr>
        <w:pStyle w:val="Heading3"/>
      </w:pPr>
      <w:bookmarkStart w:id="78" w:name="_Toc178259064"/>
      <w:bookmarkStart w:id="79" w:name="_Toc178259132"/>
      <w:bookmarkStart w:id="80" w:name="_Toc178259200"/>
      <w:r>
        <w:rPr>
          <w:rStyle w:val="CharDivNo"/>
        </w:rPr>
        <w:t>Division 1</w:t>
      </w:r>
      <w:r>
        <w:t> — </w:t>
      </w:r>
      <w:r>
        <w:rPr>
          <w:rStyle w:val="CharDivText"/>
          <w:i/>
          <w:iCs/>
        </w:rPr>
        <w:t>Children and Community Services Act 2004</w:t>
      </w:r>
      <w:r>
        <w:rPr>
          <w:rStyle w:val="CharDivText"/>
        </w:rPr>
        <w:t xml:space="preserve"> amended</w:t>
      </w:r>
      <w:bookmarkEnd w:id="78"/>
      <w:bookmarkEnd w:id="79"/>
      <w:bookmarkEnd w:id="80"/>
    </w:p>
    <w:p>
      <w:pPr>
        <w:pStyle w:val="Heading5"/>
      </w:pPr>
      <w:bookmarkStart w:id="81" w:name="_Toc178259201"/>
      <w:r>
        <w:rPr>
          <w:rStyle w:val="CharSectno"/>
        </w:rPr>
        <w:t>25</w:t>
      </w:r>
      <w:r>
        <w:t>.</w:t>
      </w:r>
      <w:r>
        <w:tab/>
        <w:t>Act amended</w:t>
      </w:r>
      <w:bookmarkEnd w:id="81"/>
    </w:p>
    <w:p>
      <w:pPr>
        <w:pStyle w:val="Subsection"/>
      </w:pPr>
      <w:r>
        <w:tab/>
      </w:r>
      <w:r>
        <w:tab/>
        <w:t xml:space="preserve">This Division amends the </w:t>
      </w:r>
      <w:r>
        <w:rPr>
          <w:i/>
          <w:iCs/>
        </w:rPr>
        <w:t>Children and Community Services Act 2004</w:t>
      </w:r>
      <w:r>
        <w:t>.</w:t>
      </w:r>
    </w:p>
    <w:p>
      <w:pPr>
        <w:pStyle w:val="Heading5"/>
      </w:pPr>
      <w:bookmarkStart w:id="82" w:name="_Toc178259202"/>
      <w:r>
        <w:rPr>
          <w:rStyle w:val="CharSectno"/>
        </w:rPr>
        <w:t>26</w:t>
      </w:r>
      <w:r>
        <w:t>.</w:t>
      </w:r>
      <w:r>
        <w:tab/>
        <w:t>Section 112 amended</w:t>
      </w:r>
      <w:bookmarkEnd w:id="82"/>
    </w:p>
    <w:p>
      <w:pPr>
        <w:pStyle w:val="Subsection"/>
      </w:pPr>
      <w:r>
        <w:tab/>
      </w:r>
      <w:r>
        <w:tab/>
        <w:t xml:space="preserve">In section 112 in the definition of </w:t>
      </w:r>
      <w:r>
        <w:rPr>
          <w:b/>
          <w:i/>
        </w:rPr>
        <w:t>weapon</w:t>
      </w:r>
      <w:r>
        <w:t xml:space="preserve"> delete “controlled weapon” and insert:</w:t>
      </w:r>
    </w:p>
    <w:p>
      <w:pPr>
        <w:pStyle w:val="BlankOpen"/>
      </w:pPr>
    </w:p>
    <w:p>
      <w:pPr>
        <w:pStyle w:val="Subsection"/>
      </w:pPr>
      <w:r>
        <w:tab/>
      </w:r>
      <w:r>
        <w:tab/>
        <w:t>controlled weapon, an edged weapon</w:t>
      </w:r>
    </w:p>
    <w:p>
      <w:pPr>
        <w:pStyle w:val="BlankClose"/>
      </w:pPr>
    </w:p>
    <w:p>
      <w:pPr>
        <w:pStyle w:val="Heading3"/>
      </w:pPr>
      <w:bookmarkStart w:id="83" w:name="_Toc178259067"/>
      <w:bookmarkStart w:id="84" w:name="_Toc178259135"/>
      <w:bookmarkStart w:id="85" w:name="_Toc178259203"/>
      <w:r>
        <w:rPr>
          <w:rStyle w:val="CharDivNo"/>
        </w:rPr>
        <w:t>Division 2</w:t>
      </w:r>
      <w:r>
        <w:t> — </w:t>
      </w:r>
      <w:r>
        <w:rPr>
          <w:rStyle w:val="CharDivText"/>
          <w:i/>
          <w:iCs/>
        </w:rPr>
        <w:t>Firearms Act 1973</w:t>
      </w:r>
      <w:r>
        <w:rPr>
          <w:rStyle w:val="CharDivText"/>
        </w:rPr>
        <w:t xml:space="preserve"> amended</w:t>
      </w:r>
      <w:bookmarkEnd w:id="83"/>
      <w:bookmarkEnd w:id="84"/>
      <w:bookmarkEnd w:id="85"/>
    </w:p>
    <w:p>
      <w:pPr>
        <w:pStyle w:val="Heading5"/>
      </w:pPr>
      <w:bookmarkStart w:id="86" w:name="_Toc178259204"/>
      <w:r>
        <w:rPr>
          <w:rStyle w:val="CharSectno"/>
        </w:rPr>
        <w:t>27</w:t>
      </w:r>
      <w:r>
        <w:t>.</w:t>
      </w:r>
      <w:r>
        <w:tab/>
        <w:t>Act amended</w:t>
      </w:r>
      <w:bookmarkEnd w:id="86"/>
    </w:p>
    <w:p>
      <w:pPr>
        <w:pStyle w:val="Subsection"/>
      </w:pPr>
      <w:r>
        <w:tab/>
      </w:r>
      <w:r>
        <w:tab/>
        <w:t xml:space="preserve">This Division amends the </w:t>
      </w:r>
      <w:r>
        <w:rPr>
          <w:i/>
          <w:iCs/>
        </w:rPr>
        <w:t>Firearms Act 1973</w:t>
      </w:r>
      <w:r>
        <w:t>.</w:t>
      </w:r>
    </w:p>
    <w:p>
      <w:pPr>
        <w:pStyle w:val="Heading5"/>
      </w:pPr>
      <w:bookmarkStart w:id="87" w:name="_Toc178259205"/>
      <w:r>
        <w:rPr>
          <w:rStyle w:val="CharSectno"/>
        </w:rPr>
        <w:t>28</w:t>
      </w:r>
      <w:r>
        <w:t>.</w:t>
      </w:r>
      <w:r>
        <w:tab/>
        <w:t>Section 4 amended</w:t>
      </w:r>
      <w:bookmarkEnd w:id="87"/>
    </w:p>
    <w:p>
      <w:pPr>
        <w:pStyle w:val="Subsection"/>
      </w:pPr>
      <w:r>
        <w:tab/>
      </w:r>
      <w:r>
        <w:tab/>
        <w:t xml:space="preserve">In section 4 in the definition of </w:t>
      </w:r>
      <w:r>
        <w:rPr>
          <w:b/>
          <w:bCs/>
          <w:i/>
          <w:iCs/>
        </w:rPr>
        <w:t>firearm</w:t>
      </w:r>
      <w:r>
        <w:t xml:space="preserve"> paragraph (b)(i) delete “prohibited weapon” and insert:</w:t>
      </w:r>
    </w:p>
    <w:p>
      <w:pPr>
        <w:pStyle w:val="BlankOpen"/>
      </w:pPr>
    </w:p>
    <w:p>
      <w:pPr>
        <w:pStyle w:val="Subsection"/>
      </w:pPr>
      <w:r>
        <w:tab/>
      </w:r>
      <w:r>
        <w:tab/>
        <w:t>prohibited weapon, an edged weapon</w:t>
      </w:r>
    </w:p>
    <w:p>
      <w:pPr>
        <w:pStyle w:val="BlankClose"/>
      </w:pPr>
    </w:p>
    <w:p>
      <w:pPr>
        <w:pStyle w:val="Heading3"/>
        <w:keepNext w:val="0"/>
      </w:pPr>
      <w:bookmarkStart w:id="88" w:name="_Toc178259070"/>
      <w:bookmarkStart w:id="89" w:name="_Toc178259138"/>
      <w:bookmarkStart w:id="90" w:name="_Toc178259206"/>
      <w:r>
        <w:rPr>
          <w:rStyle w:val="CharDivNo"/>
        </w:rPr>
        <w:t>Division 3</w:t>
      </w:r>
      <w:r>
        <w:t> — </w:t>
      </w:r>
      <w:r>
        <w:rPr>
          <w:rStyle w:val="CharDivText"/>
          <w:i/>
          <w:iCs/>
        </w:rPr>
        <w:t>Firearms Act 2024</w:t>
      </w:r>
      <w:r>
        <w:rPr>
          <w:rStyle w:val="CharDivText"/>
        </w:rPr>
        <w:t xml:space="preserve"> amended</w:t>
      </w:r>
      <w:bookmarkEnd w:id="88"/>
      <w:bookmarkEnd w:id="89"/>
      <w:bookmarkEnd w:id="90"/>
    </w:p>
    <w:p>
      <w:pPr>
        <w:pStyle w:val="Heading5"/>
        <w:keepNext w:val="0"/>
      </w:pPr>
      <w:bookmarkStart w:id="91" w:name="_Toc178259207"/>
      <w:r>
        <w:rPr>
          <w:rStyle w:val="CharSectno"/>
        </w:rPr>
        <w:t>29</w:t>
      </w:r>
      <w:r>
        <w:t>.</w:t>
      </w:r>
      <w:r>
        <w:tab/>
        <w:t>Act amended</w:t>
      </w:r>
      <w:bookmarkEnd w:id="91"/>
    </w:p>
    <w:p>
      <w:pPr>
        <w:pStyle w:val="Subsection"/>
      </w:pPr>
      <w:r>
        <w:tab/>
      </w:r>
      <w:r>
        <w:tab/>
        <w:t xml:space="preserve">This Division amends the </w:t>
      </w:r>
      <w:r>
        <w:rPr>
          <w:i/>
          <w:iCs/>
        </w:rPr>
        <w:t>Firearms Act 2024</w:t>
      </w:r>
      <w:r>
        <w:t>.</w:t>
      </w:r>
    </w:p>
    <w:p>
      <w:pPr>
        <w:pStyle w:val="Heading5"/>
      </w:pPr>
      <w:bookmarkStart w:id="92" w:name="_Toc178259208"/>
      <w:r>
        <w:rPr>
          <w:rStyle w:val="CharSectno"/>
        </w:rPr>
        <w:t>30</w:t>
      </w:r>
      <w:r>
        <w:t>.</w:t>
      </w:r>
      <w:r>
        <w:tab/>
        <w:t>Section 6 amended</w:t>
      </w:r>
      <w:bookmarkEnd w:id="92"/>
    </w:p>
    <w:p>
      <w:pPr>
        <w:pStyle w:val="Subsection"/>
      </w:pPr>
      <w:r>
        <w:tab/>
      </w:r>
      <w:r>
        <w:tab/>
        <w:t>In section 6(3)(b) delete “prohibited weapon” and insert:</w:t>
      </w:r>
    </w:p>
    <w:p>
      <w:pPr>
        <w:pStyle w:val="BlankOpen"/>
      </w:pPr>
    </w:p>
    <w:p>
      <w:pPr>
        <w:pStyle w:val="Subsection"/>
      </w:pPr>
      <w:r>
        <w:tab/>
      </w:r>
      <w:r>
        <w:tab/>
        <w:t>prohibited weapon, an edged weapon</w:t>
      </w:r>
    </w:p>
    <w:p>
      <w:pPr>
        <w:pStyle w:val="BlankClose"/>
      </w:pPr>
    </w:p>
    <w:p>
      <w:pPr>
        <w:pStyle w:val="Heading3"/>
      </w:pPr>
      <w:bookmarkStart w:id="93" w:name="_Toc178259073"/>
      <w:bookmarkStart w:id="94" w:name="_Toc178259141"/>
      <w:bookmarkStart w:id="95" w:name="_Toc178259209"/>
      <w:r>
        <w:rPr>
          <w:rStyle w:val="CharDivNo"/>
        </w:rPr>
        <w:t>Division 4</w:t>
      </w:r>
      <w:r>
        <w:t> — </w:t>
      </w:r>
      <w:r>
        <w:rPr>
          <w:rStyle w:val="CharDivText"/>
          <w:i/>
          <w:iCs/>
        </w:rPr>
        <w:t>Major Events Act 2023</w:t>
      </w:r>
      <w:r>
        <w:rPr>
          <w:rStyle w:val="CharDivText"/>
        </w:rPr>
        <w:t xml:space="preserve"> amended</w:t>
      </w:r>
      <w:bookmarkEnd w:id="93"/>
      <w:bookmarkEnd w:id="94"/>
      <w:bookmarkEnd w:id="95"/>
    </w:p>
    <w:p>
      <w:pPr>
        <w:pStyle w:val="Heading5"/>
      </w:pPr>
      <w:bookmarkStart w:id="96" w:name="_Toc178259210"/>
      <w:r>
        <w:rPr>
          <w:rStyle w:val="CharSectno"/>
        </w:rPr>
        <w:t>31</w:t>
      </w:r>
      <w:r>
        <w:t>.</w:t>
      </w:r>
      <w:r>
        <w:tab/>
        <w:t>Act amended</w:t>
      </w:r>
      <w:bookmarkEnd w:id="96"/>
    </w:p>
    <w:p>
      <w:pPr>
        <w:pStyle w:val="Subsection"/>
      </w:pPr>
      <w:r>
        <w:tab/>
      </w:r>
      <w:r>
        <w:tab/>
        <w:t xml:space="preserve">This Division amends the </w:t>
      </w:r>
      <w:r>
        <w:rPr>
          <w:i/>
        </w:rPr>
        <w:t>Major Events Act 2023</w:t>
      </w:r>
      <w:r>
        <w:t>.</w:t>
      </w:r>
    </w:p>
    <w:p>
      <w:pPr>
        <w:pStyle w:val="Heading5"/>
      </w:pPr>
      <w:bookmarkStart w:id="97" w:name="_Toc178259211"/>
      <w:r>
        <w:rPr>
          <w:rStyle w:val="CharSectno"/>
        </w:rPr>
        <w:t>32</w:t>
      </w:r>
      <w:r>
        <w:t>.</w:t>
      </w:r>
      <w:r>
        <w:tab/>
        <w:t>Section 4 amended</w:t>
      </w:r>
      <w:bookmarkEnd w:id="97"/>
    </w:p>
    <w:p>
      <w:pPr>
        <w:pStyle w:val="Subsection"/>
      </w:pPr>
      <w:r>
        <w:tab/>
      </w:r>
      <w:r>
        <w:tab/>
        <w:t>In section 4 insert in alphabetical order:</w:t>
      </w:r>
    </w:p>
    <w:p>
      <w:pPr>
        <w:pStyle w:val="BlankOpen"/>
      </w:pPr>
    </w:p>
    <w:p>
      <w:pPr>
        <w:pStyle w:val="zDefstart"/>
      </w:pPr>
      <w:r>
        <w:tab/>
      </w:r>
      <w:r>
        <w:rPr>
          <w:rStyle w:val="CharDefText"/>
        </w:rPr>
        <w:t>edged weapon</w:t>
      </w:r>
      <w:r>
        <w:t xml:space="preserve"> has the meaning given in the </w:t>
      </w:r>
      <w:r>
        <w:rPr>
          <w:i/>
        </w:rPr>
        <w:t xml:space="preserve">Weapons Act 1999 </w:t>
      </w:r>
      <w:r>
        <w:rPr>
          <w:iCs/>
        </w:rPr>
        <w:t>section 3A</w:t>
      </w:r>
      <w:r>
        <w:t>;</w:t>
      </w:r>
    </w:p>
    <w:p>
      <w:pPr>
        <w:pStyle w:val="BlankClose"/>
      </w:pPr>
    </w:p>
    <w:p>
      <w:pPr>
        <w:pStyle w:val="Heading5"/>
      </w:pPr>
      <w:bookmarkStart w:id="98" w:name="_Toc178259212"/>
      <w:r>
        <w:rPr>
          <w:rStyle w:val="CharSectno"/>
        </w:rPr>
        <w:t>33</w:t>
      </w:r>
      <w:r>
        <w:t>.</w:t>
      </w:r>
      <w:r>
        <w:tab/>
        <w:t>Section 96 amended</w:t>
      </w:r>
      <w:bookmarkEnd w:id="98"/>
    </w:p>
    <w:p>
      <w:pPr>
        <w:pStyle w:val="Subsection"/>
      </w:pPr>
      <w:r>
        <w:tab/>
      </w:r>
      <w:r>
        <w:tab/>
        <w:t>In section 96(5) after “prohibited weapon,” insert:</w:t>
      </w:r>
    </w:p>
    <w:p>
      <w:pPr>
        <w:pStyle w:val="BlankOpen"/>
      </w:pPr>
    </w:p>
    <w:p>
      <w:pPr>
        <w:pStyle w:val="Subsection"/>
      </w:pPr>
      <w:r>
        <w:tab/>
      </w:r>
      <w:r>
        <w:tab/>
        <w:t>an edged weapon,</w:t>
      </w:r>
    </w:p>
    <w:p>
      <w:pPr>
        <w:pStyle w:val="BlankClose"/>
      </w:pPr>
    </w:p>
    <w:p>
      <w:pPr>
        <w:pStyle w:val="Heading5"/>
      </w:pPr>
      <w:bookmarkStart w:id="99" w:name="_Toc178259213"/>
      <w:r>
        <w:rPr>
          <w:rStyle w:val="CharSectno"/>
        </w:rPr>
        <w:t>34</w:t>
      </w:r>
      <w:r>
        <w:t>.</w:t>
      </w:r>
      <w:r>
        <w:tab/>
        <w:t>Section 97 amended</w:t>
      </w:r>
      <w:bookmarkEnd w:id="99"/>
    </w:p>
    <w:p>
      <w:pPr>
        <w:pStyle w:val="Subsection"/>
      </w:pPr>
      <w:r>
        <w:tab/>
      </w:r>
      <w:r>
        <w:tab/>
        <w:t>In section 97(1) after “prohibited weapon,” insert:</w:t>
      </w:r>
    </w:p>
    <w:p>
      <w:pPr>
        <w:pStyle w:val="BlankOpen"/>
      </w:pPr>
    </w:p>
    <w:p>
      <w:pPr>
        <w:pStyle w:val="Subsection"/>
      </w:pPr>
      <w:r>
        <w:tab/>
      </w:r>
      <w:r>
        <w:tab/>
        <w:t>an edged weapon,</w:t>
      </w:r>
    </w:p>
    <w:p>
      <w:pPr>
        <w:pStyle w:val="BlankClose"/>
      </w:pPr>
    </w:p>
    <w:p>
      <w:pPr>
        <w:pStyle w:val="SectAltNote"/>
      </w:pPr>
      <w:r>
        <w:tab/>
        <w:t>Note: The heading to amended section 97 is to read:</w:t>
      </w:r>
    </w:p>
    <w:p>
      <w:pPr>
        <w:pStyle w:val="SectAltHeading"/>
      </w:pPr>
      <w:r>
        <w:tab/>
      </w:r>
      <w:r>
        <w:tab/>
        <w:t>Firearms, explosives and other weapons</w:t>
      </w:r>
    </w:p>
    <w:p>
      <w:pPr>
        <w:pStyle w:val="Heading3"/>
      </w:pPr>
      <w:bookmarkStart w:id="100" w:name="_Toc178259078"/>
      <w:bookmarkStart w:id="101" w:name="_Toc178259146"/>
      <w:bookmarkStart w:id="102" w:name="_Toc178259214"/>
      <w:r>
        <w:rPr>
          <w:rStyle w:val="CharDivNo"/>
        </w:rPr>
        <w:t>Division 5</w:t>
      </w:r>
      <w:r>
        <w:t> — </w:t>
      </w:r>
      <w:r>
        <w:rPr>
          <w:rStyle w:val="CharDivText"/>
          <w:i/>
          <w:iCs/>
        </w:rPr>
        <w:t>Sentencing Act 1995</w:t>
      </w:r>
      <w:r>
        <w:rPr>
          <w:rStyle w:val="CharDivText"/>
        </w:rPr>
        <w:t xml:space="preserve"> amended</w:t>
      </w:r>
      <w:bookmarkEnd w:id="100"/>
      <w:bookmarkEnd w:id="101"/>
      <w:bookmarkEnd w:id="102"/>
    </w:p>
    <w:p>
      <w:pPr>
        <w:pStyle w:val="Heading5"/>
      </w:pPr>
      <w:bookmarkStart w:id="103" w:name="_Toc178259215"/>
      <w:r>
        <w:rPr>
          <w:rStyle w:val="CharSectno"/>
        </w:rPr>
        <w:t>35</w:t>
      </w:r>
      <w:r>
        <w:t>.</w:t>
      </w:r>
      <w:r>
        <w:tab/>
        <w:t>Act amended</w:t>
      </w:r>
      <w:bookmarkEnd w:id="103"/>
    </w:p>
    <w:p>
      <w:pPr>
        <w:pStyle w:val="Subsection"/>
      </w:pPr>
      <w:r>
        <w:tab/>
      </w:r>
      <w:r>
        <w:tab/>
        <w:t xml:space="preserve">This Division amends the </w:t>
      </w:r>
      <w:r>
        <w:rPr>
          <w:i/>
          <w:iCs/>
        </w:rPr>
        <w:t>Sentencing Act 1995</w:t>
      </w:r>
      <w:r>
        <w:t>.</w:t>
      </w:r>
    </w:p>
    <w:p>
      <w:pPr>
        <w:pStyle w:val="Heading5"/>
      </w:pPr>
      <w:bookmarkStart w:id="104" w:name="_Toc178259216"/>
      <w:r>
        <w:rPr>
          <w:rStyle w:val="CharSectno"/>
        </w:rPr>
        <w:t>36</w:t>
      </w:r>
      <w:r>
        <w:t>.</w:t>
      </w:r>
      <w:r>
        <w:tab/>
        <w:t>Schedule 1A amended</w:t>
      </w:r>
      <w:bookmarkEnd w:id="104"/>
    </w:p>
    <w:p>
      <w:pPr>
        <w:pStyle w:val="Subsection"/>
      </w:pPr>
      <w:r>
        <w:tab/>
        <w:t>(1)</w:t>
      </w:r>
      <w:r>
        <w:tab/>
        <w:t>After Schedule 1A Part 1 item 7 insert:</w:t>
      </w:r>
    </w:p>
    <w:p>
      <w:pPr>
        <w:pStyle w:val="BlankOpen"/>
      </w:pPr>
    </w:p>
    <w:tbl>
      <w:tblPr>
        <w:tblW w:w="7080" w:type="dxa"/>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rPr>
        <w:tc>
          <w:tcPr>
            <w:tcW w:w="720" w:type="dxa"/>
          </w:tcPr>
          <w:p>
            <w:pPr>
              <w:pStyle w:val="zyTableNAm"/>
              <w:rPr>
                <w:b/>
                <w:bCs/>
              </w:rPr>
            </w:pPr>
            <w:r>
              <w:rPr>
                <w:b/>
                <w:bCs/>
              </w:rPr>
              <w:t>7A.</w:t>
            </w:r>
          </w:p>
        </w:tc>
        <w:tc>
          <w:tcPr>
            <w:tcW w:w="6360" w:type="dxa"/>
            <w:gridSpan w:val="2"/>
          </w:tcPr>
          <w:p>
            <w:pPr>
              <w:pStyle w:val="zyTableNAm"/>
              <w:rPr>
                <w:b/>
                <w:bCs/>
                <w:i/>
                <w:iCs/>
              </w:rPr>
            </w:pPr>
            <w:r>
              <w:rPr>
                <w:b/>
                <w:bCs/>
                <w:i/>
                <w:iCs/>
              </w:rPr>
              <w:t>Weapons Act 1999</w:t>
            </w:r>
          </w:p>
        </w:tc>
      </w:tr>
      <w:tr>
        <w:trPr>
          <w:cantSplit/>
        </w:trPr>
        <w:tc>
          <w:tcPr>
            <w:tcW w:w="720" w:type="dxa"/>
          </w:tcPr>
          <w:p>
            <w:pPr>
              <w:pStyle w:val="zyTableNAm"/>
              <w:rPr>
                <w:i/>
              </w:rPr>
            </w:pPr>
          </w:p>
        </w:tc>
        <w:tc>
          <w:tcPr>
            <w:tcW w:w="3000" w:type="dxa"/>
          </w:tcPr>
          <w:p>
            <w:pPr>
              <w:pStyle w:val="zyTableNAm"/>
            </w:pPr>
            <w:r>
              <w:t>s. 6(1)</w:t>
            </w:r>
          </w:p>
        </w:tc>
        <w:tc>
          <w:tcPr>
            <w:tcW w:w="3360" w:type="dxa"/>
          </w:tcPr>
          <w:p>
            <w:pPr>
              <w:pStyle w:val="zyTableNAm"/>
            </w:pPr>
            <w:r>
              <w:t>Offences relating to prohibited weapons</w:t>
            </w:r>
          </w:p>
        </w:tc>
      </w:tr>
    </w:tbl>
    <w:p>
      <w:pPr>
        <w:pStyle w:val="BlankClose"/>
      </w:pPr>
    </w:p>
    <w:p>
      <w:pPr>
        <w:pStyle w:val="Subsection"/>
      </w:pPr>
      <w:r>
        <w:tab/>
        <w:t>(2)</w:t>
      </w:r>
      <w:r>
        <w:tab/>
        <w:t>In Schedule 1A Part 2 item 9 delete the row relating to s. 6(1) and insert:</w:t>
      </w:r>
    </w:p>
    <w:p>
      <w:pPr>
        <w:pStyle w:val="BlankOpen"/>
      </w:pPr>
    </w:p>
    <w:tbl>
      <w:tblPr>
        <w:tblW w:w="7080" w:type="dxa"/>
        <w:tblInd w:w="113" w:type="dxa"/>
        <w:tblLayout w:type="fixed"/>
        <w:tblCellMar>
          <w:left w:w="113" w:type="dxa"/>
          <w:right w:w="113" w:type="dxa"/>
        </w:tblCellMar>
        <w:tblLook w:val="0000" w:firstRow="0" w:lastRow="0" w:firstColumn="0" w:lastColumn="0" w:noHBand="0" w:noVBand="0"/>
      </w:tblPr>
      <w:tblGrid>
        <w:gridCol w:w="720"/>
        <w:gridCol w:w="3000"/>
        <w:gridCol w:w="3360"/>
      </w:tblGrid>
      <w:tr>
        <w:trPr>
          <w:cantSplit/>
        </w:trPr>
        <w:tc>
          <w:tcPr>
            <w:tcW w:w="720" w:type="dxa"/>
          </w:tcPr>
          <w:p>
            <w:pPr>
              <w:pStyle w:val="zyTableNAm"/>
            </w:pPr>
          </w:p>
        </w:tc>
        <w:tc>
          <w:tcPr>
            <w:tcW w:w="3000" w:type="dxa"/>
          </w:tcPr>
          <w:p>
            <w:pPr>
              <w:pStyle w:val="zyTableNAm"/>
            </w:pPr>
            <w:r>
              <w:t>s. 6A(1) and (2)</w:t>
            </w:r>
          </w:p>
        </w:tc>
        <w:tc>
          <w:tcPr>
            <w:tcW w:w="3360" w:type="dxa"/>
          </w:tcPr>
          <w:p>
            <w:pPr>
              <w:pStyle w:val="zyTableNAm"/>
            </w:pPr>
            <w:r>
              <w:t>Offences relating to edged weapons</w:t>
            </w:r>
          </w:p>
        </w:tc>
      </w:tr>
      <w:tr>
        <w:trPr>
          <w:cantSplit/>
        </w:trPr>
        <w:tc>
          <w:tcPr>
            <w:tcW w:w="720" w:type="dxa"/>
          </w:tcPr>
          <w:p>
            <w:pPr>
              <w:pStyle w:val="zyTableNAm"/>
            </w:pPr>
          </w:p>
        </w:tc>
        <w:tc>
          <w:tcPr>
            <w:tcW w:w="3000" w:type="dxa"/>
          </w:tcPr>
          <w:p>
            <w:pPr>
              <w:pStyle w:val="zyTableNAm"/>
            </w:pPr>
            <w:r>
              <w:t>s. 6B(1) and (2)</w:t>
            </w:r>
          </w:p>
        </w:tc>
        <w:tc>
          <w:tcPr>
            <w:tcW w:w="3360" w:type="dxa"/>
          </w:tcPr>
          <w:p>
            <w:pPr>
              <w:pStyle w:val="zyTableNAm"/>
            </w:pPr>
            <w:r>
              <w:t>Selling or supplying edged weapons to children</w:t>
            </w:r>
          </w:p>
        </w:tc>
      </w:tr>
    </w:tbl>
    <w:p>
      <w:pPr>
        <w:pStyle w:val="BlankClose"/>
      </w:pPr>
    </w:p>
    <w:p>
      <w:pPr>
        <w:pStyle w:val="CentredBaseLine"/>
        <w:jc w:val="center"/>
      </w:pPr>
      <w:r>
        <w:rPr>
          <w:noProof/>
        </w:rPr>
        <w:drawing>
          <wp:inline distT="0" distB="0" distL="0" distR="0">
            <wp:extent cx="933450" cy="171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line"/>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922671"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81" w:right="2410" w:bottom="3544" w:left="2410" w:header="720" w:footer="3544" w:gutter="0"/>
          <w:cols w:space="720"/>
          <w:docGrid w:linePitch="326"/>
        </w:sectPr>
      </w:pPr>
    </w:p>
    <w:p>
      <w:r>
        <w:rPr>
          <w:noProof/>
        </w:rPr>
        <mc:AlternateContent>
          <mc:Choice Requires="wps">
            <w:drawing>
              <wp:anchor distT="0" distB="0" distL="114300" distR="114300" simplePos="0" relativeHeight="251664384" behindDoc="0" locked="0" layoutInCell="1" allowOverlap="1">
                <wp:simplePos x="0" y="0"/>
                <wp:positionH relativeFrom="page">
                  <wp:align>center</wp:align>
                </wp:positionH>
                <wp:positionV relativeFrom="page">
                  <wp:posOffset>7505700</wp:posOffset>
                </wp:positionV>
                <wp:extent cx="127000" cy="647700"/>
                <wp:effectExtent l="0" t="0" r="1905" b="0"/>
                <wp:wrapNone/>
                <wp:docPr id="3"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pPr>
                              <w:ind w:left="2438" w:right="2098"/>
                              <w:jc w:val="center"/>
                              <w:rPr>
                                <w:rFonts w:ascii="Arial" w:hAnsi="Arial" w:cs="Arial"/>
                                <w:sz w:val="12"/>
                              </w:rPr>
                            </w:pPr>
                            <w:r>
                              <w:rPr>
                                <w:rFonts w:ascii="Arial" w:hAnsi="Arial" w:cs="Arial"/>
                                <w:sz w:val="12"/>
                              </w:rPr>
                              <w:t>By Authority: GEOFF O. LAWN,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6CBCC1D" id="_x0000_t202" coordsize="21600,21600" o:spt="202" path="m,l,21600r21600,l21600,xe">
                <v:stroke joinstyle="miter"/>
                <v:path gradientshapeok="t" o:connecttype="rect"/>
              </v:shapetype>
              <v:shape id="Authority" o:spid="_x0000_s1026" type="#_x0000_t202" style="position:absolute;margin-left:0;margin-top:591pt;width:10pt;height:51pt;z-index:251664384;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" stroked="f" strokeweight=".5pt">
                <v:textbox>
                  <w:txbxContent>
                    <w:p w14:paraId="68F72794" w14:textId="6C5D3C50" w:rsidR="006C4664" w:rsidRDefault="006C4664">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6CB65A17" w14:textId="77777777" w:rsidR="006C4664" w:rsidRDefault="006C4664">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2AAB11D4" w14:textId="0099A29D" w:rsidR="006C4664" w:rsidRDefault="006C4664">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2024</w:t>
                      </w:r>
                      <w:r>
                        <w:rPr>
                          <w:sz w:val="16"/>
                        </w:rPr>
                        <w:fldChar w:fldCharType="end"/>
                      </w:r>
                      <w:r>
                        <w:rPr>
                          <w:sz w:val="16"/>
                        </w:rPr>
                        <w:t>.</w:t>
                      </w:r>
                    </w:p>
                    <w:p w14:paraId="7FD7B406" w14:textId="77777777" w:rsidR="006C4664" w:rsidRDefault="006C4664">
                      <w:pPr>
                        <w:ind w:left="2438" w:right="2098"/>
                        <w:jc w:val="center"/>
                        <w:rPr>
                          <w:rFonts w:ascii="Arial" w:hAnsi="Arial" w:cs="Arial"/>
                          <w:sz w:val="12"/>
                        </w:rPr>
                      </w:pPr>
                      <w:r>
                        <w:rPr>
                          <w:rFonts w:ascii="Arial" w:hAnsi="Arial" w:cs="Arial"/>
                          <w:sz w:val="12"/>
                        </w:rPr>
                        <w:t>By Authority: GEOFF O. LAWN, Government Printer</w:t>
                      </w:r>
                    </w:p>
                  </w:txbxContent>
                </v:textbox>
                <w10:wrap anchorx="page" anchory="page"/>
              </v:shape>
            </w:pict>
          </mc:Fallback>
        </mc:AlternateContent>
      </w:r>
    </w:p>
    <w:sectPr>
      <w:headerReference w:type="even" r:id="rId27"/>
      <w:headerReference w:type="default" r:id="rId28"/>
      <w:footerReference w:type="even" r:id="rId29"/>
      <w:footerReference w:type="default" r:id="rId30"/>
      <w:headerReference w:type="first" r:id="rId31"/>
      <w:footerReference w:type="first" r:id="rId32"/>
      <w:endnotePr>
        <w:numFmt w:val="decimal"/>
      </w:endnotePr>
      <w:type w:val="continuous"/>
      <w:pgSz w:w="11907" w:h="16840" w:code="9"/>
      <w:pgMar w:top="567" w:right="1701" w:bottom="567" w:left="1701" w:header="720" w:footer="72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 w:type="continuationNotice" w:id="1">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1700"/>
        <w:tab w:val="center" w:pos="3600"/>
        <w:tab w:val="right" w:pos="7080"/>
      </w:tabs>
      <w:rPr>
        <w:sz w:val="20"/>
      </w:rPr>
    </w:pPr>
    <w:r>
      <w:rPr>
        <w:sz w:val="20"/>
      </w:rPr>
      <w:tab/>
    </w:r>
    <w:r>
      <w:rPr>
        <w:sz w:val="20"/>
      </w:rPr>
      <w:fldChar w:fldCharType="begin"/>
    </w:r>
    <w:r>
      <w:rPr>
        <w:sz w:val="20"/>
      </w:rPr>
      <w:instrText xml:space="preserve"> DOCPROPERTY "ActNoFooter" </w:instrText>
    </w:r>
    <w:r>
      <w:rPr>
        <w:sz w:val="20"/>
      </w:rPr>
      <w:fldChar w:fldCharType="separate"/>
    </w:r>
    <w:r>
      <w:rPr>
        <w:sz w:val="20"/>
      </w:rPr>
      <w:t>No. 33 of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33 of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33 of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1700"/>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ii</w: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33 of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p>
  <w:p>
    <w:pPr>
      <w:pStyle w:val="Footer"/>
      <w:tabs>
        <w:tab w:val="center" w:pos="3600"/>
        <w:tab w:val="right" w:pos="708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33 of 2024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iii</w:t>
    </w:r>
    <w:r>
      <w:rPr>
        <w:sz w:val="20"/>
      </w:rPr>
      <w:fldChar w:fldCharType="end"/>
    </w:r>
  </w:p>
  <w:p>
    <w:pPr>
      <w:pStyle w:val="Footer"/>
      <w:tabs>
        <w:tab w:val="center" w:pos="3600"/>
        <w:tab w:val="right" w:pos="708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center" w:pos="3600"/>
        <w:tab w:val="center" w:pos="538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26 Sep 2024</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r>
    <w:r>
      <w:rPr>
        <w:sz w:val="20"/>
      </w:rPr>
      <w:fldChar w:fldCharType="begin"/>
    </w:r>
    <w:r>
      <w:rPr>
        <w:sz w:val="20"/>
      </w:rPr>
      <w:instrText xml:space="preserve"> DOCPROPERTY "ActNoFooter" </w:instrText>
    </w:r>
    <w:r>
      <w:rPr>
        <w:sz w:val="20"/>
      </w:rPr>
      <w:fldChar w:fldCharType="separate"/>
    </w:r>
    <w:r>
      <w:rPr>
        <w:sz w:val="20"/>
      </w:rPr>
      <w:t>No. 33 of 2024</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 w:val="right" w:pos="708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trPr>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Police Legislation Amendment Act 2024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Police Legislation Amendment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105" w:name="Coversheet"/>
    <w:bookmarkEnd w:id="105"/>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Police Legislation Amendment Act 2024</w:t>
          </w:r>
          <w:r>
            <w:rPr>
              <w:b/>
              <w:i/>
            </w:rP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Police Legislation Amendment Act 2024</w:t>
          </w:r>
          <w:r>
            <w:rPr>
              <w:b/>
              <w:i/>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r>
            <w:t>Contents</w:t>
          </w:r>
        </w:p>
      </w:tc>
    </w:tr>
  </w:tbl>
  <w:p>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Police Legislation Amendment Act 2024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c>
        <w:tcPr>
          <w:tcW w:w="5715" w:type="dxa"/>
          <w:vAlign w:val="bottom"/>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Police Legislation Amendment Act 2024</w:t>
          </w:r>
          <w:r>
            <w:rPr>
              <w:b/>
              <w:i/>
            </w:rPr>
            <w:fldChar w:fldCharType="end"/>
          </w:r>
        </w:p>
      </w:tc>
    </w:tr>
    <w:tr>
      <w:trPr>
        <w:jc w:val="center"/>
      </w:trPr>
      <w:tc>
        <w:tcPr>
          <w:tcW w:w="5715" w:type="dxa"/>
          <w:vAlign w:val="bottom"/>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r>
            <w:rPr>
              <w:b/>
            </w:rPr>
            <w:t xml:space="preserve"> </w:t>
          </w:r>
          <w:r>
            <w:rPr>
              <w:b/>
            </w:rPr>
            <w:fldChar w:fldCharType="begin"/>
          </w:r>
          <w:r>
            <w:rPr>
              <w:b/>
            </w:rPr>
            <w:instrText>styleref CharPartNo</w:instrText>
          </w:r>
          <w:r>
            <w:rPr>
              <w:b/>
            </w:rPr>
            <w:fldChar w:fldCharType="end"/>
          </w:r>
        </w:p>
      </w:tc>
    </w:tr>
    <w:tr>
      <w:trPr>
        <w:jc w:val="center"/>
      </w:trPr>
      <w:tc>
        <w:tcPr>
          <w:tcW w:w="5715" w:type="dxa"/>
          <w:vAlign w:val="bottom"/>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r>
            <w:rPr>
              <w:b/>
            </w:rPr>
            <w:t xml:space="preserve"> </w:t>
          </w:r>
          <w:r>
            <w:rPr>
              <w:b/>
            </w:rPr>
            <w:fldChar w:fldCharType="begin"/>
          </w:r>
          <w:r>
            <w:rPr>
              <w:b/>
            </w:rPr>
            <w:instrText>styleref CharDivNo</w:instrText>
          </w:r>
          <w:r>
            <w:rPr>
              <w:b/>
            </w:rPr>
            <w:fldChar w:fldCharType="end"/>
          </w:r>
        </w:p>
      </w:tc>
    </w:tr>
    <w:tr>
      <w:trPr>
        <w:cantSplit/>
        <w:jc w:val="center"/>
      </w:trPr>
      <w:tc>
        <w:tcPr>
          <w:tcW w:w="7263" w:type="dxa"/>
          <w:gridSpan w:val="2"/>
        </w:tcPr>
        <w:p>
          <w:pPr>
            <w:pStyle w:val="Header"/>
            <w:spacing w:before="40"/>
            <w:ind w:right="17"/>
            <w:jc w:val="right"/>
          </w:pP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38D7C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6144F87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94C248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A4ED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8FC29B5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9EDD4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2D0D5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948EB14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B1C8F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842CE80"/>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B1B4B30E"/>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AF9498E"/>
    <w:multiLevelType w:val="hybridMultilevel"/>
    <w:tmpl w:val="079E968E"/>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8"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0"/>
  </w:num>
  <w:num w:numId="2">
    <w:abstractNumId w:val="11"/>
  </w:num>
  <w:num w:numId="3">
    <w:abstractNumId w:val="13"/>
  </w:num>
  <w:num w:numId="4">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intFractionalCharacterWidth/>
  <w:activeWritingStyle w:appName="MSWord" w:lang="en-AU" w:vendorID="8" w:dllVersion="513"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doNotHyphenateCaps/>
  <w:evenAndOddHeaders/>
  <w:displayHorizontalDrawingGridEvery w:val="0"/>
  <w:displayVerticalDrawingGridEvery w:val="0"/>
  <w:doNotUseMarginsForDrawingGridOrigin/>
  <w:doNotShadeFormData/>
  <w:noPunctuationKerning/>
  <w:characterSpacingControl w:val="doNotCompress"/>
  <w:hdrShapeDefaults>
    <o:shapedefaults v:ext="edit" spidmax="24577"/>
  </w:hdrShapeDefaults>
  <w:footnotePr>
    <w:footnote w:id="-1"/>
    <w:footnote w:id="0"/>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40926160059"/>
    <w:docVar w:name="WAFER_20150206084435" w:val="77167ae3-b7f9-4ae7-a275-d4dd9db5de8f"/>
    <w:docVar w:name="WAFER_20150206084435_GUID" w:val="UpdateStyles"/>
    <w:docVar w:name="WAFER_20151016134806" w:val="68650fa9-f801-454a-81cb-df6f0a3af691"/>
    <w:docVar w:name="WAFER_20151016134806_GUID" w:val="UpdateStyles"/>
    <w:docVar w:name="WAFER_20151016134831" w:val="c2fb0bb9-fde3-426d-a7f7-1ca211c82009"/>
    <w:docVar w:name="WAFER_20151016134831_GUID" w:val="UsedStyles"/>
    <w:docVar w:name="WAFER_20151016170344" w:val="d4fa4e8d-5c43-4618-b8fe-4523b77d625d"/>
    <w:docVar w:name="WAFER_20151016170344_GUID" w:val="UpdateStyles"/>
    <w:docVar w:name="WAFER_20151016170354" w:val="32c06985-9f0e-42f1-9a8c-d3c43cfa7a80"/>
    <w:docVar w:name="WAFER_20151016170354_GUID" w:val="UpdateStyles,UsedStyles"/>
    <w:docVar w:name="WAFER_20151016170429" w:val="1f665551-9baf-4b15-bb73-b1d91ed3e6c5"/>
    <w:docVar w:name="WAFER_20151016170429_GUID" w:val="UpdateStyles,UsedStyles"/>
    <w:docVar w:name="WAFER_20151019113653" w:val="a899c777-2ec0-4846-a593-74d215570969"/>
    <w:docVar w:name="WAFER_20151019113653_GUID" w:val="UpdateStyles"/>
    <w:docVar w:name="WAFER_20151102150119" w:val="dc5d0076-61d2-4a5a-ade6-d09c39dd39b9"/>
    <w:docVar w:name="WAFER_20151102150119_GUID" w:val="UpdateStyles"/>
    <w:docVar w:name="WAFER_20190125160012" w:val="9dd68532-689a-40c0-9c87-5c2f321a3e4e"/>
    <w:docVar w:name="WAFER_20190125160012_GUID" w:val="UpdateStyles"/>
    <w:docVar w:name="WAFER_20190213151032" w:val="0e6e130b-18da-4239-84b5-f08b99a6e1c9"/>
    <w:docVar w:name="WAFER_20190213151032_GUID" w:val="UpdateStyles.ProcessFixes,UpdateStyles.ProcessFixes,RemoveIncorrectStyles.ProcessStyles,RemoveIncorrectStyles.ProcessStyles"/>
    <w:docVar w:name="WAFER_20190227114526" w:val="592fe921-7416-4a1a-b8d7-41a034b93757"/>
    <w:docVar w:name="WAFER_2019022711452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Footer.ResetPageFooter"/>
    <w:docVar w:name="WAFER_20200207102225" w:val="c6be0b40-711c-4ff6-b353-501793f44ed0"/>
    <w:docVar w:name="WAFER_20200207102225_GUID" w:val="c6be0b40-711c-4ff6-b353-501793f44ed0"/>
    <w:docVar w:name="WAFER_20230403103322" w:val="c6be0b40-711c-4ff6-b353-501793f44ed0"/>
    <w:docVar w:name="WAFER_20230403103322_GUID" w:val="c6be0b40-711c-4ff6-b353-501793f44ed0"/>
    <w:docVar w:name="WAFER_2024052912223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40529122235_GUID" w:val="97777412-d05c-47fe-9f3e-a2c0ace583c9"/>
    <w:docVar w:name="WAFER_2024070910082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09100828_GUID" w:val="d5adeac4-43a0-4e71-94e1-1309557126da"/>
    <w:docVar w:name="WAFER_2024071714554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17145545_GUID" w:val="1062d007-a0aa-4084-89c8-ed8fe6555bfa"/>
    <w:docVar w:name="WAFER_2024072215261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722152610_GUID" w:val="87d2124c-d679-4442-a44f-57a7f5167666"/>
    <w:docVar w:name="WAFER_2024092616005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40926160059_GUID" w:val="24e91ea1-3e52-4d34-9dcd-2b659041c3e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7"/>
    <o:shapelayout v:ext="edit">
      <o:idmap v:ext="edit" data="1"/>
    </o:shapelayout>
  </w:shapeDefaults>
  <w:decimalSymbol w:val="."/>
  <w:listSeparator w:val=","/>
  <w15:docId w15:val="{73A88035-E4F7-4EA6-B04E-F96A34192B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rPr>
      <w:rFonts w:ascii="Arial" w:hAnsi="Arial"/>
      <w:sz w:val="16"/>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character" w:customStyle="1" w:styleId="CharSectno">
    <w:name w:val="CharSectno"/>
    <w:rPr>
      <w:noProof w:val="0"/>
    </w:r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styleId="BodyText">
    <w:name w:val="Body Text"/>
    <w:basedOn w:val="Normal"/>
    <w:pPr>
      <w:spacing w:after="120"/>
    </w:p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LongTitle">
    <w:name w:val="Long Title"/>
    <w:rPr>
      <w:b/>
      <w:sz w:val="24"/>
    </w:rPr>
  </w:style>
  <w:style w:type="paragraph" w:customStyle="1" w:styleId="WA">
    <w:name w:val="WA"/>
    <w:pPr>
      <w:spacing w:after="720"/>
      <w:jc w:val="center"/>
    </w:pPr>
    <w:rPr>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leteClose">
    <w:name w:val="DeleteClose"/>
    <w:basedOn w:val="Normal"/>
    <w:pPr>
      <w:keepLines/>
      <w:jc w:val="center"/>
    </w:pPr>
    <w:rPr>
      <w:szCs w:val="24"/>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rPr>
  </w:style>
  <w:style w:type="character" w:customStyle="1" w:styleId="CharSchNo">
    <w:name w:val="CharSch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llowedHyperlink">
    <w:name w:val="FollowedHyperlink"/>
    <w:basedOn w:val="DefaultParagraphFont"/>
    <w:rPr>
      <w:color w:val="800080"/>
      <w:sz w:val="24"/>
      <w:u w:val="single"/>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styleId="Salutation">
    <w:name w:val="Salutation"/>
    <w:basedOn w:val="Normal"/>
    <w:next w:val="Normal"/>
  </w:style>
  <w:style w:type="paragraph" w:styleId="Signature">
    <w:name w:val="Signature"/>
    <w:basedOn w:val="Normal"/>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rincipalActReg">
    <w:name w:val="PrincipalAct_Reg"/>
    <w:pPr>
      <w:spacing w:after="480"/>
      <w:jc w:val="center"/>
    </w:pPr>
    <w:rPr>
      <w:sz w:val="24"/>
    </w:rPr>
  </w:style>
  <w:style w:type="character" w:customStyle="1" w:styleId="DraftersNotes">
    <w:name w:val="DraftersNotes"/>
    <w:basedOn w:val="DefaultParagraphFont"/>
    <w:rPr>
      <w:b/>
      <w:i/>
      <w:sz w:val="20"/>
    </w:rPr>
  </w:style>
  <w:style w:type="paragraph" w:customStyle="1" w:styleId="Equation">
    <w:name w:val="Equation"/>
    <w:rPr>
      <w:noProof/>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BlankClose">
    <w:name w:val="BlankClose"/>
    <w:basedOn w:val="Normal"/>
    <w:pPr>
      <w:keepLines/>
      <w:jc w:val="center"/>
    </w:pPr>
    <w:rPr>
      <w:szCs w:val="24"/>
    </w:rPr>
  </w:style>
  <w:style w:type="paragraph" w:customStyle="1" w:styleId="BlankOpen">
    <w:name w:val="BlankOpen"/>
    <w:basedOn w:val="Normal"/>
    <w:pPr>
      <w:keepNext/>
      <w:keepLines/>
      <w:jc w:val="center"/>
    </w:pPr>
    <w:rPr>
      <w:szCs w:val="24"/>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DeleteOpen">
    <w:name w:val="DeleteOpen"/>
    <w:basedOn w:val="Normal"/>
    <w:pPr>
      <w:keepNext/>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yDeleteListPara">
    <w:name w:val="yDeleteListPara"/>
    <w:basedOn w:val="DeleteListPara"/>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yDeleteListSub">
    <w:name w:val="yDeleteListSub"/>
    <w:basedOn w:val="DeleteListSub"/>
    <w:rPr>
      <w:sz w:val="22"/>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zTHeadingNAm">
    <w:name w:val="zTHeadingNAm"/>
    <w:basedOn w:val="THeadingNAm"/>
  </w:style>
  <w:style w:type="paragraph" w:customStyle="1" w:styleId="yTHeadingNAm">
    <w:name w:val="yTHeadingNAm"/>
    <w:basedOn w:val="THeadingNAm"/>
    <w:pPr>
      <w:ind w:left="142"/>
    </w:pPr>
    <w:rPr>
      <w:sz w:val="22"/>
    </w:rPr>
  </w:style>
  <w:style w:type="paragraph" w:customStyle="1" w:styleId="zyTHeadingNAm">
    <w:name w:val="zyTHeadingNAm"/>
    <w:basedOn w:val="yTHeadingNAm"/>
  </w:style>
  <w:style w:type="paragraph" w:customStyle="1" w:styleId="TableNAm">
    <w:name w:val="TableNAm"/>
    <w:qFormat/>
    <w:pPr>
      <w:tabs>
        <w:tab w:val="left" w:pos="567"/>
      </w:tabs>
      <w:spacing w:before="120"/>
    </w:pPr>
    <w:rPr>
      <w:sz w:val="24"/>
    </w:rPr>
  </w:style>
  <w:style w:type="paragraph" w:customStyle="1" w:styleId="zTableNAm">
    <w:name w:val="zTableNAm"/>
    <w:basedOn w:val="TableNAm"/>
  </w:style>
  <w:style w:type="paragraph" w:customStyle="1" w:styleId="yTableNAm">
    <w:name w:val="yTableNAm"/>
    <w:basedOn w:val="TableNAm"/>
    <w:rPr>
      <w:sz w:val="22"/>
    </w:rPr>
  </w:style>
  <w:style w:type="paragraph" w:customStyle="1" w:styleId="zyTableNAm">
    <w:name w:val="zyTableNAm"/>
    <w:basedOn w:val="yTableNAm"/>
  </w:style>
  <w:style w:type="paragraph" w:customStyle="1" w:styleId="SignatureText">
    <w:name w:val="SignatureText"/>
    <w:basedOn w:val="Normal"/>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jpeg"/><Relationship Id="rId32"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footer" Target="footer8.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BAB6AE-A437-483B-B37E-66CA1DFDD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4463</Words>
  <Characters>20623</Characters>
  <Application>Microsoft Office Word</Application>
  <DocSecurity>0</DocSecurity>
  <Lines>793</Lines>
  <Paragraphs>522</Paragraphs>
  <ScaleCrop>false</ScaleCrop>
  <HeadingPairs>
    <vt:vector size="2" baseType="variant">
      <vt:variant>
        <vt:lpstr>Title</vt:lpstr>
      </vt:variant>
      <vt:variant>
        <vt:i4>1</vt:i4>
      </vt:variant>
    </vt:vector>
  </HeadingPairs>
  <TitlesOfParts>
    <vt:vector size="1" baseType="lpstr">
      <vt:lpstr>Drafting Template (Bills)</vt:lpstr>
    </vt:vector>
  </TitlesOfParts>
  <Manager/>
  <Company/>
  <LinksUpToDate>false</LinksUpToDate>
  <CharactersWithSpaces>24564</CharactersWithSpaces>
  <SharedDoc>false</SharedDoc>
  <HyperlinkBase/>
  <HLinks>
    <vt:vector size="12" baseType="variant">
      <vt:variant>
        <vt:i4>3276894</vt:i4>
      </vt:variant>
      <vt:variant>
        <vt:i4>140</vt:i4>
      </vt:variant>
      <vt:variant>
        <vt:i4>0</vt:i4>
      </vt:variant>
      <vt:variant>
        <vt:i4>5</vt:i4>
      </vt:variant>
      <vt:variant>
        <vt:lpwstr>mailto:John.Lightowlers@psc.wa.gov.au</vt:lpwstr>
      </vt:variant>
      <vt:variant>
        <vt:lpwstr/>
      </vt:variant>
      <vt:variant>
        <vt:i4>5898351</vt:i4>
      </vt:variant>
      <vt:variant>
        <vt:i4>135</vt:i4>
      </vt:variant>
      <vt:variant>
        <vt:i4>0</vt:i4>
      </vt:variant>
      <vt:variant>
        <vt:i4>5</vt:i4>
      </vt:variant>
      <vt:variant>
        <vt:lpwstr>mailto:DraftLegislation@treasury.wa.gov.au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Police Legislation Amendment Act 2024 - 00-00-00</dc:title>
  <dc:subject/>
  <dc:creator/>
  <cp:keywords/>
  <dc:description/>
  <cp:lastModifiedBy>Master Repository Process</cp:lastModifiedBy>
  <cp:revision>4</cp:revision>
  <cp:lastPrinted>2024-09-26T07:37:00Z</cp:lastPrinted>
  <dcterms:created xsi:type="dcterms:W3CDTF">2025-06-04T04:48:00Z</dcterms:created>
  <dcterms:modified xsi:type="dcterms:W3CDTF">2025-06-04T04:48:00Z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2024</vt:lpwstr>
  </property>
  <property fmtid="{D5CDD505-2E9C-101B-9397-08002B2CF9AE}" pid="3" name="DocumentType">
    <vt:lpwstr>Act</vt:lpwstr>
  </property>
  <property fmtid="{D5CDD505-2E9C-101B-9397-08002B2CF9AE}" pid="4" name="AsAtDate">
    <vt:lpwstr>26 Sep 2024</vt:lpwstr>
  </property>
  <property fmtid="{D5CDD505-2E9C-101B-9397-08002B2CF9AE}" pid="5" name="Suffix">
    <vt:lpwstr>00-00-00</vt:lpwstr>
  </property>
  <property fmtid="{D5CDD505-2E9C-101B-9397-08002B2CF9AE}" pid="6" name="Official">
    <vt:lpwstr/>
  </property>
  <property fmtid="{D5CDD505-2E9C-101B-9397-08002B2CF9AE}" pid="7" name="ActNoFooter">
    <vt:lpwstr>No. 33 of 2024</vt:lpwstr>
  </property>
  <property fmtid="{D5CDD505-2E9C-101B-9397-08002B2CF9AE}" pid="8" name="CommencementDate">
    <vt:lpwstr>20240926</vt:lpwstr>
  </property>
  <property fmtid="{D5CDD505-2E9C-101B-9397-08002B2CF9AE}" pid="9" name="CommencementAsAt">
    <vt:filetime>2024-09-25T16:00:00Z</vt:filetime>
  </property>
  <property fmtid="{D5CDD505-2E9C-101B-9397-08002B2CF9AE}" pid="10" name="CommencementYear">
    <vt:lpwstr>2024</vt:lpwstr>
  </property>
</Properties>
</file>