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rPr>
          <w:noProof/>
        </w:rPr>
        <w:br/>
        <w:t>Shipping and Pilotage Act 1967</w:t>
      </w:r>
      <w:r>
        <w:rPr>
          <w:noProof/>
        </w:rPr>
        <w:br/>
        <w:t>Jetties Act 1926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Navigable Waters Regulations 1958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Navigable Waters Regulations 1958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_Toc178090356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_Toc178090357 \h </w:instrText>
      </w:r>
      <w:r>
        <w:fldChar w:fldCharType="separate"/>
      </w:r>
      <w:r>
        <w:t>1</w:t>
      </w:r>
      <w:r>
        <w:fldChar w:fldCharType="end"/>
      </w:r>
    </w:p>
    <w:p>
      <w:pPr>
        <w:pStyle w:val="TOC8"/>
        <w:rPr>
          <w:rFonts w:asciiTheme="minorHAnsi" w:eastAsiaTheme="minorEastAsia" w:hAnsiTheme="minorHAnsi" w:cstheme="minorBidi"/>
          <w:szCs w:val="22"/>
        </w:rPr>
      </w:pPr>
      <w:r>
        <w:t>2A.</w:t>
      </w:r>
      <w:r>
        <w:tab/>
        <w:t>Measurement of distance</w:t>
      </w:r>
      <w:r>
        <w:tab/>
      </w:r>
      <w:r>
        <w:fldChar w:fldCharType="begin"/>
      </w:r>
      <w:r>
        <w:instrText xml:space="preserve"> PAGEREF _Toc178090358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Responsibility of master and owner</w:t>
      </w:r>
      <w:r>
        <w:tab/>
      </w:r>
      <w:r>
        <w:fldChar w:fldCharType="begin"/>
      </w:r>
      <w:r>
        <w:instrText xml:space="preserve"> PAGEREF _Toc178090359 \h </w:instrText>
      </w:r>
      <w:r>
        <w:fldChar w:fldCharType="separate"/>
      </w:r>
      <w:r>
        <w:t>4</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When emergency vessels exempt</w:t>
      </w:r>
      <w:r>
        <w:tab/>
      </w:r>
      <w:r>
        <w:fldChar w:fldCharType="begin"/>
      </w:r>
      <w:r>
        <w:instrText xml:space="preserve"> PAGEREF _Toc178090360 \h </w:instrText>
      </w:r>
      <w:r>
        <w:fldChar w:fldCharType="separate"/>
      </w:r>
      <w:r>
        <w:t>4</w:t>
      </w:r>
      <w:r>
        <w:fldChar w:fldCharType="end"/>
      </w:r>
    </w:p>
    <w:p>
      <w:pPr>
        <w:pStyle w:val="TOC8"/>
        <w:rPr>
          <w:rFonts w:asciiTheme="minorHAnsi" w:eastAsiaTheme="minorEastAsia" w:hAnsiTheme="minorHAnsi" w:cstheme="minorBidi"/>
          <w:szCs w:val="22"/>
        </w:rPr>
      </w:pPr>
      <w:r>
        <w:t>3B.</w:t>
      </w:r>
      <w:r>
        <w:tab/>
        <w:t>International Organization for Standardization</w:t>
      </w:r>
      <w:r>
        <w:tab/>
      </w:r>
      <w:r>
        <w:fldChar w:fldCharType="begin"/>
      </w:r>
      <w:r>
        <w:instrText xml:space="preserve"> PAGEREF _Toc178090361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good order regulations</w:t>
      </w:r>
    </w:p>
    <w:p>
      <w:pPr>
        <w:pStyle w:val="TOC8"/>
        <w:rPr>
          <w:rFonts w:asciiTheme="minorHAnsi" w:eastAsiaTheme="minorEastAsia" w:hAnsiTheme="minorHAnsi" w:cstheme="minorBidi"/>
          <w:szCs w:val="22"/>
        </w:rPr>
      </w:pPr>
      <w:r>
        <w:t>4.</w:t>
      </w:r>
      <w:r>
        <w:tab/>
        <w:t>Application of Part</w:t>
      </w:r>
      <w:r>
        <w:tab/>
      </w:r>
      <w:r>
        <w:fldChar w:fldCharType="begin"/>
      </w:r>
      <w:r>
        <w:instrText xml:space="preserve"> PAGEREF _Toc178090363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Inspection of vessels</w:t>
      </w:r>
      <w:r>
        <w:tab/>
      </w:r>
      <w:r>
        <w:fldChar w:fldCharType="begin"/>
      </w:r>
      <w:r>
        <w:instrText xml:space="preserve"> PAGEREF _Toc178090364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Lifesaving equipment not to be interfered with</w:t>
      </w:r>
      <w:r>
        <w:tab/>
      </w:r>
      <w:r>
        <w:fldChar w:fldCharType="begin"/>
      </w:r>
      <w:r>
        <w:instrText xml:space="preserve"> PAGEREF _Toc178090365 \h </w:instrText>
      </w:r>
      <w:r>
        <w:fldChar w:fldCharType="separate"/>
      </w:r>
      <w:r>
        <w:t>6</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Owner of vessel to comply with directions</w:t>
      </w:r>
      <w:r>
        <w:tab/>
      </w:r>
      <w:r>
        <w:fldChar w:fldCharType="begin"/>
      </w:r>
      <w:r>
        <w:instrText xml:space="preserve"> PAGEREF _Toc178090366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Aids to navigation not to be interfered with</w:t>
      </w:r>
      <w:r>
        <w:tab/>
      </w:r>
      <w:r>
        <w:fldChar w:fldCharType="begin"/>
      </w:r>
      <w:r>
        <w:instrText xml:space="preserve"> PAGEREF _Toc178090367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Rubbish</w:t>
      </w:r>
      <w:r>
        <w:tab/>
      </w:r>
      <w:r>
        <w:fldChar w:fldCharType="begin"/>
      </w:r>
      <w:r>
        <w:instrText xml:space="preserve"> PAGEREF _Toc178090368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Sand below high water mark not to be interfered with</w:t>
      </w:r>
      <w:r>
        <w:tab/>
      </w:r>
      <w:r>
        <w:fldChar w:fldCharType="begin"/>
      </w:r>
      <w:r>
        <w:instrText xml:space="preserve"> PAGEREF _Toc178090369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Conduct on or near vessels, public jetties or bridges</w:t>
      </w:r>
      <w:r>
        <w:tab/>
      </w:r>
      <w:r>
        <w:fldChar w:fldCharType="begin"/>
      </w:r>
      <w:r>
        <w:instrText xml:space="preserve"> PAGEREF _Toc178090370 \h </w:instrText>
      </w:r>
      <w:r>
        <w:fldChar w:fldCharType="separate"/>
      </w:r>
      <w:r>
        <w:t>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Areas for swimming</w:t>
      </w:r>
      <w:r>
        <w:tab/>
      </w:r>
      <w:r>
        <w:fldChar w:fldCharType="begin"/>
      </w:r>
      <w:r>
        <w:instrText xml:space="preserve"> PAGEREF _Toc178090371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Swimming from public jetty to be at own risk</w:t>
      </w:r>
      <w:r>
        <w:tab/>
      </w:r>
      <w:r>
        <w:fldChar w:fldCharType="begin"/>
      </w:r>
      <w:r>
        <w:instrText xml:space="preserve"> PAGEREF _Toc178090372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Regattas</w:t>
      </w:r>
      <w:r>
        <w:tab/>
      </w:r>
      <w:r>
        <w:fldChar w:fldCharType="begin"/>
      </w:r>
      <w:r>
        <w:instrText xml:space="preserve"> PAGEREF _Toc178090373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rPr>
          <w:i/>
          <w:snapToGrid w:val="0"/>
        </w:rPr>
        <w:t>Prevention of Collisions at Sea Regulations 1983</w:t>
      </w:r>
      <w:r>
        <w:rPr>
          <w:snapToGrid w:val="0"/>
        </w:rPr>
        <w:t xml:space="preserve"> apply</w:t>
      </w:r>
      <w:r>
        <w:tab/>
      </w:r>
      <w:r>
        <w:fldChar w:fldCharType="begin"/>
      </w:r>
      <w:r>
        <w:instrText xml:space="preserve"> PAGEREF _Toc178090374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not to be used to cause nuisance or damage</w:t>
      </w:r>
      <w:r>
        <w:tab/>
      </w:r>
      <w:r>
        <w:fldChar w:fldCharType="begin"/>
      </w:r>
      <w:r>
        <w:instrText xml:space="preserve"> PAGEREF _Toc178090375 \h </w:instrText>
      </w:r>
      <w:r>
        <w:fldChar w:fldCharType="separate"/>
      </w:r>
      <w:r>
        <w:t>10</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Safe navigation of vessels</w:t>
      </w:r>
      <w:r>
        <w:tab/>
      </w:r>
      <w:r>
        <w:fldChar w:fldCharType="begin"/>
      </w:r>
      <w:r>
        <w:instrText xml:space="preserve"> PAGEREF _Toc178090376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14B</w:t>
      </w:r>
      <w:r>
        <w:rPr>
          <w:snapToGrid w:val="0"/>
        </w:rPr>
        <w:t>.</w:t>
      </w:r>
      <w:r>
        <w:rPr>
          <w:snapToGrid w:val="0"/>
        </w:rPr>
        <w:tab/>
        <w:t>Passengers to keep within certain limits of vessel during navigation</w:t>
      </w:r>
      <w:r>
        <w:tab/>
      </w:r>
      <w:r>
        <w:fldChar w:fldCharType="begin"/>
      </w:r>
      <w:r>
        <w:instrText xml:space="preserve"> PAGEREF _Toc178090377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Towing vessels</w:t>
      </w:r>
      <w:r>
        <w:tab/>
      </w:r>
      <w:r>
        <w:fldChar w:fldCharType="begin"/>
      </w:r>
      <w:r>
        <w:instrText xml:space="preserve"> PAGEREF _Toc178090378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Inflammable liquid</w:t>
      </w:r>
      <w:r>
        <w:tab/>
      </w:r>
      <w:r>
        <w:fldChar w:fldCharType="begin"/>
      </w:r>
      <w:r>
        <w:instrText xml:space="preserve"> PAGEREF _Toc178090379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Two vessels leaving adjacent berths at the same time</w:t>
      </w:r>
      <w:r>
        <w:tab/>
      </w:r>
      <w:r>
        <w:fldChar w:fldCharType="begin"/>
      </w:r>
      <w:r>
        <w:instrText xml:space="preserve"> PAGEREF _Toc178090380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Right of way when approaching jetties</w:t>
      </w:r>
      <w:r>
        <w:tab/>
      </w:r>
      <w:r>
        <w:fldChar w:fldCharType="begin"/>
      </w:r>
      <w:r>
        <w:instrText xml:space="preserve"> PAGEREF _Toc178090381 \h </w:instrText>
      </w:r>
      <w:r>
        <w:fldChar w:fldCharType="separate"/>
      </w:r>
      <w:r>
        <w:t>12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At least 2 persons to man sea going vessel</w:t>
      </w:r>
      <w:r>
        <w:tab/>
      </w:r>
      <w:r>
        <w:fldChar w:fldCharType="begin"/>
      </w:r>
      <w:r>
        <w:instrText xml:space="preserve"> PAGEREF _Toc178090382 \h </w:instrText>
      </w:r>
      <w:r>
        <w:fldChar w:fldCharType="separate"/>
      </w:r>
      <w:r>
        <w:t>12</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Speed limit in Swan and Canning Rivers</w:t>
      </w:r>
      <w:r>
        <w:tab/>
      </w:r>
      <w:r>
        <w:fldChar w:fldCharType="begin"/>
      </w:r>
      <w:r>
        <w:instrText xml:space="preserve"> PAGEREF _Toc178090383 \h </w:instrText>
      </w:r>
      <w:r>
        <w:fldChar w:fldCharType="separate"/>
      </w:r>
      <w:r>
        <w:t>12</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Use of signals and flares etc.</w:t>
      </w:r>
      <w:r>
        <w:tab/>
      </w:r>
      <w:r>
        <w:fldChar w:fldCharType="begin"/>
      </w:r>
      <w:r>
        <w:instrText xml:space="preserve"> PAGEREF _Toc178090384 \h </w:instrText>
      </w:r>
      <w:r>
        <w:fldChar w:fldCharType="separate"/>
      </w:r>
      <w:r>
        <w:t>13</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Master to display diving signals during diving</w:t>
      </w:r>
      <w:r>
        <w:tab/>
      </w:r>
      <w:r>
        <w:fldChar w:fldCharType="begin"/>
      </w:r>
      <w:r>
        <w:instrText xml:space="preserve"> PAGEREF _Toc178090385 \h </w:instrText>
      </w:r>
      <w:r>
        <w:fldChar w:fldCharType="separate"/>
      </w:r>
      <w:r>
        <w:t>13</w:t>
      </w:r>
      <w:r>
        <w:fldChar w:fldCharType="end"/>
      </w:r>
    </w:p>
    <w:p>
      <w:pPr>
        <w:pStyle w:val="TOC8"/>
        <w:rPr>
          <w:rFonts w:asciiTheme="minorHAnsi" w:eastAsiaTheme="minorEastAsia" w:hAnsiTheme="minorHAnsi" w:cstheme="minorBidi"/>
          <w:szCs w:val="22"/>
        </w:rPr>
      </w:pPr>
      <w:r>
        <w:t>19D.</w:t>
      </w:r>
      <w:r>
        <w:tab/>
        <w:t>Person to display certain signals when diving otherwise than from vessel</w:t>
      </w:r>
      <w:r>
        <w:tab/>
      </w:r>
      <w:r>
        <w:fldChar w:fldCharType="begin"/>
      </w:r>
      <w:r>
        <w:instrText xml:space="preserve"> PAGEREF _Toc178090386 \h </w:instrText>
      </w:r>
      <w:r>
        <w:fldChar w:fldCharType="separate"/>
      </w:r>
      <w:r>
        <w:t>14</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Precautions when approaching diving operations</w:t>
      </w:r>
      <w:r>
        <w:tab/>
      </w:r>
      <w:r>
        <w:fldChar w:fldCharType="begin"/>
      </w:r>
      <w:r>
        <w:instrText xml:space="preserve"> PAGEREF _Toc178090387 \h </w:instrText>
      </w:r>
      <w:r>
        <w:fldChar w:fldCharType="separate"/>
      </w:r>
      <w:r>
        <w:t>14</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Owner of vessel to supply driver’s name and address</w:t>
      </w:r>
      <w:r>
        <w:tab/>
      </w:r>
      <w:r>
        <w:fldChar w:fldCharType="begin"/>
      </w:r>
      <w:r>
        <w:instrText xml:space="preserve"> PAGEREF _Toc178090388 \h </w:instrText>
      </w:r>
      <w:r>
        <w:fldChar w:fldCharType="separate"/>
      </w:r>
      <w:r>
        <w:t>16</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Declaration of emergency vessel</w:t>
      </w:r>
      <w:r>
        <w:tab/>
      </w:r>
      <w:r>
        <w:fldChar w:fldCharType="begin"/>
      </w:r>
      <w:r>
        <w:instrText xml:space="preserve"> PAGEREF _Toc178090389 \h </w:instrText>
      </w:r>
      <w:r>
        <w:fldChar w:fldCharType="separate"/>
      </w:r>
      <w:r>
        <w:t>17</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Flashing blue lamps</w:t>
      </w:r>
      <w:r>
        <w:tab/>
      </w:r>
      <w:r>
        <w:fldChar w:fldCharType="begin"/>
      </w:r>
      <w:r>
        <w:instrText xml:space="preserve"> PAGEREF _Toc178090390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Penalties</w:t>
      </w:r>
      <w:r>
        <w:tab/>
      </w:r>
      <w:r>
        <w:fldChar w:fldCharType="begin"/>
      </w:r>
      <w:r>
        <w:instrText xml:space="preserve"> PAGEREF _Toc178090391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III — Use of public jetties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_Toc178090393 \h </w:instrText>
      </w:r>
      <w:r>
        <w:fldChar w:fldCharType="separate"/>
      </w:r>
      <w:r>
        <w:t>19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Application of this Part</w:t>
      </w:r>
      <w:r>
        <w:tab/>
      </w:r>
      <w:r>
        <w:fldChar w:fldCharType="begin"/>
      </w:r>
      <w:r>
        <w:instrText xml:space="preserve"> PAGEREF _Toc178090394 \h </w:instrText>
      </w:r>
      <w:r>
        <w:fldChar w:fldCharType="separate"/>
      </w:r>
      <w:r>
        <w:t>19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Jetties to be in accordance with these regulations</w:t>
      </w:r>
      <w:r>
        <w:tab/>
      </w:r>
      <w:r>
        <w:fldChar w:fldCharType="begin"/>
      </w:r>
      <w:r>
        <w:instrText xml:space="preserve"> PAGEREF _Toc178090395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Vessels moored to jetties</w:t>
      </w:r>
      <w:r>
        <w:tab/>
      </w:r>
      <w:r>
        <w:fldChar w:fldCharType="begin"/>
      </w:r>
      <w:r>
        <w:instrText xml:space="preserve"> PAGEREF _Toc178090396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Vessels not to remain at jetties</w:t>
      </w:r>
      <w:r>
        <w:tab/>
      </w:r>
      <w:r>
        <w:fldChar w:fldCharType="begin"/>
      </w:r>
      <w:r>
        <w:instrText xml:space="preserve"> PAGEREF _Toc178090397 \h </w:instrText>
      </w:r>
      <w:r>
        <w:fldChar w:fldCharType="separate"/>
      </w:r>
      <w:r>
        <w:t>20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Cargo or property not to be left on jetties</w:t>
      </w:r>
      <w:r>
        <w:tab/>
      </w:r>
      <w:r>
        <w:fldChar w:fldCharType="begin"/>
      </w:r>
      <w:r>
        <w:instrText xml:space="preserve"> PAGEREF _Toc178090398 \h </w:instrText>
      </w:r>
      <w:r>
        <w:fldChar w:fldCharType="separate"/>
      </w:r>
      <w:r>
        <w:t>20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Explosives not to be landed on jetties</w:t>
      </w:r>
      <w:r>
        <w:tab/>
      </w:r>
      <w:r>
        <w:fldChar w:fldCharType="begin"/>
      </w:r>
      <w:r>
        <w:instrText xml:space="preserve"> PAGEREF _Toc178090399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Vehicles and bicycles on jetties</w:t>
      </w:r>
      <w:r>
        <w:tab/>
      </w:r>
      <w:r>
        <w:fldChar w:fldCharType="begin"/>
      </w:r>
      <w:r>
        <w:instrText xml:space="preserve"> PAGEREF _Toc178090400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Written permission required for bulk cargoes</w:t>
      </w:r>
      <w:r>
        <w:tab/>
      </w:r>
      <w:r>
        <w:fldChar w:fldCharType="begin"/>
      </w:r>
      <w:r>
        <w:instrText xml:space="preserve"> PAGEREF _Toc178090401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Damage to jetties</w:t>
      </w:r>
      <w:r>
        <w:tab/>
      </w:r>
      <w:r>
        <w:fldChar w:fldCharType="begin"/>
      </w:r>
      <w:r>
        <w:instrText xml:space="preserve"> PAGEREF _Toc178090402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Fishing from public bridges and jetties</w:t>
      </w:r>
      <w:r>
        <w:tab/>
      </w:r>
      <w:r>
        <w:fldChar w:fldCharType="begin"/>
      </w:r>
      <w:r>
        <w:instrText xml:space="preserve"> PAGEREF _Toc178090403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Hawking, meetings etc. prohibited</w:t>
      </w:r>
      <w:r>
        <w:tab/>
      </w:r>
      <w:r>
        <w:fldChar w:fldCharType="begin"/>
      </w:r>
      <w:r>
        <w:instrText xml:space="preserve"> PAGEREF _Toc178090404 \h </w:instrText>
      </w:r>
      <w:r>
        <w:fldChar w:fldCharType="separate"/>
      </w:r>
      <w:r>
        <w:t>22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Gangways to be provided</w:t>
      </w:r>
      <w:r>
        <w:tab/>
      </w:r>
      <w:r>
        <w:fldChar w:fldCharType="begin"/>
      </w:r>
      <w:r>
        <w:instrText xml:space="preserve"> PAGEREF _Toc178090405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Material not to be removed without permission</w:t>
      </w:r>
      <w:r>
        <w:tab/>
      </w:r>
      <w:r>
        <w:fldChar w:fldCharType="begin"/>
      </w:r>
      <w:r>
        <w:instrText xml:space="preserve"> PAGEREF _Toc178090406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Obstruction of jetties or officer</w:t>
      </w:r>
      <w:r>
        <w:tab/>
      </w:r>
      <w:r>
        <w:fldChar w:fldCharType="begin"/>
      </w:r>
      <w:r>
        <w:instrText xml:space="preserve"> PAGEREF _Toc178090407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Penalties</w:t>
      </w:r>
      <w:r>
        <w:tab/>
      </w:r>
      <w:r>
        <w:fldChar w:fldCharType="begin"/>
      </w:r>
      <w:r>
        <w:instrText xml:space="preserve"> PAGEREF _Toc178090408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IV — Berthing and mooring</w:t>
      </w:r>
    </w:p>
    <w:p>
      <w:pPr>
        <w:pStyle w:val="TOC8"/>
        <w:rPr>
          <w:rFonts w:asciiTheme="minorHAnsi" w:eastAsiaTheme="minorEastAsia" w:hAnsiTheme="minorHAnsi" w:cstheme="minorBidi"/>
          <w:szCs w:val="22"/>
        </w:rPr>
      </w:pPr>
      <w:r>
        <w:t>37</w:t>
      </w:r>
      <w:r>
        <w:rPr>
          <w:snapToGrid w:val="0"/>
        </w:rPr>
        <w:t>.</w:t>
      </w:r>
      <w:r>
        <w:rPr>
          <w:snapToGrid w:val="0"/>
        </w:rPr>
        <w:tab/>
        <w:t>Application of this Part</w:t>
      </w:r>
      <w:r>
        <w:tab/>
      </w:r>
      <w:r>
        <w:fldChar w:fldCharType="begin"/>
      </w:r>
      <w:r>
        <w:instrText xml:space="preserve"> PAGEREF _Toc178090410 \h </w:instrText>
      </w:r>
      <w:r>
        <w:fldChar w:fldCharType="separate"/>
      </w:r>
      <w:r>
        <w:t>25</w:t>
      </w:r>
      <w:r>
        <w:fldChar w:fldCharType="end"/>
      </w:r>
    </w:p>
    <w:p>
      <w:pPr>
        <w:pStyle w:val="TOC8"/>
        <w:rPr>
          <w:rFonts w:asciiTheme="minorHAnsi" w:eastAsiaTheme="minorEastAsia" w:hAnsiTheme="minorHAnsi" w:cstheme="minorBidi"/>
          <w:szCs w:val="22"/>
        </w:rPr>
      </w:pPr>
      <w:r>
        <w:lastRenderedPageBreak/>
        <w:t>38.</w:t>
      </w:r>
      <w:r>
        <w:tab/>
        <w:t>Vessels to be moored, berthed or removed as directed</w:t>
      </w:r>
      <w:r>
        <w:tab/>
      </w:r>
      <w:r>
        <w:fldChar w:fldCharType="begin"/>
      </w:r>
      <w:r>
        <w:instrText xml:space="preserve"> PAGEREF _Toc178090411 \h </w:instrText>
      </w:r>
      <w:r>
        <w:fldChar w:fldCharType="separate"/>
      </w:r>
      <w:r>
        <w:t>25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Vessels and moorings not to be interfered with</w:t>
      </w:r>
      <w:r>
        <w:tab/>
      </w:r>
      <w:r>
        <w:fldChar w:fldCharType="begin"/>
      </w:r>
      <w:r>
        <w:instrText xml:space="preserve"> PAGEREF _Toc178090412 \h </w:instrText>
      </w:r>
      <w:r>
        <w:fldChar w:fldCharType="separate"/>
      </w:r>
      <w:r>
        <w:t>26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Penalties</w:t>
      </w:r>
      <w:r>
        <w:tab/>
      </w:r>
      <w:r>
        <w:fldChar w:fldCharType="begin"/>
      </w:r>
      <w:r>
        <w:instrText xml:space="preserve"> PAGEREF _Toc178090413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 — Obstruction and wrecks</w:t>
      </w:r>
    </w:p>
    <w:p>
      <w:pPr>
        <w:pStyle w:val="TOC8"/>
        <w:rPr>
          <w:rFonts w:asciiTheme="minorHAnsi" w:eastAsiaTheme="minorEastAsia" w:hAnsiTheme="minorHAnsi" w:cstheme="minorBidi"/>
          <w:szCs w:val="22"/>
        </w:rPr>
      </w:pPr>
      <w:r>
        <w:t>41</w:t>
      </w:r>
      <w:r>
        <w:rPr>
          <w:snapToGrid w:val="0"/>
        </w:rPr>
        <w:t>.</w:t>
      </w:r>
      <w:r>
        <w:rPr>
          <w:snapToGrid w:val="0"/>
        </w:rPr>
        <w:tab/>
        <w:t>Application of this Part</w:t>
      </w:r>
      <w:r>
        <w:tab/>
      </w:r>
      <w:r>
        <w:fldChar w:fldCharType="begin"/>
      </w:r>
      <w:r>
        <w:instrText xml:space="preserve"> PAGEREF _Toc178090415 \h </w:instrText>
      </w:r>
      <w:r>
        <w:fldChar w:fldCharType="separate"/>
      </w:r>
      <w:r>
        <w:t>27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Vessels not to be moored in fairway or channel</w:t>
      </w:r>
      <w:r>
        <w:tab/>
      </w:r>
      <w:r>
        <w:fldChar w:fldCharType="begin"/>
      </w:r>
      <w:r>
        <w:instrText xml:space="preserve"> PAGEREF _Toc178090416 \h </w:instrText>
      </w:r>
      <w:r>
        <w:fldChar w:fldCharType="separate"/>
      </w:r>
      <w:r>
        <w:t>27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Channels or fairways not to be obstructed by nets etc.</w:t>
      </w:r>
      <w:r>
        <w:tab/>
      </w:r>
      <w:r>
        <w:fldChar w:fldCharType="begin"/>
      </w:r>
      <w:r>
        <w:instrText xml:space="preserve"> PAGEREF _Toc178090417 \h </w:instrText>
      </w:r>
      <w:r>
        <w:fldChar w:fldCharType="separate"/>
      </w:r>
      <w:r>
        <w:t>27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Beached vessels to be removed by owner or officer</w:t>
      </w:r>
      <w:r>
        <w:tab/>
      </w:r>
      <w:r>
        <w:fldChar w:fldCharType="begin"/>
      </w:r>
      <w:r>
        <w:instrText xml:space="preserve"> PAGEREF _Toc178090418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Penalties</w:t>
      </w:r>
      <w:r>
        <w:tab/>
      </w:r>
      <w:r>
        <w:fldChar w:fldCharType="begin"/>
      </w:r>
      <w:r>
        <w:instrText xml:space="preserve"> PAGEREF _Toc178090419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5A — Registration of registrable vessels</w:t>
      </w:r>
    </w:p>
    <w:p>
      <w:pPr>
        <w:pStyle w:val="TOC8"/>
        <w:rPr>
          <w:rFonts w:asciiTheme="minorHAnsi" w:eastAsiaTheme="minorEastAsia" w:hAnsiTheme="minorHAnsi" w:cstheme="minorBidi"/>
          <w:szCs w:val="22"/>
        </w:rPr>
      </w:pPr>
      <w:r>
        <w:t>45A</w:t>
      </w:r>
      <w:r>
        <w:rPr>
          <w:snapToGrid w:val="0"/>
        </w:rPr>
        <w:t>.</w:t>
      </w:r>
      <w:r>
        <w:rPr>
          <w:snapToGrid w:val="0"/>
        </w:rPr>
        <w:tab/>
      </w:r>
      <w:r>
        <w:t>Terms used</w:t>
      </w:r>
      <w:r>
        <w:tab/>
      </w:r>
      <w:r>
        <w:fldChar w:fldCharType="begin"/>
      </w:r>
      <w:r>
        <w:instrText xml:space="preserve"> PAGEREF _Toc178090421 \h </w:instrText>
      </w:r>
      <w:r>
        <w:fldChar w:fldCharType="separate"/>
      </w:r>
      <w:r>
        <w:t>30</w:t>
      </w:r>
      <w:r>
        <w:fldChar w:fldCharType="end"/>
      </w:r>
    </w:p>
    <w:p>
      <w:pPr>
        <w:pStyle w:val="TOC8"/>
        <w:rPr>
          <w:rFonts w:asciiTheme="minorHAnsi" w:eastAsiaTheme="minorEastAsia" w:hAnsiTheme="minorHAnsi" w:cstheme="minorBidi"/>
          <w:szCs w:val="22"/>
        </w:rPr>
      </w:pPr>
      <w:r>
        <w:t>45AA.</w:t>
      </w:r>
      <w:r>
        <w:tab/>
        <w:t>Accreditation of persons as hull identification number providers</w:t>
      </w:r>
      <w:r>
        <w:tab/>
      </w:r>
      <w:r>
        <w:fldChar w:fldCharType="begin"/>
      </w:r>
      <w:r>
        <w:instrText xml:space="preserve"> PAGEREF _Toc178090422 \h </w:instrText>
      </w:r>
      <w:r>
        <w:fldChar w:fldCharType="separate"/>
      </w:r>
      <w:r>
        <w:t>31</w:t>
      </w:r>
      <w:r>
        <w:fldChar w:fldCharType="end"/>
      </w:r>
    </w:p>
    <w:p>
      <w:pPr>
        <w:pStyle w:val="TOC8"/>
        <w:rPr>
          <w:rFonts w:asciiTheme="minorHAnsi" w:eastAsiaTheme="minorEastAsia" w:hAnsiTheme="minorHAnsi" w:cstheme="minorBidi"/>
          <w:szCs w:val="22"/>
        </w:rPr>
      </w:pPr>
      <w:r>
        <w:t>45AB.</w:t>
      </w:r>
      <w:r>
        <w:tab/>
        <w:t>Accreditation of persons as hull identification number examiners</w:t>
      </w:r>
      <w:r>
        <w:tab/>
      </w:r>
      <w:r>
        <w:fldChar w:fldCharType="begin"/>
      </w:r>
      <w:r>
        <w:instrText xml:space="preserve"> PAGEREF _Toc178090423 \h </w:instrText>
      </w:r>
      <w:r>
        <w:fldChar w:fldCharType="separate"/>
      </w:r>
      <w:r>
        <w:t>31</w:t>
      </w:r>
      <w:r>
        <w:fldChar w:fldCharType="end"/>
      </w:r>
    </w:p>
    <w:p>
      <w:pPr>
        <w:pStyle w:val="TOC8"/>
        <w:rPr>
          <w:rFonts w:asciiTheme="minorHAnsi" w:eastAsiaTheme="minorEastAsia" w:hAnsiTheme="minorHAnsi" w:cstheme="minorBidi"/>
          <w:szCs w:val="22"/>
        </w:rPr>
      </w:pPr>
      <w:r>
        <w:t>45AC.</w:t>
      </w:r>
      <w:r>
        <w:tab/>
        <w:t>Provisions relating to accreditation of hull identification number providers and examiners</w:t>
      </w:r>
      <w:r>
        <w:tab/>
      </w:r>
      <w:r>
        <w:fldChar w:fldCharType="begin"/>
      </w:r>
      <w:r>
        <w:instrText xml:space="preserve"> PAGEREF _Toc178090424 \h </w:instrText>
      </w:r>
      <w:r>
        <w:fldChar w:fldCharType="separate"/>
      </w:r>
      <w:r>
        <w:t>32</w:t>
      </w:r>
      <w:r>
        <w:fldChar w:fldCharType="end"/>
      </w:r>
    </w:p>
    <w:p>
      <w:pPr>
        <w:pStyle w:val="TOC8"/>
        <w:rPr>
          <w:rFonts w:asciiTheme="minorHAnsi" w:eastAsiaTheme="minorEastAsia" w:hAnsiTheme="minorHAnsi" w:cstheme="minorBidi"/>
          <w:szCs w:val="22"/>
        </w:rPr>
      </w:pPr>
      <w:r>
        <w:t>45AD.</w:t>
      </w:r>
      <w:r>
        <w:tab/>
        <w:t>Transitional provisions regarding accreditation of hull identification number providers and examiners</w:t>
      </w:r>
      <w:r>
        <w:tab/>
      </w:r>
      <w:r>
        <w:fldChar w:fldCharType="begin"/>
      </w:r>
      <w:r>
        <w:instrText xml:space="preserve"> PAGEREF _Toc178090425 \h </w:instrText>
      </w:r>
      <w:r>
        <w:fldChar w:fldCharType="separate"/>
      </w:r>
      <w:r>
        <w:t>33</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Registration of vessels</w:t>
      </w:r>
      <w:r>
        <w:tab/>
      </w:r>
      <w:r>
        <w:fldChar w:fldCharType="begin"/>
      </w:r>
      <w:r>
        <w:instrText xml:space="preserve"> PAGEREF _Toc178090426 \h </w:instrText>
      </w:r>
      <w:r>
        <w:fldChar w:fldCharType="separate"/>
      </w:r>
      <w:r>
        <w:t>34</w:t>
      </w:r>
      <w:r>
        <w:fldChar w:fldCharType="end"/>
      </w:r>
    </w:p>
    <w:p>
      <w:pPr>
        <w:pStyle w:val="TOC8"/>
        <w:rPr>
          <w:rFonts w:asciiTheme="minorHAnsi" w:eastAsiaTheme="minorEastAsia" w:hAnsiTheme="minorHAnsi" w:cstheme="minorBidi"/>
          <w:szCs w:val="22"/>
        </w:rPr>
      </w:pPr>
      <w:r>
        <w:t>45BAA</w:t>
      </w:r>
      <w:r>
        <w:rPr>
          <w:snapToGrid w:val="0"/>
        </w:rPr>
        <w:t>.</w:t>
      </w:r>
      <w:r>
        <w:rPr>
          <w:snapToGrid w:val="0"/>
        </w:rPr>
        <w:tab/>
        <w:t>Registration of foreign pleasure vessels</w:t>
      </w:r>
      <w:r>
        <w:tab/>
      </w:r>
      <w:r>
        <w:fldChar w:fldCharType="begin"/>
      </w:r>
      <w:r>
        <w:instrText xml:space="preserve"> PAGEREF _Toc178090427 \h </w:instrText>
      </w:r>
      <w:r>
        <w:fldChar w:fldCharType="separate"/>
      </w:r>
      <w:r>
        <w:t>42</w:t>
      </w:r>
      <w:r>
        <w:fldChar w:fldCharType="end"/>
      </w:r>
    </w:p>
    <w:p>
      <w:pPr>
        <w:pStyle w:val="TOC8"/>
        <w:rPr>
          <w:rFonts w:asciiTheme="minorHAnsi" w:eastAsiaTheme="minorEastAsia" w:hAnsiTheme="minorHAnsi" w:cstheme="minorBidi"/>
          <w:szCs w:val="22"/>
        </w:rPr>
      </w:pPr>
      <w:r>
        <w:t>45BAB.</w:t>
      </w:r>
      <w:r>
        <w:tab/>
        <w:t>Chief executive officer may issue registration stickers</w:t>
      </w:r>
      <w:r>
        <w:tab/>
      </w:r>
      <w:r>
        <w:fldChar w:fldCharType="begin"/>
      </w:r>
      <w:r>
        <w:instrText xml:space="preserve"> PAGEREF _Toc178090428 \h </w:instrText>
      </w:r>
      <w:r>
        <w:fldChar w:fldCharType="separate"/>
      </w:r>
      <w:r>
        <w:t>45</w:t>
      </w:r>
      <w:r>
        <w:fldChar w:fldCharType="end"/>
      </w:r>
    </w:p>
    <w:p>
      <w:pPr>
        <w:pStyle w:val="TOC8"/>
        <w:rPr>
          <w:rFonts w:asciiTheme="minorHAnsi" w:eastAsiaTheme="minorEastAsia" w:hAnsiTheme="minorHAnsi" w:cstheme="minorBidi"/>
          <w:szCs w:val="22"/>
        </w:rPr>
      </w:pPr>
      <w:r>
        <w:t>45BA</w:t>
      </w:r>
      <w:r>
        <w:rPr>
          <w:snapToGrid w:val="0"/>
        </w:rPr>
        <w:t>.</w:t>
      </w:r>
      <w:r>
        <w:rPr>
          <w:snapToGrid w:val="0"/>
        </w:rPr>
        <w:tab/>
        <w:t>Dealers plates</w:t>
      </w:r>
      <w:r>
        <w:tab/>
      </w:r>
      <w:r>
        <w:fldChar w:fldCharType="begin"/>
      </w:r>
      <w:r>
        <w:instrText xml:space="preserve"> PAGEREF _Toc178090429 \h </w:instrText>
      </w:r>
      <w:r>
        <w:fldChar w:fldCharType="separate"/>
      </w:r>
      <w:r>
        <w:t>45</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Duration of registration etc.</w:t>
      </w:r>
      <w:r>
        <w:tab/>
      </w:r>
      <w:r>
        <w:fldChar w:fldCharType="begin"/>
      </w:r>
      <w:r>
        <w:instrText xml:space="preserve"> PAGEREF _Toc178090430 \h </w:instrText>
      </w:r>
      <w:r>
        <w:fldChar w:fldCharType="separate"/>
      </w:r>
      <w:r>
        <w:t>48</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Owners to furnish particulars of changes of address etc.</w:t>
      </w:r>
      <w:r>
        <w:tab/>
      </w:r>
      <w:r>
        <w:fldChar w:fldCharType="begin"/>
      </w:r>
      <w:r>
        <w:instrText xml:space="preserve"> PAGEREF _Toc178090431 \h </w:instrText>
      </w:r>
      <w:r>
        <w:fldChar w:fldCharType="separate"/>
      </w:r>
      <w:r>
        <w:t>48</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Transfers of vessels</w:t>
      </w:r>
      <w:r>
        <w:tab/>
      </w:r>
      <w:r>
        <w:fldChar w:fldCharType="begin"/>
      </w:r>
      <w:r>
        <w:instrText xml:space="preserve"> PAGEREF _Toc178090432 \h </w:instrText>
      </w:r>
      <w:r>
        <w:fldChar w:fldCharType="separate"/>
      </w:r>
      <w:r>
        <w:t>49</w:t>
      </w:r>
      <w:r>
        <w:fldChar w:fldCharType="end"/>
      </w:r>
    </w:p>
    <w:p>
      <w:pPr>
        <w:pStyle w:val="TOC8"/>
        <w:rPr>
          <w:rFonts w:asciiTheme="minorHAnsi" w:eastAsiaTheme="minorEastAsia" w:hAnsiTheme="minorHAnsi" w:cstheme="minorBidi"/>
          <w:szCs w:val="22"/>
        </w:rPr>
      </w:pPr>
      <w:r>
        <w:t>45EA.</w:t>
      </w:r>
      <w:r>
        <w:tab/>
        <w:t>Altering hull identification number prohibited</w:t>
      </w:r>
      <w:r>
        <w:tab/>
      </w:r>
      <w:r>
        <w:fldChar w:fldCharType="begin"/>
      </w:r>
      <w:r>
        <w:instrText xml:space="preserve"> PAGEREF _Toc178090433 \h </w:instrText>
      </w:r>
      <w:r>
        <w:fldChar w:fldCharType="separate"/>
      </w:r>
      <w:r>
        <w:t>52</w:t>
      </w:r>
      <w:r>
        <w:fldChar w:fldCharType="end"/>
      </w:r>
    </w:p>
    <w:p>
      <w:pPr>
        <w:pStyle w:val="TOC8"/>
        <w:rPr>
          <w:rFonts w:asciiTheme="minorHAnsi" w:eastAsiaTheme="minorEastAsia" w:hAnsiTheme="minorHAnsi" w:cstheme="minorBidi"/>
          <w:szCs w:val="22"/>
        </w:rPr>
      </w:pPr>
      <w:r>
        <w:t>45EB.</w:t>
      </w:r>
      <w:r>
        <w:tab/>
        <w:t>Duty of owner to reaffix hull identification number</w:t>
      </w:r>
      <w:r>
        <w:tab/>
      </w:r>
      <w:r>
        <w:fldChar w:fldCharType="begin"/>
      </w:r>
      <w:r>
        <w:instrText xml:space="preserve"> PAGEREF _Toc178090434 \h </w:instrText>
      </w:r>
      <w:r>
        <w:fldChar w:fldCharType="separate"/>
      </w:r>
      <w:r>
        <w:t>52</w:t>
      </w:r>
      <w:r>
        <w:fldChar w:fldCharType="end"/>
      </w:r>
    </w:p>
    <w:p>
      <w:pPr>
        <w:pStyle w:val="TOC8"/>
        <w:rPr>
          <w:rFonts w:asciiTheme="minorHAnsi" w:eastAsiaTheme="minorEastAsia" w:hAnsiTheme="minorHAnsi" w:cstheme="minorBidi"/>
          <w:szCs w:val="22"/>
        </w:rPr>
      </w:pPr>
      <w:r>
        <w:t>45F.</w:t>
      </w:r>
      <w:r>
        <w:tab/>
        <w:t>Penalties</w:t>
      </w:r>
      <w:r>
        <w:tab/>
      </w:r>
      <w:r>
        <w:fldChar w:fldCharType="begin"/>
      </w:r>
      <w:r>
        <w:instrText xml:space="preserve"> PAGEREF _Toc178090435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Recreational skipper’s tickets, equipment and safety requirements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46</w:t>
      </w:r>
      <w:r>
        <w:rPr>
          <w:snapToGrid w:val="0"/>
        </w:rPr>
        <w:t>.</w:t>
      </w:r>
      <w:r>
        <w:rPr>
          <w:snapToGrid w:val="0"/>
        </w:rPr>
        <w:tab/>
        <w:t>Terms used</w:t>
      </w:r>
      <w:r>
        <w:tab/>
      </w:r>
      <w:r>
        <w:fldChar w:fldCharType="begin"/>
      </w:r>
      <w:r>
        <w:instrText xml:space="preserve"> PAGEREF _Toc178090438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Recreational skippers’ tickets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_Toc178090440 \h </w:instrText>
      </w:r>
      <w:r>
        <w:fldChar w:fldCharType="separate"/>
      </w:r>
      <w:r>
        <w:t>58</w:t>
      </w:r>
      <w:r>
        <w:fldChar w:fldCharType="end"/>
      </w:r>
    </w:p>
    <w:p>
      <w:pPr>
        <w:pStyle w:val="TOC8"/>
        <w:rPr>
          <w:rFonts w:asciiTheme="minorHAnsi" w:eastAsiaTheme="minorEastAsia" w:hAnsiTheme="minorHAnsi" w:cstheme="minorBidi"/>
          <w:szCs w:val="22"/>
        </w:rPr>
      </w:pPr>
      <w:r>
        <w:t>47A.</w:t>
      </w:r>
      <w:r>
        <w:tab/>
        <w:t>Authority to drive motor boats and RST vessels</w:t>
      </w:r>
      <w:r>
        <w:tab/>
      </w:r>
      <w:r>
        <w:fldChar w:fldCharType="begin"/>
      </w:r>
      <w:r>
        <w:instrText xml:space="preserve"> PAGEREF _Toc178090441 \h </w:instrText>
      </w:r>
      <w:r>
        <w:fldChar w:fldCharType="separate"/>
      </w:r>
      <w:r>
        <w:t>59</w:t>
      </w:r>
      <w:r>
        <w:fldChar w:fldCharType="end"/>
      </w:r>
    </w:p>
    <w:p>
      <w:pPr>
        <w:pStyle w:val="TOC8"/>
        <w:rPr>
          <w:rFonts w:asciiTheme="minorHAnsi" w:eastAsiaTheme="minorEastAsia" w:hAnsiTheme="minorHAnsi" w:cstheme="minorBidi"/>
          <w:szCs w:val="22"/>
        </w:rPr>
      </w:pPr>
      <w:r>
        <w:t>47B</w:t>
      </w:r>
      <w:r>
        <w:rPr>
          <w:iCs/>
        </w:rPr>
        <w:t>.</w:t>
      </w:r>
      <w:r>
        <w:rPr>
          <w:iCs/>
        </w:rPr>
        <w:tab/>
        <w:t>Learner deemed to be directly supervised</w:t>
      </w:r>
      <w:r>
        <w:tab/>
      </w:r>
      <w:r>
        <w:fldChar w:fldCharType="begin"/>
      </w:r>
      <w:r>
        <w:instrText xml:space="preserve"> PAGEREF _Toc178090442 \h </w:instrText>
      </w:r>
      <w:r>
        <w:fldChar w:fldCharType="separate"/>
      </w:r>
      <w:r>
        <w:t>60</w:t>
      </w:r>
      <w:r>
        <w:fldChar w:fldCharType="end"/>
      </w:r>
    </w:p>
    <w:p>
      <w:pPr>
        <w:pStyle w:val="TOC8"/>
        <w:rPr>
          <w:rFonts w:asciiTheme="minorHAnsi" w:eastAsiaTheme="minorEastAsia" w:hAnsiTheme="minorHAnsi" w:cstheme="minorBidi"/>
          <w:szCs w:val="22"/>
        </w:rPr>
      </w:pPr>
      <w:r>
        <w:t>47C.</w:t>
      </w:r>
      <w:r>
        <w:tab/>
        <w:t>Recreational skipper’s ticket</w:t>
      </w:r>
      <w:r>
        <w:tab/>
      </w:r>
      <w:r>
        <w:fldChar w:fldCharType="begin"/>
      </w:r>
      <w:r>
        <w:instrText xml:space="preserve"> PAGEREF _Toc178090443 \h </w:instrText>
      </w:r>
      <w:r>
        <w:fldChar w:fldCharType="separate"/>
      </w:r>
      <w:r>
        <w:t>60</w:t>
      </w:r>
      <w:r>
        <w:fldChar w:fldCharType="end"/>
      </w:r>
    </w:p>
    <w:p>
      <w:pPr>
        <w:pStyle w:val="TOC8"/>
        <w:rPr>
          <w:rFonts w:asciiTheme="minorHAnsi" w:eastAsiaTheme="minorEastAsia" w:hAnsiTheme="minorHAnsi" w:cstheme="minorBidi"/>
          <w:szCs w:val="22"/>
        </w:rPr>
      </w:pPr>
      <w:r>
        <w:t>47D.</w:t>
      </w:r>
      <w:r>
        <w:tab/>
        <w:t>Recreational skipper’s ticket, conditions on</w:t>
      </w:r>
      <w:r>
        <w:tab/>
      </w:r>
      <w:r>
        <w:fldChar w:fldCharType="begin"/>
      </w:r>
      <w:r>
        <w:instrText xml:space="preserve"> PAGEREF _Toc178090444 \h </w:instrText>
      </w:r>
      <w:r>
        <w:fldChar w:fldCharType="separate"/>
      </w:r>
      <w:r>
        <w:t>62</w:t>
      </w:r>
      <w:r>
        <w:fldChar w:fldCharType="end"/>
      </w:r>
    </w:p>
    <w:p>
      <w:pPr>
        <w:pStyle w:val="TOC8"/>
        <w:rPr>
          <w:rFonts w:asciiTheme="minorHAnsi" w:eastAsiaTheme="minorEastAsia" w:hAnsiTheme="minorHAnsi" w:cstheme="minorBidi"/>
          <w:szCs w:val="22"/>
        </w:rPr>
      </w:pPr>
      <w:r>
        <w:t>47E.</w:t>
      </w:r>
      <w:r>
        <w:tab/>
        <w:t>Interstate or overseas ticket valid for 3 months</w:t>
      </w:r>
      <w:r>
        <w:tab/>
      </w:r>
      <w:r>
        <w:fldChar w:fldCharType="begin"/>
      </w:r>
      <w:r>
        <w:instrText xml:space="preserve"> PAGEREF _Toc178090445 \h </w:instrText>
      </w:r>
      <w:r>
        <w:fldChar w:fldCharType="separate"/>
      </w:r>
      <w:r>
        <w:t>62</w:t>
      </w:r>
      <w:r>
        <w:fldChar w:fldCharType="end"/>
      </w:r>
    </w:p>
    <w:p>
      <w:pPr>
        <w:pStyle w:val="TOC8"/>
        <w:rPr>
          <w:rFonts w:asciiTheme="minorHAnsi" w:eastAsiaTheme="minorEastAsia" w:hAnsiTheme="minorHAnsi" w:cstheme="minorBidi"/>
          <w:szCs w:val="22"/>
        </w:rPr>
      </w:pPr>
      <w:r>
        <w:t>47F.</w:t>
      </w:r>
      <w:r>
        <w:tab/>
        <w:t>Exemptions</w:t>
      </w:r>
      <w:r>
        <w:tab/>
      </w:r>
      <w:r>
        <w:fldChar w:fldCharType="begin"/>
      </w:r>
      <w:r>
        <w:instrText xml:space="preserve"> PAGEREF _Toc178090446 \h </w:instrText>
      </w:r>
      <w:r>
        <w:fldChar w:fldCharType="separate"/>
      </w:r>
      <w:r>
        <w:t>63</w:t>
      </w:r>
      <w:r>
        <w:fldChar w:fldCharType="end"/>
      </w:r>
    </w:p>
    <w:p>
      <w:pPr>
        <w:pStyle w:val="TOC8"/>
        <w:rPr>
          <w:rFonts w:asciiTheme="minorHAnsi" w:eastAsiaTheme="minorEastAsia" w:hAnsiTheme="minorHAnsi" w:cstheme="minorBidi"/>
          <w:szCs w:val="22"/>
        </w:rPr>
      </w:pPr>
      <w:r>
        <w:t>47G.</w:t>
      </w:r>
      <w:r>
        <w:tab/>
        <w:t>Recreational skipper’s ticket, CEO may refuse, cancel or suspend</w:t>
      </w:r>
      <w:r>
        <w:tab/>
      </w:r>
      <w:r>
        <w:fldChar w:fldCharType="begin"/>
      </w:r>
      <w:r>
        <w:instrText xml:space="preserve"> PAGEREF _Toc178090447 \h </w:instrText>
      </w:r>
      <w:r>
        <w:fldChar w:fldCharType="separate"/>
      </w:r>
      <w:r>
        <w:t>63</w:t>
      </w:r>
      <w:r>
        <w:fldChar w:fldCharType="end"/>
      </w:r>
    </w:p>
    <w:p>
      <w:pPr>
        <w:pStyle w:val="TOC8"/>
        <w:rPr>
          <w:rFonts w:asciiTheme="minorHAnsi" w:eastAsiaTheme="minorEastAsia" w:hAnsiTheme="minorHAnsi" w:cstheme="minorBidi"/>
          <w:szCs w:val="22"/>
        </w:rPr>
      </w:pPr>
      <w:r>
        <w:t>47GA.</w:t>
      </w:r>
      <w:r>
        <w:tab/>
        <w:t>Effect of disqualification: cancellation</w:t>
      </w:r>
      <w:r>
        <w:tab/>
      </w:r>
      <w:r>
        <w:fldChar w:fldCharType="begin"/>
      </w:r>
      <w:r>
        <w:instrText xml:space="preserve"> PAGEREF _Toc178090448 \h </w:instrText>
      </w:r>
      <w:r>
        <w:fldChar w:fldCharType="separate"/>
      </w:r>
      <w:r>
        <w:t>64</w:t>
      </w:r>
      <w:r>
        <w:fldChar w:fldCharType="end"/>
      </w:r>
    </w:p>
    <w:p>
      <w:pPr>
        <w:pStyle w:val="TOC8"/>
        <w:rPr>
          <w:rFonts w:asciiTheme="minorHAnsi" w:eastAsiaTheme="minorEastAsia" w:hAnsiTheme="minorHAnsi" w:cstheme="minorBidi"/>
          <w:szCs w:val="22"/>
        </w:rPr>
      </w:pPr>
      <w:r>
        <w:t>47GB.</w:t>
      </w:r>
      <w:r>
        <w:tab/>
        <w:t>Effect of disqualification in another jurisdiction</w:t>
      </w:r>
      <w:r>
        <w:tab/>
      </w:r>
      <w:r>
        <w:fldChar w:fldCharType="begin"/>
      </w:r>
      <w:r>
        <w:instrText xml:space="preserve"> PAGEREF _Toc178090449 \h </w:instrText>
      </w:r>
      <w:r>
        <w:fldChar w:fldCharType="separate"/>
      </w:r>
      <w:r>
        <w:t>65</w:t>
      </w:r>
      <w:r>
        <w:fldChar w:fldCharType="end"/>
      </w:r>
    </w:p>
    <w:p>
      <w:pPr>
        <w:pStyle w:val="TOC8"/>
        <w:rPr>
          <w:rFonts w:asciiTheme="minorHAnsi" w:eastAsiaTheme="minorEastAsia" w:hAnsiTheme="minorHAnsi" w:cstheme="minorBidi"/>
          <w:szCs w:val="22"/>
        </w:rPr>
      </w:pPr>
      <w:r>
        <w:t>47H</w:t>
      </w:r>
      <w:r>
        <w:rPr>
          <w:iCs/>
        </w:rPr>
        <w:t>.</w:t>
      </w:r>
      <w:r>
        <w:rPr>
          <w:iCs/>
        </w:rPr>
        <w:tab/>
        <w:t>Ticket</w:t>
      </w:r>
      <w:r>
        <w:t xml:space="preserve"> </w:t>
      </w:r>
      <w:r>
        <w:rPr>
          <w:iCs/>
        </w:rPr>
        <w:t>to be produced on request</w:t>
      </w:r>
      <w:r>
        <w:tab/>
      </w:r>
      <w:r>
        <w:fldChar w:fldCharType="begin"/>
      </w:r>
      <w:r>
        <w:instrText xml:space="preserve"> PAGEREF _Toc178090450 \h </w:instrText>
      </w:r>
      <w:r>
        <w:fldChar w:fldCharType="separate"/>
      </w:r>
      <w:r>
        <w:t>65</w:t>
      </w:r>
      <w:r>
        <w:fldChar w:fldCharType="end"/>
      </w:r>
    </w:p>
    <w:p>
      <w:pPr>
        <w:pStyle w:val="TOC8"/>
        <w:rPr>
          <w:rFonts w:asciiTheme="minorHAnsi" w:eastAsiaTheme="minorEastAsia" w:hAnsiTheme="minorHAnsi" w:cstheme="minorBidi"/>
          <w:szCs w:val="22"/>
        </w:rPr>
      </w:pPr>
      <w:r>
        <w:t>47I</w:t>
      </w:r>
      <w:r>
        <w:rPr>
          <w:iCs/>
        </w:rPr>
        <w:t>.</w:t>
      </w:r>
      <w:r>
        <w:rPr>
          <w:iCs/>
        </w:rPr>
        <w:tab/>
        <w:t xml:space="preserve">Ticket </w:t>
      </w:r>
      <w:r>
        <w:t>holder to notify change of details</w:t>
      </w:r>
      <w:r>
        <w:tab/>
      </w:r>
      <w:r>
        <w:fldChar w:fldCharType="begin"/>
      </w:r>
      <w:r>
        <w:instrText xml:space="preserve"> PAGEREF _Toc178090451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General regulations for motor boats, speed boats and personal watercraft</w:t>
      </w:r>
    </w:p>
    <w:p>
      <w:pPr>
        <w:pStyle w:val="TOC8"/>
        <w:rPr>
          <w:rFonts w:asciiTheme="minorHAnsi" w:eastAsiaTheme="minorEastAsia" w:hAnsiTheme="minorHAnsi" w:cstheme="minorBidi"/>
          <w:szCs w:val="22"/>
        </w:rPr>
      </w:pPr>
      <w:r>
        <w:t>48</w:t>
      </w:r>
      <w:r>
        <w:rPr>
          <w:snapToGrid w:val="0"/>
        </w:rPr>
        <w:t>.</w:t>
      </w:r>
      <w:r>
        <w:rPr>
          <w:snapToGrid w:val="0"/>
        </w:rPr>
        <w:tab/>
        <w:t>Limitation of speed, water ski-ing and para-sailing</w:t>
      </w:r>
      <w:r>
        <w:tab/>
      </w:r>
      <w:r>
        <w:fldChar w:fldCharType="begin"/>
      </w:r>
      <w:r>
        <w:instrText xml:space="preserve"> PAGEREF _Toc178090453 \h </w:instrText>
      </w:r>
      <w:r>
        <w:fldChar w:fldCharType="separate"/>
      </w:r>
      <w:r>
        <w:t>66</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Areas for speed boats and water ski</w:t>
      </w:r>
      <w:r>
        <w:rPr>
          <w:snapToGrid w:val="0"/>
        </w:rPr>
        <w:noBreakHyphen/>
        <w:t>ing</w:t>
      </w:r>
      <w:r>
        <w:tab/>
      </w:r>
      <w:r>
        <w:fldChar w:fldCharType="begin"/>
      </w:r>
      <w:r>
        <w:instrText xml:space="preserve"> PAGEREF _Toc178090454 \h </w:instrText>
      </w:r>
      <w:r>
        <w:fldChar w:fldCharType="separate"/>
      </w:r>
      <w:r>
        <w:t>67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Driver to be accompanied and to be alert</w:t>
      </w:r>
      <w:r>
        <w:tab/>
      </w:r>
      <w:r>
        <w:fldChar w:fldCharType="begin"/>
      </w:r>
      <w:r>
        <w:instrText xml:space="preserve"> PAGEREF _Toc178090455 \h </w:instrText>
      </w:r>
      <w:r>
        <w:fldChar w:fldCharType="separate"/>
      </w:r>
      <w:r>
        <w:t>68</w:t>
      </w:r>
      <w:r>
        <w:fldChar w:fldCharType="end"/>
      </w:r>
    </w:p>
    <w:p>
      <w:pPr>
        <w:pStyle w:val="TOC8"/>
        <w:rPr>
          <w:rFonts w:asciiTheme="minorHAnsi" w:eastAsiaTheme="minorEastAsia" w:hAnsiTheme="minorHAnsi" w:cstheme="minorBidi"/>
          <w:szCs w:val="22"/>
        </w:rPr>
      </w:pPr>
      <w:r>
        <w:t>49C</w:t>
      </w:r>
      <w:r>
        <w:rPr>
          <w:snapToGrid w:val="0"/>
        </w:rPr>
        <w:t>.</w:t>
      </w:r>
      <w:r>
        <w:rPr>
          <w:snapToGrid w:val="0"/>
        </w:rPr>
        <w:tab/>
        <w:t>Driving speed boats behind skiers</w:t>
      </w:r>
      <w:r>
        <w:tab/>
      </w:r>
      <w:r>
        <w:fldChar w:fldCharType="begin"/>
      </w:r>
      <w:r>
        <w:instrText xml:space="preserve"> PAGEREF _Toc178090456 \h </w:instrText>
      </w:r>
      <w:r>
        <w:fldChar w:fldCharType="separate"/>
      </w:r>
      <w:r>
        <w:t>69</w:t>
      </w:r>
      <w:r>
        <w:fldChar w:fldCharType="end"/>
      </w:r>
    </w:p>
    <w:p>
      <w:pPr>
        <w:pStyle w:val="TOC8"/>
        <w:rPr>
          <w:rFonts w:asciiTheme="minorHAnsi" w:eastAsiaTheme="minorEastAsia" w:hAnsiTheme="minorHAnsi" w:cstheme="minorBidi"/>
          <w:szCs w:val="22"/>
        </w:rPr>
      </w:pPr>
      <w:r>
        <w:t>49D</w:t>
      </w:r>
      <w:r>
        <w:rPr>
          <w:snapToGrid w:val="0"/>
        </w:rPr>
        <w:t>.</w:t>
      </w:r>
      <w:r>
        <w:rPr>
          <w:snapToGrid w:val="0"/>
        </w:rPr>
        <w:tab/>
        <w:t>Right of way when landing a water skier</w:t>
      </w:r>
      <w:r>
        <w:tab/>
      </w:r>
      <w:r>
        <w:fldChar w:fldCharType="begin"/>
      </w:r>
      <w:r>
        <w:instrText xml:space="preserve"> PAGEREF _Toc178090457 \h </w:instrText>
      </w:r>
      <w:r>
        <w:fldChar w:fldCharType="separate"/>
      </w:r>
      <w:r>
        <w:t>69</w:t>
      </w:r>
      <w:r>
        <w:fldChar w:fldCharType="end"/>
      </w:r>
    </w:p>
    <w:p>
      <w:pPr>
        <w:pStyle w:val="TOC8"/>
        <w:rPr>
          <w:rFonts w:asciiTheme="minorHAnsi" w:eastAsiaTheme="minorEastAsia" w:hAnsiTheme="minorHAnsi" w:cstheme="minorBidi"/>
          <w:szCs w:val="22"/>
        </w:rPr>
      </w:pPr>
      <w:r>
        <w:t>49E</w:t>
      </w:r>
      <w:r>
        <w:rPr>
          <w:snapToGrid w:val="0"/>
        </w:rPr>
        <w:t>.</w:t>
      </w:r>
      <w:r>
        <w:rPr>
          <w:snapToGrid w:val="0"/>
        </w:rPr>
        <w:tab/>
        <w:t>Ski ropes</w:t>
      </w:r>
      <w:r>
        <w:tab/>
      </w:r>
      <w:r>
        <w:fldChar w:fldCharType="begin"/>
      </w:r>
      <w:r>
        <w:instrText xml:space="preserve"> PAGEREF _Toc178090458 \h </w:instrText>
      </w:r>
      <w:r>
        <w:fldChar w:fldCharType="separate"/>
      </w:r>
      <w:r>
        <w:t>69</w:t>
      </w:r>
      <w:r>
        <w:fldChar w:fldCharType="end"/>
      </w:r>
    </w:p>
    <w:p>
      <w:pPr>
        <w:pStyle w:val="TOC8"/>
        <w:rPr>
          <w:rFonts w:asciiTheme="minorHAnsi" w:eastAsiaTheme="minorEastAsia" w:hAnsiTheme="minorHAnsi" w:cstheme="minorBidi"/>
          <w:szCs w:val="22"/>
        </w:rPr>
      </w:pPr>
      <w:r>
        <w:t>49F</w:t>
      </w:r>
      <w:r>
        <w:rPr>
          <w:snapToGrid w:val="0"/>
        </w:rPr>
        <w:t>.</w:t>
      </w:r>
      <w:r>
        <w:rPr>
          <w:snapToGrid w:val="0"/>
        </w:rPr>
        <w:tab/>
        <w:t>Towing trick water skiers</w:t>
      </w:r>
      <w:r>
        <w:tab/>
      </w:r>
      <w:r>
        <w:fldChar w:fldCharType="begin"/>
      </w:r>
      <w:r>
        <w:instrText xml:space="preserve"> PAGEREF _Toc178090459 \h </w:instrText>
      </w:r>
      <w:r>
        <w:fldChar w:fldCharType="separate"/>
      </w:r>
      <w:r>
        <w:t>69</w:t>
      </w:r>
      <w:r>
        <w:fldChar w:fldCharType="end"/>
      </w:r>
    </w:p>
    <w:p>
      <w:pPr>
        <w:pStyle w:val="TOC8"/>
        <w:rPr>
          <w:rFonts w:asciiTheme="minorHAnsi" w:eastAsiaTheme="minorEastAsia" w:hAnsiTheme="minorHAnsi" w:cstheme="minorBidi"/>
          <w:szCs w:val="22"/>
        </w:rPr>
      </w:pPr>
      <w:r>
        <w:t>49G</w:t>
      </w:r>
      <w:r>
        <w:rPr>
          <w:snapToGrid w:val="0"/>
        </w:rPr>
        <w:t>.</w:t>
      </w:r>
      <w:r>
        <w:rPr>
          <w:snapToGrid w:val="0"/>
        </w:rPr>
        <w:tab/>
        <w:t>Towing skiers near landing or take</w:t>
      </w:r>
      <w:r>
        <w:rPr>
          <w:snapToGrid w:val="0"/>
        </w:rPr>
        <w:noBreakHyphen/>
        <w:t>off areas</w:t>
      </w:r>
      <w:r>
        <w:tab/>
      </w:r>
      <w:r>
        <w:fldChar w:fldCharType="begin"/>
      </w:r>
      <w:r>
        <w:instrText xml:space="preserve"> PAGEREF _Toc178090460 \h </w:instrText>
      </w:r>
      <w:r>
        <w:fldChar w:fldCharType="separate"/>
      </w:r>
      <w:r>
        <w:t>69</w:t>
      </w:r>
      <w:r>
        <w:fldChar w:fldCharType="end"/>
      </w:r>
    </w:p>
    <w:p>
      <w:pPr>
        <w:pStyle w:val="TOC8"/>
        <w:rPr>
          <w:rFonts w:asciiTheme="minorHAnsi" w:eastAsiaTheme="minorEastAsia" w:hAnsiTheme="minorHAnsi" w:cstheme="minorBidi"/>
          <w:szCs w:val="22"/>
        </w:rPr>
      </w:pPr>
      <w:r>
        <w:t>49H</w:t>
      </w:r>
      <w:r>
        <w:rPr>
          <w:snapToGrid w:val="0"/>
        </w:rPr>
        <w:t>.</w:t>
      </w:r>
      <w:r>
        <w:rPr>
          <w:snapToGrid w:val="0"/>
        </w:rPr>
        <w:tab/>
        <w:t>Ski line to be retrieved</w:t>
      </w:r>
      <w:r>
        <w:tab/>
      </w:r>
      <w:r>
        <w:fldChar w:fldCharType="begin"/>
      </w:r>
      <w:r>
        <w:instrText xml:space="preserve"> PAGEREF _Toc178090461 \h </w:instrText>
      </w:r>
      <w:r>
        <w:fldChar w:fldCharType="separate"/>
      </w:r>
      <w:r>
        <w:t>70</w:t>
      </w:r>
      <w:r>
        <w:fldChar w:fldCharType="end"/>
      </w:r>
    </w:p>
    <w:p>
      <w:pPr>
        <w:pStyle w:val="TOC8"/>
        <w:rPr>
          <w:rFonts w:asciiTheme="minorHAnsi" w:eastAsiaTheme="minorEastAsia" w:hAnsiTheme="minorHAnsi" w:cstheme="minorBidi"/>
          <w:szCs w:val="22"/>
        </w:rPr>
      </w:pPr>
      <w:r>
        <w:t>49I</w:t>
      </w:r>
      <w:r>
        <w:rPr>
          <w:snapToGrid w:val="0"/>
        </w:rPr>
        <w:t>.</w:t>
      </w:r>
      <w:r>
        <w:rPr>
          <w:snapToGrid w:val="0"/>
        </w:rPr>
        <w:tab/>
        <w:t>Driver of speed boat not to approach shore where skier has landed</w:t>
      </w:r>
      <w:r>
        <w:tab/>
      </w:r>
      <w:r>
        <w:fldChar w:fldCharType="begin"/>
      </w:r>
      <w:r>
        <w:instrText xml:space="preserve"> PAGEREF _Toc178090462 \h </w:instrText>
      </w:r>
      <w:r>
        <w:fldChar w:fldCharType="separate"/>
      </w:r>
      <w:r>
        <w:t>70</w:t>
      </w:r>
      <w:r>
        <w:fldChar w:fldCharType="end"/>
      </w:r>
    </w:p>
    <w:p>
      <w:pPr>
        <w:pStyle w:val="TOC8"/>
        <w:rPr>
          <w:rFonts w:asciiTheme="minorHAnsi" w:eastAsiaTheme="minorEastAsia" w:hAnsiTheme="minorHAnsi" w:cstheme="minorBidi"/>
          <w:szCs w:val="22"/>
        </w:rPr>
      </w:pPr>
      <w:r>
        <w:t>49J</w:t>
      </w:r>
      <w:r>
        <w:rPr>
          <w:snapToGrid w:val="0"/>
        </w:rPr>
        <w:t>.</w:t>
      </w:r>
      <w:r>
        <w:rPr>
          <w:snapToGrid w:val="0"/>
        </w:rPr>
        <w:tab/>
        <w:t>Sitting on gunwale or back of driver’s seat prohibited</w:t>
      </w:r>
      <w:r>
        <w:tab/>
      </w:r>
      <w:r>
        <w:fldChar w:fldCharType="begin"/>
      </w:r>
      <w:r>
        <w:instrText xml:space="preserve"> PAGEREF _Toc178090463 \h </w:instrText>
      </w:r>
      <w:r>
        <w:fldChar w:fldCharType="separate"/>
      </w:r>
      <w:r>
        <w:t>70</w:t>
      </w:r>
      <w:r>
        <w:fldChar w:fldCharType="end"/>
      </w:r>
    </w:p>
    <w:p>
      <w:pPr>
        <w:pStyle w:val="TOC8"/>
        <w:rPr>
          <w:rFonts w:asciiTheme="minorHAnsi" w:eastAsiaTheme="minorEastAsia" w:hAnsiTheme="minorHAnsi" w:cstheme="minorBidi"/>
          <w:szCs w:val="22"/>
        </w:rPr>
      </w:pPr>
      <w:r>
        <w:t>49K</w:t>
      </w:r>
      <w:r>
        <w:rPr>
          <w:snapToGrid w:val="0"/>
        </w:rPr>
        <w:t>.</w:t>
      </w:r>
      <w:r>
        <w:rPr>
          <w:snapToGrid w:val="0"/>
        </w:rPr>
        <w:tab/>
        <w:t>Water skis to be retrieved immediately</w:t>
      </w:r>
      <w:r>
        <w:tab/>
      </w:r>
      <w:r>
        <w:fldChar w:fldCharType="begin"/>
      </w:r>
      <w:r>
        <w:instrText xml:space="preserve"> PAGEREF _Toc178090464 \h </w:instrText>
      </w:r>
      <w:r>
        <w:fldChar w:fldCharType="separate"/>
      </w:r>
      <w:r>
        <w:t>70</w:t>
      </w:r>
      <w:r>
        <w:fldChar w:fldCharType="end"/>
      </w:r>
    </w:p>
    <w:p>
      <w:pPr>
        <w:pStyle w:val="TOC8"/>
        <w:rPr>
          <w:rFonts w:asciiTheme="minorHAnsi" w:eastAsiaTheme="minorEastAsia" w:hAnsiTheme="minorHAnsi" w:cstheme="minorBidi"/>
          <w:szCs w:val="22"/>
        </w:rPr>
      </w:pPr>
      <w:r>
        <w:t>49M</w:t>
      </w:r>
      <w:r>
        <w:rPr>
          <w:snapToGrid w:val="0"/>
        </w:rPr>
        <w:t>.</w:t>
      </w:r>
      <w:r>
        <w:rPr>
          <w:snapToGrid w:val="0"/>
        </w:rPr>
        <w:tab/>
      </w:r>
      <w:r>
        <w:t>Restrictions on slalom ski</w:t>
      </w:r>
      <w:r>
        <w:noBreakHyphen/>
        <w:t>ing or ski</w:t>
      </w:r>
      <w:r>
        <w:noBreakHyphen/>
        <w:t>jumping</w:t>
      </w:r>
      <w:r>
        <w:tab/>
      </w:r>
      <w:r>
        <w:fldChar w:fldCharType="begin"/>
      </w:r>
      <w:r>
        <w:instrText xml:space="preserve"> PAGEREF _Toc178090465 \h </w:instrText>
      </w:r>
      <w:r>
        <w:fldChar w:fldCharType="separate"/>
      </w:r>
      <w:r>
        <w:t>71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Towing of water skier prohibited at certain times</w:t>
      </w:r>
      <w:r>
        <w:tab/>
      </w:r>
      <w:r>
        <w:fldChar w:fldCharType="begin"/>
      </w:r>
      <w:r>
        <w:instrText xml:space="preserve"> PAGEREF _Toc178090466 \h </w:instrText>
      </w:r>
      <w:r>
        <w:fldChar w:fldCharType="separate"/>
      </w:r>
      <w:r>
        <w:t>72</w:t>
      </w:r>
      <w:r>
        <w:fldChar w:fldCharType="end"/>
      </w:r>
    </w:p>
    <w:p>
      <w:pPr>
        <w:pStyle w:val="TOC8"/>
        <w:rPr>
          <w:rFonts w:asciiTheme="minorHAnsi" w:eastAsiaTheme="minorEastAsia" w:hAnsiTheme="minorHAnsi" w:cstheme="minorBidi"/>
          <w:szCs w:val="22"/>
        </w:rPr>
      </w:pPr>
      <w:r>
        <w:lastRenderedPageBreak/>
        <w:t>50A</w:t>
      </w:r>
      <w:r>
        <w:rPr>
          <w:snapToGrid w:val="0"/>
        </w:rPr>
        <w:t>.</w:t>
      </w:r>
      <w:r>
        <w:rPr>
          <w:snapToGrid w:val="0"/>
        </w:rPr>
        <w:tab/>
      </w:r>
      <w:r>
        <w:t>Restrictions on freestyle driving, surfing and wave jumping on personal watercraft</w:t>
      </w:r>
      <w:r>
        <w:tab/>
      </w:r>
      <w:r>
        <w:fldChar w:fldCharType="begin"/>
      </w:r>
      <w:r>
        <w:instrText xml:space="preserve"> PAGEREF _Toc178090467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 — Lifejackets</w:t>
      </w:r>
    </w:p>
    <w:p>
      <w:pPr>
        <w:pStyle w:val="TOC8"/>
        <w:rPr>
          <w:rFonts w:asciiTheme="minorHAnsi" w:eastAsiaTheme="minorEastAsia" w:hAnsiTheme="minorHAnsi" w:cstheme="minorBidi"/>
          <w:szCs w:val="22"/>
        </w:rPr>
      </w:pPr>
      <w:r>
        <w:t>50B.</w:t>
      </w:r>
      <w:r>
        <w:tab/>
        <w:t>Lifejackets to be worn on vessels</w:t>
      </w:r>
      <w:r>
        <w:tab/>
      </w:r>
      <w:r>
        <w:fldChar w:fldCharType="begin"/>
      </w:r>
      <w:r>
        <w:instrText xml:space="preserve"> PAGEREF _Toc178090469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5 — Sailboard riding</w:t>
      </w:r>
    </w:p>
    <w:p>
      <w:pPr>
        <w:pStyle w:val="TOC8"/>
        <w:rPr>
          <w:rFonts w:asciiTheme="minorHAnsi" w:eastAsiaTheme="minorEastAsia" w:hAnsiTheme="minorHAnsi" w:cstheme="minorBidi"/>
          <w:szCs w:val="22"/>
        </w:rPr>
      </w:pPr>
      <w:r>
        <w:t>50C.</w:t>
      </w:r>
      <w:r>
        <w:tab/>
        <w:t>Restrictions on sailboard riding</w:t>
      </w:r>
      <w:r>
        <w:tab/>
      </w:r>
      <w:r>
        <w:fldChar w:fldCharType="begin"/>
      </w:r>
      <w:r>
        <w:instrText xml:space="preserve"> PAGEREF _Toc178090471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6 — Motor boats</w:t>
      </w:r>
    </w:p>
    <w:p>
      <w:pPr>
        <w:pStyle w:val="TOC8"/>
        <w:rPr>
          <w:rFonts w:asciiTheme="minorHAnsi" w:eastAsiaTheme="minorEastAsia" w:hAnsiTheme="minorHAnsi" w:cstheme="minorBidi"/>
          <w:szCs w:val="22"/>
        </w:rPr>
      </w:pPr>
      <w:r>
        <w:t>51</w:t>
      </w:r>
      <w:r>
        <w:rPr>
          <w:snapToGrid w:val="0"/>
        </w:rPr>
        <w:t>.</w:t>
      </w:r>
      <w:r>
        <w:rPr>
          <w:snapToGrid w:val="0"/>
        </w:rPr>
        <w:tab/>
        <w:t>Silencers on motor boats</w:t>
      </w:r>
      <w:r>
        <w:tab/>
      </w:r>
      <w:r>
        <w:fldChar w:fldCharType="begin"/>
      </w:r>
      <w:r>
        <w:instrText xml:space="preserve"> PAGEREF _Toc178090473 \h </w:instrText>
      </w:r>
      <w:r>
        <w:fldChar w:fldCharType="separate"/>
      </w:r>
      <w:r>
        <w:t>75</w:t>
      </w:r>
      <w:r>
        <w:fldChar w:fldCharType="end"/>
      </w:r>
    </w:p>
    <w:p>
      <w:pPr>
        <w:pStyle w:val="TOC8"/>
        <w:rPr>
          <w:rFonts w:asciiTheme="minorHAnsi" w:eastAsiaTheme="minorEastAsia" w:hAnsiTheme="minorHAnsi" w:cstheme="minorBidi"/>
          <w:szCs w:val="22"/>
        </w:rPr>
      </w:pPr>
      <w:r>
        <w:t>51A</w:t>
      </w:r>
      <w:r>
        <w:rPr>
          <w:snapToGrid w:val="0"/>
        </w:rPr>
        <w:t>.</w:t>
      </w:r>
      <w:r>
        <w:rPr>
          <w:snapToGrid w:val="0"/>
        </w:rPr>
        <w:tab/>
        <w:t>Motor boats not to emit smoke or vapour</w:t>
      </w:r>
      <w:r>
        <w:tab/>
      </w:r>
      <w:r>
        <w:fldChar w:fldCharType="begin"/>
      </w:r>
      <w:r>
        <w:instrText xml:space="preserve"> PAGEREF _Toc178090474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7 — Aquatic sport events</w:t>
      </w:r>
    </w:p>
    <w:p>
      <w:pPr>
        <w:pStyle w:val="TOC8"/>
        <w:rPr>
          <w:rFonts w:asciiTheme="minorHAnsi" w:eastAsiaTheme="minorEastAsia" w:hAnsiTheme="minorHAnsi" w:cstheme="minorBidi"/>
          <w:szCs w:val="22"/>
        </w:rPr>
      </w:pPr>
      <w:r>
        <w:t>51C</w:t>
      </w:r>
      <w:r>
        <w:rPr>
          <w:snapToGrid w:val="0"/>
        </w:rPr>
        <w:t>.</w:t>
      </w:r>
      <w:r>
        <w:rPr>
          <w:snapToGrid w:val="0"/>
        </w:rPr>
        <w:tab/>
        <w:t>Organized races, displays, regattas and aquatic sports</w:t>
      </w:r>
      <w:r>
        <w:tab/>
      </w:r>
      <w:r>
        <w:fldChar w:fldCharType="begin"/>
      </w:r>
      <w:r>
        <w:instrText xml:space="preserve"> PAGEREF _Toc178090476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8 — Equipment and safety</w:t>
      </w:r>
    </w:p>
    <w:p>
      <w:pPr>
        <w:pStyle w:val="TOC8"/>
        <w:rPr>
          <w:rFonts w:asciiTheme="minorHAnsi" w:eastAsiaTheme="minorEastAsia" w:hAnsiTheme="minorHAnsi" w:cstheme="minorBidi"/>
          <w:szCs w:val="22"/>
        </w:rPr>
      </w:pPr>
      <w:r>
        <w:t>52A.</w:t>
      </w:r>
      <w:r>
        <w:tab/>
        <w:t>Pleasure vessels to be equipped with lifejackets</w:t>
      </w:r>
      <w:r>
        <w:tab/>
      </w:r>
      <w:r>
        <w:fldChar w:fldCharType="begin"/>
      </w:r>
      <w:r>
        <w:instrText xml:space="preserve"> PAGEREF _Toc178090478 \h </w:instrText>
      </w:r>
      <w:r>
        <w:fldChar w:fldCharType="separate"/>
      </w:r>
      <w:r>
        <w:t>76</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r>
      <w:r>
        <w:t>Pleasure vessels to be equipped with certain distress signals</w:t>
      </w:r>
      <w:r>
        <w:tab/>
      </w:r>
      <w:r>
        <w:fldChar w:fldCharType="begin"/>
      </w:r>
      <w:r>
        <w:instrText xml:space="preserve"> PAGEREF _Toc178090479 \h </w:instrText>
      </w:r>
      <w:r>
        <w:fldChar w:fldCharType="separate"/>
      </w:r>
      <w:r>
        <w:t>77</w:t>
      </w:r>
      <w:r>
        <w:fldChar w:fldCharType="end"/>
      </w:r>
    </w:p>
    <w:p>
      <w:pPr>
        <w:pStyle w:val="TOC8"/>
        <w:rPr>
          <w:rFonts w:asciiTheme="minorHAnsi" w:eastAsiaTheme="minorEastAsia" w:hAnsiTheme="minorHAnsi" w:cstheme="minorBidi"/>
          <w:szCs w:val="22"/>
        </w:rPr>
      </w:pPr>
      <w:r>
        <w:t>52BAA</w:t>
      </w:r>
      <w:r>
        <w:rPr>
          <w:snapToGrid w:val="0"/>
        </w:rPr>
        <w:t>.</w:t>
      </w:r>
      <w:r>
        <w:rPr>
          <w:snapToGrid w:val="0"/>
        </w:rPr>
        <w:tab/>
      </w:r>
      <w:r>
        <w:t>Registrable vessels to be equipped with marine transceiver</w:t>
      </w:r>
      <w:r>
        <w:tab/>
      </w:r>
      <w:r>
        <w:fldChar w:fldCharType="begin"/>
      </w:r>
      <w:r>
        <w:instrText xml:space="preserve"> PAGEREF _Toc178090480 \h </w:instrText>
      </w:r>
      <w:r>
        <w:fldChar w:fldCharType="separate"/>
      </w:r>
      <w:r>
        <w:t>78</w:t>
      </w:r>
      <w:r>
        <w:fldChar w:fldCharType="end"/>
      </w:r>
    </w:p>
    <w:p>
      <w:pPr>
        <w:pStyle w:val="TOC8"/>
        <w:rPr>
          <w:rFonts w:asciiTheme="minorHAnsi" w:eastAsiaTheme="minorEastAsia" w:hAnsiTheme="minorHAnsi" w:cstheme="minorBidi"/>
          <w:szCs w:val="22"/>
        </w:rPr>
      </w:pPr>
      <w:r>
        <w:t>52BAB.</w:t>
      </w:r>
      <w:r>
        <w:tab/>
        <w:t>Pleasure vessels to carry locator beacons</w:t>
      </w:r>
      <w:r>
        <w:tab/>
      </w:r>
      <w:r>
        <w:fldChar w:fldCharType="begin"/>
      </w:r>
      <w:r>
        <w:instrText xml:space="preserve"> PAGEREF _Toc178090481 \h </w:instrText>
      </w:r>
      <w:r>
        <w:fldChar w:fldCharType="separate"/>
      </w:r>
      <w:r>
        <w:t>79</w:t>
      </w:r>
      <w:r>
        <w:fldChar w:fldCharType="end"/>
      </w:r>
    </w:p>
    <w:p>
      <w:pPr>
        <w:pStyle w:val="TOC8"/>
        <w:rPr>
          <w:rFonts w:asciiTheme="minorHAnsi" w:eastAsiaTheme="minorEastAsia" w:hAnsiTheme="minorHAnsi" w:cstheme="minorBidi"/>
          <w:szCs w:val="22"/>
        </w:rPr>
      </w:pPr>
      <w:r>
        <w:t>52BA</w:t>
      </w:r>
      <w:r>
        <w:rPr>
          <w:snapToGrid w:val="0"/>
        </w:rPr>
        <w:t>.</w:t>
      </w:r>
      <w:r>
        <w:rPr>
          <w:snapToGrid w:val="0"/>
        </w:rPr>
        <w:tab/>
        <w:t>Equipment to be maintained in serviceable condition and readily accessible</w:t>
      </w:r>
      <w:r>
        <w:tab/>
      </w:r>
      <w:r>
        <w:fldChar w:fldCharType="begin"/>
      </w:r>
      <w:r>
        <w:instrText xml:space="preserve"> PAGEREF _Toc178090482 \h </w:instrText>
      </w:r>
      <w:r>
        <w:fldChar w:fldCharType="separate"/>
      </w:r>
      <w:r>
        <w:t>79</w:t>
      </w:r>
      <w:r>
        <w:fldChar w:fldCharType="end"/>
      </w:r>
    </w:p>
    <w:p>
      <w:pPr>
        <w:pStyle w:val="TOC8"/>
        <w:rPr>
          <w:rFonts w:asciiTheme="minorHAnsi" w:eastAsiaTheme="minorEastAsia" w:hAnsiTheme="minorHAnsi" w:cstheme="minorBidi"/>
          <w:szCs w:val="22"/>
        </w:rPr>
      </w:pPr>
      <w:r>
        <w:t>52BB.</w:t>
      </w:r>
      <w:r>
        <w:tab/>
        <w:t>Lifejacket worn on personal watercraft to be maintained in serviceable condition</w:t>
      </w:r>
      <w:r>
        <w:tab/>
      </w:r>
      <w:r>
        <w:fldChar w:fldCharType="begin"/>
      </w:r>
      <w:r>
        <w:instrText xml:space="preserve"> PAGEREF _Toc178090483 \h </w:instrText>
      </w:r>
      <w:r>
        <w:fldChar w:fldCharType="separate"/>
      </w:r>
      <w:r>
        <w:t>80</w:t>
      </w:r>
      <w:r>
        <w:fldChar w:fldCharType="end"/>
      </w:r>
    </w:p>
    <w:p>
      <w:pPr>
        <w:pStyle w:val="TOC8"/>
        <w:rPr>
          <w:rFonts w:asciiTheme="minorHAnsi" w:eastAsiaTheme="minorEastAsia" w:hAnsiTheme="minorHAnsi" w:cstheme="minorBidi"/>
          <w:szCs w:val="22"/>
        </w:rPr>
      </w:pPr>
      <w:r>
        <w:t>52E</w:t>
      </w:r>
      <w:r>
        <w:rPr>
          <w:snapToGrid w:val="0"/>
        </w:rPr>
        <w:t>.</w:t>
      </w:r>
      <w:r>
        <w:rPr>
          <w:snapToGrid w:val="0"/>
        </w:rPr>
        <w:tab/>
        <w:t>Storage and use of fuel in motor boats</w:t>
      </w:r>
      <w:r>
        <w:tab/>
      </w:r>
      <w:r>
        <w:fldChar w:fldCharType="begin"/>
      </w:r>
      <w:r>
        <w:instrText xml:space="preserve"> PAGEREF _Toc178090484 \h </w:instrText>
      </w:r>
      <w:r>
        <w:fldChar w:fldCharType="separate"/>
      </w:r>
      <w:r>
        <w:t>80</w:t>
      </w:r>
      <w:r>
        <w:fldChar w:fldCharType="end"/>
      </w:r>
    </w:p>
    <w:p>
      <w:pPr>
        <w:pStyle w:val="TOC8"/>
        <w:rPr>
          <w:rFonts w:asciiTheme="minorHAnsi" w:eastAsiaTheme="minorEastAsia" w:hAnsiTheme="minorHAnsi" w:cstheme="minorBidi"/>
          <w:szCs w:val="22"/>
        </w:rPr>
      </w:pPr>
      <w:r>
        <w:t>52F</w:t>
      </w:r>
      <w:r>
        <w:rPr>
          <w:snapToGrid w:val="0"/>
        </w:rPr>
        <w:t>.</w:t>
      </w:r>
      <w:r>
        <w:rPr>
          <w:snapToGrid w:val="0"/>
        </w:rPr>
        <w:tab/>
        <w:t>Ventilation of engine compartment</w:t>
      </w:r>
      <w:r>
        <w:tab/>
      </w:r>
      <w:r>
        <w:fldChar w:fldCharType="begin"/>
      </w:r>
      <w:r>
        <w:instrText xml:space="preserve"> PAGEREF _Toc178090485 \h </w:instrText>
      </w:r>
      <w:r>
        <w:fldChar w:fldCharType="separate"/>
      </w:r>
      <w:r>
        <w:t>81</w:t>
      </w:r>
      <w:r>
        <w:fldChar w:fldCharType="end"/>
      </w:r>
    </w:p>
    <w:p>
      <w:pPr>
        <w:pStyle w:val="TOC8"/>
        <w:rPr>
          <w:rFonts w:asciiTheme="minorHAnsi" w:eastAsiaTheme="minorEastAsia" w:hAnsiTheme="minorHAnsi" w:cstheme="minorBidi"/>
          <w:szCs w:val="22"/>
        </w:rPr>
      </w:pPr>
      <w:r>
        <w:t>52G</w:t>
      </w:r>
      <w:r>
        <w:rPr>
          <w:snapToGrid w:val="0"/>
        </w:rPr>
        <w:t>.</w:t>
      </w:r>
      <w:r>
        <w:rPr>
          <w:snapToGrid w:val="0"/>
        </w:rPr>
        <w:tab/>
        <w:t>Navigation lights</w:t>
      </w:r>
      <w:r>
        <w:tab/>
      </w:r>
      <w:r>
        <w:fldChar w:fldCharType="begin"/>
      </w:r>
      <w:r>
        <w:instrText xml:space="preserve"> PAGEREF _Toc178090486 \h </w:instrText>
      </w:r>
      <w:r>
        <w:fldChar w:fldCharType="separate"/>
      </w:r>
      <w:r>
        <w:t>81</w:t>
      </w:r>
      <w:r>
        <w:fldChar w:fldCharType="end"/>
      </w:r>
    </w:p>
    <w:p>
      <w:pPr>
        <w:pStyle w:val="TOC8"/>
        <w:rPr>
          <w:rFonts w:asciiTheme="minorHAnsi" w:eastAsiaTheme="minorEastAsia" w:hAnsiTheme="minorHAnsi" w:cstheme="minorBidi"/>
          <w:szCs w:val="22"/>
        </w:rPr>
      </w:pPr>
      <w:r>
        <w:t>52H</w:t>
      </w:r>
      <w:r>
        <w:rPr>
          <w:snapToGrid w:val="0"/>
        </w:rPr>
        <w:t>.</w:t>
      </w:r>
      <w:r>
        <w:rPr>
          <w:snapToGrid w:val="0"/>
        </w:rPr>
        <w:tab/>
        <w:t>Reporting accidents and fires</w:t>
      </w:r>
      <w:r>
        <w:tab/>
      </w:r>
      <w:r>
        <w:fldChar w:fldCharType="begin"/>
      </w:r>
      <w:r>
        <w:instrText xml:space="preserve"> PAGEREF _Toc178090487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9 — Offences and penalties</w:t>
      </w:r>
    </w:p>
    <w:p>
      <w:pPr>
        <w:pStyle w:val="TOC8"/>
        <w:rPr>
          <w:rFonts w:asciiTheme="minorHAnsi" w:eastAsiaTheme="minorEastAsia" w:hAnsiTheme="minorHAnsi" w:cstheme="minorBidi"/>
          <w:szCs w:val="22"/>
        </w:rPr>
      </w:pPr>
      <w:r>
        <w:t>53</w:t>
      </w:r>
      <w:r>
        <w:rPr>
          <w:snapToGrid w:val="0"/>
        </w:rPr>
        <w:t>.</w:t>
      </w:r>
      <w:r>
        <w:rPr>
          <w:snapToGrid w:val="0"/>
        </w:rPr>
        <w:tab/>
        <w:t>Offences and penalties</w:t>
      </w:r>
      <w:r>
        <w:tab/>
      </w:r>
      <w:r>
        <w:fldChar w:fldCharType="begin"/>
      </w:r>
      <w:r>
        <w:instrText xml:space="preserve"> PAGEREF _Toc178090489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68</w:t>
      </w:r>
      <w:r>
        <w:rPr>
          <w:snapToGrid w:val="0"/>
        </w:rPr>
        <w:t>.</w:t>
      </w:r>
      <w:r>
        <w:rPr>
          <w:snapToGrid w:val="0"/>
        </w:rPr>
        <w:tab/>
      </w:r>
      <w:r>
        <w:t>Duty of owner or master</w:t>
      </w:r>
      <w:r>
        <w:tab/>
      </w:r>
      <w:r>
        <w:fldChar w:fldCharType="begin"/>
      </w:r>
      <w:r>
        <w:instrText xml:space="preserve"> PAGEREF _Toc178090491 \h </w:instrText>
      </w:r>
      <w:r>
        <w:fldChar w:fldCharType="separate"/>
      </w:r>
      <w:r>
        <w:t>83</w:t>
      </w:r>
      <w:r>
        <w:fldChar w:fldCharType="end"/>
      </w:r>
    </w:p>
    <w:p>
      <w:pPr>
        <w:pStyle w:val="TOC8"/>
        <w:rPr>
          <w:rFonts w:asciiTheme="minorHAnsi" w:eastAsiaTheme="minorEastAsia" w:hAnsiTheme="minorHAnsi" w:cstheme="minorBidi"/>
          <w:szCs w:val="22"/>
        </w:rPr>
      </w:pPr>
      <w:r>
        <w:t>69.</w:t>
      </w:r>
      <w:r>
        <w:tab/>
        <w:t>Form of warrant</w:t>
      </w:r>
      <w:r>
        <w:tab/>
      </w:r>
      <w:r>
        <w:fldChar w:fldCharType="begin"/>
      </w:r>
      <w:r>
        <w:instrText xml:space="preserve"> PAGEREF _Toc178090492 \h </w:instrText>
      </w:r>
      <w:r>
        <w:fldChar w:fldCharType="separate"/>
      </w:r>
      <w:r>
        <w:t>83</w:t>
      </w:r>
      <w:r>
        <w:fldChar w:fldCharType="end"/>
      </w:r>
    </w:p>
    <w:p>
      <w:pPr>
        <w:pStyle w:val="TOC8"/>
        <w:rPr>
          <w:rFonts w:asciiTheme="minorHAnsi" w:eastAsiaTheme="minorEastAsia" w:hAnsiTheme="minorHAnsi" w:cstheme="minorBidi"/>
          <w:szCs w:val="22"/>
        </w:rPr>
      </w:pPr>
      <w:r>
        <w:t>70.</w:t>
      </w:r>
      <w:r>
        <w:tab/>
        <w:t>Form of order to produce</w:t>
      </w:r>
      <w:r>
        <w:tab/>
      </w:r>
      <w:r>
        <w:fldChar w:fldCharType="begin"/>
      </w:r>
      <w:r>
        <w:instrText xml:space="preserve"> PAGEREF _Toc178090493 \h </w:instrText>
      </w:r>
      <w:r>
        <w:fldChar w:fldCharType="separate"/>
      </w:r>
      <w:r>
        <w:t>83</w:t>
      </w:r>
      <w:r>
        <w:fldChar w:fldCharType="end"/>
      </w:r>
    </w:p>
    <w:p>
      <w:pPr>
        <w:pStyle w:val="TOC8"/>
        <w:rPr>
          <w:rFonts w:asciiTheme="minorHAnsi" w:eastAsiaTheme="minorEastAsia" w:hAnsiTheme="minorHAnsi" w:cstheme="minorBidi"/>
          <w:szCs w:val="22"/>
        </w:rPr>
      </w:pPr>
      <w:r>
        <w:t>71.</w:t>
      </w:r>
      <w:r>
        <w:tab/>
        <w:t>Disclosure of information by Commissioner of Police</w:t>
      </w:r>
      <w:r>
        <w:tab/>
      </w:r>
      <w:r>
        <w:fldChar w:fldCharType="begin"/>
      </w:r>
      <w:r>
        <w:instrText xml:space="preserve"> PAGEREF _Toc178090494 \h </w:instrText>
      </w:r>
      <w:r>
        <w:fldChar w:fldCharType="separate"/>
      </w:r>
      <w:r>
        <w:t>83</w:t>
      </w:r>
      <w:r>
        <w:fldChar w:fldCharType="end"/>
      </w:r>
    </w:p>
    <w:p>
      <w:pPr>
        <w:pStyle w:val="TOC8"/>
        <w:rPr>
          <w:rFonts w:asciiTheme="minorHAnsi" w:eastAsiaTheme="minorEastAsia" w:hAnsiTheme="minorHAnsi" w:cstheme="minorBidi"/>
          <w:szCs w:val="22"/>
        </w:rPr>
      </w:pPr>
      <w:r>
        <w:t>72.</w:t>
      </w:r>
      <w:r>
        <w:tab/>
        <w:t>Disclosure of information: prescribed persons</w:t>
      </w:r>
      <w:r>
        <w:tab/>
      </w:r>
      <w:r>
        <w:fldChar w:fldCharType="begin"/>
      </w:r>
      <w:r>
        <w:instrText xml:space="preserve"> PAGEREF _Toc178090495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w:t>
      </w:r>
    </w:p>
    <w:p>
      <w:pPr>
        <w:pStyle w:val="TOC2"/>
        <w:tabs>
          <w:tab w:val="right" w:leader="dot" w:pos="7077"/>
        </w:tabs>
        <w:rPr>
          <w:rFonts w:asciiTheme="minorHAnsi" w:eastAsiaTheme="minorEastAsia" w:hAnsiTheme="minorHAnsi" w:cstheme="minorBidi"/>
          <w:b w:val="0"/>
          <w:sz w:val="22"/>
          <w:szCs w:val="22"/>
        </w:rPr>
      </w:pPr>
      <w:r>
        <w:t>Schedule 2 — Classes of things that are and are not vessels</w:t>
      </w:r>
    </w:p>
    <w:p>
      <w:pPr>
        <w:pStyle w:val="TOC4"/>
        <w:tabs>
          <w:tab w:val="right" w:leader="dot" w:pos="7077"/>
        </w:tabs>
        <w:rPr>
          <w:rFonts w:asciiTheme="minorHAnsi" w:eastAsiaTheme="minorEastAsia" w:hAnsiTheme="minorHAnsi" w:cstheme="minorBidi"/>
          <w:b w:val="0"/>
          <w:szCs w:val="22"/>
        </w:rPr>
      </w:pPr>
      <w:r>
        <w:t>Division 1 — Classes of things that are vessels</w:t>
      </w:r>
    </w:p>
    <w:p>
      <w:pPr>
        <w:pStyle w:val="TOC4"/>
        <w:tabs>
          <w:tab w:val="right" w:leader="dot" w:pos="7077"/>
        </w:tabs>
        <w:rPr>
          <w:rFonts w:asciiTheme="minorHAnsi" w:eastAsiaTheme="minorEastAsia" w:hAnsiTheme="minorHAnsi" w:cstheme="minorBidi"/>
          <w:b w:val="0"/>
          <w:szCs w:val="22"/>
        </w:rPr>
      </w:pPr>
      <w:r>
        <w:t>Division 2 — Classes of things that are not vessels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_Toc178090501 \h </w:instrText>
      </w:r>
      <w:r>
        <w:fldChar w:fldCharType="separate"/>
      </w:r>
      <w:r>
        <w:t>94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_Toc178090502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240" w:after="600"/>
      </w:pPr>
      <w:r>
        <w:lastRenderedPageBreak/>
        <w:t>Western Australian Marine Act 1982</w:t>
      </w:r>
      <w:r>
        <w:br/>
        <w:t xml:space="preserve">Shipping </w:t>
      </w:r>
      <w:r>
        <w:rPr>
          <w:snapToGrid w:val="0"/>
        </w:rPr>
        <w:t>and</w:t>
      </w:r>
      <w:r>
        <w:t xml:space="preserve"> Pilotage Act 1967</w:t>
      </w:r>
      <w:r>
        <w:br/>
        <w:t>Jetties Act 1926</w:t>
      </w:r>
    </w:p>
    <w:p>
      <w:pPr>
        <w:pStyle w:val="NameofActReg"/>
        <w:spacing w:before="600" w:after="720"/>
        <w:outlineLvl w:val="0"/>
      </w:pPr>
      <w:r>
        <w:t>Navigable Waters Regulations 1958</w:t>
      </w:r>
    </w:p>
    <w:p>
      <w:pPr>
        <w:pStyle w:val="Heading2"/>
        <w:pageBreakBefore w:val="0"/>
        <w:spacing w:before="240"/>
      </w:pPr>
      <w:bookmarkStart w:id="2" w:name="_Toc178064260"/>
      <w:bookmarkStart w:id="3" w:name="_Toc178084737"/>
      <w:bookmarkStart w:id="4" w:name="_Toc178090355"/>
      <w:r>
        <w:rPr>
          <w:rStyle w:val="CharPartNo"/>
        </w:rPr>
        <w:t>Part I</w:t>
      </w:r>
      <w:r>
        <w:rPr>
          <w:rStyle w:val="CharDivNo"/>
        </w:rPr>
        <w:t> </w:t>
      </w:r>
      <w:r>
        <w:t>—</w:t>
      </w:r>
      <w:r>
        <w:rPr>
          <w:rStyle w:val="CharDivText"/>
        </w:rPr>
        <w:t> </w:t>
      </w:r>
      <w:r>
        <w:rPr>
          <w:rStyle w:val="CharPartText"/>
        </w:rPr>
        <w:t>Preliminary</w:t>
      </w:r>
      <w:bookmarkEnd w:id="2"/>
      <w:bookmarkEnd w:id="3"/>
      <w:bookmarkEnd w:id="4"/>
    </w:p>
    <w:p>
      <w:pPr>
        <w:pStyle w:val="Heading5"/>
        <w:spacing w:before="240"/>
        <w:rPr>
          <w:snapToGrid w:val="0"/>
        </w:rPr>
      </w:pPr>
      <w:bookmarkStart w:id="5" w:name="_Toc178090356"/>
      <w:r>
        <w:rPr>
          <w:rStyle w:val="CharSectno"/>
        </w:rPr>
        <w:t>1</w:t>
      </w:r>
      <w:r>
        <w:rPr>
          <w:snapToGrid w:val="0"/>
        </w:rPr>
        <w:t>.</w:t>
      </w:r>
      <w:r>
        <w:rPr>
          <w:snapToGrid w:val="0"/>
        </w:rPr>
        <w:tab/>
        <w:t>Citation and commencement</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pPr>
        <w:pStyle w:val="Footnotesection"/>
      </w:pPr>
      <w:r>
        <w:tab/>
        <w:t>[Regulation 1 amended: Gazette 10 Feb 2006 p. 667.]</w:t>
      </w:r>
    </w:p>
    <w:p>
      <w:pPr>
        <w:pStyle w:val="Heading5"/>
        <w:spacing w:before="180"/>
        <w:rPr>
          <w:snapToGrid w:val="0"/>
        </w:rPr>
      </w:pPr>
      <w:bookmarkStart w:id="6" w:name="_Toc178090357"/>
      <w:r>
        <w:rPr>
          <w:rStyle w:val="CharSectno"/>
        </w:rPr>
        <w:t>2</w:t>
      </w:r>
      <w:r>
        <w:rPr>
          <w:snapToGrid w:val="0"/>
        </w:rPr>
        <w:t>.</w:t>
      </w:r>
      <w:r>
        <w:rPr>
          <w:snapToGrid w:val="0"/>
        </w:rPr>
        <w:tab/>
        <w:t>Terms used</w:t>
      </w:r>
      <w:bookmarkEnd w:id="6"/>
      <w:r>
        <w:rPr>
          <w:snapToGrid w:val="0"/>
        </w:rPr>
        <w:t xml:space="preserve"> </w:t>
      </w:r>
    </w:p>
    <w:p>
      <w:pPr>
        <w:pStyle w:val="Subsection"/>
        <w:rPr>
          <w:snapToGrid w:val="0"/>
        </w:rPr>
      </w:pPr>
      <w:r>
        <w:rPr>
          <w:snapToGrid w:val="0"/>
        </w:rPr>
        <w:tab/>
      </w:r>
      <w:r>
        <w:t>(1)</w:t>
      </w:r>
      <w:r>
        <w:tab/>
        <w:t xml:space="preserve">In these regulations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keepNext/>
      </w:pPr>
      <w:r>
        <w:tab/>
      </w:r>
      <w:r>
        <w:rPr>
          <w:rStyle w:val="CharDefText"/>
        </w:rPr>
        <w:t>length</w:t>
      </w:r>
      <w:r>
        <w:t xml:space="preserve">, in relation to a vessel, means — </w:t>
      </w:r>
    </w:p>
    <w:p>
      <w:pPr>
        <w:pStyle w:val="Defpara"/>
      </w:pPr>
      <w:r>
        <w:tab/>
        <w:t>(a)</w:t>
      </w:r>
      <w:r>
        <w:tab/>
        <w:t xml:space="preserve">in the case of a vessel that is registered under regulation 45B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lastRenderedPageBreak/>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tab/>
      </w:r>
      <w:r>
        <w:rPr>
          <w:rStyle w:val="CharDefText"/>
        </w:rPr>
        <w:t>registrable vessel</w:t>
      </w:r>
      <w:r>
        <w:t> —</w:t>
      </w:r>
    </w:p>
    <w:p>
      <w:pPr>
        <w:pStyle w:val="Defpara"/>
      </w:pPr>
      <w:r>
        <w:tab/>
        <w:t>(a)</w:t>
      </w:r>
      <w:r>
        <w:tab/>
        <w:t>means a pleasure vessel that is fitted with, or has a fitting for, a motor, including, for example, a pleasure vessel that is ordinarily propelled by sail only but is fitted with, or has a fitting for, a motor; but</w:t>
      </w:r>
    </w:p>
    <w:p>
      <w:pPr>
        <w:pStyle w:val="Defpara"/>
      </w:pPr>
      <w:r>
        <w:tab/>
        <w:t>(b)</w:t>
      </w:r>
      <w:r>
        <w:tab/>
        <w:t>does not include a tender;</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tender</w:t>
      </w:r>
      <w:r>
        <w:t xml:space="preserve"> means an auxiliary vessel that is — </w:t>
      </w:r>
    </w:p>
    <w:p>
      <w:pPr>
        <w:pStyle w:val="Defpara"/>
      </w:pPr>
      <w:r>
        <w:tab/>
        <w:t>(a)</w:t>
      </w:r>
      <w:r>
        <w:tab/>
        <w:t>not more than 3.1 m in length; and</w:t>
      </w:r>
    </w:p>
    <w:p>
      <w:pPr>
        <w:pStyle w:val="Defpara"/>
      </w:pPr>
      <w:r>
        <w:lastRenderedPageBreak/>
        <w:tab/>
        <w:t>(b)</w:t>
      </w:r>
      <w:r>
        <w:tab/>
        <w:t>propelled by motored power not exceeding 3.73 kW; and</w:t>
      </w:r>
    </w:p>
    <w:p>
      <w:pPr>
        <w:pStyle w:val="Defpara"/>
      </w:pPr>
      <w:r>
        <w:tab/>
        <w:t>(c)</w:t>
      </w:r>
      <w:r>
        <w:tab/>
        <w:t>marked with the registration number of its parent vessel in black numerals not less than 50 mm in height and 12 mm in width with a white surround not less than 7 mm immediately forward of the transom on each side of the vessel; and</w:t>
      </w:r>
    </w:p>
    <w:p>
      <w:pPr>
        <w:pStyle w:val="Defpara"/>
      </w:pPr>
      <w:r>
        <w:tab/>
        <w:t>(d)</w:t>
      </w:r>
      <w:r>
        <w:tab/>
        <w:t>used for either or both of the following purposes, and for no other purpose —</w:t>
      </w:r>
    </w:p>
    <w:p>
      <w:pPr>
        <w:pStyle w:val="Defsubpara"/>
      </w:pPr>
      <w:r>
        <w:tab/>
        <w:t>(i)</w:t>
      </w:r>
      <w:r>
        <w:tab/>
        <w:t>as a life boat;</w:t>
      </w:r>
    </w:p>
    <w:p>
      <w:pPr>
        <w:pStyle w:val="Defsubpara"/>
      </w:pPr>
      <w:r>
        <w:tab/>
        <w:t>(ii)</w:t>
      </w:r>
      <w:r>
        <w:tab/>
        <w:t>as a means of transportation between the parent vessel and the shore.</w:t>
      </w:r>
    </w:p>
    <w:p>
      <w:pPr>
        <w:pStyle w:val="Subsection"/>
      </w:pPr>
      <w:r>
        <w:tab/>
        <w:t>(2)</w:t>
      </w:r>
      <w:r>
        <w:tab/>
        <w:t xml:space="preserve">For the purposes of the definition of </w:t>
      </w:r>
      <w:r>
        <w:rPr>
          <w:b/>
          <w:i/>
        </w:rPr>
        <w:t>vessel</w:t>
      </w:r>
      <w:r>
        <w:t xml:space="preserve"> in the </w:t>
      </w:r>
      <w:r>
        <w:rPr>
          <w:i/>
        </w:rPr>
        <w:t xml:space="preserve">Western Australian Marine Act 1982 </w:t>
      </w:r>
      <w:r>
        <w:rPr>
          <w:iCs/>
        </w:rPr>
        <w:t>section 3(1) </w:t>
      </w:r>
      <w:r>
        <w:t xml:space="preserve">— </w:t>
      </w:r>
    </w:p>
    <w:p>
      <w:pPr>
        <w:pStyle w:val="Indenta"/>
      </w:pPr>
      <w:r>
        <w:tab/>
        <w:t>(a)</w:t>
      </w:r>
      <w:r>
        <w:tab/>
        <w:t>a class of thing specified in Schedule 2 Division 1 is a vessel; and</w:t>
      </w:r>
    </w:p>
    <w:p>
      <w:pPr>
        <w:pStyle w:val="Indenta"/>
      </w:pPr>
      <w:r>
        <w:tab/>
        <w:t>(b)</w:t>
      </w:r>
      <w:r>
        <w:tab/>
        <w:t>a class of thing specified in Schedule 2 Division 2 is not a vessel.</w:t>
      </w:r>
    </w:p>
    <w:p>
      <w:pPr>
        <w:pStyle w:val="Subsection"/>
      </w:pPr>
      <w:r>
        <w:tab/>
        <w:t>(3)</w:t>
      </w:r>
      <w:r>
        <w:tab/>
        <w:t xml:space="preserve">If a term used in these regulations is given a meaning in the </w:t>
      </w:r>
      <w:r>
        <w:rPr>
          <w:i/>
        </w:rPr>
        <w:t>Western Australian Marine Act 1982</w:t>
      </w:r>
      <w:r>
        <w:t>, it has the same meaning in these regulations, unless the contrary intention appears.</w:t>
      </w:r>
    </w:p>
    <w:p>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SL 2023/135 r. 4; SL 2024/191 r. 4.] </w:t>
      </w:r>
    </w:p>
    <w:p>
      <w:pPr>
        <w:pStyle w:val="Heading5"/>
      </w:pPr>
      <w:bookmarkStart w:id="7" w:name="_Toc178090358"/>
      <w:r>
        <w:rPr>
          <w:rStyle w:val="CharSectno"/>
        </w:rPr>
        <w:t>2A</w:t>
      </w:r>
      <w:r>
        <w:t>.</w:t>
      </w:r>
      <w:r>
        <w:tab/>
        <w:t>Measurement of distance</w:t>
      </w:r>
      <w:bookmarkEnd w:id="7"/>
    </w:p>
    <w:p>
      <w:pPr>
        <w:pStyle w:val="Subsection"/>
        <w:keepNext/>
      </w:pPr>
      <w:r>
        <w:tab/>
      </w:r>
      <w:r>
        <w:tab/>
        <w:t xml:space="preserve">In these regulations, a reference to a distance from any shore or land is a reference to that distance measured from the high water </w:t>
      </w:r>
      <w:r>
        <w:lastRenderedPageBreak/>
        <w:t>mark on the shore or land and not from any jetty, pier or other structure abutting on or adjacent to the shore or land.</w:t>
      </w:r>
    </w:p>
    <w:p>
      <w:pPr>
        <w:pStyle w:val="Footnotesection"/>
        <w:keepLines w:val="0"/>
      </w:pPr>
      <w:r>
        <w:tab/>
        <w:t xml:space="preserve">[Regulation 2A inserted: SL 2023/135 r. 5.] </w:t>
      </w:r>
    </w:p>
    <w:p>
      <w:pPr>
        <w:pStyle w:val="Heading5"/>
        <w:rPr>
          <w:snapToGrid w:val="0"/>
        </w:rPr>
      </w:pPr>
      <w:bookmarkStart w:id="8" w:name="_Toc178090359"/>
      <w:r>
        <w:rPr>
          <w:rStyle w:val="CharSectno"/>
        </w:rPr>
        <w:t>3</w:t>
      </w:r>
      <w:r>
        <w:rPr>
          <w:snapToGrid w:val="0"/>
        </w:rPr>
        <w:t>.</w:t>
      </w:r>
      <w:r>
        <w:rPr>
          <w:snapToGrid w:val="0"/>
        </w:rPr>
        <w:tab/>
        <w:t>Responsibility of master and owner</w:t>
      </w:r>
      <w:bookmarkEnd w:id="8"/>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regulation 51C applies </w:t>
      </w:r>
      <w:r>
        <w:rPr>
          <w:snapToGrid w:val="0"/>
        </w:rPr>
        <w:t>to every vessel being a vessel within the meaning of the Acts or to every owner or person in charge of any such vessel, as the case may be.</w:t>
      </w:r>
    </w:p>
    <w:p>
      <w:pPr>
        <w:pStyle w:val="Footnotesection"/>
      </w:pPr>
      <w:r>
        <w:tab/>
        <w:t xml:space="preserve">[Regulation 3 amended: Gazette 19 Dec 1962 p. 4014; 10 Feb 2006 p. 667; 27 Aug 2010 p. 4113; 25 Jul 2014 p. 2581; SL 2024/191 r. 5.] </w:t>
      </w:r>
    </w:p>
    <w:p>
      <w:pPr>
        <w:pStyle w:val="Heading5"/>
        <w:rPr>
          <w:snapToGrid w:val="0"/>
        </w:rPr>
      </w:pPr>
      <w:bookmarkStart w:id="9" w:name="_Toc178090360"/>
      <w:r>
        <w:rPr>
          <w:rStyle w:val="CharSectno"/>
        </w:rPr>
        <w:t>3A</w:t>
      </w:r>
      <w:r>
        <w:rPr>
          <w:snapToGrid w:val="0"/>
        </w:rPr>
        <w:t>.</w:t>
      </w:r>
      <w:r>
        <w:rPr>
          <w:snapToGrid w:val="0"/>
        </w:rPr>
        <w:tab/>
        <w:t>When emergency vessels exempt</w:t>
      </w:r>
      <w:bookmarkEnd w:id="9"/>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Gazette 3 Aug 1990 p. 3753; amended: Gazette 20 Jun 2000 p. 3038.] </w:t>
      </w:r>
    </w:p>
    <w:p>
      <w:pPr>
        <w:pStyle w:val="Heading5"/>
      </w:pPr>
      <w:bookmarkStart w:id="10" w:name="_Toc178090361"/>
      <w:r>
        <w:rPr>
          <w:rStyle w:val="CharSectno"/>
        </w:rPr>
        <w:lastRenderedPageBreak/>
        <w:t>3B</w:t>
      </w:r>
      <w:r>
        <w:t>.</w:t>
      </w:r>
      <w:r>
        <w:tab/>
        <w:t>International Organization for Standardization</w:t>
      </w:r>
      <w:bookmarkEnd w:id="10"/>
    </w:p>
    <w:p>
      <w:pPr>
        <w:pStyle w:val="Subsection"/>
        <w:keepNext/>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Gazette 3 Mar 2017 p. 1485.]</w:t>
      </w:r>
    </w:p>
    <w:p>
      <w:pPr>
        <w:pStyle w:val="Heading2"/>
      </w:pPr>
      <w:bookmarkStart w:id="11" w:name="_Toc178064267"/>
      <w:bookmarkStart w:id="12" w:name="_Toc178084744"/>
      <w:bookmarkStart w:id="13" w:name="_Toc178090362"/>
      <w:r>
        <w:rPr>
          <w:rStyle w:val="CharPartNo"/>
        </w:rPr>
        <w:lastRenderedPageBreak/>
        <w:t>Part II</w:t>
      </w:r>
      <w:r>
        <w:rPr>
          <w:rStyle w:val="CharDivNo"/>
        </w:rPr>
        <w:t> </w:t>
      </w:r>
      <w:r>
        <w:t>—</w:t>
      </w:r>
      <w:r>
        <w:rPr>
          <w:rStyle w:val="CharDivText"/>
        </w:rPr>
        <w:t> </w:t>
      </w:r>
      <w:r>
        <w:rPr>
          <w:rStyle w:val="CharPartText"/>
        </w:rPr>
        <w:t>General good order regulations</w:t>
      </w:r>
      <w:bookmarkEnd w:id="11"/>
      <w:bookmarkEnd w:id="12"/>
      <w:bookmarkEnd w:id="13"/>
      <w:r>
        <w:rPr>
          <w:rStyle w:val="CharPartText"/>
        </w:rPr>
        <w:t xml:space="preserve"> </w:t>
      </w:r>
    </w:p>
    <w:p>
      <w:pPr>
        <w:pStyle w:val="Heading5"/>
      </w:pPr>
      <w:bookmarkStart w:id="14" w:name="_Toc177036334"/>
      <w:bookmarkStart w:id="15" w:name="_Toc177463302"/>
      <w:bookmarkStart w:id="16" w:name="_Toc178090363"/>
      <w:r>
        <w:rPr>
          <w:rStyle w:val="CharSectno"/>
        </w:rPr>
        <w:t>4</w:t>
      </w:r>
      <w:r>
        <w:t>.</w:t>
      </w:r>
      <w:r>
        <w:tab/>
        <w:t>Application of Part</w:t>
      </w:r>
      <w:bookmarkEnd w:id="14"/>
      <w:bookmarkEnd w:id="15"/>
      <w:bookmarkEnd w:id="16"/>
    </w:p>
    <w:p>
      <w:pPr>
        <w:pStyle w:val="Subsection"/>
      </w:pPr>
      <w:r>
        <w:tab/>
      </w:r>
      <w:r>
        <w:tab/>
        <w:t xml:space="preserve">This Part applies to — </w:t>
      </w:r>
    </w:p>
    <w:p>
      <w:pPr>
        <w:pStyle w:val="Indenta"/>
      </w:pPr>
      <w:r>
        <w:tab/>
        <w:t>(a)</w:t>
      </w:r>
      <w:r>
        <w:tab/>
        <w:t>a vessel being a vessel referred to in any of the Acts or to the owner, master or person in charge of the vessel, as the case may be; and</w:t>
      </w:r>
    </w:p>
    <w:p>
      <w:pPr>
        <w:pStyle w:val="Indenta"/>
      </w:pPr>
      <w:r>
        <w:tab/>
        <w:t>(b)</w:t>
      </w:r>
      <w:r>
        <w:tab/>
        <w:t>persons in or on navigable waters.</w:t>
      </w:r>
    </w:p>
    <w:p>
      <w:pPr>
        <w:pStyle w:val="Footnotesection"/>
      </w:pPr>
      <w:r>
        <w:tab/>
        <w:t>[Regulation 4 inserted: SL 2024/191 r. 6.]</w:t>
      </w:r>
    </w:p>
    <w:p>
      <w:pPr>
        <w:pStyle w:val="Heading5"/>
        <w:rPr>
          <w:snapToGrid w:val="0"/>
        </w:rPr>
      </w:pPr>
      <w:bookmarkStart w:id="17" w:name="_Toc178090364"/>
      <w:r>
        <w:rPr>
          <w:rStyle w:val="CharSectno"/>
        </w:rPr>
        <w:t>5</w:t>
      </w:r>
      <w:r>
        <w:rPr>
          <w:snapToGrid w:val="0"/>
        </w:rPr>
        <w:t>.</w:t>
      </w:r>
      <w:r>
        <w:rPr>
          <w:snapToGrid w:val="0"/>
        </w:rPr>
        <w:tab/>
        <w:t>Inspection of vessels</w:t>
      </w:r>
      <w:bookmarkEnd w:id="17"/>
      <w:r>
        <w:rPr>
          <w:snapToGrid w:val="0"/>
        </w:rPr>
        <w:t xml:space="preserve"> </w:t>
      </w:r>
    </w:p>
    <w:p>
      <w:pPr>
        <w:pStyle w:val="Subsection"/>
        <w:rPr>
          <w:snapToGrid w:val="0"/>
        </w:rPr>
      </w:pPr>
      <w:r>
        <w:rPr>
          <w:snapToGrid w:val="0"/>
        </w:rPr>
        <w:tab/>
        <w:t>(a)</w:t>
      </w:r>
      <w:r>
        <w:rPr>
          <w:snapToGrid w:val="0"/>
        </w:rPr>
        <w:tab/>
        <w:t xml:space="preserve">Any officer of the </w:t>
      </w:r>
      <w:r>
        <w:t>Department</w:t>
      </w:r>
      <w:r>
        <w:rPr>
          <w:snapToGrid w:val="0"/>
        </w:rPr>
        <w:t xml:space="preserve">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 xml:space="preserve">Any person who obstructs, threatens or interferes with an officer of the </w:t>
      </w:r>
      <w:r>
        <w:t>Department</w:t>
      </w:r>
      <w:r>
        <w:rPr>
          <w:snapToGrid w:val="0"/>
        </w:rPr>
        <w:t xml:space="preserve"> or police officer when acting under the last preceding subregulation shall be guilty of an offence.</w:t>
      </w:r>
    </w:p>
    <w:p>
      <w:pPr>
        <w:pStyle w:val="Subsection"/>
        <w:rPr>
          <w:snapToGrid w:val="0"/>
        </w:rPr>
      </w:pPr>
      <w:r>
        <w:rPr>
          <w:snapToGrid w:val="0"/>
        </w:rPr>
        <w:tab/>
        <w:t>(c)</w:t>
      </w:r>
      <w:r>
        <w:rPr>
          <w:snapToGrid w:val="0"/>
        </w:rPr>
        <w:tab/>
        <w:t xml:space="preserve">No person on or about a vessel shall, on demand by an officer of the </w:t>
      </w:r>
      <w:r>
        <w:t>Department</w:t>
      </w:r>
      <w:r>
        <w:rPr>
          <w:snapToGrid w:val="0"/>
        </w:rPr>
        <w:t>, refuse to furnish the officer with the person’s name and address.</w:t>
      </w:r>
    </w:p>
    <w:p>
      <w:pPr>
        <w:pStyle w:val="Subsection"/>
        <w:rPr>
          <w:snapToGrid w:val="0"/>
        </w:rPr>
      </w:pPr>
      <w:r>
        <w:rPr>
          <w:snapToGrid w:val="0"/>
        </w:rPr>
        <w:tab/>
        <w:t>(d)</w:t>
      </w:r>
      <w:r>
        <w:rPr>
          <w:snapToGrid w:val="0"/>
        </w:rPr>
        <w:tab/>
        <w:t xml:space="preserve">The </w:t>
      </w:r>
      <w:r>
        <w:t>Department</w:t>
      </w:r>
      <w:r>
        <w:rPr>
          <w:snapToGrid w:val="0"/>
        </w:rPr>
        <w:t xml:space="preserve"> may cancel or suspend any certificate granted by the </w:t>
      </w:r>
      <w:r>
        <w:t>Department</w:t>
      </w:r>
      <w:r>
        <w:rPr>
          <w:snapToGrid w:val="0"/>
        </w:rPr>
        <w:t xml:space="preserve"> under any of the Acts to a person convicted of an offence under this regulation.</w:t>
      </w:r>
    </w:p>
    <w:p>
      <w:pPr>
        <w:pStyle w:val="Footnotesection"/>
      </w:pPr>
      <w:r>
        <w:tab/>
        <w:t>[Regulation 5 amended: SL 2024/191 r. 41.]</w:t>
      </w:r>
    </w:p>
    <w:p>
      <w:pPr>
        <w:pStyle w:val="Heading5"/>
        <w:rPr>
          <w:snapToGrid w:val="0"/>
        </w:rPr>
      </w:pPr>
      <w:bookmarkStart w:id="18" w:name="_Toc178090365"/>
      <w:r>
        <w:rPr>
          <w:rStyle w:val="CharSectno"/>
        </w:rPr>
        <w:t>6</w:t>
      </w:r>
      <w:r>
        <w:rPr>
          <w:snapToGrid w:val="0"/>
        </w:rPr>
        <w:t>.</w:t>
      </w:r>
      <w:r>
        <w:rPr>
          <w:snapToGrid w:val="0"/>
        </w:rPr>
        <w:tab/>
        <w:t>Lifesaving equipment not to be interfered with</w:t>
      </w:r>
      <w:bookmarkEnd w:id="18"/>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Gazette 28 May 1969 p. 1568.] </w:t>
      </w:r>
    </w:p>
    <w:p>
      <w:pPr>
        <w:pStyle w:val="Heading5"/>
        <w:rPr>
          <w:snapToGrid w:val="0"/>
        </w:rPr>
      </w:pPr>
      <w:bookmarkStart w:id="19" w:name="_Toc178090366"/>
      <w:r>
        <w:rPr>
          <w:rStyle w:val="CharSectno"/>
        </w:rPr>
        <w:lastRenderedPageBreak/>
        <w:t>6A</w:t>
      </w:r>
      <w:r>
        <w:rPr>
          <w:snapToGrid w:val="0"/>
        </w:rPr>
        <w:t>.</w:t>
      </w:r>
      <w:r>
        <w:rPr>
          <w:snapToGrid w:val="0"/>
        </w:rPr>
        <w:tab/>
        <w:t>Owner of vessel to comply with directions</w:t>
      </w:r>
      <w:bookmarkEnd w:id="19"/>
      <w:r>
        <w:rPr>
          <w:snapToGrid w:val="0"/>
        </w:rPr>
        <w:t xml:space="preserve"> </w:t>
      </w:r>
    </w:p>
    <w:p>
      <w:pPr>
        <w:pStyle w:val="Subsection"/>
        <w:spacing w:before="180"/>
        <w:rPr>
          <w:snapToGrid w:val="0"/>
        </w:rPr>
      </w:pPr>
      <w:r>
        <w:rPr>
          <w:snapToGrid w:val="0"/>
        </w:rPr>
        <w:tab/>
      </w:r>
      <w:r>
        <w:rPr>
          <w:snapToGrid w:val="0"/>
        </w:rPr>
        <w:tab/>
        <w:t xml:space="preserve">The owner of a vessel shall, at all times, comply with any directions given by an officer of the </w:t>
      </w:r>
      <w:r>
        <w:t>Department</w:t>
      </w:r>
      <w:r>
        <w:rPr>
          <w:snapToGrid w:val="0"/>
        </w:rPr>
        <w: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Gazette 28 Aug 1992 p. 4239; amended: Gazette 17 Nov 2009 p. 4630; SL 2024/191 r. 41.] </w:t>
      </w:r>
    </w:p>
    <w:p>
      <w:pPr>
        <w:pStyle w:val="Heading5"/>
        <w:spacing w:before="240"/>
        <w:rPr>
          <w:snapToGrid w:val="0"/>
        </w:rPr>
      </w:pPr>
      <w:bookmarkStart w:id="20" w:name="_Toc178090367"/>
      <w:r>
        <w:rPr>
          <w:rStyle w:val="CharSectno"/>
        </w:rPr>
        <w:t>7</w:t>
      </w:r>
      <w:r>
        <w:rPr>
          <w:snapToGrid w:val="0"/>
        </w:rPr>
        <w:t>.</w:t>
      </w:r>
      <w:r>
        <w:rPr>
          <w:snapToGrid w:val="0"/>
        </w:rPr>
        <w:tab/>
        <w:t>Aids to navigation not to be interfered with</w:t>
      </w:r>
      <w:bookmarkEnd w:id="20"/>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 xml:space="preserve">No person shall, except with permission in writing from the </w:t>
      </w:r>
      <w:r>
        <w:t>Department</w:t>
      </w:r>
      <w:r>
        <w:rPr>
          <w:snapToGrid w:val="0"/>
        </w:rPr>
        <w:t>, make fast any vessel to any beacon, buoy, seamark or other aid to navigation.</w:t>
      </w:r>
    </w:p>
    <w:p>
      <w:pPr>
        <w:pStyle w:val="Footnotesection"/>
      </w:pPr>
      <w:r>
        <w:tab/>
        <w:t>[Regulation 7 amended: SL 2024/191 r. 41.]</w:t>
      </w:r>
    </w:p>
    <w:p>
      <w:pPr>
        <w:pStyle w:val="Heading5"/>
        <w:spacing w:before="240"/>
        <w:rPr>
          <w:snapToGrid w:val="0"/>
        </w:rPr>
      </w:pPr>
      <w:bookmarkStart w:id="21" w:name="_Toc178090368"/>
      <w:r>
        <w:rPr>
          <w:rStyle w:val="CharSectno"/>
        </w:rPr>
        <w:t>8</w:t>
      </w:r>
      <w:r>
        <w:rPr>
          <w:snapToGrid w:val="0"/>
        </w:rPr>
        <w:t>.</w:t>
      </w:r>
      <w:r>
        <w:rPr>
          <w:snapToGrid w:val="0"/>
        </w:rPr>
        <w:tab/>
        <w:t>Rubbish</w:t>
      </w:r>
      <w:bookmarkEnd w:id="21"/>
      <w:r>
        <w:rPr>
          <w:snapToGrid w:val="0"/>
        </w:rPr>
        <w:t xml:space="preserve"> </w:t>
      </w:r>
    </w:p>
    <w:p>
      <w:pPr>
        <w:pStyle w:val="Subsection"/>
        <w:spacing w:before="180"/>
        <w:rPr>
          <w:snapToGrid w:val="0"/>
        </w:rPr>
      </w:pPr>
      <w:r>
        <w:rPr>
          <w:snapToGrid w:val="0"/>
        </w:rPr>
        <w:tab/>
        <w:t>(a)</w:t>
      </w:r>
      <w:r>
        <w:rPr>
          <w:snapToGrid w:val="0"/>
        </w:rPr>
        <w:tab/>
        <w:t xml:space="preserve">No person shall throw into or cause to be placed in any port or harbour or navigable waters any matter or thing except with the permission of the </w:t>
      </w:r>
      <w:r>
        <w:t>Department</w:t>
      </w:r>
      <w:r>
        <w:rPr>
          <w:snapToGrid w:val="0"/>
        </w:rPr>
        <w:t>.</w:t>
      </w:r>
    </w:p>
    <w:p>
      <w:pPr>
        <w:pStyle w:val="Subsection"/>
        <w:spacing w:before="180"/>
        <w:rPr>
          <w:snapToGrid w:val="0"/>
        </w:rPr>
      </w:pPr>
      <w:r>
        <w:rPr>
          <w:snapToGrid w:val="0"/>
        </w:rPr>
        <w:tab/>
        <w:t>(b)</w:t>
      </w:r>
      <w:r>
        <w:rPr>
          <w:snapToGrid w:val="0"/>
        </w:rPr>
        <w:tab/>
        <w:t xml:space="preserve">A person convicted of an offence under this regulation shall within 10 days after demand by the </w:t>
      </w:r>
      <w:r>
        <w:t>Department</w:t>
      </w:r>
      <w:r>
        <w:rPr>
          <w:snapToGrid w:val="0"/>
        </w:rPr>
        <w:t xml:space="preserve"> remove or cause to be removed from the port or harbour or navigable waters the matter or thing thrown or placed therein. Where the matter or thing is not so removed within the period of 10 days, the </w:t>
      </w:r>
      <w:r>
        <w:t>Department</w:t>
      </w:r>
      <w:r>
        <w:rPr>
          <w:snapToGrid w:val="0"/>
        </w:rPr>
        <w:t xml:space="preserve"> may remove it or cause it to be removed and all costs incurred in or about such removal shall be deemed to be a debt payable to the </w:t>
      </w:r>
      <w:r>
        <w:t>State</w:t>
      </w:r>
      <w:r>
        <w:rPr>
          <w:snapToGrid w:val="0"/>
        </w:rPr>
        <w:t xml:space="preserve"> by the person offending and may be recovered by action in law in a court of competent jurisdiction.</w:t>
      </w:r>
    </w:p>
    <w:p>
      <w:pPr>
        <w:pStyle w:val="Footnotesection"/>
      </w:pPr>
      <w:r>
        <w:tab/>
        <w:t xml:space="preserve">[Regulation 8 amended: Gazette 28 May 1969 p. 1568; 22 Dec 1972 p. 4777; SL 2024/191 r. 7 and 41.] </w:t>
      </w:r>
    </w:p>
    <w:p>
      <w:pPr>
        <w:pStyle w:val="Heading5"/>
        <w:keepLines w:val="0"/>
        <w:spacing w:before="240"/>
        <w:rPr>
          <w:snapToGrid w:val="0"/>
        </w:rPr>
      </w:pPr>
      <w:bookmarkStart w:id="22" w:name="_Toc178090369"/>
      <w:r>
        <w:rPr>
          <w:rStyle w:val="CharSectno"/>
        </w:rPr>
        <w:lastRenderedPageBreak/>
        <w:t>9</w:t>
      </w:r>
      <w:r>
        <w:rPr>
          <w:snapToGrid w:val="0"/>
        </w:rPr>
        <w:t>.</w:t>
      </w:r>
      <w:r>
        <w:rPr>
          <w:snapToGrid w:val="0"/>
        </w:rPr>
        <w:tab/>
        <w:t>Sand below high water mark not to be interfered with</w:t>
      </w:r>
      <w:bookmarkEnd w:id="22"/>
      <w:r>
        <w:rPr>
          <w:snapToGrid w:val="0"/>
        </w:rPr>
        <w:t xml:space="preserve"> </w:t>
      </w:r>
    </w:p>
    <w:p>
      <w:pPr>
        <w:pStyle w:val="Subsection"/>
        <w:widowControl w:val="0"/>
        <w:rPr>
          <w:snapToGrid w:val="0"/>
        </w:rPr>
      </w:pPr>
      <w:r>
        <w:rPr>
          <w:snapToGrid w:val="0"/>
        </w:rPr>
        <w:tab/>
        <w:t>(a)</w:t>
      </w:r>
      <w:r>
        <w:rPr>
          <w:snapToGrid w:val="0"/>
        </w:rPr>
        <w:tab/>
        <w:t xml:space="preserve">Except as provided by subregulation (b) of the last preceding regulation, no person shall, except with permission of the </w:t>
      </w:r>
      <w:r>
        <w:t>Department</w:t>
      </w:r>
      <w:r>
        <w:rPr>
          <w:snapToGrid w:val="0"/>
        </w:rPr>
        <w: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Footnotesection"/>
      </w:pPr>
      <w:r>
        <w:tab/>
        <w:t>[Regulation 9 amended: SL 2024/191 r. 41.]</w:t>
      </w:r>
    </w:p>
    <w:p>
      <w:pPr>
        <w:pStyle w:val="Heading5"/>
        <w:rPr>
          <w:snapToGrid w:val="0"/>
        </w:rPr>
      </w:pPr>
      <w:bookmarkStart w:id="23" w:name="_Toc178090370"/>
      <w:r>
        <w:rPr>
          <w:rStyle w:val="CharSectno"/>
        </w:rPr>
        <w:t>10</w:t>
      </w:r>
      <w:r>
        <w:rPr>
          <w:snapToGrid w:val="0"/>
        </w:rPr>
        <w:t>.</w:t>
      </w:r>
      <w:r>
        <w:rPr>
          <w:snapToGrid w:val="0"/>
        </w:rPr>
        <w:tab/>
        <w:t>Conduct on or near vessels, public jetties or bridges</w:t>
      </w:r>
      <w:bookmarkEnd w:id="23"/>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Gazette 12 Jul 1974 p. 2624.] </w:t>
      </w:r>
    </w:p>
    <w:p>
      <w:pPr>
        <w:pStyle w:val="Heading5"/>
        <w:rPr>
          <w:snapToGrid w:val="0"/>
        </w:rPr>
      </w:pPr>
      <w:bookmarkStart w:id="24" w:name="_Toc178090371"/>
      <w:r>
        <w:rPr>
          <w:rStyle w:val="CharSectno"/>
        </w:rPr>
        <w:t>10A</w:t>
      </w:r>
      <w:r>
        <w:rPr>
          <w:snapToGrid w:val="0"/>
        </w:rPr>
        <w:t>.</w:t>
      </w:r>
      <w:r>
        <w:rPr>
          <w:snapToGrid w:val="0"/>
        </w:rPr>
        <w:tab/>
        <w:t>Areas for swimming</w:t>
      </w:r>
      <w:bookmarkEnd w:id="24"/>
      <w:r>
        <w:rPr>
          <w:snapToGrid w:val="0"/>
        </w:rPr>
        <w:t xml:space="preserve"> </w:t>
      </w:r>
    </w:p>
    <w:p>
      <w:pPr>
        <w:pStyle w:val="Subsection"/>
        <w:rPr>
          <w:snapToGrid w:val="0"/>
        </w:rPr>
      </w:pPr>
      <w:r>
        <w:rPr>
          <w:snapToGrid w:val="0"/>
        </w:rPr>
        <w:tab/>
      </w:r>
      <w:r>
        <w:rPr>
          <w:snapToGrid w:val="0"/>
        </w:rPr>
        <w:tab/>
        <w:t xml:space="preserve">The </w:t>
      </w:r>
      <w:r>
        <w:t>Department</w:t>
      </w:r>
      <w:r>
        <w:rPr>
          <w:snapToGrid w:val="0"/>
        </w:rPr>
        <w:t xml:space="preserve">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Gazette 12 Jul 1974 p. 2625; amended: Gazette 16 Mar 1979 p. 750; SL 2024/191 r. 41.] </w:t>
      </w:r>
    </w:p>
    <w:p>
      <w:pPr>
        <w:pStyle w:val="Heading5"/>
        <w:keepLines w:val="0"/>
        <w:spacing w:before="180"/>
        <w:rPr>
          <w:snapToGrid w:val="0"/>
        </w:rPr>
      </w:pPr>
      <w:bookmarkStart w:id="25" w:name="_Toc178090372"/>
      <w:r>
        <w:rPr>
          <w:rStyle w:val="CharSectno"/>
        </w:rPr>
        <w:lastRenderedPageBreak/>
        <w:t>11</w:t>
      </w:r>
      <w:r>
        <w:rPr>
          <w:snapToGrid w:val="0"/>
        </w:rPr>
        <w:t>.</w:t>
      </w:r>
      <w:r>
        <w:rPr>
          <w:snapToGrid w:val="0"/>
        </w:rPr>
        <w:tab/>
        <w:t>Swimming from public jetty to be at own risk</w:t>
      </w:r>
      <w:bookmarkEnd w:id="25"/>
      <w:r>
        <w:rPr>
          <w:snapToGrid w:val="0"/>
        </w:rPr>
        <w:t xml:space="preserve"> </w:t>
      </w:r>
    </w:p>
    <w:p>
      <w:pPr>
        <w:pStyle w:val="Subsection"/>
        <w:spacing w:before="120"/>
        <w:rPr>
          <w:snapToGrid w:val="0"/>
        </w:rPr>
      </w:pPr>
      <w:r>
        <w:rPr>
          <w:snapToGrid w:val="0"/>
        </w:rPr>
        <w:tab/>
      </w:r>
      <w:r>
        <w:rPr>
          <w:snapToGrid w:val="0"/>
        </w:rPr>
        <w:tab/>
        <w:t xml:space="preserve">A person using or swimming from a public jetty shall do so at his own risk so far as liability of the Crown or the </w:t>
      </w:r>
      <w:r>
        <w:t>Department</w:t>
      </w:r>
      <w:r>
        <w:rPr>
          <w:snapToGrid w:val="0"/>
        </w:rPr>
        <w:t xml:space="preserve"> is concerned for any injury, loss or damage incurred by that person in his use of the jetty.</w:t>
      </w:r>
    </w:p>
    <w:p>
      <w:pPr>
        <w:pStyle w:val="Footnotesection"/>
      </w:pPr>
      <w:r>
        <w:tab/>
        <w:t>[Regulation 11 amended: SL 2024/191 r. 41.]</w:t>
      </w:r>
    </w:p>
    <w:p>
      <w:pPr>
        <w:pStyle w:val="Heading5"/>
        <w:spacing w:before="180"/>
        <w:rPr>
          <w:snapToGrid w:val="0"/>
        </w:rPr>
      </w:pPr>
      <w:bookmarkStart w:id="26" w:name="_Toc178090373"/>
      <w:r>
        <w:rPr>
          <w:rStyle w:val="CharSectno"/>
        </w:rPr>
        <w:t>12</w:t>
      </w:r>
      <w:r>
        <w:rPr>
          <w:snapToGrid w:val="0"/>
        </w:rPr>
        <w:t>.</w:t>
      </w:r>
      <w:r>
        <w:rPr>
          <w:snapToGrid w:val="0"/>
        </w:rPr>
        <w:tab/>
        <w:t>Regattas</w:t>
      </w:r>
      <w:bookmarkEnd w:id="26"/>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Gazette 3 Oct 1967 p. 2592; 18 Dec 1981 p. 5219; 28 Aug 1992 p. 4239.] </w:t>
      </w:r>
    </w:p>
    <w:p>
      <w:pPr>
        <w:pStyle w:val="Heading5"/>
        <w:spacing w:before="180"/>
        <w:rPr>
          <w:snapToGrid w:val="0"/>
        </w:rPr>
      </w:pPr>
      <w:bookmarkStart w:id="27" w:name="_Toc178090374"/>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27"/>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Gazette 18 Dec 1981 p. 5219; amended: Gazette 1 Jul 1983 p. 2263.] </w:t>
      </w:r>
    </w:p>
    <w:p>
      <w:pPr>
        <w:pStyle w:val="Heading5"/>
        <w:keepLines w:val="0"/>
        <w:spacing w:before="160"/>
        <w:rPr>
          <w:snapToGrid w:val="0"/>
        </w:rPr>
      </w:pPr>
      <w:bookmarkStart w:id="28" w:name="_Toc178090375"/>
      <w:r>
        <w:rPr>
          <w:rStyle w:val="CharSectno"/>
        </w:rPr>
        <w:lastRenderedPageBreak/>
        <w:t>14</w:t>
      </w:r>
      <w:r>
        <w:rPr>
          <w:snapToGrid w:val="0"/>
        </w:rPr>
        <w:t>.</w:t>
      </w:r>
      <w:r>
        <w:rPr>
          <w:snapToGrid w:val="0"/>
        </w:rPr>
        <w:tab/>
        <w:t>Vessel not to be used to cause nuisance or damage</w:t>
      </w:r>
      <w:bookmarkEnd w:id="28"/>
    </w:p>
    <w:p>
      <w:pPr>
        <w:pStyle w:val="Subsection"/>
        <w:keepNext/>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Gazette 17 Nov 2009 p. 4628.]</w:t>
      </w:r>
    </w:p>
    <w:p>
      <w:pPr>
        <w:pStyle w:val="Heading5"/>
        <w:keepNext w:val="0"/>
        <w:keepLines w:val="0"/>
        <w:rPr>
          <w:snapToGrid w:val="0"/>
        </w:rPr>
      </w:pPr>
      <w:bookmarkStart w:id="29" w:name="_Toc178090376"/>
      <w:r>
        <w:rPr>
          <w:rStyle w:val="CharSectno"/>
        </w:rPr>
        <w:t>14A</w:t>
      </w:r>
      <w:r>
        <w:rPr>
          <w:snapToGrid w:val="0"/>
        </w:rPr>
        <w:t>.</w:t>
      </w:r>
      <w:r>
        <w:rPr>
          <w:snapToGrid w:val="0"/>
        </w:rPr>
        <w:tab/>
        <w:t>Safe navigation of vessels</w:t>
      </w:r>
      <w:bookmarkEnd w:id="29"/>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Gazette 22 Sep 1978 p. 3504.] </w:t>
      </w:r>
    </w:p>
    <w:p>
      <w:pPr>
        <w:pStyle w:val="Heading5"/>
        <w:rPr>
          <w:snapToGrid w:val="0"/>
        </w:rPr>
      </w:pPr>
      <w:bookmarkStart w:id="30" w:name="_Toc178090377"/>
      <w:r>
        <w:rPr>
          <w:rStyle w:val="CharSectno"/>
        </w:rPr>
        <w:t>14B</w:t>
      </w:r>
      <w:r>
        <w:rPr>
          <w:snapToGrid w:val="0"/>
        </w:rPr>
        <w:t>.</w:t>
      </w:r>
      <w:r>
        <w:rPr>
          <w:snapToGrid w:val="0"/>
        </w:rPr>
        <w:tab/>
        <w:t>Passengers to keep within certain limits of vessel during navigation</w:t>
      </w:r>
      <w:bookmarkEnd w:id="30"/>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Gazette 22 Aug 1975 p. 3044.] </w:t>
      </w:r>
    </w:p>
    <w:p>
      <w:pPr>
        <w:pStyle w:val="Heading5"/>
        <w:rPr>
          <w:snapToGrid w:val="0"/>
        </w:rPr>
      </w:pPr>
      <w:bookmarkStart w:id="31" w:name="_Toc178090378"/>
      <w:r>
        <w:rPr>
          <w:rStyle w:val="CharSectno"/>
        </w:rPr>
        <w:t>15</w:t>
      </w:r>
      <w:r>
        <w:rPr>
          <w:snapToGrid w:val="0"/>
        </w:rPr>
        <w:t>.</w:t>
      </w:r>
      <w:r>
        <w:rPr>
          <w:snapToGrid w:val="0"/>
        </w:rPr>
        <w:tab/>
        <w:t>Towing vessels</w:t>
      </w:r>
      <w:bookmarkEnd w:id="31"/>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lastRenderedPageBreak/>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Gazette 22 Sep 1978 p. 3504.] </w:t>
      </w:r>
    </w:p>
    <w:p>
      <w:pPr>
        <w:pStyle w:val="Heading5"/>
        <w:spacing w:before="180"/>
        <w:rPr>
          <w:snapToGrid w:val="0"/>
        </w:rPr>
      </w:pPr>
      <w:bookmarkStart w:id="32" w:name="_Toc178090379"/>
      <w:r>
        <w:rPr>
          <w:rStyle w:val="CharSectno"/>
        </w:rPr>
        <w:t>16</w:t>
      </w:r>
      <w:r>
        <w:rPr>
          <w:snapToGrid w:val="0"/>
        </w:rPr>
        <w:t>.</w:t>
      </w:r>
      <w:r>
        <w:rPr>
          <w:snapToGrid w:val="0"/>
        </w:rPr>
        <w:tab/>
        <w:t>Inflammable liquid</w:t>
      </w:r>
      <w:bookmarkEnd w:id="32"/>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33" w:name="_Toc178090380"/>
      <w:r>
        <w:rPr>
          <w:rStyle w:val="CharSectno"/>
        </w:rPr>
        <w:t>17</w:t>
      </w:r>
      <w:r>
        <w:rPr>
          <w:snapToGrid w:val="0"/>
        </w:rPr>
        <w:t>.</w:t>
      </w:r>
      <w:r>
        <w:rPr>
          <w:snapToGrid w:val="0"/>
        </w:rPr>
        <w:tab/>
        <w:t>Two vessels leaving adjacent berths at the same time</w:t>
      </w:r>
      <w:bookmarkEnd w:id="33"/>
      <w:r>
        <w:rPr>
          <w:snapToGrid w:val="0"/>
        </w:rPr>
        <w:t xml:space="preserve"> </w:t>
      </w:r>
    </w:p>
    <w:p>
      <w:pPr>
        <w:pStyle w:val="Subsection"/>
        <w:rPr>
          <w:snapToGrid w:val="0"/>
        </w:rPr>
      </w:pPr>
      <w:r>
        <w:rPr>
          <w:snapToGrid w:val="0"/>
        </w:rPr>
        <w:tab/>
      </w:r>
      <w:r>
        <w:rPr>
          <w:snapToGrid w:val="0"/>
        </w:rPr>
        <w:tab/>
        <w:t xml:space="preserve">Where 2 or more vessels are scheduled to leave the same or adjoining jetties or berths at the same time, the vessel first </w:t>
      </w:r>
      <w:r>
        <w:t>underway has</w:t>
      </w:r>
      <w:r>
        <w:rPr>
          <w:snapToGrid w:val="0"/>
        </w:rPr>
        <w:t xml:space="preserve"> the right of way and the other vessel or vessels </w:t>
      </w:r>
      <w:r>
        <w:t>must</w:t>
      </w:r>
      <w:r>
        <w:rPr>
          <w:snapToGrid w:val="0"/>
        </w:rPr>
        <w:t xml:space="preserve"> remain stationary until the vessel first </w:t>
      </w:r>
      <w:r>
        <w:t>underway</w:t>
      </w:r>
      <w:r>
        <w:rPr>
          <w:snapToGrid w:val="0"/>
        </w:rPr>
        <w:t>is well clear.</w:t>
      </w:r>
    </w:p>
    <w:p>
      <w:pPr>
        <w:pStyle w:val="Footnotesection"/>
      </w:pPr>
      <w:r>
        <w:tab/>
        <w:t xml:space="preserve">[Regulation 17 amended: Gazette 24 Apr 1998 p. 2161; SL 2023/135 r. 6.] </w:t>
      </w:r>
    </w:p>
    <w:p>
      <w:pPr>
        <w:pStyle w:val="Heading5"/>
        <w:keepLines w:val="0"/>
        <w:spacing w:before="180"/>
        <w:rPr>
          <w:snapToGrid w:val="0"/>
        </w:rPr>
      </w:pPr>
      <w:bookmarkStart w:id="34" w:name="_Toc178090381"/>
      <w:r>
        <w:rPr>
          <w:rStyle w:val="CharSectno"/>
        </w:rPr>
        <w:lastRenderedPageBreak/>
        <w:t>18</w:t>
      </w:r>
      <w:r>
        <w:rPr>
          <w:snapToGrid w:val="0"/>
        </w:rPr>
        <w:t>.</w:t>
      </w:r>
      <w:r>
        <w:rPr>
          <w:snapToGrid w:val="0"/>
        </w:rPr>
        <w:tab/>
        <w:t>Right of way when approaching jetties</w:t>
      </w:r>
      <w:bookmarkEnd w:id="34"/>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35" w:name="_Toc178090382"/>
      <w:r>
        <w:rPr>
          <w:rStyle w:val="CharSectno"/>
        </w:rPr>
        <w:t>18A</w:t>
      </w:r>
      <w:r>
        <w:rPr>
          <w:snapToGrid w:val="0"/>
        </w:rPr>
        <w:t>.</w:t>
      </w:r>
      <w:r>
        <w:rPr>
          <w:snapToGrid w:val="0"/>
        </w:rPr>
        <w:tab/>
        <w:t>At least 2 persons to man sea going vessel</w:t>
      </w:r>
      <w:bookmarkEnd w:id="35"/>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Gazette 30 Dec 1966 p. 3465; amended: Gazette 25 Jul 2014 p. 2581; SL 2024/191 r. 8.] </w:t>
      </w:r>
    </w:p>
    <w:p>
      <w:pPr>
        <w:pStyle w:val="Ednotesection"/>
        <w:ind w:left="890" w:hanging="890"/>
      </w:pPr>
      <w:r>
        <w:t>[</w:t>
      </w:r>
      <w:r>
        <w:rPr>
          <w:b/>
        </w:rPr>
        <w:t>19.</w:t>
      </w:r>
      <w:r>
        <w:tab/>
        <w:t>Deleted: SL 2023/135 r. 7.]</w:t>
      </w:r>
    </w:p>
    <w:p>
      <w:pPr>
        <w:pStyle w:val="Heading5"/>
        <w:rPr>
          <w:snapToGrid w:val="0"/>
        </w:rPr>
      </w:pPr>
      <w:bookmarkStart w:id="36" w:name="_Toc178090383"/>
      <w:r>
        <w:rPr>
          <w:rStyle w:val="CharSectno"/>
        </w:rPr>
        <w:t>19A</w:t>
      </w:r>
      <w:r>
        <w:rPr>
          <w:snapToGrid w:val="0"/>
        </w:rPr>
        <w:t>.</w:t>
      </w:r>
      <w:r>
        <w:rPr>
          <w:snapToGrid w:val="0"/>
        </w:rPr>
        <w:tab/>
        <w:t>Speed limit in Swan and Canning Rivers</w:t>
      </w:r>
      <w:bookmarkEnd w:id="36"/>
      <w:r>
        <w:rPr>
          <w:snapToGrid w:val="0"/>
        </w:rPr>
        <w:t xml:space="preserve"> </w:t>
      </w:r>
    </w:p>
    <w:p>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Gazette 24 Mar 1972 p. 699.] </w:t>
      </w:r>
    </w:p>
    <w:p>
      <w:pPr>
        <w:pStyle w:val="Heading5"/>
        <w:spacing w:before="240"/>
        <w:rPr>
          <w:snapToGrid w:val="0"/>
        </w:rPr>
      </w:pPr>
      <w:bookmarkStart w:id="37" w:name="_Toc178090384"/>
      <w:r>
        <w:rPr>
          <w:rStyle w:val="CharSectno"/>
        </w:rPr>
        <w:lastRenderedPageBreak/>
        <w:t>19B</w:t>
      </w:r>
      <w:r>
        <w:rPr>
          <w:snapToGrid w:val="0"/>
        </w:rPr>
        <w:t>.</w:t>
      </w:r>
      <w:r>
        <w:rPr>
          <w:snapToGrid w:val="0"/>
        </w:rPr>
        <w:tab/>
        <w:t>Use of signals and flares etc.</w:t>
      </w:r>
      <w:bookmarkEnd w:id="37"/>
      <w:r>
        <w:rPr>
          <w:snapToGrid w:val="0"/>
        </w:rPr>
        <w:t xml:space="preserve"> </w:t>
      </w:r>
    </w:p>
    <w:p>
      <w:pPr>
        <w:pStyle w:val="Subsection"/>
        <w:keepNext/>
        <w:keepLines/>
        <w:spacing w:before="180"/>
        <w:rPr>
          <w:snapToGrid w:val="0"/>
        </w:rPr>
      </w:pPr>
      <w:r>
        <w:rPr>
          <w:snapToGrid w:val="0"/>
        </w:rPr>
        <w:tab/>
      </w:r>
      <w:r>
        <w:rPr>
          <w:snapToGrid w:val="0"/>
        </w:rPr>
        <w:tab/>
        <w:t xml:space="preserve">A person shall not, except in the case of an emergency, or where a vessel is in distress and requires assistance, use or set off any signal, flare, rocket or other distress signal without having first obtained the written permission of the </w:t>
      </w:r>
      <w:r>
        <w:t>Department</w:t>
      </w:r>
      <w:r>
        <w:rPr>
          <w:snapToGrid w:val="0"/>
        </w:rPr>
        <w: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Gazette 24 Mar 1972 p. 699; amended: Gazette 28 Aug 1992 p. 4242; 17 Nov 2009 p. 4629 and 4630; SL 2024/191 r. 41.] </w:t>
      </w:r>
    </w:p>
    <w:p>
      <w:pPr>
        <w:pStyle w:val="Heading5"/>
        <w:spacing w:before="240"/>
        <w:rPr>
          <w:snapToGrid w:val="0"/>
        </w:rPr>
      </w:pPr>
      <w:bookmarkStart w:id="38" w:name="_Toc178090385"/>
      <w:r>
        <w:rPr>
          <w:rStyle w:val="CharSectno"/>
        </w:rPr>
        <w:t>19C</w:t>
      </w:r>
      <w:r>
        <w:rPr>
          <w:snapToGrid w:val="0"/>
        </w:rPr>
        <w:t>.</w:t>
      </w:r>
      <w:r>
        <w:rPr>
          <w:snapToGrid w:val="0"/>
        </w:rPr>
        <w:tab/>
        <w:t>Master to display diving signals during diving</w:t>
      </w:r>
      <w:bookmarkEnd w:id="38"/>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Gazette 22 Dec 1972 p. 4777; amended: Gazette 9 Feb 1979 p. 375; 28 Aug 1992 p. 4239; 11 Mar 2003 p. 752</w:t>
      </w:r>
      <w:r>
        <w:noBreakHyphen/>
        <w:t xml:space="preserve">3.] </w:t>
      </w:r>
    </w:p>
    <w:p>
      <w:pPr>
        <w:pStyle w:val="Heading5"/>
      </w:pPr>
      <w:bookmarkStart w:id="39" w:name="_Toc178090386"/>
      <w:r>
        <w:rPr>
          <w:rStyle w:val="CharSectno"/>
        </w:rPr>
        <w:lastRenderedPageBreak/>
        <w:t>19D</w:t>
      </w:r>
      <w:r>
        <w:t>.</w:t>
      </w:r>
      <w:r>
        <w:tab/>
        <w:t>Person to display certain signals when diving otherwise than from vessel</w:t>
      </w:r>
      <w:bookmarkEnd w:id="39"/>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Gazette 11 Mar 2003 p. 753</w:t>
      </w:r>
      <w:r>
        <w:noBreakHyphen/>
        <w:t>4.]</w:t>
      </w:r>
    </w:p>
    <w:p>
      <w:pPr>
        <w:pStyle w:val="Heading5"/>
        <w:spacing w:before="180"/>
        <w:rPr>
          <w:snapToGrid w:val="0"/>
        </w:rPr>
      </w:pPr>
      <w:bookmarkStart w:id="40" w:name="_Toc178090387"/>
      <w:r>
        <w:rPr>
          <w:rStyle w:val="CharSectno"/>
        </w:rPr>
        <w:t>19E</w:t>
      </w:r>
      <w:r>
        <w:rPr>
          <w:snapToGrid w:val="0"/>
        </w:rPr>
        <w:t>.</w:t>
      </w:r>
      <w:r>
        <w:rPr>
          <w:snapToGrid w:val="0"/>
        </w:rPr>
        <w:tab/>
        <w:t>Precautions when approaching diving operations</w:t>
      </w:r>
      <w:bookmarkEnd w:id="40"/>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lastRenderedPageBreak/>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keepNext/>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keepNext/>
        <w:rPr>
          <w:snapToGrid w:val="0"/>
        </w:rPr>
      </w:pPr>
      <w:r>
        <w:rPr>
          <w:snapToGrid w:val="0"/>
        </w:rPr>
        <w:lastRenderedPageBreak/>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pPr>
        <w:pStyle w:val="Heading5"/>
        <w:keepLines w:val="0"/>
        <w:rPr>
          <w:snapToGrid w:val="0"/>
        </w:rPr>
      </w:pPr>
      <w:bookmarkStart w:id="41" w:name="_Toc178090388"/>
      <w:r>
        <w:rPr>
          <w:rStyle w:val="CharSectno"/>
        </w:rPr>
        <w:t>19F</w:t>
      </w:r>
      <w:r>
        <w:rPr>
          <w:snapToGrid w:val="0"/>
        </w:rPr>
        <w:t>.</w:t>
      </w:r>
      <w:r>
        <w:rPr>
          <w:snapToGrid w:val="0"/>
        </w:rPr>
        <w:tab/>
        <w:t>Owner of vessel to supply driver’s name and address</w:t>
      </w:r>
      <w:bookmarkEnd w:id="41"/>
      <w:r>
        <w:rPr>
          <w:snapToGrid w:val="0"/>
        </w:rPr>
        <w:t xml:space="preserve"> </w:t>
      </w:r>
    </w:p>
    <w:p>
      <w:pPr>
        <w:pStyle w:val="Subsection"/>
        <w:rPr>
          <w:snapToGrid w:val="0"/>
        </w:rPr>
      </w:pPr>
      <w:r>
        <w:rPr>
          <w:snapToGrid w:val="0"/>
        </w:rPr>
        <w:tab/>
        <w:t>(1)</w:t>
      </w:r>
      <w:r>
        <w:rPr>
          <w:snapToGrid w:val="0"/>
        </w:rPr>
        <w:tab/>
        <w:t xml:space="preserve">When it is alleged that a vessel has been involved in the commission of an offence against any of the provisions of these regulations, an officer of the </w:t>
      </w:r>
      <w:r>
        <w:t>Department</w:t>
      </w:r>
      <w:r>
        <w:rPr>
          <w:snapToGrid w:val="0"/>
        </w:rPr>
        <w:t xml:space="preserve"> may demand from the owner or person for the time being in charge of the vessel, the name and address of the driver of the vessel at the time of the alleged offence.</w:t>
      </w:r>
    </w:p>
    <w:p>
      <w:pPr>
        <w:pStyle w:val="Subsection"/>
        <w:keepNext/>
        <w:rPr>
          <w:snapToGrid w:val="0"/>
        </w:rPr>
      </w:pPr>
      <w:r>
        <w:rPr>
          <w:snapToGrid w:val="0"/>
        </w:rPr>
        <w:tab/>
        <w:t>(2)</w:t>
      </w:r>
      <w:r>
        <w:rPr>
          <w:snapToGrid w:val="0"/>
        </w:rPr>
        <w:tab/>
        <w:t xml:space="preserve">If the owner, or person for the time being in charge of the vessel, refuses on demand to identify or supply the name and address of the driver of the vessel he commits an offence unless </w:t>
      </w:r>
      <w:r>
        <w:rPr>
          <w:snapToGrid w:val="0"/>
        </w:rPr>
        <w:lastRenderedPageBreak/>
        <w:t>he can prove there are reasonable grounds for him not having knowledge of the driver’s identity.</w:t>
      </w:r>
    </w:p>
    <w:p>
      <w:pPr>
        <w:pStyle w:val="Penstart"/>
        <w:keepNext/>
        <w:rPr>
          <w:snapToGrid w:val="0"/>
        </w:rPr>
      </w:pPr>
      <w:r>
        <w:rPr>
          <w:snapToGrid w:val="0"/>
        </w:rPr>
        <w:tab/>
        <w:t xml:space="preserve">Penalty: </w:t>
      </w:r>
      <w:r>
        <w:t>a fine of</w:t>
      </w:r>
      <w:r>
        <w:rPr>
          <w:snapToGrid w:val="0"/>
        </w:rPr>
        <w:t xml:space="preserve"> $500.</w:t>
      </w:r>
    </w:p>
    <w:p>
      <w:pPr>
        <w:pStyle w:val="Footnotesection"/>
      </w:pPr>
      <w:r>
        <w:tab/>
        <w:t xml:space="preserve">[Regulation 19F inserted: Gazette 22 Dec 1972 p. 4778; amended: Gazette 28 Aug 1992 p. 4242; 17 Nov 2009 p. 4630; SL 2024/191 r. 41.] </w:t>
      </w:r>
    </w:p>
    <w:p>
      <w:pPr>
        <w:pStyle w:val="Ednotesection"/>
      </w:pPr>
      <w:r>
        <w:t>[</w:t>
      </w:r>
      <w:r>
        <w:rPr>
          <w:b/>
          <w:bCs/>
        </w:rPr>
        <w:t>19G.</w:t>
      </w:r>
      <w:r>
        <w:tab/>
        <w:t>Deleted: SL 2024/191 r. 9.]</w:t>
      </w:r>
    </w:p>
    <w:p>
      <w:pPr>
        <w:pStyle w:val="Heading5"/>
        <w:rPr>
          <w:snapToGrid w:val="0"/>
        </w:rPr>
      </w:pPr>
      <w:bookmarkStart w:id="42" w:name="_Toc178090389"/>
      <w:r>
        <w:rPr>
          <w:rStyle w:val="CharSectno"/>
        </w:rPr>
        <w:t>19H</w:t>
      </w:r>
      <w:r>
        <w:rPr>
          <w:snapToGrid w:val="0"/>
        </w:rPr>
        <w:t>.</w:t>
      </w:r>
      <w:r>
        <w:rPr>
          <w:snapToGrid w:val="0"/>
        </w:rPr>
        <w:tab/>
        <w:t>Declaration of emergency vessel</w:t>
      </w:r>
      <w:bookmarkEnd w:id="42"/>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keepNext/>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Gazette 3 Aug 1990 p. 3753; amended: Gazette 11 Aug 1992 p. 3975</w:t>
      </w:r>
      <w:r>
        <w:noBreakHyphen/>
        <w:t xml:space="preserve">6.] </w:t>
      </w:r>
    </w:p>
    <w:p>
      <w:pPr>
        <w:pStyle w:val="Heading5"/>
        <w:rPr>
          <w:snapToGrid w:val="0"/>
        </w:rPr>
      </w:pPr>
      <w:bookmarkStart w:id="43" w:name="_Toc178090390"/>
      <w:r>
        <w:rPr>
          <w:rStyle w:val="CharSectno"/>
        </w:rPr>
        <w:lastRenderedPageBreak/>
        <w:t>19I</w:t>
      </w:r>
      <w:r>
        <w:rPr>
          <w:snapToGrid w:val="0"/>
        </w:rPr>
        <w:t>.</w:t>
      </w:r>
      <w:r>
        <w:rPr>
          <w:snapToGrid w:val="0"/>
        </w:rPr>
        <w:tab/>
        <w:t>Flashing blue lamps</w:t>
      </w:r>
      <w:bookmarkEnd w:id="43"/>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Gazette 3 Aug 1990 p. 3753; amended: Gazette 28 Aug 1992 p. 4242; 17 Nov 2009 p. 4630.] </w:t>
      </w:r>
    </w:p>
    <w:p>
      <w:pPr>
        <w:pStyle w:val="Heading5"/>
        <w:keepLines w:val="0"/>
        <w:rPr>
          <w:snapToGrid w:val="0"/>
        </w:rPr>
      </w:pPr>
      <w:bookmarkStart w:id="44" w:name="_Toc178090391"/>
      <w:r>
        <w:rPr>
          <w:rStyle w:val="CharSectno"/>
        </w:rPr>
        <w:t>20</w:t>
      </w:r>
      <w:r>
        <w:rPr>
          <w:snapToGrid w:val="0"/>
        </w:rPr>
        <w:t>.</w:t>
      </w:r>
      <w:r>
        <w:rPr>
          <w:snapToGrid w:val="0"/>
        </w:rPr>
        <w:tab/>
        <w:t>Penalties</w:t>
      </w:r>
      <w:bookmarkEnd w:id="44"/>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Gazette 12 Jul 1974 p. 2625; amended: Gazette 17 Sep 1976 p. 3463; 28 Aug 1992 p. 4242; 17 Nov 2009 p. 4630.] </w:t>
      </w:r>
    </w:p>
    <w:p>
      <w:pPr>
        <w:pStyle w:val="Heading2"/>
      </w:pPr>
      <w:bookmarkStart w:id="45" w:name="_Toc178064298"/>
      <w:bookmarkStart w:id="46" w:name="_Toc178084774"/>
      <w:bookmarkStart w:id="47" w:name="_Toc178090392"/>
      <w:r>
        <w:rPr>
          <w:rStyle w:val="CharPartNo"/>
        </w:rPr>
        <w:lastRenderedPageBreak/>
        <w:t>Part III</w:t>
      </w:r>
      <w:r>
        <w:rPr>
          <w:rStyle w:val="CharDivNo"/>
        </w:rPr>
        <w:t> </w:t>
      </w:r>
      <w:r>
        <w:t>—</w:t>
      </w:r>
      <w:r>
        <w:rPr>
          <w:rStyle w:val="CharDivText"/>
        </w:rPr>
        <w:t> </w:t>
      </w:r>
      <w:r>
        <w:rPr>
          <w:rStyle w:val="CharPartText"/>
        </w:rPr>
        <w:t>Use of public jetties</w:t>
      </w:r>
      <w:bookmarkEnd w:id="45"/>
      <w:bookmarkEnd w:id="46"/>
      <w:bookmarkEnd w:id="47"/>
      <w:r>
        <w:rPr>
          <w:rStyle w:val="CharPartText"/>
        </w:rPr>
        <w:t xml:space="preserve"> </w:t>
      </w:r>
    </w:p>
    <w:p>
      <w:pPr>
        <w:pStyle w:val="Heading5"/>
        <w:spacing w:before="180"/>
        <w:rPr>
          <w:snapToGrid w:val="0"/>
        </w:rPr>
      </w:pPr>
      <w:bookmarkStart w:id="48" w:name="_Toc178090393"/>
      <w:r>
        <w:rPr>
          <w:rStyle w:val="CharSectno"/>
        </w:rPr>
        <w:t>21</w:t>
      </w:r>
      <w:r>
        <w:rPr>
          <w:snapToGrid w:val="0"/>
        </w:rPr>
        <w:t>.</w:t>
      </w:r>
      <w:r>
        <w:rPr>
          <w:snapToGrid w:val="0"/>
        </w:rPr>
        <w:tab/>
        <w:t>Terms used</w:t>
      </w:r>
      <w:bookmarkEnd w:id="48"/>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49" w:name="_Toc178090394"/>
      <w:r>
        <w:rPr>
          <w:rStyle w:val="CharSectno"/>
        </w:rPr>
        <w:t>22</w:t>
      </w:r>
      <w:r>
        <w:rPr>
          <w:snapToGrid w:val="0"/>
        </w:rPr>
        <w:t>.</w:t>
      </w:r>
      <w:r>
        <w:rPr>
          <w:snapToGrid w:val="0"/>
        </w:rPr>
        <w:tab/>
        <w:t>Application of this Part</w:t>
      </w:r>
      <w:bookmarkEnd w:id="49"/>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50" w:name="_Toc178090395"/>
      <w:r>
        <w:rPr>
          <w:rStyle w:val="CharSectno"/>
        </w:rPr>
        <w:t>23</w:t>
      </w:r>
      <w:r>
        <w:rPr>
          <w:snapToGrid w:val="0"/>
        </w:rPr>
        <w:t>.</w:t>
      </w:r>
      <w:r>
        <w:rPr>
          <w:snapToGrid w:val="0"/>
        </w:rPr>
        <w:tab/>
        <w:t>Jetties to be in accordance with these regulations</w:t>
      </w:r>
      <w:bookmarkEnd w:id="50"/>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51" w:name="_Toc178090396"/>
      <w:r>
        <w:rPr>
          <w:rStyle w:val="CharSectno"/>
        </w:rPr>
        <w:t>24</w:t>
      </w:r>
      <w:r>
        <w:rPr>
          <w:snapToGrid w:val="0"/>
        </w:rPr>
        <w:t>.</w:t>
      </w:r>
      <w:r>
        <w:rPr>
          <w:snapToGrid w:val="0"/>
        </w:rPr>
        <w:tab/>
        <w:t>Vessels moored to jetties</w:t>
      </w:r>
      <w:bookmarkEnd w:id="51"/>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52" w:name="_Toc178090397"/>
      <w:r>
        <w:rPr>
          <w:rStyle w:val="CharSectno"/>
        </w:rPr>
        <w:lastRenderedPageBreak/>
        <w:t>25</w:t>
      </w:r>
      <w:r>
        <w:rPr>
          <w:snapToGrid w:val="0"/>
        </w:rPr>
        <w:t>.</w:t>
      </w:r>
      <w:r>
        <w:rPr>
          <w:snapToGrid w:val="0"/>
        </w:rPr>
        <w:tab/>
        <w:t>Vessels not to remain at jetties</w:t>
      </w:r>
      <w:bookmarkEnd w:id="52"/>
      <w:r>
        <w:rPr>
          <w:snapToGrid w:val="0"/>
        </w:rPr>
        <w:t xml:space="preserve"> </w:t>
      </w:r>
    </w:p>
    <w:p>
      <w:pPr>
        <w:pStyle w:val="Subsection"/>
        <w:spacing w:before="120"/>
        <w:rPr>
          <w:snapToGrid w:val="0"/>
        </w:rPr>
      </w:pPr>
      <w:r>
        <w:rPr>
          <w:snapToGrid w:val="0"/>
        </w:rPr>
        <w:tab/>
        <w:t>(a)</w:t>
      </w:r>
      <w:r>
        <w:rPr>
          <w:snapToGrid w:val="0"/>
        </w:rPr>
        <w:tab/>
        <w:t xml:space="preserve">Any vessel fastened to or alongside a jetty shall be removed forthwith on order for removal being given by an officer of the </w:t>
      </w:r>
      <w:r>
        <w:t>Department</w:t>
      </w:r>
      <w:r>
        <w:rPr>
          <w:snapToGrid w:val="0"/>
        </w:rPr>
        <w: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 xml:space="preserve">Except with the written permission of the </w:t>
      </w:r>
      <w:r>
        <w:t>Department</w:t>
      </w:r>
      <w:r>
        <w:rPr>
          <w:snapToGrid w:val="0"/>
        </w:rPr>
        <w:t>, no vessel shall remain alongside a jetty for the purpose of loading or discharging cargo between sunset and the next following sunrise.</w:t>
      </w:r>
    </w:p>
    <w:p>
      <w:pPr>
        <w:pStyle w:val="Footnotesection"/>
      </w:pPr>
      <w:r>
        <w:tab/>
        <w:t>[Regulation 25 amended: SL 2024/191 r. 41.]</w:t>
      </w:r>
    </w:p>
    <w:p>
      <w:pPr>
        <w:pStyle w:val="Heading5"/>
        <w:rPr>
          <w:snapToGrid w:val="0"/>
        </w:rPr>
      </w:pPr>
      <w:bookmarkStart w:id="53" w:name="_Toc178090398"/>
      <w:r>
        <w:rPr>
          <w:rStyle w:val="CharSectno"/>
        </w:rPr>
        <w:t>26</w:t>
      </w:r>
      <w:r>
        <w:rPr>
          <w:snapToGrid w:val="0"/>
        </w:rPr>
        <w:t>.</w:t>
      </w:r>
      <w:r>
        <w:rPr>
          <w:snapToGrid w:val="0"/>
        </w:rPr>
        <w:tab/>
        <w:t>Cargo or property not to be left on jetties</w:t>
      </w:r>
      <w:bookmarkEnd w:id="53"/>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 xml:space="preserve">Property on a jetty shall be forthwith removed therefrom upon demand by an officer of the </w:t>
      </w:r>
      <w:r>
        <w:t>Department</w:t>
      </w:r>
      <w:r>
        <w:rPr>
          <w:snapToGrid w:val="0"/>
        </w:rPr>
        <w: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 xml:space="preserve">Property which remains on a jetty contrary to this regulation may be removed by an officer of the </w:t>
      </w:r>
      <w:r>
        <w:t>Department</w:t>
      </w:r>
      <w:r>
        <w:rPr>
          <w:snapToGrid w:val="0"/>
        </w:rPr>
        <w:t xml:space="preserve">, and the cost of removal and of any subsequent storage of the property shall </w:t>
      </w:r>
      <w:r>
        <w:rPr>
          <w:snapToGrid w:val="0"/>
        </w:rPr>
        <w:lastRenderedPageBreak/>
        <w:t xml:space="preserve">be deemed to be a debt to the </w:t>
      </w:r>
      <w:r>
        <w:t>State</w:t>
      </w:r>
      <w:r>
        <w:rPr>
          <w:snapToGrid w:val="0"/>
        </w:rPr>
        <w:t xml:space="preserve"> payable jointly and severally by the owner, consignor and consignee of the property, and may be recovered by action in a court of competent jurisdiction.</w:t>
      </w:r>
    </w:p>
    <w:p>
      <w:pPr>
        <w:pStyle w:val="Footnotesection"/>
      </w:pPr>
      <w:r>
        <w:tab/>
        <w:t>[Regulation 26 amended: SL 2024/191 r. 10 and 41.]</w:t>
      </w:r>
    </w:p>
    <w:p>
      <w:pPr>
        <w:pStyle w:val="Heading5"/>
        <w:keepLines w:val="0"/>
        <w:rPr>
          <w:snapToGrid w:val="0"/>
        </w:rPr>
      </w:pPr>
      <w:bookmarkStart w:id="54" w:name="_Toc178090399"/>
      <w:r>
        <w:rPr>
          <w:rStyle w:val="CharSectno"/>
        </w:rPr>
        <w:t>27</w:t>
      </w:r>
      <w:r>
        <w:rPr>
          <w:snapToGrid w:val="0"/>
        </w:rPr>
        <w:t>.</w:t>
      </w:r>
      <w:r>
        <w:rPr>
          <w:snapToGrid w:val="0"/>
        </w:rPr>
        <w:tab/>
        <w:t>Explosives not to be landed on jetties</w:t>
      </w:r>
      <w:bookmarkEnd w:id="54"/>
      <w:r>
        <w:rPr>
          <w:snapToGrid w:val="0"/>
        </w:rPr>
        <w:t xml:space="preserve"> </w:t>
      </w:r>
    </w:p>
    <w:p>
      <w:pPr>
        <w:pStyle w:val="Subsection"/>
        <w:rPr>
          <w:snapToGrid w:val="0"/>
        </w:rPr>
      </w:pPr>
      <w:r>
        <w:rPr>
          <w:snapToGrid w:val="0"/>
        </w:rPr>
        <w:tab/>
      </w:r>
      <w:r>
        <w:rPr>
          <w:snapToGrid w:val="0"/>
        </w:rPr>
        <w:tab/>
        <w:t xml:space="preserve">Without the permission of the </w:t>
      </w:r>
      <w:r>
        <w:t>Department</w:t>
      </w:r>
      <w:r>
        <w:rPr>
          <w:snapToGrid w:val="0"/>
        </w:rPr>
        <w: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Gazette 24 Apr 1998 p. 2161; 25 Jul 2014 p. 2582; SL 2024/191 r. 41.] </w:t>
      </w:r>
    </w:p>
    <w:p>
      <w:pPr>
        <w:pStyle w:val="Heading5"/>
        <w:keepNext w:val="0"/>
        <w:keepLines w:val="0"/>
        <w:rPr>
          <w:snapToGrid w:val="0"/>
        </w:rPr>
      </w:pPr>
      <w:bookmarkStart w:id="55" w:name="_Toc178090400"/>
      <w:r>
        <w:rPr>
          <w:rStyle w:val="CharSectno"/>
        </w:rPr>
        <w:t>28</w:t>
      </w:r>
      <w:r>
        <w:rPr>
          <w:snapToGrid w:val="0"/>
        </w:rPr>
        <w:t>.</w:t>
      </w:r>
      <w:r>
        <w:rPr>
          <w:snapToGrid w:val="0"/>
        </w:rPr>
        <w:tab/>
        <w:t>Vehicles and bicycles on jetties</w:t>
      </w:r>
      <w:bookmarkEnd w:id="55"/>
      <w:r>
        <w:rPr>
          <w:snapToGrid w:val="0"/>
        </w:rPr>
        <w:t xml:space="preserve"> </w:t>
      </w:r>
    </w:p>
    <w:p>
      <w:pPr>
        <w:pStyle w:val="Subsection"/>
        <w:rPr>
          <w:snapToGrid w:val="0"/>
        </w:rPr>
      </w:pPr>
      <w:r>
        <w:rPr>
          <w:snapToGrid w:val="0"/>
        </w:rPr>
        <w:tab/>
        <w:t>(a)</w:t>
      </w:r>
      <w:r>
        <w:rPr>
          <w:snapToGrid w:val="0"/>
        </w:rPr>
        <w:tab/>
        <w:t xml:space="preserve">No vehicle shall be driven on to or be or remain on a jetty without permission of an officer of the </w:t>
      </w:r>
      <w:r>
        <w:t>Department</w:t>
      </w:r>
      <w:r>
        <w:rPr>
          <w:snapToGrid w:val="0"/>
        </w:rPr>
        <w:t>.</w:t>
      </w:r>
    </w:p>
    <w:p>
      <w:pPr>
        <w:pStyle w:val="Subsection"/>
        <w:rPr>
          <w:snapToGrid w:val="0"/>
        </w:rPr>
      </w:pPr>
      <w:r>
        <w:rPr>
          <w:snapToGrid w:val="0"/>
        </w:rPr>
        <w:tab/>
        <w:t>(b)</w:t>
      </w:r>
      <w:r>
        <w:rPr>
          <w:snapToGrid w:val="0"/>
        </w:rPr>
        <w:tab/>
        <w:t>No person shall ride or have a bicycle on any jetty.</w:t>
      </w:r>
    </w:p>
    <w:p>
      <w:pPr>
        <w:pStyle w:val="Footnotesection"/>
      </w:pPr>
      <w:r>
        <w:tab/>
        <w:t>[Regulation 28 amended: SL 2024/191 r. 41.]</w:t>
      </w:r>
    </w:p>
    <w:p>
      <w:pPr>
        <w:pStyle w:val="Heading5"/>
        <w:rPr>
          <w:snapToGrid w:val="0"/>
        </w:rPr>
      </w:pPr>
      <w:bookmarkStart w:id="56" w:name="_Toc178090401"/>
      <w:r>
        <w:rPr>
          <w:rStyle w:val="CharSectno"/>
        </w:rPr>
        <w:t>29</w:t>
      </w:r>
      <w:r>
        <w:rPr>
          <w:snapToGrid w:val="0"/>
        </w:rPr>
        <w:t>.</w:t>
      </w:r>
      <w:r>
        <w:rPr>
          <w:snapToGrid w:val="0"/>
        </w:rPr>
        <w:tab/>
        <w:t>Written permission required for bulk cargoes</w:t>
      </w:r>
      <w:bookmarkEnd w:id="56"/>
      <w:r>
        <w:rPr>
          <w:snapToGrid w:val="0"/>
        </w:rPr>
        <w:t xml:space="preserve"> </w:t>
      </w:r>
    </w:p>
    <w:p>
      <w:pPr>
        <w:pStyle w:val="Subsection"/>
        <w:rPr>
          <w:snapToGrid w:val="0"/>
        </w:rPr>
      </w:pPr>
      <w:r>
        <w:rPr>
          <w:snapToGrid w:val="0"/>
        </w:rPr>
        <w:tab/>
        <w:t>(a)</w:t>
      </w:r>
      <w:r>
        <w:rPr>
          <w:snapToGrid w:val="0"/>
        </w:rPr>
        <w:tab/>
        <w:t xml:space="preserve">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w:t>
      </w:r>
      <w:r>
        <w:t>Department</w:t>
      </w:r>
      <w:r>
        <w:rPr>
          <w:snapToGrid w:val="0"/>
        </w:rPr>
        <w: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Footnotesection"/>
      </w:pPr>
      <w:r>
        <w:tab/>
        <w:t>[Regulation 29 amended: SL 2024/191 r. 41.]</w:t>
      </w:r>
    </w:p>
    <w:p>
      <w:pPr>
        <w:pStyle w:val="Heading5"/>
        <w:rPr>
          <w:snapToGrid w:val="0"/>
        </w:rPr>
      </w:pPr>
      <w:bookmarkStart w:id="57" w:name="_Toc178090402"/>
      <w:r>
        <w:rPr>
          <w:rStyle w:val="CharSectno"/>
        </w:rPr>
        <w:lastRenderedPageBreak/>
        <w:t>30</w:t>
      </w:r>
      <w:r>
        <w:rPr>
          <w:snapToGrid w:val="0"/>
        </w:rPr>
        <w:t>.</w:t>
      </w:r>
      <w:r>
        <w:rPr>
          <w:snapToGrid w:val="0"/>
        </w:rPr>
        <w:tab/>
        <w:t>Damage to jetties</w:t>
      </w:r>
      <w:bookmarkEnd w:id="57"/>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 xml:space="preserve">Where damage to a jetty is caused by an owner or by a person employed by him, the </w:t>
      </w:r>
      <w:r>
        <w:t>Department</w:t>
      </w:r>
      <w:r>
        <w:rPr>
          <w:snapToGrid w:val="0"/>
        </w:rPr>
        <w:t xml:space="preserve"> may repair the damage and the cost of such repairs shall be a debt due to the </w:t>
      </w:r>
      <w:r>
        <w:t>State</w:t>
      </w:r>
      <w:r>
        <w:rPr>
          <w:snapToGrid w:val="0"/>
        </w:rPr>
        <w:t xml:space="preserve"> and payable by the owner and may be recovered in a court of competent jurisdiction.</w:t>
      </w:r>
    </w:p>
    <w:p>
      <w:pPr>
        <w:pStyle w:val="Footnotesection"/>
      </w:pPr>
      <w:r>
        <w:tab/>
        <w:t>[Regulation 30 amended: SL 2024/191 r. 11.]</w:t>
      </w:r>
    </w:p>
    <w:p>
      <w:pPr>
        <w:pStyle w:val="Heading5"/>
        <w:spacing w:before="180"/>
        <w:rPr>
          <w:snapToGrid w:val="0"/>
        </w:rPr>
      </w:pPr>
      <w:bookmarkStart w:id="58" w:name="_Toc178090403"/>
      <w:r>
        <w:rPr>
          <w:rStyle w:val="CharSectno"/>
        </w:rPr>
        <w:t>31</w:t>
      </w:r>
      <w:r>
        <w:rPr>
          <w:snapToGrid w:val="0"/>
        </w:rPr>
        <w:t>.</w:t>
      </w:r>
      <w:r>
        <w:rPr>
          <w:snapToGrid w:val="0"/>
        </w:rPr>
        <w:tab/>
        <w:t>Fishing from public bridges and jetties</w:t>
      </w:r>
      <w:bookmarkEnd w:id="58"/>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Gazette 23 Mar 1967 p. 814.] </w:t>
      </w:r>
    </w:p>
    <w:p>
      <w:pPr>
        <w:pStyle w:val="Heading5"/>
        <w:rPr>
          <w:snapToGrid w:val="0"/>
        </w:rPr>
      </w:pPr>
      <w:bookmarkStart w:id="59" w:name="_Toc178090404"/>
      <w:r>
        <w:rPr>
          <w:rStyle w:val="CharSectno"/>
        </w:rPr>
        <w:t>32</w:t>
      </w:r>
      <w:r>
        <w:rPr>
          <w:snapToGrid w:val="0"/>
        </w:rPr>
        <w:t>.</w:t>
      </w:r>
      <w:r>
        <w:rPr>
          <w:snapToGrid w:val="0"/>
        </w:rPr>
        <w:tab/>
        <w:t>Hawking, meetings etc. prohibited</w:t>
      </w:r>
      <w:bookmarkEnd w:id="5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 xml:space="preserve">without the consent of the </w:t>
      </w:r>
      <w:r>
        <w:t>Department</w:t>
      </w:r>
      <w:r>
        <w:rPr>
          <w:snapToGrid w:val="0"/>
        </w:rPr>
        <w: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 xml:space="preserve">without the consent of the </w:t>
      </w:r>
      <w:r>
        <w:t>Department</w:t>
      </w:r>
      <w:r>
        <w:rPr>
          <w:snapToGrid w:val="0"/>
        </w:rPr>
        <w:t>, display any sign or advertisement or use any loud speaking device, on a jetty; or</w:t>
      </w:r>
    </w:p>
    <w:p>
      <w:pPr>
        <w:pStyle w:val="Indenta"/>
        <w:keepNext/>
        <w:rPr>
          <w:snapToGrid w:val="0"/>
        </w:rPr>
      </w:pPr>
      <w:r>
        <w:rPr>
          <w:snapToGrid w:val="0"/>
        </w:rPr>
        <w:lastRenderedPageBreak/>
        <w:tab/>
        <w:t>(d)</w:t>
      </w:r>
      <w:r>
        <w:rPr>
          <w:snapToGrid w:val="0"/>
        </w:rPr>
        <w:tab/>
        <w:t>so conduct himself as to interfere with free movement of persons entering upon or leaving a jetty.</w:t>
      </w:r>
    </w:p>
    <w:p>
      <w:pPr>
        <w:pStyle w:val="Footnotesection"/>
      </w:pPr>
      <w:r>
        <w:tab/>
        <w:t xml:space="preserve">[Regulation 32 inserted: Gazette 23 Mar 1967 p. 815; amended: SL 2024/191 r. 41.] </w:t>
      </w:r>
    </w:p>
    <w:p>
      <w:pPr>
        <w:pStyle w:val="Heading5"/>
        <w:rPr>
          <w:snapToGrid w:val="0"/>
        </w:rPr>
      </w:pPr>
      <w:bookmarkStart w:id="60" w:name="_Toc178090405"/>
      <w:r>
        <w:rPr>
          <w:rStyle w:val="CharSectno"/>
        </w:rPr>
        <w:t>33</w:t>
      </w:r>
      <w:r>
        <w:rPr>
          <w:snapToGrid w:val="0"/>
        </w:rPr>
        <w:t>.</w:t>
      </w:r>
      <w:r>
        <w:rPr>
          <w:snapToGrid w:val="0"/>
        </w:rPr>
        <w:tab/>
        <w:t>Gangways to be provided</w:t>
      </w:r>
      <w:bookmarkEnd w:id="60"/>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keepNext/>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Gazette 14 Feb 1975 p. 572.] </w:t>
      </w:r>
    </w:p>
    <w:p>
      <w:pPr>
        <w:pStyle w:val="Heading5"/>
        <w:rPr>
          <w:snapToGrid w:val="0"/>
        </w:rPr>
      </w:pPr>
      <w:bookmarkStart w:id="61" w:name="_Toc178090406"/>
      <w:r>
        <w:rPr>
          <w:rStyle w:val="CharSectno"/>
        </w:rPr>
        <w:t>34</w:t>
      </w:r>
      <w:r>
        <w:rPr>
          <w:snapToGrid w:val="0"/>
        </w:rPr>
        <w:t>.</w:t>
      </w:r>
      <w:r>
        <w:rPr>
          <w:snapToGrid w:val="0"/>
        </w:rPr>
        <w:tab/>
        <w:t>Material not to be removed without permission</w:t>
      </w:r>
      <w:bookmarkEnd w:id="61"/>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Gazette 24 Apr 1998 p. 2162.] </w:t>
      </w:r>
    </w:p>
    <w:p>
      <w:pPr>
        <w:pStyle w:val="Heading5"/>
        <w:rPr>
          <w:snapToGrid w:val="0"/>
        </w:rPr>
      </w:pPr>
      <w:bookmarkStart w:id="62" w:name="_Toc178090407"/>
      <w:r>
        <w:rPr>
          <w:rStyle w:val="CharSectno"/>
        </w:rPr>
        <w:t>35</w:t>
      </w:r>
      <w:r>
        <w:rPr>
          <w:snapToGrid w:val="0"/>
        </w:rPr>
        <w:t>.</w:t>
      </w:r>
      <w:r>
        <w:rPr>
          <w:snapToGrid w:val="0"/>
        </w:rPr>
        <w:tab/>
        <w:t>Obstruction of jetties or officer</w:t>
      </w:r>
      <w:bookmarkEnd w:id="62"/>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w:t>
      </w:r>
      <w:r>
        <w:t>Department</w:t>
      </w:r>
      <w:r>
        <w:rPr>
          <w:snapToGrid w:val="0"/>
        </w:rPr>
        <w:t xml:space="preserve">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keepLines/>
        <w:rPr>
          <w:snapToGrid w:val="0"/>
        </w:rPr>
      </w:pPr>
      <w:r>
        <w:rPr>
          <w:snapToGrid w:val="0"/>
        </w:rPr>
        <w:lastRenderedPageBreak/>
        <w:tab/>
        <w:t>(b)</w:t>
      </w:r>
      <w:r>
        <w:rPr>
          <w:snapToGrid w:val="0"/>
        </w:rPr>
        <w:tab/>
        <w:t xml:space="preserve">No person shall obstruct any representative, officer or workman of the </w:t>
      </w:r>
      <w:r>
        <w:t>Department</w:t>
      </w:r>
      <w:r>
        <w:rPr>
          <w:snapToGrid w:val="0"/>
        </w:rPr>
        <w:t xml:space="preserve">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Gazette 24 Apr 1998 p. 2162; SL 2024/191 r. 12.] </w:t>
      </w:r>
    </w:p>
    <w:p>
      <w:pPr>
        <w:pStyle w:val="Heading5"/>
        <w:rPr>
          <w:snapToGrid w:val="0"/>
        </w:rPr>
      </w:pPr>
      <w:bookmarkStart w:id="63" w:name="_Toc178090408"/>
      <w:r>
        <w:rPr>
          <w:rStyle w:val="CharSectno"/>
        </w:rPr>
        <w:t>36</w:t>
      </w:r>
      <w:r>
        <w:rPr>
          <w:snapToGrid w:val="0"/>
        </w:rPr>
        <w:t>.</w:t>
      </w:r>
      <w:r>
        <w:rPr>
          <w:snapToGrid w:val="0"/>
        </w:rPr>
        <w:tab/>
        <w:t>Penalties</w:t>
      </w:r>
      <w:bookmarkEnd w:id="63"/>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Gazette 17 Sep 1976 p. 3463; 28 Aug 1992 p. 4242; 17 Nov 2009 p. 4630.] </w:t>
      </w:r>
    </w:p>
    <w:p>
      <w:pPr>
        <w:pStyle w:val="Heading2"/>
      </w:pPr>
      <w:bookmarkStart w:id="64" w:name="_Toc178064315"/>
      <w:bookmarkStart w:id="65" w:name="_Toc178084791"/>
      <w:bookmarkStart w:id="66" w:name="_Toc178090409"/>
      <w:r>
        <w:rPr>
          <w:rStyle w:val="CharPartNo"/>
        </w:rPr>
        <w:lastRenderedPageBreak/>
        <w:t>Part IV</w:t>
      </w:r>
      <w:r>
        <w:rPr>
          <w:rStyle w:val="CharDivNo"/>
        </w:rPr>
        <w:t> </w:t>
      </w:r>
      <w:r>
        <w:t>—</w:t>
      </w:r>
      <w:r>
        <w:rPr>
          <w:rStyle w:val="CharDivText"/>
        </w:rPr>
        <w:t> </w:t>
      </w:r>
      <w:r>
        <w:rPr>
          <w:rStyle w:val="CharPartText"/>
        </w:rPr>
        <w:t>Berthing and mooring</w:t>
      </w:r>
      <w:bookmarkEnd w:id="64"/>
      <w:bookmarkEnd w:id="65"/>
      <w:bookmarkEnd w:id="66"/>
      <w:r>
        <w:rPr>
          <w:rStyle w:val="CharPartText"/>
        </w:rPr>
        <w:t xml:space="preserve"> </w:t>
      </w:r>
    </w:p>
    <w:p>
      <w:pPr>
        <w:pStyle w:val="Heading5"/>
        <w:rPr>
          <w:snapToGrid w:val="0"/>
        </w:rPr>
      </w:pPr>
      <w:bookmarkStart w:id="67" w:name="_Toc178090410"/>
      <w:r>
        <w:rPr>
          <w:rStyle w:val="CharSectno"/>
        </w:rPr>
        <w:t>37</w:t>
      </w:r>
      <w:r>
        <w:rPr>
          <w:snapToGrid w:val="0"/>
        </w:rPr>
        <w:t>.</w:t>
      </w:r>
      <w:r>
        <w:rPr>
          <w:snapToGrid w:val="0"/>
        </w:rPr>
        <w:tab/>
        <w:t>Application of this Part</w:t>
      </w:r>
      <w:bookmarkEnd w:id="67"/>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pPr>
      <w:bookmarkStart w:id="68" w:name="_Toc177036342"/>
      <w:bookmarkStart w:id="69" w:name="_Toc177463310"/>
      <w:bookmarkStart w:id="70" w:name="_Toc178090411"/>
      <w:r>
        <w:rPr>
          <w:rStyle w:val="CharSectno"/>
        </w:rPr>
        <w:t>38</w:t>
      </w:r>
      <w:r>
        <w:t>.</w:t>
      </w:r>
      <w:r>
        <w:tab/>
        <w:t>Vessels to be moored, berthed or removed as directed</w:t>
      </w:r>
      <w:bookmarkEnd w:id="68"/>
      <w:bookmarkEnd w:id="69"/>
      <w:bookmarkEnd w:id="70"/>
    </w:p>
    <w:p>
      <w:pPr>
        <w:pStyle w:val="Subsection"/>
      </w:pPr>
      <w:r>
        <w:tab/>
        <w:t>(1)</w:t>
      </w:r>
      <w:r>
        <w:tab/>
        <w:t>If directed to do so by an officer of the Department, the owner, master or person in charge of a vessel must moor or berth the vessel in a place and in a manner as directed.</w:t>
      </w:r>
    </w:p>
    <w:p>
      <w:pPr>
        <w:pStyle w:val="Subsection"/>
      </w:pPr>
      <w:r>
        <w:tab/>
        <w:t>(2)</w:t>
      </w:r>
      <w:r>
        <w:tab/>
        <w:t>If directed to do so by an officer of the Department, the owner, master or person in charge of a vessel must remove the vessel or its mooring, or both, in accordance with the direction.</w:t>
      </w:r>
    </w:p>
    <w:p>
      <w:pPr>
        <w:pStyle w:val="Subsection"/>
      </w:pPr>
      <w:r>
        <w:tab/>
        <w:t>(3)</w:t>
      </w:r>
      <w:r>
        <w:tab/>
        <w:t>If the owner, master or person in charge of a vessel fails to remove a vessel or its mooring as required by subregulation (2) —</w:t>
      </w:r>
    </w:p>
    <w:p>
      <w:pPr>
        <w:pStyle w:val="Indenta"/>
      </w:pPr>
      <w:r>
        <w:tab/>
        <w:t>(a)</w:t>
      </w:r>
      <w:r>
        <w:tab/>
        <w:t xml:space="preserve">an officer may move or cause to be moved the vessel or mooring or both; and </w:t>
      </w:r>
    </w:p>
    <w:p>
      <w:pPr>
        <w:pStyle w:val="Indenta"/>
      </w:pPr>
      <w:r>
        <w:tab/>
        <w:t>(b)</w:t>
      </w:r>
      <w:r>
        <w:tab/>
        <w:t>the cost of moving the vessel or its mooring or both is recoverable from the owner, master or person in charge of the vessel in a court of competent jurisdiction as a debt due to the State.</w:t>
      </w:r>
    </w:p>
    <w:p>
      <w:pPr>
        <w:pStyle w:val="Subsection"/>
      </w:pPr>
      <w:r>
        <w:tab/>
        <w:t>(4)</w:t>
      </w:r>
      <w:r>
        <w:tab/>
        <w:t>Subregulation 3(b) does not limit regulation 40.</w:t>
      </w:r>
    </w:p>
    <w:p>
      <w:pPr>
        <w:pStyle w:val="Subsection"/>
      </w:pPr>
      <w:r>
        <w:tab/>
        <w:t>(5)</w:t>
      </w:r>
      <w:r>
        <w:tab/>
        <w:t>An officer of the Department may, without the knowledge or consent of the owner, master or person in charge of a vessel, move or cause to be moved the vessel or its mooring or both if the officer considers that it is necessary to do so.</w:t>
      </w:r>
    </w:p>
    <w:p>
      <w:pPr>
        <w:pStyle w:val="Footnotesection"/>
      </w:pPr>
      <w:r>
        <w:tab/>
        <w:t>[Regulation 38 inserted: SL 2024/191 r. 13.]</w:t>
      </w:r>
    </w:p>
    <w:p>
      <w:pPr>
        <w:pStyle w:val="Heading5"/>
        <w:rPr>
          <w:snapToGrid w:val="0"/>
        </w:rPr>
      </w:pPr>
      <w:bookmarkStart w:id="71" w:name="_Toc178090412"/>
      <w:r>
        <w:rPr>
          <w:rStyle w:val="CharSectno"/>
        </w:rPr>
        <w:lastRenderedPageBreak/>
        <w:t>39</w:t>
      </w:r>
      <w:r>
        <w:rPr>
          <w:snapToGrid w:val="0"/>
        </w:rPr>
        <w:t>.</w:t>
      </w:r>
      <w:r>
        <w:rPr>
          <w:snapToGrid w:val="0"/>
        </w:rPr>
        <w:tab/>
        <w:t>Vessels and moorings not to be interfered with</w:t>
      </w:r>
      <w:bookmarkEnd w:id="71"/>
      <w:r>
        <w:rPr>
          <w:snapToGrid w:val="0"/>
        </w:rPr>
        <w:t xml:space="preserve"> </w:t>
      </w:r>
    </w:p>
    <w:p>
      <w:pPr>
        <w:pStyle w:val="Subsection"/>
        <w:rPr>
          <w:snapToGrid w:val="0"/>
        </w:rPr>
      </w:pPr>
      <w:r>
        <w:rPr>
          <w:snapToGrid w:val="0"/>
        </w:rPr>
        <w:tab/>
      </w:r>
      <w:r>
        <w:rPr>
          <w:snapToGrid w:val="0"/>
        </w:rPr>
        <w:tab/>
        <w:t xml:space="preserve">No person shall, without the consent of the </w:t>
      </w:r>
      <w:r>
        <w:t>Department</w:t>
      </w:r>
      <w:r>
        <w:rPr>
          <w:snapToGrid w:val="0"/>
        </w:rPr>
        <w:t>, or of the owner of a vessel, move, let go or otherwise interfere with a vessel or its moorings.</w:t>
      </w:r>
    </w:p>
    <w:p>
      <w:pPr>
        <w:pStyle w:val="Footnotesection"/>
      </w:pPr>
      <w:r>
        <w:tab/>
        <w:t>[Regulation 39 amended: SL 2024/191 r. 41.]</w:t>
      </w:r>
    </w:p>
    <w:p>
      <w:pPr>
        <w:pStyle w:val="Heading5"/>
        <w:rPr>
          <w:snapToGrid w:val="0"/>
        </w:rPr>
      </w:pPr>
      <w:bookmarkStart w:id="72" w:name="_Toc178090413"/>
      <w:r>
        <w:rPr>
          <w:rStyle w:val="CharSectno"/>
        </w:rPr>
        <w:t>40</w:t>
      </w:r>
      <w:r>
        <w:rPr>
          <w:snapToGrid w:val="0"/>
        </w:rPr>
        <w:t>.</w:t>
      </w:r>
      <w:r>
        <w:rPr>
          <w:snapToGrid w:val="0"/>
        </w:rPr>
        <w:tab/>
        <w:t>Penalties</w:t>
      </w:r>
      <w:bookmarkEnd w:id="72"/>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Gazette 17 Sep 1976 p. 3463; 28 Aug 1992 p. 4242; 20 Jun 2000 p. 3038; 14 May 2004 p. 1447; 17 Nov 2009 p. 4630.] </w:t>
      </w:r>
    </w:p>
    <w:p>
      <w:pPr>
        <w:pStyle w:val="Heading2"/>
      </w:pPr>
      <w:bookmarkStart w:id="73" w:name="_Toc178064320"/>
      <w:bookmarkStart w:id="74" w:name="_Toc178084796"/>
      <w:bookmarkStart w:id="75" w:name="_Toc178090414"/>
      <w:r>
        <w:rPr>
          <w:rStyle w:val="CharPartNo"/>
        </w:rPr>
        <w:lastRenderedPageBreak/>
        <w:t>Part V</w:t>
      </w:r>
      <w:r>
        <w:rPr>
          <w:rStyle w:val="CharDivNo"/>
        </w:rPr>
        <w:t> </w:t>
      </w:r>
      <w:r>
        <w:t>—</w:t>
      </w:r>
      <w:r>
        <w:rPr>
          <w:rStyle w:val="CharDivText"/>
        </w:rPr>
        <w:t> </w:t>
      </w:r>
      <w:r>
        <w:rPr>
          <w:rStyle w:val="CharPartText"/>
        </w:rPr>
        <w:t>Obstruction and wrecks</w:t>
      </w:r>
      <w:bookmarkEnd w:id="73"/>
      <w:bookmarkEnd w:id="74"/>
      <w:bookmarkEnd w:id="75"/>
      <w:r>
        <w:rPr>
          <w:rStyle w:val="CharPartText"/>
        </w:rPr>
        <w:t xml:space="preserve"> </w:t>
      </w:r>
    </w:p>
    <w:p>
      <w:pPr>
        <w:pStyle w:val="Heading5"/>
        <w:rPr>
          <w:snapToGrid w:val="0"/>
        </w:rPr>
      </w:pPr>
      <w:bookmarkStart w:id="76" w:name="_Toc178090415"/>
      <w:r>
        <w:rPr>
          <w:rStyle w:val="CharSectno"/>
        </w:rPr>
        <w:t>41</w:t>
      </w:r>
      <w:r>
        <w:rPr>
          <w:snapToGrid w:val="0"/>
        </w:rPr>
        <w:t>.</w:t>
      </w:r>
      <w:r>
        <w:rPr>
          <w:snapToGrid w:val="0"/>
        </w:rPr>
        <w:tab/>
        <w:t>Application of this Part</w:t>
      </w:r>
      <w:bookmarkEnd w:id="76"/>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77" w:name="_Toc178090416"/>
      <w:r>
        <w:rPr>
          <w:rStyle w:val="CharSectno"/>
        </w:rPr>
        <w:t>42</w:t>
      </w:r>
      <w:r>
        <w:rPr>
          <w:snapToGrid w:val="0"/>
        </w:rPr>
        <w:t>.</w:t>
      </w:r>
      <w:r>
        <w:rPr>
          <w:snapToGrid w:val="0"/>
        </w:rPr>
        <w:tab/>
        <w:t>Vessels not to be moored in fairway or channel</w:t>
      </w:r>
      <w:bookmarkEnd w:id="77"/>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 xml:space="preserve">Where an anchor has been slipped or let go from a vessel in distress in a fairway or channel, the </w:t>
      </w:r>
      <w:r>
        <w:t>owner, master or person in charge</w:t>
      </w:r>
      <w:r>
        <w:rPr>
          <w:snapToGrid w:val="0"/>
        </w:rPr>
        <w:t xml:space="preserve">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 xml:space="preserve">No person shall place a cable, rope or other obstruction in or across a fairway or channel without the permission in writing of the </w:t>
      </w:r>
      <w:r>
        <w:t>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Footnotesection"/>
      </w:pPr>
      <w:r>
        <w:tab/>
        <w:t>[Regulation 42 amended: SL 2024/191 r. 14.]</w:t>
      </w:r>
    </w:p>
    <w:p>
      <w:pPr>
        <w:pStyle w:val="Heading5"/>
        <w:rPr>
          <w:snapToGrid w:val="0"/>
        </w:rPr>
      </w:pPr>
      <w:bookmarkStart w:id="78" w:name="_Toc178090417"/>
      <w:r>
        <w:rPr>
          <w:rStyle w:val="CharSectno"/>
        </w:rPr>
        <w:t>43</w:t>
      </w:r>
      <w:r>
        <w:rPr>
          <w:snapToGrid w:val="0"/>
        </w:rPr>
        <w:t>.</w:t>
      </w:r>
      <w:r>
        <w:rPr>
          <w:snapToGrid w:val="0"/>
        </w:rPr>
        <w:tab/>
        <w:t>Channels or fairways not to be obstructed by nets etc.</w:t>
      </w:r>
      <w:bookmarkEnd w:id="78"/>
      <w:r>
        <w:rPr>
          <w:snapToGrid w:val="0"/>
        </w:rPr>
        <w:t xml:space="preserve"> </w:t>
      </w:r>
    </w:p>
    <w:p>
      <w:pPr>
        <w:pStyle w:val="Subsection"/>
        <w:rPr>
          <w:snapToGrid w:val="0"/>
        </w:rPr>
      </w:pPr>
      <w:r>
        <w:rPr>
          <w:snapToGrid w:val="0"/>
        </w:rPr>
        <w:tab/>
        <w:t>(a)</w:t>
      </w:r>
      <w:r>
        <w:rPr>
          <w:snapToGrid w:val="0"/>
        </w:rPr>
        <w:tab/>
        <w:t xml:space="preserve">No crab drop net, fishing net, marker buoy or other buoyed object shall be placed or allowed to remain in any channel or fairway in any port or harbour, or in any channel, fairway or passage in any navigable waters except by permission of the </w:t>
      </w:r>
      <w:r>
        <w:t>Department</w:t>
      </w:r>
      <w:r>
        <w:rPr>
          <w:snapToGrid w:val="0"/>
        </w:rPr>
        <w:t>.</w:t>
      </w:r>
    </w:p>
    <w:p>
      <w:pPr>
        <w:pStyle w:val="Subsection"/>
        <w:rPr>
          <w:snapToGrid w:val="0"/>
        </w:rPr>
      </w:pPr>
      <w:r>
        <w:rPr>
          <w:snapToGrid w:val="0"/>
        </w:rPr>
        <w:lastRenderedPageBreak/>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 xml:space="preserve">The owner of any vessel, wreck or thing which has been sunk, set adrift or abandoned in any port, harbour or navigable waters, shall raise and remove the same and where directions as to the removal are given to him by an officer of the </w:t>
      </w:r>
      <w:r>
        <w:t>Department</w:t>
      </w:r>
      <w:r>
        <w:rPr>
          <w:snapToGrid w:val="0"/>
        </w:rPr>
        <w:t>, the owner shall carry out the directions within such time as is specified by the officer.</w:t>
      </w:r>
    </w:p>
    <w:p>
      <w:pPr>
        <w:pStyle w:val="Subsection"/>
        <w:rPr>
          <w:snapToGrid w:val="0"/>
        </w:rPr>
      </w:pPr>
      <w:r>
        <w:rPr>
          <w:snapToGrid w:val="0"/>
        </w:rPr>
        <w:tab/>
        <w:t>(d)</w:t>
      </w:r>
      <w:r>
        <w:rPr>
          <w:snapToGrid w:val="0"/>
        </w:rPr>
        <w:tab/>
        <w:t xml:space="preserve">Where any vessel, wreck or thing is not removed in accordance with subregulation (c), or where the officer of the </w:t>
      </w:r>
      <w:r>
        <w:t>Department</w:t>
      </w:r>
      <w:r>
        <w:rPr>
          <w:snapToGrid w:val="0"/>
        </w:rPr>
        <w:t xml:space="preserve"> is unable, after making reasonable enquiries, to ascertain the identity or whereabouts of the owner, the </w:t>
      </w:r>
      <w:r>
        <w:t>Department</w:t>
      </w:r>
      <w:r>
        <w:rPr>
          <w:snapToGrid w:val="0"/>
        </w:rPr>
        <w:t xml:space="preserve"> may remove the same or cause it to be removed and the cost of such removal shall be deemed to be a debt due to the </w:t>
      </w:r>
      <w:r>
        <w:t>State</w:t>
      </w:r>
      <w:r>
        <w:rPr>
          <w:snapToGrid w:val="0"/>
        </w:rPr>
        <w:t xml:space="preserve"> by the owner of the vessel, wreck or thing and may be recovered by action in a court of competent jurisdiction.</w:t>
      </w:r>
    </w:p>
    <w:p>
      <w:pPr>
        <w:pStyle w:val="Subsection"/>
        <w:rPr>
          <w:snapToGrid w:val="0"/>
        </w:rPr>
      </w:pPr>
      <w:r>
        <w:rPr>
          <w:snapToGrid w:val="0"/>
        </w:rPr>
        <w:tab/>
        <w:t>(e)</w:t>
      </w:r>
      <w:r>
        <w:rPr>
          <w:snapToGrid w:val="0"/>
        </w:rPr>
        <w:tab/>
        <w:t xml:space="preserve">An officer of the </w:t>
      </w:r>
      <w:r>
        <w:t>Department</w:t>
      </w:r>
      <w:r>
        <w:rPr>
          <w:snapToGrid w:val="0"/>
        </w:rPr>
        <w:t xml:space="preserve"> may remove any buoyed object (including floats and attachments) found in any channel or fairway. A buoyed object so removed may be retained in the possession of the </w:t>
      </w:r>
      <w:r>
        <w:t>Department</w:t>
      </w:r>
      <w:r>
        <w:rPr>
          <w:snapToGrid w:val="0"/>
        </w:rPr>
        <w:t xml:space="preserve"> until claimed by the owner or person entitled to possession thereof. If no such claim is made within 3 months after possession by the </w:t>
      </w:r>
      <w:r>
        <w:t>Department</w:t>
      </w:r>
      <w:r>
        <w:rPr>
          <w:snapToGrid w:val="0"/>
        </w:rPr>
        <w:t>, the object so possessed shall be deemed to have been abandoned by the owner and may be disposed of accordingly.</w:t>
      </w:r>
    </w:p>
    <w:p>
      <w:pPr>
        <w:pStyle w:val="Footnotesection"/>
      </w:pPr>
      <w:r>
        <w:tab/>
        <w:t xml:space="preserve">[Regulation 43 amended: Gazette 30 Oct 1967 p. 2593; 22 Sep 1978 p. 3504; SL 2024/191 r. 15 and 41.] </w:t>
      </w:r>
    </w:p>
    <w:p>
      <w:pPr>
        <w:pStyle w:val="Heading5"/>
        <w:rPr>
          <w:snapToGrid w:val="0"/>
        </w:rPr>
      </w:pPr>
      <w:bookmarkStart w:id="79" w:name="_Toc178090418"/>
      <w:r>
        <w:rPr>
          <w:rStyle w:val="CharSectno"/>
        </w:rPr>
        <w:t>44</w:t>
      </w:r>
      <w:r>
        <w:rPr>
          <w:snapToGrid w:val="0"/>
        </w:rPr>
        <w:t>.</w:t>
      </w:r>
      <w:r>
        <w:rPr>
          <w:snapToGrid w:val="0"/>
        </w:rPr>
        <w:tab/>
        <w:t>Beached vessels to be removed by owner or officer</w:t>
      </w:r>
      <w:bookmarkEnd w:id="79"/>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lastRenderedPageBreak/>
        <w:tab/>
        <w:t>(b)</w:t>
      </w:r>
      <w:r>
        <w:rPr>
          <w:snapToGrid w:val="0"/>
        </w:rPr>
        <w:tab/>
        <w:t xml:space="preserve">The owner of a beached vessel shall remove it to another place if and when directed by an officer of the </w:t>
      </w:r>
      <w:r>
        <w:t>Department</w:t>
      </w:r>
      <w:r>
        <w:rPr>
          <w:snapToGrid w:val="0"/>
        </w:rPr>
        <w:t xml:space="preserve"> and in accordance with such directions.</w:t>
      </w:r>
    </w:p>
    <w:p>
      <w:pPr>
        <w:pStyle w:val="Subsection"/>
        <w:rPr>
          <w:snapToGrid w:val="0"/>
        </w:rPr>
      </w:pPr>
      <w:r>
        <w:rPr>
          <w:snapToGrid w:val="0"/>
        </w:rPr>
        <w:tab/>
        <w:t>(c)</w:t>
      </w:r>
      <w:r>
        <w:rPr>
          <w:snapToGrid w:val="0"/>
        </w:rPr>
        <w:tab/>
        <w:t xml:space="preserve">An officer of the </w:t>
      </w:r>
      <w:r>
        <w:t>Department</w:t>
      </w:r>
      <w:r>
        <w:rPr>
          <w:snapToGrid w:val="0"/>
        </w:rPr>
        <w:t xml:space="preserve"> may remove any beached vessel from any place to any other place.</w:t>
      </w:r>
    </w:p>
    <w:p>
      <w:pPr>
        <w:pStyle w:val="Footnotesection"/>
      </w:pPr>
      <w:r>
        <w:tab/>
        <w:t>[Regulation 44 amended: SL 2024/191 r. 41.]</w:t>
      </w:r>
    </w:p>
    <w:p>
      <w:pPr>
        <w:pStyle w:val="Heading5"/>
        <w:rPr>
          <w:snapToGrid w:val="0"/>
        </w:rPr>
      </w:pPr>
      <w:bookmarkStart w:id="80" w:name="_Toc178090419"/>
      <w:r>
        <w:rPr>
          <w:rStyle w:val="CharSectno"/>
        </w:rPr>
        <w:t>45</w:t>
      </w:r>
      <w:r>
        <w:rPr>
          <w:snapToGrid w:val="0"/>
        </w:rPr>
        <w:t>.</w:t>
      </w:r>
      <w:r>
        <w:rPr>
          <w:snapToGrid w:val="0"/>
        </w:rPr>
        <w:tab/>
        <w:t>Penalties</w:t>
      </w:r>
      <w:bookmarkEnd w:id="80"/>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Gazette 17 Sep 1976 p. 3463; 28 Aug 1992 p. 4242; 20 Jun 2000 p. 3038; 17 Nov 2009 p. 4630; 25 Jul 2014 p. 2582.] </w:t>
      </w:r>
    </w:p>
    <w:p>
      <w:pPr>
        <w:pStyle w:val="Heading2"/>
      </w:pPr>
      <w:bookmarkStart w:id="81" w:name="_Toc177036346"/>
      <w:bookmarkStart w:id="82" w:name="_Toc177036407"/>
      <w:bookmarkStart w:id="83" w:name="_Toc177036491"/>
      <w:bookmarkStart w:id="84" w:name="_Toc177463314"/>
      <w:bookmarkStart w:id="85" w:name="_Toc178064326"/>
      <w:bookmarkStart w:id="86" w:name="_Toc178084802"/>
      <w:bookmarkStart w:id="87" w:name="_Toc178090420"/>
      <w:r>
        <w:rPr>
          <w:rStyle w:val="CharPartNo"/>
        </w:rPr>
        <w:lastRenderedPageBreak/>
        <w:t>Part 5A</w:t>
      </w:r>
      <w:r>
        <w:t> — </w:t>
      </w:r>
      <w:r>
        <w:rPr>
          <w:rStyle w:val="CharPartText"/>
        </w:rPr>
        <w:t>Registration of registrable vessels</w:t>
      </w:r>
      <w:bookmarkEnd w:id="81"/>
      <w:bookmarkEnd w:id="82"/>
      <w:bookmarkEnd w:id="83"/>
      <w:bookmarkEnd w:id="84"/>
      <w:bookmarkEnd w:id="85"/>
      <w:bookmarkEnd w:id="86"/>
      <w:bookmarkEnd w:id="87"/>
    </w:p>
    <w:p>
      <w:pPr>
        <w:pStyle w:val="Footnoteheading"/>
      </w:pPr>
      <w:r>
        <w:tab/>
        <w:t>[Heading inserted: SL 2024/191 r. 16.]</w:t>
      </w:r>
    </w:p>
    <w:p>
      <w:pPr>
        <w:pStyle w:val="Heading5"/>
        <w:spacing w:before="240"/>
        <w:rPr>
          <w:snapToGrid w:val="0"/>
        </w:rPr>
      </w:pPr>
      <w:bookmarkStart w:id="88" w:name="_Toc178090421"/>
      <w:r>
        <w:rPr>
          <w:rStyle w:val="CharSectno"/>
        </w:rPr>
        <w:t>45A</w:t>
      </w:r>
      <w:r>
        <w:rPr>
          <w:snapToGrid w:val="0"/>
        </w:rPr>
        <w:t>.</w:t>
      </w:r>
      <w:r>
        <w:rPr>
          <w:snapToGrid w:val="0"/>
        </w:rPr>
        <w:tab/>
      </w:r>
      <w:r>
        <w:t>Terms used</w:t>
      </w:r>
      <w:bookmarkEnd w:id="88"/>
    </w:p>
    <w:p>
      <w:pPr>
        <w:pStyle w:val="Ednotesubsection"/>
      </w:pPr>
      <w:r>
        <w:tab/>
        <w:t>[(1)</w:t>
      </w:r>
      <w:r>
        <w:tab/>
        <w:t>deleted]</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w:t>
      </w:r>
    </w:p>
    <w:p>
      <w:pPr>
        <w:pStyle w:val="Defsubpara"/>
      </w:pPr>
      <w:r>
        <w:tab/>
        <w:t>(i)</w:t>
      </w:r>
      <w:r>
        <w:tab/>
        <w:t>by a person approved by the chief executive officer or accredited to do so under regulation 45AA or 45AB; and</w:t>
      </w:r>
    </w:p>
    <w:p>
      <w:pPr>
        <w:pStyle w:val="Defsubpara"/>
      </w:pPr>
      <w:r>
        <w:tab/>
        <w:t>(ii)</w:t>
      </w:r>
      <w:r>
        <w:tab/>
        <w:t>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Ednotesubsection"/>
      </w:pPr>
      <w:r>
        <w:tab/>
        <w:t>[(3)</w:t>
      </w:r>
      <w:r>
        <w:tab/>
        <w:t>deleted]</w:t>
      </w:r>
    </w:p>
    <w:p>
      <w:pPr>
        <w:pStyle w:val="Footnotesection"/>
        <w:keepLines w:val="0"/>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w:t>
      </w:r>
      <w:r>
        <w:lastRenderedPageBreak/>
        <w:t xml:space="preserve">p. 2324; 1 Sep 2006 p. 3597; SL 2022/137 r. 4; SL 2023/135 r. 9; SL 2024/191 r. 17 and 41.] </w:t>
      </w:r>
    </w:p>
    <w:p>
      <w:pPr>
        <w:pStyle w:val="Heading5"/>
      </w:pPr>
      <w:bookmarkStart w:id="89" w:name="_Toc178090422"/>
      <w:r>
        <w:rPr>
          <w:rStyle w:val="CharSectno"/>
        </w:rPr>
        <w:t>45AA</w:t>
      </w:r>
      <w:r>
        <w:t>.</w:t>
      </w:r>
      <w:r>
        <w:tab/>
        <w:t>Accreditation of persons as hull identification number providers</w:t>
      </w:r>
      <w:bookmarkEnd w:id="89"/>
    </w:p>
    <w:p>
      <w:pPr>
        <w:pStyle w:val="Subsection"/>
      </w:pPr>
      <w:r>
        <w:tab/>
        <w:t>(1)</w:t>
      </w:r>
      <w:r>
        <w:tab/>
        <w:t>The chief executive officer may accredit a person as a hull identification number provider.</w:t>
      </w:r>
    </w:p>
    <w:p>
      <w:pPr>
        <w:pStyle w:val="Subsection"/>
      </w:pPr>
      <w:r>
        <w:tab/>
        <w:t>(2)</w:t>
      </w:r>
      <w:r>
        <w:tab/>
        <w:t>A hull identification number provider accredited under subregulation (1) is accredited to —</w:t>
      </w:r>
    </w:p>
    <w:p>
      <w:pPr>
        <w:pStyle w:val="Indenta"/>
      </w:pPr>
      <w:r>
        <w:tab/>
        <w:t>(a)</w:t>
      </w:r>
      <w:r>
        <w:tab/>
        <w:t>affix hull identification numbers to vessels; and</w:t>
      </w:r>
    </w:p>
    <w:p>
      <w:pPr>
        <w:pStyle w:val="Indenta"/>
      </w:pPr>
      <w:r>
        <w:tab/>
        <w:t>(b)</w:t>
      </w:r>
      <w:r>
        <w:tab/>
        <w:t>examine vessels for the purpose of verifying that they have hull identification numbers; and</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provider is $429.10.</w:t>
      </w:r>
    </w:p>
    <w:p>
      <w:pPr>
        <w:pStyle w:val="Footnotesection"/>
        <w:ind w:left="890" w:hanging="890"/>
      </w:pPr>
      <w:r>
        <w:tab/>
        <w:t>[Regulation 45AA inserted: SL 2022/137 r. 5; amended: SL 2023/45 r. 8; SL 2024/57 r. 8.]</w:t>
      </w:r>
    </w:p>
    <w:p>
      <w:pPr>
        <w:pStyle w:val="Heading5"/>
      </w:pPr>
      <w:bookmarkStart w:id="90" w:name="_Toc178090423"/>
      <w:r>
        <w:rPr>
          <w:rStyle w:val="CharSectno"/>
        </w:rPr>
        <w:t>45AB</w:t>
      </w:r>
      <w:r>
        <w:t>.</w:t>
      </w:r>
      <w:r>
        <w:tab/>
        <w:t>Accreditation of persons as hull identification number examiners</w:t>
      </w:r>
      <w:bookmarkEnd w:id="90"/>
    </w:p>
    <w:p>
      <w:pPr>
        <w:pStyle w:val="Subsection"/>
      </w:pPr>
      <w:r>
        <w:tab/>
        <w:t>(1)</w:t>
      </w:r>
      <w:r>
        <w:tab/>
        <w:t>The chief executive officer may accredit as a hull identification number examiner a person who is employed by, or otherwise works for or on behalf of, a person accredited as a hull identification number provider under regulation 45AA(1).</w:t>
      </w:r>
    </w:p>
    <w:p>
      <w:pPr>
        <w:pStyle w:val="Subsection"/>
      </w:pPr>
      <w:r>
        <w:tab/>
        <w:t>(2)</w:t>
      </w:r>
      <w:r>
        <w:tab/>
        <w:t>A hull identification number examiner accredited under subregulation (1) is accredited to do the following in the course of their employment with, or otherwise for or on behalf of, the relevant hull identification number provider —</w:t>
      </w:r>
    </w:p>
    <w:p>
      <w:pPr>
        <w:pStyle w:val="Indenta"/>
      </w:pPr>
      <w:r>
        <w:tab/>
        <w:t>(a)</w:t>
      </w:r>
      <w:r>
        <w:tab/>
        <w:t>affix hull identification numbers to vessels;</w:t>
      </w:r>
    </w:p>
    <w:p>
      <w:pPr>
        <w:pStyle w:val="Indenta"/>
        <w:keepNext/>
        <w:keepLines/>
      </w:pPr>
      <w:r>
        <w:lastRenderedPageBreak/>
        <w:tab/>
        <w:t>(b)</w:t>
      </w:r>
      <w:r>
        <w:tab/>
        <w:t>examine vessels for the purpose of verifying that they have hull identification numbers;</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examiner is $119.05.</w:t>
      </w:r>
    </w:p>
    <w:p>
      <w:pPr>
        <w:pStyle w:val="Footnotesection"/>
        <w:ind w:left="890" w:hanging="890"/>
      </w:pPr>
      <w:r>
        <w:tab/>
        <w:t>[Regulation 45AB inserted: SL 2022/137 r. 5; amended: SL 2023/45 r. 9; SL 2024/57 r. 8.]</w:t>
      </w:r>
    </w:p>
    <w:p>
      <w:pPr>
        <w:pStyle w:val="Heading5"/>
      </w:pPr>
      <w:bookmarkStart w:id="91" w:name="_Toc178090424"/>
      <w:r>
        <w:rPr>
          <w:rStyle w:val="CharSectno"/>
        </w:rPr>
        <w:t>45AC</w:t>
      </w:r>
      <w:r>
        <w:t>.</w:t>
      </w:r>
      <w:r>
        <w:tab/>
        <w:t>Provisions relating to accreditation of hull identification number providers and examiners</w:t>
      </w:r>
      <w:bookmarkEnd w:id="91"/>
    </w:p>
    <w:p>
      <w:pPr>
        <w:pStyle w:val="Subsection"/>
      </w:pPr>
      <w:r>
        <w:tab/>
        <w:t>(1)</w:t>
      </w:r>
      <w:r>
        <w:tab/>
        <w:t>The chief executive officer may impose conditions on an accreditation under regulation 45AA(1) or 45AB(1) and may revoke or vary those conditions.</w:t>
      </w:r>
    </w:p>
    <w:p>
      <w:pPr>
        <w:pStyle w:val="Subsection"/>
      </w:pPr>
      <w:r>
        <w:tab/>
        <w:t>(2)</w:t>
      </w:r>
      <w:r>
        <w:tab/>
        <w:t>The chief executive officer may extend the accreditation of a person under regulation 45AA(1) or 45AB(1) by notice given to the person.</w:t>
      </w:r>
    </w:p>
    <w:p>
      <w:pPr>
        <w:pStyle w:val="Subsection"/>
        <w:keepNext/>
      </w:pPr>
      <w:r>
        <w:tab/>
        <w:t>(3)</w:t>
      </w:r>
      <w:r>
        <w:tab/>
        <w:t>The chief executive officer may revoke the accreditation of a person under regulation 45AA(1) or 45AB(1) if the chief executive officer is satisfied that —</w:t>
      </w:r>
    </w:p>
    <w:p>
      <w:pPr>
        <w:pStyle w:val="Indenta"/>
      </w:pPr>
      <w:r>
        <w:tab/>
        <w:t>(a)</w:t>
      </w:r>
      <w:r>
        <w:tab/>
        <w:t>the person has not complied with a condition of the accreditation; or</w:t>
      </w:r>
    </w:p>
    <w:p>
      <w:pPr>
        <w:pStyle w:val="Indenta"/>
      </w:pPr>
      <w:r>
        <w:tab/>
        <w:t>(b)</w:t>
      </w:r>
      <w:r>
        <w:tab/>
        <w:t>the accreditation is no longer appropriate.</w:t>
      </w:r>
    </w:p>
    <w:p>
      <w:pPr>
        <w:pStyle w:val="Subsection"/>
      </w:pPr>
      <w:r>
        <w:tab/>
        <w:t>(4)</w:t>
      </w:r>
      <w:r>
        <w:tab/>
        <w:t>Subject to subregulation (3), an accreditation under regulation 45AA(1) or 45AB(1) has effect for the period specified in the accreditation or, if the accreditation is extended under subregulation (2), in the notice of extension.</w:t>
      </w:r>
    </w:p>
    <w:p>
      <w:pPr>
        <w:pStyle w:val="Footnotesection"/>
        <w:ind w:left="890" w:hanging="890"/>
      </w:pPr>
      <w:r>
        <w:tab/>
        <w:t>[Regulation 45AC inserted: SL 2022/137 r. 5.]</w:t>
      </w:r>
    </w:p>
    <w:p>
      <w:pPr>
        <w:pStyle w:val="Heading5"/>
      </w:pPr>
      <w:bookmarkStart w:id="92" w:name="_Toc178090425"/>
      <w:r>
        <w:rPr>
          <w:rStyle w:val="CharSectno"/>
        </w:rPr>
        <w:lastRenderedPageBreak/>
        <w:t>45AD</w:t>
      </w:r>
      <w:r>
        <w:t>.</w:t>
      </w:r>
      <w:r>
        <w:tab/>
        <w:t>Transitional provisions regarding accreditation of hull identification number providers and examiners</w:t>
      </w:r>
      <w:bookmarkEnd w:id="92"/>
    </w:p>
    <w:p>
      <w:pPr>
        <w:pStyle w:val="Subsection"/>
        <w:keepNext/>
      </w:pPr>
      <w:r>
        <w:tab/>
        <w:t>(1)</w:t>
      </w:r>
      <w:r>
        <w:tab/>
        <w:t>In this regulation —</w:t>
      </w:r>
    </w:p>
    <w:p>
      <w:pPr>
        <w:pStyle w:val="Defstart"/>
      </w:pPr>
      <w:r>
        <w:tab/>
      </w:r>
      <w:r>
        <w:rPr>
          <w:rStyle w:val="CharDefText"/>
        </w:rPr>
        <w:t>commencement day</w:t>
      </w:r>
      <w:r>
        <w:t xml:space="preserve"> means the day on which the </w:t>
      </w:r>
      <w:r>
        <w:rPr>
          <w:i/>
        </w:rPr>
        <w:t>Navigable Waters Amendment Regulations 2022</w:t>
      </w:r>
      <w:r>
        <w:t xml:space="preserve"> regulation 5 comes into operation;</w:t>
      </w:r>
    </w:p>
    <w:p>
      <w:pPr>
        <w:pStyle w:val="Defstart"/>
      </w:pPr>
      <w:r>
        <w:tab/>
      </w:r>
      <w:r>
        <w:rPr>
          <w:rStyle w:val="CharDefText"/>
        </w:rPr>
        <w:t>former Regulations</w:t>
      </w:r>
      <w:r>
        <w:t xml:space="preserve"> means the </w:t>
      </w:r>
      <w:r>
        <w:rPr>
          <w:i/>
        </w:rPr>
        <w:t>Navigable Waters Regulations 1958</w:t>
      </w:r>
      <w:r>
        <w:t xml:space="preserve"> as in force immediately before commencement day.</w:t>
      </w:r>
    </w:p>
    <w:p>
      <w:pPr>
        <w:pStyle w:val="Subsection"/>
      </w:pPr>
      <w:r>
        <w:tab/>
        <w:t>(2)</w:t>
      </w:r>
      <w:r>
        <w:tab/>
        <w:t>On and from commencement day —</w:t>
      </w:r>
    </w:p>
    <w:p>
      <w:pPr>
        <w:pStyle w:val="Indenta"/>
      </w:pPr>
      <w:r>
        <w:tab/>
        <w:t>(a)</w:t>
      </w:r>
      <w:r>
        <w:tab/>
        <w:t xml:space="preserve">a person who is approved by the chief executive officer under paragraph (b) of the definition of </w:t>
      </w:r>
      <w:r>
        <w:rPr>
          <w:b/>
          <w:i/>
        </w:rPr>
        <w:t>hull identification number</w:t>
      </w:r>
      <w:r>
        <w:t xml:space="preserve"> in regulation 45A(2) of the former Regulations, and described as a provider in relation to hull identification numbers, is taken to be accredited as a hull identification number provider under regulation 45AA(1); and</w:t>
      </w:r>
    </w:p>
    <w:p>
      <w:pPr>
        <w:pStyle w:val="Indenta"/>
      </w:pPr>
      <w:r>
        <w:tab/>
        <w:t>(b)</w:t>
      </w:r>
      <w:r>
        <w:tab/>
        <w:t xml:space="preserve">a person who is approved by the chief executive officer under paragraph (b) of the definition of </w:t>
      </w:r>
      <w:r>
        <w:rPr>
          <w:b/>
          <w:i/>
        </w:rPr>
        <w:t>hull identification number</w:t>
      </w:r>
      <w:r>
        <w:t xml:space="preserve"> in regulation 45A(2) of the former Regulations, and described as an examiner in relation to hull identification numbers, is taken to be accredited as a hull identification number examiner under regulation 45AB(1); and</w:t>
      </w:r>
    </w:p>
    <w:p>
      <w:pPr>
        <w:pStyle w:val="Indenta"/>
      </w:pPr>
      <w:r>
        <w:tab/>
        <w:t>(c)</w:t>
      </w:r>
      <w:r>
        <w:tab/>
        <w:t>a certificate issued before commencement day by a person to whom paragraph (a) or (b) applies for the purpose of verifying the hull identification number of a vessel is taken to be a certificate issued by a person accredited to do so under regulation 45AA or 45AB verifying the hull identification number of the vessel.</w:t>
      </w:r>
    </w:p>
    <w:p>
      <w:pPr>
        <w:pStyle w:val="Subsection"/>
      </w:pPr>
      <w:r>
        <w:tab/>
        <w:t>(3)</w:t>
      </w:r>
      <w:r>
        <w:tab/>
        <w:t xml:space="preserve">A person taken to be accredited under subregulation (2)(a) or (b) is taken to be accredited for the period specified in the approval referred to in that paragraph, subject to any extension </w:t>
      </w:r>
      <w:r>
        <w:lastRenderedPageBreak/>
        <w:t>or revocation of the accreditation under regulation 45AC(2) or (3).</w:t>
      </w:r>
    </w:p>
    <w:p>
      <w:pPr>
        <w:pStyle w:val="Footnotesection"/>
        <w:ind w:left="890" w:hanging="890"/>
      </w:pPr>
      <w:r>
        <w:tab/>
        <w:t>[Regulation 45AD inserted: SL 2022/137 r. 5.]</w:t>
      </w:r>
    </w:p>
    <w:p>
      <w:pPr>
        <w:pStyle w:val="Heading5"/>
        <w:rPr>
          <w:snapToGrid w:val="0"/>
        </w:rPr>
      </w:pPr>
      <w:bookmarkStart w:id="93" w:name="_Toc178090426"/>
      <w:r>
        <w:rPr>
          <w:rStyle w:val="CharSectno"/>
        </w:rPr>
        <w:t>45B</w:t>
      </w:r>
      <w:r>
        <w:rPr>
          <w:snapToGrid w:val="0"/>
        </w:rPr>
        <w:t>.</w:t>
      </w:r>
      <w:r>
        <w:rPr>
          <w:snapToGrid w:val="0"/>
        </w:rPr>
        <w:tab/>
        <w:t>Registration of vessels</w:t>
      </w:r>
      <w:bookmarkEnd w:id="93"/>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 xml:space="preserve">the vessel is registered with the </w:t>
      </w:r>
      <w:r>
        <w:t>Department</w:t>
      </w:r>
      <w:r>
        <w:rPr>
          <w:snapToGrid w:val="0"/>
        </w:rPr>
        <w:t xml:space="preserve">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 xml:space="preserve">A person may, within the period of 30 days immediately succeeding the day of expiry of the registration of the vessel, use or have in navigable waters a vessel that is not registered with the </w:t>
      </w:r>
      <w:r>
        <w:t>Department</w:t>
      </w:r>
      <w:r>
        <w:rPr>
          <w:snapToGrid w:val="0"/>
        </w:rPr>
        <w:t xml:space="preserve"> in accordance with this Part.</w:t>
      </w:r>
    </w:p>
    <w:p>
      <w:pPr>
        <w:pStyle w:val="Subsection"/>
        <w:rPr>
          <w:snapToGrid w:val="0"/>
        </w:rPr>
      </w:pPr>
      <w:r>
        <w:rPr>
          <w:snapToGrid w:val="0"/>
        </w:rPr>
        <w:tab/>
        <w:t>(2a)</w:t>
      </w:r>
      <w:r>
        <w:rPr>
          <w:snapToGrid w:val="0"/>
        </w:rPr>
        <w:tab/>
        <w:t xml:space="preserve">A person may, within the period of 3 months immediately succeeding the day of entry of a registered interstate pleasure vessel into any navigable waters, use or have in navigable waters a registered interstate pleasure vessel that is not registered with the </w:t>
      </w:r>
      <w:r>
        <w:t>Department</w:t>
      </w:r>
      <w:r>
        <w:rPr>
          <w:snapToGrid w:val="0"/>
        </w:rPr>
        <w:t xml:space="preserve"> in accordance with this regulation.</w:t>
      </w:r>
    </w:p>
    <w:p>
      <w:pPr>
        <w:pStyle w:val="Subsection"/>
        <w:rPr>
          <w:snapToGrid w:val="0"/>
        </w:rPr>
      </w:pPr>
      <w:r>
        <w:rPr>
          <w:snapToGrid w:val="0"/>
        </w:rPr>
        <w:tab/>
        <w:t>(3)</w:t>
      </w:r>
      <w:r>
        <w:rPr>
          <w:snapToGrid w:val="0"/>
        </w:rPr>
        <w:tab/>
        <w:t xml:space="preserve">Every application for the registration of a registrable vessel shall be made to the </w:t>
      </w:r>
      <w:r>
        <w:t>Department</w:t>
      </w:r>
      <w:r>
        <w:rPr>
          <w:snapToGrid w:val="0"/>
        </w:rPr>
        <w:t xml:space="preserve">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lastRenderedPageBreak/>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(aa)</w:t>
      </w:r>
      <w:r>
        <w:tab/>
        <w:t>a certificate issued by a person accredited to do so under regulation 45AA or 45AB verifying the hull identification number of the vessel; and</w:t>
      </w:r>
    </w:p>
    <w:p>
      <w:pPr>
        <w:pStyle w:val="Indenta"/>
      </w:pPr>
      <w:r>
        <w:tab/>
        <w:t>(a)</w:t>
      </w:r>
      <w:r>
        <w:tab/>
        <w:t>such proof of the particulars referred to in subregulation (3) as the Department may require; and</w:t>
      </w:r>
    </w:p>
    <w:p>
      <w:pPr>
        <w:pStyle w:val="Indenta"/>
        <w:keepNext/>
      </w:pPr>
      <w:r>
        <w:lastRenderedPageBreak/>
        <w:tab/>
        <w:t>(b)</w:t>
      </w:r>
      <w:r>
        <w:tab/>
        <w:t>the appropriate fee ascertained in accordance with the following Table —</w:t>
      </w:r>
    </w:p>
    <w:p>
      <w:pPr>
        <w:pStyle w:val="THeadingNAm"/>
      </w:pPr>
      <w:r>
        <w:t>Table of fees</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1701"/>
      </w:tblGrid>
      <w:tr>
        <w:trPr>
          <w:cantSplit/>
          <w:tblHeader/>
        </w:trPr>
        <w:tc>
          <w:tcPr>
            <w:tcW w:w="4253" w:type="dxa"/>
            <w:noWrap/>
          </w:tcPr>
          <w:p>
            <w:pPr>
              <w:pStyle w:val="TableNAm"/>
              <w:rPr>
                <w:b/>
                <w:bCs/>
              </w:rPr>
            </w:pPr>
            <w:r>
              <w:rPr>
                <w:b/>
                <w:bCs/>
              </w:rPr>
              <w:t>Length of vessel</w:t>
            </w:r>
          </w:p>
        </w:tc>
        <w:tc>
          <w:tcPr>
            <w:tcW w:w="1701" w:type="dxa"/>
            <w:noWrap/>
          </w:tcPr>
          <w:p>
            <w:pPr>
              <w:pStyle w:val="TableNAm"/>
              <w:jc w:val="center"/>
              <w:rPr>
                <w:b/>
                <w:bCs/>
              </w:rPr>
            </w:pPr>
            <w:r>
              <w:rPr>
                <w:b/>
                <w:bCs/>
              </w:rPr>
              <w:t>Fee ($)</w:t>
            </w:r>
          </w:p>
        </w:tc>
      </w:tr>
      <w:tr>
        <w:trPr>
          <w:cantSplit/>
        </w:trPr>
        <w:tc>
          <w:tcPr>
            <w:tcW w:w="4253" w:type="dxa"/>
            <w:noWrap/>
          </w:tcPr>
          <w:p>
            <w:pPr>
              <w:pStyle w:val="TableNAm"/>
              <w:tabs>
                <w:tab w:val="clear" w:pos="567"/>
                <w:tab w:val="left" w:pos="743"/>
              </w:tabs>
              <w:ind w:left="460" w:hanging="460"/>
            </w:pPr>
            <w:r>
              <w:t>(i)</w:t>
            </w:r>
            <w:r>
              <w:tab/>
              <w:t>less than 5 m</w:t>
            </w:r>
          </w:p>
        </w:tc>
        <w:tc>
          <w:tcPr>
            <w:tcW w:w="1701" w:type="dxa"/>
            <w:noWrap/>
          </w:tcPr>
          <w:p>
            <w:pPr>
              <w:pStyle w:val="TableNAm"/>
              <w:jc w:val="center"/>
            </w:pPr>
            <w:r>
              <w:t>154.85</w:t>
            </w:r>
          </w:p>
        </w:tc>
      </w:tr>
      <w:tr>
        <w:trPr>
          <w:cantSplit/>
        </w:trPr>
        <w:tc>
          <w:tcPr>
            <w:tcW w:w="4253" w:type="dxa"/>
            <w:noWrap/>
          </w:tcPr>
          <w:p>
            <w:pPr>
              <w:pStyle w:val="TableNAm"/>
              <w:tabs>
                <w:tab w:val="clear" w:pos="567"/>
                <w:tab w:val="left" w:pos="743"/>
              </w:tabs>
              <w:ind w:left="460" w:hanging="460"/>
            </w:pPr>
            <w:r>
              <w:t>(ii)</w:t>
            </w:r>
            <w:r>
              <w:tab/>
              <w:t>5 m or more but less than 10 m</w:t>
            </w:r>
          </w:p>
        </w:tc>
        <w:tc>
          <w:tcPr>
            <w:tcW w:w="1701" w:type="dxa"/>
            <w:noWrap/>
          </w:tcPr>
          <w:p>
            <w:pPr>
              <w:pStyle w:val="TableNAm"/>
              <w:jc w:val="center"/>
            </w:pPr>
            <w:r>
              <w:t>328.75</w:t>
            </w:r>
          </w:p>
        </w:tc>
      </w:tr>
      <w:tr>
        <w:trPr>
          <w:cantSplit/>
        </w:trPr>
        <w:tc>
          <w:tcPr>
            <w:tcW w:w="4253" w:type="dxa"/>
            <w:noWrap/>
          </w:tcPr>
          <w:p>
            <w:pPr>
              <w:pStyle w:val="TableNAm"/>
              <w:tabs>
                <w:tab w:val="clear" w:pos="567"/>
                <w:tab w:val="left" w:pos="743"/>
              </w:tabs>
              <w:ind w:left="460" w:hanging="460"/>
            </w:pPr>
            <w:r>
              <w:t>(iii)</w:t>
            </w:r>
            <w:r>
              <w:tab/>
              <w:t>10 m or more but less than 20 m</w:t>
            </w:r>
          </w:p>
        </w:tc>
        <w:tc>
          <w:tcPr>
            <w:tcW w:w="1701" w:type="dxa"/>
            <w:noWrap/>
          </w:tcPr>
          <w:p>
            <w:pPr>
              <w:pStyle w:val="TableNAm"/>
              <w:jc w:val="center"/>
            </w:pPr>
            <w:r>
              <w:t>659.40</w:t>
            </w:r>
          </w:p>
        </w:tc>
      </w:tr>
      <w:tr>
        <w:trPr>
          <w:cantSplit/>
        </w:trPr>
        <w:tc>
          <w:tcPr>
            <w:tcW w:w="4253" w:type="dxa"/>
            <w:noWrap/>
          </w:tcPr>
          <w:p>
            <w:pPr>
              <w:pStyle w:val="TableNAm"/>
              <w:tabs>
                <w:tab w:val="clear" w:pos="567"/>
                <w:tab w:val="left" w:pos="743"/>
              </w:tabs>
              <w:ind w:left="460" w:hanging="460"/>
            </w:pPr>
            <w:r>
              <w:t>(iv)</w:t>
            </w:r>
            <w:r>
              <w:tab/>
              <w:t>20 m or more</w:t>
            </w:r>
          </w:p>
        </w:tc>
        <w:tc>
          <w:tcPr>
            <w:tcW w:w="1701" w:type="dxa"/>
            <w:noWrap/>
          </w:tcPr>
          <w:p>
            <w:pPr>
              <w:pStyle w:val="TableNAm"/>
              <w:jc w:val="center"/>
            </w:pPr>
            <w:r>
              <w:t>964.35</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 xml:space="preserve">and a recording fee of </w:t>
      </w:r>
      <w:r>
        <w:t>$34.15.</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keepNext/>
      </w:pPr>
      <w:r>
        <w:lastRenderedPageBreak/>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pPr>
        <w:pStyle w:val="Subsection"/>
        <w:keepNext/>
        <w:spacing w:before="180"/>
      </w:pPr>
      <w:r>
        <w:lastRenderedPageBreak/>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 xml:space="preserve">When the </w:t>
      </w:r>
      <w:r>
        <w:t>Department</w:t>
      </w:r>
      <w:r>
        <w:rPr>
          <w:snapToGrid w:val="0"/>
        </w:rPr>
        <w:t xml:space="preserve"> registers a vessel under this Part, other than under regulation 45BAA, the </w:t>
      </w:r>
      <w:r>
        <w:t>Department</w:t>
      </w:r>
      <w:r>
        <w:rPr>
          <w:snapToGrid w:val="0"/>
        </w:rPr>
        <w:t xml:space="preserve">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lastRenderedPageBreak/>
        <w:tab/>
        <w:t>(6A)</w:t>
      </w:r>
      <w:r>
        <w:tab/>
        <w:t>An owner of a registered vessel, or a person authorised in writing by an owner, may be issued with a replacement certificate of registration on payment of a fee of $14.35.</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 xml:space="preserve">the number shall not be positioned under a flared bow of the vessel and shall at all times be easily visible, whether or not the vessel is </w:t>
      </w:r>
      <w:r>
        <w:t>underway;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keepNext/>
        <w:spacing w:before="100"/>
        <w:rPr>
          <w:snapToGrid w:val="0"/>
        </w:rPr>
      </w:pPr>
      <w:r>
        <w:rPr>
          <w:snapToGrid w:val="0"/>
        </w:rPr>
        <w:tab/>
        <w:t>(b)</w:t>
      </w:r>
      <w:r>
        <w:rPr>
          <w:snapToGrid w:val="0"/>
        </w:rPr>
        <w:tab/>
        <w:t xml:space="preserve">where the vessel is a yacht which is or may be propelled by mechanical power, the registration number allotted to the vessel is legibly marked on each side of the hull of </w:t>
      </w:r>
      <w:r>
        <w:rPr>
          <w:snapToGrid w:val="0"/>
        </w:rPr>
        <w:lastRenderedPageBreak/>
        <w:t>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lastRenderedPageBreak/>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25 May 2018 </w:t>
      </w:r>
      <w:r>
        <w:lastRenderedPageBreak/>
        <w:t xml:space="preserve">p. 1641; 17 May 2019 p. 1438; SL 2020/60 r. 8; SL 2021/68 r. 14; SL 2022/56 r. 6; SL 2022/137 r. 6; SL 2023/45 r. 10; SL 2023/135 r. 10; SL 2024/57 r. 8; SL 2024/191 r. 41.] </w:t>
      </w:r>
    </w:p>
    <w:p>
      <w:pPr>
        <w:pStyle w:val="Heading5"/>
        <w:rPr>
          <w:snapToGrid w:val="0"/>
        </w:rPr>
      </w:pPr>
      <w:bookmarkStart w:id="94" w:name="_Toc178090427"/>
      <w:r>
        <w:rPr>
          <w:rStyle w:val="CharSectno"/>
        </w:rPr>
        <w:t>45BAA</w:t>
      </w:r>
      <w:r>
        <w:rPr>
          <w:snapToGrid w:val="0"/>
        </w:rPr>
        <w:t>.</w:t>
      </w:r>
      <w:r>
        <w:rPr>
          <w:snapToGrid w:val="0"/>
        </w:rPr>
        <w:tab/>
        <w:t>Registration of foreign pleasure vessels</w:t>
      </w:r>
      <w:bookmarkEnd w:id="94"/>
      <w:r>
        <w:rPr>
          <w:snapToGrid w:val="0"/>
        </w:rPr>
        <w:t xml:space="preserve"> </w:t>
      </w:r>
    </w:p>
    <w:p>
      <w:pPr>
        <w:pStyle w:val="Subsection"/>
        <w:keepNext/>
        <w:keepLines/>
        <w:rPr>
          <w:snapToGrid w:val="0"/>
        </w:rPr>
      </w:pPr>
      <w:r>
        <w:rPr>
          <w:snapToGrid w:val="0"/>
        </w:rPr>
        <w:tab/>
        <w:t>(1)</w:t>
      </w:r>
      <w:r>
        <w:rPr>
          <w:snapToGrid w:val="0"/>
        </w:rPr>
        <w:tab/>
        <w:t>In this regulation — </w:t>
      </w:r>
    </w:p>
    <w:p>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keepNext/>
        <w:keepLines/>
        <w:rPr>
          <w:snapToGrid w:val="0"/>
        </w:rPr>
      </w:pPr>
      <w:r>
        <w:rPr>
          <w:snapToGrid w:val="0"/>
        </w:rPr>
        <w:tab/>
        <w:t>(2)</w:t>
      </w:r>
      <w:r>
        <w:rPr>
          <w:snapToGrid w:val="0"/>
        </w:rPr>
        <w:tab/>
        <w:t xml:space="preserve">Subject to subregulation (3), a person shall not use or have in any navigable waters a foreign pleasure vessel unless the vessel is registered with the </w:t>
      </w:r>
      <w:r>
        <w:t>Department</w:t>
      </w:r>
      <w:r>
        <w:rPr>
          <w:snapToGrid w:val="0"/>
        </w:rPr>
        <w:t xml:space="preserve">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 xml:space="preserve">A person may, within the period of 30 days immediately succeeding the day of entry of the foreign pleasure vessel into any navigable waters, use or have in navigable waters a foreign pleasure vessel that is not registered with the </w:t>
      </w:r>
      <w:r>
        <w:t>Department</w:t>
      </w:r>
      <w:r>
        <w:rPr>
          <w:snapToGrid w:val="0"/>
        </w:rPr>
        <w:t xml:space="preserve"> in accordance with this regulation.</w:t>
      </w:r>
    </w:p>
    <w:p>
      <w:pPr>
        <w:pStyle w:val="Subsection"/>
        <w:rPr>
          <w:snapToGrid w:val="0"/>
        </w:rPr>
      </w:pPr>
      <w:r>
        <w:rPr>
          <w:snapToGrid w:val="0"/>
        </w:rPr>
        <w:tab/>
        <w:t>(4)</w:t>
      </w:r>
      <w:r>
        <w:rPr>
          <w:snapToGrid w:val="0"/>
        </w:rPr>
        <w:tab/>
        <w:t xml:space="preserve">Every application for the registration of a foreign pleasure vessel shall be made to the </w:t>
      </w:r>
      <w:r>
        <w:t>Department</w:t>
      </w:r>
      <w:r>
        <w:rPr>
          <w:snapToGrid w:val="0"/>
        </w:rPr>
        <w:t xml:space="preserve">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lastRenderedPageBreak/>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t xml:space="preserve">$34.15 </w:t>
      </w:r>
      <w:r>
        <w:rPr>
          <w:snapToGrid w:val="0"/>
        </w:rPr>
        <w:t>and the appropriate fee ascertained in accordance with the following Table for each 3 month period or part of a 3 month period for which it is proposed the vessel will be in navigable waters —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70"/>
        <w:gridCol w:w="2097"/>
      </w:tblGrid>
      <w:tr>
        <w:trPr>
          <w:tblHeader/>
        </w:trPr>
        <w:tc>
          <w:tcPr>
            <w:tcW w:w="3970" w:type="dxa"/>
            <w:noWrap/>
          </w:tcPr>
          <w:p>
            <w:pPr>
              <w:pStyle w:val="TableNAm"/>
              <w:jc w:val="center"/>
              <w:rPr>
                <w:b/>
                <w:bCs/>
              </w:rPr>
            </w:pPr>
            <w:r>
              <w:rPr>
                <w:b/>
              </w:rPr>
              <w:t>Length of vessel</w:t>
            </w:r>
          </w:p>
        </w:tc>
        <w:tc>
          <w:tcPr>
            <w:tcW w:w="2097" w:type="dxa"/>
            <w:noWrap/>
          </w:tcPr>
          <w:p>
            <w:pPr>
              <w:pStyle w:val="TableNAm"/>
              <w:jc w:val="center"/>
              <w:rPr>
                <w:b/>
                <w:bCs/>
              </w:rPr>
            </w:pPr>
            <w:r>
              <w:rPr>
                <w:b/>
                <w:bCs/>
              </w:rPr>
              <w:t>Fee ($)</w:t>
            </w:r>
          </w:p>
        </w:tc>
      </w:tr>
      <w:tr>
        <w:tc>
          <w:tcPr>
            <w:tcW w:w="3970" w:type="dxa"/>
            <w:noWrap/>
          </w:tcPr>
          <w:p>
            <w:pPr>
              <w:pStyle w:val="TableNAm"/>
            </w:pPr>
            <w:r>
              <w:t>(i)</w:t>
            </w:r>
            <w:r>
              <w:tab/>
              <w:t>less than 5 m</w:t>
            </w:r>
          </w:p>
        </w:tc>
        <w:tc>
          <w:tcPr>
            <w:tcW w:w="2097" w:type="dxa"/>
            <w:noWrap/>
            <w:vAlign w:val="bottom"/>
          </w:tcPr>
          <w:p>
            <w:pPr>
              <w:pStyle w:val="TableNAm"/>
              <w:ind w:right="714"/>
              <w:jc w:val="right"/>
            </w:pPr>
            <w:r>
              <w:t>4.65</w:t>
            </w:r>
          </w:p>
        </w:tc>
      </w:tr>
      <w:tr>
        <w:tc>
          <w:tcPr>
            <w:tcW w:w="3970" w:type="dxa"/>
            <w:noWrap/>
          </w:tcPr>
          <w:p>
            <w:pPr>
              <w:pStyle w:val="TableNAm"/>
            </w:pPr>
            <w:r>
              <w:t>(ii)</w:t>
            </w:r>
            <w:r>
              <w:tab/>
              <w:t>5 m or more but less than 10 m</w:t>
            </w:r>
          </w:p>
        </w:tc>
        <w:tc>
          <w:tcPr>
            <w:tcW w:w="2097" w:type="dxa"/>
            <w:noWrap/>
            <w:vAlign w:val="bottom"/>
          </w:tcPr>
          <w:p>
            <w:pPr>
              <w:pStyle w:val="TableNAm"/>
              <w:ind w:right="714"/>
              <w:jc w:val="right"/>
            </w:pPr>
            <w:r>
              <w:t>8.65</w:t>
            </w:r>
          </w:p>
        </w:tc>
      </w:tr>
      <w:tr>
        <w:tc>
          <w:tcPr>
            <w:tcW w:w="3970" w:type="dxa"/>
            <w:noWrap/>
          </w:tcPr>
          <w:p>
            <w:pPr>
              <w:pStyle w:val="TableNAm"/>
            </w:pPr>
            <w:r>
              <w:t>(iii)</w:t>
            </w:r>
            <w:r>
              <w:tab/>
              <w:t>10 m or more but less than 20 m</w:t>
            </w:r>
          </w:p>
        </w:tc>
        <w:tc>
          <w:tcPr>
            <w:tcW w:w="2097" w:type="dxa"/>
            <w:noWrap/>
            <w:vAlign w:val="bottom"/>
          </w:tcPr>
          <w:p>
            <w:pPr>
              <w:pStyle w:val="TableNAm"/>
              <w:ind w:right="714"/>
              <w:jc w:val="right"/>
            </w:pPr>
            <w:r>
              <w:t>11.25</w:t>
            </w:r>
          </w:p>
        </w:tc>
      </w:tr>
      <w:tr>
        <w:tc>
          <w:tcPr>
            <w:tcW w:w="3970" w:type="dxa"/>
            <w:noWrap/>
          </w:tcPr>
          <w:p>
            <w:pPr>
              <w:pStyle w:val="TableNAm"/>
            </w:pPr>
            <w:r>
              <w:t>(iv)</w:t>
            </w:r>
            <w:r>
              <w:tab/>
              <w:t>20 m or more but less than 30 m</w:t>
            </w:r>
          </w:p>
        </w:tc>
        <w:tc>
          <w:tcPr>
            <w:tcW w:w="2097" w:type="dxa"/>
            <w:noWrap/>
            <w:vAlign w:val="bottom"/>
          </w:tcPr>
          <w:p>
            <w:pPr>
              <w:pStyle w:val="TableNAm"/>
              <w:ind w:right="714"/>
              <w:jc w:val="right"/>
            </w:pPr>
            <w:r>
              <w:t>22.50</w:t>
            </w:r>
          </w:p>
        </w:tc>
      </w:tr>
      <w:tr>
        <w:tc>
          <w:tcPr>
            <w:tcW w:w="3970" w:type="dxa"/>
            <w:noWrap/>
          </w:tcPr>
          <w:p>
            <w:pPr>
              <w:pStyle w:val="TableNAm"/>
            </w:pPr>
            <w:r>
              <w:t>(v)</w:t>
            </w:r>
            <w:r>
              <w:tab/>
              <w:t>30 m or more but less than 40 m</w:t>
            </w:r>
          </w:p>
        </w:tc>
        <w:tc>
          <w:tcPr>
            <w:tcW w:w="2097" w:type="dxa"/>
            <w:noWrap/>
            <w:vAlign w:val="bottom"/>
          </w:tcPr>
          <w:p>
            <w:pPr>
              <w:pStyle w:val="TableNAm"/>
              <w:ind w:right="714"/>
              <w:jc w:val="right"/>
            </w:pPr>
            <w:r>
              <w:t>44.85</w:t>
            </w:r>
          </w:p>
        </w:tc>
      </w:tr>
      <w:tr>
        <w:tc>
          <w:tcPr>
            <w:tcW w:w="3970" w:type="dxa"/>
            <w:noWrap/>
          </w:tcPr>
          <w:p>
            <w:pPr>
              <w:pStyle w:val="TableNAm"/>
            </w:pPr>
            <w:r>
              <w:t>(vi)</w:t>
            </w:r>
            <w:r>
              <w:tab/>
              <w:t>40 m or more</w:t>
            </w:r>
          </w:p>
        </w:tc>
        <w:tc>
          <w:tcPr>
            <w:tcW w:w="2097" w:type="dxa"/>
            <w:noWrap/>
            <w:vAlign w:val="bottom"/>
          </w:tcPr>
          <w:p>
            <w:pPr>
              <w:pStyle w:val="TableNAm"/>
              <w:ind w:right="714"/>
              <w:jc w:val="right"/>
            </w:pPr>
            <w:r>
              <w:t>89.85</w:t>
            </w:r>
          </w:p>
        </w:tc>
      </w:tr>
    </w:tbl>
    <w:p>
      <w:pPr>
        <w:pStyle w:val="Subsection"/>
        <w:keepNext/>
        <w:rPr>
          <w:snapToGrid w:val="0"/>
        </w:rPr>
      </w:pPr>
      <w:r>
        <w:rPr>
          <w:snapToGrid w:val="0"/>
        </w:rPr>
        <w:tab/>
        <w:t>(5)</w:t>
      </w:r>
      <w:r>
        <w:rPr>
          <w:snapToGrid w:val="0"/>
        </w:rPr>
        <w:tab/>
        <w:t xml:space="preserve">When the </w:t>
      </w:r>
      <w:r>
        <w:t>Department</w:t>
      </w:r>
      <w:r>
        <w:rPr>
          <w:snapToGrid w:val="0"/>
        </w:rPr>
        <w:t xml:space="preserve"> registers a foreign pleasure vessel under this regulation the </w:t>
      </w:r>
      <w:r>
        <w:t>Department</w:t>
      </w:r>
      <w:r>
        <w:rPr>
          <w:snapToGrid w:val="0"/>
        </w:rPr>
        <w:t xml:space="preserve"> shall, if the vessel has not previously been registered under this regulation, allot a </w:t>
      </w:r>
      <w:r>
        <w:rPr>
          <w:snapToGrid w:val="0"/>
        </w:rPr>
        <w:lastRenderedPageBreak/>
        <w:t>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 xml:space="preserve">Where an application for registration as a foreign pleasure vessel is duly made under this regulation and is accompanied by the prescribed fees the </w:t>
      </w:r>
      <w:r>
        <w:t>Department</w:t>
      </w:r>
      <w:r>
        <w:rPr>
          <w:snapToGrid w:val="0"/>
        </w:rPr>
        <w:t xml:space="preserve"> shall issue a certificate of registration for a period commencing on the date shown on the receipt imprinted on the certificate and expiring on the proposed departure date.</w:t>
      </w:r>
    </w:p>
    <w:p>
      <w:pPr>
        <w:pStyle w:val="Subsection"/>
        <w:keepNext/>
        <w:rPr>
          <w:snapToGrid w:val="0"/>
        </w:rPr>
      </w:pPr>
      <w:r>
        <w:rPr>
          <w:snapToGrid w:val="0"/>
        </w:rPr>
        <w:tab/>
        <w:t>(8)</w:t>
      </w:r>
      <w:r>
        <w:rPr>
          <w:snapToGrid w:val="0"/>
        </w:rPr>
        <w:tab/>
        <w:t xml:space="preserve">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w:t>
      </w:r>
      <w:r>
        <w:t>Department</w:t>
      </w:r>
      <w:r>
        <w:rPr>
          <w:snapToGrid w:val="0"/>
        </w:rPr>
        <w:t xml:space="preserve"> shall register the vessel for a period expiring on the proposed departure date shown in that application and the registration shall be deemed to be a continuation of the previous registration and to have effect </w:t>
      </w:r>
      <w:r>
        <w:rPr>
          <w:snapToGrid w:val="0"/>
        </w:rPr>
        <w:lastRenderedPageBreak/>
        <w:t>on and from the day next succeeding the day on which that registration expires.</w:t>
      </w:r>
    </w:p>
    <w:p>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17 May 2019 p. 1438; SL 2020/60 r. 8; SL 2021/68 r. 14; SL 2022/56 r. 6; SL 2023/45 r. 11; SL 2024/57 r. 8; SL 2024/191 r. 41.] </w:t>
      </w:r>
    </w:p>
    <w:p>
      <w:pPr>
        <w:pStyle w:val="Heading5"/>
      </w:pPr>
      <w:bookmarkStart w:id="95" w:name="_Toc178090428"/>
      <w:r>
        <w:rPr>
          <w:rStyle w:val="CharSectno"/>
        </w:rPr>
        <w:t>45BAB</w:t>
      </w:r>
      <w:r>
        <w:t>.</w:t>
      </w:r>
      <w:r>
        <w:tab/>
        <w:t>Chief executive officer may issue registration stickers</w:t>
      </w:r>
      <w:bookmarkEnd w:id="95"/>
    </w:p>
    <w:p>
      <w:pPr>
        <w:pStyle w:val="Subsection"/>
      </w:pPr>
      <w:r>
        <w:tab/>
        <w:t>(1)</w:t>
      </w:r>
      <w:r>
        <w:tab/>
        <w:t>The chief executive officer may issue to the owner of a registered vessel, or to a person authorised in writing by the owner, an adhesive sticker that displays the registration number allotted to the vessel.</w:t>
      </w:r>
    </w:p>
    <w:p>
      <w:pPr>
        <w:pStyle w:val="Subsection"/>
      </w:pPr>
      <w:r>
        <w:tab/>
        <w:t>(2)</w:t>
      </w:r>
      <w:r>
        <w:tab/>
        <w:t>The fee for issuing a sticker under subregulation (1) is $2.00.</w:t>
      </w:r>
    </w:p>
    <w:p>
      <w:pPr>
        <w:pStyle w:val="Footnotesection"/>
        <w:ind w:left="890" w:hanging="890"/>
      </w:pPr>
      <w:r>
        <w:tab/>
        <w:t xml:space="preserve">[Regulation 45BAB inserted: SL 2022/137 r. 7; amended: SL 2023/45 r. 12; SL 2024/57 r. 8.] </w:t>
      </w:r>
    </w:p>
    <w:p>
      <w:pPr>
        <w:pStyle w:val="Heading5"/>
        <w:rPr>
          <w:snapToGrid w:val="0"/>
        </w:rPr>
      </w:pPr>
      <w:bookmarkStart w:id="96" w:name="_Toc178090429"/>
      <w:r>
        <w:rPr>
          <w:rStyle w:val="CharSectno"/>
        </w:rPr>
        <w:t>45BA</w:t>
      </w:r>
      <w:r>
        <w:rPr>
          <w:snapToGrid w:val="0"/>
        </w:rPr>
        <w:t>.</w:t>
      </w:r>
      <w:r>
        <w:rPr>
          <w:snapToGrid w:val="0"/>
        </w:rPr>
        <w:tab/>
        <w:t>Dealers plates</w:t>
      </w:r>
      <w:bookmarkEnd w:id="96"/>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lastRenderedPageBreak/>
        <w:tab/>
        <w:t>(e)</w:t>
      </w:r>
      <w:r>
        <w:rPr>
          <w:snapToGrid w:val="0"/>
        </w:rPr>
        <w:tab/>
        <w:t>buying or selling trade articles used on vessels,</w:t>
      </w:r>
    </w:p>
    <w:p>
      <w:pPr>
        <w:pStyle w:val="Subsection"/>
        <w:rPr>
          <w:snapToGrid w:val="0"/>
        </w:rPr>
      </w:pPr>
      <w:r>
        <w:rPr>
          <w:snapToGrid w:val="0"/>
        </w:rPr>
        <w:tab/>
      </w:r>
      <w:r>
        <w:rPr>
          <w:snapToGrid w:val="0"/>
        </w:rPr>
        <w:tab/>
        <w:t xml:space="preserve">may apply in writing to the </w:t>
      </w:r>
      <w:r>
        <w:t>Department</w:t>
      </w:r>
      <w:r>
        <w:rPr>
          <w:snapToGrid w:val="0"/>
        </w:rPr>
        <w:t xml:space="preserve"> for the issue to him of one or more sets of dealers plates.</w:t>
      </w:r>
    </w:p>
    <w:p>
      <w:pPr>
        <w:pStyle w:val="Subsection"/>
        <w:keepNext/>
      </w:pPr>
      <w:r>
        <w:rPr>
          <w:snapToGrid w:val="0"/>
        </w:rPr>
        <w:tab/>
        <w:t>(2)</w:t>
      </w:r>
      <w:r>
        <w:rPr>
          <w:snapToGrid w:val="0"/>
        </w:rPr>
        <w:tab/>
        <w:t xml:space="preserve">An application under subregulation (1) shall be made in writing in a form approved by the </w:t>
      </w:r>
      <w:r>
        <w:t>Department</w:t>
      </w:r>
      <w:r>
        <w:rPr>
          <w:snapToGrid w:val="0"/>
        </w:rPr>
        <w:t xml:space="preserve"> and be accompanied by a </w:t>
      </w:r>
      <w:r>
        <w:t xml:space="preserve"> fee of — </w:t>
      </w:r>
    </w:p>
    <w:p>
      <w:pPr>
        <w:pStyle w:val="Indenta"/>
        <w:spacing w:before="60"/>
      </w:pPr>
      <w:r>
        <w:tab/>
        <w:t>(a)</w:t>
      </w:r>
      <w:r>
        <w:tab/>
        <w:t>$416.20 for the issue of the first set of plates; and</w:t>
      </w:r>
    </w:p>
    <w:p>
      <w:pPr>
        <w:pStyle w:val="Indenta"/>
        <w:spacing w:before="60"/>
        <w:rPr>
          <w:snapToGrid w:val="0"/>
        </w:rPr>
      </w:pPr>
      <w:r>
        <w:tab/>
        <w:t>(b)</w:t>
      </w:r>
      <w:r>
        <w:tab/>
        <w:t>$173.95 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w:t>
      </w:r>
      <w:r>
        <w:t>Department</w:t>
      </w:r>
      <w:r>
        <w:rPr>
          <w:snapToGrid w:val="0"/>
        </w:rPr>
        <w:t xml:space="preserve">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$316.00 for the first set of plates and 10% of that fee for each additional set of plates are</w:t>
      </w:r>
      <w:r>
        <w:rPr>
          <w:snapToGrid w:val="0"/>
        </w:rPr>
        <w:t xml:space="preserve"> paid to the </w:t>
      </w:r>
      <w:r>
        <w:t>Department</w:t>
      </w:r>
      <w:r>
        <w:rPr>
          <w:snapToGrid w:val="0"/>
        </w:rPr>
        <w:t xml:space="preserve"> prior to the commencement of each such successive period of 12 months.</w:t>
      </w:r>
    </w:p>
    <w:p>
      <w:pPr>
        <w:pStyle w:val="Subsection"/>
        <w:keepNext/>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 xml:space="preserve">the plates are securely affixed to the vessel and are visible at a distance of 50 m while the vessel is </w:t>
      </w:r>
      <w:r>
        <w:t>underway,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lastRenderedPageBreak/>
        <w:tab/>
        <w:t>(4a)</w:t>
      </w:r>
      <w:r>
        <w:tab/>
        <w:t>A person who contravenes subregulation (4) commits an offence.</w:t>
      </w:r>
    </w:p>
    <w:p>
      <w:pPr>
        <w:pStyle w:val="Subsection"/>
        <w:spacing w:before="120"/>
        <w:rPr>
          <w:snapToGrid w:val="0"/>
        </w:rPr>
      </w:pPr>
      <w:r>
        <w:rPr>
          <w:snapToGrid w:val="0"/>
        </w:rPr>
        <w:tab/>
        <w:t>(5)(a)</w:t>
      </w:r>
      <w:r>
        <w:rPr>
          <w:snapToGrid w:val="0"/>
        </w:rPr>
        <w:tab/>
        <w:t xml:space="preserve">The </w:t>
      </w:r>
      <w:r>
        <w:t>Department</w:t>
      </w:r>
      <w:r>
        <w:rPr>
          <w:snapToGrid w:val="0"/>
        </w:rPr>
        <w:t xml:space="preserve"> </w:t>
      </w:r>
      <w:r>
        <w:t>may by notice served on a person to whom dealers plates have been issued</w:t>
      </w:r>
      <w:r>
        <w:rPr>
          <w:snapToGrid w:val="0"/>
        </w:rPr>
        <w:t xml:space="preserve">, require him to immediately or within 7 days deliver up the plates to the </w:t>
      </w:r>
      <w:r>
        <w:t>Department</w:t>
      </w:r>
      <w:r>
        <w:rPr>
          <w:snapToGrid w:val="0"/>
        </w:rPr>
        <w: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keepNext/>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$173.95.</w:t>
      </w:r>
    </w:p>
    <w:p>
      <w:pPr>
        <w:pStyle w:val="Subsection"/>
        <w:keepNext/>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w:t>
      </w:r>
      <w:r>
        <w:lastRenderedPageBreak/>
        <w:t xml:space="preserve">27 May 2016 p. 1551; 25 May 2018 p. 1641; 17 May 2019 p. 1438; SL 2020/60 r. 8; SL 2021/68 r. 14; SL 2022/56 r. 6; SL 2023/45 r. 13; SL 2023/135 r. 11; SL 2024/57 r. 8; SL 2024/191 r. 41.] </w:t>
      </w:r>
    </w:p>
    <w:p>
      <w:pPr>
        <w:pStyle w:val="Heading5"/>
        <w:spacing w:before="240"/>
        <w:rPr>
          <w:snapToGrid w:val="0"/>
        </w:rPr>
      </w:pPr>
      <w:bookmarkStart w:id="97" w:name="_Toc178090430"/>
      <w:r>
        <w:rPr>
          <w:rStyle w:val="CharSectno"/>
        </w:rPr>
        <w:t>45C</w:t>
      </w:r>
      <w:r>
        <w:rPr>
          <w:snapToGrid w:val="0"/>
        </w:rPr>
        <w:t>.</w:t>
      </w:r>
      <w:r>
        <w:rPr>
          <w:snapToGrid w:val="0"/>
        </w:rPr>
        <w:tab/>
        <w:t>Duration of registration etc.</w:t>
      </w:r>
      <w:bookmarkEnd w:id="97"/>
      <w:r>
        <w:rPr>
          <w:snapToGrid w:val="0"/>
        </w:rPr>
        <w:t xml:space="preserve"> </w:t>
      </w:r>
    </w:p>
    <w:p>
      <w:pPr>
        <w:pStyle w:val="Subsection"/>
        <w:spacing w:before="180"/>
        <w:rPr>
          <w:snapToGrid w:val="0"/>
        </w:rPr>
      </w:pPr>
      <w:r>
        <w:rPr>
          <w:snapToGrid w:val="0"/>
        </w:rPr>
        <w:tab/>
        <w:t>(1)</w:t>
      </w:r>
      <w:r>
        <w:rPr>
          <w:snapToGrid w:val="0"/>
        </w:rPr>
        <w:tab/>
        <w:t xml:space="preserve">Subject to subregulation (2), where an application for registration is duly made under regulation 45B and is accompanied by the prescribed fees the </w:t>
      </w:r>
      <w:r>
        <w:t>Department</w:t>
      </w:r>
      <w:r>
        <w:rPr>
          <w:snapToGrid w:val="0"/>
        </w:rPr>
        <w:t xml:space="preserve"> shall issue a certificate of registration for a period of 12 months, which period shall commence on the date shown on the receipt imprinted on the application.</w:t>
      </w:r>
    </w:p>
    <w:p>
      <w:pPr>
        <w:pStyle w:val="Subsection"/>
        <w:keepNext/>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keepNext/>
        <w:rPr>
          <w:snapToGrid w:val="0"/>
        </w:rPr>
      </w:pPr>
      <w:r>
        <w:rPr>
          <w:snapToGrid w:val="0"/>
        </w:rPr>
        <w:tab/>
        <w:t>(b)</w:t>
      </w:r>
      <w:r>
        <w:rPr>
          <w:snapToGrid w:val="0"/>
        </w:rPr>
        <w:tab/>
        <w:t>within the period of 30 days immediately succeeding the day on which the registration expires,</w:t>
      </w:r>
    </w:p>
    <w:p>
      <w:pPr>
        <w:pStyle w:val="Subsection"/>
        <w:keepNext/>
        <w:spacing w:before="180"/>
        <w:rPr>
          <w:snapToGrid w:val="0"/>
        </w:rPr>
      </w:pPr>
      <w:r>
        <w:rPr>
          <w:snapToGrid w:val="0"/>
        </w:rPr>
        <w:tab/>
      </w:r>
      <w:r>
        <w:rPr>
          <w:snapToGrid w:val="0"/>
        </w:rPr>
        <w:tab/>
        <w:t xml:space="preserve">the </w:t>
      </w:r>
      <w:r>
        <w:t>Department</w:t>
      </w:r>
      <w:r>
        <w:rPr>
          <w:snapToGrid w:val="0"/>
        </w:rPr>
        <w:t xml:space="preserve">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Gazette 12 Oct 1984 p. 3275; amended: SL 2024/191 r. 41.] </w:t>
      </w:r>
    </w:p>
    <w:p>
      <w:pPr>
        <w:pStyle w:val="Heading5"/>
        <w:rPr>
          <w:snapToGrid w:val="0"/>
        </w:rPr>
      </w:pPr>
      <w:bookmarkStart w:id="98" w:name="_Toc178090431"/>
      <w:r>
        <w:rPr>
          <w:rStyle w:val="CharSectno"/>
        </w:rPr>
        <w:t>45D</w:t>
      </w:r>
      <w:r>
        <w:rPr>
          <w:snapToGrid w:val="0"/>
        </w:rPr>
        <w:t>.</w:t>
      </w:r>
      <w:r>
        <w:rPr>
          <w:snapToGrid w:val="0"/>
        </w:rPr>
        <w:tab/>
        <w:t>Owners to furnish particulars of changes of address etc.</w:t>
      </w:r>
      <w:bookmarkEnd w:id="98"/>
      <w:r>
        <w:rPr>
          <w:snapToGrid w:val="0"/>
        </w:rPr>
        <w:t xml:space="preserve"> </w:t>
      </w:r>
    </w:p>
    <w:p>
      <w:pPr>
        <w:pStyle w:val="Subsection"/>
        <w:keepNext/>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 xml:space="preserve">produce to an officer of the </w:t>
      </w:r>
      <w:r>
        <w:t>Department</w:t>
      </w:r>
      <w:r>
        <w:rPr>
          <w:snapToGrid w:val="0"/>
        </w:rPr>
        <w:t xml:space="preserve"> or a member of the police force the certificate of registration of the </w:t>
      </w:r>
      <w:r>
        <w:rPr>
          <w:snapToGrid w:val="0"/>
        </w:rPr>
        <w:lastRenderedPageBreak/>
        <w:t>vessel within the time specified by the officer or member; and</w:t>
      </w:r>
    </w:p>
    <w:p>
      <w:pPr>
        <w:pStyle w:val="Indenta"/>
        <w:rPr>
          <w:snapToGrid w:val="0"/>
        </w:rPr>
      </w:pPr>
      <w:r>
        <w:rPr>
          <w:snapToGrid w:val="0"/>
        </w:rPr>
        <w:tab/>
        <w:t>(b)</w:t>
      </w:r>
      <w:r>
        <w:rPr>
          <w:snapToGrid w:val="0"/>
        </w:rPr>
        <w:tab/>
        <w:t xml:space="preserve">notify the </w:t>
      </w:r>
      <w:r>
        <w:t>Department</w:t>
      </w:r>
      <w:r>
        <w:rPr>
          <w:snapToGrid w:val="0"/>
        </w:rPr>
        <w:t xml:space="preserve">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keepLines w:val="0"/>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SL 2024/191 r. 41.] </w:t>
      </w:r>
    </w:p>
    <w:p>
      <w:pPr>
        <w:pStyle w:val="Heading5"/>
        <w:keepLines w:val="0"/>
        <w:spacing w:before="180"/>
        <w:rPr>
          <w:snapToGrid w:val="0"/>
        </w:rPr>
      </w:pPr>
      <w:bookmarkStart w:id="99" w:name="_Toc178090432"/>
      <w:r>
        <w:rPr>
          <w:rStyle w:val="CharSectno"/>
        </w:rPr>
        <w:t>45E</w:t>
      </w:r>
      <w:r>
        <w:rPr>
          <w:snapToGrid w:val="0"/>
        </w:rPr>
        <w:t>.</w:t>
      </w:r>
      <w:r>
        <w:rPr>
          <w:snapToGrid w:val="0"/>
        </w:rPr>
        <w:tab/>
        <w:t>Transfers of vessels</w:t>
      </w:r>
      <w:bookmarkEnd w:id="99"/>
      <w:r>
        <w:rPr>
          <w:snapToGrid w:val="0"/>
        </w:rPr>
        <w:t xml:space="preserve"> </w:t>
      </w:r>
    </w:p>
    <w:p>
      <w:pPr>
        <w:pStyle w:val="Subsection"/>
        <w:keepNext/>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 xml:space="preserve">within 7 days of the sale or disposal, give notice to the </w:t>
      </w:r>
      <w:r>
        <w:t>Department</w:t>
      </w:r>
      <w:r>
        <w:rPr>
          <w:snapToGrid w:val="0"/>
        </w:rPr>
        <w:t xml:space="preserve"> in writing of the sale or disposal of the vessel of the consent to the sale or disposal of the vessel of all registered owners of the vessel and the name and </w:t>
      </w:r>
      <w:r>
        <w:rPr>
          <w:snapToGrid w:val="0"/>
        </w:rPr>
        <w:lastRenderedPageBreak/>
        <w:t>address of the person to whom the vessel has been sold or disposed of.</w:t>
      </w:r>
    </w:p>
    <w:p>
      <w:pPr>
        <w:pStyle w:val="Subsection"/>
        <w:keepNext/>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w:t>
      </w:r>
      <w:r>
        <w:t>Department</w:t>
      </w:r>
      <w:r>
        <w:rPr>
          <w:snapToGrid w:val="0"/>
        </w:rPr>
        <w:t xml:space="preserve"> for the transfer of the vessel and include with </w:t>
      </w:r>
      <w:r>
        <w:t>the</w:t>
      </w:r>
      <w:r>
        <w:rPr>
          <w:snapToGrid w:val="0"/>
        </w:rPr>
        <w:t xml:space="preserve"> application a recording fee of </w:t>
      </w:r>
      <w:r>
        <w:t>$34.15; and</w:t>
      </w:r>
    </w:p>
    <w:p>
      <w:pPr>
        <w:pStyle w:val="Indenta"/>
        <w:keepNext/>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 and</w:t>
      </w:r>
    </w:p>
    <w:p>
      <w:pPr>
        <w:pStyle w:val="Indenti"/>
      </w:pPr>
      <w:r>
        <w:tab/>
        <w:t>(iv)</w:t>
      </w:r>
      <w:r>
        <w:tab/>
        <w:t>a certificate issued by a person accredited to do so under regulation 45AA or 45AB verifying the hull identification number of the vessel.</w:t>
      </w:r>
    </w:p>
    <w:p>
      <w:pPr>
        <w:pStyle w:val="Subsection"/>
        <w:keepNext/>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w:t>
      </w:r>
      <w:r>
        <w:t>Department</w:t>
      </w:r>
      <w:r>
        <w:rPr>
          <w:snapToGrid w:val="0"/>
        </w:rPr>
        <w:t xml:space="preserve"> in writing of the loss of that vessel, however occasioned, within 15 days of </w:t>
      </w:r>
      <w:r>
        <w:t>the owner</w:t>
      </w:r>
      <w:r>
        <w:rPr>
          <w:snapToGrid w:val="0"/>
        </w:rPr>
        <w:t xml:space="preserve"> learning of that loss.</w:t>
      </w:r>
    </w:p>
    <w:p>
      <w:pPr>
        <w:pStyle w:val="Subsection"/>
        <w:rPr>
          <w:snapToGrid w:val="0"/>
        </w:rPr>
      </w:pPr>
      <w:r>
        <w:rPr>
          <w:snapToGrid w:val="0"/>
        </w:rPr>
        <w:lastRenderedPageBreak/>
        <w:tab/>
        <w:t>(4)</w:t>
      </w:r>
      <w:r>
        <w:rPr>
          <w:snapToGrid w:val="0"/>
        </w:rPr>
        <w:tab/>
        <w:t xml:space="preserve">Subregulation (3) does not apply if the </w:t>
      </w:r>
      <w:r>
        <w:t>Department</w:t>
      </w:r>
      <w:r>
        <w:rPr>
          <w:snapToGrid w:val="0"/>
        </w:rPr>
        <w:t xml:space="preserve">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keepNext/>
        <w:rPr>
          <w:snapToGrid w:val="0"/>
        </w:rPr>
      </w:pPr>
      <w:r>
        <w:tab/>
        <w:t>(b)</w:t>
      </w:r>
      <w:r>
        <w:tab/>
        <w:t>where the Department considers the vessel is no longer a foreign pleasure vessel, direct that person to make application for registration of the vessel under regulation 45B.</w:t>
      </w:r>
    </w:p>
    <w:p>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26 May 2017 p. 2641; 25 May 2018 p. 1641; 17 May 2019 p. 1438; SL 2020/60 r. 8; SL 2021/68 r. 14; SL 2022/56 r. 6; SL 2022/137 r. 8; SL 2023/45 r. 14; SL 2024/57 r. 8; SL 2024/191 r. 41.] </w:t>
      </w:r>
    </w:p>
    <w:p>
      <w:pPr>
        <w:pStyle w:val="Heading5"/>
      </w:pPr>
      <w:bookmarkStart w:id="100" w:name="_Toc178090433"/>
      <w:r>
        <w:rPr>
          <w:rStyle w:val="CharSectno"/>
        </w:rPr>
        <w:lastRenderedPageBreak/>
        <w:t>45EA</w:t>
      </w:r>
      <w:r>
        <w:t>.</w:t>
      </w:r>
      <w:r>
        <w:tab/>
        <w:t>Altering hull identification number prohibited</w:t>
      </w:r>
      <w:bookmarkEnd w:id="100"/>
    </w:p>
    <w:p>
      <w:pPr>
        <w:pStyle w:val="Subsection"/>
        <w:spacing w:before="120"/>
      </w:pPr>
      <w:r>
        <w:tab/>
        <w:t>(1)</w:t>
      </w:r>
      <w:r>
        <w:tab/>
        <w:t>A person who, without the approval of the chief executive officer, alters, removes or renders illegible the hull identification number of a registered vessel commits an offence.</w:t>
      </w:r>
    </w:p>
    <w:p>
      <w:pPr>
        <w:pStyle w:val="Subsection"/>
      </w:pPr>
      <w:r>
        <w:tab/>
        <w:t>(2)</w:t>
      </w:r>
      <w:r>
        <w:tab/>
        <w:t>Subregulation (1) does not apply to a person accredited under regulation 45AA(1) or 45AB(1) acting in accordance with their accreditation.</w:t>
      </w:r>
    </w:p>
    <w:p>
      <w:pPr>
        <w:pStyle w:val="Footnotesection"/>
        <w:spacing w:before="100"/>
        <w:ind w:left="890" w:hanging="890"/>
      </w:pPr>
      <w:r>
        <w:tab/>
        <w:t>[Regulation 45EA inserted: Gazette 1 Dec 2000 p. 6768; amended: SL 2022/137 r. 9.]</w:t>
      </w:r>
    </w:p>
    <w:p>
      <w:pPr>
        <w:pStyle w:val="Heading5"/>
      </w:pPr>
      <w:bookmarkStart w:id="101" w:name="_Toc178090434"/>
      <w:r>
        <w:rPr>
          <w:rStyle w:val="CharSectno"/>
        </w:rPr>
        <w:t>45EB</w:t>
      </w:r>
      <w:r>
        <w:t>.</w:t>
      </w:r>
      <w:r>
        <w:tab/>
        <w:t>Duty of owner to reaffix hull identification number</w:t>
      </w:r>
      <w:bookmarkEnd w:id="101"/>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w:t>
      </w:r>
    </w:p>
    <w:p>
      <w:pPr>
        <w:pStyle w:val="Indenta"/>
      </w:pPr>
      <w:r>
        <w:tab/>
        <w:t>(a)</w:t>
      </w:r>
      <w:r>
        <w:tab/>
        <w:t>by a person approved by the chief executive officer or accredited to do so under regulation 45AA or 45AB; and</w:t>
      </w:r>
    </w:p>
    <w:p>
      <w:pPr>
        <w:pStyle w:val="Indenta"/>
      </w:pPr>
      <w:r>
        <w:tab/>
        <w:t>(b)</w:t>
      </w:r>
      <w:r>
        <w:tab/>
        <w:t>in a form and manner approved by the chief executive officer.</w:t>
      </w:r>
    </w:p>
    <w:p>
      <w:pPr>
        <w:pStyle w:val="Footnotesection"/>
        <w:spacing w:before="100"/>
        <w:ind w:left="890" w:hanging="890"/>
      </w:pPr>
      <w:r>
        <w:tab/>
        <w:t>[Regulation 45EB inserted: SL 2022/137 r. 10.]</w:t>
      </w:r>
    </w:p>
    <w:p>
      <w:pPr>
        <w:pStyle w:val="Heading5"/>
      </w:pPr>
      <w:bookmarkStart w:id="102" w:name="_Toc178090435"/>
      <w:r>
        <w:rPr>
          <w:rStyle w:val="CharSectno"/>
        </w:rPr>
        <w:t>45F</w:t>
      </w:r>
      <w:r>
        <w:t>.</w:t>
      </w:r>
      <w:r>
        <w:tab/>
        <w:t>Penalties</w:t>
      </w:r>
      <w:bookmarkEnd w:id="102"/>
    </w:p>
    <w:p>
      <w:pPr>
        <w:pStyle w:val="Subsection"/>
        <w:keepNext/>
        <w:keepLines/>
      </w:pPr>
      <w:r>
        <w:tab/>
      </w:r>
      <w:r>
        <w:tab/>
        <w:t>A person who commits an offence under this Part is liable to a fine of $500.</w:t>
      </w:r>
    </w:p>
    <w:p>
      <w:pPr>
        <w:pStyle w:val="Footnotesection"/>
      </w:pPr>
      <w:r>
        <w:tab/>
        <w:t>[Regulation 45F inserted: Gazette 1 Dec 2000 p. 6768; amended: Gazette 17 Nov 2009 p. 4630.]</w:t>
      </w:r>
    </w:p>
    <w:p>
      <w:pPr>
        <w:pStyle w:val="Heading2"/>
      </w:pPr>
      <w:bookmarkStart w:id="103" w:name="_Toc177036349"/>
      <w:bookmarkStart w:id="104" w:name="_Toc177036410"/>
      <w:bookmarkStart w:id="105" w:name="_Toc177036494"/>
      <w:bookmarkStart w:id="106" w:name="_Toc177463317"/>
      <w:bookmarkStart w:id="107" w:name="_Toc178064342"/>
      <w:bookmarkStart w:id="108" w:name="_Toc178084818"/>
      <w:bookmarkStart w:id="109" w:name="_Toc178090436"/>
      <w:r>
        <w:rPr>
          <w:rStyle w:val="CharPartNo"/>
        </w:rPr>
        <w:lastRenderedPageBreak/>
        <w:t>Part 6</w:t>
      </w:r>
      <w:r>
        <w:t> — </w:t>
      </w:r>
      <w:r>
        <w:rPr>
          <w:rStyle w:val="CharPartText"/>
        </w:rPr>
        <w:t>Recreational skipper’s tickets, equipment and safety requirements</w:t>
      </w:r>
      <w:bookmarkEnd w:id="103"/>
      <w:bookmarkEnd w:id="104"/>
      <w:bookmarkEnd w:id="105"/>
      <w:bookmarkEnd w:id="106"/>
      <w:bookmarkEnd w:id="107"/>
      <w:bookmarkEnd w:id="108"/>
      <w:bookmarkEnd w:id="109"/>
    </w:p>
    <w:p>
      <w:pPr>
        <w:pStyle w:val="Footnoteheading"/>
      </w:pPr>
      <w:r>
        <w:tab/>
        <w:t>[Heading inserted: SL 2024/191 r. 18.]</w:t>
      </w:r>
    </w:p>
    <w:p>
      <w:pPr>
        <w:pStyle w:val="Heading3"/>
      </w:pPr>
      <w:bookmarkStart w:id="110" w:name="_Toc178064343"/>
      <w:bookmarkStart w:id="111" w:name="_Toc178084819"/>
      <w:bookmarkStart w:id="112" w:name="_Toc178090437"/>
      <w:r>
        <w:rPr>
          <w:rStyle w:val="CharDivNo"/>
        </w:rPr>
        <w:t>Division 1</w:t>
      </w:r>
      <w:r>
        <w:t> — </w:t>
      </w:r>
      <w:r>
        <w:rPr>
          <w:rStyle w:val="CharDivText"/>
        </w:rPr>
        <w:t>Preliminary</w:t>
      </w:r>
      <w:bookmarkEnd w:id="110"/>
      <w:bookmarkEnd w:id="111"/>
      <w:bookmarkEnd w:id="112"/>
    </w:p>
    <w:p>
      <w:pPr>
        <w:pStyle w:val="Footnoteheading"/>
      </w:pPr>
      <w:r>
        <w:tab/>
        <w:t>[Heading inserted: SL 2023/135 r. 12.]</w:t>
      </w:r>
    </w:p>
    <w:p>
      <w:pPr>
        <w:pStyle w:val="Heading5"/>
        <w:rPr>
          <w:snapToGrid w:val="0"/>
        </w:rPr>
      </w:pPr>
      <w:bookmarkStart w:id="113" w:name="_Toc178090438"/>
      <w:r>
        <w:rPr>
          <w:rStyle w:val="CharSectno"/>
        </w:rPr>
        <w:t>46</w:t>
      </w:r>
      <w:r>
        <w:rPr>
          <w:snapToGrid w:val="0"/>
        </w:rPr>
        <w:t>.</w:t>
      </w:r>
      <w:r>
        <w:rPr>
          <w:snapToGrid w:val="0"/>
        </w:rPr>
        <w:tab/>
        <w:t>Terms used</w:t>
      </w:r>
      <w:bookmarkEnd w:id="113"/>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In this Part — </w:t>
      </w:r>
    </w:p>
    <w:p>
      <w:pPr>
        <w:pStyle w:val="Defstart"/>
      </w:pPr>
      <w:r>
        <w:tab/>
      </w:r>
      <w:r>
        <w:rPr>
          <w:rStyle w:val="CharDefText"/>
        </w:rPr>
        <w:t>appropriate lifejacket</w:t>
      </w:r>
      <w:r>
        <w:t xml:space="preserve">, for a person, means — </w:t>
      </w:r>
    </w:p>
    <w:p>
      <w:pPr>
        <w:pStyle w:val="Defpara"/>
      </w:pPr>
      <w:r>
        <w:tab/>
        <w:t>(a)</w:t>
      </w:r>
      <w:r>
        <w:tab/>
        <w:t xml:space="preserve">in relation to a registrable vessel that is not a personal watercraft, any of the following, of a size and buoyancy appropriate to the body mass of that person — </w:t>
      </w:r>
    </w:p>
    <w:p>
      <w:pPr>
        <w:pStyle w:val="zDefsubpara"/>
      </w:pPr>
      <w:r>
        <w:tab/>
        <w:t>(i)</w:t>
      </w:r>
      <w:r>
        <w:tab/>
        <w:t>a Level 100 lifejacket;</w:t>
      </w:r>
    </w:p>
    <w:p>
      <w:pPr>
        <w:pStyle w:val="zDefsubpara"/>
      </w:pPr>
      <w:r>
        <w:tab/>
        <w:t>(ii)</w:t>
      </w:r>
      <w:r>
        <w:tab/>
        <w:t>a Level 150 lifejacket;</w:t>
      </w:r>
    </w:p>
    <w:p>
      <w:pPr>
        <w:pStyle w:val="zDefsubpara"/>
      </w:pPr>
      <w:r>
        <w:tab/>
        <w:t>(iii)</w:t>
      </w:r>
      <w:r>
        <w:tab/>
        <w:t>a Level 275 lifejacket;</w:t>
      </w:r>
    </w:p>
    <w:p>
      <w:pPr>
        <w:pStyle w:val="zDefsubpara"/>
      </w:pPr>
      <w:r>
        <w:tab/>
        <w:t>(iv)</w:t>
      </w:r>
      <w:r>
        <w:tab/>
        <w:t>a SOLAS lifejacket;</w:t>
      </w:r>
    </w:p>
    <w:p>
      <w:pPr>
        <w:pStyle w:val="Defpara"/>
      </w:pPr>
      <w:r>
        <w:tab/>
      </w:r>
      <w:r>
        <w:tab/>
        <w:t>and</w:t>
      </w:r>
    </w:p>
    <w:p>
      <w:pPr>
        <w:pStyle w:val="Defpara"/>
      </w:pPr>
      <w:r>
        <w:tab/>
        <w:t>(b)</w:t>
      </w:r>
      <w:r>
        <w:tab/>
        <w:t>in relation to a non</w:t>
      </w:r>
      <w:r>
        <w:noBreakHyphen/>
        <w:t xml:space="preserve">registrable vessel and a registrable vessel that is a personal watercraft, any of the following, of a size and buoyancy appropriate to the body mass of that person — </w:t>
      </w:r>
    </w:p>
    <w:p>
      <w:pPr>
        <w:pStyle w:val="zDefsubpara"/>
      </w:pPr>
      <w:r>
        <w:tab/>
        <w:t>(i)</w:t>
      </w:r>
      <w:r>
        <w:tab/>
        <w:t xml:space="preserve">a Level 50S lifejacket; </w:t>
      </w:r>
    </w:p>
    <w:p>
      <w:pPr>
        <w:pStyle w:val="zDefsubpara"/>
      </w:pPr>
      <w:r>
        <w:tab/>
        <w:t>(ii)</w:t>
      </w:r>
      <w:r>
        <w:tab/>
        <w:t xml:space="preserve">a Level 50 lifejacket; </w:t>
      </w:r>
    </w:p>
    <w:p>
      <w:pPr>
        <w:pStyle w:val="zDefsubpara"/>
      </w:pPr>
      <w:r>
        <w:tab/>
        <w:t>(iii)</w:t>
      </w:r>
      <w:r>
        <w:tab/>
        <w:t>a Level 100 lifejacket;</w:t>
      </w:r>
    </w:p>
    <w:p>
      <w:pPr>
        <w:pStyle w:val="zDefsubpara"/>
      </w:pPr>
      <w:r>
        <w:tab/>
        <w:t>(iv)</w:t>
      </w:r>
      <w:r>
        <w:tab/>
        <w:t>a Level 150 lifejacket;</w:t>
      </w:r>
    </w:p>
    <w:p>
      <w:pPr>
        <w:pStyle w:val="zDefsubpara"/>
      </w:pPr>
      <w:r>
        <w:tab/>
        <w:t>(v)</w:t>
      </w:r>
      <w:r>
        <w:tab/>
        <w:t>a Level 275 lifejacket;</w:t>
      </w:r>
    </w:p>
    <w:p>
      <w:pPr>
        <w:pStyle w:val="zDefsubpara"/>
      </w:pPr>
      <w:r>
        <w:tab/>
        <w:t>(vi)</w:t>
      </w:r>
      <w:r>
        <w:tab/>
        <w:t>a SOLAS lifejacket;</w:t>
      </w:r>
    </w:p>
    <w:p>
      <w:pPr>
        <w:pStyle w:val="Defstart"/>
      </w:pPr>
      <w:r>
        <w:lastRenderedPageBreak/>
        <w:tab/>
      </w:r>
      <w:r>
        <w:rPr>
          <w:rStyle w:val="CharDefText"/>
        </w:rPr>
        <w:t>approved electronic visual distress signal</w:t>
      </w:r>
      <w:r>
        <w:t xml:space="preserve"> means an electronic visual distress signal approved by the Minister, for the purposes of regulation 52B, by notice published in the </w:t>
      </w:r>
      <w:r>
        <w:rPr>
          <w:i/>
        </w:rPr>
        <w:t>Gazette</w:t>
      </w:r>
      <w:r>
        <w:t>;</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Australian Communications and Media Authority</w:t>
      </w:r>
      <w:r>
        <w:t xml:space="preserve"> means the Australian Communications and Media Authority established under the </w:t>
      </w:r>
      <w:r>
        <w:rPr>
          <w:i/>
        </w:rPr>
        <w:t>Australian Communications and Media Authority Act 2005</w:t>
      </w:r>
      <w:r>
        <w:t xml:space="preserve"> (Commonwealth) section 6;</w:t>
      </w:r>
    </w:p>
    <w:p>
      <w:pPr>
        <w:pStyle w:val="Defstart"/>
      </w:pPr>
      <w:r>
        <w:tab/>
      </w:r>
      <w:r>
        <w:rPr>
          <w:rStyle w:val="CharDefText"/>
        </w:rPr>
        <w:t>Emergency Position</w:t>
      </w:r>
      <w:r>
        <w:rPr>
          <w:rStyle w:val="CharDefText"/>
        </w:rPr>
        <w:noBreakHyphen/>
        <w:t>Indicating Radio Beacon</w:t>
      </w:r>
      <w:r>
        <w:t xml:space="preserve"> means an emergency position</w:t>
      </w:r>
      <w:r>
        <w:noBreakHyphen/>
        <w:t xml:space="preserve">indicating radio beacon registered with the Australian Maritime Safety Authority established under the </w:t>
      </w:r>
      <w:r>
        <w:rPr>
          <w:i/>
        </w:rPr>
        <w:t>Australian Maritime Safety Authority Act 1990</w:t>
      </w:r>
      <w:r>
        <w:t xml:space="preserve"> (Commonwealth) section 5 that — </w:t>
      </w:r>
    </w:p>
    <w:p>
      <w:pPr>
        <w:pStyle w:val="Defpara"/>
      </w:pPr>
      <w:r>
        <w:tab/>
        <w:t>(a)</w:t>
      </w:r>
      <w:r>
        <w:tab/>
        <w:t xml:space="preserve">before 1 September 2028, complies with — </w:t>
      </w:r>
    </w:p>
    <w:p>
      <w:pPr>
        <w:pStyle w:val="zDefsubpara"/>
      </w:pPr>
      <w:r>
        <w:tab/>
        <w:t>(i)</w:t>
      </w:r>
      <w:r>
        <w:tab/>
        <w:t>AS/NZS 4280.1:2003; or</w:t>
      </w:r>
    </w:p>
    <w:p>
      <w:pPr>
        <w:pStyle w:val="zDefsubpara"/>
      </w:pPr>
      <w:r>
        <w:tab/>
        <w:t>(ii)</w:t>
      </w:r>
      <w:r>
        <w:tab/>
        <w:t>AS/NZS 4280.1:2017; or</w:t>
      </w:r>
    </w:p>
    <w:p>
      <w:pPr>
        <w:pStyle w:val="zDefsubpara"/>
      </w:pPr>
      <w:r>
        <w:tab/>
        <w:t>(iii)</w:t>
      </w:r>
      <w:r>
        <w:tab/>
        <w:t xml:space="preserve">AS/NZS 4280.1:2022; </w:t>
      </w:r>
    </w:p>
    <w:p>
      <w:pPr>
        <w:pStyle w:val="Defpara"/>
      </w:pPr>
      <w:r>
        <w:tab/>
      </w:r>
      <w:r>
        <w:tab/>
        <w:t>and</w:t>
      </w:r>
    </w:p>
    <w:p>
      <w:pPr>
        <w:pStyle w:val="Defpara"/>
      </w:pPr>
      <w:r>
        <w:tab/>
        <w:t>(b)</w:t>
      </w:r>
      <w:r>
        <w:tab/>
        <w:t>on or after 1 September 2028 but before 1 September 2033, is GNSS</w:t>
      </w:r>
      <w:r>
        <w:noBreakHyphen/>
        <w:t xml:space="preserve">equipped and complies with — </w:t>
      </w:r>
    </w:p>
    <w:p>
      <w:pPr>
        <w:pStyle w:val="zDefsubpara"/>
      </w:pPr>
      <w:r>
        <w:tab/>
        <w:t>(i)</w:t>
      </w:r>
      <w:r>
        <w:tab/>
        <w:t>AS/NZS 4280.1:2017; or</w:t>
      </w:r>
    </w:p>
    <w:p>
      <w:pPr>
        <w:pStyle w:val="zDefsubpara"/>
      </w:pPr>
      <w:r>
        <w:tab/>
        <w:t>(ii)</w:t>
      </w:r>
      <w:r>
        <w:tab/>
        <w:t xml:space="preserve">AS/NZS 4280.1:2022; </w:t>
      </w:r>
    </w:p>
    <w:p>
      <w:pPr>
        <w:pStyle w:val="Defpara"/>
      </w:pPr>
      <w:r>
        <w:tab/>
      </w:r>
      <w:r>
        <w:tab/>
        <w:t>and</w:t>
      </w:r>
    </w:p>
    <w:p>
      <w:pPr>
        <w:pStyle w:val="Defpara"/>
      </w:pPr>
      <w:r>
        <w:tab/>
        <w:t>(c)</w:t>
      </w:r>
      <w:r>
        <w:tab/>
        <w:t>on or after 1 September 2033, is GNSS</w:t>
      </w:r>
      <w:r>
        <w:noBreakHyphen/>
        <w:t>equipped and complies with AS/NZS 4280.1:2022;</w:t>
      </w:r>
    </w:p>
    <w:p>
      <w:pPr>
        <w:pStyle w:val="Defstart"/>
      </w:pPr>
      <w:r>
        <w:lastRenderedPageBreak/>
        <w:tab/>
      </w:r>
      <w:r>
        <w:rPr>
          <w:rStyle w:val="CharDefText"/>
        </w:rPr>
        <w:t>GNSS</w:t>
      </w:r>
      <w:r>
        <w:rPr>
          <w:rStyle w:val="CharDefText"/>
        </w:rPr>
        <w:noBreakHyphen/>
        <w:t>equipped</w:t>
      </w:r>
      <w:r>
        <w:t>, in relation to an Emergency Position</w:t>
      </w:r>
      <w:r>
        <w:noBreakHyphen/>
        <w:t xml:space="preserve">Indicating Radio Beacon or a personal locator beacon, means capable of — </w:t>
      </w:r>
    </w:p>
    <w:p>
      <w:pPr>
        <w:pStyle w:val="Defpara"/>
      </w:pPr>
      <w:r>
        <w:tab/>
        <w:t>(a)</w:t>
      </w:r>
      <w:r>
        <w:tab/>
        <w:t>determining, by means of a global navigation satellite system, the location of the Emergency Position</w:t>
      </w:r>
      <w:r>
        <w:noBreakHyphen/>
        <w:t>Indicating Radio Beacon or personal locator beacon, as the case may be; and</w:t>
      </w:r>
    </w:p>
    <w:p>
      <w:pPr>
        <w:pStyle w:val="Defpara"/>
      </w:pPr>
      <w:r>
        <w:tab/>
        <w:t>(b)</w:t>
      </w:r>
      <w:r>
        <w:tab/>
        <w:t>encoding information as to the location within the signal transmitted by the Emergency Position</w:t>
      </w:r>
      <w:r>
        <w:noBreakHyphen/>
        <w:t>Indicating Radio Beacon or personal locator beacon;</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keepNext/>
      </w:pPr>
      <w:r>
        <w:tab/>
      </w:r>
      <w:r>
        <w:rPr>
          <w:rStyle w:val="CharDefText"/>
        </w:rPr>
        <w:t>Level 275 lifejacket</w:t>
      </w:r>
      <w:r>
        <w:t xml:space="preserve"> means — </w:t>
      </w:r>
    </w:p>
    <w:p>
      <w:pPr>
        <w:pStyle w:val="Defpara"/>
      </w:pPr>
      <w:r>
        <w:tab/>
        <w:t>(a)</w:t>
      </w:r>
      <w:r>
        <w:tab/>
        <w:t>a lifejacket classified as Level 275 by AS 4758; or</w:t>
      </w:r>
    </w:p>
    <w:p>
      <w:pPr>
        <w:pStyle w:val="Defpara"/>
      </w:pPr>
      <w:r>
        <w:lastRenderedPageBreak/>
        <w:tab/>
        <w:t>(b)</w:t>
      </w:r>
      <w:r>
        <w:tab/>
        <w:t>a lifejacket classified as performance level 275 by ISO 12402;</w:t>
      </w:r>
    </w:p>
    <w:p>
      <w:pPr>
        <w:pStyle w:val="Defstart"/>
      </w:pPr>
      <w:r>
        <w:tab/>
      </w:r>
      <w:r>
        <w:rPr>
          <w:rStyle w:val="CharDefText"/>
        </w:rPr>
        <w:t>marine transceiver</w:t>
      </w:r>
      <w:r>
        <w:t xml:space="preserve"> means a marine radio transceiver approved by the Australian Communications and Media Authority that is — </w:t>
      </w:r>
    </w:p>
    <w:p>
      <w:pPr>
        <w:pStyle w:val="Defpara"/>
      </w:pPr>
      <w:r>
        <w:tab/>
        <w:t>(a)</w:t>
      </w:r>
      <w:r>
        <w:tab/>
        <w:t>a High Frequency or Very High Frequency radio; or</w:t>
      </w:r>
    </w:p>
    <w:p>
      <w:pPr>
        <w:pStyle w:val="Defpara"/>
      </w:pPr>
      <w:r>
        <w:tab/>
        <w:t>(b)</w:t>
      </w:r>
      <w:r>
        <w:tab/>
        <w:t>before 1 September 2028 — a 27 MHz radio;</w:t>
      </w:r>
    </w:p>
    <w:p>
      <w:pPr>
        <w:pStyle w:val="Defstart"/>
      </w:pPr>
      <w:r>
        <w:tab/>
      </w:r>
      <w:r>
        <w:rPr>
          <w:rStyle w:val="CharDefText"/>
        </w:rPr>
        <w:t>non</w:t>
      </w:r>
      <w:r>
        <w:rPr>
          <w:rStyle w:val="CharDefText"/>
        </w:rPr>
        <w:noBreakHyphen/>
        <w:t>registrable vessel</w:t>
      </w:r>
      <w:r>
        <w:t xml:space="preserve"> — </w:t>
      </w:r>
    </w:p>
    <w:p>
      <w:pPr>
        <w:pStyle w:val="Defpara"/>
      </w:pPr>
      <w:r>
        <w:tab/>
        <w:t>(a)</w:t>
      </w:r>
      <w:r>
        <w:tab/>
        <w:t xml:space="preserve">means a pleasure vessel that is not a registrable vessel within the meaning of paragraph (a) of the definition of </w:t>
      </w:r>
      <w:r>
        <w:rPr>
          <w:b/>
          <w:i/>
        </w:rPr>
        <w:t>registrable vessel</w:t>
      </w:r>
      <w:r>
        <w:rPr>
          <w:bCs/>
          <w:iCs/>
        </w:rPr>
        <w:t xml:space="preserve"> in regulation 2(1)</w:t>
      </w:r>
      <w:r>
        <w:t>; and</w:t>
      </w:r>
    </w:p>
    <w:p>
      <w:pPr>
        <w:pStyle w:val="Defpara"/>
      </w:pPr>
      <w:r>
        <w:tab/>
        <w:t>(b)</w:t>
      </w:r>
      <w:r>
        <w:tab/>
        <w:t>includes a tender;</w:t>
      </w:r>
    </w:p>
    <w:p>
      <w:pPr>
        <w:pStyle w:val="Defstart"/>
      </w:pPr>
      <w:r>
        <w:tab/>
      </w:r>
      <w:r>
        <w:rPr>
          <w:rStyle w:val="CharDefText"/>
        </w:rPr>
        <w:t>paddle craft</w:t>
      </w:r>
      <w:r>
        <w:t xml:space="preserve"> — </w:t>
      </w:r>
    </w:p>
    <w:p>
      <w:pPr>
        <w:pStyle w:val="Defpara"/>
      </w:pPr>
      <w:r>
        <w:tab/>
        <w:t>(a)</w:t>
      </w:r>
      <w:r>
        <w:tab/>
        <w:t>means a vessel that is propelled by a paddle or by the movements of a person operating the paddle craft, including, for example, a canoe, a kayak (sit</w:t>
      </w:r>
      <w:r>
        <w:noBreakHyphen/>
        <w:t>in or sit</w:t>
      </w:r>
      <w:r>
        <w:noBreakHyphen/>
        <w:t>on</w:t>
      </w:r>
      <w:r>
        <w:noBreakHyphen/>
        <w:t>top) and a surfski; but</w:t>
      </w:r>
    </w:p>
    <w:p>
      <w:pPr>
        <w:pStyle w:val="Defpara"/>
      </w:pPr>
      <w:r>
        <w:tab/>
        <w:t>(b)</w:t>
      </w:r>
      <w:r>
        <w:tab/>
        <w:t>does not include a stand-up paddle board;</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beacon registered with the Australian Maritime Safety Authority established under the </w:t>
      </w:r>
      <w:r>
        <w:rPr>
          <w:i/>
        </w:rPr>
        <w:t>Australian Maritime Safety Authority Act 1990</w:t>
      </w:r>
      <w:r>
        <w:t xml:space="preserve"> (Commonwealth) section 5 that — </w:t>
      </w:r>
    </w:p>
    <w:p>
      <w:pPr>
        <w:pStyle w:val="Defpara"/>
      </w:pPr>
      <w:r>
        <w:tab/>
        <w:t>(a)</w:t>
      </w:r>
      <w:r>
        <w:tab/>
        <w:t xml:space="preserve">before 1 September 2028, complies with — </w:t>
      </w:r>
    </w:p>
    <w:p>
      <w:pPr>
        <w:pStyle w:val="zDefsubpara"/>
      </w:pPr>
      <w:r>
        <w:tab/>
        <w:t>(i)</w:t>
      </w:r>
      <w:r>
        <w:tab/>
        <w:t>AS/NZS 4280.2:2003; or</w:t>
      </w:r>
    </w:p>
    <w:p>
      <w:pPr>
        <w:pStyle w:val="zDefsubpara"/>
      </w:pPr>
      <w:r>
        <w:tab/>
        <w:t>(ii)</w:t>
      </w:r>
      <w:r>
        <w:tab/>
        <w:t xml:space="preserve">AS/NZS 4280.2:2017; </w:t>
      </w:r>
    </w:p>
    <w:p>
      <w:pPr>
        <w:pStyle w:val="Defpara"/>
      </w:pPr>
      <w:r>
        <w:tab/>
      </w:r>
      <w:r>
        <w:tab/>
        <w:t>and</w:t>
      </w:r>
    </w:p>
    <w:p>
      <w:pPr>
        <w:pStyle w:val="Defpara"/>
      </w:pPr>
      <w:r>
        <w:tab/>
        <w:t>(b)</w:t>
      </w:r>
      <w:r>
        <w:tab/>
        <w:t>on or after 1 September 2028, is GNSS</w:t>
      </w:r>
      <w:r>
        <w:noBreakHyphen/>
        <w:t>equipped and complies with AS/NZS 4280.2:2017;</w:t>
      </w:r>
    </w:p>
    <w:p>
      <w:pPr>
        <w:pStyle w:val="Defstart"/>
      </w:pPr>
      <w:r>
        <w:lastRenderedPageBreak/>
        <w:tab/>
      </w:r>
      <w:r>
        <w:rPr>
          <w:rStyle w:val="CharDefText"/>
        </w:rPr>
        <w:t>sailboard</w:t>
      </w:r>
      <w:r>
        <w:t xml:space="preserve"> means a vessel that is principally propelled by wind, including, for example, a board that is used for kiteboarding, kitefoiling, windfoiling, windsurfing, wingboarding, wingfoiling, winging, wingsailing or wingsurfing;</w:t>
      </w:r>
    </w:p>
    <w:p>
      <w:pPr>
        <w:pStyle w:val="Defstart"/>
      </w:pPr>
      <w:r>
        <w:tab/>
      </w:r>
      <w:r>
        <w:rPr>
          <w:rStyle w:val="CharDefText"/>
        </w:rPr>
        <w:t>sailboard riding</w:t>
      </w:r>
      <w:r>
        <w:t xml:space="preserve"> includes kiteboarding, kitefoiling windfoiling, windsurfing, wingboarding, wingfoiling or similar use of a sailboard for the purpose of engaging in a water-related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SL 2023/135 r. 13; SL 2024/191 r. 19.] </w:t>
      </w:r>
    </w:p>
    <w:p>
      <w:pPr>
        <w:pStyle w:val="Heading3"/>
      </w:pPr>
      <w:bookmarkStart w:id="114" w:name="_Toc178064345"/>
      <w:bookmarkStart w:id="115" w:name="_Toc178084821"/>
      <w:bookmarkStart w:id="116" w:name="_Toc178090439"/>
      <w:r>
        <w:rPr>
          <w:rStyle w:val="CharDivNo"/>
        </w:rPr>
        <w:t>Division 2</w:t>
      </w:r>
      <w:r>
        <w:t> — </w:t>
      </w:r>
      <w:r>
        <w:rPr>
          <w:rStyle w:val="CharDivText"/>
        </w:rPr>
        <w:t>Recreational skippers’ tickets</w:t>
      </w:r>
      <w:bookmarkEnd w:id="114"/>
      <w:bookmarkEnd w:id="115"/>
      <w:bookmarkEnd w:id="116"/>
    </w:p>
    <w:p>
      <w:pPr>
        <w:pStyle w:val="Footnoteheading"/>
        <w:keepNext/>
      </w:pPr>
      <w:r>
        <w:tab/>
        <w:t>[Heading inserted: SL 2023/135 r. 14.]</w:t>
      </w:r>
    </w:p>
    <w:p>
      <w:pPr>
        <w:pStyle w:val="Ednotesection"/>
        <w:ind w:left="890" w:hanging="890"/>
      </w:pPr>
      <w:r>
        <w:t>[</w:t>
      </w:r>
      <w:r>
        <w:rPr>
          <w:b/>
        </w:rPr>
        <w:t>46A.</w:t>
      </w:r>
      <w:r>
        <w:tab/>
        <w:t>Deleted: Gazette 3 Mar 2017 p. 1486.]</w:t>
      </w:r>
    </w:p>
    <w:p>
      <w:pPr>
        <w:pStyle w:val="Ednotedivision"/>
        <w:spacing w:before="240"/>
      </w:pPr>
      <w:r>
        <w:t>[Heading deleted: Gazette 1 Jul 1983 p. 2263.]</w:t>
      </w:r>
    </w:p>
    <w:p>
      <w:pPr>
        <w:pStyle w:val="Heading5"/>
        <w:spacing w:before="240"/>
      </w:pPr>
      <w:bookmarkStart w:id="117" w:name="_Toc178090440"/>
      <w:r>
        <w:rPr>
          <w:rStyle w:val="CharSectno"/>
        </w:rPr>
        <w:lastRenderedPageBreak/>
        <w:t>47</w:t>
      </w:r>
      <w:r>
        <w:t>.</w:t>
      </w:r>
      <w:r>
        <w:tab/>
        <w:t>Terms used</w:t>
      </w:r>
      <w:bookmarkEnd w:id="117"/>
    </w:p>
    <w:p>
      <w:pPr>
        <w:pStyle w:val="Subsection"/>
        <w:spacing w:before="180"/>
      </w:pPr>
      <w:r>
        <w:tab/>
        <w:t>(1)</w:t>
      </w:r>
      <w:r>
        <w:tab/>
        <w:t xml:space="preserve">In this Division — </w:t>
      </w:r>
    </w:p>
    <w:p>
      <w:pPr>
        <w:pStyle w:val="Defstart"/>
      </w:pPr>
      <w:r>
        <w:rPr>
          <w:b/>
          <w:i/>
          <w:iCs/>
        </w:rPr>
        <w:tab/>
      </w:r>
      <w:r>
        <w:rPr>
          <w:rStyle w:val="CharDefText"/>
        </w:rPr>
        <w:t>CEO</w:t>
      </w:r>
      <w:r>
        <w:t xml:space="preserve"> means the chief executive officer;</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is a registrable vessel; and</w:t>
      </w:r>
    </w:p>
    <w:p>
      <w:pPr>
        <w:pStyle w:val="Defpara"/>
        <w:rPr>
          <w:rStyle w:val="DraftersNotes"/>
        </w:rPr>
      </w:pPr>
      <w:r>
        <w:tab/>
        <w:t>(b)</w:t>
      </w:r>
      <w:r>
        <w:tab/>
        <w:t>is propelled by motored power that exceeds 4.5 kW.</w:t>
      </w:r>
    </w:p>
    <w:p>
      <w:pPr>
        <w:pStyle w:val="Subsection"/>
        <w:spacing w:before="180"/>
      </w:pPr>
      <w:r>
        <w:tab/>
        <w:t>(2)</w:t>
      </w:r>
      <w:r>
        <w:tab/>
        <w:t>For the purposes of this Division, a person</w:t>
      </w:r>
      <w:r>
        <w:rPr>
          <w:b/>
          <w:bCs/>
        </w:rPr>
        <w:t xml:space="preserve"> </w:t>
      </w:r>
      <w:r>
        <w:t xml:space="preserve">meets the recreational skipper’s competency requirements if the person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this Division, an applicant for a recreational skipper’s ticket is taken to have lodged an application if the applicant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Gazette 10 Feb 2006 p. 667</w:t>
      </w:r>
      <w:r>
        <w:noBreakHyphen/>
        <w:t>8; amended: SL 2023/135 r. 15; SL 2024/191 r. 20.]</w:t>
      </w:r>
    </w:p>
    <w:p>
      <w:pPr>
        <w:pStyle w:val="Ednotesection"/>
        <w:ind w:left="890" w:hanging="890"/>
      </w:pPr>
      <w:r>
        <w:t>[</w:t>
      </w:r>
      <w:r>
        <w:rPr>
          <w:b/>
        </w:rPr>
        <w:t>47AA, 47AB.</w:t>
      </w:r>
      <w:r>
        <w:tab/>
        <w:t>Deleted: Gazette 25 Jul 2014 p. 2583.]</w:t>
      </w:r>
    </w:p>
    <w:p>
      <w:pPr>
        <w:pStyle w:val="Heading5"/>
        <w:keepLines w:val="0"/>
      </w:pPr>
      <w:bookmarkStart w:id="118" w:name="_Toc178090441"/>
      <w:r>
        <w:rPr>
          <w:rStyle w:val="CharSectno"/>
        </w:rPr>
        <w:lastRenderedPageBreak/>
        <w:t>47A</w:t>
      </w:r>
      <w:r>
        <w:t>.</w:t>
      </w:r>
      <w:r>
        <w:tab/>
        <w:t>Authority to drive motor boats and RST vessels</w:t>
      </w:r>
      <w:bookmarkEnd w:id="118"/>
    </w:p>
    <w:p>
      <w:pPr>
        <w:pStyle w:val="Ednotesubsection"/>
      </w:pPr>
      <w:r>
        <w:tab/>
        <w:t>[(1)</w:t>
      </w:r>
      <w:r>
        <w:tab/>
        <w:t>deleted]</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keepNext/>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master or person in charge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Gazette 10 Feb 2006 p. 669</w:t>
      </w:r>
      <w:r>
        <w:noBreakHyphen/>
        <w:t>70; amended: SL 2023/135 r. 16; SL 2024/191 r. 21.]</w:t>
      </w:r>
    </w:p>
    <w:p>
      <w:pPr>
        <w:pStyle w:val="Heading5"/>
      </w:pPr>
      <w:bookmarkStart w:id="119" w:name="_Toc178090442"/>
      <w:r>
        <w:rPr>
          <w:rStyle w:val="CharSectno"/>
        </w:rPr>
        <w:lastRenderedPageBreak/>
        <w:t>47B</w:t>
      </w:r>
      <w:r>
        <w:rPr>
          <w:iCs/>
        </w:rPr>
        <w:t>.</w:t>
      </w:r>
      <w:r>
        <w:rPr>
          <w:iCs/>
        </w:rPr>
        <w:tab/>
        <w:t>Learner deemed to be directly supervised</w:t>
      </w:r>
      <w:bookmarkEnd w:id="119"/>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Gazette 10 Feb 2006 p. 670.]</w:t>
      </w:r>
    </w:p>
    <w:p>
      <w:pPr>
        <w:pStyle w:val="Heading5"/>
      </w:pPr>
      <w:bookmarkStart w:id="120" w:name="_Toc178090443"/>
      <w:r>
        <w:rPr>
          <w:rStyle w:val="CharSectno"/>
        </w:rPr>
        <w:t>47C</w:t>
      </w:r>
      <w:r>
        <w:t>.</w:t>
      </w:r>
      <w:r>
        <w:tab/>
        <w:t>Recreational skipper’s ticket</w:t>
      </w:r>
      <w:bookmarkEnd w:id="120"/>
    </w:p>
    <w:p>
      <w:pPr>
        <w:pStyle w:val="Subsection"/>
        <w:rPr>
          <w:rStyle w:val="DraftersNotes"/>
        </w:rPr>
      </w:pPr>
      <w:r>
        <w:tab/>
        <w:t>(1)</w:t>
      </w:r>
      <w:r>
        <w:tab/>
        <w:t xml:space="preserve">Subject to regulations 47G and 47GB, the CEO is to grant a recreational skipper’s ticket to a person who applies in accordance with subregulation (3), if satisfied that the person meets the recreational skipper’s competency requirements. </w:t>
      </w:r>
    </w:p>
    <w:p>
      <w:pPr>
        <w:pStyle w:val="Subsection"/>
        <w:keepNext/>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keepNext/>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must be accompanied by a fee of $34.15; and</w:t>
      </w:r>
    </w:p>
    <w:p>
      <w:pPr>
        <w:pStyle w:val="Indenta"/>
        <w:keepNext/>
      </w:pPr>
      <w:r>
        <w:lastRenderedPageBreak/>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keepNext/>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keepNext/>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$25.35.</w:t>
      </w:r>
    </w:p>
    <w:p>
      <w:pPr>
        <w:pStyle w:val="Subsection"/>
      </w:pPr>
      <w:r>
        <w:tab/>
        <w:t>(6)</w:t>
      </w:r>
      <w:r>
        <w:tab/>
        <w:t>The CEO may issue a replacement recreational skipper’s ticket at any other time if the CEO considers it appropriate.</w:t>
      </w:r>
    </w:p>
    <w:p>
      <w:pPr>
        <w:pStyle w:val="Subsection"/>
        <w:keepNext/>
      </w:pPr>
      <w:r>
        <w:tab/>
        <w:t>(7)</w:t>
      </w:r>
      <w:r>
        <w:tab/>
        <w:t xml:space="preserve">In this regulation — </w:t>
      </w:r>
    </w:p>
    <w:p>
      <w:pPr>
        <w:pStyle w:val="Defstart"/>
        <w:keepNext/>
      </w:pPr>
      <w:r>
        <w:rPr>
          <w:b/>
          <w:i/>
          <w:iCs/>
        </w:rPr>
        <w:tab/>
      </w:r>
      <w:r>
        <w:rPr>
          <w:rStyle w:val="CharDefText"/>
        </w:rPr>
        <w:t>higher qualification</w:t>
      </w:r>
      <w:r>
        <w:t xml:space="preserve"> means — </w:t>
      </w:r>
    </w:p>
    <w:p>
      <w:pPr>
        <w:pStyle w:val="Defpara"/>
        <w:keepNext/>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lastRenderedPageBreak/>
        <w:tab/>
        <w:t>(iii)</w:t>
      </w:r>
      <w:r>
        <w:tab/>
        <w:t xml:space="preserve">Marine Engine Driver Grade I; or </w:t>
      </w:r>
    </w:p>
    <w:p>
      <w:pPr>
        <w:pStyle w:val="Defsubpara"/>
        <w:keepNext/>
        <w:keepLines w:val="0"/>
      </w:pPr>
      <w:r>
        <w:tab/>
        <w:t>(iv)</w:t>
      </w:r>
      <w:r>
        <w:tab/>
        <w:t>Marine Engine Driver Grade II;</w:t>
      </w:r>
    </w:p>
    <w:p>
      <w:pPr>
        <w:pStyle w:val="Defpara"/>
      </w:pPr>
      <w:r>
        <w:tab/>
      </w:r>
      <w:r>
        <w:tab/>
        <w:t>or</w:t>
      </w:r>
    </w:p>
    <w:p>
      <w:pPr>
        <w:pStyle w:val="Defpara"/>
        <w:keepNext/>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 SL 2020/60 r. 8; SL 2021/68 r. 14; SL 2022/56 r. 6; SL 2023/45 r. 15; SL 2024/57 r. 8; SL 2024/62 r. 4.]</w:t>
      </w:r>
    </w:p>
    <w:p>
      <w:pPr>
        <w:pStyle w:val="Ednotesection"/>
        <w:ind w:left="890" w:hanging="890"/>
      </w:pPr>
      <w:r>
        <w:t>[</w:t>
      </w:r>
      <w:r>
        <w:rPr>
          <w:b/>
        </w:rPr>
        <w:t>47CA.</w:t>
      </w:r>
      <w:r>
        <w:tab/>
        <w:t>Deleted: Gazette 25 Jul 2014 p. 2583.]</w:t>
      </w:r>
    </w:p>
    <w:p>
      <w:pPr>
        <w:pStyle w:val="Heading5"/>
      </w:pPr>
      <w:bookmarkStart w:id="121" w:name="_Toc178090444"/>
      <w:r>
        <w:rPr>
          <w:rStyle w:val="CharSectno"/>
        </w:rPr>
        <w:t>47D</w:t>
      </w:r>
      <w:r>
        <w:t>.</w:t>
      </w:r>
      <w:r>
        <w:tab/>
        <w:t>Recreational skipper’s ticket, conditions on</w:t>
      </w:r>
      <w:bookmarkEnd w:id="121"/>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keepNext/>
      </w:pPr>
      <w:r>
        <w:tab/>
        <w:t>(3)</w:t>
      </w:r>
      <w:r>
        <w:tab/>
        <w:t xml:space="preserve">The CEO may revoke a condition by giving written notice to the ticket holder. </w:t>
      </w:r>
    </w:p>
    <w:p>
      <w:pPr>
        <w:pStyle w:val="Footnotesection"/>
      </w:pPr>
      <w:r>
        <w:tab/>
        <w:t>[Regulation 47D inserted: Gazette 10 Feb 2006 p. 673.]</w:t>
      </w:r>
    </w:p>
    <w:p>
      <w:pPr>
        <w:pStyle w:val="Heading5"/>
      </w:pPr>
      <w:bookmarkStart w:id="122" w:name="_Toc178090445"/>
      <w:r>
        <w:rPr>
          <w:rStyle w:val="CharSectno"/>
        </w:rPr>
        <w:t>47E</w:t>
      </w:r>
      <w:r>
        <w:t>.</w:t>
      </w:r>
      <w:r>
        <w:tab/>
        <w:t>Interstate or overseas ticket valid for 3 months</w:t>
      </w:r>
      <w:bookmarkEnd w:id="122"/>
    </w:p>
    <w:p>
      <w:pPr>
        <w:pStyle w:val="Subsection"/>
        <w:keepNext/>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Gazette 10 Feb 2006 p. 673.]</w:t>
      </w:r>
    </w:p>
    <w:p>
      <w:pPr>
        <w:pStyle w:val="Heading5"/>
        <w:keepLines w:val="0"/>
      </w:pPr>
      <w:bookmarkStart w:id="123" w:name="_Toc178090446"/>
      <w:r>
        <w:rPr>
          <w:rStyle w:val="CharSectno"/>
        </w:rPr>
        <w:lastRenderedPageBreak/>
        <w:t>47F</w:t>
      </w:r>
      <w:r>
        <w:t>.</w:t>
      </w:r>
      <w:r>
        <w:tab/>
        <w:t>Exemptions</w:t>
      </w:r>
      <w:bookmarkEnd w:id="123"/>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keepNext/>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keepNext/>
      </w:pPr>
      <w:r>
        <w:tab/>
        <w:t>(b)</w:t>
      </w:r>
      <w:r>
        <w:tab/>
        <w:t xml:space="preserve">who is driving a vessel in accordance with the exemption and any conditions to which it is subject. </w:t>
      </w:r>
    </w:p>
    <w:p>
      <w:pPr>
        <w:pStyle w:val="Footnotesection"/>
        <w:ind w:left="890" w:hanging="890"/>
      </w:pPr>
      <w:r>
        <w:tab/>
        <w:t>[Regulation 47F inserted: Gazette 10 Feb 2006 p. 673; amended: Gazette 25 Jul 2014 p. 2583.]</w:t>
      </w:r>
    </w:p>
    <w:p>
      <w:pPr>
        <w:pStyle w:val="Heading5"/>
        <w:spacing w:before="260"/>
      </w:pPr>
      <w:bookmarkStart w:id="124" w:name="_Toc178090447"/>
      <w:r>
        <w:rPr>
          <w:rStyle w:val="CharSectno"/>
        </w:rPr>
        <w:t>47G</w:t>
      </w:r>
      <w:r>
        <w:t>.</w:t>
      </w:r>
      <w:r>
        <w:tab/>
        <w:t>Recreational skipper’s ticket, CEO may refuse, cancel or suspend</w:t>
      </w:r>
      <w:bookmarkEnd w:id="124"/>
      <w:r>
        <w:t xml:space="preserve">  </w:t>
      </w:r>
    </w:p>
    <w:p>
      <w:pPr>
        <w:pStyle w:val="Subsection"/>
        <w:keepNext/>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lastRenderedPageBreak/>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Gazette 10 Feb 2006 p. 673</w:t>
      </w:r>
      <w:r>
        <w:noBreakHyphen/>
        <w:t>4.]</w:t>
      </w:r>
    </w:p>
    <w:p>
      <w:pPr>
        <w:pStyle w:val="Heading5"/>
      </w:pPr>
      <w:bookmarkStart w:id="125" w:name="_Toc178090448"/>
      <w:r>
        <w:rPr>
          <w:rStyle w:val="CharSectno"/>
        </w:rPr>
        <w:t>47GA</w:t>
      </w:r>
      <w:r>
        <w:t>.</w:t>
      </w:r>
      <w:r>
        <w:tab/>
        <w:t>Effect of disqualification: cancellation</w:t>
      </w:r>
      <w:bookmarkEnd w:id="125"/>
    </w:p>
    <w:p>
      <w:pPr>
        <w:pStyle w:val="Subsection"/>
      </w:pPr>
      <w:r>
        <w:tab/>
        <w:t>(1)</w:t>
      </w:r>
      <w:r>
        <w:tab/>
        <w:t xml:space="preserve">In this regulation — </w:t>
      </w:r>
    </w:p>
    <w:p>
      <w:pPr>
        <w:pStyle w:val="Defstart"/>
      </w:pPr>
      <w:r>
        <w:tab/>
      </w:r>
      <w:r>
        <w:rPr>
          <w:rStyle w:val="CharDefText"/>
        </w:rPr>
        <w:t>prescribed offence</w:t>
      </w:r>
      <w:r>
        <w:t xml:space="preserve"> means an offence against section 75C(1), 75CA(1), 75CD(1), 75DA(1), 75DD(1), 75HB(1), 75HC(1), 75HE(1), 75HH(1) or 75HI(1);</w:t>
      </w:r>
    </w:p>
    <w:p>
      <w:pPr>
        <w:pStyle w:val="Defstart"/>
      </w:pPr>
      <w:r>
        <w:tab/>
      </w:r>
      <w:r>
        <w:rPr>
          <w:rStyle w:val="CharDefText"/>
        </w:rPr>
        <w:t>section</w:t>
      </w:r>
      <w:r>
        <w:t xml:space="preserve"> means section of the </w:t>
      </w:r>
      <w:r>
        <w:rPr>
          <w:i/>
          <w:iCs/>
        </w:rPr>
        <w:t>Western Australian Marine Act 1982</w:t>
      </w:r>
      <w:r>
        <w:t>.</w:t>
      </w:r>
    </w:p>
    <w:p>
      <w:pPr>
        <w:pStyle w:val="Subsection"/>
      </w:pPr>
      <w:r>
        <w:tab/>
        <w:t>(2)</w:t>
      </w:r>
      <w:r>
        <w:tab/>
        <w:t xml:space="preserve">This regulation applies in relation to a person who is disqualified under a disqualification order on being convicted of an offence (the </w:t>
      </w:r>
      <w:r>
        <w:rPr>
          <w:rStyle w:val="CharDefText"/>
        </w:rPr>
        <w:t>present offence</w:t>
      </w:r>
      <w:r>
        <w:t>) if —</w:t>
      </w:r>
    </w:p>
    <w:p>
      <w:pPr>
        <w:pStyle w:val="Indenta"/>
      </w:pPr>
      <w:r>
        <w:tab/>
        <w:t>(a)</w:t>
      </w:r>
      <w:r>
        <w:tab/>
        <w:t>the present offence is a prescribed offence, other than an offence against section 75DA(1), and the person has previously been convicted of a prescribed offence; or</w:t>
      </w:r>
    </w:p>
    <w:p>
      <w:pPr>
        <w:pStyle w:val="Indenta"/>
      </w:pPr>
      <w:r>
        <w:tab/>
        <w:t>(b)</w:t>
      </w:r>
      <w:r>
        <w:tab/>
        <w:t>the present offence is an offence against section 75DA(1) and the person has been convicted of a prescribed offence within the period of 5 years preceding the conviction for the present offence; or</w:t>
      </w:r>
    </w:p>
    <w:p>
      <w:pPr>
        <w:pStyle w:val="Indenta"/>
      </w:pPr>
      <w:r>
        <w:tab/>
        <w:t>(c)</w:t>
      </w:r>
      <w:r>
        <w:tab/>
        <w:t>the present offence is an offence against section 75B(1) or (2), 75BA(1) or (2), 75BB(1) or (3), 75C(1) or 75CA(1).</w:t>
      </w:r>
    </w:p>
    <w:p>
      <w:pPr>
        <w:pStyle w:val="Subsection"/>
      </w:pPr>
      <w:r>
        <w:tab/>
        <w:t>(3)</w:t>
      </w:r>
      <w:r>
        <w:tab/>
        <w:t>A recreational skipper’s ticket held by the person is cancelled by force of this regulation.</w:t>
      </w:r>
    </w:p>
    <w:p>
      <w:pPr>
        <w:pStyle w:val="Subsection"/>
      </w:pPr>
      <w:r>
        <w:lastRenderedPageBreak/>
        <w:tab/>
        <w:t>(4)</w:t>
      </w:r>
      <w:r>
        <w:tab/>
        <w:t>If a recreational skipper’s ticket is cancelled under subregulation (3), the CEO must give written notice of the cancellation, and the reasons for it, to the ticket holder.</w:t>
      </w:r>
    </w:p>
    <w:p>
      <w:pPr>
        <w:pStyle w:val="Subsection"/>
      </w:pPr>
      <w:r>
        <w:tab/>
        <w:t>(5)</w:t>
      </w:r>
      <w:r>
        <w:tab/>
        <w:t>Regulation 47E does not apply in relation to the person.</w:t>
      </w:r>
    </w:p>
    <w:p>
      <w:pPr>
        <w:pStyle w:val="Footnotesection"/>
        <w:ind w:left="890" w:hanging="890"/>
      </w:pPr>
      <w:r>
        <w:tab/>
        <w:t xml:space="preserve">[Regulation 49GA inserted: SL 2024/62 r. 5.] </w:t>
      </w:r>
    </w:p>
    <w:p>
      <w:pPr>
        <w:pStyle w:val="Heading5"/>
      </w:pPr>
      <w:bookmarkStart w:id="126" w:name="_Toc178090449"/>
      <w:r>
        <w:rPr>
          <w:rStyle w:val="CharSectno"/>
        </w:rPr>
        <w:t>47GB</w:t>
      </w:r>
      <w:r>
        <w:t>.</w:t>
      </w:r>
      <w:r>
        <w:tab/>
        <w:t>Effect of disqualification in another jurisdiction</w:t>
      </w:r>
      <w:bookmarkEnd w:id="126"/>
    </w:p>
    <w:p>
      <w:pPr>
        <w:pStyle w:val="Subsection"/>
      </w:pPr>
      <w:r>
        <w:tab/>
      </w:r>
      <w:r>
        <w:tab/>
        <w:t xml:space="preserve">For the purposes of the </w:t>
      </w:r>
      <w:r>
        <w:rPr>
          <w:i/>
          <w:iCs/>
        </w:rPr>
        <w:t>Western Australian Marine Act 1982</w:t>
      </w:r>
      <w:r>
        <w:t xml:space="preserve"> section 124GQ(b), if a person is disqualified from holding or obtaining a foreign skipper’s ticket under the law of another Australian jurisdiction or an overseas jurisdiction — </w:t>
      </w:r>
    </w:p>
    <w:p>
      <w:pPr>
        <w:pStyle w:val="Indenta"/>
      </w:pPr>
      <w:r>
        <w:tab/>
        <w:t>(a)</w:t>
      </w:r>
      <w:r>
        <w:tab/>
        <w:t>a recreational skipper’s ticket held by the person is suspended while the disqualification is in effect; and</w:t>
      </w:r>
    </w:p>
    <w:p>
      <w:pPr>
        <w:pStyle w:val="Indenta"/>
      </w:pPr>
      <w:r>
        <w:tab/>
        <w:t>(b)</w:t>
      </w:r>
      <w:r>
        <w:tab/>
        <w:t>the person cannot obtain a recreational skipper’s ticket.</w:t>
      </w:r>
    </w:p>
    <w:p>
      <w:pPr>
        <w:pStyle w:val="Footnotesection"/>
        <w:ind w:left="890" w:hanging="890"/>
      </w:pPr>
      <w:r>
        <w:tab/>
        <w:t xml:space="preserve">[Regulation 49GB inserted: SL 2024/62 r. 5.] </w:t>
      </w:r>
    </w:p>
    <w:p>
      <w:pPr>
        <w:pStyle w:val="Heading5"/>
      </w:pPr>
      <w:bookmarkStart w:id="127" w:name="_Toc178090450"/>
      <w:r>
        <w:rPr>
          <w:rStyle w:val="CharSectno"/>
        </w:rPr>
        <w:t>47H</w:t>
      </w:r>
      <w:r>
        <w:rPr>
          <w:iCs/>
        </w:rPr>
        <w:t>.</w:t>
      </w:r>
      <w:r>
        <w:rPr>
          <w:iCs/>
        </w:rPr>
        <w:tab/>
        <w:t>Ticket</w:t>
      </w:r>
      <w:r>
        <w:t xml:space="preserve"> </w:t>
      </w:r>
      <w:r>
        <w:rPr>
          <w:iCs/>
        </w:rPr>
        <w:t>to be produced on request</w:t>
      </w:r>
      <w:bookmarkEnd w:id="127"/>
    </w:p>
    <w:p>
      <w:pPr>
        <w:pStyle w:val="Subsection"/>
      </w:pPr>
      <w:r>
        <w:tab/>
        <w:t>(1)</w:t>
      </w:r>
      <w:r>
        <w:tab/>
        <w:t xml:space="preserve">The holder of a recreational skipper’s ticket must produce it for inspection when requested to do so by an authorised person (as defined in the </w:t>
      </w:r>
      <w:r>
        <w:rPr>
          <w:i/>
        </w:rPr>
        <w:t xml:space="preserve">Western Australian Marine Act 1982 </w:t>
      </w:r>
      <w:r>
        <w:rPr>
          <w:iCs/>
        </w:rPr>
        <w:t>section 3(1)).</w:t>
      </w:r>
    </w:p>
    <w:p>
      <w:pPr>
        <w:pStyle w:val="Subsection"/>
        <w:keepNext/>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keepNext/>
      </w:pPr>
      <w:r>
        <w:lastRenderedPageBreak/>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keepNext/>
      </w:pPr>
      <w:r>
        <w:tab/>
        <w:t>(4)</w:t>
      </w:r>
      <w:r>
        <w:tab/>
        <w:t>A person who contravenes this regulation commits an offence.</w:t>
      </w:r>
    </w:p>
    <w:p>
      <w:pPr>
        <w:pStyle w:val="Footnotesection"/>
      </w:pPr>
      <w:r>
        <w:tab/>
        <w:t>[Regulation 47H inserted: Gazette 10 Feb 2006 p. 674; amended: SL 2024/191 r. 22.]</w:t>
      </w:r>
    </w:p>
    <w:p>
      <w:pPr>
        <w:pStyle w:val="Heading5"/>
      </w:pPr>
      <w:bookmarkStart w:id="128" w:name="_Toc178090451"/>
      <w:r>
        <w:rPr>
          <w:rStyle w:val="CharSectno"/>
        </w:rPr>
        <w:t>47I</w:t>
      </w:r>
      <w:r>
        <w:rPr>
          <w:iCs/>
        </w:rPr>
        <w:t>.</w:t>
      </w:r>
      <w:r>
        <w:rPr>
          <w:iCs/>
        </w:rPr>
        <w:tab/>
        <w:t xml:space="preserve">Ticket </w:t>
      </w:r>
      <w:r>
        <w:t>holder to notify change of details</w:t>
      </w:r>
      <w:bookmarkEnd w:id="128"/>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Gazette 10 Feb 2006 p. 674</w:t>
      </w:r>
      <w:r>
        <w:noBreakHyphen/>
        <w:t>5.]</w:t>
      </w:r>
    </w:p>
    <w:p>
      <w:pPr>
        <w:pStyle w:val="Heading3"/>
      </w:pPr>
      <w:bookmarkStart w:id="129" w:name="_Toc177036355"/>
      <w:bookmarkStart w:id="130" w:name="_Toc177036416"/>
      <w:bookmarkStart w:id="131" w:name="_Toc177036500"/>
      <w:bookmarkStart w:id="132" w:name="_Toc177463323"/>
      <w:bookmarkStart w:id="133" w:name="_Toc178084834"/>
      <w:bookmarkStart w:id="134" w:name="_Toc178090452"/>
      <w:r>
        <w:rPr>
          <w:rStyle w:val="CharDivNo"/>
        </w:rPr>
        <w:t>Division 3</w:t>
      </w:r>
      <w:r>
        <w:t> — </w:t>
      </w:r>
      <w:r>
        <w:rPr>
          <w:rStyle w:val="CharDivText"/>
        </w:rPr>
        <w:t>General regulations for motor boats, speed boats and personal watercraft</w:t>
      </w:r>
      <w:bookmarkEnd w:id="129"/>
      <w:bookmarkEnd w:id="130"/>
      <w:bookmarkEnd w:id="131"/>
      <w:bookmarkEnd w:id="132"/>
      <w:bookmarkEnd w:id="133"/>
      <w:bookmarkEnd w:id="134"/>
    </w:p>
    <w:p>
      <w:pPr>
        <w:pStyle w:val="Footnoteheading"/>
      </w:pPr>
      <w:r>
        <w:tab/>
        <w:t>[Heading inserted: SL 2024/191 r. 23.]</w:t>
      </w:r>
    </w:p>
    <w:p>
      <w:pPr>
        <w:pStyle w:val="Heading5"/>
        <w:spacing w:before="240"/>
        <w:rPr>
          <w:snapToGrid w:val="0"/>
        </w:rPr>
      </w:pPr>
      <w:bookmarkStart w:id="135" w:name="_Toc178090453"/>
      <w:r>
        <w:rPr>
          <w:rStyle w:val="CharSectno"/>
        </w:rPr>
        <w:t>48</w:t>
      </w:r>
      <w:r>
        <w:rPr>
          <w:snapToGrid w:val="0"/>
        </w:rPr>
        <w:t>.</w:t>
      </w:r>
      <w:r>
        <w:rPr>
          <w:snapToGrid w:val="0"/>
        </w:rPr>
        <w:tab/>
        <w:t>Limitation of speed, water ski-ing and para-sailing</w:t>
      </w:r>
      <w:bookmarkEnd w:id="135"/>
    </w:p>
    <w:p>
      <w:pPr>
        <w:pStyle w:val="Subsection"/>
        <w:keepNext/>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keepNext/>
        <w:rPr>
          <w:snapToGrid w:val="0"/>
        </w:rPr>
      </w:pPr>
      <w:r>
        <w:rPr>
          <w:snapToGrid w:val="0"/>
        </w:rPr>
        <w:tab/>
        <w:t>(a)</w:t>
      </w:r>
      <w:r>
        <w:rPr>
          <w:snapToGrid w:val="0"/>
        </w:rPr>
        <w:tab/>
        <w:t xml:space="preserve">without the approval of the </w:t>
      </w:r>
      <w:r>
        <w:t>Department</w:t>
      </w:r>
      <w:r>
        <w:rPr>
          <w:snapToGrid w:val="0"/>
        </w:rPr>
        <w:t> — </w:t>
      </w:r>
    </w:p>
    <w:p>
      <w:pPr>
        <w:pStyle w:val="Indenti"/>
        <w:rPr>
          <w:snapToGrid w:val="0"/>
        </w:rPr>
      </w:pPr>
      <w:r>
        <w:rPr>
          <w:snapToGrid w:val="0"/>
        </w:rPr>
        <w:tab/>
        <w:t>(i)</w:t>
      </w:r>
      <w:r>
        <w:rPr>
          <w:snapToGrid w:val="0"/>
        </w:rPr>
        <w:tab/>
        <w:t>in any water having a depth of less than 3 m; or</w:t>
      </w:r>
    </w:p>
    <w:p>
      <w:pPr>
        <w:pStyle w:val="Indenti"/>
        <w:keepNext/>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 xml:space="preserve">within 15 m of a vessel </w:t>
      </w:r>
      <w:r>
        <w:t>underway; or</w:t>
      </w:r>
    </w:p>
    <w:p>
      <w:pPr>
        <w:pStyle w:val="Indenta"/>
        <w:keepNext/>
        <w:rPr>
          <w:snapToGrid w:val="0"/>
        </w:rPr>
      </w:pPr>
      <w:r>
        <w:rPr>
          <w:snapToGrid w:val="0"/>
        </w:rPr>
        <w:lastRenderedPageBreak/>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rPr>
          <w:snapToGrid w:val="0"/>
        </w:rPr>
      </w:pPr>
      <w:r>
        <w:rPr>
          <w:snapToGrid w:val="0"/>
        </w:rPr>
        <w:tab/>
      </w:r>
      <w:r>
        <w:rPr>
          <w:snapToGrid w:val="0"/>
        </w:rPr>
        <w:tab/>
        <w:t>or</w:t>
      </w:r>
    </w:p>
    <w:p>
      <w:pPr>
        <w:pStyle w:val="Indenta"/>
        <w:keepNext/>
        <w:rPr>
          <w:snapToGrid w:val="0"/>
        </w:rPr>
      </w:pPr>
      <w:r>
        <w:rPr>
          <w:snapToGrid w:val="0"/>
        </w:rPr>
        <w:tab/>
        <w:t>(e)</w:t>
      </w:r>
      <w:r>
        <w:rPr>
          <w:snapToGrid w:val="0"/>
        </w:rPr>
        <w:tab/>
        <w:t>through an arch of a bridge.</w:t>
      </w:r>
    </w:p>
    <w:p>
      <w:pPr>
        <w:pStyle w:val="Footnotesection"/>
        <w:ind w:left="890" w:hanging="890"/>
      </w:pPr>
      <w:r>
        <w:tab/>
        <w:t xml:space="preserve">[Regulation 48 inserted: Gazette 19 Dec 1962 p. 4015; amended: Gazette 9 Feb 1970 p. 377; 22 Dec 1972 p. 4778; 14 Feb 1975 p. 572; 28 Aug 1992 p. 4241; 10 Feb 2006 p. 675; 3 Mar 2017 p. 1486; SL 2023/135 r. 18; SL 2024/191 r. 41.] </w:t>
      </w:r>
    </w:p>
    <w:p>
      <w:pPr>
        <w:pStyle w:val="Heading5"/>
        <w:spacing w:before="240"/>
        <w:rPr>
          <w:snapToGrid w:val="0"/>
        </w:rPr>
      </w:pPr>
      <w:bookmarkStart w:id="136" w:name="_Toc178090454"/>
      <w:r>
        <w:rPr>
          <w:rStyle w:val="CharSectno"/>
        </w:rPr>
        <w:t>48A</w:t>
      </w:r>
      <w:r>
        <w:rPr>
          <w:snapToGrid w:val="0"/>
        </w:rPr>
        <w:t>.</w:t>
      </w:r>
      <w:r>
        <w:rPr>
          <w:snapToGrid w:val="0"/>
        </w:rPr>
        <w:tab/>
        <w:t>Areas for speed boats and water ski</w:t>
      </w:r>
      <w:r>
        <w:rPr>
          <w:snapToGrid w:val="0"/>
        </w:rPr>
        <w:noBreakHyphen/>
        <w:t>ing</w:t>
      </w:r>
      <w:bookmarkEnd w:id="136"/>
      <w:r>
        <w:rPr>
          <w:snapToGrid w:val="0"/>
        </w:rPr>
        <w:t xml:space="preserve"> </w:t>
      </w:r>
    </w:p>
    <w:p>
      <w:pPr>
        <w:pStyle w:val="Subsection"/>
        <w:keepNext/>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 xml:space="preserve">define and set aside any area of navigable waters for the purpose of racing by speed boats </w:t>
      </w:r>
      <w:r>
        <w:t>for which permission to race has been granted</w:t>
      </w:r>
      <w:r>
        <w:rPr>
          <w:snapToGrid w:val="0"/>
        </w:rPr>
        <w:t xml:space="preserv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 xml:space="preserve">sailor or a water skier in any navigable waters, except in an area defined and set aside by the chief executive </w:t>
      </w:r>
      <w:r>
        <w:rPr>
          <w:snapToGrid w:val="0"/>
        </w:rPr>
        <w:lastRenderedPageBreak/>
        <w:t>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keepNext/>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SL 2024/191 r. 24.] </w:t>
      </w:r>
    </w:p>
    <w:p>
      <w:pPr>
        <w:pStyle w:val="Heading5"/>
        <w:keepLines w:val="0"/>
        <w:spacing w:before="180"/>
        <w:rPr>
          <w:snapToGrid w:val="0"/>
        </w:rPr>
      </w:pPr>
      <w:bookmarkStart w:id="137" w:name="_Toc178090455"/>
      <w:r>
        <w:rPr>
          <w:rStyle w:val="CharSectno"/>
        </w:rPr>
        <w:t>49</w:t>
      </w:r>
      <w:r>
        <w:rPr>
          <w:snapToGrid w:val="0"/>
        </w:rPr>
        <w:t>.</w:t>
      </w:r>
      <w:r>
        <w:rPr>
          <w:snapToGrid w:val="0"/>
        </w:rPr>
        <w:tab/>
        <w:t>Driver to be accompanied and to be alert</w:t>
      </w:r>
      <w:bookmarkEnd w:id="137"/>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keepNext/>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Gazette 19 Dec 1962 p. 4016; amended: Gazette 16 Oct 1970 p. 3206; 28 Aug 1992 p. 4241.] </w:t>
      </w:r>
    </w:p>
    <w:p>
      <w:pPr>
        <w:pStyle w:val="Ednotesection"/>
        <w:spacing w:before="180"/>
        <w:ind w:left="890" w:hanging="890"/>
      </w:pPr>
      <w:r>
        <w:t>[</w:t>
      </w:r>
      <w:r>
        <w:rPr>
          <w:b/>
        </w:rPr>
        <w:t>49A.</w:t>
      </w:r>
      <w:r>
        <w:tab/>
        <w:t xml:space="preserve">Deleted: Gazette 10 Feb 2006 p. 675.] </w:t>
      </w:r>
    </w:p>
    <w:p>
      <w:pPr>
        <w:pStyle w:val="Ednotesection"/>
        <w:spacing w:before="180"/>
        <w:ind w:left="890" w:hanging="890"/>
      </w:pPr>
      <w:r>
        <w:t>[</w:t>
      </w:r>
      <w:r>
        <w:rPr>
          <w:b/>
        </w:rPr>
        <w:t>49B.</w:t>
      </w:r>
      <w:r>
        <w:tab/>
        <w:t xml:space="preserve">Deleted: Gazette 1 Jul 1983 p. 2263.] </w:t>
      </w:r>
    </w:p>
    <w:p>
      <w:pPr>
        <w:pStyle w:val="Heading5"/>
        <w:spacing w:before="180"/>
        <w:rPr>
          <w:snapToGrid w:val="0"/>
        </w:rPr>
      </w:pPr>
      <w:bookmarkStart w:id="138" w:name="_Toc178090456"/>
      <w:r>
        <w:rPr>
          <w:rStyle w:val="CharSectno"/>
        </w:rPr>
        <w:lastRenderedPageBreak/>
        <w:t>49C</w:t>
      </w:r>
      <w:r>
        <w:rPr>
          <w:snapToGrid w:val="0"/>
        </w:rPr>
        <w:t>.</w:t>
      </w:r>
      <w:r>
        <w:rPr>
          <w:snapToGrid w:val="0"/>
        </w:rPr>
        <w:tab/>
        <w:t>Driving speed boats behind skiers</w:t>
      </w:r>
      <w:bookmarkEnd w:id="138"/>
      <w:r>
        <w:rPr>
          <w:snapToGrid w:val="0"/>
        </w:rPr>
        <w:t xml:space="preserve"> </w:t>
      </w:r>
    </w:p>
    <w:p>
      <w:pPr>
        <w:pStyle w:val="Subsection"/>
        <w:keepNext/>
        <w:spacing w:before="140"/>
        <w:rPr>
          <w:snapToGrid w:val="0"/>
        </w:rPr>
      </w:pPr>
      <w:r>
        <w:rPr>
          <w:snapToGrid w:val="0"/>
        </w:rPr>
        <w:tab/>
      </w:r>
      <w:r>
        <w:rPr>
          <w:snapToGrid w:val="0"/>
        </w:rPr>
        <w:tab/>
        <w:t xml:space="preserve">A person shall not drive a speed boat directly behind a water skier or another boat </w:t>
      </w:r>
      <w:r>
        <w:t xml:space="preserve">underway </w:t>
      </w:r>
      <w:r>
        <w:rPr>
          <w:snapToGrid w:val="0"/>
        </w:rPr>
        <w:t xml:space="preserve">so as to approach within </w:t>
      </w:r>
      <w:r>
        <w:t>50 m</w:t>
      </w:r>
      <w:r>
        <w:rPr>
          <w:snapToGrid w:val="0"/>
        </w:rPr>
        <w:t xml:space="preserve"> of such water skier or other boat.</w:t>
      </w:r>
    </w:p>
    <w:p>
      <w:pPr>
        <w:pStyle w:val="Footnotesection"/>
        <w:ind w:left="890" w:hanging="890"/>
      </w:pPr>
      <w:r>
        <w:tab/>
        <w:t xml:space="preserve">[Regulation 49C inserted: Gazette 16 Oct 1970 p. 3206; amended: Gazette 14 Feb 1975 p. 572; 3 Mar 2017 p. 1486; SL 2023/135 r. 19.] </w:t>
      </w:r>
    </w:p>
    <w:p>
      <w:pPr>
        <w:pStyle w:val="Heading5"/>
        <w:spacing w:before="180"/>
        <w:rPr>
          <w:snapToGrid w:val="0"/>
        </w:rPr>
      </w:pPr>
      <w:bookmarkStart w:id="139" w:name="_Toc178090457"/>
      <w:r>
        <w:rPr>
          <w:rStyle w:val="CharSectno"/>
        </w:rPr>
        <w:t>49D</w:t>
      </w:r>
      <w:r>
        <w:rPr>
          <w:snapToGrid w:val="0"/>
        </w:rPr>
        <w:t>.</w:t>
      </w:r>
      <w:r>
        <w:rPr>
          <w:snapToGrid w:val="0"/>
        </w:rPr>
        <w:tab/>
        <w:t>Right of way when landing a water skier</w:t>
      </w:r>
      <w:bookmarkEnd w:id="139"/>
      <w:r>
        <w:rPr>
          <w:snapToGrid w:val="0"/>
        </w:rPr>
        <w:t xml:space="preserve"> </w:t>
      </w:r>
    </w:p>
    <w:p>
      <w:pPr>
        <w:pStyle w:val="Subsection"/>
        <w:keepNext/>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Gazette 19 Dec 1962 p. 4016.] </w:t>
      </w:r>
    </w:p>
    <w:p>
      <w:pPr>
        <w:pStyle w:val="Heading5"/>
        <w:spacing w:before="180"/>
        <w:rPr>
          <w:snapToGrid w:val="0"/>
        </w:rPr>
      </w:pPr>
      <w:bookmarkStart w:id="140" w:name="_Toc178090458"/>
      <w:r>
        <w:rPr>
          <w:rStyle w:val="CharSectno"/>
        </w:rPr>
        <w:t>49E</w:t>
      </w:r>
      <w:r>
        <w:rPr>
          <w:snapToGrid w:val="0"/>
        </w:rPr>
        <w:t>.</w:t>
      </w:r>
      <w:r>
        <w:rPr>
          <w:snapToGrid w:val="0"/>
        </w:rPr>
        <w:tab/>
        <w:t>Ski ropes</w:t>
      </w:r>
      <w:bookmarkEnd w:id="140"/>
      <w:r>
        <w:rPr>
          <w:snapToGrid w:val="0"/>
        </w:rPr>
        <w:t xml:space="preserve"> </w:t>
      </w:r>
    </w:p>
    <w:p>
      <w:pPr>
        <w:pStyle w:val="Subsection"/>
        <w:keepNext/>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Gazette 19 Dec 1962 p. 4016; amended: Gazette 14 Feb 1975 p. 572.] </w:t>
      </w:r>
    </w:p>
    <w:p>
      <w:pPr>
        <w:pStyle w:val="Heading5"/>
        <w:rPr>
          <w:snapToGrid w:val="0"/>
        </w:rPr>
      </w:pPr>
      <w:bookmarkStart w:id="141" w:name="_Toc178090459"/>
      <w:r>
        <w:rPr>
          <w:rStyle w:val="CharSectno"/>
        </w:rPr>
        <w:t>49F</w:t>
      </w:r>
      <w:r>
        <w:rPr>
          <w:snapToGrid w:val="0"/>
        </w:rPr>
        <w:t>.</w:t>
      </w:r>
      <w:r>
        <w:rPr>
          <w:snapToGrid w:val="0"/>
        </w:rPr>
        <w:tab/>
        <w:t>Towing trick water skiers</w:t>
      </w:r>
      <w:bookmarkEnd w:id="141"/>
      <w:r>
        <w:rPr>
          <w:snapToGrid w:val="0"/>
        </w:rPr>
        <w:t xml:space="preserve"> </w:t>
      </w:r>
    </w:p>
    <w:p>
      <w:pPr>
        <w:pStyle w:val="Subsection"/>
        <w:keepNext/>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Gazette 19 Dec 1962 p. 4016; amended: Gazette 16 Dec 1963 p. 3876; 14 Feb 1975 p. 572; 3 Mar 2017 p. 1486.] </w:t>
      </w:r>
    </w:p>
    <w:p>
      <w:pPr>
        <w:pStyle w:val="Heading5"/>
        <w:rPr>
          <w:snapToGrid w:val="0"/>
        </w:rPr>
      </w:pPr>
      <w:bookmarkStart w:id="142" w:name="_Toc178090460"/>
      <w:r>
        <w:rPr>
          <w:rStyle w:val="CharSectno"/>
        </w:rPr>
        <w:t>49G</w:t>
      </w:r>
      <w:r>
        <w:rPr>
          <w:snapToGrid w:val="0"/>
        </w:rPr>
        <w:t>.</w:t>
      </w:r>
      <w:r>
        <w:rPr>
          <w:snapToGrid w:val="0"/>
        </w:rPr>
        <w:tab/>
        <w:t>Towing skiers near landing or take</w:t>
      </w:r>
      <w:r>
        <w:rPr>
          <w:snapToGrid w:val="0"/>
        </w:rPr>
        <w:noBreakHyphen/>
        <w:t>off areas</w:t>
      </w:r>
      <w:bookmarkEnd w:id="142"/>
      <w:r>
        <w:rPr>
          <w:snapToGrid w:val="0"/>
        </w:rPr>
        <w:t xml:space="preserve"> </w:t>
      </w:r>
    </w:p>
    <w:p>
      <w:pPr>
        <w:pStyle w:val="Subsection"/>
        <w:keepNext/>
        <w:rPr>
          <w:snapToGrid w:val="0"/>
        </w:rPr>
      </w:pPr>
      <w:r>
        <w:rPr>
          <w:snapToGrid w:val="0"/>
        </w:rPr>
        <w:tab/>
      </w:r>
      <w:r>
        <w:rPr>
          <w:snapToGrid w:val="0"/>
        </w:rPr>
        <w:tab/>
        <w:t xml:space="preserve">Except as otherwise provided by any notice published under the provisions of regulation 48A, a person shall not drive a speed boat towing water skiers within 30 m of the shore of any </w:t>
      </w:r>
      <w:r>
        <w:rPr>
          <w:snapToGrid w:val="0"/>
        </w:rPr>
        <w:lastRenderedPageBreak/>
        <w:t>landing or take</w:t>
      </w:r>
      <w:r>
        <w:rPr>
          <w:snapToGrid w:val="0"/>
        </w:rPr>
        <w:noBreakHyphen/>
        <w:t>off area, except for the purpose of landing or taking off water skiers.</w:t>
      </w:r>
    </w:p>
    <w:p>
      <w:pPr>
        <w:pStyle w:val="Footnotesection"/>
        <w:ind w:left="890" w:hanging="890"/>
      </w:pPr>
      <w:r>
        <w:tab/>
        <w:t xml:space="preserve">[Regulation 49G inserted: Gazette 16 Dec 1963 p. 3876; amended: Gazette 14 Feb 1975 p. 572.] </w:t>
      </w:r>
    </w:p>
    <w:p>
      <w:pPr>
        <w:pStyle w:val="Heading5"/>
        <w:rPr>
          <w:snapToGrid w:val="0"/>
        </w:rPr>
      </w:pPr>
      <w:bookmarkStart w:id="143" w:name="_Toc178090461"/>
      <w:r>
        <w:rPr>
          <w:rStyle w:val="CharSectno"/>
        </w:rPr>
        <w:t>49H</w:t>
      </w:r>
      <w:r>
        <w:rPr>
          <w:snapToGrid w:val="0"/>
        </w:rPr>
        <w:t>.</w:t>
      </w:r>
      <w:r>
        <w:rPr>
          <w:snapToGrid w:val="0"/>
        </w:rPr>
        <w:tab/>
        <w:t>Ski line to be retrieved</w:t>
      </w:r>
      <w:bookmarkEnd w:id="143"/>
      <w:r>
        <w:rPr>
          <w:snapToGrid w:val="0"/>
        </w:rPr>
        <w:t xml:space="preserve"> </w:t>
      </w:r>
    </w:p>
    <w:p>
      <w:pPr>
        <w:pStyle w:val="Subsection"/>
        <w:keepNext/>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Gazette 16 Oct 1970 p. 3206; amended: Gazette 14 Feb 1975 p. 572.] </w:t>
      </w:r>
    </w:p>
    <w:p>
      <w:pPr>
        <w:pStyle w:val="Heading5"/>
        <w:rPr>
          <w:snapToGrid w:val="0"/>
        </w:rPr>
      </w:pPr>
      <w:bookmarkStart w:id="144" w:name="_Toc178090462"/>
      <w:r>
        <w:rPr>
          <w:rStyle w:val="CharSectno"/>
        </w:rPr>
        <w:t>49I</w:t>
      </w:r>
      <w:r>
        <w:rPr>
          <w:snapToGrid w:val="0"/>
        </w:rPr>
        <w:t>.</w:t>
      </w:r>
      <w:r>
        <w:rPr>
          <w:snapToGrid w:val="0"/>
        </w:rPr>
        <w:tab/>
        <w:t>Driver of speed boat not to approach shore where skier has landed</w:t>
      </w:r>
      <w:bookmarkEnd w:id="144"/>
      <w:r>
        <w:rPr>
          <w:snapToGrid w:val="0"/>
        </w:rPr>
        <w:t xml:space="preserve"> </w:t>
      </w:r>
    </w:p>
    <w:p>
      <w:pPr>
        <w:pStyle w:val="Subsection"/>
        <w:keepNext/>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Gazette 16 Oct 1970 p. 3206; amended: Gazette 14 Feb 1975 p. 572.] </w:t>
      </w:r>
    </w:p>
    <w:p>
      <w:pPr>
        <w:pStyle w:val="Heading5"/>
        <w:rPr>
          <w:snapToGrid w:val="0"/>
        </w:rPr>
      </w:pPr>
      <w:bookmarkStart w:id="145" w:name="_Toc178090463"/>
      <w:r>
        <w:rPr>
          <w:rStyle w:val="CharSectno"/>
        </w:rPr>
        <w:t>49J</w:t>
      </w:r>
      <w:r>
        <w:rPr>
          <w:snapToGrid w:val="0"/>
        </w:rPr>
        <w:t>.</w:t>
      </w:r>
      <w:r>
        <w:rPr>
          <w:snapToGrid w:val="0"/>
        </w:rPr>
        <w:tab/>
        <w:t>Sitting on gunwale or back of driver’s seat prohibited</w:t>
      </w:r>
      <w:bookmarkEnd w:id="145"/>
      <w:r>
        <w:rPr>
          <w:snapToGrid w:val="0"/>
        </w:rPr>
        <w:t xml:space="preserve"> </w:t>
      </w:r>
    </w:p>
    <w:p>
      <w:pPr>
        <w:pStyle w:val="Subsection"/>
        <w:keepNext/>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Gazette 3 Oct 1967 p. 2593.] </w:t>
      </w:r>
    </w:p>
    <w:p>
      <w:pPr>
        <w:pStyle w:val="Heading5"/>
        <w:rPr>
          <w:snapToGrid w:val="0"/>
        </w:rPr>
      </w:pPr>
      <w:bookmarkStart w:id="146" w:name="_Toc178090464"/>
      <w:r>
        <w:rPr>
          <w:rStyle w:val="CharSectno"/>
        </w:rPr>
        <w:t>49K</w:t>
      </w:r>
      <w:r>
        <w:rPr>
          <w:snapToGrid w:val="0"/>
        </w:rPr>
        <w:t>.</w:t>
      </w:r>
      <w:r>
        <w:rPr>
          <w:snapToGrid w:val="0"/>
        </w:rPr>
        <w:tab/>
        <w:t>Water skis to be retrieved immediately</w:t>
      </w:r>
      <w:bookmarkEnd w:id="146"/>
      <w:r>
        <w:rPr>
          <w:snapToGrid w:val="0"/>
        </w:rPr>
        <w:t xml:space="preserve"> </w:t>
      </w:r>
    </w:p>
    <w:p>
      <w:pPr>
        <w:pStyle w:val="Subsection"/>
        <w:keepNext/>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Gazette 1 May 1970 p. 1233.] </w:t>
      </w:r>
    </w:p>
    <w:p>
      <w:pPr>
        <w:pStyle w:val="Ednotesection"/>
      </w:pPr>
      <w:r>
        <w:lastRenderedPageBreak/>
        <w:t>[</w:t>
      </w:r>
      <w:r>
        <w:rPr>
          <w:b/>
        </w:rPr>
        <w:t>49L.</w:t>
      </w:r>
      <w:r>
        <w:tab/>
        <w:t xml:space="preserve">Deleted: Gazette 1 Jul 1983 p. 2263.] </w:t>
      </w:r>
    </w:p>
    <w:p>
      <w:pPr>
        <w:pStyle w:val="Heading5"/>
        <w:rPr>
          <w:snapToGrid w:val="0"/>
        </w:rPr>
      </w:pPr>
      <w:bookmarkStart w:id="147" w:name="_Toc178090465"/>
      <w:r>
        <w:rPr>
          <w:rStyle w:val="CharSectno"/>
        </w:rPr>
        <w:t>49M</w:t>
      </w:r>
      <w:r>
        <w:rPr>
          <w:snapToGrid w:val="0"/>
        </w:rPr>
        <w:t>.</w:t>
      </w:r>
      <w:r>
        <w:rPr>
          <w:snapToGrid w:val="0"/>
        </w:rPr>
        <w:tab/>
      </w:r>
      <w:r>
        <w:t>Restrictions on slalom ski</w:t>
      </w:r>
      <w:r>
        <w:noBreakHyphen/>
        <w:t>ing or ski</w:t>
      </w:r>
      <w:r>
        <w:noBreakHyphen/>
        <w:t>jumping</w:t>
      </w:r>
      <w:bookmarkEnd w:id="147"/>
    </w:p>
    <w:p>
      <w:pPr>
        <w:pStyle w:val="Subsection"/>
        <w:keepNext/>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 xml:space="preserve">jump unless prior approval in writing has been obtained from the </w:t>
      </w:r>
      <w:r>
        <w:t>Department</w:t>
      </w:r>
      <w:r>
        <w:rPr>
          <w:snapToGrid w:val="0"/>
        </w:rPr>
        <w: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keepNext/>
      </w:pPr>
      <w:r>
        <w:tab/>
        <w:t>(c)</w:t>
      </w:r>
      <w:r>
        <w:tab/>
        <w:t>slalom ski</w:t>
      </w:r>
      <w:r>
        <w:noBreakHyphen/>
        <w:t xml:space="preserve">ing unless that person is wearing any of the following, of a size and buoyancy appropriate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Ednotesubpara"/>
      </w:pPr>
      <w:r>
        <w:tab/>
        <w:t>[(vii)-(ix)</w:t>
      </w:r>
      <w:r>
        <w:tab/>
        <w:t>deleted]</w:t>
      </w:r>
    </w:p>
    <w:p>
      <w:pPr>
        <w:pStyle w:val="Indenta"/>
      </w:pPr>
      <w:r>
        <w:tab/>
      </w:r>
      <w:r>
        <w:tab/>
        <w:t>and</w:t>
      </w:r>
    </w:p>
    <w:p>
      <w:pPr>
        <w:pStyle w:val="Indenta"/>
        <w:keepNext/>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 xml:space="preserve">jump by the person or club having the approval of the </w:t>
      </w:r>
      <w:r>
        <w:t>Department</w:t>
      </w:r>
      <w:r>
        <w:rPr>
          <w:snapToGrid w:val="0"/>
        </w:rPr>
        <w:t xml:space="preserve"> to use the water for that purpose.</w:t>
      </w:r>
    </w:p>
    <w:p>
      <w:pPr>
        <w:pStyle w:val="Footnotesection"/>
      </w:pPr>
      <w:r>
        <w:tab/>
        <w:t xml:space="preserve">[Regulation 49M inserted: Gazette 16 Oct 1970 p. 3206; amended: Gazette 14 Feb 1975 p. 572; 24 Apr 1998 p. 2162; 3 Mar 2017 p. 1487; SL 2023/135 r. 20; SL 2024/191 r. 25 and 41.] </w:t>
      </w:r>
    </w:p>
    <w:p>
      <w:pPr>
        <w:pStyle w:val="Heading5"/>
        <w:rPr>
          <w:snapToGrid w:val="0"/>
        </w:rPr>
      </w:pPr>
      <w:bookmarkStart w:id="148" w:name="_Toc178090466"/>
      <w:r>
        <w:rPr>
          <w:rStyle w:val="CharSectno"/>
        </w:rPr>
        <w:lastRenderedPageBreak/>
        <w:t>50</w:t>
      </w:r>
      <w:r>
        <w:rPr>
          <w:snapToGrid w:val="0"/>
        </w:rPr>
        <w:t>.</w:t>
      </w:r>
      <w:r>
        <w:rPr>
          <w:snapToGrid w:val="0"/>
        </w:rPr>
        <w:tab/>
        <w:t>Towing of water skier prohibited at certain times</w:t>
      </w:r>
      <w:bookmarkEnd w:id="148"/>
      <w:r>
        <w:rPr>
          <w:snapToGrid w:val="0"/>
        </w:rPr>
        <w:t xml:space="preserve"> </w:t>
      </w:r>
    </w:p>
    <w:p>
      <w:pPr>
        <w:pStyle w:val="Subsection"/>
        <w:keepNext/>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w:t>
      </w:r>
      <w:r>
        <w:t>8 am</w:t>
      </w:r>
      <w:r>
        <w:rPr>
          <w:snapToGrid w:val="0"/>
        </w:rPr>
        <w:t xml:space="preserve"> and after </w:t>
      </w:r>
      <w:r>
        <w:t xml:space="preserve">sunset </w:t>
      </w:r>
      <w:r>
        <w:rPr>
          <w:snapToGrid w:val="0"/>
        </w:rPr>
        <w:t>in the waters of the Swan River; or</w:t>
      </w:r>
    </w:p>
    <w:p>
      <w:pPr>
        <w:pStyle w:val="Indenta"/>
        <w:rPr>
          <w:snapToGrid w:val="0"/>
        </w:rPr>
      </w:pPr>
      <w:r>
        <w:rPr>
          <w:snapToGrid w:val="0"/>
        </w:rPr>
        <w:tab/>
        <w:t>(b)</w:t>
      </w:r>
      <w:r>
        <w:rPr>
          <w:snapToGrid w:val="0"/>
        </w:rPr>
        <w:tab/>
        <w:t xml:space="preserve">before </w:t>
      </w:r>
      <w:r>
        <w:t>9 am</w:t>
      </w:r>
      <w:r>
        <w:rPr>
          <w:snapToGrid w:val="0"/>
        </w:rPr>
        <w:t xml:space="preserve"> and after </w:t>
      </w:r>
      <w:r>
        <w:t xml:space="preserve">sunset </w:t>
      </w:r>
      <w:r>
        <w:rPr>
          <w:snapToGrid w:val="0"/>
        </w:rPr>
        <w:t>in the waters of the Canning River.</w:t>
      </w:r>
    </w:p>
    <w:p>
      <w:pPr>
        <w:pStyle w:val="Subsection"/>
        <w:keepNext/>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Gazette 14 Aug 1981 p. 3340; amended: Gazette 16 May 1986 p. 1661; SL 2023/135 r. 21.] </w:t>
      </w:r>
    </w:p>
    <w:p>
      <w:pPr>
        <w:pStyle w:val="Heading5"/>
        <w:spacing w:before="260"/>
        <w:rPr>
          <w:snapToGrid w:val="0"/>
        </w:rPr>
      </w:pPr>
      <w:bookmarkStart w:id="149" w:name="_Toc178090467"/>
      <w:r>
        <w:rPr>
          <w:rStyle w:val="CharSectno"/>
        </w:rPr>
        <w:t>50A</w:t>
      </w:r>
      <w:r>
        <w:rPr>
          <w:snapToGrid w:val="0"/>
        </w:rPr>
        <w:t>.</w:t>
      </w:r>
      <w:r>
        <w:rPr>
          <w:snapToGrid w:val="0"/>
        </w:rPr>
        <w:tab/>
      </w:r>
      <w:r>
        <w:t>Restrictions on freestyle driving, surfing and wave jumping on personal watercraft</w:t>
      </w:r>
      <w:bookmarkEnd w:id="149"/>
    </w:p>
    <w:p>
      <w:pPr>
        <w:pStyle w:val="Subsection"/>
        <w:keepNext/>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keepNext/>
        <w:spacing w:before="200"/>
        <w:rPr>
          <w:snapToGrid w:val="0"/>
        </w:rPr>
      </w:pPr>
      <w:r>
        <w:rPr>
          <w:snapToGrid w:val="0"/>
        </w:rPr>
        <w:lastRenderedPageBreak/>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keepNext/>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keepNex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Gazette 24 Apr 1998 p. 2162</w:t>
      </w:r>
      <w:r>
        <w:noBreakHyphen/>
        <w:t xml:space="preserve">3.] </w:t>
      </w:r>
    </w:p>
    <w:p>
      <w:pPr>
        <w:pStyle w:val="Heading3"/>
      </w:pPr>
      <w:bookmarkStart w:id="150" w:name="_Toc178064373"/>
      <w:bookmarkStart w:id="151" w:name="_Toc178084850"/>
      <w:bookmarkStart w:id="152" w:name="_Toc178090468"/>
      <w:r>
        <w:rPr>
          <w:rStyle w:val="CharDivNo"/>
        </w:rPr>
        <w:t>Division 4</w:t>
      </w:r>
      <w:r>
        <w:t> — </w:t>
      </w:r>
      <w:r>
        <w:rPr>
          <w:rStyle w:val="CharDivText"/>
        </w:rPr>
        <w:t>Lifejackets</w:t>
      </w:r>
      <w:bookmarkEnd w:id="150"/>
      <w:bookmarkEnd w:id="151"/>
      <w:bookmarkEnd w:id="152"/>
    </w:p>
    <w:p>
      <w:pPr>
        <w:pStyle w:val="Footnoteheading"/>
        <w:keepNext/>
      </w:pPr>
      <w:r>
        <w:tab/>
        <w:t>[Heading inserted: SL 2023/135 r. 22.]</w:t>
      </w:r>
    </w:p>
    <w:p>
      <w:pPr>
        <w:pStyle w:val="Heading5"/>
      </w:pPr>
      <w:bookmarkStart w:id="153" w:name="_Toc178090469"/>
      <w:r>
        <w:rPr>
          <w:rStyle w:val="CharSectno"/>
        </w:rPr>
        <w:t>50B</w:t>
      </w:r>
      <w:r>
        <w:t>.</w:t>
      </w:r>
      <w:r>
        <w:tab/>
        <w:t>Lifejackets to be worn on vessels</w:t>
      </w:r>
      <w:bookmarkEnd w:id="153"/>
    </w:p>
    <w:p>
      <w:pPr>
        <w:pStyle w:val="Subsection"/>
        <w:keepNext/>
      </w:pPr>
      <w:r>
        <w:tab/>
        <w:t>(1)</w:t>
      </w:r>
      <w:r>
        <w:tab/>
        <w:t>In this regulation — </w:t>
      </w:r>
    </w:p>
    <w:p>
      <w:pPr>
        <w:pStyle w:val="Defstart"/>
      </w:pPr>
      <w:r>
        <w:tab/>
      </w:r>
      <w:r>
        <w:rPr>
          <w:rStyle w:val="CharDefText"/>
        </w:rPr>
        <w:t>open area</w:t>
      </w:r>
      <w:r>
        <w:t>, in relation to a pleasure vessel, means all areas of the vessel that are not wholly enclosed by a rigid structure.</w:t>
      </w:r>
    </w:p>
    <w:p>
      <w:pPr>
        <w:pStyle w:val="Subsection"/>
        <w:keepNext/>
        <w:keepLines/>
      </w:pPr>
      <w:r>
        <w:lastRenderedPageBreak/>
        <w:tab/>
        <w:t>(2)</w:t>
      </w:r>
      <w:r>
        <w:tab/>
        <w:t>If a pleasure vessel that is not a personal watercraft is outside protected waters and more than 400 m from any shore, each person on the vessel who has reached 12 months of age but who is not yet 12 years of age must, when on an open area of the vessel, wear an appropriate lifejacket.</w:t>
      </w:r>
    </w:p>
    <w:p>
      <w:pPr>
        <w:pStyle w:val="Subsection"/>
      </w:pPr>
      <w:r>
        <w:tab/>
        <w:t>(3)</w:t>
      </w:r>
      <w:r>
        <w:tab/>
        <w:t>If a pleasure vessel that is less than 4.8 m in length but that is not a personal watercraft is outside protected waters and more than 400 m from any shore, each person on the vessel who has reached 12 months of age must wear an appropriate lifejacket.</w:t>
      </w:r>
    </w:p>
    <w:p>
      <w:pPr>
        <w:pStyle w:val="Subsection"/>
      </w:pPr>
      <w:r>
        <w:tab/>
        <w:t>(4)</w:t>
      </w:r>
      <w:r>
        <w:tab/>
        <w:t>If a vessel is a personal watercraft that is in navigable waters, each person on the vessel who has reached 12 months of age must wear an appropriate lifejacket.</w:t>
      </w:r>
    </w:p>
    <w:p>
      <w:pPr>
        <w:pStyle w:val="Subsection"/>
      </w:pPr>
      <w:r>
        <w:tab/>
        <w:t>(5)</w:t>
      </w:r>
      <w:r>
        <w:tab/>
        <w:t>If a person who has reached 12 years of age is required to wear an appropriate lifejacket under subregulation (3) or (4) and the person is wearing a lifejacket, that person must produce the lifejacket to an officer of the Department on demand.</w:t>
      </w:r>
    </w:p>
    <w:p>
      <w:pPr>
        <w:pStyle w:val="Subsection"/>
      </w:pPr>
      <w:r>
        <w:tab/>
        <w:t>(6)</w:t>
      </w:r>
      <w:r>
        <w:tab/>
        <w:t>The master of a vessel must ensure that each person who is required to wear an appropriate lifejacket under subregulation (2), (3) or (4) wears an appropriate lifejacket.</w:t>
      </w:r>
    </w:p>
    <w:p>
      <w:pPr>
        <w:pStyle w:val="Subsection"/>
      </w:pPr>
      <w:r>
        <w:tab/>
        <w:t>(7)</w:t>
      </w:r>
      <w:r>
        <w:tab/>
        <w:t>If a person on the vessel who is not yet 12 years of age is required to wear an appropriate lifejacket under subregulation (2), (3) or (4) and the person is wearing a lifejacket, the master of the vessel must produce the lifejacket to an officer of the Department on demand.</w:t>
      </w:r>
    </w:p>
    <w:p>
      <w:pPr>
        <w:pStyle w:val="Subsection"/>
      </w:pPr>
      <w:r>
        <w:tab/>
        <w:t>(8)</w:t>
      </w:r>
      <w:r>
        <w:tab/>
        <w:t>A person who has reached 12 years of age who contravenes subregulation (3), (4) or (5) commits an offence.</w:t>
      </w:r>
    </w:p>
    <w:p>
      <w:pPr>
        <w:pStyle w:val="Subsection"/>
      </w:pPr>
      <w:r>
        <w:tab/>
        <w:t>(9)</w:t>
      </w:r>
      <w:r>
        <w:tab/>
        <w:t>A master of a vessel who contravenes subregulation (6) or (7) commits an offence.</w:t>
      </w:r>
    </w:p>
    <w:p>
      <w:pPr>
        <w:pStyle w:val="Footnotesection"/>
      </w:pPr>
      <w:r>
        <w:tab/>
        <w:t>[Regulation 50B inserted: SL 2023/135 r. 23; amended: SL 2024/191 r. 26 and 41.]</w:t>
      </w:r>
    </w:p>
    <w:p>
      <w:pPr>
        <w:pStyle w:val="Heading3"/>
      </w:pPr>
      <w:bookmarkStart w:id="154" w:name="_Toc178064375"/>
      <w:bookmarkStart w:id="155" w:name="_Toc178084852"/>
      <w:bookmarkStart w:id="156" w:name="_Toc178090470"/>
      <w:r>
        <w:rPr>
          <w:rStyle w:val="CharDivNo"/>
        </w:rPr>
        <w:lastRenderedPageBreak/>
        <w:t>Division 5</w:t>
      </w:r>
      <w:r>
        <w:t> — </w:t>
      </w:r>
      <w:r>
        <w:rPr>
          <w:rStyle w:val="CharDivText"/>
        </w:rPr>
        <w:t>Sailboard riding</w:t>
      </w:r>
      <w:bookmarkEnd w:id="154"/>
      <w:bookmarkEnd w:id="155"/>
      <w:bookmarkEnd w:id="156"/>
    </w:p>
    <w:p>
      <w:pPr>
        <w:pStyle w:val="Footnoteheading"/>
        <w:keepNext/>
      </w:pPr>
      <w:r>
        <w:tab/>
        <w:t>[Heading inserted: SL 2023/135 r. 24.]</w:t>
      </w:r>
    </w:p>
    <w:p>
      <w:pPr>
        <w:pStyle w:val="Heading5"/>
      </w:pPr>
      <w:bookmarkStart w:id="157" w:name="_Toc178090471"/>
      <w:r>
        <w:rPr>
          <w:rStyle w:val="CharSectno"/>
        </w:rPr>
        <w:t>50C</w:t>
      </w:r>
      <w:r>
        <w:t>.</w:t>
      </w:r>
      <w:r>
        <w:tab/>
        <w:t>Restrictions on sailboard riding</w:t>
      </w:r>
      <w:bookmarkEnd w:id="157"/>
    </w:p>
    <w:p>
      <w:pPr>
        <w:pStyle w:val="Subsection"/>
        <w:keepNext/>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keepNext/>
      </w:pPr>
      <w:r>
        <w:tab/>
        <w:t>(3)</w:t>
      </w:r>
      <w:r>
        <w:tab/>
        <w:t>A person who contravenes subregulation (2) commits an offence.</w:t>
      </w:r>
    </w:p>
    <w:p>
      <w:pPr>
        <w:pStyle w:val="Footnotesection"/>
      </w:pPr>
      <w:r>
        <w:tab/>
        <w:t xml:space="preserve">[Regulation 50C inserted: Gazette 25 Jul 2014 p. 2583.] </w:t>
      </w:r>
    </w:p>
    <w:p>
      <w:pPr>
        <w:pStyle w:val="Heading3"/>
      </w:pPr>
      <w:bookmarkStart w:id="158" w:name="_Toc178064377"/>
      <w:bookmarkStart w:id="159" w:name="_Toc178084854"/>
      <w:bookmarkStart w:id="160" w:name="_Toc178090472"/>
      <w:r>
        <w:rPr>
          <w:rStyle w:val="CharDivNo"/>
        </w:rPr>
        <w:t>Division 6</w:t>
      </w:r>
      <w:r>
        <w:t> — </w:t>
      </w:r>
      <w:r>
        <w:rPr>
          <w:rStyle w:val="CharDivText"/>
        </w:rPr>
        <w:t>Motor boats</w:t>
      </w:r>
      <w:bookmarkEnd w:id="158"/>
      <w:bookmarkEnd w:id="159"/>
      <w:bookmarkEnd w:id="160"/>
    </w:p>
    <w:p>
      <w:pPr>
        <w:pStyle w:val="Footnoteheading"/>
        <w:keepNext/>
      </w:pPr>
      <w:r>
        <w:tab/>
        <w:t>[Heading inserted: SL 2023/135 r. 25.]</w:t>
      </w:r>
    </w:p>
    <w:p>
      <w:pPr>
        <w:pStyle w:val="Ednotesection"/>
        <w:keepNext/>
      </w:pPr>
      <w:r>
        <w:t>[</w:t>
      </w:r>
      <w:r>
        <w:rPr>
          <w:b/>
        </w:rPr>
        <w:t>50D.</w:t>
      </w:r>
      <w:r>
        <w:rPr>
          <w:b/>
        </w:rPr>
        <w:tab/>
      </w:r>
      <w:r>
        <w:t>Deleted: Gazette 19 Dec 1962 p. 4017.]</w:t>
      </w:r>
    </w:p>
    <w:p>
      <w:pPr>
        <w:pStyle w:val="Heading5"/>
        <w:rPr>
          <w:snapToGrid w:val="0"/>
        </w:rPr>
      </w:pPr>
      <w:bookmarkStart w:id="161" w:name="_Toc178090473"/>
      <w:r>
        <w:rPr>
          <w:rStyle w:val="CharSectno"/>
        </w:rPr>
        <w:t>51</w:t>
      </w:r>
      <w:r>
        <w:rPr>
          <w:snapToGrid w:val="0"/>
        </w:rPr>
        <w:t>.</w:t>
      </w:r>
      <w:r>
        <w:rPr>
          <w:snapToGrid w:val="0"/>
        </w:rPr>
        <w:tab/>
        <w:t>Silencers on motor boats</w:t>
      </w:r>
      <w:bookmarkEnd w:id="161"/>
      <w:r>
        <w:rPr>
          <w:snapToGrid w:val="0"/>
        </w:rPr>
        <w:t xml:space="preserve"> </w:t>
      </w:r>
    </w:p>
    <w:p>
      <w:pPr>
        <w:pStyle w:val="Subsection"/>
        <w:keepNext/>
        <w:rPr>
          <w:snapToGrid w:val="0"/>
        </w:rPr>
      </w:pPr>
      <w:r>
        <w:rPr>
          <w:snapToGrid w:val="0"/>
        </w:rPr>
        <w:tab/>
      </w:r>
      <w:r>
        <w:rPr>
          <w:snapToGrid w:val="0"/>
        </w:rPr>
        <w:tab/>
        <w:t xml:space="preserve">A person shall not use a motor boat unless it is fitted with an efficient silencer approved by the </w:t>
      </w:r>
      <w:r>
        <w:t>Department</w:t>
      </w:r>
      <w:r>
        <w:rPr>
          <w:snapToGrid w:val="0"/>
        </w:rPr>
        <w:t>.</w:t>
      </w:r>
    </w:p>
    <w:p>
      <w:pPr>
        <w:pStyle w:val="Footnotesection"/>
      </w:pPr>
      <w:r>
        <w:tab/>
        <w:t xml:space="preserve">[Regulation 51 inserted: Gazette 19 Dec 1962 p. 4017; amended: SL 2024/191 r. 41.] </w:t>
      </w:r>
    </w:p>
    <w:p>
      <w:pPr>
        <w:pStyle w:val="Heading5"/>
        <w:rPr>
          <w:snapToGrid w:val="0"/>
        </w:rPr>
      </w:pPr>
      <w:bookmarkStart w:id="162" w:name="_Toc178090474"/>
      <w:r>
        <w:rPr>
          <w:rStyle w:val="CharSectno"/>
        </w:rPr>
        <w:lastRenderedPageBreak/>
        <w:t>51A</w:t>
      </w:r>
      <w:r>
        <w:rPr>
          <w:snapToGrid w:val="0"/>
        </w:rPr>
        <w:t>.</w:t>
      </w:r>
      <w:r>
        <w:rPr>
          <w:snapToGrid w:val="0"/>
        </w:rPr>
        <w:tab/>
        <w:t>Motor boats not to emit smoke or vapour</w:t>
      </w:r>
      <w:bookmarkEnd w:id="162"/>
      <w:r>
        <w:rPr>
          <w:snapToGrid w:val="0"/>
        </w:rPr>
        <w:t xml:space="preserve"> </w:t>
      </w:r>
    </w:p>
    <w:p>
      <w:pPr>
        <w:pStyle w:val="Subsection"/>
        <w:keepNext/>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Gazette 19 Dec 1962 p. 4017.] </w:t>
      </w:r>
    </w:p>
    <w:p>
      <w:pPr>
        <w:pStyle w:val="Heading3"/>
      </w:pPr>
      <w:bookmarkStart w:id="163" w:name="_Toc178064380"/>
      <w:bookmarkStart w:id="164" w:name="_Toc178084857"/>
      <w:bookmarkStart w:id="165" w:name="_Toc178090475"/>
      <w:r>
        <w:rPr>
          <w:rStyle w:val="CharDivNo"/>
        </w:rPr>
        <w:t>Division 7</w:t>
      </w:r>
      <w:r>
        <w:t> — </w:t>
      </w:r>
      <w:r>
        <w:rPr>
          <w:rStyle w:val="CharDivText"/>
        </w:rPr>
        <w:t>Aquatic sport events</w:t>
      </w:r>
      <w:bookmarkEnd w:id="163"/>
      <w:bookmarkEnd w:id="164"/>
      <w:bookmarkEnd w:id="165"/>
    </w:p>
    <w:p>
      <w:pPr>
        <w:pStyle w:val="Footnoteheading"/>
      </w:pPr>
      <w:r>
        <w:tab/>
        <w:t>[Heading inserted: SL 2023/135 r. 26.]</w:t>
      </w:r>
    </w:p>
    <w:p>
      <w:pPr>
        <w:pStyle w:val="Ednotesection"/>
      </w:pPr>
      <w:r>
        <w:t>[</w:t>
      </w:r>
      <w:r>
        <w:rPr>
          <w:b/>
        </w:rPr>
        <w:t>51B.</w:t>
      </w:r>
      <w:r>
        <w:tab/>
        <w:t xml:space="preserve">Deleted: Gazette 7 Sep 1979 p. 2735.] </w:t>
      </w:r>
    </w:p>
    <w:p>
      <w:pPr>
        <w:pStyle w:val="Heading5"/>
        <w:spacing w:before="180"/>
        <w:rPr>
          <w:snapToGrid w:val="0"/>
        </w:rPr>
      </w:pPr>
      <w:bookmarkStart w:id="166" w:name="_Toc178090476"/>
      <w:r>
        <w:rPr>
          <w:rStyle w:val="CharSectno"/>
        </w:rPr>
        <w:t>51C</w:t>
      </w:r>
      <w:r>
        <w:rPr>
          <w:snapToGrid w:val="0"/>
        </w:rPr>
        <w:t>.</w:t>
      </w:r>
      <w:r>
        <w:rPr>
          <w:snapToGrid w:val="0"/>
        </w:rPr>
        <w:tab/>
        <w:t>Organized races, displays, regattas and aquatic sports</w:t>
      </w:r>
      <w:bookmarkEnd w:id="166"/>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Ednotesubsection"/>
      </w:pPr>
      <w:r>
        <w:tab/>
        <w:t>[(2)</w:t>
      </w:r>
      <w:r>
        <w:tab/>
        <w:t>deleted]</w:t>
      </w:r>
    </w:p>
    <w:p>
      <w:pPr>
        <w:pStyle w:val="Footnotesection"/>
        <w:spacing w:before="100"/>
        <w:ind w:left="890" w:hanging="890"/>
      </w:pPr>
      <w:r>
        <w:tab/>
        <w:t xml:space="preserve">[Regulation 51C inserted: Gazette 19 Dec 1962 p. 4017; amended: Gazette 25 Nov 2011 p. 4874; 25 Jul 2014 p. 2583; SL 2024/191 r. 27.] </w:t>
      </w:r>
    </w:p>
    <w:p>
      <w:pPr>
        <w:pStyle w:val="Heading3"/>
      </w:pPr>
      <w:bookmarkStart w:id="167" w:name="_Toc178064382"/>
      <w:bookmarkStart w:id="168" w:name="_Toc178084859"/>
      <w:bookmarkStart w:id="169" w:name="_Toc178090477"/>
      <w:r>
        <w:rPr>
          <w:rStyle w:val="CharDivNo"/>
        </w:rPr>
        <w:t>Division 8</w:t>
      </w:r>
      <w:r>
        <w:t> — </w:t>
      </w:r>
      <w:r>
        <w:rPr>
          <w:rStyle w:val="CharDivText"/>
        </w:rPr>
        <w:t>Equipment and safety</w:t>
      </w:r>
      <w:bookmarkEnd w:id="167"/>
      <w:bookmarkEnd w:id="168"/>
      <w:bookmarkEnd w:id="169"/>
    </w:p>
    <w:p>
      <w:pPr>
        <w:pStyle w:val="Footnoteheading"/>
        <w:keepNext/>
      </w:pPr>
      <w:r>
        <w:tab/>
        <w:t>[Heading inserted: SL 2023/135 r. 27.]</w:t>
      </w:r>
    </w:p>
    <w:p>
      <w:pPr>
        <w:pStyle w:val="Ednotesection"/>
        <w:keepNext/>
        <w:ind w:left="890" w:hanging="890"/>
      </w:pPr>
      <w:r>
        <w:t>[</w:t>
      </w:r>
      <w:r>
        <w:rPr>
          <w:b/>
        </w:rPr>
        <w:t>51D, 52.</w:t>
      </w:r>
      <w:r>
        <w:tab/>
        <w:t>Deleted: SL 2023/135 r. 28.]</w:t>
      </w:r>
    </w:p>
    <w:p>
      <w:pPr>
        <w:pStyle w:val="Heading5"/>
      </w:pPr>
      <w:bookmarkStart w:id="170" w:name="_Toc178090478"/>
      <w:r>
        <w:rPr>
          <w:rStyle w:val="CharSectno"/>
        </w:rPr>
        <w:t>52A</w:t>
      </w:r>
      <w:r>
        <w:t>.</w:t>
      </w:r>
      <w:r>
        <w:tab/>
        <w:t>Pleasure vessels to be equipped with lifejackets</w:t>
      </w:r>
      <w:bookmarkEnd w:id="170"/>
    </w:p>
    <w:p>
      <w:pPr>
        <w:pStyle w:val="Subsection"/>
      </w:pPr>
      <w:r>
        <w:tab/>
        <w:t>(1)</w:t>
      </w:r>
      <w:r>
        <w:tab/>
        <w:t>This regulation does not apply to a personal watercraft.</w:t>
      </w:r>
    </w:p>
    <w:p>
      <w:pPr>
        <w:pStyle w:val="Subsection"/>
      </w:pPr>
      <w:r>
        <w:tab/>
        <w:t>(2)</w:t>
      </w:r>
      <w:r>
        <w:tab/>
        <w:t>The owner or master of a registrable vessel must ensure that the vessel is equipped with at least 1 appropriate lifejacket for each person on board who has reached 12 months of age.</w:t>
      </w:r>
    </w:p>
    <w:p>
      <w:pPr>
        <w:pStyle w:val="Subsection"/>
      </w:pPr>
      <w:r>
        <w:lastRenderedPageBreak/>
        <w:tab/>
        <w:t>(3)</w:t>
      </w:r>
      <w:r>
        <w:tab/>
        <w:t>The owner or master of a non</w:t>
      </w:r>
      <w:r>
        <w:noBreakHyphen/>
        <w:t>registrable vessel must ensure that the vessel, while outside protected waters and more than 400 m from any shore, is equipped with at least 1 appropriate lifejacket for each person on board who has reached 12 months of age.</w:t>
      </w:r>
    </w:p>
    <w:p>
      <w:pPr>
        <w:pStyle w:val="Subsection"/>
      </w:pPr>
      <w:r>
        <w:tab/>
        <w:t>(4)</w:t>
      </w:r>
      <w:r>
        <w:tab/>
        <w:t>For the purposes of determining the number of lifejackets a vessel is equipped with under subregulation (2) or (3), a lifejacket being worn by a person on board the vessel is taken to be a lifejacket that the vessel is equipped with.</w:t>
      </w:r>
    </w:p>
    <w:p>
      <w:pPr>
        <w:pStyle w:val="Subsection"/>
        <w:rPr>
          <w:rStyle w:val="DraftersNotes"/>
          <w:b w:val="0"/>
          <w:i w:val="0"/>
        </w:rPr>
      </w:pPr>
      <w:r>
        <w:tab/>
        <w:t>(5)</w:t>
      </w:r>
      <w:r>
        <w:tab/>
        <w:t>An owner or master who contravenes this regulation commits an offence.</w:t>
      </w:r>
    </w:p>
    <w:p>
      <w:pPr>
        <w:pStyle w:val="Footnotesection"/>
      </w:pPr>
      <w:r>
        <w:tab/>
        <w:t>[Regulation 52A inserted: SL 2023/135 r. 28; amended: SL 2024/191 r. 28.]</w:t>
      </w:r>
    </w:p>
    <w:p>
      <w:pPr>
        <w:pStyle w:val="Heading5"/>
        <w:rPr>
          <w:snapToGrid w:val="0"/>
        </w:rPr>
      </w:pPr>
      <w:bookmarkStart w:id="171" w:name="_Toc178090479"/>
      <w:r>
        <w:rPr>
          <w:rStyle w:val="CharSectno"/>
        </w:rPr>
        <w:t>52B</w:t>
      </w:r>
      <w:r>
        <w:rPr>
          <w:snapToGrid w:val="0"/>
        </w:rPr>
        <w:t>.</w:t>
      </w:r>
      <w:r>
        <w:rPr>
          <w:snapToGrid w:val="0"/>
        </w:rPr>
        <w:tab/>
      </w:r>
      <w:r>
        <w:t>Pleasure vessels to be equipped with certain distress signals</w:t>
      </w:r>
      <w:bookmarkEnd w:id="171"/>
    </w:p>
    <w:p>
      <w:pPr>
        <w:pStyle w:val="Subsection"/>
        <w:keepNext/>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keepNext/>
      </w:pPr>
      <w:r>
        <w:tab/>
        <w:t>(1)</w:t>
      </w:r>
      <w:r>
        <w:tab/>
        <w:t xml:space="preserve">The owner or master of a pleasure vessel must ensure that the vessel, while outside protected waters and more than 400 m from any shore, is equipped with the following distress signals — </w:t>
      </w:r>
    </w:p>
    <w:p>
      <w:pPr>
        <w:pStyle w:val="Indenta"/>
      </w:pPr>
      <w:r>
        <w:tab/>
        <w:t>(a)</w:t>
      </w:r>
      <w:r>
        <w:tab/>
        <w:t>not fewer than —</w:t>
      </w:r>
    </w:p>
    <w:p>
      <w:pPr>
        <w:pStyle w:val="Indenti"/>
      </w:pPr>
      <w:r>
        <w:tab/>
        <w:t>(i)</w:t>
      </w:r>
      <w:r>
        <w:tab/>
        <w:t>2 red hand held flares; and</w:t>
      </w:r>
    </w:p>
    <w:p>
      <w:pPr>
        <w:pStyle w:val="Indenti"/>
      </w:pPr>
      <w:r>
        <w:tab/>
        <w:t>(ii)</w:t>
      </w:r>
      <w:r>
        <w:tab/>
        <w:t>2 orange hand held flares;</w:t>
      </w:r>
    </w:p>
    <w:p>
      <w:pPr>
        <w:pStyle w:val="Indenta"/>
      </w:pPr>
      <w:r>
        <w:tab/>
      </w:r>
      <w:r>
        <w:tab/>
        <w:t>or</w:t>
      </w:r>
    </w:p>
    <w:p>
      <w:pPr>
        <w:pStyle w:val="Indenta"/>
      </w:pPr>
      <w:r>
        <w:tab/>
        <w:t>(b)</w:t>
      </w:r>
      <w:r>
        <w:tab/>
        <w:t xml:space="preserve">an approved electronic visual distress signal if — </w:t>
      </w:r>
    </w:p>
    <w:p>
      <w:pPr>
        <w:pStyle w:val="Indenti"/>
      </w:pPr>
      <w:r>
        <w:tab/>
        <w:t>(i)</w:t>
      </w:r>
      <w:r>
        <w:tab/>
        <w:t>the vessel is also equipped with an Emergency Position</w:t>
      </w:r>
      <w:r>
        <w:noBreakHyphen/>
        <w:t>Indicating Radio Beacon that is GNSS</w:t>
      </w:r>
      <w:r>
        <w:noBreakHyphen/>
        <w:t>equipped; or</w:t>
      </w:r>
    </w:p>
    <w:p>
      <w:pPr>
        <w:pStyle w:val="Indenti"/>
      </w:pPr>
      <w:r>
        <w:lastRenderedPageBreak/>
        <w:tab/>
        <w:t>(ii)</w:t>
      </w:r>
      <w:r>
        <w:tab/>
        <w:t>a personal locator beacon that is GNSS</w:t>
      </w:r>
      <w:r>
        <w:noBreakHyphen/>
        <w:t>equipped is attached to a person on board the vessel;</w:t>
      </w:r>
    </w:p>
    <w:p>
      <w:pPr>
        <w:pStyle w:val="Indenta"/>
      </w:pPr>
      <w:r>
        <w:tab/>
      </w:r>
      <w:r>
        <w:tab/>
        <w:t>or</w:t>
      </w:r>
    </w:p>
    <w:p>
      <w:pPr>
        <w:pStyle w:val="Indenta"/>
      </w:pPr>
      <w:r>
        <w:tab/>
        <w:t>(c)</w:t>
      </w:r>
      <w:r>
        <w:tab/>
        <w:t xml:space="preserve">before 1 September 2026, not fewer than — </w:t>
      </w:r>
    </w:p>
    <w:p>
      <w:pPr>
        <w:pStyle w:val="Indenti"/>
      </w:pPr>
      <w:r>
        <w:tab/>
        <w:t>(i)</w:t>
      </w:r>
      <w:r>
        <w:tab/>
        <w:t>2 orange hand held flares; and</w:t>
      </w:r>
    </w:p>
    <w:p>
      <w:pPr>
        <w:pStyle w:val="Indenti"/>
      </w:pPr>
      <w:r>
        <w:tab/>
        <w:t>(ii)</w:t>
      </w:r>
      <w:r>
        <w:tab/>
        <w:t>2 parachute distress rockets.</w:t>
      </w:r>
    </w:p>
    <w:p>
      <w:pPr>
        <w:pStyle w:val="Ednotesubsection"/>
        <w:tabs>
          <w:tab w:val="clear" w:pos="879"/>
          <w:tab w:val="left" w:pos="969"/>
        </w:tabs>
      </w:pPr>
      <w:r>
        <w:tab/>
        <w:t>[(1a), (2)</w:t>
      </w:r>
      <w:r>
        <w:tab/>
        <w:t>deleted]</w:t>
      </w:r>
    </w:p>
    <w:p>
      <w:pPr>
        <w:pStyle w:val="Subsection"/>
        <w:keepNext/>
      </w:pPr>
      <w:r>
        <w:tab/>
        <w:t>(2AA)</w:t>
      </w:r>
      <w:r>
        <w:tab/>
        <w:t>The distress signals required by subregulation (1)(a) and (c)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Ednotesubsection"/>
      </w:pPr>
      <w:r>
        <w:tab/>
        <w:t>[(2A)</w:t>
      </w:r>
      <w:r>
        <w:tab/>
        <w:t>deleted]</w:t>
      </w:r>
    </w:p>
    <w:p>
      <w:pPr>
        <w:pStyle w:val="Subsection"/>
        <w:keepNext/>
        <w:rPr>
          <w:snapToGrid w:val="0"/>
        </w:rPr>
      </w:pPr>
      <w:r>
        <w:rPr>
          <w:snapToGrid w:val="0"/>
        </w:rPr>
        <w:tab/>
        <w:t>(3)</w:t>
      </w:r>
      <w:r>
        <w:rPr>
          <w:snapToGrid w:val="0"/>
        </w:rPr>
        <w:tab/>
        <w:t xml:space="preserve">An owner </w:t>
      </w:r>
      <w:r>
        <w:t>or master</w:t>
      </w:r>
      <w:r>
        <w:rPr>
          <w:snapToGrid w:val="0"/>
        </w:rPr>
        <w:t xml:space="preserve"> who contravenes this regulation commits an offence.</w:t>
      </w:r>
    </w:p>
    <w:p>
      <w:pPr>
        <w:pStyle w:val="Footnotesection"/>
        <w:keepLines w:val="0"/>
      </w:pPr>
      <w:r>
        <w:tab/>
        <w:t>[Regulation 52B inserted: Gazette 22 Aug 1975 p. 3044; amended: Gazette 11 May 1990 p. 2283; 31 Dec 1993 p. 6913</w:t>
      </w:r>
      <w:r>
        <w:noBreakHyphen/>
        <w:t>14; 24 Apr 1998 p. 2164; 24 Oct 2008 p. 4670; 11 Dec 2009 p. 5059; 13 Dec 2013 p. 6177; 25 Jul 2014 p. 2584; 3 Mar 2017 p. 1489; SL 2023/135 r. 29; SL 2024/191 r. 29.]</w:t>
      </w:r>
    </w:p>
    <w:p>
      <w:pPr>
        <w:pStyle w:val="Heading5"/>
        <w:rPr>
          <w:snapToGrid w:val="0"/>
        </w:rPr>
      </w:pPr>
      <w:bookmarkStart w:id="172" w:name="_Toc178090480"/>
      <w:r>
        <w:rPr>
          <w:rStyle w:val="CharSectno"/>
        </w:rPr>
        <w:t>52BAA</w:t>
      </w:r>
      <w:r>
        <w:rPr>
          <w:snapToGrid w:val="0"/>
        </w:rPr>
        <w:t>.</w:t>
      </w:r>
      <w:r>
        <w:rPr>
          <w:snapToGrid w:val="0"/>
        </w:rPr>
        <w:tab/>
      </w:r>
      <w:r>
        <w:t>Registrable vessels to be equipped with marine transceiver</w:t>
      </w:r>
      <w:bookmarkEnd w:id="172"/>
    </w:p>
    <w:p>
      <w:pPr>
        <w:pStyle w:val="Subsection"/>
      </w:pPr>
      <w:r>
        <w:tab/>
        <w:t>(1)</w:t>
      </w:r>
      <w:r>
        <w:tab/>
        <w:t xml:space="preserve">The owner or master of a registrable vessel that proceeds more than 4 nautical miles from any shore must ensure that the vessel is equipped with a marine transceiver. </w:t>
      </w:r>
    </w:p>
    <w:p>
      <w:pPr>
        <w:pStyle w:val="Subsection"/>
        <w:rPr>
          <w:snapToGrid w:val="0"/>
        </w:rPr>
      </w:pPr>
      <w:r>
        <w:rPr>
          <w:snapToGrid w:val="0"/>
        </w:rPr>
        <w:tab/>
        <w:t>(2)</w:t>
      </w:r>
      <w:r>
        <w:rPr>
          <w:snapToGrid w:val="0"/>
        </w:rPr>
        <w:tab/>
        <w:t xml:space="preserve">Whilst the vessel is </w:t>
      </w:r>
      <w:r>
        <w:t xml:space="preserve">underway the marine </w:t>
      </w:r>
      <w:r>
        <w:rPr>
          <w:snapToGrid w:val="0"/>
        </w:rPr>
        <w:t xml:space="preserve">transceiver referred to in subregulation (1) must, when not used for other transmission, remain switched on and tuned to the emergency distress calling </w:t>
      </w:r>
      <w:r>
        <w:rPr>
          <w:snapToGrid w:val="0"/>
        </w:rPr>
        <w:lastRenderedPageBreak/>
        <w:t>frequency or the working frequency of the shore station with which the vessel is logged on.</w:t>
      </w:r>
    </w:p>
    <w:p>
      <w:pPr>
        <w:pStyle w:val="Ednotesubsection"/>
      </w:pPr>
      <w:r>
        <w:tab/>
        <w:t>[(3A)</w:t>
      </w:r>
      <w:r>
        <w:tab/>
        <w:t>deleted]</w:t>
      </w:r>
    </w:p>
    <w:p>
      <w:pPr>
        <w:pStyle w:val="Subsection"/>
        <w:keepNext/>
        <w:rPr>
          <w:snapToGrid w:val="0"/>
        </w:rPr>
      </w:pPr>
      <w:r>
        <w:rPr>
          <w:snapToGrid w:val="0"/>
        </w:rPr>
        <w:tab/>
        <w:t>(3)</w:t>
      </w:r>
      <w:r>
        <w:rPr>
          <w:snapToGrid w:val="0"/>
        </w:rPr>
        <w:tab/>
        <w:t xml:space="preserve">An owner </w:t>
      </w:r>
      <w:r>
        <w:t>or master</w:t>
      </w:r>
      <w:r>
        <w:rPr>
          <w:snapToGrid w:val="0"/>
        </w:rPr>
        <w:t xml:space="preserve"> who contravenes this regulation commits an offence.</w:t>
      </w:r>
    </w:p>
    <w:p>
      <w:pPr>
        <w:pStyle w:val="Footnotesection"/>
      </w:pPr>
      <w:r>
        <w:tab/>
        <w:t xml:space="preserve">[Regulation 52BAA inserted: Gazette 31 Dec 1993 p. 6914; amended: Gazette 24 Apr 1998 p. 2164; 25 Jul 2014 p. 2585; SL 2023/135 r. 30; SL 2024/191 r. 30.] </w:t>
      </w:r>
    </w:p>
    <w:p>
      <w:pPr>
        <w:pStyle w:val="Heading5"/>
      </w:pPr>
      <w:bookmarkStart w:id="173" w:name="_Toc178090481"/>
      <w:r>
        <w:rPr>
          <w:rStyle w:val="CharSectno"/>
        </w:rPr>
        <w:t>52BAB</w:t>
      </w:r>
      <w:r>
        <w:t>.</w:t>
      </w:r>
      <w:r>
        <w:tab/>
        <w:t>Pleasure vessels to carry locator beacons</w:t>
      </w:r>
      <w:bookmarkEnd w:id="173"/>
    </w:p>
    <w:p>
      <w:pPr>
        <w:pStyle w:val="Subsection"/>
      </w:pPr>
      <w:r>
        <w:tab/>
        <w:t>(1)</w:t>
      </w:r>
      <w:r>
        <w:tab/>
        <w:t xml:space="preserve">The owner or master of a pleasure vessel that is outside protected waters and more than 400 m from any shore must ensure that — </w:t>
      </w:r>
    </w:p>
    <w:p>
      <w:pPr>
        <w:pStyle w:val="Indenta"/>
      </w:pPr>
      <w:r>
        <w:tab/>
        <w:t>(a)</w:t>
      </w:r>
      <w:r>
        <w:tab/>
        <w:t>the vessel is equipped with an Emergency Position</w:t>
      </w:r>
      <w:r>
        <w:noBreakHyphen/>
        <w:t>Indicating Radio Beacon; or</w:t>
      </w:r>
    </w:p>
    <w:p>
      <w:pPr>
        <w:pStyle w:val="Indenta"/>
      </w:pPr>
      <w:r>
        <w:tab/>
        <w:t>(b)</w:t>
      </w:r>
      <w:r>
        <w:tab/>
        <w:t>a personal locator beacon is attached to a person on board the vessel.</w:t>
      </w:r>
    </w:p>
    <w:p>
      <w:pPr>
        <w:pStyle w:val="Subsection"/>
      </w:pPr>
      <w:r>
        <w:tab/>
        <w:t>(2)</w:t>
      </w:r>
      <w:r>
        <w:tab/>
        <w:t>An owner or master who contravenes this regulation commits an offence.</w:t>
      </w:r>
    </w:p>
    <w:p>
      <w:pPr>
        <w:pStyle w:val="Footnotesection"/>
      </w:pPr>
      <w:r>
        <w:tab/>
        <w:t>[Regulation 52BAB inserted: SL 2023/135 r. 31; amended: SL 2024/191 r. 31.]</w:t>
      </w:r>
    </w:p>
    <w:p>
      <w:pPr>
        <w:pStyle w:val="Ednotesection"/>
        <w:tabs>
          <w:tab w:val="clear" w:pos="893"/>
          <w:tab w:val="left" w:pos="1843"/>
        </w:tabs>
      </w:pPr>
      <w:r>
        <w:t>[</w:t>
      </w:r>
      <w:r>
        <w:rPr>
          <w:b/>
        </w:rPr>
        <w:t>52BAC, 52BAD</w:t>
      </w:r>
      <w:r>
        <w:t>.</w:t>
      </w:r>
      <w:r>
        <w:tab/>
        <w:t>Deleted: SL 2024/191 r. 32.]</w:t>
      </w:r>
    </w:p>
    <w:p>
      <w:pPr>
        <w:pStyle w:val="Heading5"/>
        <w:rPr>
          <w:snapToGrid w:val="0"/>
        </w:rPr>
      </w:pPr>
      <w:bookmarkStart w:id="174" w:name="_Toc178090482"/>
      <w:r>
        <w:rPr>
          <w:rStyle w:val="CharSectno"/>
        </w:rPr>
        <w:t>52BA</w:t>
      </w:r>
      <w:r>
        <w:rPr>
          <w:snapToGrid w:val="0"/>
        </w:rPr>
        <w:t>.</w:t>
      </w:r>
      <w:r>
        <w:rPr>
          <w:snapToGrid w:val="0"/>
        </w:rPr>
        <w:tab/>
        <w:t>Equipment to be maintained in serviceable condition and readily accessible</w:t>
      </w:r>
      <w:bookmarkEnd w:id="174"/>
      <w:r>
        <w:rPr>
          <w:snapToGrid w:val="0"/>
        </w:rPr>
        <w:t xml:space="preserve"> </w:t>
      </w:r>
    </w:p>
    <w:p>
      <w:pPr>
        <w:pStyle w:val="Subsection"/>
        <w:keepNext/>
        <w:rPr>
          <w:snapToGrid w:val="0"/>
        </w:rPr>
      </w:pPr>
      <w:r>
        <w:rPr>
          <w:snapToGrid w:val="0"/>
        </w:rPr>
        <w:tab/>
        <w:t>(1)</w:t>
      </w:r>
      <w:r>
        <w:rPr>
          <w:snapToGrid w:val="0"/>
        </w:rPr>
        <w:tab/>
        <w:t>All items of equipment required to be carried on board any vessel pursuant to regulations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lastRenderedPageBreak/>
        <w:tab/>
        <w:t>(2)</w:t>
      </w:r>
      <w:r>
        <w:rPr>
          <w:snapToGrid w:val="0"/>
        </w:rPr>
        <w:tab/>
        <w:t>Where any of the items of equipment referred to in regulation 52BA(1) are stored under cover, the position of those items shall be clearly indicated by appropriate markings.</w:t>
      </w:r>
    </w:p>
    <w:p>
      <w:pPr>
        <w:pStyle w:val="Subsection"/>
        <w:keepNext/>
        <w:rPr>
          <w:snapToGrid w:val="0"/>
        </w:rPr>
      </w:pPr>
      <w:r>
        <w:rPr>
          <w:snapToGrid w:val="0"/>
        </w:rPr>
        <w:tab/>
        <w:t>(3)</w:t>
      </w:r>
      <w:r>
        <w:rPr>
          <w:snapToGrid w:val="0"/>
        </w:rPr>
        <w:tab/>
        <w:t xml:space="preserve">All equipment required to be carried on board any vessel pursuant to regulations 52A, 52B, 52BAA, </w:t>
      </w:r>
      <w:r>
        <w:t>52BAB</w:t>
      </w:r>
      <w:r>
        <w:rPr>
          <w:snapToGrid w:val="0"/>
        </w:rPr>
        <w:t xml:space="preserve"> and 52G shall be produced to an officer of the </w:t>
      </w:r>
      <w:r>
        <w:t>Department</w:t>
      </w:r>
      <w:r>
        <w:rPr>
          <w:snapToGrid w:val="0"/>
        </w:rPr>
        <w:t xml:space="preserve"> on demand.</w:t>
      </w:r>
    </w:p>
    <w:p>
      <w:pPr>
        <w:pStyle w:val="Footnotesection"/>
      </w:pPr>
      <w:r>
        <w:tab/>
        <w:t xml:space="preserve">[Regulation 52BA inserted: Gazette 17 Sep 1976 p. 3464; amended: Gazette 31 Dec 1993 p. 6915; SL 2023/135 r. 33; SL 2024/191 r. 41.] </w:t>
      </w:r>
    </w:p>
    <w:p>
      <w:pPr>
        <w:pStyle w:val="Heading5"/>
      </w:pPr>
      <w:bookmarkStart w:id="175" w:name="_Toc178090483"/>
      <w:r>
        <w:rPr>
          <w:rStyle w:val="CharSectno"/>
        </w:rPr>
        <w:t>52BB</w:t>
      </w:r>
      <w:r>
        <w:t>.</w:t>
      </w:r>
      <w:r>
        <w:tab/>
        <w:t>Lifejacket worn on personal watercraft to be maintained in serviceable condition</w:t>
      </w:r>
      <w:bookmarkEnd w:id="175"/>
      <w:r>
        <w:t xml:space="preserve"> </w:t>
      </w:r>
    </w:p>
    <w:p>
      <w:pPr>
        <w:pStyle w:val="Subsection"/>
      </w:pPr>
      <w:r>
        <w:tab/>
      </w:r>
      <w:r>
        <w:tab/>
        <w:t>A lifejacket that is required to be worn under regulation 50B(4) must be maintained in a serviceable condition.</w:t>
      </w:r>
    </w:p>
    <w:p>
      <w:pPr>
        <w:pStyle w:val="Footnotesection"/>
      </w:pPr>
      <w:r>
        <w:tab/>
        <w:t xml:space="preserve">[Regulation 52BB inserted: SL 2023/135 r. 34.] </w:t>
      </w:r>
    </w:p>
    <w:p>
      <w:pPr>
        <w:pStyle w:val="Ednotesection"/>
        <w:ind w:left="890" w:hanging="890"/>
      </w:pPr>
      <w:r>
        <w:t>[</w:t>
      </w:r>
      <w:r>
        <w:rPr>
          <w:b/>
        </w:rPr>
        <w:t>52C.</w:t>
      </w:r>
      <w:r>
        <w:tab/>
        <w:t>Deleted: SL 2023/135 r. 35.]</w:t>
      </w:r>
    </w:p>
    <w:p>
      <w:pPr>
        <w:pStyle w:val="Ednotesection"/>
      </w:pPr>
      <w:r>
        <w:t>[</w:t>
      </w:r>
      <w:r>
        <w:rPr>
          <w:b/>
          <w:bCs/>
        </w:rPr>
        <w:t>52CA</w:t>
      </w:r>
      <w:r>
        <w:t>.</w:t>
      </w:r>
      <w:r>
        <w:tab/>
        <w:t>Deleted: SL 2024/191 r. 33.]</w:t>
      </w:r>
    </w:p>
    <w:p>
      <w:pPr>
        <w:pStyle w:val="Ednotesection"/>
      </w:pPr>
      <w:r>
        <w:t>[</w:t>
      </w:r>
      <w:r>
        <w:rPr>
          <w:b/>
        </w:rPr>
        <w:t>52CAB.</w:t>
      </w:r>
      <w:r>
        <w:rPr>
          <w:b/>
        </w:rPr>
        <w:tab/>
        <w:t xml:space="preserve"> </w:t>
      </w:r>
      <w:r>
        <w:t xml:space="preserve">Deleted: Gazette 24 Apr 1998 p. 2164.] </w:t>
      </w:r>
    </w:p>
    <w:p>
      <w:pPr>
        <w:pStyle w:val="Ednotesection"/>
      </w:pPr>
      <w:r>
        <w:t>[</w:t>
      </w:r>
      <w:r>
        <w:rPr>
          <w:b/>
          <w:bCs/>
        </w:rPr>
        <w:t>52D</w:t>
      </w:r>
      <w:r>
        <w:t>.</w:t>
      </w:r>
      <w:r>
        <w:tab/>
        <w:t>Deleted: SL 2024/191 r. 33.]</w:t>
      </w:r>
    </w:p>
    <w:p>
      <w:pPr>
        <w:pStyle w:val="Heading5"/>
        <w:rPr>
          <w:snapToGrid w:val="0"/>
        </w:rPr>
      </w:pPr>
      <w:bookmarkStart w:id="176" w:name="_Toc178090484"/>
      <w:r>
        <w:rPr>
          <w:rStyle w:val="CharSectno"/>
        </w:rPr>
        <w:t>52E</w:t>
      </w:r>
      <w:r>
        <w:rPr>
          <w:snapToGrid w:val="0"/>
        </w:rPr>
        <w:t>.</w:t>
      </w:r>
      <w:r>
        <w:rPr>
          <w:snapToGrid w:val="0"/>
        </w:rPr>
        <w:tab/>
        <w:t>Storage and use of fuel in motor boats</w:t>
      </w:r>
      <w:bookmarkEnd w:id="176"/>
      <w:r>
        <w:rPr>
          <w:snapToGrid w:val="0"/>
        </w:rPr>
        <w:t xml:space="preserve"> </w:t>
      </w:r>
    </w:p>
    <w:p>
      <w:pPr>
        <w:pStyle w:val="Subsection"/>
        <w:keepNext/>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rPr>
          <w:snapToGrid w:val="0"/>
        </w:rPr>
      </w:pPr>
      <w:r>
        <w:rPr>
          <w:snapToGrid w:val="0"/>
        </w:rPr>
        <w:lastRenderedPageBreak/>
        <w:tab/>
        <w:t>(c)</w:t>
      </w:r>
      <w:r>
        <w:rPr>
          <w:snapToGrid w:val="0"/>
        </w:rPr>
        <w:tab/>
        <w:t xml:space="preserve">a short length of flexible piping of some other material may be used with the approval of the </w:t>
      </w:r>
      <w:r>
        <w:t>Department</w:t>
      </w:r>
      <w:r>
        <w:rPr>
          <w:snapToGrid w:val="0"/>
        </w:rPr>
        <w:t>; and</w:t>
      </w:r>
    </w:p>
    <w:p>
      <w:pPr>
        <w:pStyle w:val="Indenta"/>
        <w:keepNext/>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Gazette 4 Nov 1965 p. 3804; amended: SL 2024/191 r. 41.] </w:t>
      </w:r>
    </w:p>
    <w:p>
      <w:pPr>
        <w:pStyle w:val="Heading5"/>
        <w:rPr>
          <w:snapToGrid w:val="0"/>
        </w:rPr>
      </w:pPr>
      <w:bookmarkStart w:id="177" w:name="_Toc178090485"/>
      <w:r>
        <w:rPr>
          <w:rStyle w:val="CharSectno"/>
        </w:rPr>
        <w:t>52F</w:t>
      </w:r>
      <w:r>
        <w:rPr>
          <w:snapToGrid w:val="0"/>
        </w:rPr>
        <w:t>.</w:t>
      </w:r>
      <w:r>
        <w:rPr>
          <w:snapToGrid w:val="0"/>
        </w:rPr>
        <w:tab/>
        <w:t>Ventilation of engine compartment</w:t>
      </w:r>
      <w:bookmarkEnd w:id="177"/>
      <w:r>
        <w:rPr>
          <w:snapToGrid w:val="0"/>
        </w:rPr>
        <w:t xml:space="preserve"> </w:t>
      </w:r>
    </w:p>
    <w:p>
      <w:pPr>
        <w:pStyle w:val="Subsection"/>
        <w:keepNext/>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Gazette 4 Nov 1965 p. 3804.] </w:t>
      </w:r>
    </w:p>
    <w:p>
      <w:pPr>
        <w:pStyle w:val="Heading5"/>
        <w:rPr>
          <w:snapToGrid w:val="0"/>
        </w:rPr>
      </w:pPr>
      <w:bookmarkStart w:id="178" w:name="_Toc178090486"/>
      <w:r>
        <w:rPr>
          <w:rStyle w:val="CharSectno"/>
        </w:rPr>
        <w:t>52G</w:t>
      </w:r>
      <w:r>
        <w:rPr>
          <w:snapToGrid w:val="0"/>
        </w:rPr>
        <w:t>.</w:t>
      </w:r>
      <w:r>
        <w:rPr>
          <w:snapToGrid w:val="0"/>
        </w:rPr>
        <w:tab/>
        <w:t>Navigation lights</w:t>
      </w:r>
      <w:bookmarkEnd w:id="178"/>
      <w:r>
        <w:rPr>
          <w:snapToGrid w:val="0"/>
        </w:rPr>
        <w:t xml:space="preserve"> </w:t>
      </w:r>
    </w:p>
    <w:p>
      <w:pPr>
        <w:pStyle w:val="Subsection"/>
        <w:rPr>
          <w:snapToGrid w:val="0"/>
        </w:rPr>
      </w:pPr>
      <w:r>
        <w:rPr>
          <w:snapToGrid w:val="0"/>
        </w:rPr>
        <w:tab/>
        <w:t>(1)</w:t>
      </w:r>
      <w:r>
        <w:rPr>
          <w:snapToGrid w:val="0"/>
        </w:rPr>
        <w:tab/>
        <w:t xml:space="preserve">The </w:t>
      </w:r>
      <w:r>
        <w:t>master</w:t>
      </w:r>
      <w:r>
        <w:rPr>
          <w:snapToGrid w:val="0"/>
        </w:rPr>
        <w:t xml:space="preserve">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keepNext/>
        <w:rPr>
          <w:snapToGrid w:val="0"/>
        </w:rPr>
      </w:pPr>
      <w:r>
        <w:rPr>
          <w:snapToGrid w:val="0"/>
        </w:rPr>
        <w:tab/>
        <w:t>(2)</w:t>
      </w:r>
      <w:r>
        <w:rPr>
          <w:snapToGrid w:val="0"/>
        </w:rPr>
        <w:tab/>
      </w:r>
      <w:r>
        <w:t>A master</w:t>
      </w:r>
      <w:r>
        <w:rPr>
          <w:snapToGrid w:val="0"/>
        </w:rPr>
        <w:t xml:space="preserve"> who contravenes this regulation commits an offence.</w:t>
      </w:r>
    </w:p>
    <w:p>
      <w:pPr>
        <w:pStyle w:val="Footnotesection"/>
      </w:pPr>
      <w:r>
        <w:tab/>
        <w:t xml:space="preserve">[Regulation 52G inserted: Gazette 31 Dec 1993 p. 6915; amended: SL 2024/191 r. 34.] </w:t>
      </w:r>
    </w:p>
    <w:p>
      <w:pPr>
        <w:pStyle w:val="Heading5"/>
        <w:rPr>
          <w:snapToGrid w:val="0"/>
        </w:rPr>
      </w:pPr>
      <w:bookmarkStart w:id="179" w:name="_Toc178090487"/>
      <w:r>
        <w:rPr>
          <w:rStyle w:val="CharSectno"/>
        </w:rPr>
        <w:t>52H</w:t>
      </w:r>
      <w:r>
        <w:rPr>
          <w:snapToGrid w:val="0"/>
        </w:rPr>
        <w:t>.</w:t>
      </w:r>
      <w:r>
        <w:rPr>
          <w:snapToGrid w:val="0"/>
        </w:rPr>
        <w:tab/>
        <w:t>Reporting accidents and fires</w:t>
      </w:r>
      <w:bookmarkEnd w:id="179"/>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keepNext/>
        <w:rPr>
          <w:snapToGrid w:val="0"/>
        </w:rPr>
      </w:pPr>
      <w:r>
        <w:rPr>
          <w:snapToGrid w:val="0"/>
        </w:rPr>
        <w:tab/>
        <w:t>(b)</w:t>
      </w:r>
      <w:r>
        <w:rPr>
          <w:snapToGrid w:val="0"/>
        </w:rPr>
        <w:tab/>
        <w:t>a fire occurs on board any vessel (including a vessel propelled solely by sail),</w:t>
      </w:r>
    </w:p>
    <w:p>
      <w:pPr>
        <w:pStyle w:val="Subsection"/>
        <w:keepNext/>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keepNext/>
        <w:rPr>
          <w:snapToGrid w:val="0"/>
        </w:rPr>
      </w:pPr>
      <w:r>
        <w:rPr>
          <w:snapToGrid w:val="0"/>
        </w:rPr>
        <w:lastRenderedPageBreak/>
        <w:tab/>
        <w:t>(d)</w:t>
      </w:r>
      <w:r>
        <w:rPr>
          <w:snapToGrid w:val="0"/>
        </w:rPr>
        <w:tab/>
        <w:t>loss of life or serious injury occurs,</w:t>
      </w:r>
    </w:p>
    <w:p>
      <w:pPr>
        <w:pStyle w:val="Subsection"/>
        <w:keepNext/>
        <w:rPr>
          <w:snapToGrid w:val="0"/>
        </w:rPr>
      </w:pPr>
      <w:r>
        <w:rPr>
          <w:snapToGrid w:val="0"/>
        </w:rPr>
        <w:tab/>
      </w:r>
      <w:r>
        <w:rPr>
          <w:snapToGrid w:val="0"/>
        </w:rPr>
        <w:tab/>
        <w:t xml:space="preserve">the owner or </w:t>
      </w:r>
      <w:r>
        <w:t>master</w:t>
      </w:r>
      <w:r>
        <w:rPr>
          <w:snapToGrid w:val="0"/>
        </w:rPr>
        <w:t xml:space="preserve"> of the vessel shall within 7 days of the occurrence of that accident or fire notify the </w:t>
      </w:r>
      <w:r>
        <w:t>Department</w:t>
      </w:r>
      <w:r>
        <w:rPr>
          <w:snapToGrid w:val="0"/>
        </w:rPr>
        <w:t xml:space="preserve"> by sending to the </w:t>
      </w:r>
      <w:r>
        <w:t>Department</w:t>
      </w:r>
      <w:r>
        <w:rPr>
          <w:snapToGrid w:val="0"/>
        </w:rPr>
        <w:t xml:space="preserve"> a written report containing particulars of the accident or fire and of any loss, damage, injury or loss of life.</w:t>
      </w:r>
    </w:p>
    <w:p>
      <w:pPr>
        <w:pStyle w:val="Footnotesection"/>
      </w:pPr>
      <w:r>
        <w:tab/>
        <w:t xml:space="preserve">[Regulation 52H inserted: Gazette 12 Jul 1974 p. 2626; amended: SL 2024/191 r. 35 and 41.] </w:t>
      </w:r>
    </w:p>
    <w:p>
      <w:pPr>
        <w:pStyle w:val="Heading3"/>
      </w:pPr>
      <w:bookmarkStart w:id="180" w:name="_Toc178064397"/>
      <w:bookmarkStart w:id="181" w:name="_Toc178084870"/>
      <w:bookmarkStart w:id="182" w:name="_Toc178090488"/>
      <w:r>
        <w:rPr>
          <w:rStyle w:val="CharDivNo"/>
        </w:rPr>
        <w:t>Division 9</w:t>
      </w:r>
      <w:r>
        <w:t> — </w:t>
      </w:r>
      <w:r>
        <w:rPr>
          <w:rStyle w:val="CharDivText"/>
        </w:rPr>
        <w:t>Offences and penalties</w:t>
      </w:r>
      <w:bookmarkEnd w:id="180"/>
      <w:bookmarkEnd w:id="181"/>
      <w:bookmarkEnd w:id="182"/>
    </w:p>
    <w:p>
      <w:pPr>
        <w:pStyle w:val="Footnoteheading"/>
      </w:pPr>
      <w:r>
        <w:tab/>
        <w:t>[Heading inserted: SL 2023/135 r. 37.]</w:t>
      </w:r>
    </w:p>
    <w:p>
      <w:pPr>
        <w:pStyle w:val="Heading5"/>
        <w:spacing w:before="260"/>
        <w:rPr>
          <w:snapToGrid w:val="0"/>
        </w:rPr>
      </w:pPr>
      <w:bookmarkStart w:id="183" w:name="_Toc178090489"/>
      <w:r>
        <w:rPr>
          <w:rStyle w:val="CharSectno"/>
        </w:rPr>
        <w:t>53</w:t>
      </w:r>
      <w:r>
        <w:rPr>
          <w:snapToGrid w:val="0"/>
        </w:rPr>
        <w:t>.</w:t>
      </w:r>
      <w:r>
        <w:rPr>
          <w:snapToGrid w:val="0"/>
        </w:rPr>
        <w:tab/>
        <w:t>Offences and penalties</w:t>
      </w:r>
      <w:bookmarkEnd w:id="183"/>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Ednotesubsection"/>
      </w:pPr>
      <w:r>
        <w:tab/>
        <w:t>[(2)-(4)</w:t>
      </w:r>
      <w:r>
        <w:tab/>
        <w:t>deleted]</w:t>
      </w:r>
    </w:p>
    <w:p>
      <w:pPr>
        <w:pStyle w:val="Subsection"/>
        <w:keepNext/>
      </w:pPr>
      <w:r>
        <w:tab/>
        <w:t>(5)</w:t>
      </w:r>
      <w:r>
        <w:tab/>
        <w:t>A person who commits an offence under this Part is liable on conviction to a fine not exceeding $500.</w:t>
      </w:r>
    </w:p>
    <w:p>
      <w:pPr>
        <w:pStyle w:val="Footnotesection"/>
      </w:pPr>
      <w:r>
        <w:tab/>
        <w:t xml:space="preserve">[Regulation 53 inserted: Gazette 19 Dec 1962 p. 4017; amended: Gazette 17 Sep 1976 p. 3464; 4 Sep 1981 p. 3862; 28 Aug 1992 p. 4242; 20 Jun 2000 p. 3039; 14 May 2004 p. 1447; 17 Nov 2009 p. 4630; 25 Jul 2014 p. 2590; SL 2024/191 r. 36.] </w:t>
      </w:r>
    </w:p>
    <w:p>
      <w:pPr>
        <w:pStyle w:val="Ednotepart"/>
        <w:tabs>
          <w:tab w:val="left" w:pos="1276"/>
        </w:tabs>
      </w:pPr>
      <w:r>
        <w:t>[Part VII:</w:t>
      </w:r>
      <w:r>
        <w:tab/>
        <w:t>Division 1 heading deleted: Gazette 25 Jul 2014 p. 2590;</w:t>
      </w:r>
      <w:r>
        <w:br/>
      </w:r>
      <w:r>
        <w:tab/>
        <w:t>r. 54, 57, 58 and 67 deleted: SL 2022/137 r. 11;</w:t>
      </w:r>
      <w:r>
        <w:br/>
      </w:r>
      <w:r>
        <w:tab/>
        <w:t>r. 55 and 56 deleted: Gazette 1 Aug 1990 p. 3641;</w:t>
      </w:r>
      <w:r>
        <w:br/>
      </w:r>
      <w:r>
        <w:tab/>
        <w:t xml:space="preserve">Divisions II and III (r. 59-66) deleted: Gazette 9 Feb 1970 </w:t>
      </w:r>
      <w:r>
        <w:tab/>
        <w:t>p. 377.]</w:t>
      </w:r>
    </w:p>
    <w:p>
      <w:pPr>
        <w:pStyle w:val="Heading2"/>
      </w:pPr>
      <w:bookmarkStart w:id="184" w:name="_Toc178064399"/>
      <w:bookmarkStart w:id="185" w:name="_Toc178084872"/>
      <w:bookmarkStart w:id="186" w:name="_Toc178090490"/>
      <w:r>
        <w:rPr>
          <w:rStyle w:val="CharPartNo"/>
        </w:rPr>
        <w:lastRenderedPageBreak/>
        <w:t>Part VIII</w:t>
      </w:r>
      <w:r>
        <w:rPr>
          <w:rStyle w:val="CharDivNo"/>
        </w:rPr>
        <w:t> </w:t>
      </w:r>
      <w:r>
        <w:t>—</w:t>
      </w:r>
      <w:r>
        <w:rPr>
          <w:rStyle w:val="CharDivText"/>
        </w:rPr>
        <w:t> </w:t>
      </w:r>
      <w:r>
        <w:rPr>
          <w:rStyle w:val="CharPartText"/>
        </w:rPr>
        <w:t>Miscellaneous</w:t>
      </w:r>
      <w:bookmarkEnd w:id="184"/>
      <w:bookmarkEnd w:id="185"/>
      <w:bookmarkEnd w:id="186"/>
    </w:p>
    <w:p>
      <w:pPr>
        <w:pStyle w:val="Footnoteheading"/>
      </w:pPr>
      <w:r>
        <w:tab/>
        <w:t>[Heading inserted: Gazette 25 Jul 2014 p. 2591.]</w:t>
      </w:r>
    </w:p>
    <w:p>
      <w:pPr>
        <w:pStyle w:val="Heading5"/>
        <w:rPr>
          <w:snapToGrid w:val="0"/>
        </w:rPr>
      </w:pPr>
      <w:bookmarkStart w:id="187" w:name="_Toc178090491"/>
      <w:r>
        <w:rPr>
          <w:rStyle w:val="CharSectno"/>
        </w:rPr>
        <w:t>68</w:t>
      </w:r>
      <w:r>
        <w:rPr>
          <w:snapToGrid w:val="0"/>
        </w:rPr>
        <w:t>.</w:t>
      </w:r>
      <w:r>
        <w:rPr>
          <w:snapToGrid w:val="0"/>
        </w:rPr>
        <w:tab/>
      </w:r>
      <w:r>
        <w:t>Duty of owner or master</w:t>
      </w:r>
      <w:bookmarkEnd w:id="187"/>
    </w:p>
    <w:p>
      <w:pPr>
        <w:pStyle w:val="Subsection"/>
        <w:rPr>
          <w:snapToGrid w:val="0"/>
        </w:rPr>
      </w:pPr>
      <w:r>
        <w:rPr>
          <w:snapToGrid w:val="0"/>
        </w:rPr>
        <w:tab/>
      </w:r>
      <w:r>
        <w:rPr>
          <w:snapToGrid w:val="0"/>
        </w:rPr>
        <w:tab/>
        <w:t xml:space="preserve">Where by these regulations an act is required to be done, or forbidden to be done in relation to any vessel, the owner or </w:t>
      </w:r>
      <w:r>
        <w:t>master of the vessel</w:t>
      </w:r>
      <w:r>
        <w:rPr>
          <w:snapToGrid w:val="0"/>
        </w:rPr>
        <w:t xml:space="preserve">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Gazette 11 Sep 1987 p. 3545; amended: SL 2024/191 r. 37.] </w:t>
      </w:r>
    </w:p>
    <w:p>
      <w:pPr>
        <w:pStyle w:val="Heading5"/>
      </w:pPr>
      <w:bookmarkStart w:id="188" w:name="_Toc178090492"/>
      <w:r>
        <w:rPr>
          <w:rStyle w:val="CharSectno"/>
        </w:rPr>
        <w:t>69</w:t>
      </w:r>
      <w:r>
        <w:t>.</w:t>
      </w:r>
      <w:r>
        <w:tab/>
        <w:t>Form of warrant</w:t>
      </w:r>
      <w:bookmarkEnd w:id="188"/>
    </w:p>
    <w:p>
      <w:pPr>
        <w:pStyle w:val="Subsection"/>
      </w:pPr>
      <w:r>
        <w:tab/>
      </w:r>
      <w:r>
        <w:tab/>
        <w:t xml:space="preserve">For the purposes of the </w:t>
      </w:r>
      <w:r>
        <w:rPr>
          <w:i/>
          <w:iCs/>
        </w:rPr>
        <w:t>Western Australian Marine Act 1982</w:t>
      </w:r>
      <w:r>
        <w:t xml:space="preserve"> section 26(5) a warrant must be in the form of Schedule 1 Form 4.</w:t>
      </w:r>
    </w:p>
    <w:p>
      <w:pPr>
        <w:pStyle w:val="Footnotesection"/>
      </w:pPr>
      <w:r>
        <w:tab/>
        <w:t>[Regulation 69 inserted: SL 2023/204 r. 4.]</w:t>
      </w:r>
    </w:p>
    <w:p>
      <w:pPr>
        <w:pStyle w:val="Heading5"/>
      </w:pPr>
      <w:bookmarkStart w:id="189" w:name="_Toc178090493"/>
      <w:r>
        <w:rPr>
          <w:rStyle w:val="CharSectno"/>
        </w:rPr>
        <w:t>70</w:t>
      </w:r>
      <w:r>
        <w:t>.</w:t>
      </w:r>
      <w:r>
        <w:tab/>
        <w:t>Form of order to produce</w:t>
      </w:r>
      <w:bookmarkEnd w:id="189"/>
    </w:p>
    <w:p>
      <w:pPr>
        <w:pStyle w:val="Subsection"/>
      </w:pPr>
      <w:r>
        <w:tab/>
      </w:r>
      <w:r>
        <w:tab/>
        <w:t xml:space="preserve">For the purposes of the </w:t>
      </w:r>
      <w:r>
        <w:rPr>
          <w:i/>
          <w:iCs/>
        </w:rPr>
        <w:t>Western Australian Marine Act 1982</w:t>
      </w:r>
      <w:r>
        <w:t xml:space="preserve"> section 18D(4) an order to produce must be in the form of Schedule 1 Form 5.</w:t>
      </w:r>
    </w:p>
    <w:p>
      <w:pPr>
        <w:pStyle w:val="Footnotesection"/>
        <w:ind w:left="890" w:hanging="890"/>
      </w:pPr>
      <w:r>
        <w:tab/>
        <w:t xml:space="preserve">[Regulation 70 inserted: SL 2024/62 r. 6.] </w:t>
      </w:r>
    </w:p>
    <w:p>
      <w:pPr>
        <w:pStyle w:val="Heading5"/>
      </w:pPr>
      <w:bookmarkStart w:id="190" w:name="_Toc178090494"/>
      <w:r>
        <w:rPr>
          <w:rStyle w:val="CharSectno"/>
        </w:rPr>
        <w:t>71</w:t>
      </w:r>
      <w:r>
        <w:t>.</w:t>
      </w:r>
      <w:r>
        <w:tab/>
        <w:t>Disclosure of information by Commissioner of Police</w:t>
      </w:r>
      <w:bookmarkEnd w:id="190"/>
    </w:p>
    <w:p>
      <w:pPr>
        <w:pStyle w:val="Subsection"/>
      </w:pPr>
      <w:r>
        <w:tab/>
        <w:t>(1)</w:t>
      </w:r>
      <w:r>
        <w:tab/>
        <w:t xml:space="preserve">In this regulation — </w:t>
      </w:r>
    </w:p>
    <w:p>
      <w:pPr>
        <w:pStyle w:val="Defstart"/>
      </w:pPr>
      <w:r>
        <w:tab/>
      </w:r>
      <w:r>
        <w:rPr>
          <w:rStyle w:val="CharDefText"/>
        </w:rPr>
        <w:t>criminal intelligence information</w:t>
      </w:r>
      <w:r>
        <w:t xml:space="preserve"> means — </w:t>
      </w:r>
    </w:p>
    <w:p>
      <w:pPr>
        <w:pStyle w:val="Defpara"/>
      </w:pPr>
      <w:r>
        <w:tab/>
        <w:t>(a)</w:t>
      </w:r>
      <w:r>
        <w:tab/>
        <w:t>information relating to actual or suspected criminal activity (whether in this State or elsewhere) the disclosure of which could reasonably be expected —</w:t>
      </w:r>
    </w:p>
    <w:p>
      <w:pPr>
        <w:pStyle w:val="Defsubpara"/>
      </w:pPr>
      <w:r>
        <w:tab/>
        <w:t>(i)</w:t>
      </w:r>
      <w:r>
        <w:tab/>
        <w:t>to prejudice criminal investigations; or</w:t>
      </w:r>
    </w:p>
    <w:p>
      <w:pPr>
        <w:pStyle w:val="Defsubpara"/>
      </w:pPr>
      <w:r>
        <w:lastRenderedPageBreak/>
        <w:tab/>
        <w:t>(ii)</w:t>
      </w:r>
      <w:r>
        <w:tab/>
        <w:t>to enable the discovery of the existence or identity of a confidential source of information relevant to law enforcement; or</w:t>
      </w:r>
    </w:p>
    <w:p>
      <w:pPr>
        <w:pStyle w:val="Defsubpara"/>
      </w:pPr>
      <w:r>
        <w:tab/>
        <w:t>(iii)</w:t>
      </w:r>
      <w:r>
        <w:tab/>
        <w:t>to endanger a person’s life or physical safety;</w:t>
      </w:r>
    </w:p>
    <w:p>
      <w:pPr>
        <w:pStyle w:val="Defpara"/>
      </w:pPr>
      <w:r>
        <w:tab/>
      </w:r>
      <w:r>
        <w:tab/>
        <w:t>or</w:t>
      </w:r>
    </w:p>
    <w:p>
      <w:pPr>
        <w:pStyle w:val="Defpara"/>
      </w:pPr>
      <w:r>
        <w:tab/>
        <w:t>(b)</w:t>
      </w:r>
      <w:r>
        <w:tab/>
        <w:t xml:space="preserve">information the disclosure of which could reasonably be expected to reveal and prejudice the effectiveness of any of the following — </w:t>
      </w:r>
    </w:p>
    <w:p>
      <w:pPr>
        <w:pStyle w:val="Defsubpara"/>
      </w:pPr>
      <w:r>
        <w:tab/>
        <w:t>(i)</w:t>
      </w:r>
      <w:r>
        <w:tab/>
        <w:t>police information</w:t>
      </w:r>
      <w:r>
        <w:noBreakHyphen/>
        <w:t>gathering or surveillance methods;</w:t>
      </w:r>
    </w:p>
    <w:p>
      <w:pPr>
        <w:pStyle w:val="Defsubpara"/>
      </w:pPr>
      <w:r>
        <w:tab/>
        <w:t>(ii)</w:t>
      </w:r>
      <w:r>
        <w:tab/>
        <w:t>police procedures for preventing, detecting, investigating or dealing with matters arising out of breaches of the law.</w:t>
      </w:r>
    </w:p>
    <w:p>
      <w:pPr>
        <w:pStyle w:val="Subsection"/>
        <w:rPr>
          <w:rStyle w:val="DraftersNotes"/>
          <w:b w:val="0"/>
          <w:i w:val="0"/>
        </w:rPr>
      </w:pPr>
      <w:r>
        <w:tab/>
        <w:t>(2)</w:t>
      </w:r>
      <w:r>
        <w:tab/>
        <w:t xml:space="preserve">The information prescribed for the purposes of the </w:t>
      </w:r>
      <w:r>
        <w:rPr>
          <w:i/>
          <w:iCs/>
        </w:rPr>
        <w:t>Western Australian Marine Act 1982</w:t>
      </w:r>
      <w:r>
        <w:t xml:space="preserve"> section 109(3) is information, other than criminal intelligence information, relating to the actual or suspected conduct of a person that may indicate that the person poses a risk of violence.</w:t>
      </w:r>
    </w:p>
    <w:p>
      <w:pPr>
        <w:pStyle w:val="Footnotesection"/>
        <w:ind w:left="890" w:hanging="890"/>
      </w:pPr>
      <w:r>
        <w:tab/>
        <w:t xml:space="preserve">[Regulation 71 inserted: SL 2024/62 r. 6.] </w:t>
      </w:r>
    </w:p>
    <w:p>
      <w:pPr>
        <w:pStyle w:val="Heading5"/>
      </w:pPr>
      <w:bookmarkStart w:id="191" w:name="_Toc178090495"/>
      <w:r>
        <w:rPr>
          <w:rStyle w:val="CharSectno"/>
        </w:rPr>
        <w:t>72</w:t>
      </w:r>
      <w:r>
        <w:t>.</w:t>
      </w:r>
      <w:r>
        <w:tab/>
        <w:t>Disclosure of information: prescribed persons</w:t>
      </w:r>
      <w:bookmarkEnd w:id="191"/>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iCs/>
        </w:rPr>
        <w:t>Public Service Act 1999</w:t>
      </w:r>
      <w:r>
        <w:t xml:space="preserve"> (Commonwealth) section 7;</w:t>
      </w:r>
    </w:p>
    <w:p>
      <w:pPr>
        <w:pStyle w:val="Defstart"/>
      </w:pPr>
      <w:r>
        <w:tab/>
      </w:r>
      <w:r>
        <w:rPr>
          <w:rStyle w:val="CharDefText"/>
        </w:rPr>
        <w:t>CEO</w:t>
      </w:r>
      <w:r>
        <w:t xml:space="preserve"> means the chief executive officer.</w:t>
      </w:r>
    </w:p>
    <w:p>
      <w:pPr>
        <w:pStyle w:val="Subsection"/>
      </w:pPr>
      <w:r>
        <w:tab/>
        <w:t>(2)</w:t>
      </w:r>
      <w:r>
        <w:tab/>
        <w:t xml:space="preserve">For the purposes of the definition of </w:t>
      </w:r>
      <w:r>
        <w:rPr>
          <w:b/>
          <w:bCs/>
          <w:i/>
          <w:iCs/>
        </w:rPr>
        <w:t>prescribed person</w:t>
      </w:r>
      <w:r>
        <w:t xml:space="preserve"> in the </w:t>
      </w:r>
      <w:r>
        <w:rPr>
          <w:i/>
          <w:iCs/>
        </w:rPr>
        <w:t>Western Australian Marine Act 1982</w:t>
      </w:r>
      <w:r>
        <w:t xml:space="preserve"> section 111(1), the following are prescribed — </w:t>
      </w:r>
    </w:p>
    <w:p>
      <w:pPr>
        <w:pStyle w:val="Indenta"/>
      </w:pPr>
      <w:r>
        <w:tab/>
        <w:t>(a)</w:t>
      </w:r>
      <w:r>
        <w:tab/>
        <w:t xml:space="preserve">the Chairperson of ASIC, as defined in the </w:t>
      </w:r>
      <w:r>
        <w:rPr>
          <w:i/>
          <w:iCs/>
        </w:rPr>
        <w:t>Australian Securities and Investments Commission Act 2001</w:t>
      </w:r>
      <w:r>
        <w:t xml:space="preserve"> (Commonwealth) section 5(1), or a staff member, as </w:t>
      </w:r>
      <w:r>
        <w:lastRenderedPageBreak/>
        <w:t>defined in that subsection, nominated by the Chairperson to the CEO;</w:t>
      </w:r>
    </w:p>
    <w:p>
      <w:pPr>
        <w:pStyle w:val="Indenta"/>
      </w:pPr>
      <w:r>
        <w:tab/>
        <w:t>(b)</w:t>
      </w:r>
      <w:r>
        <w:tab/>
        <w:t xml:space="preserve">the Commissioner, as defined in the </w:t>
      </w:r>
      <w:r>
        <w:rPr>
          <w:i/>
          <w:iCs/>
        </w:rPr>
        <w:t>Australian Federal Police Act 1979</w:t>
      </w:r>
      <w:r>
        <w:t xml:space="preserve"> (Commonwealth) section 4(1), or an AFP employee, as defined in that subsection, nominated by the Commissioner to the CEO;</w:t>
      </w:r>
    </w:p>
    <w:p>
      <w:pPr>
        <w:pStyle w:val="Indenta"/>
      </w:pPr>
      <w:r>
        <w:tab/>
        <w:t>(c)</w:t>
      </w:r>
      <w:r>
        <w:tab/>
        <w:t xml:space="preserve">the Australian Border Force Commissioner, appointed under the </w:t>
      </w:r>
      <w:r>
        <w:rPr>
          <w:i/>
          <w:iCs/>
        </w:rPr>
        <w:t>Australian Border Force Act 2015</w:t>
      </w:r>
      <w:r>
        <w:t xml:space="preserve"> (Commonwealth) section 11(1) (</w:t>
      </w:r>
      <w:r>
        <w:rPr>
          <w:rStyle w:val="CharDefText"/>
        </w:rPr>
        <w:t>ABF Commissioner</w:t>
      </w:r>
      <w:r>
        <w:t>), or an Immigration and Border Protection worker, as defined in section 4(1) of that Act, nominated by the ABF Commissioner to the CEO;</w:t>
      </w:r>
    </w:p>
    <w:p>
      <w:pPr>
        <w:pStyle w:val="Indenta"/>
      </w:pPr>
      <w:r>
        <w:tab/>
        <w:t>(d)</w:t>
      </w:r>
      <w:r>
        <w:tab/>
        <w:t>the Comptroller</w:t>
      </w:r>
      <w:r>
        <w:noBreakHyphen/>
        <w:t xml:space="preserve">General of Customs, referred to in the </w:t>
      </w:r>
      <w:r>
        <w:rPr>
          <w:i/>
          <w:iCs/>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(e)</w:t>
      </w:r>
      <w:r>
        <w:tab/>
        <w:t xml:space="preserve">the Chief of the Defence Force, appointed under the </w:t>
      </w:r>
      <w:r>
        <w:rPr>
          <w:i/>
          <w:iCs/>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(f)</w:t>
      </w:r>
      <w:r>
        <w:tab/>
        <w:t>the Inspector</w:t>
      </w:r>
      <w:r>
        <w:noBreakHyphen/>
        <w:t xml:space="preserve">General, as defined in the </w:t>
      </w:r>
      <w:r>
        <w:rPr>
          <w:i/>
          <w:iCs/>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(g)</w:t>
      </w:r>
      <w:r>
        <w:tab/>
        <w:t xml:space="preserve">the Registrar, as defined in the </w:t>
      </w:r>
      <w:r>
        <w:rPr>
          <w:i/>
          <w:iCs/>
        </w:rPr>
        <w:t>Child Support (Registration and Collection) Act 1988</w:t>
      </w:r>
      <w:r>
        <w:t xml:space="preserve"> (Commonwealth) section 4(1), or an APS employee of the department of the Commonwealth public service principally assisting the Commonwealth Minister in the administration of that Act nominated by the Registrar to the CEO;</w:t>
      </w:r>
    </w:p>
    <w:p>
      <w:pPr>
        <w:pStyle w:val="Indenta"/>
      </w:pPr>
      <w:r>
        <w:lastRenderedPageBreak/>
        <w:tab/>
        <w:t>(h)</w:t>
      </w:r>
      <w:r>
        <w:tab/>
        <w:t xml:space="preserve">the Electoral Commissioner, as defined in the </w:t>
      </w:r>
      <w:r>
        <w:rPr>
          <w:i/>
          <w:iCs/>
        </w:rPr>
        <w:t>Commonwealth Electoral Act 1918</w:t>
      </w:r>
      <w:r>
        <w:t xml:space="preserve"> (Commonwealth) section 4(1), or a member of the staff mentioned in section 29 of that Act nominated by the Electoral Commissioner to the CEO;</w:t>
      </w:r>
    </w:p>
    <w:p>
      <w:pPr>
        <w:pStyle w:val="Indenta"/>
      </w:pPr>
      <w:r>
        <w:tab/>
        <w:t>(i)</w:t>
      </w:r>
      <w:r>
        <w:tab/>
        <w:t xml:space="preserve">the Commissioner, as defined in the </w:t>
      </w:r>
      <w:r>
        <w:rPr>
          <w:i/>
          <w:iCs/>
        </w:rPr>
        <w:t>Corruption, Crime and Misconduct Act 2003</w:t>
      </w:r>
      <w:r>
        <w:t xml:space="preserve"> section 3(1), or another officer of the Commission, as defined in that subsection, nominated by the Commissioner to the CEO;</w:t>
      </w:r>
    </w:p>
    <w:p>
      <w:pPr>
        <w:pStyle w:val="Indenta"/>
      </w:pPr>
      <w:r>
        <w:tab/>
        <w:t>(j)</w:t>
      </w:r>
      <w:r>
        <w:tab/>
        <w:t xml:space="preserve">the Electoral Commissioner, as defined in the </w:t>
      </w:r>
      <w:r>
        <w:rPr>
          <w:i/>
          <w:iCs/>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iCs/>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iCs/>
        </w:rPr>
        <w:t>Human Services (Centrelink) Act 1997</w:t>
      </w:r>
      <w:r>
        <w:t xml:space="preserve"> (Commonwealth) section 3, or a Departmental employee, as defined in that section, nominated by the Chief Executive Centrelink to the CEO;</w:t>
      </w:r>
    </w:p>
    <w:p>
      <w:pPr>
        <w:pStyle w:val="Indenta"/>
      </w:pPr>
      <w:r>
        <w:tab/>
        <w:t>(m)</w:t>
      </w:r>
      <w:r>
        <w:tab/>
        <w:t xml:space="preserve">a CEO of a local government, as defined in the </w:t>
      </w:r>
      <w:r>
        <w:rPr>
          <w:i/>
          <w:iCs/>
        </w:rPr>
        <w:t>Local Government Act 1995</w:t>
      </w:r>
      <w:r>
        <w:t xml:space="preserve"> section 1.4 (</w:t>
      </w:r>
      <w:r>
        <w:rPr>
          <w:rStyle w:val="CharDefText"/>
        </w:rPr>
        <w:t>LG CEO</w:t>
      </w:r>
      <w:r>
        <w:t>), or an employee of that local government, as defined in that section, nominated by the LG CEO to the CEO;</w:t>
      </w:r>
    </w:p>
    <w:p>
      <w:pPr>
        <w:pStyle w:val="Indenta"/>
      </w:pPr>
      <w:r>
        <w:tab/>
        <w:t>(n)</w:t>
      </w:r>
      <w:r>
        <w:tab/>
        <w:t xml:space="preserve">the chief executive officer of a GTE, as defined in the </w:t>
      </w:r>
      <w:r>
        <w:rPr>
          <w:i/>
          <w:iCs/>
        </w:rPr>
        <w:t>Government Trading Enterprises Act 2023</w:t>
      </w:r>
      <w:r>
        <w:t xml:space="preserve"> section 3(1) (</w:t>
      </w:r>
      <w:r>
        <w:rPr>
          <w:rStyle w:val="CharDefText"/>
        </w:rPr>
        <w:t>GTE CEO</w:t>
      </w:r>
      <w:r>
        <w:t>), or a member of staff of the GTE, as defined in that subsection, nominated by the GTE CEO to the CEO;</w:t>
      </w:r>
    </w:p>
    <w:p>
      <w:pPr>
        <w:pStyle w:val="Indenta"/>
      </w:pPr>
      <w:r>
        <w:tab/>
        <w:t>(o)</w:t>
      </w:r>
      <w:r>
        <w:tab/>
        <w:t xml:space="preserve">the chief executive officer of an agency, as defined in the </w:t>
      </w:r>
      <w:r>
        <w:rPr>
          <w:i/>
          <w:iCs/>
        </w:rPr>
        <w:t>Public Sector Management Act 1994</w:t>
      </w:r>
      <w:r>
        <w:t xml:space="preserve"> section 3(1), or a person employed in that agency nominated by the chief executive officer to the CEO;</w:t>
      </w:r>
    </w:p>
    <w:p>
      <w:pPr>
        <w:pStyle w:val="Indenta"/>
      </w:pPr>
      <w:r>
        <w:lastRenderedPageBreak/>
        <w:tab/>
        <w:t>(p)</w:t>
      </w:r>
      <w:r>
        <w:tab/>
        <w:t xml:space="preserve">an Agency Head, as defined in the </w:t>
      </w:r>
      <w:r>
        <w:rPr>
          <w:i/>
          <w:iCs/>
        </w:rPr>
        <w:t>Public Service Act 1999</w:t>
      </w:r>
      <w:r>
        <w:t xml:space="preserve"> (Commonwealth) section 7, or an APS employee of the Agency Head’s Agency nominated by the Agency Head to the CEO;</w:t>
      </w:r>
    </w:p>
    <w:p>
      <w:pPr>
        <w:pStyle w:val="Indenta"/>
      </w:pPr>
      <w:r>
        <w:tab/>
        <w:t>(q)</w:t>
      </w:r>
      <w:r>
        <w:tab/>
        <w:t xml:space="preserve">the Commissioner, as defined in the </w:t>
      </w:r>
      <w:r>
        <w:rPr>
          <w:i/>
          <w:iCs/>
        </w:rPr>
        <w:t>Taxation Administration Act 1953</w:t>
      </w:r>
      <w:r>
        <w:t xml:space="preserve"> (Commonwealth) section 2(1), or a member of the staff mentioned in section 4A of that Act nominated by the Commissioner to the CEO;</w:t>
      </w:r>
    </w:p>
    <w:p>
      <w:pPr>
        <w:pStyle w:val="Indenta"/>
      </w:pPr>
      <w:r>
        <w:tab/>
        <w:t>(r)</w:t>
      </w:r>
      <w:r>
        <w:tab/>
        <w:t xml:space="preserve">a registered liquidator appointed under the </w:t>
      </w:r>
      <w:r>
        <w:rPr>
          <w:i/>
          <w:iCs/>
        </w:rPr>
        <w:t>Corporations Act 2001</w:t>
      </w:r>
      <w:r>
        <w:t xml:space="preserve"> (Commonwealth) section 472(1) or a liquidator appointed under section 489EC(1) of that Act;</w:t>
      </w:r>
    </w:p>
    <w:p>
      <w:pPr>
        <w:pStyle w:val="Indenta"/>
        <w:rPr>
          <w:rStyle w:val="DraftersNotes"/>
          <w:b w:val="0"/>
          <w:i w:val="0"/>
        </w:rPr>
      </w:pPr>
      <w:r>
        <w:tab/>
        <w:t>(s)</w:t>
      </w:r>
      <w:r>
        <w:tab/>
        <w:t xml:space="preserve">a registered trustee of the estate of a bankrupt appointed under the </w:t>
      </w:r>
      <w:r>
        <w:rPr>
          <w:i/>
          <w:iCs/>
        </w:rPr>
        <w:t>Bankruptcy Act 1966</w:t>
      </w:r>
      <w:r>
        <w:t xml:space="preserve"> (Commonwealth);</w:t>
      </w:r>
    </w:p>
    <w:p>
      <w:pPr>
        <w:pStyle w:val="Indenta"/>
      </w:pPr>
      <w:r>
        <w:tab/>
        <w:t>(t)</w:t>
      </w:r>
      <w:r>
        <w:tab/>
        <w:t>the Commissioner (however designated) of the police force of another State or of the Northern Territory, or another officer of that police force nominated by the Commissioner of that police force to the CEO;</w:t>
      </w:r>
    </w:p>
    <w:p>
      <w:pPr>
        <w:pStyle w:val="Indenta"/>
      </w:pPr>
      <w:r>
        <w:tab/>
        <w:t>(u)</w:t>
      </w:r>
      <w:r>
        <w:tab/>
        <w:t>the chief executive officer (however designated) of a department of the public service of another State, the Australian Capital Territory or the Northern Territory, or a person employed in that department nominated by the chief executive officer of that department to the CEO;</w:t>
      </w:r>
    </w:p>
    <w:p>
      <w:pPr>
        <w:pStyle w:val="Indenta"/>
      </w:pPr>
      <w:r>
        <w:tab/>
        <w:t>(v)</w:t>
      </w:r>
      <w:r>
        <w:tab/>
        <w:t>the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Footnotesection"/>
        <w:ind w:left="890" w:hanging="890"/>
      </w:pPr>
      <w:r>
        <w:tab/>
        <w:t xml:space="preserve">[Regulation 72 inserted: SL 2024/62 r. 6; amended: SL 2024/191 r. 38.] </w:t>
      </w:r>
    </w:p>
    <w:p>
      <w:pPr>
        <w:pStyle w:val="Footnotesection"/>
        <w:rPr>
          <w:i w:val="0"/>
          <w:iCs/>
        </w:rPr>
      </w:pP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192" w:name="_Toc178064405"/>
      <w:bookmarkStart w:id="193" w:name="_Toc178084878"/>
      <w:bookmarkStart w:id="194" w:name="_Toc178090496"/>
      <w:r>
        <w:rPr>
          <w:rStyle w:val="CharSchNo"/>
        </w:rPr>
        <w:lastRenderedPageBreak/>
        <w:t>Schedule 1</w:t>
      </w:r>
      <w:bookmarkEnd w:id="192"/>
      <w:bookmarkEnd w:id="193"/>
      <w:bookmarkEnd w:id="194"/>
    </w:p>
    <w:p>
      <w:pPr>
        <w:pStyle w:val="yShoulderClause"/>
      </w:pPr>
      <w:r>
        <w:t>[r. 69 and 70]</w:t>
      </w:r>
    </w:p>
    <w:p>
      <w:pPr>
        <w:pStyle w:val="yFootnoteheading"/>
      </w:pPr>
      <w:r>
        <w:tab/>
        <w:t>[Heading inserted: SL 2021/161 r. 5; amended: SL 2023/204 r. 5; SL 2024/62 r. 7; SL 2024/191 r. 39(1).]</w:t>
      </w:r>
    </w:p>
    <w:p>
      <w:pPr>
        <w:pStyle w:val="yFootnotesection"/>
      </w:pPr>
      <w:r>
        <w:t>[Forms 1-3 deleted: SL 2024/191 r. 39(2).]</w:t>
      </w:r>
    </w:p>
    <w:p>
      <w:pPr>
        <w:pStyle w:val="yMiscellaneousHeading"/>
        <w:spacing w:before="240" w:after="160"/>
      </w:pPr>
      <w:r>
        <w:rPr>
          <w:rStyle w:val="CharSClsNo"/>
          <w:b/>
        </w:rPr>
        <w:t>Form 4</w:t>
      </w:r>
    </w:p>
    <w:p>
      <w:pPr>
        <w:pStyle w:val="yMiscellaneousBody"/>
        <w:jc w:val="center"/>
        <w:rPr>
          <w:bCs/>
        </w:rPr>
      </w:pPr>
      <w:r>
        <w:rPr>
          <w:bCs/>
        </w:rPr>
        <w:t>ENTRY WARRANT</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790"/>
        <w:gridCol w:w="202"/>
        <w:gridCol w:w="284"/>
        <w:gridCol w:w="1843"/>
        <w:gridCol w:w="708"/>
        <w:gridCol w:w="1385"/>
      </w:tblGrid>
      <w:tr>
        <w:tc>
          <w:tcPr>
            <w:tcW w:w="6913" w:type="dxa"/>
            <w:gridSpan w:val="7"/>
            <w:tcBorders>
              <w:bottom w:val="nil"/>
            </w:tcBorders>
            <w:noWrap/>
            <w:vAlign w:val="center"/>
          </w:tcPr>
          <w:p>
            <w:pPr>
              <w:pStyle w:val="yMiscellaneousHeading"/>
              <w:ind w:right="-1"/>
            </w:pPr>
            <w:r>
              <w:rPr>
                <w:i/>
                <w:iCs/>
              </w:rPr>
              <w:t>Western Australian Marine Act 1982</w:t>
            </w:r>
          </w:p>
          <w:p>
            <w:pPr>
              <w:pStyle w:val="yMiscellaneousHeading"/>
              <w:spacing w:before="120"/>
              <w:rPr>
                <w:b/>
                <w:bCs/>
              </w:rPr>
            </w:pPr>
            <w:r>
              <w:rPr>
                <w:b/>
                <w:bCs/>
              </w:rPr>
              <w:t>Entry warrant</w:t>
            </w:r>
          </w:p>
        </w:tc>
      </w:tr>
      <w:tr>
        <w:tc>
          <w:tcPr>
            <w:tcW w:w="1701" w:type="dxa"/>
            <w:noWrap/>
          </w:tcPr>
          <w:p>
            <w:pPr>
              <w:pStyle w:val="yTableNAm"/>
              <w:rPr>
                <w:b/>
                <w:bCs/>
              </w:rPr>
            </w:pPr>
            <w:r>
              <w:rPr>
                <w:b/>
                <w:bCs/>
              </w:rPr>
              <w:t>To</w:t>
            </w:r>
          </w:p>
        </w:tc>
        <w:tc>
          <w:tcPr>
            <w:tcW w:w="5212" w:type="dxa"/>
            <w:gridSpan w:val="6"/>
            <w:shd w:val="clear" w:color="auto" w:fill="auto"/>
            <w:noWrap/>
          </w:tcPr>
          <w:p>
            <w:pPr>
              <w:pStyle w:val="yTableNAm"/>
            </w:pPr>
            <w:r>
              <w:t>The applicant.</w:t>
            </w:r>
          </w:p>
        </w:tc>
      </w:tr>
      <w:tr>
        <w:tc>
          <w:tcPr>
            <w:tcW w:w="1701" w:type="dxa"/>
            <w:tcBorders>
              <w:bottom w:val="single" w:sz="4" w:space="0" w:color="auto"/>
            </w:tcBorders>
            <w:noWrap/>
          </w:tcPr>
          <w:p>
            <w:pPr>
              <w:pStyle w:val="yTableNAm"/>
              <w:rPr>
                <w:b/>
                <w:bCs/>
              </w:rPr>
            </w:pPr>
            <w:r>
              <w:rPr>
                <w:b/>
                <w:bCs/>
              </w:rPr>
              <w:t>Application</w:t>
            </w:r>
          </w:p>
        </w:tc>
        <w:tc>
          <w:tcPr>
            <w:tcW w:w="5212" w:type="dxa"/>
            <w:gridSpan w:val="6"/>
            <w:tcBorders>
              <w:bottom w:val="single" w:sz="4" w:space="0" w:color="auto"/>
            </w:tcBorders>
            <w:noWrap/>
          </w:tcPr>
          <w:p>
            <w:pPr>
              <w:pStyle w:val="yTableNAm"/>
            </w:pPr>
            <w:r>
              <w:t xml:space="preserve">The applicant has applied under the </w:t>
            </w:r>
            <w:r>
              <w:rPr>
                <w:i/>
                <w:iCs/>
              </w:rPr>
              <w:t>Western Australian Marine Act 1982</w:t>
            </w:r>
            <w:r>
              <w:t xml:space="preserve"> s. 26 to me, a magistrate, for an entry warrant.</w:t>
            </w:r>
          </w:p>
        </w:tc>
      </w:tr>
      <w:tr>
        <w:trPr>
          <w:trHeight w:val="467"/>
        </w:trPr>
        <w:tc>
          <w:tcPr>
            <w:tcW w:w="1701" w:type="dxa"/>
            <w:tcBorders>
              <w:bottom w:val="single" w:sz="4" w:space="0" w:color="auto"/>
            </w:tcBorders>
            <w:noWrap/>
          </w:tcPr>
          <w:p>
            <w:pPr>
              <w:pStyle w:val="yTableNAm"/>
              <w:rPr>
                <w:b/>
                <w:bCs/>
              </w:rPr>
            </w:pPr>
            <w:r>
              <w:rPr>
                <w:b/>
                <w:bCs/>
              </w:rPr>
              <w:t>Official details of applicant</w:t>
            </w:r>
          </w:p>
        </w:tc>
        <w:tc>
          <w:tcPr>
            <w:tcW w:w="1276" w:type="dxa"/>
            <w:gridSpan w:val="3"/>
            <w:tcBorders>
              <w:bottom w:val="single" w:sz="4" w:space="0" w:color="auto"/>
              <w:right w:val="nil"/>
            </w:tcBorders>
            <w:noWrap/>
          </w:tcPr>
          <w:p>
            <w:pPr>
              <w:pStyle w:val="yTableNAm"/>
            </w:pPr>
          </w:p>
        </w:tc>
        <w:tc>
          <w:tcPr>
            <w:tcW w:w="3936" w:type="dxa"/>
            <w:gridSpan w:val="3"/>
            <w:tcBorders>
              <w:left w:val="nil"/>
              <w:bottom w:val="single" w:sz="4" w:space="0" w:color="auto"/>
            </w:tcBorders>
            <w:noWrap/>
          </w:tcPr>
          <w:p>
            <w:pPr>
              <w:pStyle w:val="yTableNAm"/>
            </w:pPr>
          </w:p>
        </w:tc>
      </w:tr>
      <w:tr>
        <w:trPr>
          <w:trHeight w:val="221"/>
        </w:trPr>
        <w:tc>
          <w:tcPr>
            <w:tcW w:w="1701" w:type="dxa"/>
            <w:noWrap/>
          </w:tcPr>
          <w:p>
            <w:pPr>
              <w:pStyle w:val="yTableNAm"/>
              <w:rPr>
                <w:b/>
                <w:bCs/>
              </w:rPr>
            </w:pPr>
            <w:r>
              <w:rPr>
                <w:b/>
                <w:bCs/>
              </w:rPr>
              <w:t>Suspected contravention(s)</w:t>
            </w:r>
          </w:p>
        </w:tc>
        <w:tc>
          <w:tcPr>
            <w:tcW w:w="1276" w:type="dxa"/>
            <w:gridSpan w:val="3"/>
            <w:noWrap/>
          </w:tcPr>
          <w:p>
            <w:pPr>
              <w:pStyle w:val="yTableNAm"/>
            </w:pPr>
            <w:r>
              <w:t>Provision(s)</w:t>
            </w:r>
          </w:p>
        </w:tc>
        <w:tc>
          <w:tcPr>
            <w:tcW w:w="3936" w:type="dxa"/>
            <w:gridSpan w:val="3"/>
            <w:noWrap/>
          </w:tcPr>
          <w:p>
            <w:pPr>
              <w:pStyle w:val="yTableNAm"/>
            </w:pPr>
          </w:p>
        </w:tc>
      </w:tr>
      <w:tr>
        <w:tc>
          <w:tcPr>
            <w:tcW w:w="1701" w:type="dxa"/>
            <w:noWrap/>
          </w:tcPr>
          <w:p>
            <w:pPr>
              <w:pStyle w:val="yTableNAm"/>
              <w:rPr>
                <w:b/>
                <w:bCs/>
              </w:rPr>
            </w:pPr>
            <w:r>
              <w:rPr>
                <w:b/>
                <w:bCs/>
              </w:rPr>
              <w:t>Warrant</w:t>
            </w:r>
          </w:p>
        </w:tc>
        <w:tc>
          <w:tcPr>
            <w:tcW w:w="5212" w:type="dxa"/>
            <w:gridSpan w:val="6"/>
            <w:noWrap/>
          </w:tcPr>
          <w:p>
            <w:pPr>
              <w:pStyle w:val="yTableNAm"/>
            </w:pPr>
            <w:r>
              <w:t xml:space="preserve">This warrant, issued under the </w:t>
            </w:r>
            <w:r>
              <w:rPr>
                <w:i/>
                <w:iCs/>
              </w:rPr>
              <w:t>Western Australian Marine Act 1982</w:t>
            </w:r>
            <w:r>
              <w:t xml:space="preserve"> section 26, authorises you to enter the premises described below for the purposes of Part 2 of that Act and exercise the powers in Part 2 of that Act in relation to the premises.</w:t>
            </w:r>
          </w:p>
          <w:p>
            <w:pPr>
              <w:pStyle w:val="yTableNAm"/>
            </w:pPr>
            <w:r>
              <w:t xml:space="preserve">The kind of evidential material that may be searched for under this warrant is — </w:t>
            </w:r>
          </w:p>
          <w:p>
            <w:pPr>
              <w:pStyle w:val="yTableNAm"/>
            </w:pPr>
          </w:p>
          <w:p>
            <w:pPr>
              <w:pStyle w:val="yTableNAm"/>
            </w:pPr>
            <w:r>
              <w:t xml:space="preserve">Entry is authorised under this warrant during the following hours — </w:t>
            </w:r>
          </w:p>
          <w:p>
            <w:pPr>
              <w:pStyle w:val="yTableNAm"/>
            </w:pPr>
          </w:p>
        </w:tc>
      </w:tr>
      <w:tr>
        <w:trPr>
          <w:trHeight w:val="530"/>
        </w:trPr>
        <w:tc>
          <w:tcPr>
            <w:tcW w:w="1701" w:type="dxa"/>
            <w:noWrap/>
          </w:tcPr>
          <w:p>
            <w:pPr>
              <w:pStyle w:val="yTableNAm"/>
              <w:rPr>
                <w:b/>
                <w:bCs/>
              </w:rPr>
            </w:pPr>
            <w:r>
              <w:rPr>
                <w:b/>
                <w:bCs/>
              </w:rPr>
              <w:t>Premises to be entered</w:t>
            </w:r>
          </w:p>
        </w:tc>
        <w:tc>
          <w:tcPr>
            <w:tcW w:w="5212" w:type="dxa"/>
            <w:gridSpan w:val="6"/>
            <w:noWrap/>
          </w:tcPr>
          <w:p>
            <w:pPr>
              <w:pStyle w:val="yTableNAm"/>
            </w:pPr>
          </w:p>
        </w:tc>
      </w:tr>
      <w:tr>
        <w:tc>
          <w:tcPr>
            <w:tcW w:w="1701" w:type="dxa"/>
            <w:tcBorders>
              <w:bottom w:val="single" w:sz="4" w:space="0" w:color="auto"/>
            </w:tcBorders>
            <w:noWrap/>
          </w:tcPr>
          <w:p>
            <w:pPr>
              <w:pStyle w:val="yTableNAm"/>
              <w:rPr>
                <w:b/>
                <w:bCs/>
              </w:rPr>
            </w:pPr>
            <w:r>
              <w:rPr>
                <w:b/>
                <w:bCs/>
              </w:rPr>
              <w:lastRenderedPageBreak/>
              <w:t>When warrant ceases to be in force</w:t>
            </w:r>
          </w:p>
        </w:tc>
        <w:tc>
          <w:tcPr>
            <w:tcW w:w="5212" w:type="dxa"/>
            <w:gridSpan w:val="6"/>
            <w:tcBorders>
              <w:bottom w:val="single" w:sz="4" w:space="0" w:color="auto"/>
            </w:tcBorders>
            <w:noWrap/>
          </w:tcPr>
          <w:p>
            <w:pPr>
              <w:pStyle w:val="yTableNAm"/>
            </w:pPr>
            <w:r>
              <w:t xml:space="preserve">This warrant ceases to be in force on the following day — </w:t>
            </w:r>
          </w:p>
        </w:tc>
      </w:tr>
      <w:tr>
        <w:trPr>
          <w:trHeight w:val="222"/>
        </w:trPr>
        <w:tc>
          <w:tcPr>
            <w:tcW w:w="1701" w:type="dxa"/>
            <w:vMerge w:val="restart"/>
            <w:tcBorders>
              <w:bottom w:val="single" w:sz="4" w:space="0" w:color="auto"/>
            </w:tcBorders>
            <w:noWrap/>
          </w:tcPr>
          <w:p>
            <w:pPr>
              <w:pStyle w:val="yTableNAm"/>
              <w:rPr>
                <w:b/>
                <w:bCs/>
              </w:rPr>
            </w:pPr>
            <w:r>
              <w:rPr>
                <w:b/>
                <w:bCs/>
              </w:rPr>
              <w:t>Issuing details</w:t>
            </w:r>
          </w:p>
        </w:tc>
        <w:tc>
          <w:tcPr>
            <w:tcW w:w="1276" w:type="dxa"/>
            <w:gridSpan w:val="3"/>
            <w:tcBorders>
              <w:bottom w:val="single" w:sz="4" w:space="0" w:color="auto"/>
            </w:tcBorders>
            <w:noWrap/>
          </w:tcPr>
          <w:p>
            <w:pPr>
              <w:pStyle w:val="yTableNAm"/>
            </w:pPr>
            <w:r>
              <w:t>Name of magistrate</w:t>
            </w:r>
          </w:p>
        </w:tc>
        <w:tc>
          <w:tcPr>
            <w:tcW w:w="3936" w:type="dxa"/>
            <w:gridSpan w:val="3"/>
            <w:tcBorders>
              <w:bottom w:val="single" w:sz="4" w:space="0" w:color="auto"/>
            </w:tcBorders>
            <w:noWrap/>
          </w:tcPr>
          <w:p>
            <w:pPr>
              <w:pStyle w:val="yTableNAm"/>
            </w:pPr>
          </w:p>
        </w:tc>
      </w:tr>
      <w:tr>
        <w:trPr>
          <w:trHeight w:val="221"/>
        </w:trPr>
        <w:tc>
          <w:tcPr>
            <w:tcW w:w="1701" w:type="dxa"/>
            <w:vMerge/>
            <w:tcBorders>
              <w:bottom w:val="single" w:sz="4" w:space="0" w:color="auto"/>
            </w:tcBorders>
            <w:noWrap/>
          </w:tcPr>
          <w:p/>
        </w:tc>
        <w:tc>
          <w:tcPr>
            <w:tcW w:w="1276" w:type="dxa"/>
            <w:gridSpan w:val="3"/>
            <w:tcBorders>
              <w:bottom w:val="single" w:sz="4" w:space="0" w:color="auto"/>
            </w:tcBorders>
            <w:noWrap/>
          </w:tcPr>
          <w:p>
            <w:pPr>
              <w:pStyle w:val="yTableNAm"/>
            </w:pPr>
            <w:r>
              <w:t>Date</w:t>
            </w:r>
          </w:p>
        </w:tc>
        <w:tc>
          <w:tcPr>
            <w:tcW w:w="1843" w:type="dxa"/>
            <w:tcBorders>
              <w:bottom w:val="single" w:sz="4" w:space="0" w:color="auto"/>
            </w:tcBorders>
            <w:noWrap/>
          </w:tcPr>
          <w:p>
            <w:pPr>
              <w:pStyle w:val="yTableNAm"/>
            </w:pPr>
          </w:p>
        </w:tc>
        <w:tc>
          <w:tcPr>
            <w:tcW w:w="708" w:type="dxa"/>
            <w:tcBorders>
              <w:bottom w:val="single" w:sz="4" w:space="0" w:color="auto"/>
            </w:tcBorders>
            <w:noWrap/>
          </w:tcPr>
          <w:p>
            <w:pPr>
              <w:pStyle w:val="yTableNAm"/>
            </w:pPr>
            <w:r>
              <w:t>Time</w:t>
            </w:r>
          </w:p>
        </w:tc>
        <w:tc>
          <w:tcPr>
            <w:tcW w:w="1385" w:type="dxa"/>
            <w:tcBorders>
              <w:bottom w:val="single" w:sz="4" w:space="0" w:color="auto"/>
            </w:tcBorders>
            <w:noWrap/>
          </w:tcPr>
          <w:p>
            <w:pPr>
              <w:pStyle w:val="yTableNAm"/>
            </w:pPr>
          </w:p>
        </w:tc>
      </w:tr>
      <w:tr>
        <w:tc>
          <w:tcPr>
            <w:tcW w:w="1701" w:type="dxa"/>
            <w:tcBorders>
              <w:top w:val="single" w:sz="4" w:space="0" w:color="auto"/>
              <w:bottom w:val="single" w:sz="12" w:space="0" w:color="auto"/>
            </w:tcBorders>
            <w:noWrap/>
          </w:tcPr>
          <w:p>
            <w:pPr>
              <w:pStyle w:val="yTableNAm"/>
              <w:rPr>
                <w:b/>
                <w:bCs/>
              </w:rPr>
            </w:pPr>
            <w:r>
              <w:rPr>
                <w:b/>
                <w:bCs/>
              </w:rPr>
              <w:t>Magistrate’s signature</w:t>
            </w:r>
          </w:p>
        </w:tc>
        <w:tc>
          <w:tcPr>
            <w:tcW w:w="5212" w:type="dxa"/>
            <w:gridSpan w:val="6"/>
            <w:tcBorders>
              <w:top w:val="single" w:sz="4" w:space="0" w:color="auto"/>
              <w:bottom w:val="single" w:sz="12" w:space="0" w:color="auto"/>
            </w:tcBorders>
            <w:noWrap/>
          </w:tcPr>
          <w:p>
            <w:pPr>
              <w:pStyle w:val="yTableNAm"/>
            </w:pPr>
            <w:r>
              <w:t>Issued by me on the above date and at the above time.</w:t>
            </w:r>
          </w:p>
          <w:p>
            <w:pPr>
              <w:pStyle w:val="yTableNAm"/>
            </w:pPr>
          </w:p>
          <w:p>
            <w:pPr>
              <w:pStyle w:val="yTableNAm"/>
            </w:pPr>
            <w:r>
              <w:t>Magistrate</w:t>
            </w:r>
          </w:p>
        </w:tc>
      </w:tr>
      <w:tr>
        <w:trPr>
          <w:trHeight w:val="292"/>
        </w:trPr>
        <w:tc>
          <w:tcPr>
            <w:tcW w:w="1701" w:type="dxa"/>
            <w:vMerge w:val="restart"/>
            <w:noWrap/>
          </w:tcPr>
          <w:p>
            <w:pPr>
              <w:pStyle w:val="yTableNAm"/>
              <w:rPr>
                <w:b/>
                <w:bCs/>
              </w:rPr>
            </w:pPr>
            <w:r>
              <w:rPr>
                <w:b/>
                <w:bCs/>
              </w:rPr>
              <w:t>Execution details</w:t>
            </w:r>
          </w:p>
        </w:tc>
        <w:tc>
          <w:tcPr>
            <w:tcW w:w="790" w:type="dxa"/>
            <w:tcBorders>
              <w:bottom w:val="single" w:sz="4" w:space="0" w:color="auto"/>
            </w:tcBorders>
            <w:noWrap/>
          </w:tcPr>
          <w:p>
            <w:pPr>
              <w:pStyle w:val="yTableNAm"/>
            </w:pPr>
            <w:r>
              <w:t>Start</w:t>
            </w:r>
          </w:p>
        </w:tc>
        <w:tc>
          <w:tcPr>
            <w:tcW w:w="4422" w:type="dxa"/>
            <w:gridSpan w:val="5"/>
            <w:tcBorders>
              <w:bottom w:val="single" w:sz="4" w:space="0" w:color="auto"/>
            </w:tcBorders>
            <w:noWrap/>
          </w:tcPr>
          <w:p>
            <w:pPr>
              <w:pStyle w:val="yTableNAm"/>
              <w:tabs>
                <w:tab w:val="clear" w:pos="567"/>
                <w:tab w:val="left" w:pos="2351"/>
              </w:tabs>
            </w:pPr>
            <w:r>
              <w:t>Date:</w:t>
            </w:r>
            <w:r>
              <w:tab/>
              <w:t>Time:</w:t>
            </w:r>
          </w:p>
        </w:tc>
      </w:tr>
      <w:tr>
        <w:trPr>
          <w:trHeight w:val="210"/>
        </w:trPr>
        <w:tc>
          <w:tcPr>
            <w:tcW w:w="1701" w:type="dxa"/>
            <w:vMerge/>
            <w:noWrap/>
          </w:tcPr>
          <w:p/>
        </w:tc>
        <w:tc>
          <w:tcPr>
            <w:tcW w:w="790" w:type="dxa"/>
            <w:tcBorders>
              <w:bottom w:val="single" w:sz="4" w:space="0" w:color="auto"/>
            </w:tcBorders>
            <w:noWrap/>
          </w:tcPr>
          <w:p>
            <w:pPr>
              <w:pStyle w:val="yTableNAm"/>
            </w:pPr>
            <w:r>
              <w:t>End</w:t>
            </w:r>
          </w:p>
        </w:tc>
        <w:tc>
          <w:tcPr>
            <w:tcW w:w="4422" w:type="dxa"/>
            <w:gridSpan w:val="5"/>
            <w:tcBorders>
              <w:bottom w:val="single" w:sz="4" w:space="0" w:color="auto"/>
            </w:tcBorders>
          </w:tcPr>
          <w:p>
            <w:pPr>
              <w:pStyle w:val="yTableNAm"/>
              <w:tabs>
                <w:tab w:val="clear" w:pos="567"/>
                <w:tab w:val="left" w:pos="2351"/>
              </w:tabs>
            </w:pPr>
            <w:r>
              <w:t>Date:</w:t>
            </w:r>
            <w:r>
              <w:tab/>
              <w:t>Time:</w:t>
            </w:r>
          </w:p>
        </w:tc>
      </w:tr>
      <w:tr>
        <w:trPr>
          <w:trHeight w:val="210"/>
        </w:trPr>
        <w:tc>
          <w:tcPr>
            <w:tcW w:w="1701" w:type="dxa"/>
            <w:vMerge/>
            <w:tcBorders>
              <w:bottom w:val="single" w:sz="4" w:space="0" w:color="auto"/>
            </w:tcBorders>
            <w:noWrap/>
          </w:tcPr>
          <w:p/>
        </w:tc>
        <w:tc>
          <w:tcPr>
            <w:tcW w:w="5212" w:type="dxa"/>
            <w:gridSpan w:val="6"/>
            <w:tcBorders>
              <w:bottom w:val="single" w:sz="4" w:space="0" w:color="auto"/>
            </w:tcBorders>
            <w:noWrap/>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bCs/>
              </w:rPr>
            </w:pPr>
            <w:r>
              <w:rPr>
                <w:b/>
                <w:bCs/>
              </w:rPr>
              <w:t>Official details of inspector who executed this warrant</w:t>
            </w:r>
          </w:p>
        </w:tc>
        <w:tc>
          <w:tcPr>
            <w:tcW w:w="992" w:type="dxa"/>
            <w:gridSpan w:val="2"/>
            <w:tcBorders>
              <w:bottom w:val="single" w:sz="4" w:space="0" w:color="auto"/>
              <w:right w:val="nil"/>
            </w:tcBorders>
            <w:noWrap/>
          </w:tcPr>
          <w:p>
            <w:pPr>
              <w:pStyle w:val="yTableNAm"/>
            </w:pPr>
          </w:p>
        </w:tc>
        <w:tc>
          <w:tcPr>
            <w:tcW w:w="4220" w:type="dxa"/>
            <w:gridSpan w:val="4"/>
            <w:tcBorders>
              <w:left w:val="nil"/>
              <w:bottom w:val="single" w:sz="4" w:space="0" w:color="auto"/>
            </w:tcBorders>
            <w:noWrap/>
          </w:tcPr>
          <w:p>
            <w:pPr>
              <w:pStyle w:val="yTableNAm"/>
            </w:pPr>
          </w:p>
        </w:tc>
      </w:tr>
    </w:tbl>
    <w:p>
      <w:pPr>
        <w:pStyle w:val="yFootnotesection"/>
      </w:pPr>
      <w:r>
        <w:tab/>
        <w:t>[Form 4 inserted: SL 2023/204 r. 6.]</w:t>
      </w:r>
    </w:p>
    <w:p>
      <w:pPr>
        <w:pStyle w:val="yMiscellaneousHeading"/>
        <w:pageBreakBefore/>
        <w:spacing w:before="240" w:after="160"/>
      </w:pPr>
      <w:r>
        <w:rPr>
          <w:rStyle w:val="CharSClsNo"/>
          <w:b/>
        </w:rPr>
        <w:lastRenderedPageBreak/>
        <w:t>Form 5</w:t>
      </w:r>
    </w:p>
    <w:p>
      <w:pPr>
        <w:pStyle w:val="yMiscellaneousHeading"/>
        <w:rPr>
          <w:b/>
          <w:bCs/>
        </w:rPr>
      </w:pPr>
      <w:r>
        <w:rPr>
          <w:b/>
          <w:bCs/>
        </w:rPr>
        <w:t>ORDER TO PRODUCE</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215"/>
        <w:gridCol w:w="61"/>
        <w:gridCol w:w="1330"/>
        <w:gridCol w:w="513"/>
        <w:gridCol w:w="708"/>
        <w:gridCol w:w="1385"/>
      </w:tblGrid>
      <w:tr>
        <w:tc>
          <w:tcPr>
            <w:tcW w:w="6913" w:type="dxa"/>
            <w:gridSpan w:val="7"/>
            <w:tcBorders>
              <w:bottom w:val="nil"/>
            </w:tcBorders>
            <w:noWrap/>
            <w:vAlign w:val="center"/>
          </w:tcPr>
          <w:p>
            <w:pPr>
              <w:pStyle w:val="yTableNAm"/>
              <w:jc w:val="center"/>
              <w:rPr>
                <w:i/>
                <w:iCs/>
              </w:rPr>
            </w:pPr>
            <w:r>
              <w:rPr>
                <w:i/>
                <w:iCs/>
              </w:rPr>
              <w:t>Western Australian Marine Act 1982</w:t>
            </w:r>
          </w:p>
          <w:p>
            <w:pPr>
              <w:pStyle w:val="yTableNAm"/>
              <w:jc w:val="center"/>
              <w:rPr>
                <w:b/>
                <w:szCs w:val="22"/>
              </w:rPr>
            </w:pPr>
            <w:r>
              <w:rPr>
                <w:b/>
                <w:szCs w:val="22"/>
              </w:rPr>
              <w:t>Order to produce business record</w:t>
            </w:r>
          </w:p>
        </w:tc>
      </w:tr>
      <w:tr>
        <w:tc>
          <w:tcPr>
            <w:tcW w:w="1701" w:type="dxa"/>
            <w:noWrap/>
          </w:tcPr>
          <w:p>
            <w:pPr>
              <w:pStyle w:val="yTableNAm"/>
            </w:pPr>
            <w:r>
              <w:rPr>
                <w:b/>
                <w:bCs/>
              </w:rPr>
              <w:t>To</w:t>
            </w:r>
          </w:p>
        </w:tc>
        <w:tc>
          <w:tcPr>
            <w:tcW w:w="5212" w:type="dxa"/>
            <w:gridSpan w:val="6"/>
            <w:shd w:val="clear" w:color="auto" w:fill="auto"/>
            <w:noWrap/>
            <w:vAlign w:val="center"/>
          </w:tcPr>
          <w:p>
            <w:pPr>
              <w:pStyle w:val="yTableNAm"/>
            </w:pPr>
          </w:p>
        </w:tc>
      </w:tr>
      <w:tr>
        <w:tc>
          <w:tcPr>
            <w:tcW w:w="1701" w:type="dxa"/>
            <w:tcBorders>
              <w:bottom w:val="single" w:sz="4" w:space="0" w:color="auto"/>
            </w:tcBorders>
            <w:noWrap/>
          </w:tcPr>
          <w:p>
            <w:pPr>
              <w:pStyle w:val="yTableNAm"/>
              <w:rPr>
                <w:b/>
                <w:bCs/>
              </w:rPr>
            </w:pPr>
            <w:r>
              <w:rPr>
                <w:b/>
                <w:bCs/>
              </w:rPr>
              <w:t>Application</w:t>
            </w:r>
          </w:p>
        </w:tc>
        <w:tc>
          <w:tcPr>
            <w:tcW w:w="5212" w:type="dxa"/>
            <w:gridSpan w:val="6"/>
            <w:tcBorders>
              <w:bottom w:val="single" w:sz="4" w:space="0" w:color="auto"/>
            </w:tcBorders>
            <w:noWrap/>
            <w:vAlign w:val="center"/>
          </w:tcPr>
          <w:p>
            <w:pPr>
              <w:pStyle w:val="yTableNAm"/>
            </w:pPr>
            <w:r>
              <w:t xml:space="preserve">The applicant has applied under the </w:t>
            </w:r>
            <w:r>
              <w:rPr>
                <w:i/>
              </w:rPr>
              <w:t>Western Australian Marine Act 1982</w:t>
            </w:r>
            <w:r>
              <w:t xml:space="preserve"> s. 18C to me, a Justice of the Peace, for an order to produce a business record.</w:t>
            </w:r>
          </w:p>
        </w:tc>
      </w:tr>
      <w:tr>
        <w:trPr>
          <w:trHeight w:val="467"/>
        </w:trPr>
        <w:tc>
          <w:tcPr>
            <w:tcW w:w="1701" w:type="dxa"/>
            <w:tcBorders>
              <w:bottom w:val="single" w:sz="4" w:space="0" w:color="auto"/>
            </w:tcBorders>
            <w:noWrap/>
          </w:tcPr>
          <w:p>
            <w:pPr>
              <w:pStyle w:val="yTableNAm"/>
              <w:rPr>
                <w:b/>
                <w:bCs/>
              </w:rPr>
            </w:pPr>
            <w:r>
              <w:rPr>
                <w:b/>
                <w:bCs/>
              </w:rPr>
              <w:t>Official details of applicant</w:t>
            </w:r>
          </w:p>
        </w:tc>
        <w:tc>
          <w:tcPr>
            <w:tcW w:w="5212" w:type="dxa"/>
            <w:gridSpan w:val="6"/>
            <w:tcBorders>
              <w:bottom w:val="single" w:sz="4" w:space="0" w:color="auto"/>
            </w:tcBorders>
            <w:noWrap/>
            <w:vAlign w:val="center"/>
          </w:tcPr>
          <w:p>
            <w:pPr>
              <w:pStyle w:val="yTableNAm"/>
            </w:pPr>
          </w:p>
        </w:tc>
      </w:tr>
      <w:tr>
        <w:trPr>
          <w:trHeight w:val="221"/>
        </w:trPr>
        <w:tc>
          <w:tcPr>
            <w:tcW w:w="1701" w:type="dxa"/>
            <w:vMerge w:val="restart"/>
            <w:noWrap/>
          </w:tcPr>
          <w:p>
            <w:pPr>
              <w:pStyle w:val="yTableNAm"/>
              <w:rPr>
                <w:b/>
                <w:bCs/>
              </w:rPr>
            </w:pPr>
            <w:r>
              <w:rPr>
                <w:b/>
                <w:bCs/>
              </w:rPr>
              <w:t>Business records to be produced</w:t>
            </w:r>
          </w:p>
        </w:tc>
        <w:tc>
          <w:tcPr>
            <w:tcW w:w="2606" w:type="dxa"/>
            <w:gridSpan w:val="3"/>
            <w:noWrap/>
            <w:vAlign w:val="center"/>
          </w:tcPr>
          <w:p>
            <w:pPr>
              <w:pStyle w:val="yTableNAm"/>
            </w:pPr>
            <w:r>
              <w:t>Description of records</w:t>
            </w:r>
          </w:p>
        </w:tc>
        <w:tc>
          <w:tcPr>
            <w:tcW w:w="2606" w:type="dxa"/>
            <w:gridSpan w:val="3"/>
            <w:vAlign w:val="center"/>
          </w:tcPr>
          <w:p>
            <w:pPr>
              <w:pStyle w:val="yTableNAm"/>
            </w:pPr>
            <w:r>
              <w:t>Version to be produced</w:t>
            </w:r>
          </w:p>
        </w:tc>
      </w:tr>
      <w:tr>
        <w:trPr>
          <w:trHeight w:val="221"/>
        </w:trPr>
        <w:tc>
          <w:tcPr>
            <w:tcW w:w="1701" w:type="dxa"/>
            <w:vMerge/>
            <w:noWrap/>
          </w:tcPr>
          <w:p/>
        </w:tc>
        <w:tc>
          <w:tcPr>
            <w:tcW w:w="2606" w:type="dxa"/>
            <w:gridSpan w:val="3"/>
            <w:noWrap/>
            <w:vAlign w:val="center"/>
          </w:tcPr>
          <w:p>
            <w:pPr>
              <w:pStyle w:val="yTableNAm"/>
            </w:pPr>
          </w:p>
        </w:tc>
        <w:tc>
          <w:tcPr>
            <w:tcW w:w="2606" w:type="dxa"/>
            <w:gridSpan w:val="3"/>
            <w:vAlign w:val="center"/>
          </w:tcPr>
          <w:p>
            <w:pPr>
              <w:pStyle w:val="yTableNAm"/>
            </w:pPr>
          </w:p>
        </w:tc>
      </w:tr>
      <w:tr>
        <w:trPr>
          <w:trHeight w:val="221"/>
        </w:trPr>
        <w:tc>
          <w:tcPr>
            <w:tcW w:w="1701" w:type="dxa"/>
            <w:vMerge/>
            <w:noWrap/>
          </w:tcPr>
          <w:p/>
        </w:tc>
        <w:tc>
          <w:tcPr>
            <w:tcW w:w="2606" w:type="dxa"/>
            <w:gridSpan w:val="3"/>
            <w:noWrap/>
            <w:vAlign w:val="center"/>
          </w:tcPr>
          <w:p>
            <w:pPr>
              <w:pStyle w:val="yTableNAm"/>
            </w:pPr>
          </w:p>
        </w:tc>
        <w:tc>
          <w:tcPr>
            <w:tcW w:w="2606" w:type="dxa"/>
            <w:gridSpan w:val="3"/>
            <w:vAlign w:val="center"/>
          </w:tcPr>
          <w:p>
            <w:pPr>
              <w:pStyle w:val="yTableNAm"/>
            </w:pPr>
          </w:p>
        </w:tc>
      </w:tr>
      <w:tr>
        <w:tc>
          <w:tcPr>
            <w:tcW w:w="1701" w:type="dxa"/>
            <w:noWrap/>
          </w:tcPr>
          <w:p>
            <w:pPr>
              <w:pStyle w:val="yTableNAm"/>
              <w:rPr>
                <w:b/>
                <w:bCs/>
              </w:rPr>
            </w:pPr>
            <w:r>
              <w:rPr>
                <w:b/>
                <w:bCs/>
              </w:rPr>
              <w:t>Order</w:t>
            </w:r>
          </w:p>
        </w:tc>
        <w:tc>
          <w:tcPr>
            <w:tcW w:w="5212" w:type="dxa"/>
            <w:gridSpan w:val="6"/>
            <w:noWrap/>
            <w:vAlign w:val="center"/>
          </w:tcPr>
          <w:p>
            <w:pPr>
              <w:pStyle w:val="yTableNAm"/>
            </w:pPr>
            <w:r>
              <w:t>You are ordered to produce the version of the record or records described above at the place described below on or before [</w:t>
            </w:r>
            <w:r>
              <w:rPr>
                <w:i/>
                <w:iCs/>
              </w:rPr>
              <w:t>date</w:t>
            </w:r>
            <w:r>
              <w:t>].</w:t>
            </w:r>
          </w:p>
          <w:p>
            <w:pPr>
              <w:pStyle w:val="yTableNAm"/>
            </w:pPr>
          </w:p>
        </w:tc>
      </w:tr>
      <w:tr>
        <w:trPr>
          <w:trHeight w:val="530"/>
        </w:trPr>
        <w:tc>
          <w:tcPr>
            <w:tcW w:w="1701" w:type="dxa"/>
            <w:noWrap/>
          </w:tcPr>
          <w:p>
            <w:pPr>
              <w:pStyle w:val="yTableNAm"/>
              <w:rPr>
                <w:b/>
                <w:bCs/>
              </w:rPr>
            </w:pPr>
            <w:r>
              <w:rPr>
                <w:b/>
                <w:bCs/>
              </w:rPr>
              <w:t>Warning</w:t>
            </w:r>
          </w:p>
        </w:tc>
        <w:tc>
          <w:tcPr>
            <w:tcW w:w="5212" w:type="dxa"/>
            <w:gridSpan w:val="6"/>
            <w:noWrap/>
            <w:vAlign w:val="center"/>
          </w:tcPr>
          <w:p>
            <w:pPr>
              <w:pStyle w:val="yTableNAm"/>
              <w:rPr>
                <w:b/>
                <w:bCs/>
              </w:rPr>
            </w:pPr>
            <w:r>
              <w:rPr>
                <w:b/>
                <w:bCs/>
              </w:rPr>
              <w:t>It is an offence not to obey this order without a reasonable excuse.</w:t>
            </w:r>
          </w:p>
        </w:tc>
      </w:tr>
      <w:tr>
        <w:tc>
          <w:tcPr>
            <w:tcW w:w="1701" w:type="dxa"/>
            <w:tcBorders>
              <w:bottom w:val="single" w:sz="4" w:space="0" w:color="auto"/>
            </w:tcBorders>
            <w:noWrap/>
          </w:tcPr>
          <w:p>
            <w:pPr>
              <w:pStyle w:val="yTableNAm"/>
              <w:rPr>
                <w:b/>
                <w:bCs/>
              </w:rPr>
            </w:pPr>
            <w:r>
              <w:rPr>
                <w:b/>
                <w:bCs/>
              </w:rPr>
              <w:t>Where records to be produced</w:t>
            </w:r>
          </w:p>
          <w:p/>
        </w:tc>
        <w:tc>
          <w:tcPr>
            <w:tcW w:w="5212" w:type="dxa"/>
            <w:gridSpan w:val="6"/>
            <w:tcBorders>
              <w:bottom w:val="single" w:sz="4" w:space="0" w:color="auto"/>
            </w:tcBorders>
            <w:noWrap/>
            <w:vAlign w:val="center"/>
          </w:tcPr>
          <w:p>
            <w:pPr>
              <w:pStyle w:val="yTableNAm"/>
            </w:pPr>
          </w:p>
        </w:tc>
      </w:tr>
      <w:tr>
        <w:trPr>
          <w:trHeight w:val="222"/>
        </w:trPr>
        <w:tc>
          <w:tcPr>
            <w:tcW w:w="1701" w:type="dxa"/>
            <w:vMerge w:val="restart"/>
            <w:tcBorders>
              <w:bottom w:val="single" w:sz="4" w:space="0" w:color="auto"/>
            </w:tcBorders>
            <w:noWrap/>
          </w:tcPr>
          <w:p>
            <w:pPr>
              <w:pStyle w:val="yTableNAm"/>
              <w:rPr>
                <w:b/>
                <w:bCs/>
              </w:rPr>
            </w:pPr>
            <w:r>
              <w:rPr>
                <w:b/>
                <w:bCs/>
              </w:rPr>
              <w:t>Issuing details</w:t>
            </w:r>
          </w:p>
        </w:tc>
        <w:tc>
          <w:tcPr>
            <w:tcW w:w="1276" w:type="dxa"/>
            <w:gridSpan w:val="2"/>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tc>
        <w:tc>
          <w:tcPr>
            <w:tcW w:w="1276" w:type="dxa"/>
            <w:gridSpan w:val="2"/>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4" w:space="0" w:color="auto"/>
            </w:tcBorders>
            <w:noWrap/>
          </w:tcPr>
          <w:p>
            <w:pPr>
              <w:pStyle w:val="yTableNAm"/>
              <w:keepNext/>
              <w:rPr>
                <w:b/>
                <w:bCs/>
              </w:rPr>
            </w:pPr>
            <w:r>
              <w:rPr>
                <w:b/>
                <w:bCs/>
              </w:rPr>
              <w:t>JP’s signature</w:t>
            </w:r>
          </w:p>
        </w:tc>
        <w:tc>
          <w:tcPr>
            <w:tcW w:w="5212" w:type="dxa"/>
            <w:gridSpan w:val="6"/>
            <w:tcBorders>
              <w:top w:val="single" w:sz="4" w:space="0" w:color="auto"/>
              <w:bottom w:val="single" w:sz="4" w:space="0" w:color="auto"/>
            </w:tcBorders>
            <w:noWrap/>
            <w:vAlign w:val="center"/>
          </w:tcPr>
          <w:p>
            <w:pPr>
              <w:pStyle w:val="yTableNAm"/>
              <w:keepNext/>
            </w:pPr>
            <w:r>
              <w:t>Issued by me on the above date and at the above time.</w:t>
            </w:r>
          </w:p>
          <w:p>
            <w:pPr>
              <w:pStyle w:val="yTableNAm"/>
              <w:keepNext/>
            </w:pPr>
          </w:p>
          <w:p>
            <w:pPr>
              <w:pStyle w:val="yTableNAm"/>
              <w:keepNext/>
            </w:pPr>
            <w:r>
              <w:t>Justice of the Peace</w:t>
            </w:r>
          </w:p>
        </w:tc>
      </w:tr>
      <w:tr>
        <w:trPr>
          <w:trHeight w:val="421"/>
        </w:trPr>
        <w:tc>
          <w:tcPr>
            <w:tcW w:w="1701" w:type="dxa"/>
            <w:tcBorders>
              <w:top w:val="single" w:sz="4" w:space="0" w:color="auto"/>
              <w:bottom w:val="single" w:sz="4" w:space="0" w:color="auto"/>
            </w:tcBorders>
            <w:noWrap/>
          </w:tcPr>
          <w:p>
            <w:pPr>
              <w:pStyle w:val="yTableNAm"/>
              <w:rPr>
                <w:b/>
                <w:bCs/>
              </w:rPr>
            </w:pPr>
            <w:r>
              <w:rPr>
                <w:b/>
                <w:bCs/>
              </w:rPr>
              <w:t>Service details</w:t>
            </w:r>
          </w:p>
        </w:tc>
        <w:tc>
          <w:tcPr>
            <w:tcW w:w="5212" w:type="dxa"/>
            <w:gridSpan w:val="6"/>
            <w:tcBorders>
              <w:top w:val="single" w:sz="4" w:space="0" w:color="auto"/>
              <w:bottom w:val="single" w:sz="4" w:space="0" w:color="auto"/>
            </w:tcBorders>
            <w:noWrap/>
            <w:vAlign w:val="center"/>
          </w:tcPr>
          <w:p>
            <w:pPr>
              <w:pStyle w:val="yTableNAm"/>
            </w:pPr>
            <w:r>
              <w:t>On [</w:t>
            </w:r>
            <w:r>
              <w:rPr>
                <w:i/>
                <w:iCs/>
              </w:rPr>
              <w:t>date</w:t>
            </w:r>
            <w:r>
              <w:t>] I served a copy of this order on the person to whom it is addressed by:</w:t>
            </w:r>
          </w:p>
          <w:p>
            <w:pPr>
              <w:pStyle w:val="yTableNAm"/>
            </w:pPr>
          </w:p>
          <w:p>
            <w:pPr>
              <w:pStyle w:val="yTableNAm"/>
            </w:pPr>
          </w:p>
          <w:p>
            <w:pPr>
              <w:pStyle w:val="yTableNAm"/>
            </w:pPr>
          </w:p>
          <w:p>
            <w:pPr>
              <w:pStyle w:val="yTableNAm"/>
            </w:pPr>
            <w:r>
              <w:t>Signature of server</w:t>
            </w:r>
          </w:p>
        </w:tc>
      </w:tr>
      <w:tr>
        <w:trPr>
          <w:trHeight w:val="421"/>
        </w:trPr>
        <w:tc>
          <w:tcPr>
            <w:tcW w:w="1701" w:type="dxa"/>
            <w:vMerge w:val="restart"/>
            <w:tcBorders>
              <w:top w:val="single" w:sz="4" w:space="0" w:color="auto"/>
              <w:left w:val="single" w:sz="4" w:space="0" w:color="auto"/>
              <w:bottom w:val="single" w:sz="4" w:space="0" w:color="auto"/>
              <w:right w:val="single" w:sz="4" w:space="0" w:color="auto"/>
            </w:tcBorders>
            <w:noWrap/>
          </w:tcPr>
          <w:p>
            <w:pPr>
              <w:pStyle w:val="yTableNAm"/>
              <w:rPr>
                <w:b/>
                <w:bCs/>
              </w:rPr>
            </w:pPr>
            <w:r>
              <w:rPr>
                <w:b/>
                <w:bCs/>
              </w:rPr>
              <w:lastRenderedPageBreak/>
              <w:t>Server’s details</w:t>
            </w:r>
          </w:p>
        </w:tc>
        <w:tc>
          <w:tcPr>
            <w:tcW w:w="1215" w:type="dxa"/>
            <w:tcBorders>
              <w:top w:val="single" w:sz="4" w:space="0" w:color="auto"/>
              <w:left w:val="single" w:sz="4" w:space="0" w:color="auto"/>
              <w:bottom w:val="single" w:sz="4" w:space="0" w:color="auto"/>
              <w:right w:val="single" w:sz="4" w:space="0" w:color="auto"/>
            </w:tcBorders>
            <w:noWrap/>
            <w:vAlign w:val="center"/>
          </w:tcPr>
          <w:p>
            <w:pPr>
              <w:pStyle w:val="yTableNAm"/>
            </w:pPr>
            <w:r>
              <w:t>Name</w:t>
            </w:r>
          </w:p>
        </w:tc>
        <w:tc>
          <w:tcPr>
            <w:tcW w:w="3997" w:type="dxa"/>
            <w:gridSpan w:val="5"/>
            <w:tcBorders>
              <w:top w:val="single" w:sz="4" w:space="0" w:color="auto"/>
              <w:left w:val="single" w:sz="4" w:space="0" w:color="auto"/>
              <w:bottom w:val="single" w:sz="4" w:space="0" w:color="auto"/>
              <w:right w:val="single" w:sz="4" w:space="0" w:color="auto"/>
            </w:tcBorders>
            <w:noWrap/>
            <w:vAlign w:val="center"/>
          </w:tcPr>
          <w:p>
            <w:pPr>
              <w:pStyle w:val="yTableNAm"/>
            </w:pPr>
          </w:p>
        </w:tc>
      </w:tr>
      <w:tr>
        <w:trPr>
          <w:trHeight w:val="421"/>
        </w:trPr>
        <w:tc>
          <w:tcPr>
            <w:tcW w:w="1701" w:type="dxa"/>
            <w:vMerge/>
            <w:tcBorders>
              <w:top w:val="single" w:sz="12" w:space="0" w:color="auto"/>
              <w:left w:val="single" w:sz="4" w:space="0" w:color="auto"/>
              <w:bottom w:val="single" w:sz="4" w:space="0" w:color="auto"/>
              <w:right w:val="single" w:sz="4" w:space="0" w:color="auto"/>
            </w:tcBorders>
            <w:noWrap/>
          </w:tcPr>
          <w:p/>
        </w:tc>
        <w:tc>
          <w:tcPr>
            <w:tcW w:w="1215" w:type="dxa"/>
            <w:tcBorders>
              <w:top w:val="single" w:sz="4" w:space="0" w:color="auto"/>
              <w:left w:val="single" w:sz="4" w:space="0" w:color="auto"/>
              <w:bottom w:val="single" w:sz="4" w:space="0" w:color="auto"/>
              <w:right w:val="single" w:sz="4" w:space="0" w:color="auto"/>
            </w:tcBorders>
            <w:noWrap/>
            <w:vAlign w:val="center"/>
          </w:tcPr>
          <w:p>
            <w:pPr>
              <w:pStyle w:val="yTableNAm"/>
            </w:pPr>
            <w:r>
              <w:t>Contact details</w:t>
            </w:r>
          </w:p>
        </w:tc>
        <w:tc>
          <w:tcPr>
            <w:tcW w:w="3997" w:type="dxa"/>
            <w:gridSpan w:val="5"/>
            <w:tcBorders>
              <w:top w:val="single" w:sz="4" w:space="0" w:color="auto"/>
              <w:left w:val="single" w:sz="4" w:space="0" w:color="auto"/>
              <w:bottom w:val="single" w:sz="4" w:space="0" w:color="auto"/>
              <w:right w:val="single" w:sz="4" w:space="0" w:color="auto"/>
            </w:tcBorders>
            <w:noWrap/>
            <w:vAlign w:val="center"/>
          </w:tcPr>
          <w:p>
            <w:pPr>
              <w:pStyle w:val="yTableNAm"/>
            </w:pPr>
          </w:p>
        </w:tc>
      </w:tr>
    </w:tbl>
    <w:p>
      <w:pPr>
        <w:pStyle w:val="yFootnotesection"/>
      </w:pPr>
      <w:r>
        <w:tab/>
        <w:t>[Form 5 inserted: SL 2024/62 r. 8.]</w:t>
      </w:r>
    </w:p>
    <w:p>
      <w:pPr>
        <w:outlineLvl w:val="0"/>
        <w:sectPr>
          <w:headerReference w:type="even" r:id="rId24"/>
          <w:headerReference w:type="default" r:id="rId25"/>
          <w:pgSz w:w="11907" w:h="16840" w:code="9"/>
          <w:pgMar w:top="2381" w:right="2410" w:bottom="3544" w:left="2410" w:header="720" w:footer="3544" w:gutter="0"/>
          <w:cols w:space="720"/>
        </w:sectPr>
      </w:pPr>
      <w:bookmarkStart w:id="195" w:name="_Toc177036373"/>
      <w:bookmarkStart w:id="196" w:name="_Toc177036434"/>
      <w:bookmarkStart w:id="197" w:name="_Toc177036518"/>
      <w:bookmarkStart w:id="198" w:name="_Toc177463341"/>
      <w:bookmarkStart w:id="199" w:name="_Toc178084879"/>
    </w:p>
    <w:p>
      <w:pPr>
        <w:pStyle w:val="yScheduleHeading"/>
      </w:pPr>
      <w:bookmarkStart w:id="200" w:name="_Toc178090497"/>
      <w:r>
        <w:rPr>
          <w:rStyle w:val="CharSchNo"/>
        </w:rPr>
        <w:lastRenderedPageBreak/>
        <w:t>Schedule 2</w:t>
      </w:r>
      <w:r>
        <w:t> — </w:t>
      </w:r>
      <w:r>
        <w:rPr>
          <w:rStyle w:val="CharSchText"/>
        </w:rPr>
        <w:t>Classes of things that are and are not vessels</w:t>
      </w:r>
      <w:bookmarkEnd w:id="195"/>
      <w:bookmarkEnd w:id="196"/>
      <w:bookmarkEnd w:id="197"/>
      <w:bookmarkEnd w:id="198"/>
      <w:bookmarkEnd w:id="199"/>
      <w:bookmarkEnd w:id="200"/>
    </w:p>
    <w:p>
      <w:pPr>
        <w:pStyle w:val="yShoulderClause"/>
      </w:pPr>
      <w:r>
        <w:t>[r. 2(2)]</w:t>
      </w:r>
    </w:p>
    <w:p>
      <w:pPr>
        <w:pStyle w:val="yFootnoteheading"/>
      </w:pPr>
      <w:r>
        <w:tab/>
        <w:t>[Heading inserted: SL 2024/191 r. 40.]</w:t>
      </w:r>
    </w:p>
    <w:p>
      <w:pPr>
        <w:pStyle w:val="yHeading3"/>
      </w:pPr>
      <w:bookmarkStart w:id="201" w:name="_Toc177036374"/>
      <w:bookmarkStart w:id="202" w:name="_Toc177036435"/>
      <w:bookmarkStart w:id="203" w:name="_Toc177036519"/>
      <w:bookmarkStart w:id="204" w:name="_Toc177463342"/>
      <w:bookmarkStart w:id="205" w:name="_Toc178084880"/>
      <w:bookmarkStart w:id="206" w:name="_Toc178090498"/>
      <w:r>
        <w:rPr>
          <w:rStyle w:val="CharSDivNo"/>
        </w:rPr>
        <w:t>Division 1</w:t>
      </w:r>
      <w:r>
        <w:t> — </w:t>
      </w:r>
      <w:r>
        <w:rPr>
          <w:rStyle w:val="CharSDivText"/>
        </w:rPr>
        <w:t>Classes of things that are vessels</w:t>
      </w:r>
      <w:bookmarkEnd w:id="201"/>
      <w:bookmarkEnd w:id="202"/>
      <w:bookmarkEnd w:id="203"/>
      <w:bookmarkEnd w:id="204"/>
      <w:bookmarkEnd w:id="205"/>
      <w:bookmarkEnd w:id="206"/>
    </w:p>
    <w:p>
      <w:pPr>
        <w:pStyle w:val="yFootnoteheading"/>
        <w:spacing w:after="60"/>
      </w:pPr>
      <w:r>
        <w:tab/>
        <w:t>[Heading inserted: SL 2024/191 r. 40.]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5641"/>
      </w:tblGrid>
      <w:tr>
        <w:trPr>
          <w:tblHeader/>
        </w:trPr>
        <w:tc>
          <w:tcPr>
            <w:tcW w:w="1163" w:type="dxa"/>
          </w:tcPr>
          <w:p>
            <w:pPr>
              <w:pStyle w:val="yTableNAm"/>
              <w:jc w:val="center"/>
              <w:rPr>
                <w:b/>
                <w:bCs/>
              </w:rPr>
            </w:pPr>
            <w:r>
              <w:rPr>
                <w:b/>
                <w:bCs/>
              </w:rPr>
              <w:t>Item</w:t>
            </w:r>
          </w:p>
        </w:tc>
        <w:tc>
          <w:tcPr>
            <w:tcW w:w="5641" w:type="dxa"/>
          </w:tcPr>
          <w:p>
            <w:pPr>
              <w:pStyle w:val="yTableNAm"/>
              <w:jc w:val="center"/>
              <w:rPr>
                <w:b/>
                <w:bCs/>
              </w:rPr>
            </w:pPr>
            <w:r>
              <w:rPr>
                <w:b/>
                <w:bCs/>
              </w:rPr>
              <w:t>Classes of things that are vessels</w:t>
            </w:r>
          </w:p>
        </w:tc>
      </w:tr>
      <w:tr>
        <w:tc>
          <w:tcPr>
            <w:tcW w:w="1163" w:type="dxa"/>
          </w:tcPr>
          <w:p>
            <w:pPr>
              <w:pStyle w:val="yTableNAm"/>
            </w:pPr>
            <w:r>
              <w:t>1.</w:t>
            </w:r>
          </w:p>
        </w:tc>
        <w:tc>
          <w:tcPr>
            <w:tcW w:w="5641" w:type="dxa"/>
          </w:tcPr>
          <w:p>
            <w:pPr>
              <w:pStyle w:val="yTableNAm"/>
            </w:pPr>
            <w:r>
              <w:t xml:space="preserve">Boats, including the following — </w:t>
            </w:r>
          </w:p>
          <w:p>
            <w:pPr>
              <w:pStyle w:val="yTableNAm"/>
              <w:tabs>
                <w:tab w:val="clear" w:pos="567"/>
                <w:tab w:val="left" w:pos="364"/>
              </w:tabs>
            </w:pPr>
            <w:r>
              <w:t>(a)</w:t>
            </w:r>
            <w:r>
              <w:tab/>
              <w:t>dinghies;</w:t>
            </w:r>
          </w:p>
          <w:p>
            <w:pPr>
              <w:pStyle w:val="yTableNAm"/>
              <w:tabs>
                <w:tab w:val="clear" w:pos="567"/>
                <w:tab w:val="left" w:pos="364"/>
              </w:tabs>
            </w:pPr>
            <w:r>
              <w:t>(b)</w:t>
            </w:r>
            <w:r>
              <w:tab/>
              <w:t>aluminium boats (tinnies);</w:t>
            </w:r>
          </w:p>
          <w:p>
            <w:pPr>
              <w:pStyle w:val="yTableNAm"/>
              <w:tabs>
                <w:tab w:val="clear" w:pos="567"/>
                <w:tab w:val="left" w:pos="364"/>
              </w:tabs>
            </w:pPr>
            <w:r>
              <w:t>(c)</w:t>
            </w:r>
            <w:r>
              <w:tab/>
              <w:t>inflatable boats;</w:t>
            </w:r>
          </w:p>
          <w:p>
            <w:pPr>
              <w:pStyle w:val="yTableNAm"/>
              <w:tabs>
                <w:tab w:val="clear" w:pos="567"/>
                <w:tab w:val="left" w:pos="364"/>
              </w:tabs>
            </w:pPr>
            <w:r>
              <w:t>(d)</w:t>
            </w:r>
            <w:r>
              <w:tab/>
              <w:t>hydrofoil boats;</w:t>
            </w:r>
          </w:p>
          <w:p>
            <w:pPr>
              <w:pStyle w:val="yTableNAm"/>
              <w:tabs>
                <w:tab w:val="clear" w:pos="567"/>
                <w:tab w:val="left" w:pos="364"/>
              </w:tabs>
            </w:pPr>
            <w:r>
              <w:t>(e)</w:t>
            </w:r>
            <w:r>
              <w:tab/>
              <w:t>jet boats;</w:t>
            </w:r>
          </w:p>
          <w:p>
            <w:pPr>
              <w:pStyle w:val="yTableNAm"/>
              <w:tabs>
                <w:tab w:val="clear" w:pos="567"/>
                <w:tab w:val="left" w:pos="364"/>
              </w:tabs>
            </w:pPr>
            <w:r>
              <w:t>(f)</w:t>
            </w:r>
            <w:r>
              <w:tab/>
              <w:t>mini jet boats.</w:t>
            </w:r>
          </w:p>
        </w:tc>
      </w:tr>
      <w:tr>
        <w:tc>
          <w:tcPr>
            <w:tcW w:w="1163" w:type="dxa"/>
          </w:tcPr>
          <w:p>
            <w:pPr>
              <w:pStyle w:val="yTableNAm"/>
            </w:pPr>
            <w:r>
              <w:t>2.</w:t>
            </w:r>
          </w:p>
        </w:tc>
        <w:tc>
          <w:tcPr>
            <w:tcW w:w="5641" w:type="dxa"/>
          </w:tcPr>
          <w:p>
            <w:pPr>
              <w:pStyle w:val="yTableNAm"/>
            </w:pPr>
            <w:r>
              <w:t xml:space="preserve">Personal watercraft, including the following — </w:t>
            </w:r>
          </w:p>
          <w:p>
            <w:pPr>
              <w:pStyle w:val="yTableNAm"/>
              <w:tabs>
                <w:tab w:val="clear" w:pos="567"/>
                <w:tab w:val="left" w:pos="364"/>
              </w:tabs>
              <w:ind w:left="363" w:hanging="363"/>
            </w:pPr>
            <w:r>
              <w:t>(a)</w:t>
            </w:r>
            <w:r>
              <w:tab/>
              <w:t>personal watercraft with an aerial device attached;</w:t>
            </w:r>
          </w:p>
          <w:p>
            <w:pPr>
              <w:pStyle w:val="yTableNAm"/>
              <w:tabs>
                <w:tab w:val="clear" w:pos="567"/>
                <w:tab w:val="left" w:pos="364"/>
              </w:tabs>
            </w:pPr>
            <w:r>
              <w:t>(b)</w:t>
            </w:r>
            <w:r>
              <w:tab/>
              <w:t>personal watercraft with a docking hull attached;</w:t>
            </w:r>
          </w:p>
          <w:p>
            <w:pPr>
              <w:pStyle w:val="yTableNAm"/>
              <w:tabs>
                <w:tab w:val="clear" w:pos="567"/>
                <w:tab w:val="left" w:pos="364"/>
              </w:tabs>
              <w:ind w:left="363" w:hanging="363"/>
              <w:rPr>
                <w:rStyle w:val="DraftersNotes"/>
                <w:b w:val="0"/>
                <w:i w:val="0"/>
              </w:rPr>
            </w:pPr>
            <w:r>
              <w:t>(c)</w:t>
            </w:r>
            <w:r>
              <w:tab/>
              <w:t>personal watercraft that have been modified, such as jet karts.</w:t>
            </w:r>
          </w:p>
        </w:tc>
      </w:tr>
      <w:tr>
        <w:tc>
          <w:tcPr>
            <w:tcW w:w="1163" w:type="dxa"/>
          </w:tcPr>
          <w:p>
            <w:pPr>
              <w:pStyle w:val="yTableNAm"/>
            </w:pPr>
            <w:r>
              <w:t>3.</w:t>
            </w:r>
          </w:p>
        </w:tc>
        <w:tc>
          <w:tcPr>
            <w:tcW w:w="5641" w:type="dxa"/>
          </w:tcPr>
          <w:p>
            <w:pPr>
              <w:pStyle w:val="yTableNAm"/>
            </w:pPr>
            <w:r>
              <w:t>Docking hulls that are not attached to a personal watercraft</w:t>
            </w:r>
          </w:p>
        </w:tc>
      </w:tr>
      <w:tr>
        <w:tc>
          <w:tcPr>
            <w:tcW w:w="1163" w:type="dxa"/>
          </w:tcPr>
          <w:p>
            <w:pPr>
              <w:pStyle w:val="yTableNAm"/>
            </w:pPr>
            <w:r>
              <w:t>4.</w:t>
            </w:r>
          </w:p>
        </w:tc>
        <w:tc>
          <w:tcPr>
            <w:tcW w:w="5641" w:type="dxa"/>
          </w:tcPr>
          <w:p>
            <w:pPr>
              <w:pStyle w:val="yTableNAm"/>
            </w:pPr>
            <w:r>
              <w:t xml:space="preserve">Paddle craft, including the following — </w:t>
            </w:r>
          </w:p>
          <w:p>
            <w:pPr>
              <w:pStyle w:val="yTableNAm"/>
              <w:tabs>
                <w:tab w:val="clear" w:pos="567"/>
                <w:tab w:val="left" w:pos="364"/>
              </w:tabs>
            </w:pPr>
            <w:r>
              <w:t>(a)</w:t>
            </w:r>
            <w:r>
              <w:tab/>
              <w:t>canoes;</w:t>
            </w:r>
          </w:p>
          <w:p>
            <w:pPr>
              <w:pStyle w:val="yTableNAm"/>
              <w:tabs>
                <w:tab w:val="clear" w:pos="567"/>
                <w:tab w:val="left" w:pos="364"/>
              </w:tabs>
            </w:pPr>
            <w:r>
              <w:t>(b)</w:t>
            </w:r>
            <w:r>
              <w:tab/>
              <w:t>dragon boats;</w:t>
            </w:r>
          </w:p>
          <w:p>
            <w:pPr>
              <w:pStyle w:val="yTableNAm"/>
              <w:tabs>
                <w:tab w:val="clear" w:pos="567"/>
                <w:tab w:val="left" w:pos="364"/>
              </w:tabs>
            </w:pPr>
            <w:r>
              <w:t>(c)</w:t>
            </w:r>
            <w:r>
              <w:tab/>
              <w:t>kayaks (sit</w:t>
            </w:r>
            <w:r>
              <w:noBreakHyphen/>
              <w:t>in or sit</w:t>
            </w:r>
            <w:r>
              <w:noBreakHyphen/>
              <w:t>on</w:t>
            </w:r>
            <w:r>
              <w:noBreakHyphen/>
              <w:t>top);</w:t>
            </w:r>
          </w:p>
          <w:p>
            <w:pPr>
              <w:pStyle w:val="yTableNAm"/>
              <w:tabs>
                <w:tab w:val="clear" w:pos="567"/>
                <w:tab w:val="left" w:pos="364"/>
              </w:tabs>
            </w:pPr>
            <w:r>
              <w:t>(d)</w:t>
            </w:r>
            <w:r>
              <w:tab/>
              <w:t>surfskis.</w:t>
            </w:r>
          </w:p>
        </w:tc>
      </w:tr>
      <w:tr>
        <w:tc>
          <w:tcPr>
            <w:tcW w:w="1163" w:type="dxa"/>
          </w:tcPr>
          <w:p>
            <w:pPr>
              <w:pStyle w:val="yTableNAm"/>
            </w:pPr>
            <w:r>
              <w:t>5.</w:t>
            </w:r>
          </w:p>
        </w:tc>
        <w:tc>
          <w:tcPr>
            <w:tcW w:w="5641" w:type="dxa"/>
          </w:tcPr>
          <w:p>
            <w:pPr>
              <w:pStyle w:val="yTableNAm"/>
            </w:pPr>
            <w:r>
              <w:t>Sailboards</w:t>
            </w:r>
          </w:p>
        </w:tc>
      </w:tr>
      <w:tr>
        <w:tc>
          <w:tcPr>
            <w:tcW w:w="1163" w:type="dxa"/>
          </w:tcPr>
          <w:p>
            <w:pPr>
              <w:pStyle w:val="yTableNAm"/>
            </w:pPr>
            <w:r>
              <w:lastRenderedPageBreak/>
              <w:t>6.</w:t>
            </w:r>
          </w:p>
        </w:tc>
        <w:tc>
          <w:tcPr>
            <w:tcW w:w="5641" w:type="dxa"/>
          </w:tcPr>
          <w:p>
            <w:pPr>
              <w:pStyle w:val="yTableNAm"/>
            </w:pPr>
            <w:r>
              <w:t>Electric hydrofoil boards with a motor that has a power output of more than 4.5 kW</w:t>
            </w:r>
          </w:p>
        </w:tc>
      </w:tr>
      <w:tr>
        <w:tc>
          <w:tcPr>
            <w:tcW w:w="1163" w:type="dxa"/>
          </w:tcPr>
          <w:p>
            <w:pPr>
              <w:pStyle w:val="yTableNAm"/>
            </w:pPr>
            <w:r>
              <w:t>7.</w:t>
            </w:r>
          </w:p>
        </w:tc>
        <w:tc>
          <w:tcPr>
            <w:tcW w:w="5641" w:type="dxa"/>
          </w:tcPr>
          <w:p>
            <w:pPr>
              <w:pStyle w:val="yTableNAm"/>
              <w:tabs>
                <w:tab w:val="clear" w:pos="567"/>
                <w:tab w:val="left" w:pos="364"/>
              </w:tabs>
            </w:pPr>
            <w:r>
              <w:t>Personal towing devices</w:t>
            </w:r>
          </w:p>
        </w:tc>
      </w:tr>
      <w:tr>
        <w:tc>
          <w:tcPr>
            <w:tcW w:w="1163" w:type="dxa"/>
          </w:tcPr>
          <w:p>
            <w:pPr>
              <w:pStyle w:val="yTableNAm"/>
            </w:pPr>
            <w:r>
              <w:t>8.</w:t>
            </w:r>
          </w:p>
        </w:tc>
        <w:tc>
          <w:tcPr>
            <w:tcW w:w="5641" w:type="dxa"/>
          </w:tcPr>
          <w:p>
            <w:pPr>
              <w:pStyle w:val="yTableNAm"/>
              <w:rPr>
                <w:rStyle w:val="DraftersNotes"/>
              </w:rPr>
            </w:pPr>
            <w:r>
              <w:t>A class of thing in Division 2 items 1 to 3 that is fitted with a motor that has a power output of more than 4.5 kW</w:t>
            </w:r>
          </w:p>
        </w:tc>
      </w:tr>
    </w:tbl>
    <w:p>
      <w:pPr>
        <w:pStyle w:val="yFootnotesection"/>
      </w:pPr>
      <w:bookmarkStart w:id="207" w:name="_Toc177036375"/>
      <w:bookmarkStart w:id="208" w:name="_Toc177036436"/>
      <w:bookmarkStart w:id="209" w:name="_Toc177036520"/>
      <w:bookmarkStart w:id="210" w:name="_Toc177463343"/>
      <w:r>
        <w:tab/>
        <w:t>[Division 1 inserted: SL 2024/191 r. 40.]</w:t>
      </w:r>
    </w:p>
    <w:p>
      <w:pPr>
        <w:pStyle w:val="yHeading3"/>
      </w:pPr>
      <w:bookmarkStart w:id="211" w:name="_Toc178084881"/>
      <w:bookmarkStart w:id="212" w:name="_Toc178090499"/>
      <w:r>
        <w:rPr>
          <w:rStyle w:val="CharSDivNo"/>
        </w:rPr>
        <w:t>Division 2</w:t>
      </w:r>
      <w:r>
        <w:t> — </w:t>
      </w:r>
      <w:r>
        <w:rPr>
          <w:rStyle w:val="CharSDivText"/>
        </w:rPr>
        <w:t>Classes of things that are not vessels</w:t>
      </w:r>
      <w:bookmarkEnd w:id="207"/>
      <w:bookmarkEnd w:id="208"/>
      <w:bookmarkEnd w:id="209"/>
      <w:bookmarkEnd w:id="210"/>
      <w:bookmarkEnd w:id="211"/>
      <w:bookmarkEnd w:id="212"/>
    </w:p>
    <w:p>
      <w:pPr>
        <w:pStyle w:val="yFootnoteheading"/>
        <w:spacing w:after="60"/>
      </w:pPr>
      <w:r>
        <w:tab/>
        <w:t>[Heading inserted: SL 2024/191 r. 40.]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5641"/>
      </w:tblGrid>
      <w:tr>
        <w:trPr>
          <w:tblHeader/>
        </w:trPr>
        <w:tc>
          <w:tcPr>
            <w:tcW w:w="1163" w:type="dxa"/>
          </w:tcPr>
          <w:p>
            <w:pPr>
              <w:pStyle w:val="yTableNAm"/>
              <w:jc w:val="center"/>
              <w:rPr>
                <w:b/>
                <w:bCs/>
              </w:rPr>
            </w:pPr>
            <w:r>
              <w:rPr>
                <w:b/>
                <w:bCs/>
              </w:rPr>
              <w:t>Item</w:t>
            </w:r>
          </w:p>
        </w:tc>
        <w:tc>
          <w:tcPr>
            <w:tcW w:w="5641" w:type="dxa"/>
          </w:tcPr>
          <w:p>
            <w:pPr>
              <w:pStyle w:val="yTableNAm"/>
              <w:jc w:val="center"/>
              <w:rPr>
                <w:b/>
                <w:bCs/>
              </w:rPr>
            </w:pPr>
            <w:r>
              <w:rPr>
                <w:b/>
                <w:bCs/>
              </w:rPr>
              <w:t>Classes of things that are not vessels</w:t>
            </w:r>
          </w:p>
        </w:tc>
      </w:tr>
      <w:tr>
        <w:tc>
          <w:tcPr>
            <w:tcW w:w="1163" w:type="dxa"/>
          </w:tcPr>
          <w:p>
            <w:pPr>
              <w:pStyle w:val="yTableNAm"/>
            </w:pPr>
            <w:r>
              <w:t>1.</w:t>
            </w:r>
          </w:p>
        </w:tc>
        <w:tc>
          <w:tcPr>
            <w:tcW w:w="5641" w:type="dxa"/>
          </w:tcPr>
          <w:p>
            <w:pPr>
              <w:pStyle w:val="yTableNAm"/>
            </w:pPr>
            <w:r>
              <w:t>Stand</w:t>
            </w:r>
            <w:r>
              <w:noBreakHyphen/>
              <w:t>up paddle boards</w:t>
            </w:r>
          </w:p>
        </w:tc>
      </w:tr>
      <w:tr>
        <w:tc>
          <w:tcPr>
            <w:tcW w:w="1163" w:type="dxa"/>
          </w:tcPr>
          <w:p>
            <w:pPr>
              <w:pStyle w:val="yTableNAm"/>
            </w:pPr>
            <w:r>
              <w:t>2.</w:t>
            </w:r>
          </w:p>
        </w:tc>
        <w:tc>
          <w:tcPr>
            <w:tcW w:w="5641" w:type="dxa"/>
          </w:tcPr>
          <w:p>
            <w:pPr>
              <w:pStyle w:val="yTableNAm"/>
              <w:rPr>
                <w:b/>
                <w:bCs/>
                <w:i/>
                <w:iCs/>
              </w:rPr>
            </w:pPr>
            <w:r>
              <w:t>Surfboards</w:t>
            </w:r>
          </w:p>
        </w:tc>
      </w:tr>
      <w:tr>
        <w:tc>
          <w:tcPr>
            <w:tcW w:w="1163" w:type="dxa"/>
          </w:tcPr>
          <w:p>
            <w:pPr>
              <w:pStyle w:val="yTableNAm"/>
            </w:pPr>
            <w:r>
              <w:t>3.</w:t>
            </w:r>
          </w:p>
        </w:tc>
        <w:tc>
          <w:tcPr>
            <w:tcW w:w="5641" w:type="dxa"/>
          </w:tcPr>
          <w:p>
            <w:pPr>
              <w:pStyle w:val="yTableNAm"/>
            </w:pPr>
            <w:r>
              <w:t>Body boards</w:t>
            </w:r>
          </w:p>
        </w:tc>
      </w:tr>
      <w:tr>
        <w:tc>
          <w:tcPr>
            <w:tcW w:w="1163" w:type="dxa"/>
          </w:tcPr>
          <w:p>
            <w:pPr>
              <w:pStyle w:val="yTableNAm"/>
            </w:pPr>
            <w:r>
              <w:t>4.</w:t>
            </w:r>
          </w:p>
        </w:tc>
        <w:tc>
          <w:tcPr>
            <w:tcW w:w="5641" w:type="dxa"/>
          </w:tcPr>
          <w:p>
            <w:pPr>
              <w:pStyle w:val="yTableNAm"/>
            </w:pPr>
            <w:r>
              <w:t>Paddle boats</w:t>
            </w:r>
          </w:p>
        </w:tc>
      </w:tr>
      <w:tr>
        <w:tc>
          <w:tcPr>
            <w:tcW w:w="1163" w:type="dxa"/>
          </w:tcPr>
          <w:p>
            <w:pPr>
              <w:pStyle w:val="yTableNAm"/>
            </w:pPr>
            <w:r>
              <w:t>5.</w:t>
            </w:r>
          </w:p>
        </w:tc>
        <w:tc>
          <w:tcPr>
            <w:tcW w:w="5641" w:type="dxa"/>
          </w:tcPr>
          <w:p>
            <w:pPr>
              <w:pStyle w:val="yTableNAm"/>
              <w:rPr>
                <w:rFonts w:ascii="Calibri" w:hAnsi="Calibri"/>
              </w:rPr>
            </w:pPr>
            <w:r>
              <w:t>Underwater propulsion devices</w:t>
            </w:r>
          </w:p>
        </w:tc>
      </w:tr>
      <w:tr>
        <w:tc>
          <w:tcPr>
            <w:tcW w:w="1163" w:type="dxa"/>
          </w:tcPr>
          <w:p>
            <w:pPr>
              <w:pStyle w:val="yTableNAm"/>
            </w:pPr>
            <w:r>
              <w:t>6.</w:t>
            </w:r>
          </w:p>
        </w:tc>
        <w:tc>
          <w:tcPr>
            <w:tcW w:w="5641" w:type="dxa"/>
          </w:tcPr>
          <w:p>
            <w:pPr>
              <w:pStyle w:val="yTableNAm"/>
            </w:pPr>
            <w:r>
              <w:t xml:space="preserve">Towed recreational equipment or aquatic toys, including any of the following — </w:t>
            </w:r>
          </w:p>
          <w:p>
            <w:pPr>
              <w:pStyle w:val="yTableNAm"/>
              <w:tabs>
                <w:tab w:val="clear" w:pos="567"/>
                <w:tab w:val="left" w:pos="364"/>
              </w:tabs>
            </w:pPr>
            <w:r>
              <w:t>(a)</w:t>
            </w:r>
            <w:r>
              <w:tab/>
              <w:t>inner tubes;</w:t>
            </w:r>
          </w:p>
          <w:p>
            <w:pPr>
              <w:pStyle w:val="yTableNAm"/>
              <w:tabs>
                <w:tab w:val="clear" w:pos="567"/>
                <w:tab w:val="left" w:pos="364"/>
              </w:tabs>
            </w:pPr>
            <w:r>
              <w:t>(b)</w:t>
            </w:r>
            <w:r>
              <w:tab/>
              <w:t>aquaplanes;</w:t>
            </w:r>
          </w:p>
          <w:p>
            <w:pPr>
              <w:pStyle w:val="yTableNAm"/>
              <w:tabs>
                <w:tab w:val="clear" w:pos="567"/>
                <w:tab w:val="left" w:pos="364"/>
              </w:tabs>
            </w:pPr>
            <w:r>
              <w:t>(c)</w:t>
            </w:r>
            <w:r>
              <w:tab/>
              <w:t>waterskis.</w:t>
            </w:r>
          </w:p>
        </w:tc>
      </w:tr>
    </w:tbl>
    <w:p>
      <w:pPr>
        <w:pStyle w:val="yFootnotesection"/>
      </w:pPr>
      <w:r>
        <w:tab/>
        <w:t>[Division 2 inserted: SL 2024/191 r. 40.]</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214" w:name="_Toc178064406"/>
      <w:bookmarkStart w:id="215" w:name="_Toc178084882"/>
      <w:bookmarkStart w:id="216" w:name="_Toc178090500"/>
      <w:r>
        <w:lastRenderedPageBreak/>
        <w:t>Notes</w:t>
      </w:r>
      <w:bookmarkEnd w:id="214"/>
      <w:bookmarkEnd w:id="215"/>
      <w:bookmarkEnd w:id="216"/>
    </w:p>
    <w:p>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 </w:t>
      </w:r>
    </w:p>
    <w:p>
      <w:pPr>
        <w:pStyle w:val="nHeading3"/>
      </w:pPr>
      <w:bookmarkStart w:id="217" w:name="_Toc178090501"/>
      <w:r>
        <w:t>Compilation table</w:t>
      </w:r>
      <w:bookmarkEnd w:id="21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Regulations</w:t>
            </w:r>
            <w:r>
              <w:rPr>
                <w:iCs/>
                <w:vertAlign w:val="superscript"/>
              </w:rPr>
              <w:t> 1</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lastRenderedPageBreak/>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lastRenderedPageBreak/>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lastRenderedPageBreak/>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1992</w:t>
            </w:r>
            <w:r>
              <w:rPr>
                <w:vertAlign w:val="superscript"/>
              </w:rPr>
              <w:t> 2</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lastRenderedPageBreak/>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lastRenderedPageBreak/>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2018</w:t>
            </w:r>
          </w:p>
        </w:tc>
        <w:tc>
          <w:tcPr>
            <w:tcW w:w="1276" w:type="dxa"/>
            <w:shd w:val="clear" w:color="auto" w:fill="auto"/>
          </w:tcPr>
          <w:p>
            <w:pPr>
              <w:pStyle w:val="nTable"/>
              <w:spacing w:after="40"/>
            </w:pPr>
            <w:r>
              <w:t>14 Sep 2018 p. 3315-16</w:t>
            </w:r>
          </w:p>
        </w:tc>
        <w:tc>
          <w:tcPr>
            <w:tcW w:w="2693" w:type="dxa"/>
            <w:shd w:val="clear" w:color="auto" w:fill="auto"/>
          </w:tcPr>
          <w:p>
            <w:pPr>
              <w:pStyle w:val="nTable"/>
              <w:spacing w:after="40"/>
            </w:pPr>
            <w:r>
              <w:t>r. 1 and  2: 14 Sep 2018 (see r. 2(a));</w:t>
            </w:r>
            <w:r>
              <w:br/>
              <w:t xml:space="preserve">Regulations other than r. 1 and 2: 1 Jan 2019 (see r. 2(b) and </w:t>
            </w:r>
            <w:r>
              <w:rPr>
                <w:i/>
              </w:rPr>
              <w:t>Gazette</w:t>
            </w:r>
            <w:r>
              <w:t xml:space="preserve"> 14 Sep 2018 p. 3305)</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pPr>
              <w:pStyle w:val="nTable"/>
              <w:spacing w:after="40"/>
            </w:pPr>
            <w:r>
              <w:t>17 May 2019 p. 1437</w:t>
            </w:r>
            <w:r>
              <w:noBreakHyphen/>
              <w:t>42</w:t>
            </w:r>
          </w:p>
        </w:tc>
        <w:tc>
          <w:tcPr>
            <w:tcW w:w="2693" w:type="dxa"/>
            <w:tcBorders>
              <w:top w:val="nil"/>
              <w:bottom w:val="nil"/>
            </w:tcBorders>
            <w:shd w:val="clear" w:color="auto" w:fill="auto"/>
          </w:tcPr>
          <w:p>
            <w:pPr>
              <w:pStyle w:val="nTable"/>
              <w:spacing w:after="40"/>
            </w:pPr>
            <w:r>
              <w:t>1 Jul 2019 (r. 2(c))</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4</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SL 2021/68 4 Jun 2021</w:t>
            </w:r>
          </w:p>
        </w:tc>
        <w:tc>
          <w:tcPr>
            <w:tcW w:w="2693" w:type="dxa"/>
            <w:tcBorders>
              <w:top w:val="nil"/>
              <w:bottom w:val="nil"/>
            </w:tcBorders>
            <w:shd w:val="clear" w:color="auto" w:fill="auto"/>
          </w:tcPr>
          <w:p>
            <w:pPr>
              <w:pStyle w:val="nTable"/>
              <w:spacing w:after="40"/>
            </w:pPr>
            <w:r>
              <w:t>1 Jul 2021 (see r. 2(b), SL 2021/51 r. 2(b) and SL 2021/50 cl. 2)</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2021</w:t>
            </w:r>
          </w:p>
        </w:tc>
        <w:tc>
          <w:tcPr>
            <w:tcW w:w="1276" w:type="dxa"/>
            <w:tcBorders>
              <w:top w:val="nil"/>
              <w:bottom w:val="nil"/>
            </w:tcBorders>
            <w:shd w:val="clear" w:color="auto" w:fill="auto"/>
          </w:tcPr>
          <w:p>
            <w:pPr>
              <w:pStyle w:val="nTable"/>
              <w:spacing w:after="40"/>
            </w:pPr>
            <w:r>
              <w:t>SL 2021/161 10 Sep 2021</w:t>
            </w:r>
          </w:p>
        </w:tc>
        <w:tc>
          <w:tcPr>
            <w:tcW w:w="2693" w:type="dxa"/>
            <w:tcBorders>
              <w:top w:val="nil"/>
              <w:bottom w:val="nil"/>
            </w:tcBorders>
            <w:shd w:val="clear" w:color="auto" w:fill="auto"/>
          </w:tcPr>
          <w:p>
            <w:pPr>
              <w:pStyle w:val="nTable"/>
              <w:spacing w:after="40"/>
            </w:pPr>
            <w:r>
              <w:t>r. 1 and 2: 10 Sep 2021 (see r. 2(a));</w:t>
            </w:r>
            <w:r>
              <w:br/>
              <w:t>Regulations other than r. 1 and 2: 11 Sep 2021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2022</w:t>
            </w:r>
            <w:r>
              <w:t xml:space="preserve"> Pt. 3</w:t>
            </w:r>
          </w:p>
        </w:tc>
        <w:tc>
          <w:tcPr>
            <w:tcW w:w="1276" w:type="dxa"/>
            <w:tcBorders>
              <w:top w:val="nil"/>
              <w:bottom w:val="nil"/>
            </w:tcBorders>
            <w:shd w:val="clear" w:color="auto" w:fill="auto"/>
          </w:tcPr>
          <w:p>
            <w:pPr>
              <w:pStyle w:val="nTable"/>
              <w:spacing w:after="40"/>
            </w:pPr>
            <w:r>
              <w:t>SL 2022/56 20 May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single" w:sz="4" w:space="0" w:color="auto"/>
            </w:tcBorders>
            <w:shd w:val="clear" w:color="auto" w:fill="auto"/>
          </w:tcPr>
          <w:p>
            <w:pPr>
              <w:pStyle w:val="nTable"/>
              <w:spacing w:after="40"/>
            </w:pPr>
            <w:r>
              <w:rPr>
                <w:i/>
              </w:rPr>
              <w:t>Navigable Waters Amendment Regulations 2022</w:t>
            </w:r>
          </w:p>
        </w:tc>
        <w:tc>
          <w:tcPr>
            <w:tcW w:w="1276" w:type="dxa"/>
            <w:tcBorders>
              <w:top w:val="nil"/>
              <w:bottom w:val="single" w:sz="4" w:space="0" w:color="auto"/>
            </w:tcBorders>
            <w:shd w:val="clear" w:color="auto" w:fill="auto"/>
          </w:tcPr>
          <w:p>
            <w:pPr>
              <w:pStyle w:val="nTable"/>
              <w:spacing w:after="40"/>
            </w:pPr>
            <w:r>
              <w:t>SL 2022/137 29 Jul 2022</w:t>
            </w:r>
          </w:p>
        </w:tc>
        <w:tc>
          <w:tcPr>
            <w:tcW w:w="2693" w:type="dxa"/>
            <w:tcBorders>
              <w:top w:val="nil"/>
              <w:bottom w:val="single" w:sz="4" w:space="0" w:color="auto"/>
            </w:tcBorders>
            <w:shd w:val="clear" w:color="auto" w:fill="auto"/>
          </w:tcPr>
          <w:p>
            <w:pPr>
              <w:pStyle w:val="nTable"/>
              <w:spacing w:after="40"/>
            </w:pPr>
            <w:r>
              <w:t>r. 1 and 2: 29 Jul 2022 (see r. 2(a));</w:t>
            </w:r>
            <w:r>
              <w:br/>
              <w:t>Regulations other than r. 1 and 2: 30 Jul 2022 (see r. 2(b))</w:t>
            </w:r>
          </w:p>
        </w:tc>
      </w:tr>
      <w:tr>
        <w:tblPrEx>
          <w:tblBorders>
            <w:top w:val="none" w:sz="0" w:space="0" w:color="auto"/>
            <w:bottom w:val="none" w:sz="0" w:space="0" w:color="auto"/>
            <w:insideH w:val="none" w:sz="0" w:space="0" w:color="auto"/>
          </w:tblBorders>
        </w:tblPrEx>
        <w:trPr>
          <w:cantSplit/>
        </w:trPr>
        <w:tc>
          <w:tcPr>
            <w:tcW w:w="3118" w:type="dxa"/>
            <w:tcBorders>
              <w:top w:val="single" w:sz="4" w:space="0" w:color="auto"/>
            </w:tcBorders>
            <w:shd w:val="clear" w:color="auto" w:fill="auto"/>
          </w:tcPr>
          <w:p>
            <w:pPr>
              <w:pStyle w:val="nTable"/>
              <w:spacing w:after="40"/>
              <w:rPr>
                <w:i/>
              </w:rPr>
            </w:pPr>
            <w:r>
              <w:rPr>
                <w:i/>
              </w:rPr>
              <w:lastRenderedPageBreak/>
              <w:t>Transport Regulations Amendment (Fees and Charges) Regulations 2023</w:t>
            </w:r>
            <w:r>
              <w:t xml:space="preserve"> Pt. 4</w:t>
            </w:r>
          </w:p>
        </w:tc>
        <w:tc>
          <w:tcPr>
            <w:tcW w:w="1276" w:type="dxa"/>
            <w:tcBorders>
              <w:top w:val="single" w:sz="4" w:space="0" w:color="auto"/>
            </w:tcBorders>
            <w:shd w:val="clear" w:color="auto" w:fill="auto"/>
          </w:tcPr>
          <w:p>
            <w:pPr>
              <w:pStyle w:val="nTable"/>
              <w:spacing w:after="40"/>
            </w:pPr>
            <w:r>
              <w:t>SL 2023/45 19 May 2023</w:t>
            </w:r>
          </w:p>
        </w:tc>
        <w:tc>
          <w:tcPr>
            <w:tcW w:w="2693" w:type="dxa"/>
            <w:tcBorders>
              <w:top w:val="single" w:sz="4" w:space="0" w:color="auto"/>
            </w:tcBorders>
            <w:shd w:val="clear" w:color="auto" w:fill="auto"/>
          </w:tcPr>
          <w:p>
            <w:pPr>
              <w:pStyle w:val="nTable"/>
              <w:spacing w:after="40"/>
            </w:pPr>
            <w:r>
              <w:t>1 Jul 2023 (see r. 2(c))</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(Marine Safety Equipment) Regulations 2023</w:t>
            </w:r>
            <w:r>
              <w:t xml:space="preserve"> Pt. 2</w:t>
            </w:r>
          </w:p>
        </w:tc>
        <w:tc>
          <w:tcPr>
            <w:tcW w:w="1276" w:type="dxa"/>
            <w:tcBorders>
              <w:top w:val="nil"/>
              <w:bottom w:val="nil"/>
            </w:tcBorders>
            <w:shd w:val="clear" w:color="auto" w:fill="auto"/>
          </w:tcPr>
          <w:p>
            <w:pPr>
              <w:pStyle w:val="nTable"/>
              <w:spacing w:after="40"/>
            </w:pPr>
            <w:r>
              <w:t>SL 2023/135 9 Aug 2023</w:t>
            </w:r>
          </w:p>
        </w:tc>
        <w:tc>
          <w:tcPr>
            <w:tcW w:w="2693" w:type="dxa"/>
            <w:tcBorders>
              <w:top w:val="nil"/>
              <w:bottom w:val="nil"/>
            </w:tcBorders>
            <w:shd w:val="clear" w:color="auto" w:fill="auto"/>
          </w:tcPr>
          <w:p>
            <w:pPr>
              <w:pStyle w:val="nTable"/>
              <w:spacing w:after="40"/>
            </w:pPr>
            <w:r>
              <w:t>1 Sep 2023 (see r. 2(b))</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2023</w:t>
            </w:r>
          </w:p>
        </w:tc>
        <w:tc>
          <w:tcPr>
            <w:tcW w:w="1276" w:type="dxa"/>
            <w:tcBorders>
              <w:top w:val="nil"/>
              <w:bottom w:val="nil"/>
            </w:tcBorders>
            <w:shd w:val="clear" w:color="auto" w:fill="auto"/>
          </w:tcPr>
          <w:p>
            <w:pPr>
              <w:pStyle w:val="nTable"/>
              <w:spacing w:after="40"/>
            </w:pPr>
            <w:r>
              <w:t>SL 2023/204 20 Dec 2023</w:t>
            </w:r>
          </w:p>
        </w:tc>
        <w:tc>
          <w:tcPr>
            <w:tcW w:w="2693" w:type="dxa"/>
            <w:tcBorders>
              <w:top w:val="nil"/>
              <w:bottom w:val="nil"/>
            </w:tcBorders>
            <w:shd w:val="clear" w:color="auto" w:fill="auto"/>
          </w:tcPr>
          <w:p>
            <w:pPr>
              <w:pStyle w:val="nTable"/>
              <w:spacing w:after="40"/>
            </w:pPr>
            <w:r>
              <w:t>r. 1 and 2: 20 Dec 2023 (see r. 2(a));</w:t>
            </w:r>
            <w:r>
              <w:br/>
              <w:t>Regulations other than r. 1 and 2: 21 Dec 2023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(No. 2) 2024</w:t>
            </w:r>
            <w:r>
              <w:rPr>
                <w:iCs/>
              </w:rPr>
              <w:t xml:space="preserve"> Pt. 4</w:t>
            </w:r>
          </w:p>
        </w:tc>
        <w:tc>
          <w:tcPr>
            <w:tcW w:w="1276" w:type="dxa"/>
            <w:tcBorders>
              <w:top w:val="nil"/>
              <w:bottom w:val="nil"/>
            </w:tcBorders>
            <w:shd w:val="clear" w:color="auto" w:fill="auto"/>
          </w:tcPr>
          <w:p>
            <w:pPr>
              <w:pStyle w:val="nTable"/>
              <w:spacing w:after="40"/>
            </w:pPr>
            <w:r>
              <w:t>SL 2024/57 1 May 2024</w:t>
            </w:r>
          </w:p>
        </w:tc>
        <w:tc>
          <w:tcPr>
            <w:tcW w:w="2693" w:type="dxa"/>
            <w:tcBorders>
              <w:top w:val="nil"/>
              <w:bottom w:val="nil"/>
            </w:tcBorders>
            <w:shd w:val="clear" w:color="auto" w:fill="auto"/>
          </w:tcPr>
          <w:p>
            <w:pPr>
              <w:pStyle w:val="nTable"/>
              <w:spacing w:after="40"/>
            </w:pPr>
            <w:r>
              <w:t>1 Jul 2024 (see r. 2(b))</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2024</w:t>
            </w:r>
          </w:p>
        </w:tc>
        <w:tc>
          <w:tcPr>
            <w:tcW w:w="1276" w:type="dxa"/>
            <w:tcBorders>
              <w:top w:val="nil"/>
              <w:bottom w:val="nil"/>
            </w:tcBorders>
            <w:shd w:val="clear" w:color="auto" w:fill="auto"/>
          </w:tcPr>
          <w:p>
            <w:pPr>
              <w:pStyle w:val="nTable"/>
              <w:spacing w:after="40"/>
            </w:pPr>
            <w:r>
              <w:t>SL 2024/62 1 May 2024</w:t>
            </w:r>
          </w:p>
        </w:tc>
        <w:tc>
          <w:tcPr>
            <w:tcW w:w="2693" w:type="dxa"/>
            <w:tcBorders>
              <w:top w:val="nil"/>
              <w:bottom w:val="nil"/>
            </w:tcBorders>
            <w:shd w:val="clear" w:color="auto" w:fill="auto"/>
          </w:tcPr>
          <w:p>
            <w:pPr>
              <w:pStyle w:val="nTable"/>
              <w:spacing w:after="40"/>
            </w:pPr>
            <w:r>
              <w:t>2 May 2024 (see r. 2)</w:t>
            </w:r>
          </w:p>
        </w:tc>
      </w:tr>
      <w:tr>
        <w:trPr>
          <w:cantSplit/>
        </w:trPr>
        <w:tc>
          <w:tcPr>
            <w:tcW w:w="3118" w:type="dxa"/>
            <w:tcBorders>
              <w:top w:val="nil"/>
              <w:bottom w:val="single" w:sz="4" w:space="0" w:color="auto"/>
            </w:tcBorders>
            <w:shd w:val="clear" w:color="auto" w:fill="auto"/>
          </w:tcPr>
          <w:p>
            <w:pPr>
              <w:pStyle w:val="nTable"/>
              <w:spacing w:after="40"/>
              <w:rPr>
                <w:i/>
              </w:rPr>
            </w:pPr>
            <w:r>
              <w:rPr>
                <w:i/>
              </w:rPr>
              <w:t xml:space="preserve">Transport Regulations Amendment (Marine Safety Equipment) Regulations 2024 </w:t>
            </w:r>
            <w:r>
              <w:rPr>
                <w:iCs/>
              </w:rPr>
              <w:t>Pt. 2</w:t>
            </w:r>
          </w:p>
        </w:tc>
        <w:tc>
          <w:tcPr>
            <w:tcW w:w="1276" w:type="dxa"/>
            <w:tcBorders>
              <w:top w:val="nil"/>
              <w:bottom w:val="single" w:sz="4" w:space="0" w:color="auto"/>
            </w:tcBorders>
            <w:shd w:val="clear" w:color="auto" w:fill="auto"/>
          </w:tcPr>
          <w:p>
            <w:pPr>
              <w:pStyle w:val="nTable"/>
              <w:spacing w:after="40"/>
            </w:pPr>
            <w:r>
              <w:t>SL 2024/191 18 Sep 2024</w:t>
            </w:r>
          </w:p>
        </w:tc>
        <w:tc>
          <w:tcPr>
            <w:tcW w:w="2693" w:type="dxa"/>
            <w:tcBorders>
              <w:top w:val="nil"/>
              <w:bottom w:val="single" w:sz="4" w:space="0" w:color="auto"/>
            </w:tcBorders>
            <w:shd w:val="clear" w:color="auto" w:fill="auto"/>
          </w:tcPr>
          <w:p>
            <w:pPr>
              <w:pStyle w:val="nTable"/>
              <w:spacing w:after="40"/>
            </w:pPr>
            <w:r>
              <w:t>30 Sep 2024 (see r. 2(b))</w:t>
            </w:r>
          </w:p>
        </w:tc>
      </w:tr>
    </w:tbl>
    <w:p>
      <w:pPr>
        <w:pStyle w:val="nHeading3"/>
      </w:pPr>
      <w:bookmarkStart w:id="218" w:name="_Toc178090502"/>
      <w:r>
        <w:t>Other notes</w:t>
      </w:r>
      <w:bookmarkEnd w:id="218"/>
    </w:p>
    <w:p>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220" w:name="_Toc178090503"/>
      <w:r>
        <w:rPr>
          <w:sz w:val="28"/>
        </w:rPr>
        <w:lastRenderedPageBreak/>
        <w:t>Defined terms</w:t>
      </w:r>
      <w:bookmarkEnd w:id="2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72(2)</w:t>
      </w:r>
    </w:p>
    <w:p>
      <w:pPr>
        <w:pStyle w:val="DefinedTerms"/>
      </w:pPr>
      <w:r>
        <w:t>ABP standard</w:t>
      </w:r>
      <w:r>
        <w:tab/>
        <w:t>45A(2)</w:t>
      </w:r>
    </w:p>
    <w:p>
      <w:pPr>
        <w:pStyle w:val="DefinedTerms"/>
      </w:pPr>
      <w:r>
        <w:t>Acts</w:t>
      </w:r>
      <w:r>
        <w:tab/>
        <w:t>2(1)</w:t>
      </w:r>
    </w:p>
    <w:p>
      <w:pPr>
        <w:pStyle w:val="DefinedTerms"/>
      </w:pPr>
      <w:r>
        <w:t>appropriate lifejacket</w:t>
      </w:r>
      <w:r>
        <w:tab/>
        <w:t>46(2)</w:t>
      </w:r>
    </w:p>
    <w:p>
      <w:pPr>
        <w:pStyle w:val="DefinedTerms"/>
      </w:pPr>
      <w:r>
        <w:t>appropriate signal</w:t>
      </w:r>
      <w:r>
        <w:tab/>
        <w:t>19E(4)</w:t>
      </w:r>
    </w:p>
    <w:p>
      <w:pPr>
        <w:pStyle w:val="DefinedTerms"/>
      </w:pPr>
      <w:r>
        <w:t>approved electronic visual distress signal</w:t>
      </w:r>
      <w:r>
        <w:tab/>
        <w:t>46(2)</w:t>
      </w:r>
    </w:p>
    <w:p>
      <w:pPr>
        <w:pStyle w:val="DefinedTerms"/>
      </w:pPr>
      <w:r>
        <w:t>APS employee</w:t>
      </w:r>
      <w:r>
        <w:tab/>
        <w:t>72(1)</w:t>
      </w:r>
    </w:p>
    <w:p>
      <w:pPr>
        <w:pStyle w:val="DefinedTerms"/>
      </w:pPr>
      <w:r>
        <w:t>AS</w:t>
      </w:r>
      <w:r>
        <w:tab/>
        <w:t>46(2)</w:t>
      </w:r>
    </w:p>
    <w:p>
      <w:pPr>
        <w:pStyle w:val="DefinedTerms"/>
      </w:pPr>
      <w:r>
        <w:t>AS/NZS</w:t>
      </w:r>
      <w:r>
        <w:tab/>
        <w:t>46(2)</w:t>
      </w:r>
    </w:p>
    <w:p>
      <w:pPr>
        <w:pStyle w:val="DefinedTerms"/>
      </w:pPr>
      <w:r>
        <w:t>Australian Communications and Media Authority</w:t>
      </w:r>
      <w:r>
        <w:tab/>
        <w:t>46(2)</w:t>
      </w:r>
    </w:p>
    <w:p>
      <w:pPr>
        <w:pStyle w:val="DefinedTerms"/>
      </w:pPr>
      <w:r>
        <w:t>CEO</w:t>
      </w:r>
      <w:r>
        <w:tab/>
        <w:t>47(1), 72(1)</w:t>
      </w:r>
    </w:p>
    <w:p>
      <w:pPr>
        <w:pStyle w:val="DefinedTerms"/>
      </w:pPr>
      <w:r>
        <w:t>Chief of Defence</w:t>
      </w:r>
      <w:r>
        <w:tab/>
        <w:t>72(2)</w:t>
      </w:r>
    </w:p>
    <w:p>
      <w:pPr>
        <w:pStyle w:val="DefinedTerms"/>
      </w:pPr>
      <w:r>
        <w:t>commencement day</w:t>
      </w:r>
      <w:r>
        <w:tab/>
        <w:t>45AD(1)</w:t>
      </w:r>
    </w:p>
    <w:p>
      <w:pPr>
        <w:pStyle w:val="DefinedTerms"/>
      </w:pPr>
      <w:r>
        <w:t>criminal intelligence information</w:t>
      </w:r>
      <w:r>
        <w:tab/>
        <w:t>71(1)</w:t>
      </w:r>
    </w:p>
    <w:p>
      <w:pPr>
        <w:pStyle w:val="DefinedTerms"/>
      </w:pPr>
      <w:r>
        <w:t>diving</w:t>
      </w:r>
      <w:r>
        <w:tab/>
        <w:t>2(1)</w:t>
      </w:r>
    </w:p>
    <w:p>
      <w:pPr>
        <w:pStyle w:val="DefinedTerms"/>
      </w:pPr>
      <w:r>
        <w:t>Emergency Position-Indicating Radio Beacon</w:t>
      </w:r>
      <w:r>
        <w:tab/>
        <w:t>46(2)</w:t>
      </w:r>
    </w:p>
    <w:p>
      <w:pPr>
        <w:pStyle w:val="DefinedTerms"/>
      </w:pPr>
      <w:r>
        <w:t>examiner</w:t>
      </w:r>
      <w:r>
        <w:tab/>
        <w:t>47(1)</w:t>
      </w:r>
    </w:p>
    <w:p>
      <w:pPr>
        <w:pStyle w:val="DefinedTerms"/>
      </w:pPr>
      <w:r>
        <w:t>foreign pleasure vessel</w:t>
      </w:r>
      <w:r>
        <w:tab/>
        <w:t>45BAA(1)</w:t>
      </w:r>
    </w:p>
    <w:p>
      <w:pPr>
        <w:pStyle w:val="DefinedTerms"/>
      </w:pPr>
      <w:r>
        <w:t>foreign skipper’s ticket</w:t>
      </w:r>
      <w:r>
        <w:tab/>
        <w:t>47(1)</w:t>
      </w:r>
    </w:p>
    <w:p>
      <w:pPr>
        <w:pStyle w:val="DefinedTerms"/>
      </w:pPr>
      <w:r>
        <w:t>former Regulations</w:t>
      </w:r>
      <w:r>
        <w:tab/>
        <w:t>45AD(1)</w:t>
      </w:r>
    </w:p>
    <w:p>
      <w:pPr>
        <w:pStyle w:val="DefinedTerms"/>
      </w:pPr>
      <w:r>
        <w:t>freestyle driving</w:t>
      </w:r>
      <w:r>
        <w:tab/>
        <w:t>50A(4)</w:t>
      </w:r>
    </w:p>
    <w:p>
      <w:pPr>
        <w:pStyle w:val="DefinedTerms"/>
      </w:pPr>
      <w:r>
        <w:t>GNSS-equipped</w:t>
      </w:r>
      <w:r>
        <w:tab/>
        <w:t>46(2)</w:t>
      </w:r>
    </w:p>
    <w:p>
      <w:pPr>
        <w:pStyle w:val="DefinedTerms"/>
      </w:pPr>
      <w:r>
        <w:t>GTE CEO</w:t>
      </w:r>
      <w:r>
        <w:tab/>
        <w:t>72(2)</w:t>
      </w:r>
    </w:p>
    <w:p>
      <w:pPr>
        <w:pStyle w:val="DefinedTerms"/>
      </w:pPr>
      <w:r>
        <w:t>higher qualification</w:t>
      </w:r>
      <w:r>
        <w:tab/>
        <w:t>47C(7)</w:t>
      </w:r>
    </w:p>
    <w:p>
      <w:pPr>
        <w:pStyle w:val="DefinedTerms"/>
      </w:pPr>
      <w:r>
        <w:t>hull identification number</w:t>
      </w:r>
      <w:r>
        <w:tab/>
        <w:t>45A(2)</w:t>
      </w:r>
    </w:p>
    <w:p>
      <w:pPr>
        <w:pStyle w:val="DefinedTerms"/>
      </w:pPr>
      <w:r>
        <w:t>ISO</w:t>
      </w:r>
      <w:r>
        <w:tab/>
        <w:t>46(2)</w:t>
      </w:r>
    </w:p>
    <w:p>
      <w:pPr>
        <w:pStyle w:val="DefinedTerms"/>
      </w:pPr>
      <w:r>
        <w:t>jetty</w:t>
      </w:r>
      <w:r>
        <w:tab/>
        <w:t>21</w:t>
      </w:r>
    </w:p>
    <w:p>
      <w:pPr>
        <w:pStyle w:val="DefinedTerms"/>
      </w:pPr>
      <w:r>
        <w:t>learner</w:t>
      </w:r>
      <w:r>
        <w:tab/>
        <w:t>47B(2)</w:t>
      </w:r>
    </w:p>
    <w:p>
      <w:pPr>
        <w:pStyle w:val="DefinedTerms"/>
      </w:pPr>
      <w:r>
        <w:t>length</w:t>
      </w:r>
      <w:r>
        <w:tab/>
        <w:t>2(1)</w:t>
      </w:r>
    </w:p>
    <w:p>
      <w:pPr>
        <w:pStyle w:val="DefinedTerms"/>
      </w:pPr>
      <w:r>
        <w:t>Level 100 lifejacket</w:t>
      </w:r>
      <w:r>
        <w:tab/>
        <w:t>46(2)</w:t>
      </w:r>
    </w:p>
    <w:p>
      <w:pPr>
        <w:pStyle w:val="DefinedTerms"/>
      </w:pPr>
      <w:r>
        <w:t>Level 150 lifejacket</w:t>
      </w:r>
      <w:r>
        <w:tab/>
        <w:t>46(2)</w:t>
      </w:r>
    </w:p>
    <w:p>
      <w:pPr>
        <w:pStyle w:val="DefinedTerms"/>
      </w:pPr>
      <w:r>
        <w:t>Level 275 lifejacket</w:t>
      </w:r>
      <w:r>
        <w:tab/>
        <w:t>46(2)</w:t>
      </w:r>
    </w:p>
    <w:p>
      <w:pPr>
        <w:pStyle w:val="DefinedTerms"/>
      </w:pPr>
      <w:r>
        <w:t>Level 50 lifejacket</w:t>
      </w:r>
      <w:r>
        <w:tab/>
        <w:t>46(2)</w:t>
      </w:r>
    </w:p>
    <w:p>
      <w:pPr>
        <w:pStyle w:val="DefinedTerms"/>
      </w:pPr>
      <w:r>
        <w:t>Level 50S lifejacket</w:t>
      </w:r>
      <w:r>
        <w:tab/>
        <w:t>46(2)</w:t>
      </w:r>
    </w:p>
    <w:p>
      <w:pPr>
        <w:pStyle w:val="DefinedTerms"/>
      </w:pPr>
      <w:r>
        <w:t>LG CEO</w:t>
      </w:r>
      <w:r>
        <w:tab/>
        <w:t>72(2)</w:t>
      </w:r>
    </w:p>
    <w:p>
      <w:pPr>
        <w:pStyle w:val="DefinedTerms"/>
      </w:pPr>
      <w:r>
        <w:t>marine transceiver</w:t>
      </w:r>
      <w:r>
        <w:tab/>
        <w:t>46(2)</w:t>
      </w:r>
    </w:p>
    <w:p>
      <w:pPr>
        <w:pStyle w:val="DefinedTerms"/>
      </w:pPr>
      <w:r>
        <w:t>motor boat</w:t>
      </w:r>
      <w:r>
        <w:tab/>
        <w:t>2(1)</w:t>
      </w:r>
    </w:p>
    <w:p>
      <w:pPr>
        <w:pStyle w:val="DefinedTerms"/>
      </w:pPr>
      <w:r>
        <w:t>navigable waters</w:t>
      </w:r>
      <w:r>
        <w:tab/>
        <w:t>2(1)</w:t>
      </w:r>
    </w:p>
    <w:p>
      <w:pPr>
        <w:pStyle w:val="DefinedTerms"/>
      </w:pPr>
      <w:r>
        <w:t>non-registrable vessel</w:t>
      </w:r>
      <w:r>
        <w:tab/>
        <w:t>46(2)</w:t>
      </w:r>
    </w:p>
    <w:p>
      <w:pPr>
        <w:pStyle w:val="DefinedTerms"/>
      </w:pPr>
      <w:r>
        <w:lastRenderedPageBreak/>
        <w:t>open area</w:t>
      </w:r>
      <w:r>
        <w:tab/>
        <w:t>50B(1)</w:t>
      </w:r>
    </w:p>
    <w:p>
      <w:pPr>
        <w:pStyle w:val="DefinedTerms"/>
      </w:pPr>
      <w:r>
        <w:t>owner</w:t>
      </w:r>
      <w:r>
        <w:tab/>
        <w:t>45A(2)</w:t>
      </w:r>
    </w:p>
    <w:p>
      <w:pPr>
        <w:pStyle w:val="DefinedTerms"/>
      </w:pPr>
      <w:r>
        <w:t>paddle craft</w:t>
      </w:r>
      <w:r>
        <w:tab/>
        <w:t>46(2)</w:t>
      </w:r>
    </w:p>
    <w:p>
      <w:pPr>
        <w:pStyle w:val="DefinedTerms"/>
      </w:pPr>
      <w:r>
        <w:t>para-sailing</w:t>
      </w:r>
      <w:r>
        <w:tab/>
        <w:t>46(2)</w:t>
      </w:r>
    </w:p>
    <w:p>
      <w:pPr>
        <w:pStyle w:val="DefinedTerms"/>
      </w:pPr>
      <w:r>
        <w:t>personal locator beacon</w:t>
      </w:r>
      <w:r>
        <w:tab/>
        <w:t>46(2)</w:t>
      </w:r>
    </w:p>
    <w:p>
      <w:pPr>
        <w:pStyle w:val="DefinedTerms"/>
      </w:pPr>
      <w:r>
        <w:t>prescribed offence</w:t>
      </w:r>
      <w:r>
        <w:tab/>
        <w:t>47GA(1)</w:t>
      </w:r>
    </w:p>
    <w:p>
      <w:pPr>
        <w:pStyle w:val="DefinedTerms"/>
      </w:pPr>
      <w:r>
        <w:t>present offence</w:t>
      </w:r>
      <w:r>
        <w:tab/>
        <w:t>47GA(2)</w:t>
      </w:r>
    </w:p>
    <w:p>
      <w:pPr>
        <w:pStyle w:val="DefinedTerms"/>
      </w:pPr>
      <w:r>
        <w:t>proposed departure date</w:t>
      </w:r>
      <w:r>
        <w:tab/>
        <w:t>45BAA(1)</w:t>
      </w:r>
    </w:p>
    <w:p>
      <w:pPr>
        <w:pStyle w:val="DefinedTerms"/>
      </w:pPr>
      <w:r>
        <w:t>protected waters</w:t>
      </w:r>
      <w:r>
        <w:tab/>
        <w:t>2(1)</w:t>
      </w:r>
    </w:p>
    <w:p>
      <w:pPr>
        <w:pStyle w:val="DefinedTerms"/>
      </w:pPr>
      <w:r>
        <w:t>public jetty</w:t>
      </w:r>
      <w:r>
        <w:tab/>
        <w:t>2(1)</w:t>
      </w:r>
    </w:p>
    <w:p>
      <w:pPr>
        <w:pStyle w:val="DefinedTerms"/>
      </w:pPr>
      <w:r>
        <w:t>recreational skipper’s ticket</w:t>
      </w:r>
      <w:r>
        <w:tab/>
        <w:t>47(1)</w:t>
      </w:r>
    </w:p>
    <w:p>
      <w:pPr>
        <w:pStyle w:val="DefinedTerms"/>
      </w:pPr>
      <w:r>
        <w:t>registered interstate pleasure vessel</w:t>
      </w:r>
      <w:r>
        <w:tab/>
        <w:t>45A(2)</w:t>
      </w:r>
    </w:p>
    <w:p>
      <w:pPr>
        <w:pStyle w:val="DefinedTerms"/>
      </w:pPr>
      <w:r>
        <w:t>registered vessel</w:t>
      </w:r>
      <w:r>
        <w:tab/>
        <w:t>45A(2)</w:t>
      </w:r>
    </w:p>
    <w:p>
      <w:pPr>
        <w:pStyle w:val="DefinedTerms"/>
      </w:pPr>
      <w:r>
        <w:t>registrable vessel</w:t>
      </w:r>
      <w:r>
        <w:tab/>
        <w:t>2(1)</w:t>
      </w:r>
    </w:p>
    <w:p>
      <w:pPr>
        <w:pStyle w:val="DefinedTerms"/>
      </w:pPr>
      <w:r>
        <w:t>RST vessel</w:t>
      </w:r>
      <w:r>
        <w:tab/>
        <w:t>47(1)</w:t>
      </w:r>
    </w:p>
    <w:p>
      <w:pPr>
        <w:pStyle w:val="DefinedTerms"/>
      </w:pPr>
      <w:r>
        <w:t>sailboard</w:t>
      </w:r>
      <w:r>
        <w:tab/>
        <w:t>46(2)</w:t>
      </w:r>
    </w:p>
    <w:p>
      <w:pPr>
        <w:pStyle w:val="DefinedTerms"/>
      </w:pPr>
      <w:r>
        <w:t>sailboard riding</w:t>
      </w:r>
      <w:r>
        <w:tab/>
        <w:t>46(2)</w:t>
      </w:r>
    </w:p>
    <w:p>
      <w:pPr>
        <w:pStyle w:val="DefinedTerms"/>
      </w:pPr>
      <w:r>
        <w:t>section</w:t>
      </w:r>
      <w:r>
        <w:tab/>
        <w:t>47GA(1)</w:t>
      </w:r>
    </w:p>
    <w:p>
      <w:pPr>
        <w:pStyle w:val="DefinedTerms"/>
      </w:pPr>
      <w:r>
        <w:t xml:space="preserve">SOLAS lifejacket </w:t>
      </w:r>
      <w:r>
        <w:tab/>
        <w:t>46(2)</w:t>
      </w:r>
    </w:p>
    <w:p>
      <w:pPr>
        <w:pStyle w:val="DefinedTerms"/>
      </w:pPr>
      <w:r>
        <w:t>speed boat</w:t>
      </w:r>
      <w:r>
        <w:tab/>
        <w:t>2(1)</w:t>
      </w:r>
    </w:p>
    <w:p>
      <w:pPr>
        <w:pStyle w:val="DefinedTerms"/>
      </w:pPr>
      <w:r>
        <w:t>surfing</w:t>
      </w:r>
      <w:r>
        <w:tab/>
        <w:t>50A(4)</w:t>
      </w:r>
    </w:p>
    <w:p>
      <w:pPr>
        <w:pStyle w:val="DefinedTerms"/>
      </w:pPr>
      <w:r>
        <w:t>tender</w:t>
      </w:r>
      <w:r>
        <w:tab/>
        <w:t>2(1)</w:t>
      </w:r>
    </w:p>
    <w:p>
      <w:pPr>
        <w:pStyle w:val="DefinedTerms"/>
      </w:pPr>
      <w:r>
        <w:t>trick water ski-ing</w:t>
      </w:r>
      <w:r>
        <w:tab/>
        <w:t>46(2)</w:t>
      </w:r>
    </w:p>
    <w:p>
      <w:pPr>
        <w:pStyle w:val="DefinedTerms"/>
      </w:pPr>
      <w:r>
        <w:t>vessel</w:t>
      </w:r>
      <w:r>
        <w:tab/>
        <w:t>21</w:t>
      </w:r>
    </w:p>
    <w:p>
      <w:pPr>
        <w:pStyle w:val="DefinedTerms"/>
      </w:pPr>
      <w:r>
        <w:t>water skier</w:t>
      </w:r>
      <w:r>
        <w:tab/>
        <w:t>46(2)</w:t>
      </w:r>
    </w:p>
    <w:p>
      <w:pPr>
        <w:pStyle w:val="DefinedTerms"/>
      </w:pPr>
      <w:r>
        <w:t>water ski-ing</w:t>
      </w:r>
      <w:r>
        <w:tab/>
        <w:t>46(2)</w:t>
      </w:r>
    </w:p>
    <w:p>
      <w:pPr>
        <w:pStyle w:val="DefinedTerms"/>
      </w:pPr>
      <w:r>
        <w:t>wave jumping</w:t>
      </w:r>
      <w:r>
        <w:tab/>
        <w:t>50A(4)</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10685E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A582C38" w14:textId="4E323686" w:rsidR="00596250" w:rsidRDefault="005B5CF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965D5">
                        <w:rPr>
                          <w:sz w:val="16"/>
                        </w:rPr>
                        <w:t>2024</w:t>
                      </w:r>
                      <w:r>
                        <w:rPr>
                          <w:sz w:val="16"/>
                        </w:rPr>
                        <w:fldChar w:fldCharType="end"/>
                      </w:r>
                      <w:r>
                        <w:rPr>
                          <w:sz w:val="16"/>
                        </w:rPr>
                        <w:t>.</w:t>
                      </w:r>
                    </w:p>
                    <w:p w14:paraId="03A54E6B" w14:textId="77777777" w:rsidR="00596250" w:rsidRDefault="005B5CF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7BE22D4" w14:textId="2205398C" w:rsidR="00596250" w:rsidRDefault="005B5CF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965D5">
                        <w:rPr>
                          <w:sz w:val="16"/>
                        </w:rPr>
                        <w:t>2024</w:t>
                      </w:r>
                      <w:r>
                        <w:rPr>
                          <w:sz w:val="16"/>
                        </w:rPr>
                        <w:fldChar w:fldCharType="end"/>
                      </w:r>
                      <w:r>
                        <w:rPr>
                          <w:sz w:val="16"/>
                        </w:rPr>
                        <w:t>.</w:t>
                      </w:r>
                    </w:p>
                    <w:p w14:paraId="544B158D" w14:textId="77777777" w:rsidR="00596250" w:rsidRDefault="005B5CF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16-af0-00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16-af0-00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16-af0-00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16-af0-00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16-af0-00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16-af0-00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4</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4</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4</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13" w:name="Schedule"/>
    <w:bookmarkEnd w:id="21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9" w:name="Compilation"/>
    <w:bookmarkEnd w:id="21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21" w:name="DefinedTerms"/>
    <w:bookmarkEnd w:id="22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2" w:name="Coversheet"/>
    <w:bookmarkEnd w:id="2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396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4095552"/>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 w:name="WAFER_202106031240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23_GUID" w:val="8e79f282-0c96-4d9f-a4c8-21802d695596"/>
    <w:docVar w:name="WAFER_2021062411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33_GUID" w:val="7184f1a7-cb55-457b-82ce-9f1d9e1bbd20"/>
    <w:docVar w:name="WAFER_20210908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095150_GUID" w:val="edf6d6fd-107c-4cb2-be82-5a3d2146aaa0"/>
    <w:docVar w:name="WAFER_20210908154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8154816_GUID" w:val="fe8034e0-e47c-42a7-833b-246a08282858"/>
    <w:docVar w:name="WAFER_202205171237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54_GUID" w:val="d1f72098-6a72-4cf9-b442-ae1b5d90cdb0"/>
    <w:docVar w:name="WAFER_20220623112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13_GUID" w:val="fe6ef744-8b86-416b-a606-9d6de88605f6"/>
    <w:docVar w:name="WAFER_20220726153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3114_GUID" w:val="5ba2aae1-f86e-48b1-b204-64ce9cfc320a"/>
    <w:docVar w:name="WAFER_20230516141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31_GUID" w:val="556c8854-c4de-469e-a9fa-8d21b7818134"/>
    <w:docVar w:name="WAFER_2023062911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45_GUID" w:val="996a6ff0-67c2-420e-8658-84fcfe45b240"/>
    <w:docVar w:name="WAFER_20230807152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7152651_GUID" w:val="f3cf226e-4f8c-4ce8-9c83-8af43200605e"/>
    <w:docVar w:name="WAFER_20231215100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00457_GUID" w:val="fda11f50-5a42-4dfd-b628-8b6588c161f1"/>
    <w:docVar w:name="WAFER_20231215100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00542_GUID" w:val="ba1ba931-845d-4799-88ce-d400801d6115"/>
    <w:docVar w:name="WAFER_202404291317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9131730_GUID" w:val="50266e48-7f24-48de-802f-032873ccfd9a"/>
    <w:docVar w:name="WAFER_20240625111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242_GUID" w:val="29fdc2c1-b275-439b-92e7-aeff642c8741"/>
    <w:docVar w:name="WAFER_20240912151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51609_GUID" w:val="a4b0099d-1060-42d7-a82a-90b05cf63328"/>
    <w:docVar w:name="WAFER_20240924095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095552_GUID" w:val="faeee175-e292-4a6d-bd52-79dd0fb3e2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9617"/>
    <o:shapelayout v:ext="edit">
      <o:idmap v:ext="edit" data="1"/>
    </o:shapelayout>
  </w:shapeDefaults>
  <w:decimalSymbol w:val="."/>
  <w:listSeparator w:val=","/>
  <w15:docId w15:val="{149B7B5E-BB03-4F5E-B538-A032E7CA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9539E-48BF-4B4C-9F9B-86E88AA42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26955</Words>
  <Characters>126690</Characters>
  <Application>Microsoft Office Word</Application>
  <DocSecurity>0</DocSecurity>
  <Lines>3959</Lines>
  <Paragraphs>2327</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151318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1958 - 16-af0-00</dc:title>
  <dc:subject/>
  <dc:creator/>
  <cp:keywords/>
  <dc:description/>
  <cp:lastModifiedBy>Master Repository Process</cp:lastModifiedBy>
  <cp:revision>4</cp:revision>
  <cp:lastPrinted>2018-12-03T07:06:00Z</cp:lastPrinted>
  <dcterms:created xsi:type="dcterms:W3CDTF">2025-06-20T04:20:00Z</dcterms:created>
  <dcterms:modified xsi:type="dcterms:W3CDTF">2025-06-20T04:20:00Z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AsAtDate">
    <vt:lpwstr>30 Sep 2024</vt:lpwstr>
  </property>
  <property fmtid="{D5CDD505-2E9C-101B-9397-08002B2CF9AE}" pid="8" name="Suffix">
    <vt:lpwstr>16-af0-00</vt:lpwstr>
  </property>
  <property fmtid="{D5CDD505-2E9C-101B-9397-08002B2CF9AE}" pid="9" name="Official">
    <vt:lpwstr/>
  </property>
  <property fmtid="{D5CDD505-2E9C-101B-9397-08002B2CF9AE}" pid="10" name="CommencementDate">
    <vt:lpwstr>20240930</vt:lpwstr>
  </property>
  <property fmtid="{D5CDD505-2E9C-101B-9397-08002B2CF9AE}" pid="11" name="CommencementAsAt">
    <vt:filetime>2024-09-29T16:00:00Z</vt:filetime>
  </property>
  <property fmtid="{D5CDD505-2E9C-101B-9397-08002B2CF9AE}" pid="12" name="CommencementYear">
    <vt:lpwstr>2024</vt:lpwstr>
  </property>
</Properties>
</file>