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Gender Reassignment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Gender Reassignment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_Toc178256715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_Toc178256716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_Toc178256717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_Toc178256718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Gender Reassignment Board</w:t>
      </w:r>
    </w:p>
    <w:p>
      <w:pPr>
        <w:pStyle w:val="TOC8"/>
        <w:rPr>
          <w:rFonts w:asciiTheme="minorHAnsi" w:eastAsiaTheme="minorEastAsia" w:hAnsiTheme="minorHAnsi" w:cstheme="minorBidi"/>
          <w:szCs w:val="22"/>
        </w:rPr>
      </w:pPr>
      <w:r>
        <w:t>5.</w:t>
      </w:r>
      <w:r>
        <w:tab/>
        <w:t>Establishment and function of Board</w:t>
      </w:r>
      <w:r>
        <w:tab/>
      </w:r>
      <w:r>
        <w:fldChar w:fldCharType="begin"/>
      </w:r>
      <w:r>
        <w:instrText xml:space="preserve"> PAGEREF _Toc178256720 \h </w:instrText>
      </w:r>
      <w:r>
        <w:fldChar w:fldCharType="separate"/>
      </w:r>
      <w:r>
        <w:t>4</w:t>
      </w:r>
      <w:r>
        <w:fldChar w:fldCharType="end"/>
      </w:r>
    </w:p>
    <w:p>
      <w:pPr>
        <w:pStyle w:val="TOC8"/>
        <w:rPr>
          <w:rFonts w:asciiTheme="minorHAnsi" w:eastAsiaTheme="minorEastAsia" w:hAnsiTheme="minorHAnsi" w:cstheme="minorBidi"/>
          <w:szCs w:val="22"/>
        </w:rPr>
      </w:pPr>
      <w:r>
        <w:t>6.</w:t>
      </w:r>
      <w:r>
        <w:tab/>
        <w:t>President of Board</w:t>
      </w:r>
      <w:r>
        <w:tab/>
      </w:r>
      <w:r>
        <w:fldChar w:fldCharType="begin"/>
      </w:r>
      <w:r>
        <w:instrText xml:space="preserve"> PAGEREF _Toc178256721 \h </w:instrText>
      </w:r>
      <w:r>
        <w:fldChar w:fldCharType="separate"/>
      </w:r>
      <w:r>
        <w:t>4</w:t>
      </w:r>
      <w:r>
        <w:fldChar w:fldCharType="end"/>
      </w:r>
    </w:p>
    <w:p>
      <w:pPr>
        <w:pStyle w:val="TOC8"/>
        <w:rPr>
          <w:rFonts w:asciiTheme="minorHAnsi" w:eastAsiaTheme="minorEastAsia" w:hAnsiTheme="minorHAnsi" w:cstheme="minorBidi"/>
          <w:szCs w:val="22"/>
        </w:rPr>
      </w:pPr>
      <w:r>
        <w:t>7.</w:t>
      </w:r>
      <w:r>
        <w:tab/>
        <w:t>Other Board members</w:t>
      </w:r>
      <w:r>
        <w:tab/>
      </w:r>
      <w:r>
        <w:fldChar w:fldCharType="begin"/>
      </w:r>
      <w:r>
        <w:instrText xml:space="preserve"> PAGEREF _Toc178256722 \h </w:instrText>
      </w:r>
      <w:r>
        <w:fldChar w:fldCharType="separate"/>
      </w:r>
      <w:r>
        <w:t>5</w:t>
      </w:r>
      <w:r>
        <w:fldChar w:fldCharType="end"/>
      </w:r>
    </w:p>
    <w:p>
      <w:pPr>
        <w:pStyle w:val="TOC8"/>
        <w:rPr>
          <w:rFonts w:asciiTheme="minorHAnsi" w:eastAsiaTheme="minorEastAsia" w:hAnsiTheme="minorHAnsi" w:cstheme="minorBidi"/>
          <w:szCs w:val="22"/>
        </w:rPr>
      </w:pPr>
      <w:r>
        <w:t>8.</w:t>
      </w:r>
      <w:r>
        <w:tab/>
        <w:t>Arrangement of business</w:t>
      </w:r>
      <w:r>
        <w:tab/>
      </w:r>
      <w:r>
        <w:fldChar w:fldCharType="begin"/>
      </w:r>
      <w:r>
        <w:instrText xml:space="preserve"> PAGEREF _Toc178256723 \h </w:instrText>
      </w:r>
      <w:r>
        <w:fldChar w:fldCharType="separate"/>
      </w:r>
      <w:r>
        <w:t>5</w:t>
      </w:r>
      <w:r>
        <w:fldChar w:fldCharType="end"/>
      </w:r>
    </w:p>
    <w:p>
      <w:pPr>
        <w:pStyle w:val="TOC8"/>
        <w:rPr>
          <w:rFonts w:asciiTheme="minorHAnsi" w:eastAsiaTheme="minorEastAsia" w:hAnsiTheme="minorHAnsi" w:cstheme="minorBidi"/>
          <w:szCs w:val="22"/>
        </w:rPr>
      </w:pPr>
      <w:r>
        <w:t>9.</w:t>
      </w:r>
      <w:r>
        <w:tab/>
        <w:t>Remuneration and allowances of members</w:t>
      </w:r>
      <w:r>
        <w:tab/>
      </w:r>
      <w:r>
        <w:fldChar w:fldCharType="begin"/>
      </w:r>
      <w:r>
        <w:instrText xml:space="preserve"> PAGEREF _Toc178256724 \h </w:instrText>
      </w:r>
      <w:r>
        <w:fldChar w:fldCharType="separate"/>
      </w:r>
      <w:r>
        <w:t>5</w:t>
      </w:r>
      <w:r>
        <w:fldChar w:fldCharType="end"/>
      </w:r>
    </w:p>
    <w:p>
      <w:pPr>
        <w:pStyle w:val="TOC8"/>
        <w:rPr>
          <w:rFonts w:asciiTheme="minorHAnsi" w:eastAsiaTheme="minorEastAsia" w:hAnsiTheme="minorHAnsi" w:cstheme="minorBidi"/>
          <w:szCs w:val="22"/>
        </w:rPr>
      </w:pPr>
      <w:r>
        <w:t>10.</w:t>
      </w:r>
      <w:r>
        <w:tab/>
        <w:t>Practice directions</w:t>
      </w:r>
      <w:r>
        <w:tab/>
      </w:r>
      <w:r>
        <w:fldChar w:fldCharType="begin"/>
      </w:r>
      <w:r>
        <w:instrText xml:space="preserve"> PAGEREF _Toc178256725 \h </w:instrText>
      </w:r>
      <w:r>
        <w:fldChar w:fldCharType="separate"/>
      </w:r>
      <w:r>
        <w:t>6</w:t>
      </w:r>
      <w:r>
        <w:fldChar w:fldCharType="end"/>
      </w:r>
    </w:p>
    <w:p>
      <w:pPr>
        <w:pStyle w:val="TOC8"/>
        <w:rPr>
          <w:rFonts w:asciiTheme="minorHAnsi" w:eastAsiaTheme="minorEastAsia" w:hAnsiTheme="minorHAnsi" w:cstheme="minorBidi"/>
          <w:szCs w:val="22"/>
        </w:rPr>
      </w:pPr>
      <w:r>
        <w:t>11.</w:t>
      </w:r>
      <w:r>
        <w:tab/>
        <w:t>Executive officer and other officers</w:t>
      </w:r>
      <w:r>
        <w:tab/>
      </w:r>
      <w:r>
        <w:fldChar w:fldCharType="begin"/>
      </w:r>
      <w:r>
        <w:instrText xml:space="preserve"> PAGEREF _Toc178256726 \h </w:instrText>
      </w:r>
      <w:r>
        <w:fldChar w:fldCharType="separate"/>
      </w:r>
      <w:r>
        <w:t>6</w:t>
      </w:r>
      <w:r>
        <w:fldChar w:fldCharType="end"/>
      </w:r>
    </w:p>
    <w:p>
      <w:pPr>
        <w:pStyle w:val="TOC8"/>
        <w:rPr>
          <w:rFonts w:asciiTheme="minorHAnsi" w:eastAsiaTheme="minorEastAsia" w:hAnsiTheme="minorHAnsi" w:cstheme="minorBidi"/>
          <w:szCs w:val="22"/>
        </w:rPr>
      </w:pPr>
      <w:r>
        <w:t>12.</w:t>
      </w:r>
      <w:r>
        <w:tab/>
        <w:t>Judicial notice of seal and signatures</w:t>
      </w:r>
      <w:r>
        <w:tab/>
      </w:r>
      <w:r>
        <w:fldChar w:fldCharType="begin"/>
      </w:r>
      <w:r>
        <w:instrText xml:space="preserve"> PAGEREF _Toc178256727 \h </w:instrText>
      </w:r>
      <w:r>
        <w:fldChar w:fldCharType="separate"/>
      </w:r>
      <w:r>
        <w:t>6</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_Toc178256728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Recognition certificates</w:t>
      </w:r>
    </w:p>
    <w:p>
      <w:pPr>
        <w:pStyle w:val="TOC8"/>
        <w:rPr>
          <w:rFonts w:asciiTheme="minorHAnsi" w:eastAsiaTheme="minorEastAsia" w:hAnsiTheme="minorHAnsi" w:cstheme="minorBidi"/>
          <w:szCs w:val="22"/>
        </w:rPr>
      </w:pPr>
      <w:r>
        <w:t>14.</w:t>
      </w:r>
      <w:r>
        <w:tab/>
        <w:t>Applications for recognition certificates</w:t>
      </w:r>
      <w:r>
        <w:tab/>
      </w:r>
      <w:r>
        <w:fldChar w:fldCharType="begin"/>
      </w:r>
      <w:r>
        <w:instrText xml:space="preserve"> PAGEREF _Toc178256730 \h </w:instrText>
      </w:r>
      <w:r>
        <w:fldChar w:fldCharType="separate"/>
      </w:r>
      <w:r>
        <w:t>8</w:t>
      </w:r>
      <w:r>
        <w:fldChar w:fldCharType="end"/>
      </w:r>
    </w:p>
    <w:p>
      <w:pPr>
        <w:pStyle w:val="TOC8"/>
        <w:rPr>
          <w:rFonts w:asciiTheme="minorHAnsi" w:eastAsiaTheme="minorEastAsia" w:hAnsiTheme="minorHAnsi" w:cstheme="minorBidi"/>
          <w:szCs w:val="22"/>
        </w:rPr>
      </w:pPr>
      <w:r>
        <w:t>15.</w:t>
      </w:r>
      <w:r>
        <w:tab/>
        <w:t>Issue of recognition certificates</w:t>
      </w:r>
      <w:r>
        <w:tab/>
      </w:r>
      <w:r>
        <w:fldChar w:fldCharType="begin"/>
      </w:r>
      <w:r>
        <w:instrText xml:space="preserve"> PAGEREF _Toc178256731 \h </w:instrText>
      </w:r>
      <w:r>
        <w:fldChar w:fldCharType="separate"/>
      </w:r>
      <w:r>
        <w:t>9</w:t>
      </w:r>
      <w:r>
        <w:fldChar w:fldCharType="end"/>
      </w:r>
    </w:p>
    <w:p>
      <w:pPr>
        <w:pStyle w:val="TOC8"/>
        <w:rPr>
          <w:rFonts w:asciiTheme="minorHAnsi" w:eastAsiaTheme="minorEastAsia" w:hAnsiTheme="minorHAnsi" w:cstheme="minorBidi"/>
          <w:szCs w:val="22"/>
        </w:rPr>
      </w:pPr>
      <w:r>
        <w:t>16.</w:t>
      </w:r>
      <w:r>
        <w:tab/>
        <w:t>Effect of recognition certificate</w:t>
      </w:r>
      <w:r>
        <w:tab/>
      </w:r>
      <w:r>
        <w:fldChar w:fldCharType="begin"/>
      </w:r>
      <w:r>
        <w:instrText xml:space="preserve"> PAGEREF _Toc178256732 \h </w:instrText>
      </w:r>
      <w:r>
        <w:fldChar w:fldCharType="separate"/>
      </w:r>
      <w:r>
        <w:t>10</w:t>
      </w:r>
      <w:r>
        <w:fldChar w:fldCharType="end"/>
      </w:r>
    </w:p>
    <w:p>
      <w:pPr>
        <w:pStyle w:val="TOC8"/>
        <w:rPr>
          <w:rFonts w:asciiTheme="minorHAnsi" w:eastAsiaTheme="minorEastAsia" w:hAnsiTheme="minorHAnsi" w:cstheme="minorBidi"/>
          <w:szCs w:val="22"/>
        </w:rPr>
      </w:pPr>
      <w:r>
        <w:t>17.</w:t>
      </w:r>
      <w:r>
        <w:tab/>
        <w:t>Registration of certificates</w:t>
      </w:r>
      <w:r>
        <w:tab/>
      </w:r>
      <w:r>
        <w:fldChar w:fldCharType="begin"/>
      </w:r>
      <w:r>
        <w:instrText xml:space="preserve"> PAGEREF _Toc178256733 \h </w:instrText>
      </w:r>
      <w:r>
        <w:fldChar w:fldCharType="separate"/>
      </w:r>
      <w:r>
        <w:t>10</w:t>
      </w:r>
      <w:r>
        <w:fldChar w:fldCharType="end"/>
      </w:r>
    </w:p>
    <w:p>
      <w:pPr>
        <w:pStyle w:val="TOC8"/>
        <w:rPr>
          <w:rFonts w:asciiTheme="minorHAnsi" w:eastAsiaTheme="minorEastAsia" w:hAnsiTheme="minorHAnsi" w:cstheme="minorBidi"/>
          <w:szCs w:val="22"/>
        </w:rPr>
      </w:pPr>
      <w:r>
        <w:t>18.</w:t>
      </w:r>
      <w:r>
        <w:tab/>
        <w:t>Issuing of new birth certificate</w:t>
      </w:r>
      <w:r>
        <w:tab/>
      </w:r>
      <w:r>
        <w:fldChar w:fldCharType="begin"/>
      </w:r>
      <w:r>
        <w:instrText xml:space="preserve"> PAGEREF _Toc178256734 \h </w:instrText>
      </w:r>
      <w:r>
        <w:fldChar w:fldCharType="separate"/>
      </w:r>
      <w:r>
        <w:t>11</w:t>
      </w:r>
      <w:r>
        <w:fldChar w:fldCharType="end"/>
      </w:r>
    </w:p>
    <w:p>
      <w:pPr>
        <w:pStyle w:val="TOC8"/>
        <w:rPr>
          <w:rFonts w:asciiTheme="minorHAnsi" w:eastAsiaTheme="minorEastAsia" w:hAnsiTheme="minorHAnsi" w:cstheme="minorBidi"/>
          <w:szCs w:val="22"/>
        </w:rPr>
      </w:pPr>
      <w:r>
        <w:t>19.</w:t>
      </w:r>
      <w:r>
        <w:tab/>
        <w:t>Cancellation of fraudulent recognition certificates</w:t>
      </w:r>
      <w:r>
        <w:tab/>
      </w:r>
      <w:r>
        <w:fldChar w:fldCharType="begin"/>
      </w:r>
      <w:r>
        <w:instrText xml:space="preserve"> PAGEREF _Toc178256735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20.</w:t>
      </w:r>
      <w:r>
        <w:tab/>
        <w:t>Issue of replacement qualification certificates</w:t>
      </w:r>
      <w:r>
        <w:tab/>
      </w:r>
      <w:r>
        <w:fldChar w:fldCharType="begin"/>
      </w:r>
      <w:r>
        <w:instrText xml:space="preserve"> PAGEREF _Toc178256737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21.</w:t>
      </w:r>
      <w:r>
        <w:tab/>
        <w:t>Review by SAT</w:t>
      </w:r>
      <w:r>
        <w:tab/>
      </w:r>
      <w:r>
        <w:fldChar w:fldCharType="begin"/>
      </w:r>
      <w:r>
        <w:instrText xml:space="preserve"> PAGEREF _Toc178256738 \h </w:instrText>
      </w:r>
      <w:r>
        <w:fldChar w:fldCharType="separate"/>
      </w:r>
      <w:r>
        <w:t>13</w:t>
      </w:r>
      <w:r>
        <w:fldChar w:fldCharType="end"/>
      </w:r>
    </w:p>
    <w:p>
      <w:pPr>
        <w:pStyle w:val="TOC8"/>
        <w:rPr>
          <w:rFonts w:asciiTheme="minorHAnsi" w:eastAsiaTheme="minorEastAsia" w:hAnsiTheme="minorHAnsi" w:cstheme="minorBidi"/>
          <w:szCs w:val="22"/>
        </w:rPr>
      </w:pPr>
      <w:r>
        <w:t>22.</w:t>
      </w:r>
      <w:r>
        <w:tab/>
        <w:t>Confidentiality</w:t>
      </w:r>
      <w:r>
        <w:tab/>
      </w:r>
      <w:r>
        <w:fldChar w:fldCharType="begin"/>
      </w:r>
      <w:r>
        <w:instrText xml:space="preserve"> PAGEREF _Toc178256739 \h </w:instrText>
      </w:r>
      <w:r>
        <w:fldChar w:fldCharType="separate"/>
      </w:r>
      <w:r>
        <w:t>13</w:t>
      </w:r>
      <w:r>
        <w:fldChar w:fldCharType="end"/>
      </w:r>
    </w:p>
    <w:p>
      <w:pPr>
        <w:pStyle w:val="TOC8"/>
        <w:rPr>
          <w:rFonts w:asciiTheme="minorHAnsi" w:eastAsiaTheme="minorEastAsia" w:hAnsiTheme="minorHAnsi" w:cstheme="minorBidi"/>
          <w:szCs w:val="22"/>
        </w:rPr>
      </w:pPr>
      <w:r>
        <w:t>23.</w:t>
      </w:r>
      <w:r>
        <w:tab/>
        <w:t>False or misleading statements</w:t>
      </w:r>
      <w:r>
        <w:tab/>
      </w:r>
      <w:r>
        <w:fldChar w:fldCharType="begin"/>
      </w:r>
      <w:r>
        <w:instrText xml:space="preserve"> PAGEREF _Toc178256740 \h </w:instrText>
      </w:r>
      <w:r>
        <w:fldChar w:fldCharType="separate"/>
      </w:r>
      <w:r>
        <w:t>13</w:t>
      </w:r>
      <w:r>
        <w:fldChar w:fldCharType="end"/>
      </w:r>
    </w:p>
    <w:p>
      <w:pPr>
        <w:pStyle w:val="TOC8"/>
        <w:rPr>
          <w:rFonts w:asciiTheme="minorHAnsi" w:eastAsiaTheme="minorEastAsia" w:hAnsiTheme="minorHAnsi" w:cstheme="minorBidi"/>
          <w:szCs w:val="22"/>
        </w:rPr>
      </w:pPr>
      <w:r>
        <w:t>24.</w:t>
      </w:r>
      <w:r>
        <w:tab/>
        <w:t>Offences</w:t>
      </w:r>
      <w:r>
        <w:tab/>
      </w:r>
      <w:r>
        <w:fldChar w:fldCharType="begin"/>
      </w:r>
      <w:r>
        <w:instrText xml:space="preserve"> PAGEREF _Toc178256741 \h </w:instrText>
      </w:r>
      <w:r>
        <w:fldChar w:fldCharType="separate"/>
      </w:r>
      <w:r>
        <w:t>14</w:t>
      </w:r>
      <w:r>
        <w:fldChar w:fldCharType="end"/>
      </w:r>
    </w:p>
    <w:p>
      <w:pPr>
        <w:pStyle w:val="TOC8"/>
        <w:rPr>
          <w:rFonts w:asciiTheme="minorHAnsi" w:eastAsiaTheme="minorEastAsia" w:hAnsiTheme="minorHAnsi" w:cstheme="minorBidi"/>
          <w:szCs w:val="22"/>
        </w:rPr>
      </w:pPr>
      <w:r>
        <w:t>25.</w:t>
      </w:r>
      <w:r>
        <w:tab/>
        <w:t>Age</w:t>
      </w:r>
      <w:r>
        <w:tab/>
      </w:r>
      <w:r>
        <w:fldChar w:fldCharType="begin"/>
      </w:r>
      <w:r>
        <w:instrText xml:space="preserve"> PAGEREF _Toc178256742 \h </w:instrText>
      </w:r>
      <w:r>
        <w:fldChar w:fldCharType="separate"/>
      </w:r>
      <w:r>
        <w:t>14</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_Toc178256743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_Toc178256745 \h </w:instrText>
      </w:r>
      <w:r>
        <w:fldChar w:fldCharType="separate"/>
      </w:r>
      <w:r>
        <w:t>15</w:t>
      </w:r>
      <w:r>
        <w:fldChar w:fldCharType="end"/>
      </w:r>
    </w:p>
    <w:p>
      <w:pPr>
        <w:pStyle w:val="TOC8"/>
        <w:rPr>
          <w:rFonts w:asciiTheme="minorHAnsi" w:eastAsiaTheme="minorEastAsia" w:hAnsiTheme="minorHAnsi" w:cstheme="minorBidi"/>
          <w:szCs w:val="22"/>
        </w:rPr>
      </w:pPr>
      <w:r>
        <w:t>2.</w:t>
      </w:r>
      <w:r>
        <w:tab/>
        <w:t>Resignation and removal</w:t>
      </w:r>
      <w:r>
        <w:tab/>
      </w:r>
      <w:r>
        <w:fldChar w:fldCharType="begin"/>
      </w:r>
      <w:r>
        <w:instrText xml:space="preserve"> PAGEREF _Toc178256746 \h </w:instrText>
      </w:r>
      <w:r>
        <w:fldChar w:fldCharType="separate"/>
      </w:r>
      <w:r>
        <w:t>15</w:t>
      </w:r>
      <w:r>
        <w:fldChar w:fldCharType="end"/>
      </w:r>
    </w:p>
    <w:p>
      <w:pPr>
        <w:pStyle w:val="TOC8"/>
        <w:rPr>
          <w:rFonts w:asciiTheme="minorHAnsi" w:eastAsiaTheme="minorEastAsia" w:hAnsiTheme="minorHAnsi" w:cstheme="minorBidi"/>
          <w:szCs w:val="22"/>
        </w:rPr>
      </w:pPr>
      <w:r>
        <w:t>3.</w:t>
      </w:r>
      <w:r>
        <w:tab/>
        <w:t>Leave of absence</w:t>
      </w:r>
      <w:r>
        <w:tab/>
      </w:r>
      <w:r>
        <w:fldChar w:fldCharType="begin"/>
      </w:r>
      <w:r>
        <w:instrText xml:space="preserve"> PAGEREF _Toc178256747 \h </w:instrText>
      </w:r>
      <w:r>
        <w:fldChar w:fldCharType="separate"/>
      </w:r>
      <w:r>
        <w:t>15</w:t>
      </w:r>
      <w:r>
        <w:fldChar w:fldCharType="end"/>
      </w:r>
    </w:p>
    <w:p>
      <w:pPr>
        <w:pStyle w:val="TOC8"/>
        <w:rPr>
          <w:rFonts w:asciiTheme="minorHAnsi" w:eastAsiaTheme="minorEastAsia" w:hAnsiTheme="minorHAnsi" w:cstheme="minorBidi"/>
          <w:szCs w:val="22"/>
        </w:rPr>
      </w:pPr>
      <w:r>
        <w:t>4.</w:t>
      </w:r>
      <w:r>
        <w:tab/>
        <w:t>Acts of acting president</w:t>
      </w:r>
      <w:r>
        <w:tab/>
      </w:r>
      <w:r>
        <w:fldChar w:fldCharType="begin"/>
      </w:r>
      <w:r>
        <w:instrText xml:space="preserve"> PAGEREF _Toc178256748 \h </w:instrText>
      </w:r>
      <w:r>
        <w:fldChar w:fldCharType="separate"/>
      </w:r>
      <w:r>
        <w:t>15</w:t>
      </w:r>
      <w:r>
        <w:fldChar w:fldCharType="end"/>
      </w:r>
    </w:p>
    <w:p>
      <w:pPr>
        <w:pStyle w:val="TOC8"/>
        <w:rPr>
          <w:rFonts w:asciiTheme="minorHAnsi" w:eastAsiaTheme="minorEastAsia" w:hAnsiTheme="minorHAnsi" w:cstheme="minorBidi"/>
          <w:szCs w:val="22"/>
        </w:rPr>
      </w:pPr>
      <w:r>
        <w:t>5.</w:t>
      </w:r>
      <w:r>
        <w:tab/>
        <w:t>President to preside</w:t>
      </w:r>
      <w:r>
        <w:tab/>
      </w:r>
      <w:r>
        <w:fldChar w:fldCharType="begin"/>
      </w:r>
      <w:r>
        <w:instrText xml:space="preserve"> PAGEREF _Toc178256749 \h </w:instrText>
      </w:r>
      <w:r>
        <w:fldChar w:fldCharType="separate"/>
      </w:r>
      <w:r>
        <w:t>16</w:t>
      </w:r>
      <w:r>
        <w:fldChar w:fldCharType="end"/>
      </w:r>
    </w:p>
    <w:p>
      <w:pPr>
        <w:pStyle w:val="TOC8"/>
        <w:rPr>
          <w:rFonts w:asciiTheme="minorHAnsi" w:eastAsiaTheme="minorEastAsia" w:hAnsiTheme="minorHAnsi" w:cstheme="minorBidi"/>
          <w:szCs w:val="22"/>
        </w:rPr>
      </w:pPr>
      <w:r>
        <w:t>6.</w:t>
      </w:r>
      <w:r>
        <w:tab/>
        <w:t>Use of seal</w:t>
      </w:r>
      <w:r>
        <w:tab/>
      </w:r>
      <w:r>
        <w:fldChar w:fldCharType="begin"/>
      </w:r>
      <w:r>
        <w:instrText xml:space="preserve"> PAGEREF _Toc178256750 \h </w:instrText>
      </w:r>
      <w:r>
        <w:fldChar w:fldCharType="separate"/>
      </w:r>
      <w:r>
        <w:t>16</w:t>
      </w:r>
      <w:r>
        <w:fldChar w:fldCharType="end"/>
      </w:r>
    </w:p>
    <w:p>
      <w:pPr>
        <w:pStyle w:val="TOC8"/>
        <w:rPr>
          <w:rFonts w:asciiTheme="minorHAnsi" w:eastAsiaTheme="minorEastAsia" w:hAnsiTheme="minorHAnsi" w:cstheme="minorBidi"/>
          <w:szCs w:val="22"/>
        </w:rPr>
      </w:pPr>
      <w:r>
        <w:t>7.</w:t>
      </w:r>
      <w:r>
        <w:tab/>
        <w:t>Register of applications</w:t>
      </w:r>
      <w:r>
        <w:tab/>
      </w:r>
      <w:r>
        <w:fldChar w:fldCharType="begin"/>
      </w:r>
      <w:r>
        <w:instrText xml:space="preserve"> PAGEREF _Toc178256751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_Toc178256753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_Toc178256754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_Toc178256755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800"/>
      </w:pPr>
      <w:r>
        <w:t>Gender Reassignment Act 2000</w:t>
      </w:r>
    </w:p>
    <w:p>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1</w:t>
      </w:r>
      <w:r>
        <w:t xml:space="preserve"> to promote equality of opportunity, and provide remedies in respect of discrimination, on gender history grounds in certain cases; and for connected purposes.</w:t>
      </w:r>
    </w:p>
    <w:p>
      <w:pPr>
        <w:pStyle w:val="Footnotelongtitle"/>
      </w:pPr>
      <w:r>
        <w:tab/>
        <w:t>[Long title amended: No. 74 of 2003 s. 61(2).]</w:t>
      </w:r>
    </w:p>
    <w:p>
      <w:pPr>
        <w:pStyle w:val="Heading2"/>
      </w:pPr>
      <w:bookmarkStart w:id="2" w:name="_Toc177639728"/>
      <w:bookmarkStart w:id="3" w:name="_Toc177646114"/>
      <w:bookmarkStart w:id="4" w:name="_Toc177647000"/>
      <w:bookmarkStart w:id="5" w:name="_Toc17825671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7825671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rPr>
        <w:t>.</w:t>
      </w:r>
    </w:p>
    <w:p>
      <w:pPr>
        <w:pStyle w:val="Heading5"/>
        <w:rPr>
          <w:snapToGrid w:val="0"/>
        </w:rPr>
      </w:pPr>
      <w:bookmarkStart w:id="7" w:name="_Toc178256716"/>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p>
    <w:p>
      <w:pPr>
        <w:pStyle w:val="Heading5"/>
        <w:rPr>
          <w:snapToGrid w:val="0"/>
        </w:rPr>
      </w:pPr>
      <w:bookmarkStart w:id="8" w:name="_Toc178256717"/>
      <w:r>
        <w:rPr>
          <w:rStyle w:val="CharSectno"/>
        </w:rPr>
        <w:t>3</w:t>
      </w:r>
      <w:r>
        <w:rPr>
          <w:snapToGrid w:val="0"/>
        </w:rPr>
        <w:t>.</w:t>
      </w:r>
      <w:r>
        <w:rPr>
          <w:snapToGrid w:val="0"/>
        </w:rPr>
        <w:tab/>
        <w:t>Terms used</w:t>
      </w:r>
      <w:bookmarkEnd w:id="8"/>
    </w:p>
    <w:p>
      <w:pPr>
        <w:pStyle w:val="Subsection"/>
      </w:pPr>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w:t>
      </w:r>
      <w:r>
        <w:lastRenderedPageBreak/>
        <w:t>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No. 74 of 2003 s. 61(3); No. 22 of 2008 Sch. 3 cl. 21; No. 35 of 2010 s. 67.]</w:t>
      </w:r>
    </w:p>
    <w:p>
      <w:pPr>
        <w:pStyle w:val="Heading5"/>
      </w:pPr>
      <w:bookmarkStart w:id="9" w:name="_Toc178256718"/>
      <w:r>
        <w:rPr>
          <w:rStyle w:val="CharSectno"/>
        </w:rPr>
        <w:t>4</w:t>
      </w:r>
      <w:r>
        <w:t>.</w:t>
      </w:r>
      <w:r>
        <w:tab/>
        <w:t>Crown bound</w:t>
      </w:r>
      <w:bookmarkEnd w:id="9"/>
    </w:p>
    <w:p>
      <w:pPr>
        <w:pStyle w:val="Subsection"/>
      </w:pPr>
      <w:r>
        <w:tab/>
      </w:r>
      <w:r>
        <w:tab/>
        <w:t>This Act binds the Crown.</w:t>
      </w:r>
    </w:p>
    <w:p>
      <w:pPr>
        <w:pStyle w:val="Heading2"/>
      </w:pPr>
      <w:bookmarkStart w:id="10" w:name="_Toc177639733"/>
      <w:bookmarkStart w:id="11" w:name="_Toc177646119"/>
      <w:bookmarkStart w:id="12" w:name="_Toc177647005"/>
      <w:bookmarkStart w:id="13" w:name="_Toc178256719"/>
      <w:r>
        <w:rPr>
          <w:rStyle w:val="CharPartNo"/>
        </w:rPr>
        <w:lastRenderedPageBreak/>
        <w:t>Part 2</w:t>
      </w:r>
      <w:r>
        <w:rPr>
          <w:rStyle w:val="CharDivNo"/>
        </w:rPr>
        <w:t> </w:t>
      </w:r>
      <w:r>
        <w:t>—</w:t>
      </w:r>
      <w:r>
        <w:rPr>
          <w:rStyle w:val="CharDivText"/>
        </w:rPr>
        <w:t> </w:t>
      </w:r>
      <w:r>
        <w:rPr>
          <w:rStyle w:val="CharPartText"/>
        </w:rPr>
        <w:t>Gender Reassignment Board</w:t>
      </w:r>
      <w:bookmarkEnd w:id="10"/>
      <w:bookmarkEnd w:id="11"/>
      <w:bookmarkEnd w:id="12"/>
      <w:bookmarkEnd w:id="13"/>
    </w:p>
    <w:p>
      <w:pPr>
        <w:pStyle w:val="Heading5"/>
      </w:pPr>
      <w:bookmarkStart w:id="14" w:name="_Toc178256720"/>
      <w:r>
        <w:rPr>
          <w:rStyle w:val="CharSectno"/>
        </w:rPr>
        <w:t>5</w:t>
      </w:r>
      <w:r>
        <w:t>.</w:t>
      </w:r>
      <w:r>
        <w:tab/>
        <w:t>Establishment and function of Board</w:t>
      </w:r>
      <w:bookmarkEnd w:id="14"/>
    </w:p>
    <w:p>
      <w:pPr>
        <w:pStyle w:val="Subsection"/>
      </w:pPr>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15" w:name="_Toc178256721"/>
      <w:r>
        <w:rPr>
          <w:rStyle w:val="CharSectno"/>
        </w:rPr>
        <w:t>6</w:t>
      </w:r>
      <w:r>
        <w:t>.</w:t>
      </w:r>
      <w:r>
        <w:tab/>
        <w:t>President of Board</w:t>
      </w:r>
      <w:bookmarkEnd w:id="15"/>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is or has been a judge of the Supreme Court, the District Court, or the Family Court of Western Australia, or is or has been a legal practitioner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keepNext/>
      </w:pPr>
      <w:r>
        <w:tab/>
        <w:t>(4)</w:t>
      </w:r>
      <w:r>
        <w:tab/>
        <w:t xml:space="preserve">A person who is a judge of the Supreme Court, the District Court, or the Family Court of Western Australia may be </w:t>
      </w:r>
      <w:r>
        <w:lastRenderedPageBreak/>
        <w:t>appointed to be the acting president of the Board only if he or she has been recommended for appointment by the Chief Justice of Western Australia.</w:t>
      </w:r>
    </w:p>
    <w:p>
      <w:pPr>
        <w:pStyle w:val="Footnotesection"/>
      </w:pPr>
      <w:r>
        <w:tab/>
        <w:t>[Section 6 amended: No. 65 of 2003 s. 39(2); No. 21 of 2008 s. 666; No. 9 of 2022 s. 424.]</w:t>
      </w:r>
    </w:p>
    <w:p>
      <w:pPr>
        <w:pStyle w:val="Heading5"/>
      </w:pPr>
      <w:bookmarkStart w:id="16" w:name="_Toc178256722"/>
      <w:r>
        <w:rPr>
          <w:rStyle w:val="CharSectno"/>
        </w:rPr>
        <w:t>7</w:t>
      </w:r>
      <w:r>
        <w:t>.</w:t>
      </w:r>
      <w:r>
        <w:tab/>
        <w:t>Other Board members</w:t>
      </w:r>
      <w:bookmarkEnd w:id="16"/>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 and</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17" w:name="_Toc178256723"/>
      <w:r>
        <w:rPr>
          <w:rStyle w:val="CharSectno"/>
        </w:rPr>
        <w:t>8</w:t>
      </w:r>
      <w:r>
        <w:t>.</w:t>
      </w:r>
      <w:r>
        <w:tab/>
        <w:t>Arrangement of business</w:t>
      </w:r>
      <w:bookmarkEnd w:id="17"/>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18" w:name="_Toc178256724"/>
      <w:r>
        <w:rPr>
          <w:rStyle w:val="CharSectno"/>
        </w:rPr>
        <w:t>9</w:t>
      </w:r>
      <w:r>
        <w:t>.</w:t>
      </w:r>
      <w:r>
        <w:tab/>
        <w:t>Remuneration and allowances of members</w:t>
      </w:r>
      <w:bookmarkEnd w:id="18"/>
    </w:p>
    <w:p>
      <w:pPr>
        <w:pStyle w:val="Subsection"/>
      </w:pPr>
      <w:r>
        <w:tab/>
        <w:t>(1)</w:t>
      </w:r>
      <w:r>
        <w:tab/>
        <w:t>Subject to subsection (2), a member may be paid such remuneration and travelling and other allowances as the Minister from time to time determines, on the recommendation of the Public Sector Commissioner.</w:t>
      </w:r>
    </w:p>
    <w:p>
      <w:pPr>
        <w:pStyle w:val="Subsection"/>
        <w:keepNext/>
      </w:pPr>
      <w:r>
        <w:lastRenderedPageBreak/>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pPr>
      <w:r>
        <w:tab/>
        <w:t>[Section 9 amended: No. 39 of 2010 s. 89.]</w:t>
      </w:r>
    </w:p>
    <w:p>
      <w:pPr>
        <w:pStyle w:val="Heading5"/>
      </w:pPr>
      <w:bookmarkStart w:id="19" w:name="_Toc178256725"/>
      <w:r>
        <w:rPr>
          <w:rStyle w:val="CharSectno"/>
        </w:rPr>
        <w:t>10</w:t>
      </w:r>
      <w:r>
        <w:t>.</w:t>
      </w:r>
      <w:r>
        <w:tab/>
        <w:t>Practice directions</w:t>
      </w:r>
      <w:bookmarkEnd w:id="19"/>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20" w:name="_Toc178256726"/>
      <w:r>
        <w:rPr>
          <w:rStyle w:val="CharSectno"/>
        </w:rPr>
        <w:t>11</w:t>
      </w:r>
      <w:r>
        <w:t>.</w:t>
      </w:r>
      <w:r>
        <w:tab/>
        <w:t>Executive officer and other officers</w:t>
      </w:r>
      <w:bookmarkEnd w:id="20"/>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21" w:name="_Toc178256727"/>
      <w:r>
        <w:rPr>
          <w:rStyle w:val="CharSectno"/>
        </w:rPr>
        <w:t>12</w:t>
      </w:r>
      <w:r>
        <w:t>.</w:t>
      </w:r>
      <w:r>
        <w:tab/>
        <w:t>Judicial notice of seal and signatures</w:t>
      </w:r>
      <w:bookmarkEnd w:id="21"/>
    </w:p>
    <w:p>
      <w:pPr>
        <w:pStyle w:val="Subsection"/>
      </w:pPr>
      <w:r>
        <w:tab/>
      </w:r>
      <w:r>
        <w:tab/>
        <w:t>All courts, judges and persons acting judicially shall take judicial notice of —</w:t>
      </w:r>
    </w:p>
    <w:p>
      <w:pPr>
        <w:pStyle w:val="Indenta"/>
      </w:pPr>
      <w:r>
        <w:tab/>
        <w:t>(a)</w:t>
      </w:r>
      <w:r>
        <w:tab/>
        <w:t>the seal of the Board; and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22" w:name="_Toc178256728"/>
      <w:r>
        <w:rPr>
          <w:rStyle w:val="CharSectno"/>
        </w:rPr>
        <w:lastRenderedPageBreak/>
        <w:t>13</w:t>
      </w:r>
      <w:r>
        <w:t>.</w:t>
      </w:r>
      <w:r>
        <w:tab/>
        <w:t>Annual report</w:t>
      </w:r>
      <w:bookmarkEnd w:id="22"/>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23" w:name="_Toc177639743"/>
      <w:bookmarkStart w:id="24" w:name="_Toc177646129"/>
      <w:bookmarkStart w:id="25" w:name="_Toc177647015"/>
      <w:bookmarkStart w:id="26" w:name="_Toc178256729"/>
      <w:r>
        <w:rPr>
          <w:rStyle w:val="CharPartNo"/>
        </w:rPr>
        <w:lastRenderedPageBreak/>
        <w:t>Part 3</w:t>
      </w:r>
      <w:r>
        <w:rPr>
          <w:rStyle w:val="CharDivNo"/>
        </w:rPr>
        <w:t> </w:t>
      </w:r>
      <w:r>
        <w:t>—</w:t>
      </w:r>
      <w:r>
        <w:rPr>
          <w:rStyle w:val="CharDivText"/>
        </w:rPr>
        <w:t> </w:t>
      </w:r>
      <w:r>
        <w:rPr>
          <w:rStyle w:val="CharPartText"/>
        </w:rPr>
        <w:t>Recognition certificates</w:t>
      </w:r>
      <w:bookmarkEnd w:id="23"/>
      <w:bookmarkEnd w:id="24"/>
      <w:bookmarkEnd w:id="25"/>
      <w:bookmarkEnd w:id="26"/>
    </w:p>
    <w:p>
      <w:pPr>
        <w:pStyle w:val="Heading5"/>
      </w:pPr>
      <w:bookmarkStart w:id="27" w:name="_Toc178256730"/>
      <w:r>
        <w:rPr>
          <w:rStyle w:val="CharSectno"/>
        </w:rPr>
        <w:t>14</w:t>
      </w:r>
      <w:r>
        <w:t>.</w:t>
      </w:r>
      <w:r>
        <w:tab/>
        <w:t>Applications for recognition certificates</w:t>
      </w:r>
      <w:bookmarkEnd w:id="27"/>
    </w:p>
    <w:p>
      <w:pPr>
        <w:pStyle w:val="Subsection"/>
      </w:pPr>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28" w:name="_Toc178256731"/>
      <w:r>
        <w:rPr>
          <w:rStyle w:val="CharSectno"/>
        </w:rPr>
        <w:lastRenderedPageBreak/>
        <w:t>15</w:t>
      </w:r>
      <w:r>
        <w:t>.</w:t>
      </w:r>
      <w:r>
        <w:tab/>
        <w:t>Issue of recognition certificates</w:t>
      </w:r>
      <w:bookmarkEnd w:id="28"/>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 and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Ednotesubsection"/>
      </w:pPr>
      <w:r>
        <w:lastRenderedPageBreak/>
        <w:tab/>
        <w:t>[(3)</w:t>
      </w:r>
      <w:r>
        <w:tab/>
        <w:t>deleted]</w:t>
      </w:r>
    </w:p>
    <w:p>
      <w:pPr>
        <w:pStyle w:val="Footnotesection"/>
      </w:pPr>
      <w:r>
        <w:tab/>
        <w:t>[Section 15 amended: No. 1 of 2019 s. 4.]</w:t>
      </w:r>
    </w:p>
    <w:p>
      <w:pPr>
        <w:pStyle w:val="Heading5"/>
      </w:pPr>
      <w:bookmarkStart w:id="29" w:name="_Toc178256732"/>
      <w:r>
        <w:rPr>
          <w:rStyle w:val="CharSectno"/>
        </w:rPr>
        <w:t>16</w:t>
      </w:r>
      <w:r>
        <w:t>.</w:t>
      </w:r>
      <w:r>
        <w:tab/>
        <w:t>Effect of recognition certificate</w:t>
      </w:r>
      <w:bookmarkEnd w:id="29"/>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30" w:name="_Toc178256733"/>
      <w:r>
        <w:rPr>
          <w:rStyle w:val="CharSectno"/>
        </w:rPr>
        <w:t>17</w:t>
      </w:r>
      <w:r>
        <w:t>.</w:t>
      </w:r>
      <w:r>
        <w:tab/>
        <w:t>Registration of certificates</w:t>
      </w:r>
      <w:bookmarkEnd w:id="30"/>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lastRenderedPageBreak/>
        <w:tab/>
        <w:t>[Section 17 amended: No. 74 of 2003 s. 61(4); No. 55 of 2004 s. 414.]</w:t>
      </w:r>
    </w:p>
    <w:p>
      <w:pPr>
        <w:pStyle w:val="Heading5"/>
      </w:pPr>
      <w:bookmarkStart w:id="31" w:name="_Toc178256734"/>
      <w:r>
        <w:rPr>
          <w:rStyle w:val="CharSectno"/>
        </w:rPr>
        <w:t>18</w:t>
      </w:r>
      <w:r>
        <w:t>.</w:t>
      </w:r>
      <w:r>
        <w:tab/>
        <w:t>Issuing of new birth certificate</w:t>
      </w:r>
      <w:bookmarkEnd w:id="31"/>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No. 74 of 2003 s. 61(4).]</w:t>
      </w:r>
    </w:p>
    <w:p>
      <w:pPr>
        <w:pStyle w:val="Heading5"/>
      </w:pPr>
      <w:bookmarkStart w:id="32" w:name="_Toc178256735"/>
      <w:r>
        <w:rPr>
          <w:rStyle w:val="CharSectno"/>
        </w:rPr>
        <w:t>19</w:t>
      </w:r>
      <w:r>
        <w:t>.</w:t>
      </w:r>
      <w:r>
        <w:tab/>
        <w:t>Cancellation of fraudulent recognition certificates</w:t>
      </w:r>
      <w:bookmarkEnd w:id="32"/>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33" w:name="_Toc177639750"/>
      <w:bookmarkStart w:id="34" w:name="_Toc177646136"/>
      <w:bookmarkStart w:id="35" w:name="_Toc177647022"/>
      <w:bookmarkStart w:id="36" w:name="_Toc178256736"/>
      <w:r>
        <w:rPr>
          <w:rStyle w:val="CharPartNo"/>
        </w:rPr>
        <w:lastRenderedPageBreak/>
        <w:t>Part 4</w:t>
      </w:r>
      <w:r>
        <w:rPr>
          <w:rStyle w:val="CharDivNo"/>
        </w:rPr>
        <w:t> </w:t>
      </w:r>
      <w:r>
        <w:t>—</w:t>
      </w:r>
      <w:r>
        <w:rPr>
          <w:rStyle w:val="CharDivText"/>
        </w:rPr>
        <w:t> </w:t>
      </w:r>
      <w:r>
        <w:rPr>
          <w:rStyle w:val="CharPartText"/>
        </w:rPr>
        <w:t>Miscellaneous</w:t>
      </w:r>
      <w:bookmarkEnd w:id="33"/>
      <w:bookmarkEnd w:id="34"/>
      <w:bookmarkEnd w:id="35"/>
      <w:bookmarkEnd w:id="36"/>
    </w:p>
    <w:p>
      <w:pPr>
        <w:pStyle w:val="Heading5"/>
      </w:pPr>
      <w:bookmarkStart w:id="37" w:name="_Toc178256737"/>
      <w:r>
        <w:rPr>
          <w:rStyle w:val="CharSectno"/>
        </w:rPr>
        <w:t>20</w:t>
      </w:r>
      <w:r>
        <w:t>.</w:t>
      </w:r>
      <w:r>
        <w:tab/>
        <w:t>Issue of replacement qualification certificates</w:t>
      </w:r>
      <w:bookmarkEnd w:id="37"/>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 or</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lastRenderedPageBreak/>
        <w:tab/>
      </w:r>
      <w:r>
        <w:rPr>
          <w:rStyle w:val="CharDefText"/>
        </w:rPr>
        <w:t>issuing authority</w:t>
      </w:r>
      <w:r>
        <w:t>, in relation to a certificate of qualification, means the authority that issued the certificate or a successor to that authority.</w:t>
      </w:r>
    </w:p>
    <w:p>
      <w:pPr>
        <w:pStyle w:val="Heading5"/>
      </w:pPr>
      <w:bookmarkStart w:id="38" w:name="_Toc178256738"/>
      <w:r>
        <w:rPr>
          <w:rStyle w:val="CharSectno"/>
        </w:rPr>
        <w:t>21</w:t>
      </w:r>
      <w:r>
        <w:t>.</w:t>
      </w:r>
      <w:r>
        <w:tab/>
        <w:t>Review by SAT</w:t>
      </w:r>
      <w:bookmarkEnd w:id="38"/>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pPr>
      <w:r>
        <w:tab/>
        <w:t>[(2)</w:t>
      </w:r>
      <w:r>
        <w:tab/>
        <w:t>deleted]</w:t>
      </w:r>
    </w:p>
    <w:p>
      <w:pPr>
        <w:pStyle w:val="Footnotesection"/>
      </w:pPr>
      <w:r>
        <w:tab/>
        <w:t>[Section 21 amended: No. 55 of 2004 s. 415.]</w:t>
      </w:r>
    </w:p>
    <w:p>
      <w:pPr>
        <w:pStyle w:val="Heading5"/>
      </w:pPr>
      <w:bookmarkStart w:id="39" w:name="_Toc178256739"/>
      <w:r>
        <w:rPr>
          <w:rStyle w:val="CharSectno"/>
        </w:rPr>
        <w:t>22</w:t>
      </w:r>
      <w:r>
        <w:t>.</w:t>
      </w:r>
      <w:r>
        <w:tab/>
        <w:t>Confidentiality</w:t>
      </w:r>
      <w:bookmarkEnd w:id="39"/>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No. 50 of 2003 s. 67(2).]</w:t>
      </w:r>
    </w:p>
    <w:p>
      <w:pPr>
        <w:pStyle w:val="Heading5"/>
      </w:pPr>
      <w:bookmarkStart w:id="40" w:name="_Toc178256740"/>
      <w:r>
        <w:rPr>
          <w:rStyle w:val="CharSectno"/>
        </w:rPr>
        <w:t>23</w:t>
      </w:r>
      <w:r>
        <w:t>.</w:t>
      </w:r>
      <w:r>
        <w:tab/>
        <w:t>False or misleading statements</w:t>
      </w:r>
      <w:bookmarkEnd w:id="40"/>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No. 50 of 2003 s. 67(2).]</w:t>
      </w:r>
    </w:p>
    <w:p>
      <w:pPr>
        <w:pStyle w:val="Heading5"/>
      </w:pPr>
      <w:bookmarkStart w:id="41" w:name="_Toc178256741"/>
      <w:r>
        <w:rPr>
          <w:rStyle w:val="CharSectno"/>
        </w:rPr>
        <w:lastRenderedPageBreak/>
        <w:t>24</w:t>
      </w:r>
      <w:r>
        <w:t>.</w:t>
      </w:r>
      <w:r>
        <w:tab/>
        <w:t>Offences</w:t>
      </w:r>
      <w:bookmarkEnd w:id="41"/>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42" w:name="_Toc178256742"/>
      <w:r>
        <w:rPr>
          <w:rStyle w:val="CharSectno"/>
        </w:rPr>
        <w:t>25</w:t>
      </w:r>
      <w:r>
        <w:t>.</w:t>
      </w:r>
      <w:r>
        <w:tab/>
        <w:t>Age</w:t>
      </w:r>
      <w:bookmarkEnd w:id="42"/>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43" w:name="_Toc178256743"/>
      <w:r>
        <w:rPr>
          <w:rStyle w:val="CharSectno"/>
        </w:rPr>
        <w:t>26</w:t>
      </w:r>
      <w:r>
        <w:t>.</w:t>
      </w:r>
      <w:r>
        <w:tab/>
        <w:t>Regulations</w:t>
      </w:r>
      <w:bookmarkEnd w:id="43"/>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 and</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44" w:name="_Toc177639758"/>
      <w:bookmarkStart w:id="45" w:name="_Toc177646144"/>
      <w:bookmarkStart w:id="46" w:name="_Toc177647030"/>
      <w:bookmarkStart w:id="47" w:name="_Toc178256744"/>
      <w:r>
        <w:rPr>
          <w:rStyle w:val="CharSchNo"/>
        </w:rPr>
        <w:lastRenderedPageBreak/>
        <w:t>Schedule 1</w:t>
      </w:r>
      <w:r>
        <w:t> — </w:t>
      </w:r>
      <w:r>
        <w:rPr>
          <w:rStyle w:val="CharSchText"/>
        </w:rPr>
        <w:t>Constitution and proceedings of the Board</w:t>
      </w:r>
      <w:bookmarkEnd w:id="44"/>
      <w:bookmarkEnd w:id="45"/>
      <w:bookmarkEnd w:id="46"/>
      <w:bookmarkEnd w:id="47"/>
    </w:p>
    <w:p>
      <w:pPr>
        <w:pStyle w:val="yShoulderClause"/>
      </w:pPr>
      <w:r>
        <w:t>[Section 5]</w:t>
      </w:r>
    </w:p>
    <w:p>
      <w:pPr>
        <w:pStyle w:val="yHeading5"/>
        <w:outlineLvl w:val="9"/>
      </w:pPr>
      <w:bookmarkStart w:id="48" w:name="_Toc178256745"/>
      <w:r>
        <w:rPr>
          <w:rStyle w:val="CharSClsNo"/>
        </w:rPr>
        <w:t>1</w:t>
      </w:r>
      <w:r>
        <w:t>.</w:t>
      </w:r>
      <w:r>
        <w:tab/>
        <w:t>Term of office</w:t>
      </w:r>
      <w:bookmarkEnd w:id="48"/>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49" w:name="_Toc178256746"/>
      <w:r>
        <w:rPr>
          <w:rStyle w:val="CharSClsNo"/>
        </w:rPr>
        <w:t>2</w:t>
      </w:r>
      <w:r>
        <w:t>.</w:t>
      </w:r>
      <w:r>
        <w:tab/>
        <w:t>Resignation and removal</w:t>
      </w:r>
      <w:bookmarkEnd w:id="49"/>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50" w:name="_Toc178256747"/>
      <w:r>
        <w:rPr>
          <w:rStyle w:val="CharSClsNo"/>
        </w:rPr>
        <w:t>3</w:t>
      </w:r>
      <w:r>
        <w:t>.</w:t>
      </w:r>
      <w:r>
        <w:tab/>
        <w:t>Leave of absence</w:t>
      </w:r>
      <w:bookmarkEnd w:id="50"/>
    </w:p>
    <w:p>
      <w:pPr>
        <w:pStyle w:val="ySubsection"/>
      </w:pPr>
      <w:r>
        <w:tab/>
      </w:r>
      <w:r>
        <w:tab/>
        <w:t>The Minister may grant leave of absence to a member on such terms and conditions as the Minister thinks fit.</w:t>
      </w:r>
    </w:p>
    <w:p>
      <w:pPr>
        <w:pStyle w:val="yHeading5"/>
        <w:outlineLvl w:val="9"/>
      </w:pPr>
      <w:bookmarkStart w:id="51" w:name="_Toc178256748"/>
      <w:r>
        <w:rPr>
          <w:rStyle w:val="CharSClsNo"/>
        </w:rPr>
        <w:t>4</w:t>
      </w:r>
      <w:r>
        <w:t>.</w:t>
      </w:r>
      <w:r>
        <w:tab/>
        <w:t>Acts of acting president</w:t>
      </w:r>
      <w:bookmarkEnd w:id="51"/>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52" w:name="_Toc178256749"/>
      <w:r>
        <w:rPr>
          <w:rStyle w:val="CharSClsNo"/>
        </w:rPr>
        <w:lastRenderedPageBreak/>
        <w:t>5</w:t>
      </w:r>
      <w:r>
        <w:t>.</w:t>
      </w:r>
      <w:r>
        <w:tab/>
        <w:t>President to preside</w:t>
      </w:r>
      <w:bookmarkEnd w:id="52"/>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53" w:name="_Toc178256750"/>
      <w:r>
        <w:rPr>
          <w:rStyle w:val="CharSClsNo"/>
        </w:rPr>
        <w:t>6</w:t>
      </w:r>
      <w:r>
        <w:t>.</w:t>
      </w:r>
      <w:r>
        <w:tab/>
        <w:t>Use of seal</w:t>
      </w:r>
      <w:bookmarkEnd w:id="53"/>
    </w:p>
    <w:p>
      <w:pPr>
        <w:pStyle w:val="ySubsection"/>
      </w:pPr>
      <w:r>
        <w:tab/>
        <w:t>(1)</w:t>
      </w:r>
      <w:r>
        <w:tab/>
        <w:t>The seal of the Board is to be —</w:t>
      </w:r>
    </w:p>
    <w:p>
      <w:pPr>
        <w:pStyle w:val="yIndenta"/>
      </w:pPr>
      <w:r>
        <w:tab/>
        <w:t>(a)</w:t>
      </w:r>
      <w:r>
        <w:tab/>
        <w:t>in a form determined by the Board; and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54" w:name="_Toc178256751"/>
      <w:r>
        <w:rPr>
          <w:rStyle w:val="CharSClsNo"/>
        </w:rPr>
        <w:t>7</w:t>
      </w:r>
      <w:r>
        <w:t>.</w:t>
      </w:r>
      <w:r>
        <w:tab/>
        <w:t>Register of applications</w:t>
      </w:r>
      <w:bookmarkEnd w:id="54"/>
    </w:p>
    <w:p>
      <w:pPr>
        <w:pStyle w:val="ySubsection"/>
      </w:pPr>
      <w:r>
        <w:tab/>
      </w:r>
      <w:r>
        <w:tab/>
        <w:t>The executive officer is to keep a register in a form approved by the Board containing particulars of all applications for recognition certificates and the determination of those applications.</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56" w:name="_Toc177639766"/>
      <w:bookmarkStart w:id="57" w:name="_Toc177646152"/>
      <w:bookmarkStart w:id="58" w:name="_Toc177647038"/>
      <w:bookmarkStart w:id="59" w:name="_Toc178256752"/>
      <w:r>
        <w:lastRenderedPageBreak/>
        <w:t>Notes</w:t>
      </w:r>
      <w:bookmarkEnd w:id="56"/>
      <w:bookmarkEnd w:id="57"/>
      <w:bookmarkEnd w:id="58"/>
      <w:bookmarkEnd w:id="59"/>
    </w:p>
    <w:p>
      <w:pPr>
        <w:pStyle w:val="nStatement"/>
      </w:pPr>
      <w:r>
        <w:t xml:space="preserve">This is a compilation of the </w:t>
      </w:r>
      <w:r>
        <w:rPr>
          <w:i/>
          <w:noProof/>
        </w:rPr>
        <w:t>Gender Reassignment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0" w:name="_Toc178256753"/>
      <w:r>
        <w:t>Compilation table</w:t>
      </w:r>
      <w:bookmarkEnd w:id="6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pPr>
            <w:r>
              <w:rPr>
                <w:i/>
              </w:rPr>
              <w:t>Gender Reassignment Act 2000</w:t>
            </w:r>
          </w:p>
        </w:tc>
        <w:tc>
          <w:tcPr>
            <w:tcW w:w="1134" w:type="dxa"/>
            <w:tcBorders>
              <w:top w:val="single" w:sz="4" w:space="0" w:color="auto"/>
            </w:tcBorders>
          </w:tcPr>
          <w:p>
            <w:pPr>
              <w:pStyle w:val="nTable"/>
              <w:spacing w:after="40"/>
            </w:pPr>
            <w:r>
              <w:t>2 of 2000</w:t>
            </w:r>
          </w:p>
        </w:tc>
        <w:tc>
          <w:tcPr>
            <w:tcW w:w="1134" w:type="dxa"/>
            <w:tcBorders>
              <w:top w:val="single" w:sz="4" w:space="0" w:color="auto"/>
            </w:tcBorders>
          </w:tcPr>
          <w:p>
            <w:pPr>
              <w:pStyle w:val="nTable"/>
              <w:spacing w:after="40"/>
            </w:pPr>
            <w:r>
              <w:t>12 Apr 2000</w:t>
            </w:r>
          </w:p>
        </w:tc>
        <w:tc>
          <w:tcPr>
            <w:tcW w:w="2552" w:type="dxa"/>
            <w:tcBorders>
              <w:top w:val="single" w:sz="4" w:space="0" w:color="auto"/>
            </w:tcBorders>
          </w:tcPr>
          <w:p>
            <w:pPr>
              <w:pStyle w:val="nTable"/>
              <w:spacing w:after="40"/>
            </w:pPr>
            <w:r>
              <w:t>s. 1 and 2: 12 Apr 2000;</w:t>
            </w:r>
            <w:r>
              <w:br/>
              <w:t xml:space="preserve">Act other than s. 1 and 2: 19 Dec 2001 (see s. 2 and </w:t>
            </w:r>
            <w:r>
              <w:rPr>
                <w:i/>
              </w:rPr>
              <w:t>Gazette</w:t>
            </w:r>
            <w:r>
              <w:t xml:space="preserve"> 18 Dec 2001 p. 6489)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 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39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2003</w:t>
            </w:r>
            <w:r>
              <w:t xml:space="preserve"> s. 61</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State Administrative Tribunal (Conferral of Jurisdiction) Amendment and Repeal Act 2004</w:t>
            </w:r>
            <w:r>
              <w:rPr>
                <w:iCs/>
              </w:rPr>
              <w:t xml:space="preserve"> Pt. 2 Div. 55</w:t>
            </w:r>
            <w:r>
              <w:rPr>
                <w:iCs/>
                <w:vertAlign w:val="superscript"/>
              </w:rPr>
              <w:t xml:space="preserve"> 2</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spacing w:val="-2"/>
              </w:rPr>
              <w:t xml:space="preserve">Reprint 1: The </w:t>
            </w:r>
            <w:r>
              <w:rPr>
                <w:b/>
                <w:bCs/>
                <w:i/>
              </w:rPr>
              <w:t>Gender Reassignment Act 2000</w:t>
            </w:r>
            <w:r>
              <w:rPr>
                <w:b/>
                <w:bCs/>
                <w:spacing w:val="-2"/>
              </w:rPr>
              <w:t xml:space="preserve"> as at 10 Feb 2006</w:t>
            </w:r>
            <w:r>
              <w:rPr>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Legal Profession Act 2008</w:t>
            </w:r>
            <w:r>
              <w:rPr>
                <w:snapToGrid w:val="0"/>
              </w:rPr>
              <w:t xml:space="preserve"> s. 666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napToGrid w:val="0"/>
              </w:rPr>
              <w:t>Medical Practitioners Act 2008</w:t>
            </w:r>
            <w:r>
              <w:t xml:space="preserve"> Sch. 3 cl. 21</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Health Practitioner Regulation National Law (WA) Act 2010 </w:t>
            </w:r>
            <w:r>
              <w:rPr>
                <w:iCs/>
                <w:snapToGrid w:val="0"/>
              </w:rPr>
              <w:t>Pt. 5 Div. 21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rPr>
            </w:pPr>
            <w:r>
              <w:rPr>
                <w:b/>
                <w:bCs/>
                <w:spacing w:val="-2"/>
              </w:rPr>
              <w:t xml:space="preserve">Reprint 2: The </w:t>
            </w:r>
            <w:r>
              <w:rPr>
                <w:b/>
                <w:bCs/>
                <w:i/>
              </w:rPr>
              <w:t>Gender Reassignment Act 2000</w:t>
            </w:r>
            <w:r>
              <w:rPr>
                <w:b/>
                <w:bCs/>
                <w:spacing w:val="-2"/>
              </w:rPr>
              <w:t xml:space="preserve"> as at 6 Dec 2013</w:t>
            </w:r>
            <w:r>
              <w:rPr>
                <w:spacing w:val="-2"/>
              </w:rPr>
              <w:t xml:space="preserve"> (includes amendments listed above)</w:t>
            </w:r>
          </w:p>
        </w:tc>
      </w:tr>
      <w:tr>
        <w:tc>
          <w:tcPr>
            <w:tcW w:w="2268" w:type="dxa"/>
            <w:tcBorders>
              <w:bottom w:val="nil"/>
            </w:tcBorders>
            <w:shd w:val="clear" w:color="auto" w:fill="auto"/>
          </w:tcPr>
          <w:p>
            <w:pPr>
              <w:pStyle w:val="nTable"/>
              <w:keepNext/>
              <w:spacing w:after="40"/>
              <w:rPr>
                <w:iCs/>
                <w:snapToGrid w:val="0"/>
              </w:rPr>
            </w:pPr>
            <w:r>
              <w:rPr>
                <w:i/>
              </w:rPr>
              <w:lastRenderedPageBreak/>
              <w:t>Gender Reassignment Amendment Act 2019</w:t>
            </w:r>
          </w:p>
        </w:tc>
        <w:tc>
          <w:tcPr>
            <w:tcW w:w="1134" w:type="dxa"/>
            <w:tcBorders>
              <w:bottom w:val="nil"/>
            </w:tcBorders>
            <w:shd w:val="clear" w:color="auto" w:fill="auto"/>
          </w:tcPr>
          <w:p>
            <w:pPr>
              <w:pStyle w:val="nTable"/>
              <w:keepNext/>
              <w:spacing w:after="40"/>
              <w:rPr>
                <w:snapToGrid w:val="0"/>
              </w:rPr>
            </w:pPr>
            <w:r>
              <w:t>1 of 2019</w:t>
            </w:r>
          </w:p>
        </w:tc>
        <w:tc>
          <w:tcPr>
            <w:tcW w:w="1134" w:type="dxa"/>
            <w:tcBorders>
              <w:bottom w:val="nil"/>
            </w:tcBorders>
            <w:shd w:val="clear" w:color="auto" w:fill="auto"/>
          </w:tcPr>
          <w:p>
            <w:pPr>
              <w:pStyle w:val="nTable"/>
              <w:keepNext/>
              <w:spacing w:after="40"/>
              <w:rPr>
                <w:snapToGrid w:val="0"/>
              </w:rPr>
            </w:pPr>
            <w:r>
              <w:t>19 Feb 2019</w:t>
            </w:r>
          </w:p>
        </w:tc>
        <w:tc>
          <w:tcPr>
            <w:tcW w:w="2552" w:type="dxa"/>
            <w:tcBorders>
              <w:bottom w:val="nil"/>
            </w:tcBorders>
            <w:shd w:val="clear" w:color="auto" w:fill="auto"/>
          </w:tcPr>
          <w:p>
            <w:pPr>
              <w:pStyle w:val="nTable"/>
              <w:keepNext/>
              <w:spacing w:after="40"/>
              <w:rPr>
                <w:snapToGrid w:val="0"/>
              </w:rPr>
            </w:pPr>
            <w:r>
              <w:t>s. 1 and 2: 19 Feb 2019 (see s. 2(a));</w:t>
            </w:r>
            <w:r>
              <w:br/>
              <w:t>Act other than s. 1 and 2: 19 Mar 2019 (see s. 2(b))</w:t>
            </w:r>
          </w:p>
        </w:tc>
      </w:tr>
      <w:tr>
        <w:tc>
          <w:tcPr>
            <w:tcW w:w="2268" w:type="dxa"/>
            <w:tcBorders>
              <w:top w:val="nil"/>
            </w:tcBorders>
            <w:shd w:val="clear" w:color="auto" w:fill="auto"/>
          </w:tcPr>
          <w:p>
            <w:pPr>
              <w:pStyle w:val="nTable"/>
              <w:keepNext/>
              <w:spacing w:after="40"/>
              <w:rPr>
                <w:i/>
              </w:rPr>
            </w:pPr>
            <w:r>
              <w:rPr>
                <w:i/>
              </w:rPr>
              <w:t>Legal Profession Uniform Law Application Act 2022</w:t>
            </w:r>
            <w:r>
              <w:t xml:space="preserve"> s. 424</w:t>
            </w:r>
          </w:p>
        </w:tc>
        <w:tc>
          <w:tcPr>
            <w:tcW w:w="1134" w:type="dxa"/>
            <w:tcBorders>
              <w:top w:val="nil"/>
            </w:tcBorders>
            <w:shd w:val="clear" w:color="auto" w:fill="auto"/>
          </w:tcPr>
          <w:p>
            <w:pPr>
              <w:pStyle w:val="nTable"/>
              <w:keepNext/>
              <w:spacing w:after="40"/>
            </w:pPr>
            <w:r>
              <w:t>9 of 2022</w:t>
            </w:r>
          </w:p>
        </w:tc>
        <w:tc>
          <w:tcPr>
            <w:tcW w:w="1134" w:type="dxa"/>
            <w:tcBorders>
              <w:top w:val="nil"/>
            </w:tcBorders>
            <w:shd w:val="clear" w:color="auto" w:fill="auto"/>
          </w:tcPr>
          <w:p>
            <w:pPr>
              <w:pStyle w:val="nTable"/>
              <w:keepNext/>
              <w:spacing w:after="40"/>
            </w:pPr>
            <w:r>
              <w:t>14 Apr 2022</w:t>
            </w:r>
          </w:p>
        </w:tc>
        <w:tc>
          <w:tcPr>
            <w:tcW w:w="2552" w:type="dxa"/>
            <w:tcBorders>
              <w:top w:val="nil"/>
            </w:tcBorders>
            <w:shd w:val="clear" w:color="auto" w:fill="auto"/>
          </w:tcPr>
          <w:p>
            <w:pPr>
              <w:pStyle w:val="nTable"/>
              <w:keepNext/>
              <w:spacing w:after="40"/>
            </w:pPr>
            <w:r>
              <w:rPr>
                <w:snapToGrid w:val="0"/>
              </w:rPr>
              <w:t>1 Jul 2022 (see s. 2(c) and SL 2022/113 cl. 2)</w:t>
            </w:r>
          </w:p>
        </w:tc>
      </w:tr>
    </w:tbl>
    <w:p>
      <w:pPr>
        <w:pStyle w:val="nHeading3"/>
      </w:pPr>
      <w:bookmarkStart w:id="61" w:name="_Toc178256754"/>
      <w:r>
        <w:t>Uncommenced provisions table</w:t>
      </w:r>
      <w:bookmarkEnd w:id="6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Births, Deaths and Marriages Registration Amendment (Sex or Gender Changes) Act 2024 </w:t>
            </w:r>
            <w:r>
              <w:rPr>
                <w:iCs/>
              </w:rPr>
              <w:t>s. 20(1)</w:t>
            </w:r>
          </w:p>
        </w:tc>
        <w:tc>
          <w:tcPr>
            <w:tcW w:w="1134" w:type="dxa"/>
          </w:tcPr>
          <w:p>
            <w:pPr>
              <w:pStyle w:val="nTable"/>
              <w:spacing w:after="40"/>
            </w:pPr>
            <w:r>
              <w:t>31 of 2024</w:t>
            </w:r>
          </w:p>
        </w:tc>
        <w:tc>
          <w:tcPr>
            <w:tcW w:w="1134" w:type="dxa"/>
          </w:tcPr>
          <w:p>
            <w:pPr>
              <w:pStyle w:val="nTable"/>
              <w:spacing w:after="40"/>
            </w:pPr>
            <w:r>
              <w:t>26 Sep 2024</w:t>
            </w:r>
          </w:p>
        </w:tc>
        <w:tc>
          <w:tcPr>
            <w:tcW w:w="2552" w:type="dxa"/>
          </w:tcPr>
          <w:p>
            <w:pPr>
              <w:pStyle w:val="nTable"/>
              <w:spacing w:after="40"/>
            </w:pPr>
            <w:r>
              <w:t>To be proclaimed (see s. 2(b))</w:t>
            </w:r>
          </w:p>
        </w:tc>
      </w:tr>
    </w:tbl>
    <w:p>
      <w:pPr>
        <w:pStyle w:val="nHeading3"/>
      </w:pPr>
      <w:bookmarkStart w:id="62" w:name="_Toc178256755"/>
      <w:r>
        <w:t>Other notes</w:t>
      </w:r>
      <w:bookmarkEnd w:id="62"/>
    </w:p>
    <w:p>
      <w:pPr>
        <w:pStyle w:val="nNote"/>
        <w:rPr>
          <w:iCs/>
        </w:rPr>
      </w:pPr>
      <w:r>
        <w:rPr>
          <w:vertAlign w:val="superscript"/>
        </w:rPr>
        <w:t>1</w:t>
      </w:r>
      <w:r>
        <w:tab/>
        <w:t xml:space="preserve">The provisions in this Act amending these Acts have been omitted under the </w:t>
      </w:r>
      <w:r>
        <w:rPr>
          <w:i/>
          <w:iCs/>
        </w:rPr>
        <w:t>Reprints Act 1984</w:t>
      </w:r>
      <w:r>
        <w:t xml:space="preserve"> s. 7(4)(e).</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64" w:name="_Toc177639769"/>
      <w:bookmarkStart w:id="65" w:name="_Toc177646156"/>
      <w:bookmarkStart w:id="66" w:name="_Toc177647042"/>
      <w:bookmarkStart w:id="67" w:name="_Toc178256756"/>
      <w:r>
        <w:rPr>
          <w:sz w:val="28"/>
        </w:rPr>
        <w:lastRenderedPageBreak/>
        <w:t>Defined terms</w:t>
      </w:r>
      <w:bookmarkEnd w:id="64"/>
      <w:bookmarkEnd w:id="65"/>
      <w:bookmarkEnd w:id="66"/>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w:t>
      </w:r>
    </w:p>
    <w:p>
      <w:pPr>
        <w:pStyle w:val="DefinedTerms"/>
      </w:pPr>
      <w:r>
        <w:t>Board</w:t>
      </w:r>
      <w:r>
        <w:tab/>
        <w:t>3</w:t>
      </w:r>
    </w:p>
    <w:p>
      <w:pPr>
        <w:pStyle w:val="DefinedTerms"/>
      </w:pPr>
      <w:r>
        <w:t>certificate of qualification</w:t>
      </w:r>
      <w:r>
        <w:tab/>
        <w:t>20(5)</w:t>
      </w:r>
    </w:p>
    <w:p>
      <w:pPr>
        <w:pStyle w:val="DefinedTerms"/>
      </w:pPr>
      <w:r>
        <w:t>child</w:t>
      </w:r>
      <w:r>
        <w:tab/>
        <w:t>3</w:t>
      </w:r>
    </w:p>
    <w:p>
      <w:pPr>
        <w:pStyle w:val="DefinedTerms"/>
      </w:pPr>
      <w:r>
        <w:t>corresponding law</w:t>
      </w:r>
      <w:r>
        <w:tab/>
        <w:t>3</w:t>
      </w:r>
    </w:p>
    <w:p>
      <w:pPr>
        <w:pStyle w:val="DefinedTerms"/>
      </w:pPr>
      <w:r>
        <w:t>equivalent certificate</w:t>
      </w:r>
      <w:r>
        <w:tab/>
        <w:t>3</w:t>
      </w:r>
    </w:p>
    <w:p>
      <w:pPr>
        <w:pStyle w:val="DefinedTerms"/>
      </w:pPr>
      <w:r>
        <w:t>gender characteristics</w:t>
      </w:r>
      <w:r>
        <w:tab/>
        <w:t>3</w:t>
      </w:r>
    </w:p>
    <w:p>
      <w:pPr>
        <w:pStyle w:val="DefinedTerms"/>
      </w:pPr>
      <w:r>
        <w:t>gender reassigned person</w:t>
      </w:r>
      <w:r>
        <w:tab/>
        <w:t>20(5)</w:t>
      </w:r>
    </w:p>
    <w:p>
      <w:pPr>
        <w:pStyle w:val="DefinedTerms"/>
      </w:pPr>
      <w:r>
        <w:t>issuing authority</w:t>
      </w:r>
      <w:r>
        <w:tab/>
        <w:t>20(5)</w:t>
      </w:r>
    </w:p>
    <w:p>
      <w:pPr>
        <w:pStyle w:val="DefinedTerms"/>
      </w:pPr>
      <w:r>
        <w:t>medical practitioner</w:t>
      </w:r>
      <w:r>
        <w:tab/>
        <w:t>3</w:t>
      </w:r>
    </w:p>
    <w:p>
      <w:pPr>
        <w:pStyle w:val="DefinedTerms"/>
      </w:pPr>
      <w:r>
        <w:t>president</w:t>
      </w:r>
      <w:r>
        <w:tab/>
        <w:t>3</w:t>
      </w:r>
    </w:p>
    <w:p>
      <w:pPr>
        <w:pStyle w:val="DefinedTerms"/>
      </w:pPr>
      <w:r>
        <w:t>reassignment procedure</w:t>
      </w:r>
      <w:r>
        <w:tab/>
        <w:t>3</w:t>
      </w:r>
    </w:p>
    <w:p>
      <w:pPr>
        <w:pStyle w:val="DefinedTerms"/>
      </w:pPr>
      <w:r>
        <w:t>recognition certificate</w:t>
      </w:r>
      <w:r>
        <w:tab/>
        <w:t>3</w:t>
      </w:r>
    </w:p>
    <w:p>
      <w:pPr>
        <w:pStyle w:val="DefinedTerms"/>
      </w:pPr>
      <w:r>
        <w:t>Registrar</w:t>
      </w:r>
      <w:r>
        <w:tab/>
        <w:t>3</w:t>
      </w:r>
    </w:p>
    <w:p>
      <w:pPr>
        <w:pStyle w:val="DefinedTerms"/>
        <w:sectPr>
          <w:headerReference w:type="even" r:id="rId30"/>
          <w:headerReference w:type="default" r:id="rId31"/>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EFA3E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B4CAD6" w14:textId="6FDE385F" w:rsidR="00081954" w:rsidRDefault="0008195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7158">
                        <w:rPr>
                          <w:sz w:val="16"/>
                        </w:rPr>
                        <w:t>2024</w:t>
                      </w:r>
                      <w:r>
                        <w:rPr>
                          <w:sz w:val="16"/>
                        </w:rPr>
                        <w:fldChar w:fldCharType="end"/>
                      </w:r>
                      <w:r>
                        <w:rPr>
                          <w:sz w:val="16"/>
                        </w:rPr>
                        <w:t>.</w:t>
                      </w:r>
                    </w:p>
                    <w:p w14:paraId="4BD65C6B" w14:textId="77777777" w:rsidR="00081954" w:rsidRDefault="0008195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A44544" w14:textId="36425DE6" w:rsidR="00081954" w:rsidRDefault="0008195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7158">
                        <w:rPr>
                          <w:sz w:val="16"/>
                        </w:rPr>
                        <w:t>2024</w:t>
                      </w:r>
                      <w:r>
                        <w:rPr>
                          <w:sz w:val="16"/>
                        </w:rPr>
                        <w:fldChar w:fldCharType="end"/>
                      </w:r>
                      <w:r>
                        <w:rPr>
                          <w:sz w:val="16"/>
                        </w:rPr>
                        <w:t>.</w:t>
                      </w:r>
                    </w:p>
                    <w:p w14:paraId="2E023E16" w14:textId="77777777" w:rsidR="00081954" w:rsidRDefault="0008195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5" w:name="Schedule"/>
    <w:bookmarkEnd w:id="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D040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148C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50E27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18C7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D0AF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9E77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F292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D0DA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1A2C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945F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C0C3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14923"/>
    <w:docVar w:name="WAFER_20131212155418" w:val="RemoveTocBookmarks,RemoveLanguageTags,RemoveTrackChanges,RunningHeaders"/>
    <w:docVar w:name="WAFER_20131212155418_GUID" w:val="0c7316cb-a2d8-4e71-9bfe-4a9991d3eccd"/>
    <w:docVar w:name="WAFER_20140113133554" w:val="RemoveTocBookmarks,RemoveUnusedBookmarks,RemoveLanguageTags,UsedStyles,ResetPageSize,UpdateArrangement"/>
    <w:docVar w:name="WAFER_20140113133554_GUID" w:val="1c65db22-ce39-45f9-b8a5-5e1df71a768c"/>
    <w:docVar w:name="WAFER_20140113133602" w:val="RemoveTocBookmarks,RunningHeaders"/>
    <w:docVar w:name="WAFER_20140113133602_GUID" w:val="4ffb3f78-50bb-488d-aa08-94a2aef790d3"/>
    <w:docVar w:name="WAFER_20140306114618" w:val="RemoveTocBookmarks,RemoveUnusedBookmarks,RemoveLanguageTags,UsedStyles,ResetPageSize"/>
    <w:docVar w:name="WAFER_20140306114618_GUID" w:val="38c7d8a5-b98b-4dbd-bdb9-aab88b115893"/>
    <w:docVar w:name="WAFER_20140306115212" w:val="RemoveTocBookmarks,RunningHeaders"/>
    <w:docVar w:name="WAFER_20140306115212_GUID" w:val="b92c9661-51f4-4eda-a089-0ae9ee72d3b9"/>
    <w:docVar w:name="WAFER_20150506162918" w:val="ResetPageSize,UpdateArrangement,UpdateNTable"/>
    <w:docVar w:name="WAFER_20150506162918_GUID" w:val="5bf7a4e0-7a1c-4f7f-b7b1-af71a57a538a"/>
    <w:docVar w:name="WAFER_20151105100852" w:val="UpdateStyles,UsedStyles"/>
    <w:docVar w:name="WAFER_20151105100852_GUID" w:val="f04f9415-cd7c-42fd-801c-a16ee0ecd24f"/>
    <w:docVar w:name="WAFER_20151201085308" w:val="RemoveTrackChanges"/>
    <w:docVar w:name="WAFER_20151201085308_GUID" w:val="d25b8fe5-7590-4fa5-829d-5ef609475eb6"/>
    <w:docVar w:name="WAFER_20190315133431" w:val="RemoveTocBookmarks,RemoveUnusedBookmarks,RemoveLanguageTags,ResetPageSize,RunningHeaders,UpdateStyles,UsedStyles"/>
    <w:docVar w:name="WAFER_20190315133431_GUID" w:val="294a016b-e44c-4269-8e5d-731d455e4f63"/>
    <w:docVar w:name="WAFER_202204081549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54937_GUID" w:val="7f1a6f0e-31c5-48da-8199-b33005b990a8"/>
    <w:docVar w:name="WAFER_202206290935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47_GUID" w:val="1b5895a9-d867-4c35-8924-52e28b24395b"/>
    <w:docVar w:name="WAFER_20240919114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923_GUID" w:val="db8b51b0-8be3-4bf2-9a98-337bffc32e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CB1C9AFD-163D-4CFE-B07D-227BAF07C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05697-4999-468B-883B-5E272DA8B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4323</Words>
  <Characters>20708</Characters>
  <Application>Microsoft Office Word</Application>
  <DocSecurity>0</DocSecurity>
  <Lines>647</Lines>
  <Paragraphs>431</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2000 - 02-f0-00</dc:title>
  <dc:subject/>
  <dc:creator/>
  <cp:keywords/>
  <dc:description/>
  <cp:lastModifiedBy>Master Repository Process</cp:lastModifiedBy>
  <cp:revision>4</cp:revision>
  <cp:lastPrinted>2019-03-18T00:34:00Z</cp:lastPrinted>
  <dcterms:created xsi:type="dcterms:W3CDTF">2025-06-05T03:50:00Z</dcterms:created>
  <dcterms:modified xsi:type="dcterms:W3CDTF">2025-06-05T03:51:00Z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DocumentType">
    <vt:lpwstr>Act</vt:lpwstr>
  </property>
  <property fmtid="{D5CDD505-2E9C-101B-9397-08002B2CF9AE}" pid="4" name="OwlsUID">
    <vt:i4>1986</vt:i4>
  </property>
  <property fmtid="{D5CDD505-2E9C-101B-9397-08002B2CF9AE}" pid="5" name="ReprintNo">
    <vt:lpwstr>2</vt:lpwstr>
  </property>
  <property fmtid="{D5CDD505-2E9C-101B-9397-08002B2CF9AE}" pid="6" name="ReprintedAsAt">
    <vt:filetime>2013-12-05T16:00:00Z</vt:filetime>
  </property>
  <property fmtid="{D5CDD505-2E9C-101B-9397-08002B2CF9AE}" pid="7" name="AsAtDate">
    <vt:lpwstr>26 Sep 2024</vt:lpwstr>
  </property>
  <property fmtid="{D5CDD505-2E9C-101B-9397-08002B2CF9AE}" pid="8" name="Suffix">
    <vt:lpwstr>02-f0-00</vt:lpwstr>
  </property>
  <property fmtid="{D5CDD505-2E9C-101B-9397-08002B2CF9AE}" pid="9" name="Official">
    <vt:lpwstr/>
  </property>
  <property fmtid="{D5CDD505-2E9C-101B-9397-08002B2CF9AE}" pid="10" name="CommencementDate">
    <vt:lpwstr>20240926</vt:lpwstr>
  </property>
  <property fmtid="{D5CDD505-2E9C-101B-9397-08002B2CF9AE}" pid="11" name="CommencementAsAt">
    <vt:filetime>2024-09-25T16:00:00Z</vt:filetime>
  </property>
  <property fmtid="{D5CDD505-2E9C-101B-9397-08002B2CF9AE}" pid="12" name="CommencementYear">
    <vt:lpwstr>2024</vt:lpwstr>
  </property>
</Properties>
</file>