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Sentencing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_Toc178257562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_Toc178257563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_Toc178257564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_Toc178257565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_Toc178257566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_Toc178257567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_Toc178257570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_Toc178257571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_Toc178257572 \h </w:instrText>
      </w:r>
      <w:r>
        <w:fldChar w:fldCharType="separate"/>
      </w:r>
      <w:r>
        <w:t>8</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_Toc178257573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_Toc178257575 \h </w:instrText>
      </w:r>
      <w:r>
        <w:fldChar w:fldCharType="separate"/>
      </w:r>
      <w:r>
        <w:t>11</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_Toc178257576 \h </w:instrText>
      </w:r>
      <w:r>
        <w:fldChar w:fldCharType="separate"/>
      </w:r>
      <w:r>
        <w:t>11</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_Toc178257577 \h </w:instrText>
      </w:r>
      <w:r>
        <w:fldChar w:fldCharType="separate"/>
      </w:r>
      <w:r>
        <w:t>11</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_Toc178257578 \h </w:instrText>
      </w:r>
      <w:r>
        <w:fldChar w:fldCharType="separate"/>
      </w:r>
      <w:r>
        <w:t>12</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_Toc178257579 \h </w:instrText>
      </w:r>
      <w:r>
        <w:fldChar w:fldCharType="separate"/>
      </w:r>
      <w:r>
        <w:t>14</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_Toc178257580 \h </w:instrText>
      </w:r>
      <w:r>
        <w:fldChar w:fldCharType="separate"/>
      </w:r>
      <w:r>
        <w:t>14</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_Toc178257581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_Toc178257583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_Toc178257584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_Toc178257585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_Toc178257586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preliminary to sentencing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_Toc178257589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w:t>
      </w:r>
      <w:r>
        <w:rPr>
          <w:snapToGrid w:val="0"/>
        </w:rPr>
        <w:tab/>
        <w:t>Offender to be present for sentencing </w:t>
      </w:r>
      <w:r>
        <w:rPr>
          <w:vertAlign w:val="superscript"/>
        </w:rPr>
        <w:t>M</w:t>
      </w:r>
      <w:r>
        <w:tab/>
      </w:r>
      <w:r>
        <w:fldChar w:fldCharType="begin"/>
      </w:r>
      <w:r>
        <w:instrText xml:space="preserve"> PAGEREF _Toc178257591 \h </w:instrText>
      </w:r>
      <w:r>
        <w:fldChar w:fldCharType="separate"/>
      </w:r>
      <w:r>
        <w:t>18</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_Toc178257592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_Toc178257593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_Toc178257594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_Toc178257595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_Toc178257596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_Toc178257598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_Toc178257599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_Toc178257600 \h </w:instrText>
      </w:r>
      <w:r>
        <w:fldChar w:fldCharType="separate"/>
      </w:r>
      <w:r>
        <w:t>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_Toc178257601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23A.</w:t>
      </w:r>
      <w:r>
        <w:tab/>
        <w:t>Terms used</w:t>
      </w:r>
      <w:r>
        <w:tab/>
      </w:r>
      <w:r>
        <w:fldChar w:fldCharType="begin"/>
      </w:r>
      <w:r>
        <w:instrText xml:space="preserve"> PAGEREF _Toc178257603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_Toc178257604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_Toc178257605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Court’s functions in relation to victim impact statement</w:t>
      </w:r>
      <w:r>
        <w:tab/>
      </w:r>
      <w:r>
        <w:fldChar w:fldCharType="begin"/>
      </w:r>
      <w:r>
        <w:instrText xml:space="preserve"> PAGEREF _Toc178257606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_Toc178257608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_Toc178257609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_Toc178257610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_Toc178257611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_Toc178257613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_Toc178257614 \h </w:instrText>
      </w:r>
      <w:r>
        <w:fldChar w:fldCharType="separate"/>
      </w:r>
      <w:r>
        <w:t>28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_Toc178257615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3A — Pre</w:t>
      </w:r>
      <w:r>
        <w:noBreakHyphen/>
        <w:t>sentence order</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_Toc178257618 \h </w:instrText>
      </w:r>
      <w:r>
        <w:fldChar w:fldCharType="separate"/>
      </w:r>
      <w:r>
        <w:t>30</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_Toc178257619 \h </w:instrText>
      </w:r>
      <w:r>
        <w:fldChar w:fldCharType="separate"/>
      </w:r>
      <w:r>
        <w:t>31</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_Toc178257620 \h </w:instrText>
      </w:r>
      <w:r>
        <w:fldChar w:fldCharType="separate"/>
      </w:r>
      <w:r>
        <w:t>32</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_Toc178257621 \h </w:instrText>
      </w:r>
      <w:r>
        <w:fldChar w:fldCharType="separate"/>
      </w:r>
      <w:r>
        <w:t>33</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_Toc178257622 \h </w:instrText>
      </w:r>
      <w:r>
        <w:fldChar w:fldCharType="separate"/>
      </w:r>
      <w:r>
        <w:t>34</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_Toc178257623 \h </w:instrText>
      </w:r>
      <w:r>
        <w:fldChar w:fldCharType="separate"/>
      </w:r>
      <w:r>
        <w:t>34</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_Toc178257624 \h </w:instrText>
      </w:r>
      <w:r>
        <w:fldChar w:fldCharType="separate"/>
      </w:r>
      <w:r>
        <w:t>35</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_Toc178257625 \h </w:instrText>
      </w:r>
      <w:r>
        <w:fldChar w:fldCharType="separate"/>
      </w:r>
      <w:r>
        <w:t>36</w:t>
      </w:r>
      <w:r>
        <w:fldChar w:fldCharType="end"/>
      </w:r>
    </w:p>
    <w:p>
      <w:pPr>
        <w:pStyle w:val="TOC8"/>
        <w:rPr>
          <w:rFonts w:asciiTheme="minorHAnsi" w:eastAsiaTheme="minorEastAsia" w:hAnsiTheme="minorHAnsi" w:cstheme="minorBidi"/>
          <w:szCs w:val="22"/>
        </w:rPr>
      </w:pPr>
      <w:r>
        <w:t>33HA.</w:t>
      </w:r>
      <w:r>
        <w:tab/>
        <w:t>Electronic monitoring requirement</w:t>
      </w:r>
      <w:r>
        <w:tab/>
      </w:r>
      <w:r>
        <w:fldChar w:fldCharType="begin"/>
      </w:r>
      <w:r>
        <w:instrText xml:space="preserve"> PAGEREF _Toc178257626 \h </w:instrText>
      </w:r>
      <w:r>
        <w:fldChar w:fldCharType="separate"/>
      </w:r>
      <w:r>
        <w:t>39</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_Toc178257627 \h </w:instrText>
      </w:r>
      <w:r>
        <w:fldChar w:fldCharType="separate"/>
      </w:r>
      <w:r>
        <w:t>40</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_Toc178257628 \h </w:instrText>
      </w:r>
      <w:r>
        <w:fldChar w:fldCharType="separate"/>
      </w:r>
      <w:r>
        <w:t>41</w:t>
      </w:r>
      <w:r>
        <w:fldChar w:fldCharType="end"/>
      </w:r>
    </w:p>
    <w:p>
      <w:pPr>
        <w:pStyle w:val="TOC8"/>
        <w:rPr>
          <w:rFonts w:asciiTheme="minorHAnsi" w:eastAsiaTheme="minorEastAsia" w:hAnsiTheme="minorHAnsi" w:cstheme="minorBidi"/>
          <w:szCs w:val="22"/>
        </w:rPr>
      </w:pPr>
      <w:r>
        <w:t>33K.</w:t>
      </w:r>
      <w:r>
        <w:tab/>
        <w:t>Sentencing offender after PSO</w:t>
      </w:r>
      <w:r>
        <w:tab/>
      </w:r>
      <w:r>
        <w:fldChar w:fldCharType="begin"/>
      </w:r>
      <w:r>
        <w:instrText xml:space="preserve"> PAGEREF _Toc178257629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_Toc178257631 \h </w:instrText>
      </w:r>
      <w:r>
        <w:fldChar w:fldCharType="separate"/>
      </w:r>
      <w:r>
        <w:t>42</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_Toc178257632 \h </w:instrText>
      </w:r>
      <w:r>
        <w:fldChar w:fldCharType="separate"/>
      </w:r>
      <w:r>
        <w:t>42</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_Toc178257633 \h </w:instrText>
      </w:r>
      <w:r>
        <w:fldChar w:fldCharType="separate"/>
      </w:r>
      <w:r>
        <w:t>43</w:t>
      </w:r>
      <w:r>
        <w:fldChar w:fldCharType="end"/>
      </w:r>
    </w:p>
    <w:p>
      <w:pPr>
        <w:pStyle w:val="TOC8"/>
        <w:rPr>
          <w:rFonts w:asciiTheme="minorHAnsi" w:eastAsiaTheme="minorEastAsia" w:hAnsiTheme="minorHAnsi" w:cstheme="minorBidi"/>
          <w:szCs w:val="22"/>
        </w:rPr>
      </w:pPr>
      <w:r>
        <w:t>33O.</w:t>
      </w:r>
      <w:r>
        <w:tab/>
        <w:t>Re</w:t>
      </w:r>
      <w:r>
        <w:noBreakHyphen/>
        <w:t>offending while subject to PSO, consequences of</w:t>
      </w:r>
      <w:r>
        <w:tab/>
      </w:r>
      <w:r>
        <w:fldChar w:fldCharType="begin"/>
      </w:r>
      <w:r>
        <w:instrText xml:space="preserve"> PAGEREF _Toc178257634 \h </w:instrText>
      </w:r>
      <w:r>
        <w:fldChar w:fldCharType="separate"/>
      </w:r>
      <w:r>
        <w:t>44</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_Toc178257635 \h </w:instrText>
      </w:r>
      <w:r>
        <w:fldChar w:fldCharType="separate"/>
      </w:r>
      <w:r>
        <w:t>46</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_Toc178257636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w:t>
      </w:r>
      <w:r>
        <w:rPr>
          <w:snapToGrid w:val="0"/>
        </w:rPr>
        <w:tab/>
        <w:t>Explanation of sentence </w:t>
      </w:r>
      <w:r>
        <w:rPr>
          <w:snapToGrid w:val="0"/>
          <w:vertAlign w:val="superscript"/>
        </w:rPr>
        <w:t>M</w:t>
      </w:r>
      <w:r>
        <w:tab/>
      </w:r>
      <w:r>
        <w:fldChar w:fldCharType="begin"/>
      </w:r>
      <w:r>
        <w:instrText xml:space="preserve"> PAGEREF _Toc178257638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_Toc178257639 \h </w:instrText>
      </w:r>
      <w:r>
        <w:fldChar w:fldCharType="separate"/>
      </w:r>
      <w:r>
        <w:t>48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_Toc178257640 \h </w:instrText>
      </w:r>
      <w:r>
        <w:fldChar w:fldCharType="separate"/>
      </w:r>
      <w:r>
        <w:t>49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_Toc178257641 \h </w:instrText>
      </w:r>
      <w:r>
        <w:fldChar w:fldCharType="separate"/>
      </w:r>
      <w:r>
        <w:t>49</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_Toc178257642 \h </w:instrText>
      </w:r>
      <w:r>
        <w:fldChar w:fldCharType="separate"/>
      </w:r>
      <w:r>
        <w:t>50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_Toc178257643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_Toc178257645 \h </w:instrText>
      </w:r>
      <w:r>
        <w:fldChar w:fldCharType="separate"/>
      </w:r>
      <w:r>
        <w:t>53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_Toc178257646 \h </w:instrText>
      </w:r>
      <w:r>
        <w:fldChar w:fldCharType="separate"/>
      </w:r>
      <w:r>
        <w:t>54</w:t>
      </w:r>
      <w:r>
        <w:fldChar w:fldCharType="end"/>
      </w:r>
    </w:p>
    <w:p>
      <w:pPr>
        <w:pStyle w:val="TOC8"/>
        <w:rPr>
          <w:rFonts w:asciiTheme="minorHAnsi" w:eastAsiaTheme="minorEastAsia" w:hAnsiTheme="minorHAnsi" w:cstheme="minorBidi"/>
          <w:szCs w:val="22"/>
        </w:rPr>
      </w:pPr>
      <w:r>
        <w:lastRenderedPageBreak/>
        <w:t>41</w:t>
      </w:r>
      <w:r>
        <w:rPr>
          <w:snapToGrid w:val="0"/>
        </w:rPr>
        <w:t>.</w:t>
      </w:r>
      <w:r>
        <w:rPr>
          <w:snapToGrid w:val="0"/>
        </w:rPr>
        <w:tab/>
        <w:t>If statutory penalty is imprisonment only: sentencing options</w:t>
      </w:r>
      <w:r>
        <w:tab/>
      </w:r>
      <w:r>
        <w:fldChar w:fldCharType="begin"/>
      </w:r>
      <w:r>
        <w:instrText xml:space="preserve"> PAGEREF _Toc178257647 \h </w:instrText>
      </w:r>
      <w:r>
        <w:fldChar w:fldCharType="separate"/>
      </w:r>
      <w:r>
        <w:t>55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_Toc178257648 \h </w:instrText>
      </w:r>
      <w:r>
        <w:fldChar w:fldCharType="separate"/>
      </w:r>
      <w:r>
        <w:t>56</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_Toc178257649 \h </w:instrText>
      </w:r>
      <w:r>
        <w:fldChar w:fldCharType="separate"/>
      </w:r>
      <w:r>
        <w:t>57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_Toc178257650 \h </w:instrText>
      </w:r>
      <w:r>
        <w:fldChar w:fldCharType="separate"/>
      </w:r>
      <w:r>
        <w:t>58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_Toc178257651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_Toc178257653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_Toc178257655 \h </w:instrText>
      </w:r>
      <w:r>
        <w:fldChar w:fldCharType="separate"/>
      </w:r>
      <w:r>
        <w:t>63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_Toc178257656 \h </w:instrText>
      </w:r>
      <w:r>
        <w:fldChar w:fldCharType="separate"/>
      </w:r>
      <w:r>
        <w:t>63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_Toc178257657 \h </w:instrText>
      </w:r>
      <w:r>
        <w:fldChar w:fldCharType="separate"/>
      </w:r>
      <w:r>
        <w:t>63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_Toc178257658 \h </w:instrText>
      </w:r>
      <w:r>
        <w:fldChar w:fldCharType="separate"/>
      </w:r>
      <w:r>
        <w:t>64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_Toc178257659 \h </w:instrText>
      </w:r>
      <w:r>
        <w:fldChar w:fldCharType="separate"/>
      </w:r>
      <w:r>
        <w:t>64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CRO</w:t>
      </w:r>
      <w:r>
        <w:tab/>
      </w:r>
      <w:r>
        <w:fldChar w:fldCharType="begin"/>
      </w:r>
      <w:r>
        <w:instrText xml:space="preserve"> PAGEREF _Toc178257660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fine</w:t>
      </w:r>
      <w:r>
        <w:tab/>
      </w:r>
      <w:r>
        <w:fldChar w:fldCharType="begin"/>
      </w:r>
      <w:r>
        <w:instrText xml:space="preserve"> PAGEREF _Toc178257662 \h </w:instrText>
      </w:r>
      <w:r>
        <w:fldChar w:fldCharType="separate"/>
      </w:r>
      <w:r>
        <w:t>68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_Toc178257663 \h </w:instrText>
      </w:r>
      <w:r>
        <w:fldChar w:fldCharType="separate"/>
      </w:r>
      <w:r>
        <w:t>68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_Toc178257664 \h </w:instrText>
      </w:r>
      <w:r>
        <w:fldChar w:fldCharType="separate"/>
      </w:r>
      <w:r>
        <w:t>69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_Toc178257665 \h </w:instrText>
      </w:r>
      <w:r>
        <w:fldChar w:fldCharType="separate"/>
      </w:r>
      <w:r>
        <w:t>69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_Toc178257666 \h </w:instrText>
      </w:r>
      <w:r>
        <w:fldChar w:fldCharType="separate"/>
      </w:r>
      <w:r>
        <w:t>69</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_Toc178257667 \h </w:instrText>
      </w:r>
      <w:r>
        <w:fldChar w:fldCharType="separate"/>
      </w:r>
      <w:r>
        <w:t>70</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_Toc178257668 \h </w:instrText>
      </w:r>
      <w:r>
        <w:fldChar w:fldCharType="separate"/>
      </w:r>
      <w:r>
        <w:t>71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paid</w:t>
      </w:r>
      <w:r>
        <w:tab/>
      </w:r>
      <w:r>
        <w:fldChar w:fldCharType="begin"/>
      </w:r>
      <w:r>
        <w:instrText xml:space="preserve"> PAGEREF _Toc178257669 \h </w:instrText>
      </w:r>
      <w:r>
        <w:fldChar w:fldCharType="separate"/>
      </w:r>
      <w:r>
        <w:t>72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not paid</w:t>
      </w:r>
      <w:r>
        <w:tab/>
      </w:r>
      <w:r>
        <w:fldChar w:fldCharType="begin"/>
      </w:r>
      <w:r>
        <w:instrText xml:space="preserve"> PAGEREF _Toc178257670 \h </w:instrText>
      </w:r>
      <w:r>
        <w:fldChar w:fldCharType="separate"/>
      </w:r>
      <w:r>
        <w:t>73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_Toc178257671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8A — Suspended fine</w:t>
      </w:r>
    </w:p>
    <w:p>
      <w:pPr>
        <w:pStyle w:val="TOC8"/>
        <w:rPr>
          <w:rFonts w:asciiTheme="minorHAnsi" w:eastAsiaTheme="minorEastAsia" w:hAnsiTheme="minorHAnsi" w:cstheme="minorBidi"/>
          <w:szCs w:val="22"/>
        </w:rPr>
      </w:pPr>
      <w:r>
        <w:t>60A.</w:t>
      </w:r>
      <w:r>
        <w:tab/>
        <w:t>When fine may be suspended</w:t>
      </w:r>
      <w:r>
        <w:tab/>
      </w:r>
      <w:r>
        <w:fldChar w:fldCharType="begin"/>
      </w:r>
      <w:r>
        <w:instrText xml:space="preserve"> PAGEREF _Toc178257673 \h </w:instrText>
      </w:r>
      <w:r>
        <w:fldChar w:fldCharType="separate"/>
      </w:r>
      <w:r>
        <w:t>77</w:t>
      </w:r>
      <w:r>
        <w:fldChar w:fldCharType="end"/>
      </w:r>
    </w:p>
    <w:p>
      <w:pPr>
        <w:pStyle w:val="TOC8"/>
        <w:rPr>
          <w:rFonts w:asciiTheme="minorHAnsi" w:eastAsiaTheme="minorEastAsia" w:hAnsiTheme="minorHAnsi" w:cstheme="minorBidi"/>
          <w:szCs w:val="22"/>
        </w:rPr>
      </w:pPr>
      <w:r>
        <w:t>60B.</w:t>
      </w:r>
      <w:r>
        <w:tab/>
        <w:t>Effect of suspending fine</w:t>
      </w:r>
      <w:r>
        <w:tab/>
      </w:r>
      <w:r>
        <w:fldChar w:fldCharType="begin"/>
      </w:r>
      <w:r>
        <w:instrText xml:space="preserve"> PAGEREF _Toc178257674 \h </w:instrText>
      </w:r>
      <w:r>
        <w:fldChar w:fldCharType="separate"/>
      </w:r>
      <w:r>
        <w:t>77</w:t>
      </w:r>
      <w:r>
        <w:fldChar w:fldCharType="end"/>
      </w:r>
    </w:p>
    <w:p>
      <w:pPr>
        <w:pStyle w:val="TOC8"/>
        <w:rPr>
          <w:rFonts w:asciiTheme="minorHAnsi" w:eastAsiaTheme="minorEastAsia" w:hAnsiTheme="minorHAnsi" w:cstheme="minorBidi"/>
          <w:szCs w:val="22"/>
        </w:rPr>
      </w:pPr>
      <w:r>
        <w:t>60C.</w:t>
      </w:r>
      <w:r>
        <w:tab/>
        <w:t>Re</w:t>
      </w:r>
      <w:r>
        <w:noBreakHyphen/>
        <w:t>offender may be dealt with or committed</w:t>
      </w:r>
      <w:r>
        <w:tab/>
      </w:r>
      <w:r>
        <w:fldChar w:fldCharType="begin"/>
      </w:r>
      <w:r>
        <w:instrText xml:space="preserve"> PAGEREF _Toc178257675 \h </w:instrText>
      </w:r>
      <w:r>
        <w:fldChar w:fldCharType="separate"/>
      </w:r>
      <w:r>
        <w:t>77</w:t>
      </w:r>
      <w:r>
        <w:fldChar w:fldCharType="end"/>
      </w:r>
    </w:p>
    <w:p>
      <w:pPr>
        <w:pStyle w:val="TOC8"/>
        <w:rPr>
          <w:rFonts w:asciiTheme="minorHAnsi" w:eastAsiaTheme="minorEastAsia" w:hAnsiTheme="minorHAnsi" w:cstheme="minorBidi"/>
          <w:szCs w:val="22"/>
        </w:rPr>
      </w:pPr>
      <w:r>
        <w:t>60D.</w:t>
      </w:r>
      <w:r>
        <w:tab/>
        <w:t>Alleging re</w:t>
      </w:r>
      <w:r>
        <w:noBreakHyphen/>
        <w:t>offending in court</w:t>
      </w:r>
      <w:r>
        <w:tab/>
      </w:r>
      <w:r>
        <w:fldChar w:fldCharType="begin"/>
      </w:r>
      <w:r>
        <w:instrText xml:space="preserve"> PAGEREF _Toc178257676 \h </w:instrText>
      </w:r>
      <w:r>
        <w:fldChar w:fldCharType="separate"/>
      </w:r>
      <w:r>
        <w:t>79</w:t>
      </w:r>
      <w:r>
        <w:fldChar w:fldCharType="end"/>
      </w:r>
    </w:p>
    <w:p>
      <w:pPr>
        <w:pStyle w:val="TOC8"/>
        <w:rPr>
          <w:rFonts w:asciiTheme="minorHAnsi" w:eastAsiaTheme="minorEastAsia" w:hAnsiTheme="minorHAnsi" w:cstheme="minorBidi"/>
          <w:szCs w:val="22"/>
        </w:rPr>
      </w:pPr>
      <w:r>
        <w:t>60E.</w:t>
      </w:r>
      <w:r>
        <w:tab/>
        <w:t>How re</w:t>
      </w:r>
      <w:r>
        <w:noBreakHyphen/>
        <w:t>offender to be dealt with</w:t>
      </w:r>
      <w:r>
        <w:tab/>
      </w:r>
      <w:r>
        <w:fldChar w:fldCharType="begin"/>
      </w:r>
      <w:r>
        <w:instrText xml:space="preserve"> PAGEREF _Toc178257677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_Toc178257679 \h </w:instrText>
      </w:r>
      <w:r>
        <w:fldChar w:fldCharType="separate"/>
      </w:r>
      <w:r>
        <w:t>82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_Toc178257680 \h </w:instrText>
      </w:r>
      <w:r>
        <w:fldChar w:fldCharType="separate"/>
      </w:r>
      <w:r>
        <w:t>82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_Toc178257681 \h </w:instrText>
      </w:r>
      <w:r>
        <w:fldChar w:fldCharType="separate"/>
      </w:r>
      <w:r>
        <w:t>83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_Toc178257682 \h </w:instrText>
      </w:r>
      <w:r>
        <w:fldChar w:fldCharType="separate"/>
      </w:r>
      <w:r>
        <w:t>83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_Toc178257683 \h </w:instrText>
      </w:r>
      <w:r>
        <w:fldChar w:fldCharType="separate"/>
      </w:r>
      <w:r>
        <w:t>84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_Toc178257684 \h </w:instrText>
      </w:r>
      <w:r>
        <w:fldChar w:fldCharType="separate"/>
      </w:r>
      <w:r>
        <w:t>85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_Toc178257685 \h </w:instrText>
      </w:r>
      <w:r>
        <w:fldChar w:fldCharType="separate"/>
      </w:r>
      <w:r>
        <w:t>86</w:t>
      </w:r>
      <w:r>
        <w:fldChar w:fldCharType="end"/>
      </w:r>
    </w:p>
    <w:p>
      <w:pPr>
        <w:pStyle w:val="TOC8"/>
        <w:rPr>
          <w:rFonts w:asciiTheme="minorHAnsi" w:eastAsiaTheme="minorEastAsia" w:hAnsiTheme="minorHAnsi" w:cstheme="minorBidi"/>
          <w:szCs w:val="22"/>
        </w:rPr>
      </w:pPr>
      <w:r>
        <w:t>67A.</w:t>
      </w:r>
      <w:r>
        <w:tab/>
        <w:t>Electronic monitoring requirement</w:t>
      </w:r>
      <w:r>
        <w:tab/>
      </w:r>
      <w:r>
        <w:fldChar w:fldCharType="begin"/>
      </w:r>
      <w:r>
        <w:instrText xml:space="preserve"> PAGEREF _Toc178257686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_Toc178257688 \h </w:instrText>
      </w:r>
      <w:r>
        <w:fldChar w:fldCharType="separate"/>
      </w:r>
      <w:r>
        <w:t>89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_Toc178257689 \h </w:instrText>
      </w:r>
      <w:r>
        <w:fldChar w:fldCharType="separate"/>
      </w:r>
      <w:r>
        <w:t>89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_Toc178257690 \h </w:instrText>
      </w:r>
      <w:r>
        <w:fldChar w:fldCharType="separate"/>
      </w:r>
      <w:r>
        <w:t>90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_Toc178257691 \h </w:instrText>
      </w:r>
      <w:r>
        <w:fldChar w:fldCharType="separate"/>
      </w:r>
      <w:r>
        <w:t>90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_Toc178257692 \h </w:instrText>
      </w:r>
      <w:r>
        <w:fldChar w:fldCharType="separate"/>
      </w:r>
      <w:r>
        <w:t>91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_Toc178257693 \h </w:instrText>
      </w:r>
      <w:r>
        <w:fldChar w:fldCharType="separate"/>
      </w:r>
      <w:r>
        <w:t>92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_Toc178257694 \h </w:instrText>
      </w:r>
      <w:r>
        <w:fldChar w:fldCharType="separate"/>
      </w:r>
      <w:r>
        <w:t>93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_Toc178257695 \h </w:instrText>
      </w:r>
      <w:r>
        <w:fldChar w:fldCharType="separate"/>
      </w:r>
      <w:r>
        <w:t>94</w:t>
      </w:r>
      <w:r>
        <w:fldChar w:fldCharType="end"/>
      </w:r>
    </w:p>
    <w:p>
      <w:pPr>
        <w:pStyle w:val="TOC8"/>
        <w:rPr>
          <w:rFonts w:asciiTheme="minorHAnsi" w:eastAsiaTheme="minorEastAsia" w:hAnsiTheme="minorHAnsi" w:cstheme="minorBidi"/>
          <w:szCs w:val="22"/>
        </w:rPr>
      </w:pPr>
      <w:r>
        <w:t>76A.</w:t>
      </w:r>
      <w:r>
        <w:tab/>
        <w:t>Electronic monitoring requirement</w:t>
      </w:r>
      <w:r>
        <w:tab/>
      </w:r>
      <w:r>
        <w:fldChar w:fldCharType="begin"/>
      </w:r>
      <w:r>
        <w:instrText xml:space="preserve"> PAGEREF _Toc178257696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_Toc178257698 \h </w:instrText>
      </w:r>
      <w:r>
        <w:fldChar w:fldCharType="separate"/>
      </w:r>
      <w:r>
        <w:t>99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_Toc178257699 \h </w:instrText>
      </w:r>
      <w:r>
        <w:fldChar w:fldCharType="separate"/>
      </w:r>
      <w:r>
        <w:t>99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_Toc178257700 \h </w:instrText>
      </w:r>
      <w:r>
        <w:fldChar w:fldCharType="separate"/>
      </w:r>
      <w:r>
        <w:t>100</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_Toc178257701 \h </w:instrText>
      </w:r>
      <w:r>
        <w:fldChar w:fldCharType="separate"/>
      </w:r>
      <w:r>
        <w:t>101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_Toc178257702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77"/>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_Toc178257705 \h </w:instrText>
      </w:r>
      <w:r>
        <w:fldChar w:fldCharType="separate"/>
      </w:r>
      <w:r>
        <w:t>105</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_Toc178257706 \h </w:instrText>
      </w:r>
      <w:r>
        <w:fldChar w:fldCharType="separate"/>
      </w:r>
      <w:r>
        <w:t>106</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_Toc178257707 \h </w:instrText>
      </w:r>
      <w:r>
        <w:fldChar w:fldCharType="separate"/>
      </w:r>
      <w:r>
        <w:t>106</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_Toc178257708 \h </w:instrText>
      </w:r>
      <w:r>
        <w:fldChar w:fldCharType="separate"/>
      </w:r>
      <w:r>
        <w:t>107</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_Toc178257709 \h </w:instrText>
      </w:r>
      <w:r>
        <w:fldChar w:fldCharType="separate"/>
      </w:r>
      <w:r>
        <w:t>107</w:t>
      </w:r>
      <w:r>
        <w:fldChar w:fldCharType="end"/>
      </w:r>
    </w:p>
    <w:p>
      <w:pPr>
        <w:pStyle w:val="TOC8"/>
        <w:rPr>
          <w:rFonts w:asciiTheme="minorHAnsi" w:eastAsiaTheme="minorEastAsia" w:hAnsiTheme="minorHAnsi" w:cstheme="minorBidi"/>
          <w:szCs w:val="22"/>
        </w:rPr>
      </w:pPr>
      <w:r>
        <w:lastRenderedPageBreak/>
        <w:t>84B.</w:t>
      </w:r>
      <w:r>
        <w:tab/>
        <w:t>Supervision requirement</w:t>
      </w:r>
      <w:r>
        <w:tab/>
      </w:r>
      <w:r>
        <w:fldChar w:fldCharType="begin"/>
      </w:r>
      <w:r>
        <w:instrText xml:space="preserve"> PAGEREF _Toc178257710 \h </w:instrText>
      </w:r>
      <w:r>
        <w:fldChar w:fldCharType="separate"/>
      </w:r>
      <w:r>
        <w:t>109</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_Toc178257711 \h </w:instrText>
      </w:r>
      <w:r>
        <w:fldChar w:fldCharType="separate"/>
      </w:r>
      <w:r>
        <w:t>110</w:t>
      </w:r>
      <w:r>
        <w:fldChar w:fldCharType="end"/>
      </w:r>
    </w:p>
    <w:p>
      <w:pPr>
        <w:pStyle w:val="TOC8"/>
        <w:rPr>
          <w:rFonts w:asciiTheme="minorHAnsi" w:eastAsiaTheme="minorEastAsia" w:hAnsiTheme="minorHAnsi" w:cstheme="minorBidi"/>
          <w:szCs w:val="22"/>
        </w:rPr>
      </w:pPr>
      <w:r>
        <w:t>84CA.</w:t>
      </w:r>
      <w:r>
        <w:tab/>
        <w:t>Electronic monitoring requirement</w:t>
      </w:r>
      <w:r>
        <w:tab/>
      </w:r>
      <w:r>
        <w:fldChar w:fldCharType="begin"/>
      </w:r>
      <w:r>
        <w:instrText xml:space="preserve"> PAGEREF _Toc178257712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_Toc178257714 \h </w:instrText>
      </w:r>
      <w:r>
        <w:fldChar w:fldCharType="separate"/>
      </w:r>
      <w:r>
        <w:t>114</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_Toc178257715 \h </w:instrText>
      </w:r>
      <w:r>
        <w:fldChar w:fldCharType="separate"/>
      </w:r>
      <w:r>
        <w:t>115</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_Toc178257716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_Toc178257718 \h </w:instrText>
      </w:r>
      <w:r>
        <w:fldChar w:fldCharType="separate"/>
      </w:r>
      <w:r>
        <w:t>118</w:t>
      </w:r>
      <w:r>
        <w:fldChar w:fldCharType="end"/>
      </w:r>
    </w:p>
    <w:p>
      <w:pPr>
        <w:pStyle w:val="TOC8"/>
        <w:rPr>
          <w:rFonts w:asciiTheme="minorHAnsi" w:eastAsiaTheme="minorEastAsia" w:hAnsiTheme="minorHAnsi" w:cstheme="minorBidi"/>
          <w:szCs w:val="22"/>
        </w:rPr>
      </w:pPr>
      <w:r>
        <w:t>84H.</w:t>
      </w:r>
      <w:r>
        <w:tab/>
        <w:t>Application to amend or cancel CSI requirement</w:t>
      </w:r>
      <w:r>
        <w:tab/>
      </w:r>
      <w:r>
        <w:fldChar w:fldCharType="begin"/>
      </w:r>
      <w:r>
        <w:instrText xml:space="preserve"> PAGEREF _Toc178257719 \h </w:instrText>
      </w:r>
      <w:r>
        <w:fldChar w:fldCharType="separate"/>
      </w:r>
      <w:r>
        <w:t>118</w:t>
      </w:r>
      <w:r>
        <w:fldChar w:fldCharType="end"/>
      </w:r>
    </w:p>
    <w:p>
      <w:pPr>
        <w:pStyle w:val="TOC8"/>
        <w:rPr>
          <w:rFonts w:asciiTheme="minorHAnsi" w:eastAsiaTheme="minorEastAsia" w:hAnsiTheme="minorHAnsi" w:cstheme="minorBidi"/>
          <w:szCs w:val="22"/>
        </w:rPr>
      </w:pPr>
      <w:r>
        <w:t>84I.</w:t>
      </w:r>
      <w:r>
        <w:tab/>
        <w:t>Court may confirm, amend or cancel CSI requirement</w:t>
      </w:r>
      <w:r>
        <w:tab/>
      </w:r>
      <w:r>
        <w:fldChar w:fldCharType="begin"/>
      </w:r>
      <w:r>
        <w:instrText xml:space="preserve"> PAGEREF _Toc178257720 \h </w:instrText>
      </w:r>
      <w:r>
        <w:fldChar w:fldCharType="separate"/>
      </w:r>
      <w:r>
        <w:t>118</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_Toc178257721 \h </w:instrText>
      </w:r>
      <w:r>
        <w:fldChar w:fldCharType="separate"/>
      </w:r>
      <w:r>
        <w:t>119</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_Toc178257722 \h </w:instrText>
      </w:r>
      <w:r>
        <w:fldChar w:fldCharType="separate"/>
      </w:r>
      <w:r>
        <w:t>119</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_Toc178257723 \h </w:instrText>
      </w:r>
      <w:r>
        <w:fldChar w:fldCharType="separate"/>
      </w:r>
      <w:r>
        <w:t>120</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_Toc178257724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_Toc178257726 \h </w:instrText>
      </w:r>
      <w:r>
        <w:fldChar w:fldCharType="separate"/>
      </w:r>
      <w:r>
        <w:t>122</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_Toc178257727 \h </w:instrText>
      </w:r>
      <w:r>
        <w:fldChar w:fldCharType="separate"/>
      </w:r>
      <w:r>
        <w:t>123</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_Toc178257728 \h </w:instrText>
      </w:r>
      <w:r>
        <w:fldChar w:fldCharType="separate"/>
      </w:r>
      <w:r>
        <w:t>123</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_Toc178257729 \h </w:instrText>
      </w:r>
      <w:r>
        <w:fldChar w:fldCharType="separate"/>
      </w:r>
      <w:r>
        <w:t>124</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_Toc178257730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Part 13 — Imprisonment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_Toc178257733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_Toc178257735 \h </w:instrText>
      </w:r>
      <w:r>
        <w:fldChar w:fldCharType="separate"/>
      </w:r>
      <w:r>
        <w:t>127</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_Toc178257736 \h </w:instrText>
      </w:r>
      <w:r>
        <w:fldChar w:fldCharType="separate"/>
      </w:r>
      <w:r>
        <w:t>128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_Toc178257737 \h </w:instrText>
      </w:r>
      <w:r>
        <w:fldChar w:fldCharType="separate"/>
      </w:r>
      <w:r>
        <w:t>128</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_Toc178257738 \h </w:instrText>
      </w:r>
      <w:r>
        <w:fldChar w:fldCharType="separate"/>
      </w:r>
      <w:r>
        <w:t>130</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_Toc178257739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_Toc178257741 \h </w:instrText>
      </w:r>
      <w:r>
        <w:fldChar w:fldCharType="separate"/>
      </w:r>
      <w:r>
        <w:t>133</w:t>
      </w:r>
      <w:r>
        <w:fldChar w:fldCharType="end"/>
      </w:r>
    </w:p>
    <w:p>
      <w:pPr>
        <w:pStyle w:val="TOC8"/>
        <w:rPr>
          <w:rFonts w:asciiTheme="minorHAnsi" w:eastAsiaTheme="minorEastAsia" w:hAnsiTheme="minorHAnsi" w:cstheme="minorBidi"/>
          <w:szCs w:val="22"/>
        </w:rPr>
      </w:pPr>
      <w:r>
        <w:t>94A.</w:t>
      </w:r>
      <w:r>
        <w:tab/>
        <w:t xml:space="preserve">Release on parole of prisoners subject to </w:t>
      </w:r>
      <w:r>
        <w:rPr>
          <w:i/>
        </w:rPr>
        <w:t>Prisoners (Interstate Transfer) Act 1983</w:t>
      </w:r>
      <w:r>
        <w:tab/>
      </w:r>
      <w:r>
        <w:fldChar w:fldCharType="begin"/>
      </w:r>
      <w:r>
        <w:instrText xml:space="preserve"> PAGEREF _Toc178257742 \h </w:instrText>
      </w:r>
      <w:r>
        <w:fldChar w:fldCharType="separate"/>
      </w:r>
      <w:r>
        <w:t>133</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_Toc178257743 \h </w:instrText>
      </w:r>
      <w:r>
        <w:fldChar w:fldCharType="separate"/>
      </w:r>
      <w:r>
        <w:t>134</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_Toc178257744 \h </w:instrText>
      </w:r>
      <w:r>
        <w:fldChar w:fldCharType="separate"/>
      </w:r>
      <w:r>
        <w:t>136</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_Toc178257745 \h </w:instrText>
      </w:r>
      <w:r>
        <w:fldChar w:fldCharType="separate"/>
      </w:r>
      <w:r>
        <w:t>137</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_Toc178257746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_Toc178257748 \h </w:instrText>
      </w:r>
      <w:r>
        <w:fldChar w:fldCharType="separate"/>
      </w:r>
      <w:r>
        <w:t>138</w:t>
      </w:r>
      <w:r>
        <w:fldChar w:fldCharType="end"/>
      </w:r>
    </w:p>
    <w:p>
      <w:pPr>
        <w:pStyle w:val="TOC8"/>
        <w:rPr>
          <w:rFonts w:asciiTheme="minorHAnsi" w:eastAsiaTheme="minorEastAsia" w:hAnsiTheme="minorHAnsi" w:cstheme="minorBidi"/>
          <w:szCs w:val="22"/>
        </w:rPr>
      </w:pPr>
      <w:r>
        <w:t>97A.</w:t>
      </w:r>
      <w:r>
        <w:tab/>
        <w:t xml:space="preserve">Declaration of serious violent offence for purposes of </w:t>
      </w:r>
      <w:r>
        <w:rPr>
          <w:i/>
        </w:rPr>
        <w:t>Sentence Administration Act 2003</w:t>
      </w:r>
      <w:r>
        <w:t xml:space="preserve"> Part 5A</w:t>
      </w:r>
      <w:r>
        <w:tab/>
      </w:r>
      <w:r>
        <w:fldChar w:fldCharType="begin"/>
      </w:r>
      <w:r>
        <w:instrText xml:space="preserve"> PAGEREF _Toc178257749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_Toc178257751 \h </w:instrText>
      </w:r>
      <w:r>
        <w:fldChar w:fldCharType="separate"/>
      </w:r>
      <w:r>
        <w:t>141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_Toc178257752 \h </w:instrText>
      </w:r>
      <w:r>
        <w:fldChar w:fldCharType="separate"/>
      </w:r>
      <w:r>
        <w:t>142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_Toc178257753 \h </w:instrText>
      </w:r>
      <w:r>
        <w:fldChar w:fldCharType="separate"/>
      </w:r>
      <w:r>
        <w:t>142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_Toc178257754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15 — Other orders forming part of a sentence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_Toc178257757 \h </w:instrText>
      </w:r>
      <w:r>
        <w:fldChar w:fldCharType="separate"/>
      </w:r>
      <w:r>
        <w:t>143</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_Toc178257758 \h </w:instrText>
      </w:r>
      <w:r>
        <w:fldChar w:fldCharType="separate"/>
      </w:r>
      <w:r>
        <w:t>143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_Toc178257759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_Toc178257761 \h </w:instrText>
      </w:r>
      <w:r>
        <w:fldChar w:fldCharType="separate"/>
      </w:r>
      <w:r>
        <w:t>143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_Toc178257762 \h </w:instrText>
      </w:r>
      <w:r>
        <w:fldChar w:fldCharType="separate"/>
      </w:r>
      <w:r>
        <w:t>145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_Toc178257763 \h </w:instrText>
      </w:r>
      <w:r>
        <w:fldChar w:fldCharType="separate"/>
      </w:r>
      <w:r>
        <w:t>146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_Toc178257764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Part 16 — Reparation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_Toc178257767 \h </w:instrText>
      </w:r>
      <w:r>
        <w:fldChar w:fldCharType="separate"/>
      </w:r>
      <w:r>
        <w:t>150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_Toc178257768 \h </w:instrText>
      </w:r>
      <w:r>
        <w:fldChar w:fldCharType="separate"/>
      </w:r>
      <w:r>
        <w:t>150</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_Toc178257769 \h </w:instrText>
      </w:r>
      <w:r>
        <w:fldChar w:fldCharType="separate"/>
      </w:r>
      <w:r>
        <w:t>150</w:t>
      </w:r>
      <w:r>
        <w:fldChar w:fldCharType="end"/>
      </w:r>
    </w:p>
    <w:p>
      <w:pPr>
        <w:pStyle w:val="TOC8"/>
        <w:rPr>
          <w:rFonts w:asciiTheme="minorHAnsi" w:eastAsiaTheme="minorEastAsia" w:hAnsiTheme="minorHAnsi" w:cstheme="minorBidi"/>
          <w:szCs w:val="22"/>
        </w:rPr>
      </w:pPr>
      <w:r>
        <w:lastRenderedPageBreak/>
        <w:t>112</w:t>
      </w:r>
      <w:r>
        <w:rPr>
          <w:snapToGrid w:val="0"/>
        </w:rPr>
        <w:t>.</w:t>
      </w:r>
      <w:r>
        <w:rPr>
          <w:snapToGrid w:val="0"/>
        </w:rPr>
        <w:tab/>
        <w:t>Facts relevant to making reparation order</w:t>
      </w:r>
      <w:r>
        <w:tab/>
      </w:r>
      <w:r>
        <w:fldChar w:fldCharType="begin"/>
      </w:r>
      <w:r>
        <w:instrText xml:space="preserve"> PAGEREF _Toc178257770 \h </w:instrText>
      </w:r>
      <w:r>
        <w:fldChar w:fldCharType="separate"/>
      </w:r>
      <w:r>
        <w:t>151</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_Toc178257771 \h </w:instrText>
      </w:r>
      <w:r>
        <w:fldChar w:fldCharType="separate"/>
      </w:r>
      <w:r>
        <w:t>152</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_Toc178257772 \h </w:instrText>
      </w:r>
      <w:r>
        <w:fldChar w:fldCharType="separate"/>
      </w:r>
      <w:r>
        <w:t>152</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_Toc178257773 \h </w:instrText>
      </w:r>
      <w:r>
        <w:fldChar w:fldCharType="separate"/>
      </w:r>
      <w:r>
        <w:t>152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_Toc178257774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_Toc178257776 \h </w:instrText>
      </w:r>
      <w:r>
        <w:fldChar w:fldCharType="separate"/>
      </w:r>
      <w:r>
        <w:t>153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_Toc178257777 \h </w:instrText>
      </w:r>
      <w:r>
        <w:fldChar w:fldCharType="separate"/>
      </w:r>
      <w:r>
        <w:t>154</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_Toc178257778 \h </w:instrText>
      </w:r>
      <w:r>
        <w:fldChar w:fldCharType="separate"/>
      </w:r>
      <w:r>
        <w:t>154</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_Toc178257779 \h </w:instrText>
      </w:r>
      <w:r>
        <w:fldChar w:fldCharType="separate"/>
      </w:r>
      <w:r>
        <w:t>155</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_Toc178257780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_Toc178257782 \h </w:instrText>
      </w:r>
      <w:r>
        <w:fldChar w:fldCharType="separate"/>
      </w:r>
      <w:r>
        <w:t>156</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_Toc178257783 \h </w:instrText>
      </w:r>
      <w:r>
        <w:fldChar w:fldCharType="separate"/>
      </w:r>
      <w:r>
        <w:t>157</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_Toc178257784 \h </w:instrText>
      </w:r>
      <w:r>
        <w:fldChar w:fldCharType="separate"/>
      </w:r>
      <w:r>
        <w:t>157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_Toc178257785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Part 17 — Other orders and declarations not forming part of a sentence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_Toc178257788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2 — Orders made under other Acts</w:t>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_Toc178257790 \h </w:instrText>
      </w:r>
      <w:r>
        <w:fldChar w:fldCharType="separate"/>
      </w:r>
      <w:r>
        <w:t>159</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_Toc178257791 \h </w:instrText>
      </w:r>
      <w:r>
        <w:fldChar w:fldCharType="separate"/>
      </w:r>
      <w:r>
        <w:t>160</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_Toc178257792 \h </w:instrText>
      </w:r>
      <w:r>
        <w:fldChar w:fldCharType="separate"/>
      </w:r>
      <w:r>
        <w:t>160</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_Toc178257793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3 — Declarations</w:t>
      </w:r>
    </w:p>
    <w:p>
      <w:pPr>
        <w:pStyle w:val="TOC8"/>
        <w:rPr>
          <w:rFonts w:asciiTheme="minorHAnsi" w:eastAsiaTheme="minorEastAsia" w:hAnsiTheme="minorHAnsi" w:cstheme="minorBidi"/>
          <w:szCs w:val="22"/>
        </w:rPr>
      </w:pPr>
      <w:r>
        <w:t>124D.</w:t>
      </w:r>
      <w:r>
        <w:tab/>
        <w:t>Terms used</w:t>
      </w:r>
      <w:r>
        <w:tab/>
      </w:r>
      <w:r>
        <w:fldChar w:fldCharType="begin"/>
      </w:r>
      <w:r>
        <w:instrText xml:space="preserve"> PAGEREF _Toc178257795 \h </w:instrText>
      </w:r>
      <w:r>
        <w:fldChar w:fldCharType="separate"/>
      </w:r>
      <w:r>
        <w:t>160</w:t>
      </w:r>
      <w:r>
        <w:fldChar w:fldCharType="end"/>
      </w:r>
    </w:p>
    <w:p>
      <w:pPr>
        <w:pStyle w:val="TOC8"/>
        <w:rPr>
          <w:rFonts w:asciiTheme="minorHAnsi" w:eastAsiaTheme="minorEastAsia" w:hAnsiTheme="minorHAnsi" w:cstheme="minorBidi"/>
          <w:szCs w:val="22"/>
        </w:rPr>
      </w:pPr>
      <w:r>
        <w:t>124E.</w:t>
      </w:r>
      <w:r>
        <w:tab/>
        <w:t>Serial family violence offenders</w:t>
      </w:r>
      <w:r>
        <w:tab/>
      </w:r>
      <w:r>
        <w:fldChar w:fldCharType="begin"/>
      </w:r>
      <w:r>
        <w:instrText xml:space="preserve"> PAGEREF _Toc178257796 \h </w:instrText>
      </w:r>
      <w:r>
        <w:fldChar w:fldCharType="separate"/>
      </w:r>
      <w:r>
        <w:t>161</w:t>
      </w:r>
      <w:r>
        <w:fldChar w:fldCharType="end"/>
      </w:r>
    </w:p>
    <w:p>
      <w:pPr>
        <w:pStyle w:val="TOC8"/>
        <w:rPr>
          <w:rFonts w:asciiTheme="minorHAnsi" w:eastAsiaTheme="minorEastAsia" w:hAnsiTheme="minorHAnsi" w:cstheme="minorBidi"/>
          <w:szCs w:val="22"/>
        </w:rPr>
      </w:pPr>
      <w:r>
        <w:lastRenderedPageBreak/>
        <w:t>124F.</w:t>
      </w:r>
      <w:r>
        <w:tab/>
        <w:t>Serial family violence offender declaration — related matters</w:t>
      </w:r>
      <w:r>
        <w:tab/>
      </w:r>
      <w:r>
        <w:fldChar w:fldCharType="begin"/>
      </w:r>
      <w:r>
        <w:instrText xml:space="preserve"> PAGEREF _Toc178257797 \h </w:instrText>
      </w:r>
      <w:r>
        <w:fldChar w:fldCharType="separate"/>
      </w:r>
      <w:r>
        <w:t>163</w:t>
      </w:r>
      <w:r>
        <w:fldChar w:fldCharType="end"/>
      </w:r>
    </w:p>
    <w:p>
      <w:pPr>
        <w:pStyle w:val="TOC8"/>
        <w:rPr>
          <w:rFonts w:asciiTheme="minorHAnsi" w:eastAsiaTheme="minorEastAsia" w:hAnsiTheme="minorHAnsi" w:cstheme="minorBidi"/>
          <w:szCs w:val="22"/>
        </w:rPr>
      </w:pPr>
      <w:r>
        <w:t>124G.</w:t>
      </w:r>
      <w:r>
        <w:tab/>
        <w:t>Disqualification if declaration made</w:t>
      </w:r>
      <w:r>
        <w:tab/>
      </w:r>
      <w:r>
        <w:fldChar w:fldCharType="begin"/>
      </w:r>
      <w:r>
        <w:instrText xml:space="preserve"> PAGEREF _Toc178257798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and interpretation</w:t>
      </w:r>
      <w:r>
        <w:tab/>
      </w:r>
      <w:r>
        <w:fldChar w:fldCharType="begin"/>
      </w:r>
      <w:r>
        <w:instrText xml:space="preserve"> PAGEREF _Toc178257801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_Toc178257803 \h </w:instrText>
      </w:r>
      <w:r>
        <w:fldChar w:fldCharType="separate"/>
      </w:r>
      <w:r>
        <w:t>167</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_Toc178257804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_Toc178257806 \h </w:instrText>
      </w:r>
      <w:r>
        <w:fldChar w:fldCharType="separate"/>
      </w:r>
      <w:r>
        <w:t>168</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_Toc178257807 \h </w:instrText>
      </w:r>
      <w:r>
        <w:fldChar w:fldCharType="separate"/>
      </w:r>
      <w:r>
        <w:t>169</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_Toc178257808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_Toc178257810 \h </w:instrText>
      </w:r>
      <w:r>
        <w:fldChar w:fldCharType="separate"/>
      </w:r>
      <w:r>
        <w:t>172</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_Toc178257811 \h </w:instrText>
      </w:r>
      <w:r>
        <w:fldChar w:fldCharType="separate"/>
      </w:r>
      <w:r>
        <w:t>172</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_Toc178257812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_Toc178257814 \h </w:instrText>
      </w:r>
      <w:r>
        <w:fldChar w:fldCharType="separate"/>
      </w:r>
      <w:r>
        <w:t>174</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_Toc178257815 \h </w:instrText>
      </w:r>
      <w:r>
        <w:fldChar w:fldCharType="separate"/>
      </w:r>
      <w:r>
        <w:t>175</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_Toc178257816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6 — Functions of speciality courts</w:t>
      </w:r>
    </w:p>
    <w:p>
      <w:pPr>
        <w:pStyle w:val="TOC8"/>
        <w:rPr>
          <w:rFonts w:asciiTheme="minorHAnsi" w:eastAsiaTheme="minorEastAsia" w:hAnsiTheme="minorHAnsi" w:cstheme="minorBidi"/>
          <w:szCs w:val="22"/>
        </w:rPr>
      </w:pPr>
      <w:r>
        <w:t>136A.</w:t>
      </w:r>
      <w:r>
        <w:tab/>
        <w:t>Application of Division</w:t>
      </w:r>
      <w:r>
        <w:tab/>
      </w:r>
      <w:r>
        <w:fldChar w:fldCharType="begin"/>
      </w:r>
      <w:r>
        <w:instrText xml:space="preserve"> PAGEREF _Toc178257818 \h </w:instrText>
      </w:r>
      <w:r>
        <w:fldChar w:fldCharType="separate"/>
      </w:r>
      <w:r>
        <w:t>177</w:t>
      </w:r>
      <w:r>
        <w:fldChar w:fldCharType="end"/>
      </w:r>
    </w:p>
    <w:p>
      <w:pPr>
        <w:pStyle w:val="TOC8"/>
        <w:rPr>
          <w:rFonts w:asciiTheme="minorHAnsi" w:eastAsiaTheme="minorEastAsia" w:hAnsiTheme="minorHAnsi" w:cstheme="minorBidi"/>
          <w:szCs w:val="22"/>
        </w:rPr>
      </w:pPr>
      <w:r>
        <w:t>136B.</w:t>
      </w:r>
      <w:r>
        <w:tab/>
        <w:t>Term used: court</w:t>
      </w:r>
      <w:r>
        <w:tab/>
      </w:r>
      <w:r>
        <w:fldChar w:fldCharType="begin"/>
      </w:r>
      <w:r>
        <w:instrText xml:space="preserve"> PAGEREF _Toc178257819 \h </w:instrText>
      </w:r>
      <w:r>
        <w:fldChar w:fldCharType="separate"/>
      </w:r>
      <w:r>
        <w:t>177</w:t>
      </w:r>
      <w:r>
        <w:fldChar w:fldCharType="end"/>
      </w:r>
    </w:p>
    <w:p>
      <w:pPr>
        <w:pStyle w:val="TOC8"/>
        <w:rPr>
          <w:rFonts w:asciiTheme="minorHAnsi" w:eastAsiaTheme="minorEastAsia" w:hAnsiTheme="minorHAnsi" w:cstheme="minorBidi"/>
          <w:szCs w:val="22"/>
        </w:rPr>
      </w:pPr>
      <w:r>
        <w:t>136C.</w:t>
      </w:r>
      <w:r>
        <w:tab/>
        <w:t>Court may direct offender on community order to appear</w:t>
      </w:r>
      <w:r>
        <w:tab/>
      </w:r>
      <w:r>
        <w:fldChar w:fldCharType="begin"/>
      </w:r>
      <w:r>
        <w:instrText xml:space="preserve"> PAGEREF _Toc178257820 \h </w:instrText>
      </w:r>
      <w:r>
        <w:fldChar w:fldCharType="separate"/>
      </w:r>
      <w:r>
        <w:t>177</w:t>
      </w:r>
      <w:r>
        <w:fldChar w:fldCharType="end"/>
      </w:r>
    </w:p>
    <w:p>
      <w:pPr>
        <w:pStyle w:val="TOC8"/>
        <w:rPr>
          <w:rFonts w:asciiTheme="minorHAnsi" w:eastAsiaTheme="minorEastAsia" w:hAnsiTheme="minorHAnsi" w:cstheme="minorBidi"/>
          <w:szCs w:val="22"/>
        </w:rPr>
      </w:pPr>
      <w:r>
        <w:t>136D.</w:t>
      </w:r>
      <w:r>
        <w:tab/>
        <w:t>Court to deal with re</w:t>
      </w:r>
      <w:r>
        <w:noBreakHyphen/>
        <w:t>offender</w:t>
      </w:r>
      <w:r>
        <w:tab/>
      </w:r>
      <w:r>
        <w:fldChar w:fldCharType="begin"/>
      </w:r>
      <w:r>
        <w:instrText xml:space="preserve"> PAGEREF _Toc178257821 \h </w:instrText>
      </w:r>
      <w:r>
        <w:fldChar w:fldCharType="separate"/>
      </w:r>
      <w:r>
        <w:t>178</w:t>
      </w:r>
      <w:r>
        <w:fldChar w:fldCharType="end"/>
      </w:r>
    </w:p>
    <w:p>
      <w:pPr>
        <w:pStyle w:val="TOC8"/>
        <w:rPr>
          <w:rFonts w:asciiTheme="minorHAnsi" w:eastAsiaTheme="minorEastAsia" w:hAnsiTheme="minorHAnsi" w:cstheme="minorBidi"/>
          <w:szCs w:val="22"/>
        </w:rPr>
      </w:pPr>
      <w:r>
        <w:t>136E.</w:t>
      </w:r>
      <w:r>
        <w:tab/>
        <w:t>Court to deal with application to amend or cancel community order</w:t>
      </w:r>
      <w:r>
        <w:tab/>
      </w:r>
      <w:r>
        <w:fldChar w:fldCharType="begin"/>
      </w:r>
      <w:r>
        <w:instrText xml:space="preserve"> PAGEREF _Toc178257822 \h </w:instrText>
      </w:r>
      <w:r>
        <w:fldChar w:fldCharType="separate"/>
      </w:r>
      <w:r>
        <w:t>178</w:t>
      </w:r>
      <w:r>
        <w:fldChar w:fldCharType="end"/>
      </w:r>
    </w:p>
    <w:p>
      <w:pPr>
        <w:pStyle w:val="TOC8"/>
        <w:rPr>
          <w:rFonts w:asciiTheme="minorHAnsi" w:eastAsiaTheme="minorEastAsia" w:hAnsiTheme="minorHAnsi" w:cstheme="minorBidi"/>
          <w:szCs w:val="22"/>
        </w:rPr>
      </w:pPr>
      <w:r>
        <w:lastRenderedPageBreak/>
        <w:t>136F.</w:t>
      </w:r>
      <w:r>
        <w:tab/>
        <w:t>Court to deal with proceedings for breaches</w:t>
      </w:r>
      <w:r>
        <w:tab/>
      </w:r>
      <w:r>
        <w:fldChar w:fldCharType="begin"/>
      </w:r>
      <w:r>
        <w:instrText xml:space="preserve"> PAGEREF _Toc178257823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Part 18A — Review of conditional orders</w:t>
      </w:r>
    </w:p>
    <w:p>
      <w:pPr>
        <w:pStyle w:val="TOC8"/>
        <w:rPr>
          <w:rFonts w:asciiTheme="minorHAnsi" w:eastAsiaTheme="minorEastAsia" w:hAnsiTheme="minorHAnsi" w:cstheme="minorBidi"/>
          <w:szCs w:val="22"/>
        </w:rPr>
      </w:pPr>
      <w:r>
        <w:t>136G.</w:t>
      </w:r>
      <w:r>
        <w:tab/>
        <w:t>Terms used</w:t>
      </w:r>
      <w:r>
        <w:tab/>
      </w:r>
      <w:r>
        <w:fldChar w:fldCharType="begin"/>
      </w:r>
      <w:r>
        <w:instrText xml:space="preserve"> PAGEREF _Toc178257825 \h </w:instrText>
      </w:r>
      <w:r>
        <w:fldChar w:fldCharType="separate"/>
      </w:r>
      <w:r>
        <w:t>180</w:t>
      </w:r>
      <w:r>
        <w:fldChar w:fldCharType="end"/>
      </w:r>
    </w:p>
    <w:p>
      <w:pPr>
        <w:pStyle w:val="TOC8"/>
        <w:rPr>
          <w:rFonts w:asciiTheme="minorHAnsi" w:eastAsiaTheme="minorEastAsia" w:hAnsiTheme="minorHAnsi" w:cstheme="minorBidi"/>
          <w:szCs w:val="22"/>
        </w:rPr>
      </w:pPr>
      <w:r>
        <w:t>136H.</w:t>
      </w:r>
      <w:r>
        <w:tab/>
        <w:t>Application to review</w:t>
      </w:r>
      <w:r>
        <w:tab/>
      </w:r>
      <w:r>
        <w:fldChar w:fldCharType="begin"/>
      </w:r>
      <w:r>
        <w:instrText xml:space="preserve"> PAGEREF _Toc178257826 \h </w:instrText>
      </w:r>
      <w:r>
        <w:fldChar w:fldCharType="separate"/>
      </w:r>
      <w:r>
        <w:t>180</w:t>
      </w:r>
      <w:r>
        <w:fldChar w:fldCharType="end"/>
      </w:r>
    </w:p>
    <w:p>
      <w:pPr>
        <w:pStyle w:val="TOC8"/>
        <w:rPr>
          <w:rFonts w:asciiTheme="minorHAnsi" w:eastAsiaTheme="minorEastAsia" w:hAnsiTheme="minorHAnsi" w:cstheme="minorBidi"/>
          <w:szCs w:val="22"/>
        </w:rPr>
      </w:pPr>
      <w:r>
        <w:t>136I.</w:t>
      </w:r>
      <w:r>
        <w:tab/>
        <w:t>Court may confirm, amend or cancel</w:t>
      </w:r>
      <w:r>
        <w:tab/>
      </w:r>
      <w:r>
        <w:fldChar w:fldCharType="begin"/>
      </w:r>
      <w:r>
        <w:instrText xml:space="preserve"> PAGEREF _Toc178257827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_Toc178257829 \h </w:instrText>
      </w:r>
      <w:r>
        <w:fldChar w:fldCharType="separate"/>
      </w:r>
      <w:r>
        <w:t>182</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_Toc178257830 \h </w:instrText>
      </w:r>
      <w:r>
        <w:fldChar w:fldCharType="separate"/>
      </w:r>
      <w:r>
        <w:t>182</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_Toc178257831 \h </w:instrText>
      </w:r>
      <w:r>
        <w:fldChar w:fldCharType="separate"/>
      </w:r>
      <w:r>
        <w:t>182</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_Toc178257832 \h </w:instrText>
      </w:r>
      <w:r>
        <w:fldChar w:fldCharType="separate"/>
      </w:r>
      <w:r>
        <w:t>182</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_Toc178257833 \h </w:instrText>
      </w:r>
      <w:r>
        <w:fldChar w:fldCharType="separate"/>
      </w:r>
      <w:r>
        <w:t>183</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_Toc178257834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_Toc178257836 \h </w:instrText>
      </w:r>
      <w:r>
        <w:fldChar w:fldCharType="separate"/>
      </w:r>
      <w:r>
        <w:t>185</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_Toc178257837 \h </w:instrText>
      </w:r>
      <w:r>
        <w:fldChar w:fldCharType="separate"/>
      </w:r>
      <w:r>
        <w:t>185</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_Toc178257838 \h </w:instrText>
      </w:r>
      <w:r>
        <w:fldChar w:fldCharType="separate"/>
      </w:r>
      <w:r>
        <w:t>186</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_Toc178257839 \h </w:instrText>
      </w:r>
      <w:r>
        <w:fldChar w:fldCharType="separate"/>
      </w:r>
      <w:r>
        <w:t>186</w:t>
      </w:r>
      <w:r>
        <w:fldChar w:fldCharType="end"/>
      </w:r>
    </w:p>
    <w:p>
      <w:pPr>
        <w:pStyle w:val="TOC8"/>
        <w:rPr>
          <w:rFonts w:asciiTheme="minorHAnsi" w:eastAsiaTheme="minorEastAsia" w:hAnsiTheme="minorHAnsi" w:cstheme="minorBidi"/>
          <w:szCs w:val="22"/>
        </w:rPr>
      </w:pPr>
      <w:r>
        <w:t>145A.</w:t>
      </w:r>
      <w:r>
        <w:tab/>
        <w:t>Existence of circumstances of aggravation is question for judge to determine</w:t>
      </w:r>
      <w:r>
        <w:tab/>
      </w:r>
      <w:r>
        <w:fldChar w:fldCharType="begin"/>
      </w:r>
      <w:r>
        <w:instrText xml:space="preserve"> PAGEREF _Toc178257840 \h </w:instrText>
      </w:r>
      <w:r>
        <w:fldChar w:fldCharType="separate"/>
      </w:r>
      <w:r>
        <w:t>186</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_Toc178257841 \h </w:instrText>
      </w:r>
      <w:r>
        <w:fldChar w:fldCharType="separate"/>
      </w:r>
      <w:r>
        <w:t>187</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_Toc178257842 \h </w:instrText>
      </w:r>
      <w:r>
        <w:fldChar w:fldCharType="separate"/>
      </w:r>
      <w:r>
        <w:t>187</w:t>
      </w:r>
      <w:r>
        <w:fldChar w:fldCharType="end"/>
      </w:r>
    </w:p>
    <w:p>
      <w:pPr>
        <w:pStyle w:val="TOC8"/>
        <w:rPr>
          <w:rFonts w:asciiTheme="minorHAnsi" w:eastAsiaTheme="minorEastAsia" w:hAnsiTheme="minorHAnsi" w:cstheme="minorBidi"/>
          <w:szCs w:val="22"/>
        </w:rPr>
      </w:pPr>
      <w:r>
        <w:t>147A.</w:t>
      </w:r>
      <w:r>
        <w:tab/>
        <w:t>Monitoring requirements: additional provisions</w:t>
      </w:r>
      <w:r>
        <w:tab/>
      </w:r>
      <w:r>
        <w:fldChar w:fldCharType="begin"/>
      </w:r>
      <w:r>
        <w:instrText xml:space="preserve"> PAGEREF _Toc178257843 \h </w:instrText>
      </w:r>
      <w:r>
        <w:fldChar w:fldCharType="separate"/>
      </w:r>
      <w:r>
        <w:t>187</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_Toc178257844 \h </w:instrText>
      </w:r>
      <w:r>
        <w:fldChar w:fldCharType="separate"/>
      </w:r>
      <w:r>
        <w:t>188</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_Toc178257845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_Toc178257847 \h </w:instrText>
      </w:r>
      <w:r>
        <w:fldChar w:fldCharType="separate"/>
      </w:r>
      <w:r>
        <w:t>189</w:t>
      </w:r>
      <w:r>
        <w:fldChar w:fldCharType="end"/>
      </w:r>
    </w:p>
    <w:p>
      <w:pPr>
        <w:pStyle w:val="TOC8"/>
        <w:rPr>
          <w:rFonts w:asciiTheme="minorHAnsi" w:eastAsiaTheme="minorEastAsia" w:hAnsiTheme="minorHAnsi" w:cstheme="minorBidi"/>
          <w:szCs w:val="22"/>
        </w:rPr>
      </w:pPr>
      <w:r>
        <w:lastRenderedPageBreak/>
        <w:t>150AB.</w:t>
      </w:r>
      <w:r>
        <w:tab/>
        <w:t xml:space="preserve">Application of </w:t>
      </w:r>
      <w:r>
        <w:rPr>
          <w:i/>
          <w:snapToGrid w:val="0"/>
        </w:rPr>
        <w:t>Sentencing Legislation Amendment Act 2016</w:t>
      </w:r>
      <w:r>
        <w:t xml:space="preserve"> amendments about circumstances of aggravation</w:t>
      </w:r>
      <w:r>
        <w:tab/>
      </w:r>
      <w:r>
        <w:fldChar w:fldCharType="begin"/>
      </w:r>
      <w:r>
        <w:instrText xml:space="preserve"> PAGEREF _Toc178257848 \h </w:instrText>
      </w:r>
      <w:r>
        <w:fldChar w:fldCharType="separate"/>
      </w:r>
      <w:r>
        <w:t>189</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_Toc178257849 \h </w:instrText>
      </w:r>
      <w:r>
        <w:fldChar w:fldCharType="separate"/>
      </w:r>
      <w:r>
        <w:t>190</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_Toc178257850 \h </w:instrText>
      </w:r>
      <w:r>
        <w:fldChar w:fldCharType="separate"/>
      </w:r>
      <w:r>
        <w:t>190</w:t>
      </w:r>
      <w:r>
        <w:fldChar w:fldCharType="end"/>
      </w:r>
    </w:p>
    <w:p>
      <w:pPr>
        <w:pStyle w:val="TOC8"/>
        <w:rPr>
          <w:rFonts w:asciiTheme="minorHAnsi" w:eastAsiaTheme="minorEastAsia" w:hAnsiTheme="minorHAnsi" w:cstheme="minorBidi"/>
          <w:szCs w:val="22"/>
        </w:rPr>
      </w:pPr>
      <w:r>
        <w:t>151.</w:t>
      </w:r>
      <w:r>
        <w:tab/>
        <w:t xml:space="preserve">Review of amendments made by </w:t>
      </w:r>
      <w:r>
        <w:rPr>
          <w:i/>
          <w:iCs/>
        </w:rPr>
        <w:t>Family Violence Legislation Reform Act 2020</w:t>
      </w:r>
      <w:r>
        <w:tab/>
      </w:r>
      <w:r>
        <w:fldChar w:fldCharType="begin"/>
      </w:r>
      <w:r>
        <w:instrText xml:space="preserve"> PAGEREF _Toc178257851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2"/>
        <w:tabs>
          <w:tab w:val="right" w:leader="dot" w:pos="7077"/>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_Toc178257857 \h </w:instrText>
      </w:r>
      <w:r>
        <w:fldChar w:fldCharType="separate"/>
      </w:r>
      <w:r>
        <w:t>207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_Toc178257858 \h </w:instrText>
      </w:r>
      <w:r>
        <w:fldChar w:fldCharType="separate"/>
      </w:r>
      <w:r>
        <w:t>215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_Toc178257859 \h </w:instrText>
      </w:r>
      <w:r>
        <w:fldChar w:fldCharType="separate"/>
      </w:r>
      <w:r>
        <w:t>216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2" w:name="_Toc178157872"/>
      <w:bookmarkStart w:id="3" w:name="_Toc178158322"/>
      <w:bookmarkStart w:id="4" w:name="_Toc178158622"/>
      <w:bookmarkStart w:id="5" w:name="_Toc17825756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178257562"/>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7" w:name="_Toc178257563"/>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8" w:name="_Toc178257564"/>
      <w:r>
        <w:rPr>
          <w:rStyle w:val="CharSectno"/>
        </w:rPr>
        <w:t>3</w:t>
      </w:r>
      <w:r>
        <w:rPr>
          <w:snapToGrid w:val="0"/>
        </w:rPr>
        <w:t>.</w:t>
      </w:r>
      <w:r>
        <w:rPr>
          <w:snapToGrid w:val="0"/>
        </w:rPr>
        <w:tab/>
        <w:t>Application of this Act</w:t>
      </w:r>
      <w:bookmarkEnd w:id="8"/>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9" w:name="_Toc178257565"/>
      <w:r>
        <w:rPr>
          <w:rStyle w:val="CharSectno"/>
        </w:rPr>
        <w:t>4A</w:t>
      </w:r>
      <w:r>
        <w:t>.</w:t>
      </w:r>
      <w:r>
        <w:tab/>
      </w:r>
      <w:r>
        <w:rPr>
          <w:i/>
        </w:rPr>
        <w:t>Courts and Tribunals (Electronic Processes Facilitation) Act 2013</w:t>
      </w:r>
      <w:r>
        <w:t xml:space="preserve"> Part 2 applies</w:t>
      </w:r>
      <w:bookmarkEnd w:id="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10" w:name="_Toc178257566"/>
      <w:r>
        <w:rPr>
          <w:rStyle w:val="CharSectno"/>
        </w:rPr>
        <w:lastRenderedPageBreak/>
        <w:t>4</w:t>
      </w:r>
      <w:r>
        <w:rPr>
          <w:snapToGrid w:val="0"/>
        </w:rPr>
        <w:t>.</w:t>
      </w:r>
      <w:r>
        <w:rPr>
          <w:snapToGrid w:val="0"/>
        </w:rPr>
        <w:tab/>
        <w:t>Terms used</w:t>
      </w:r>
      <w:bookmarkEnd w:id="10"/>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keepNext/>
      </w:pPr>
      <w:r>
        <w:lastRenderedPageBreak/>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spacing w:before="70"/>
      </w:pPr>
      <w:r>
        <w:rPr>
          <w:b/>
        </w:rPr>
        <w:tab/>
      </w:r>
      <w:r>
        <w:rPr>
          <w:rStyle w:val="CharDefText"/>
        </w:rPr>
        <w:t>disqualification order</w:t>
      </w:r>
      <w:r>
        <w:t xml:space="preserve"> means an order made under Part 15;</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family violence offence</w:t>
      </w:r>
      <w:r>
        <w:t xml:space="preserve"> means an offence where the offender and the victim are in a designated family relationship with each 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tab/>
        <w:t>(b)</w:t>
      </w:r>
      <w:r>
        <w:tab/>
        <w:t xml:space="preserve">an offence against </w:t>
      </w:r>
      <w:r>
        <w:rPr>
          <w:i/>
        </w:rPr>
        <w:t xml:space="preserve">The Criminal Code </w:t>
      </w:r>
      <w:r>
        <w:t>section 221BD, 279, 280, 281, 283, 292, 293, 294, 297, 298, 300, 301, 304, 313, 317, 317A, 323, 324, 325, 326, 328, 332, 333, 338A, 338B, 338C, 338E or 444;</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pPr>
      <w:r>
        <w:tab/>
      </w:r>
      <w:r>
        <w:rPr>
          <w:rStyle w:val="CharDefText"/>
        </w:rPr>
        <w:t>serial family violence offender</w:t>
      </w:r>
      <w:r>
        <w:t xml:space="preserve"> means a person who is a serial family violence offender under section 124E;</w:t>
      </w:r>
    </w:p>
    <w:p>
      <w:pPr>
        <w:pStyle w:val="Defstart"/>
        <w:spacing w:before="70"/>
      </w:pPr>
      <w:r>
        <w:lastRenderedPageBreak/>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pPr>
      <w:r>
        <w:tab/>
        <w:t>(1A)</w:t>
      </w:r>
      <w:r>
        <w:tab/>
        <w:t xml:space="preserve">For the purposes of the definition of </w:t>
      </w:r>
      <w:r>
        <w:rPr>
          <w:b/>
          <w:i/>
        </w:rPr>
        <w:t xml:space="preserve">designated family relationship </w:t>
      </w:r>
      <w:r>
        <w:t xml:space="preserve">in subsection (1),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(1B)</w:t>
      </w:r>
      <w:r>
        <w:tab/>
        <w:t xml:space="preserve">In deciding whether an intimate personal relationship exists under subsection (1A)(b),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lastRenderedPageBreak/>
        <w:tab/>
        <w:t>(c)</w:t>
      </w:r>
      <w:r>
        <w:tab/>
        <w:t xml:space="preserve">the frequency of contact between the persons; </w:t>
      </w:r>
    </w:p>
    <w:p>
      <w:pPr>
        <w:pStyle w:val="Indenta"/>
      </w:pPr>
      <w:r>
        <w:tab/>
        <w:t>(d)</w:t>
      </w:r>
      <w:r>
        <w:tab/>
        <w:t>the level of intimacy between the persons.</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 No. 30 of 2020 s. 14.]</w:t>
      </w:r>
    </w:p>
    <w:p>
      <w:pPr>
        <w:pStyle w:val="Heading5"/>
        <w:rPr>
          <w:snapToGrid w:val="0"/>
        </w:rPr>
      </w:pPr>
      <w:bookmarkStart w:id="11" w:name="_Toc178257567"/>
      <w:r>
        <w:rPr>
          <w:rStyle w:val="CharSectno"/>
        </w:rPr>
        <w:t>5</w:t>
      </w:r>
      <w:r>
        <w:rPr>
          <w:snapToGrid w:val="0"/>
        </w:rPr>
        <w:t>.</w:t>
      </w:r>
      <w:r>
        <w:rPr>
          <w:snapToGrid w:val="0"/>
        </w:rPr>
        <w:tab/>
        <w:t>Civil liability not affected</w:t>
      </w:r>
      <w:bookmarkEnd w:id="11"/>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2" w:name="_Toc178157879"/>
      <w:bookmarkStart w:id="13" w:name="_Toc178158329"/>
      <w:bookmarkStart w:id="14" w:name="_Toc178158629"/>
      <w:bookmarkStart w:id="15" w:name="_Toc178257568"/>
      <w:r>
        <w:rPr>
          <w:rStyle w:val="CharPartNo"/>
        </w:rPr>
        <w:lastRenderedPageBreak/>
        <w:t>Part 2</w:t>
      </w:r>
      <w:r>
        <w:t> — </w:t>
      </w:r>
      <w:r>
        <w:rPr>
          <w:rStyle w:val="CharPartText"/>
        </w:rPr>
        <w:t>General matters</w:t>
      </w:r>
      <w:bookmarkEnd w:id="12"/>
      <w:bookmarkEnd w:id="13"/>
      <w:bookmarkEnd w:id="14"/>
      <w:bookmarkEnd w:id="15"/>
    </w:p>
    <w:p>
      <w:pPr>
        <w:pStyle w:val="Heading3"/>
      </w:pPr>
      <w:bookmarkStart w:id="16" w:name="_Toc178157880"/>
      <w:bookmarkStart w:id="17" w:name="_Toc178158330"/>
      <w:bookmarkStart w:id="18" w:name="_Toc178158630"/>
      <w:bookmarkStart w:id="19" w:name="_Toc178257569"/>
      <w:r>
        <w:rPr>
          <w:rStyle w:val="CharDivNo"/>
        </w:rPr>
        <w:t>Division 1</w:t>
      </w:r>
      <w:r>
        <w:rPr>
          <w:snapToGrid w:val="0"/>
        </w:rPr>
        <w:t> — </w:t>
      </w:r>
      <w:r>
        <w:rPr>
          <w:rStyle w:val="CharDivText"/>
        </w:rPr>
        <w:t>Sentencing principles</w:t>
      </w:r>
      <w:bookmarkEnd w:id="16"/>
      <w:bookmarkEnd w:id="17"/>
      <w:bookmarkEnd w:id="18"/>
      <w:bookmarkEnd w:id="19"/>
    </w:p>
    <w:p>
      <w:pPr>
        <w:pStyle w:val="Heading5"/>
        <w:rPr>
          <w:snapToGrid w:val="0"/>
        </w:rPr>
      </w:pPr>
      <w:bookmarkStart w:id="20" w:name="_Toc178257570"/>
      <w:r>
        <w:rPr>
          <w:rStyle w:val="CharSectno"/>
        </w:rPr>
        <w:t>6</w:t>
      </w:r>
      <w:r>
        <w:rPr>
          <w:snapToGrid w:val="0"/>
        </w:rPr>
        <w:t>.</w:t>
      </w:r>
      <w:r>
        <w:rPr>
          <w:snapToGrid w:val="0"/>
        </w:rPr>
        <w:tab/>
        <w:t>Principles of sentencing</w:t>
      </w:r>
      <w:bookmarkEnd w:id="20"/>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21" w:name="_Toc178257571"/>
      <w:r>
        <w:rPr>
          <w:rStyle w:val="CharSectno"/>
        </w:rPr>
        <w:lastRenderedPageBreak/>
        <w:t>7</w:t>
      </w:r>
      <w:r>
        <w:rPr>
          <w:snapToGrid w:val="0"/>
        </w:rPr>
        <w:t>.</w:t>
      </w:r>
      <w:r>
        <w:rPr>
          <w:snapToGrid w:val="0"/>
        </w:rPr>
        <w:tab/>
        <w:t>Aggravating factors</w:t>
      </w:r>
      <w:bookmarkEnd w:id="21"/>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22" w:name="_Toc178257572"/>
      <w:r>
        <w:rPr>
          <w:rStyle w:val="CharSectno"/>
        </w:rPr>
        <w:t>8</w:t>
      </w:r>
      <w:r>
        <w:rPr>
          <w:snapToGrid w:val="0"/>
        </w:rPr>
        <w:t>.</w:t>
      </w:r>
      <w:r>
        <w:rPr>
          <w:snapToGrid w:val="0"/>
        </w:rPr>
        <w:tab/>
        <w:t>Mitigating factors</w:t>
      </w:r>
      <w:bookmarkEnd w:id="22"/>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keepNext/>
      </w:pPr>
      <w:r>
        <w:lastRenderedPageBreak/>
        <w:tab/>
        <w:t>(3B)</w:t>
      </w:r>
      <w:r>
        <w:tab/>
        <w:t xml:space="preserve">The following are not mitigating factors — </w:t>
      </w:r>
    </w:p>
    <w:p>
      <w:pPr>
        <w:pStyle w:val="Indenta"/>
      </w:pPr>
      <w:r>
        <w:tab/>
        <w:t>(a)</w:t>
      </w:r>
      <w:r>
        <w:tab/>
        <w:t xml:space="preserve">the fact that an exclusion order (as defined in the </w:t>
      </w:r>
      <w:r>
        <w:rPr>
          <w:i/>
        </w:rPr>
        <w:t>Liquor Control Act 1988</w:t>
      </w:r>
      <w:r>
        <w:t xml:space="preserve"> section 152NC) might be or has been made in respect of the offender, or the consequences for the offender of the order being made;</w:t>
      </w:r>
    </w:p>
    <w:p>
      <w:pPr>
        <w:pStyle w:val="Indenta"/>
      </w:pPr>
      <w:r>
        <w:tab/>
        <w:t>(b)</w:t>
      </w:r>
      <w:r>
        <w:tab/>
        <w:t xml:space="preserve">the fact that the offender is or will be an excluded offender (as defined in the </w:t>
      </w:r>
      <w:r>
        <w:rPr>
          <w:i/>
        </w:rPr>
        <w:t>Liquor Control Act 1988</w:t>
      </w:r>
      <w:r>
        <w:t xml:space="preserve"> section 152NZJ(2)), or the consequences for the offender of being an excluded offender under that Act.</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 No. 29 of 2020 s. 121; No. 44 of 2022 s. 24.]</w:t>
      </w:r>
    </w:p>
    <w:p>
      <w:pPr>
        <w:pStyle w:val="Heading5"/>
      </w:pPr>
      <w:bookmarkStart w:id="23" w:name="_Toc178257573"/>
      <w:r>
        <w:rPr>
          <w:rStyle w:val="CharSectno"/>
        </w:rPr>
        <w:lastRenderedPageBreak/>
        <w:t>9AA</w:t>
      </w:r>
      <w:r>
        <w:t>.</w:t>
      </w:r>
      <w:r>
        <w:tab/>
        <w:t>Plea of guilty, sentence may be reduced in case of</w:t>
      </w:r>
      <w:bookmarkEnd w:id="23"/>
    </w:p>
    <w:p>
      <w:pPr>
        <w:pStyle w:val="Subsection"/>
        <w:keepNext/>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24" w:name="_Toc178157885"/>
      <w:bookmarkStart w:id="25" w:name="_Toc178158335"/>
      <w:bookmarkStart w:id="26" w:name="_Toc178158635"/>
      <w:bookmarkStart w:id="27" w:name="_Toc178257574"/>
      <w:r>
        <w:rPr>
          <w:rStyle w:val="CharDivNo"/>
        </w:rPr>
        <w:lastRenderedPageBreak/>
        <w:t>Division 2A</w:t>
      </w:r>
      <w:r>
        <w:t> — </w:t>
      </w:r>
      <w:r>
        <w:rPr>
          <w:rStyle w:val="CharDivText"/>
        </w:rPr>
        <w:t>Sentencing where declared criminal organisations involved</w:t>
      </w:r>
      <w:bookmarkEnd w:id="24"/>
      <w:bookmarkEnd w:id="25"/>
      <w:bookmarkEnd w:id="26"/>
      <w:bookmarkEnd w:id="27"/>
    </w:p>
    <w:p>
      <w:pPr>
        <w:pStyle w:val="Footnoteheading"/>
      </w:pPr>
      <w:r>
        <w:tab/>
        <w:t>[Heading inserted: No. 49 of 2012 s. 181(2).]</w:t>
      </w:r>
    </w:p>
    <w:p>
      <w:pPr>
        <w:pStyle w:val="Heading5"/>
      </w:pPr>
      <w:bookmarkStart w:id="28" w:name="_Toc178257575"/>
      <w:r>
        <w:rPr>
          <w:rStyle w:val="CharSectno"/>
        </w:rPr>
        <w:t>9A</w:t>
      </w:r>
      <w:r>
        <w:t>.</w:t>
      </w:r>
      <w:r>
        <w:tab/>
        <w:t>Terms used</w:t>
      </w:r>
      <w:bookmarkEnd w:id="28"/>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29" w:name="_Toc178257576"/>
      <w:r>
        <w:rPr>
          <w:rStyle w:val="CharSectno"/>
        </w:rPr>
        <w:t>9B</w:t>
      </w:r>
      <w:r>
        <w:t>.</w:t>
      </w:r>
      <w:r>
        <w:tab/>
        <w:t>Application of this Division</w:t>
      </w:r>
      <w:bookmarkEnd w:id="29"/>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30" w:name="_Toc178257577"/>
      <w:r>
        <w:rPr>
          <w:rStyle w:val="CharSectno"/>
        </w:rPr>
        <w:t>9C</w:t>
      </w:r>
      <w:r>
        <w:t>.</w:t>
      </w:r>
      <w:r>
        <w:tab/>
        <w:t>Principal objectives of sentencing for offences where declared criminal organisation involved</w:t>
      </w:r>
      <w:bookmarkEnd w:id="30"/>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lastRenderedPageBreak/>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31" w:name="_Toc178257578"/>
      <w:r>
        <w:rPr>
          <w:rStyle w:val="CharSectno"/>
        </w:rPr>
        <w:t>9D</w:t>
      </w:r>
      <w:r>
        <w:t>.</w:t>
      </w:r>
      <w:r>
        <w:tab/>
        <w:t>Mandatory minimum sentences where declared criminal organisation involved</w:t>
      </w:r>
      <w:bookmarkEnd w:id="31"/>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keepNext/>
      </w:pPr>
      <w:r>
        <w:lastRenderedPageBreak/>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lastRenderedPageBreak/>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32" w:name="_Toc178257579"/>
      <w:r>
        <w:rPr>
          <w:rStyle w:val="CharSectno"/>
        </w:rPr>
        <w:t>9E</w:t>
      </w:r>
      <w:r>
        <w:t>.</w:t>
      </w:r>
      <w:r>
        <w:tab/>
        <w:t>Section 9D not applicable to persons aged under 18</w:t>
      </w:r>
      <w:bookmarkEnd w:id="32"/>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33" w:name="_Toc178257580"/>
      <w:r>
        <w:rPr>
          <w:rStyle w:val="CharSectno"/>
        </w:rPr>
        <w:t>9F</w:t>
      </w:r>
      <w:r>
        <w:t>.</w:t>
      </w:r>
      <w:r>
        <w:tab/>
        <w:t>Further provisions relating to mandatory minimum sentences imposed under section 9D</w:t>
      </w:r>
      <w:bookmarkEnd w:id="33"/>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34" w:name="_Toc178257581"/>
      <w:r>
        <w:rPr>
          <w:rStyle w:val="CharSectno"/>
        </w:rPr>
        <w:lastRenderedPageBreak/>
        <w:t>9G</w:t>
      </w:r>
      <w:r>
        <w:t>.</w:t>
      </w:r>
      <w:r>
        <w:tab/>
        <w:t>Eligibility for parole</w:t>
      </w:r>
      <w:bookmarkEnd w:id="34"/>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35" w:name="_Toc178157893"/>
      <w:bookmarkStart w:id="36" w:name="_Toc178158343"/>
      <w:bookmarkStart w:id="37" w:name="_Toc178158643"/>
      <w:bookmarkStart w:id="38" w:name="_Toc178257582"/>
      <w:r>
        <w:rPr>
          <w:rStyle w:val="CharDivNo"/>
        </w:rPr>
        <w:t>Division 2</w:t>
      </w:r>
      <w:r>
        <w:rPr>
          <w:snapToGrid w:val="0"/>
        </w:rPr>
        <w:t> — </w:t>
      </w:r>
      <w:r>
        <w:rPr>
          <w:rStyle w:val="CharDivText"/>
        </w:rPr>
        <w:t>Miscellaneous</w:t>
      </w:r>
      <w:bookmarkEnd w:id="35"/>
      <w:bookmarkEnd w:id="36"/>
      <w:bookmarkEnd w:id="37"/>
      <w:bookmarkEnd w:id="38"/>
    </w:p>
    <w:p>
      <w:pPr>
        <w:pStyle w:val="Heading5"/>
        <w:rPr>
          <w:snapToGrid w:val="0"/>
        </w:rPr>
      </w:pPr>
      <w:bookmarkStart w:id="39" w:name="_Toc178257583"/>
      <w:r>
        <w:rPr>
          <w:rStyle w:val="CharSectno"/>
        </w:rPr>
        <w:t>9</w:t>
      </w:r>
      <w:r>
        <w:rPr>
          <w:snapToGrid w:val="0"/>
        </w:rPr>
        <w:t>.</w:t>
      </w:r>
      <w:r>
        <w:rPr>
          <w:snapToGrid w:val="0"/>
        </w:rPr>
        <w:tab/>
        <w:t>Statutory penalty, effect of</w:t>
      </w:r>
      <w:bookmarkEnd w:id="39"/>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keepNext/>
        <w:rPr>
          <w:snapToGrid w:val="0"/>
        </w:rPr>
      </w:pPr>
      <w:r>
        <w:rPr>
          <w:snapToGrid w:val="0"/>
        </w:rPr>
        <w:lastRenderedPageBreak/>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40" w:name="_Toc178257584"/>
      <w:r>
        <w:rPr>
          <w:rStyle w:val="CharSectno"/>
        </w:rPr>
        <w:lastRenderedPageBreak/>
        <w:t>10</w:t>
      </w:r>
      <w:r>
        <w:rPr>
          <w:snapToGrid w:val="0"/>
        </w:rPr>
        <w:t>.</w:t>
      </w:r>
      <w:r>
        <w:rPr>
          <w:snapToGrid w:val="0"/>
        </w:rPr>
        <w:tab/>
        <w:t>Change of statutory penalty, effect of</w:t>
      </w:r>
      <w:bookmarkEnd w:id="40"/>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41" w:name="_Toc178257585"/>
      <w:r>
        <w:rPr>
          <w:rStyle w:val="CharSectno"/>
        </w:rPr>
        <w:t>11</w:t>
      </w:r>
      <w:r>
        <w:rPr>
          <w:snapToGrid w:val="0"/>
        </w:rPr>
        <w:t>.</w:t>
      </w:r>
      <w:r>
        <w:rPr>
          <w:snapToGrid w:val="0"/>
        </w:rPr>
        <w:tab/>
        <w:t>Person not to be sentenced twice on same evidence</w:t>
      </w:r>
      <w:bookmarkEnd w:id="41"/>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42" w:name="_Toc178257586"/>
      <w:r>
        <w:rPr>
          <w:rStyle w:val="CharSectno"/>
        </w:rPr>
        <w:t>12</w:t>
      </w:r>
      <w:r>
        <w:rPr>
          <w:snapToGrid w:val="0"/>
        </w:rPr>
        <w:t>.</w:t>
      </w:r>
      <w:r>
        <w:rPr>
          <w:snapToGrid w:val="0"/>
        </w:rPr>
        <w:tab/>
        <w:t>Common law bonds abolished</w:t>
      </w:r>
      <w:bookmarkEnd w:id="42"/>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43" w:name="_Toc178157898"/>
      <w:bookmarkStart w:id="44" w:name="_Toc178158348"/>
      <w:bookmarkStart w:id="45" w:name="_Toc178158648"/>
      <w:bookmarkStart w:id="46" w:name="_Toc178257587"/>
      <w:r>
        <w:rPr>
          <w:rStyle w:val="CharPartNo"/>
        </w:rPr>
        <w:lastRenderedPageBreak/>
        <w:t>Part 3</w:t>
      </w:r>
      <w:r>
        <w:t> — </w:t>
      </w:r>
      <w:r>
        <w:rPr>
          <w:rStyle w:val="CharPartText"/>
        </w:rPr>
        <w:t>Matters preliminary to sentencing</w:t>
      </w:r>
      <w:bookmarkEnd w:id="43"/>
      <w:bookmarkEnd w:id="44"/>
      <w:bookmarkEnd w:id="45"/>
      <w:bookmarkEnd w:id="46"/>
    </w:p>
    <w:p>
      <w:pPr>
        <w:pStyle w:val="Heading3"/>
      </w:pPr>
      <w:bookmarkStart w:id="47" w:name="_Toc178157899"/>
      <w:bookmarkStart w:id="48" w:name="_Toc178158349"/>
      <w:bookmarkStart w:id="49" w:name="_Toc178158649"/>
      <w:bookmarkStart w:id="50" w:name="_Toc178257588"/>
      <w:r>
        <w:rPr>
          <w:rStyle w:val="CharDivNo"/>
        </w:rPr>
        <w:t>Division 1</w:t>
      </w:r>
      <w:r>
        <w:rPr>
          <w:snapToGrid w:val="0"/>
        </w:rPr>
        <w:t> — </w:t>
      </w:r>
      <w:r>
        <w:rPr>
          <w:rStyle w:val="CharDivText"/>
        </w:rPr>
        <w:t>Preliminary</w:t>
      </w:r>
      <w:bookmarkEnd w:id="47"/>
      <w:bookmarkEnd w:id="48"/>
      <w:bookmarkEnd w:id="49"/>
      <w:bookmarkEnd w:id="50"/>
    </w:p>
    <w:p>
      <w:pPr>
        <w:pStyle w:val="Heading5"/>
        <w:rPr>
          <w:snapToGrid w:val="0"/>
        </w:rPr>
      </w:pPr>
      <w:bookmarkStart w:id="51" w:name="_Toc178257589"/>
      <w:r>
        <w:rPr>
          <w:rStyle w:val="CharSectno"/>
        </w:rPr>
        <w:t>13</w:t>
      </w:r>
      <w:r>
        <w:rPr>
          <w:snapToGrid w:val="0"/>
        </w:rPr>
        <w:t>.</w:t>
      </w:r>
      <w:r>
        <w:rPr>
          <w:snapToGrid w:val="0"/>
        </w:rPr>
        <w:tab/>
        <w:t>Term used: victim</w:t>
      </w:r>
      <w:bookmarkEnd w:id="51"/>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52" w:name="_Toc178157901"/>
      <w:bookmarkStart w:id="53" w:name="_Toc178158351"/>
      <w:bookmarkStart w:id="54" w:name="_Toc178158651"/>
      <w:bookmarkStart w:id="55" w:name="_Toc178257590"/>
      <w:r>
        <w:rPr>
          <w:rStyle w:val="CharDivNo"/>
        </w:rPr>
        <w:t>Division 2</w:t>
      </w:r>
      <w:r>
        <w:rPr>
          <w:snapToGrid w:val="0"/>
        </w:rPr>
        <w:t> — </w:t>
      </w:r>
      <w:r>
        <w:rPr>
          <w:rStyle w:val="CharDivText"/>
        </w:rPr>
        <w:t>General</w:t>
      </w:r>
      <w:bookmarkEnd w:id="52"/>
      <w:bookmarkEnd w:id="53"/>
      <w:bookmarkEnd w:id="54"/>
      <w:bookmarkEnd w:id="55"/>
    </w:p>
    <w:p>
      <w:pPr>
        <w:pStyle w:val="Heading5"/>
        <w:spacing w:before="240"/>
        <w:rPr>
          <w:snapToGrid w:val="0"/>
        </w:rPr>
      </w:pPr>
      <w:bookmarkStart w:id="56" w:name="_Toc178257591"/>
      <w:r>
        <w:rPr>
          <w:rStyle w:val="CharSectno"/>
        </w:rPr>
        <w:t>14</w:t>
      </w:r>
      <w:r>
        <w:rPr>
          <w:snapToGrid w:val="0"/>
        </w:rPr>
        <w:t>.</w:t>
      </w:r>
      <w:r>
        <w:rPr>
          <w:snapToGrid w:val="0"/>
        </w:rPr>
        <w:tab/>
        <w:t>Offender to be present for sentencing </w:t>
      </w:r>
      <w:r>
        <w:rPr>
          <w:vertAlign w:val="superscript"/>
        </w:rPr>
        <w:t>2M</w:t>
      </w:r>
      <w:bookmarkEnd w:id="56"/>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keepNext/>
        <w:rPr>
          <w:snapToGrid w:val="0"/>
        </w:rPr>
      </w:pPr>
      <w:r>
        <w:rPr>
          <w:snapToGrid w:val="0"/>
        </w:rPr>
        <w:tab/>
        <w:t>(3)</w:t>
      </w:r>
      <w:r>
        <w:rPr>
          <w:snapToGrid w:val="0"/>
        </w:rPr>
        <w:tab/>
        <w:t xml:space="preserve">Despite subsection (1), a court may sentence an offender in his or her absence if the offender is in custody and the proceedings, </w:t>
      </w:r>
      <w:r>
        <w:rPr>
          <w:snapToGrid w:val="0"/>
        </w:rPr>
        <w:lastRenderedPageBreak/>
        <w:t>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Footnotesection"/>
      </w:pPr>
      <w:r>
        <w:tab/>
        <w:t>[Section 14: modified by the COVID-19 Response and Economic Recovery Omnibus Act 2020 (34 of 2020) Part. 4 Division 4 Subdivision 1: See endnote 2M.]</w:t>
      </w:r>
    </w:p>
    <w:p>
      <w:pPr>
        <w:pStyle w:val="Heading5"/>
        <w:spacing w:before="180"/>
      </w:pPr>
      <w:bookmarkStart w:id="57" w:name="_Toc178257592"/>
      <w:r>
        <w:rPr>
          <w:rStyle w:val="CharSectno"/>
        </w:rPr>
        <w:t>14A</w:t>
      </w:r>
      <w:r>
        <w:t>.</w:t>
      </w:r>
      <w:r>
        <w:tab/>
        <w:t>Video link, use of for sentencing</w:t>
      </w:r>
      <w:bookmarkEnd w:id="57"/>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keepNext/>
        <w:spacing w:before="120"/>
      </w:pPr>
      <w:r>
        <w:lastRenderedPageBreak/>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Ednotesection"/>
      </w:pPr>
      <w:r>
        <w:t>[</w:t>
      </w:r>
      <w:r>
        <w:rPr>
          <w:b/>
          <w:bCs/>
        </w:rPr>
        <w:t>14B.</w:t>
      </w:r>
      <w:r>
        <w:rPr>
          <w:i w:val="0"/>
          <w:iCs/>
          <w:vertAlign w:val="superscript"/>
        </w:rPr>
        <w:t xml:space="preserve"> 2M</w:t>
      </w:r>
      <w:r>
        <w:tab/>
        <w:t>Modified by the COVID-19 Response and Economic Recovery Omnibus Act 2020 (34 of 2020) Part. 4 Division 4 Subdivision 1: See endnote 2M.]</w:t>
      </w:r>
    </w:p>
    <w:p>
      <w:pPr>
        <w:pStyle w:val="Heading5"/>
        <w:keepLines w:val="0"/>
        <w:rPr>
          <w:snapToGrid w:val="0"/>
        </w:rPr>
      </w:pPr>
      <w:bookmarkStart w:id="58" w:name="_Toc178257593"/>
      <w:r>
        <w:rPr>
          <w:rStyle w:val="CharSectno"/>
        </w:rPr>
        <w:t>15</w:t>
      </w:r>
      <w:r>
        <w:rPr>
          <w:snapToGrid w:val="0"/>
        </w:rPr>
        <w:t>.</w:t>
      </w:r>
      <w:r>
        <w:rPr>
          <w:snapToGrid w:val="0"/>
        </w:rPr>
        <w:tab/>
        <w:t>Court may inform itself as it thinks fit</w:t>
      </w:r>
      <w:bookmarkEnd w:id="58"/>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59" w:name="_Toc178257594"/>
      <w:r>
        <w:rPr>
          <w:rStyle w:val="CharSectno"/>
        </w:rPr>
        <w:t>16</w:t>
      </w:r>
      <w:r>
        <w:rPr>
          <w:snapToGrid w:val="0"/>
        </w:rPr>
        <w:t>.</w:t>
      </w:r>
      <w:r>
        <w:rPr>
          <w:snapToGrid w:val="0"/>
        </w:rPr>
        <w:tab/>
        <w:t>Adjourning sentencing</w:t>
      </w:r>
      <w:bookmarkEnd w:id="59"/>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 xml:space="preserve">Criminal Property </w:t>
      </w:r>
      <w:r>
        <w:rPr>
          <w:i/>
        </w:rPr>
        <w:lastRenderedPageBreak/>
        <w:t>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60" w:name="_Toc178257595"/>
      <w:r>
        <w:rPr>
          <w:rStyle w:val="CharSectno"/>
        </w:rPr>
        <w:t>17</w:t>
      </w:r>
      <w:r>
        <w:rPr>
          <w:snapToGrid w:val="0"/>
        </w:rPr>
        <w:t>.</w:t>
      </w:r>
      <w:r>
        <w:rPr>
          <w:snapToGrid w:val="0"/>
        </w:rPr>
        <w:tab/>
        <w:t>Court’s powers on adjourning</w:t>
      </w:r>
      <w:bookmarkEnd w:id="60"/>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61" w:name="_Toc178257596"/>
      <w:r>
        <w:rPr>
          <w:rStyle w:val="CharSectno"/>
        </w:rPr>
        <w:t>18</w:t>
      </w:r>
      <w:r>
        <w:rPr>
          <w:snapToGrid w:val="0"/>
        </w:rPr>
        <w:t>.</w:t>
      </w:r>
      <w:r>
        <w:rPr>
          <w:snapToGrid w:val="0"/>
        </w:rPr>
        <w:tab/>
        <w:t>Committal for sentence</w:t>
      </w:r>
      <w:bookmarkEnd w:id="61"/>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62" w:name="_Toc178157908"/>
      <w:bookmarkStart w:id="63" w:name="_Toc178158358"/>
      <w:bookmarkStart w:id="64" w:name="_Toc178158658"/>
      <w:bookmarkStart w:id="65" w:name="_Toc178257597"/>
      <w:r>
        <w:rPr>
          <w:rStyle w:val="CharDivNo"/>
        </w:rPr>
        <w:lastRenderedPageBreak/>
        <w:t>Division 3</w:t>
      </w:r>
      <w:r>
        <w:rPr>
          <w:snapToGrid w:val="0"/>
        </w:rPr>
        <w:t> — </w:t>
      </w:r>
      <w:r>
        <w:rPr>
          <w:rStyle w:val="CharDivText"/>
        </w:rPr>
        <w:t>Information about the offender</w:t>
      </w:r>
      <w:bookmarkEnd w:id="62"/>
      <w:bookmarkEnd w:id="63"/>
      <w:bookmarkEnd w:id="64"/>
      <w:bookmarkEnd w:id="65"/>
    </w:p>
    <w:p>
      <w:pPr>
        <w:pStyle w:val="Heading5"/>
        <w:rPr>
          <w:snapToGrid w:val="0"/>
        </w:rPr>
      </w:pPr>
      <w:bookmarkStart w:id="66" w:name="_Toc178257598"/>
      <w:r>
        <w:rPr>
          <w:rStyle w:val="CharSectno"/>
        </w:rPr>
        <w:t>20</w:t>
      </w:r>
      <w:r>
        <w:rPr>
          <w:snapToGrid w:val="0"/>
        </w:rPr>
        <w:t>.</w:t>
      </w:r>
      <w:r>
        <w:rPr>
          <w:snapToGrid w:val="0"/>
        </w:rPr>
        <w:tab/>
        <w:t>Pre</w:t>
      </w:r>
      <w:r>
        <w:rPr>
          <w:snapToGrid w:val="0"/>
        </w:rPr>
        <w:noBreakHyphen/>
        <w:t>sentence report, court may order</w:t>
      </w:r>
      <w:bookmarkEnd w:id="66"/>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67" w:name="_Toc178257599"/>
      <w:r>
        <w:rPr>
          <w:rStyle w:val="CharSectno"/>
        </w:rPr>
        <w:t>21</w:t>
      </w:r>
      <w:r>
        <w:rPr>
          <w:snapToGrid w:val="0"/>
        </w:rPr>
        <w:t>.</w:t>
      </w:r>
      <w:r>
        <w:rPr>
          <w:snapToGrid w:val="0"/>
        </w:rPr>
        <w:tab/>
        <w:t>Pre</w:t>
      </w:r>
      <w:r>
        <w:rPr>
          <w:snapToGrid w:val="0"/>
        </w:rPr>
        <w:noBreakHyphen/>
        <w:t>sentence report, content of</w:t>
      </w:r>
      <w:bookmarkEnd w:id="67"/>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lastRenderedPageBreak/>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68" w:name="_Toc178257600"/>
      <w:r>
        <w:rPr>
          <w:rStyle w:val="CharSectno"/>
        </w:rPr>
        <w:t>22</w:t>
      </w:r>
      <w:r>
        <w:rPr>
          <w:snapToGrid w:val="0"/>
        </w:rPr>
        <w:t>.</w:t>
      </w:r>
      <w:r>
        <w:rPr>
          <w:snapToGrid w:val="0"/>
        </w:rPr>
        <w:tab/>
        <w:t>Pre</w:t>
      </w:r>
      <w:r>
        <w:rPr>
          <w:snapToGrid w:val="0"/>
        </w:rPr>
        <w:noBreakHyphen/>
        <w:t>sentence report, preparation of</w:t>
      </w:r>
      <w:bookmarkEnd w:id="68"/>
    </w:p>
    <w:p>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69" w:name="_Toc178257601"/>
      <w:r>
        <w:rPr>
          <w:rStyle w:val="CharSectno"/>
        </w:rPr>
        <w:t>23</w:t>
      </w:r>
      <w:r>
        <w:rPr>
          <w:snapToGrid w:val="0"/>
        </w:rPr>
        <w:t>.</w:t>
      </w:r>
      <w:r>
        <w:rPr>
          <w:snapToGrid w:val="0"/>
        </w:rPr>
        <w:tab/>
        <w:t>Offender’s time in custody etc., information about</w:t>
      </w:r>
      <w:bookmarkEnd w:id="69"/>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 xml:space="preserve">If when an offender is being sentenced, he or she is already serving or sentenced to serve a term or terms of imprisonment, </w:t>
      </w:r>
      <w:r>
        <w:rPr>
          <w:snapToGrid w:val="0"/>
        </w:rPr>
        <w:lastRenderedPageBreak/>
        <w:t>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spacing w:before="220"/>
      </w:pPr>
      <w:bookmarkStart w:id="70" w:name="_Toc178157913"/>
      <w:bookmarkStart w:id="71" w:name="_Toc178158363"/>
      <w:bookmarkStart w:id="72" w:name="_Toc178158663"/>
      <w:bookmarkStart w:id="73" w:name="_Toc178257602"/>
      <w:r>
        <w:rPr>
          <w:rStyle w:val="CharDivNo"/>
        </w:rPr>
        <w:t>Division 4</w:t>
      </w:r>
      <w:r>
        <w:rPr>
          <w:snapToGrid w:val="0"/>
        </w:rPr>
        <w:t> — </w:t>
      </w:r>
      <w:r>
        <w:rPr>
          <w:rStyle w:val="CharDivText"/>
        </w:rPr>
        <w:t>Information about victims etc.</w:t>
      </w:r>
      <w:bookmarkEnd w:id="70"/>
      <w:bookmarkEnd w:id="71"/>
      <w:bookmarkEnd w:id="72"/>
      <w:bookmarkEnd w:id="73"/>
    </w:p>
    <w:p>
      <w:pPr>
        <w:pStyle w:val="Heading5"/>
      </w:pPr>
      <w:bookmarkStart w:id="74" w:name="_Toc178257603"/>
      <w:r>
        <w:rPr>
          <w:rStyle w:val="CharSectno"/>
        </w:rPr>
        <w:t>23A</w:t>
      </w:r>
      <w:r>
        <w:t>.</w:t>
      </w:r>
      <w:r>
        <w:tab/>
        <w:t>Terms used</w:t>
      </w:r>
      <w:bookmarkEnd w:id="74"/>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lastRenderedPageBreak/>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keepNext/>
      </w:pPr>
      <w:r>
        <w:lastRenderedPageBreak/>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75" w:name="_Toc178257604"/>
      <w:r>
        <w:rPr>
          <w:rStyle w:val="CharSectno"/>
        </w:rPr>
        <w:t>24</w:t>
      </w:r>
      <w:r>
        <w:rPr>
          <w:snapToGrid w:val="0"/>
        </w:rPr>
        <w:t>.</w:t>
      </w:r>
      <w:r>
        <w:rPr>
          <w:snapToGrid w:val="0"/>
        </w:rPr>
        <w:tab/>
        <w:t>Victim impact statement, who may give</w:t>
      </w:r>
      <w:bookmarkEnd w:id="75"/>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76" w:name="_Toc178257605"/>
      <w:r>
        <w:rPr>
          <w:rStyle w:val="CharSectno"/>
        </w:rPr>
        <w:t>25</w:t>
      </w:r>
      <w:r>
        <w:rPr>
          <w:snapToGrid w:val="0"/>
        </w:rPr>
        <w:t>.</w:t>
      </w:r>
      <w:r>
        <w:rPr>
          <w:snapToGrid w:val="0"/>
        </w:rPr>
        <w:tab/>
        <w:t>Victim impact statement, content of</w:t>
      </w:r>
      <w:bookmarkEnd w:id="76"/>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77" w:name="_Toc178257606"/>
      <w:r>
        <w:rPr>
          <w:rStyle w:val="CharSectno"/>
        </w:rPr>
        <w:t>26</w:t>
      </w:r>
      <w:r>
        <w:rPr>
          <w:snapToGrid w:val="0"/>
        </w:rPr>
        <w:t>.</w:t>
      </w:r>
      <w:r>
        <w:rPr>
          <w:snapToGrid w:val="0"/>
        </w:rPr>
        <w:tab/>
        <w:t>Court’s functions in relation to victim impact statement</w:t>
      </w:r>
      <w:bookmarkEnd w:id="77"/>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keepNext/>
      </w:pPr>
      <w:r>
        <w:tab/>
        <w:t>(3)</w:t>
      </w:r>
      <w:r>
        <w:tab/>
        <w:t xml:space="preserve">A court must, after imposing a sentence of imprisonment on an offender, make available to the Prisoners Review Board a copy </w:t>
      </w:r>
      <w:r>
        <w:lastRenderedPageBreak/>
        <w:t>of any victim impact statement given to the court under section 24.</w:t>
      </w:r>
    </w:p>
    <w:p>
      <w:pPr>
        <w:pStyle w:val="Footnotesection"/>
      </w:pPr>
      <w:r>
        <w:tab/>
        <w:t>[Section 26 amended: No. 45 of 2016 s. 55.]</w:t>
      </w:r>
    </w:p>
    <w:p>
      <w:pPr>
        <w:pStyle w:val="Heading3"/>
      </w:pPr>
      <w:bookmarkStart w:id="78" w:name="_Toc178157918"/>
      <w:bookmarkStart w:id="79" w:name="_Toc178158368"/>
      <w:bookmarkStart w:id="80" w:name="_Toc178158668"/>
      <w:bookmarkStart w:id="81" w:name="_Toc178257607"/>
      <w:r>
        <w:rPr>
          <w:rStyle w:val="CharDivNo"/>
        </w:rPr>
        <w:t>Division 5</w:t>
      </w:r>
      <w:r>
        <w:rPr>
          <w:snapToGrid w:val="0"/>
        </w:rPr>
        <w:t> — </w:t>
      </w:r>
      <w:r>
        <w:rPr>
          <w:rStyle w:val="CharDivText"/>
        </w:rPr>
        <w:t>Mediation</w:t>
      </w:r>
      <w:bookmarkEnd w:id="78"/>
      <w:bookmarkEnd w:id="79"/>
      <w:bookmarkEnd w:id="80"/>
      <w:bookmarkEnd w:id="81"/>
    </w:p>
    <w:p>
      <w:pPr>
        <w:pStyle w:val="Heading5"/>
        <w:rPr>
          <w:snapToGrid w:val="0"/>
        </w:rPr>
      </w:pPr>
      <w:bookmarkStart w:id="82" w:name="_Toc178257608"/>
      <w:r>
        <w:rPr>
          <w:rStyle w:val="CharSectno"/>
        </w:rPr>
        <w:t>27</w:t>
      </w:r>
      <w:r>
        <w:rPr>
          <w:snapToGrid w:val="0"/>
        </w:rPr>
        <w:t>.</w:t>
      </w:r>
      <w:r>
        <w:rPr>
          <w:snapToGrid w:val="0"/>
        </w:rPr>
        <w:tab/>
        <w:t>Mediation report, court may order and receive</w:t>
      </w:r>
      <w:bookmarkEnd w:id="82"/>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83" w:name="_Toc178257609"/>
      <w:r>
        <w:rPr>
          <w:rStyle w:val="CharSectno"/>
        </w:rPr>
        <w:t>28</w:t>
      </w:r>
      <w:r>
        <w:rPr>
          <w:snapToGrid w:val="0"/>
        </w:rPr>
        <w:t>.</w:t>
      </w:r>
      <w:r>
        <w:rPr>
          <w:snapToGrid w:val="0"/>
        </w:rPr>
        <w:tab/>
        <w:t>Mediation report, content of</w:t>
      </w:r>
      <w:bookmarkEnd w:id="83"/>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84" w:name="_Toc178257610"/>
      <w:r>
        <w:rPr>
          <w:rStyle w:val="CharSectno"/>
        </w:rPr>
        <w:t>29</w:t>
      </w:r>
      <w:r>
        <w:rPr>
          <w:snapToGrid w:val="0"/>
        </w:rPr>
        <w:t>.</w:t>
      </w:r>
      <w:r>
        <w:rPr>
          <w:snapToGrid w:val="0"/>
        </w:rPr>
        <w:tab/>
        <w:t>Mediation report, preparation of</w:t>
      </w:r>
      <w:bookmarkEnd w:id="84"/>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keepNext/>
        <w:spacing w:before="60"/>
        <w:rPr>
          <w:snapToGrid w:val="0"/>
        </w:rPr>
      </w:pPr>
      <w:r>
        <w:rPr>
          <w:snapToGrid w:val="0"/>
        </w:rPr>
        <w:lastRenderedPageBreak/>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85" w:name="_Toc178257611"/>
      <w:r>
        <w:rPr>
          <w:rStyle w:val="CharSectno"/>
        </w:rPr>
        <w:t>30</w:t>
      </w:r>
      <w:r>
        <w:rPr>
          <w:snapToGrid w:val="0"/>
        </w:rPr>
        <w:t>.</w:t>
      </w:r>
      <w:r>
        <w:rPr>
          <w:snapToGrid w:val="0"/>
        </w:rPr>
        <w:tab/>
        <w:t>Mediation report, court’s powers as to</w:t>
      </w:r>
      <w:bookmarkEnd w:id="85"/>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86" w:name="_Toc178157923"/>
      <w:bookmarkStart w:id="87" w:name="_Toc178158373"/>
      <w:bookmarkStart w:id="88" w:name="_Toc178158673"/>
      <w:bookmarkStart w:id="89" w:name="_Toc178257612"/>
      <w:r>
        <w:rPr>
          <w:rStyle w:val="CharDivNo"/>
        </w:rPr>
        <w:t>Division 6</w:t>
      </w:r>
      <w:r>
        <w:rPr>
          <w:snapToGrid w:val="0"/>
        </w:rPr>
        <w:t> — </w:t>
      </w:r>
      <w:r>
        <w:rPr>
          <w:rStyle w:val="CharDivText"/>
        </w:rPr>
        <w:t>Other pending charges</w:t>
      </w:r>
      <w:bookmarkEnd w:id="86"/>
      <w:bookmarkEnd w:id="87"/>
      <w:bookmarkEnd w:id="88"/>
      <w:bookmarkEnd w:id="89"/>
    </w:p>
    <w:p>
      <w:pPr>
        <w:pStyle w:val="Heading5"/>
        <w:rPr>
          <w:snapToGrid w:val="0"/>
        </w:rPr>
      </w:pPr>
      <w:bookmarkStart w:id="90" w:name="_Toc178257613"/>
      <w:r>
        <w:rPr>
          <w:rStyle w:val="CharSectno"/>
        </w:rPr>
        <w:t>31</w:t>
      </w:r>
      <w:r>
        <w:rPr>
          <w:snapToGrid w:val="0"/>
        </w:rPr>
        <w:t>.</w:t>
      </w:r>
      <w:r>
        <w:rPr>
          <w:snapToGrid w:val="0"/>
        </w:rPr>
        <w:tab/>
        <w:t>Term used: pending charge</w:t>
      </w:r>
      <w:bookmarkEnd w:id="90"/>
    </w:p>
    <w:p>
      <w:pPr>
        <w:pStyle w:val="Subsection"/>
        <w:keepNext/>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91" w:name="_Toc178257614"/>
      <w:r>
        <w:rPr>
          <w:rStyle w:val="CharSectno"/>
        </w:rPr>
        <w:t>32</w:t>
      </w:r>
      <w:r>
        <w:rPr>
          <w:snapToGrid w:val="0"/>
        </w:rPr>
        <w:t>.</w:t>
      </w:r>
      <w:r>
        <w:rPr>
          <w:snapToGrid w:val="0"/>
        </w:rPr>
        <w:tab/>
        <w:t>Pending charges, offender may request court to deal with</w:t>
      </w:r>
      <w:bookmarkEnd w:id="91"/>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lastRenderedPageBreak/>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92" w:name="_Toc178257615"/>
      <w:r>
        <w:rPr>
          <w:rStyle w:val="CharSectno"/>
        </w:rPr>
        <w:t>33</w:t>
      </w:r>
      <w:r>
        <w:rPr>
          <w:snapToGrid w:val="0"/>
        </w:rPr>
        <w:t>.</w:t>
      </w:r>
      <w:r>
        <w:rPr>
          <w:snapToGrid w:val="0"/>
        </w:rPr>
        <w:tab/>
        <w:t>Pending charges, court may deal with</w:t>
      </w:r>
      <w:bookmarkEnd w:id="92"/>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93" w:name="_Toc178157927"/>
      <w:bookmarkStart w:id="94" w:name="_Toc178158377"/>
      <w:bookmarkStart w:id="95" w:name="_Toc178158677"/>
      <w:bookmarkStart w:id="96" w:name="_Toc178257616"/>
      <w:r>
        <w:rPr>
          <w:rStyle w:val="CharPartNo"/>
        </w:rPr>
        <w:lastRenderedPageBreak/>
        <w:t>Part 3A</w:t>
      </w:r>
      <w:r>
        <w:t> — </w:t>
      </w:r>
      <w:r>
        <w:rPr>
          <w:rStyle w:val="CharPartText"/>
        </w:rPr>
        <w:t>Pre</w:t>
      </w:r>
      <w:r>
        <w:rPr>
          <w:rStyle w:val="CharPartText"/>
        </w:rPr>
        <w:noBreakHyphen/>
        <w:t>sentence order</w:t>
      </w:r>
      <w:bookmarkEnd w:id="93"/>
      <w:bookmarkEnd w:id="94"/>
      <w:bookmarkEnd w:id="95"/>
      <w:bookmarkEnd w:id="96"/>
    </w:p>
    <w:p>
      <w:pPr>
        <w:pStyle w:val="Footnoteheading"/>
        <w:tabs>
          <w:tab w:val="left" w:pos="851"/>
        </w:tabs>
      </w:pPr>
      <w:r>
        <w:tab/>
        <w:t>[Heading inserted: No. 50 of 2003 s. 6.]</w:t>
      </w:r>
    </w:p>
    <w:p>
      <w:pPr>
        <w:pStyle w:val="Heading3"/>
      </w:pPr>
      <w:bookmarkStart w:id="97" w:name="_Toc178157928"/>
      <w:bookmarkStart w:id="98" w:name="_Toc178158378"/>
      <w:bookmarkStart w:id="99" w:name="_Toc178158678"/>
      <w:bookmarkStart w:id="100" w:name="_Toc178257617"/>
      <w:r>
        <w:rPr>
          <w:rStyle w:val="CharDivNo"/>
        </w:rPr>
        <w:t>Division 1</w:t>
      </w:r>
      <w:r>
        <w:t> — </w:t>
      </w:r>
      <w:r>
        <w:rPr>
          <w:rStyle w:val="CharDivText"/>
        </w:rPr>
        <w:t>General</w:t>
      </w:r>
      <w:bookmarkEnd w:id="97"/>
      <w:bookmarkEnd w:id="98"/>
      <w:bookmarkEnd w:id="99"/>
      <w:bookmarkEnd w:id="100"/>
    </w:p>
    <w:p>
      <w:pPr>
        <w:pStyle w:val="Footnoteheading"/>
        <w:tabs>
          <w:tab w:val="left" w:pos="851"/>
        </w:tabs>
      </w:pPr>
      <w:r>
        <w:tab/>
        <w:t>[Heading inserted: No. 50 of 2003 s. 6.]</w:t>
      </w:r>
    </w:p>
    <w:p>
      <w:pPr>
        <w:pStyle w:val="Heading5"/>
        <w:spacing w:before="240"/>
      </w:pPr>
      <w:bookmarkStart w:id="101" w:name="_Toc178257618"/>
      <w:r>
        <w:rPr>
          <w:rStyle w:val="CharSectno"/>
        </w:rPr>
        <w:t>33A</w:t>
      </w:r>
      <w:r>
        <w:t>.</w:t>
      </w:r>
      <w:r>
        <w:tab/>
        <w:t>When PSO may be made</w:t>
      </w:r>
      <w:bookmarkEnd w:id="101"/>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lastRenderedPageBreak/>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102" w:name="_Toc178257619"/>
      <w:r>
        <w:rPr>
          <w:rStyle w:val="CharSectno"/>
        </w:rPr>
        <w:t>33B</w:t>
      </w:r>
      <w:r>
        <w:t>.</w:t>
      </w:r>
      <w:r>
        <w:tab/>
        <w:t>PSO, nature of</w:t>
      </w:r>
      <w:bookmarkEnd w:id="102"/>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lastRenderedPageBreak/>
        <w:tab/>
        <w:t>(b)</w:t>
      </w:r>
      <w:r>
        <w:tab/>
        <w:t>while the PSO is in force the offender must comply with —</w:t>
      </w:r>
    </w:p>
    <w:p>
      <w:pPr>
        <w:pStyle w:val="Indenti"/>
      </w:pPr>
      <w:r>
        <w:tab/>
        <w:t>(i)</w:t>
      </w:r>
      <w:r>
        <w:tab/>
        <w:t>the standard obligations in section 33D; and</w:t>
      </w:r>
    </w:p>
    <w:p>
      <w:pPr>
        <w:pStyle w:val="Indenti"/>
      </w:pPr>
      <w:r>
        <w:tab/>
        <w:t>(ii)</w:t>
      </w:r>
      <w:r>
        <w:tab/>
        <w:t xml:space="preserve">such of the primary requirements in section 33E as the court imposes; and </w:t>
      </w:r>
    </w:p>
    <w:p>
      <w:pPr>
        <w:pStyle w:val="Indenti"/>
      </w:pPr>
      <w:r>
        <w:tab/>
        <w:t>(iii)</w:t>
      </w:r>
      <w:r>
        <w:tab/>
        <w:t>any direction imposed under an electronic monitoring requirement under section 33HA.</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 amended: No. 30 of 2020 s. 15.]</w:t>
      </w:r>
    </w:p>
    <w:p>
      <w:pPr>
        <w:pStyle w:val="Heading5"/>
      </w:pPr>
      <w:bookmarkStart w:id="103" w:name="_Toc178257620"/>
      <w:r>
        <w:rPr>
          <w:rStyle w:val="CharSectno"/>
        </w:rPr>
        <w:t>33C</w:t>
      </w:r>
      <w:r>
        <w:t>.</w:t>
      </w:r>
      <w:r>
        <w:tab/>
        <w:t>Making a PSO</w:t>
      </w:r>
      <w:bookmarkEnd w:id="103"/>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lastRenderedPageBreak/>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104" w:name="_Toc178257621"/>
      <w:r>
        <w:rPr>
          <w:rStyle w:val="CharSectno"/>
        </w:rPr>
        <w:t>33D</w:t>
      </w:r>
      <w:r>
        <w:t>.</w:t>
      </w:r>
      <w:r>
        <w:tab/>
        <w:t>PSO, standard obligations of</w:t>
      </w:r>
      <w:bookmarkEnd w:id="104"/>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105" w:name="_Toc178257622"/>
      <w:r>
        <w:rPr>
          <w:rStyle w:val="CharSectno"/>
        </w:rPr>
        <w:lastRenderedPageBreak/>
        <w:t>33E</w:t>
      </w:r>
      <w:r>
        <w:t>.</w:t>
      </w:r>
      <w:r>
        <w:tab/>
        <w:t>PSO, primary requirements of</w:t>
      </w:r>
      <w:bookmarkEnd w:id="105"/>
    </w:p>
    <w:p>
      <w:pPr>
        <w:pStyle w:val="Subsection"/>
        <w:keepNext/>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106" w:name="_Toc178257623"/>
      <w:r>
        <w:rPr>
          <w:rStyle w:val="CharSectno"/>
        </w:rPr>
        <w:t>33F</w:t>
      </w:r>
      <w:r>
        <w:t>.</w:t>
      </w:r>
      <w:r>
        <w:tab/>
        <w:t>Supervision requirement</w:t>
      </w:r>
      <w:bookmarkEnd w:id="106"/>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lastRenderedPageBreak/>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107" w:name="_Toc178257624"/>
      <w:r>
        <w:rPr>
          <w:rStyle w:val="CharSectno"/>
        </w:rPr>
        <w:t>33G</w:t>
      </w:r>
      <w:r>
        <w:t>.</w:t>
      </w:r>
      <w:r>
        <w:tab/>
        <w:t>Programme requirement</w:t>
      </w:r>
      <w:bookmarkEnd w:id="107"/>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lastRenderedPageBreak/>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108" w:name="_Toc178257625"/>
      <w:r>
        <w:rPr>
          <w:rStyle w:val="CharSectno"/>
        </w:rPr>
        <w:t>33H</w:t>
      </w:r>
      <w:r>
        <w:t>.</w:t>
      </w:r>
      <w:r>
        <w:tab/>
        <w:t>Curfew requirement</w:t>
      </w:r>
      <w:bookmarkEnd w:id="108"/>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 xml:space="preserve">The term of a curfew requirement must be set by the court when it imposes the requirement; but the requirement must not be imposed so as to result in a curfew requirement being in force, </w:t>
      </w:r>
      <w:r>
        <w:lastRenderedPageBreak/>
        <w:t>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 xml:space="preserve">Without limiting the means by which the offender may be kept under surveillance or monitored, a speciality court or a CCO </w:t>
      </w:r>
      <w:r>
        <w:lastRenderedPageBreak/>
        <w:t>may, for the purposes of subsection (2)(b), order an offender to do 1 or both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lastRenderedPageBreak/>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Footnotesection"/>
      </w:pPr>
      <w:r>
        <w:tab/>
        <w:t>[Section 33H inserted: No. 50 of 2003 s. 6; amended: No. 27 of 2004 s. 6(4); No. 65 of 2006 s. 49; No. 13 of 2020 s. 5.]</w:t>
      </w:r>
    </w:p>
    <w:p>
      <w:pPr>
        <w:pStyle w:val="Heading5"/>
      </w:pPr>
      <w:bookmarkStart w:id="109" w:name="_Toc178257626"/>
      <w:r>
        <w:rPr>
          <w:rStyle w:val="CharSectno"/>
        </w:rPr>
        <w:t>33HA</w:t>
      </w:r>
      <w:r>
        <w:t>.</w:t>
      </w:r>
      <w:r>
        <w:tab/>
        <w:t>Electronic monitoring requirement</w:t>
      </w:r>
      <w:bookmarkEnd w:id="109"/>
    </w:p>
    <w:p>
      <w:pPr>
        <w:pStyle w:val="Subsection"/>
      </w:pPr>
      <w:r>
        <w:tab/>
        <w:t>(1)</w:t>
      </w:r>
      <w:r>
        <w:tab/>
        <w:t>This section applies if an offence in respect of which a PSO may apply is a family violence offence and the offender is a serial family violence offender.</w:t>
      </w:r>
    </w:p>
    <w:p>
      <w:pPr>
        <w:pStyle w:val="Subsection"/>
      </w:pPr>
      <w:r>
        <w:tab/>
        <w:t>(2)</w:t>
      </w:r>
      <w:r>
        <w:tab/>
        <w:t xml:space="preserve">Where this section applies, a court must not make a PSO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PSO is to enable the location of the offender to be monitored.</w:t>
      </w:r>
    </w:p>
    <w:p>
      <w:pPr>
        <w:pStyle w:val="Subsection"/>
      </w:pPr>
      <w:r>
        <w:tab/>
        <w:t>(4)</w:t>
      </w:r>
      <w:r>
        <w:tab/>
        <w:t>If a court considers that electronic monitoring should occur in a particular case, the court may impose an electronic monitoring requirement under this section.</w:t>
      </w:r>
    </w:p>
    <w:p>
      <w:pPr>
        <w:pStyle w:val="Subsection"/>
      </w:pPr>
      <w:r>
        <w:tab/>
        <w:t>(5)</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lastRenderedPageBreak/>
        <w:tab/>
        <w:t>(6)</w:t>
      </w:r>
      <w:r>
        <w:tab/>
        <w:t>The term of an electronic monitoring requirement must be set by the court when it imposes the requirement.</w:t>
      </w:r>
    </w:p>
    <w:p>
      <w:pPr>
        <w:pStyle w:val="Subsection"/>
      </w:pPr>
      <w:r>
        <w:tab/>
        <w:t>(7)</w:t>
      </w:r>
      <w:r>
        <w:tab/>
        <w:t>An electronic monitoring requirement ceases to be in force when its term ends, or when the PSO ceases to be in force, whichever happens first.</w:t>
      </w:r>
    </w:p>
    <w:p>
      <w:pPr>
        <w:pStyle w:val="Footnotesection"/>
      </w:pPr>
      <w:r>
        <w:tab/>
        <w:t>[Section 33HA inserted: No. 30 of 2020 s. 16.]</w:t>
      </w:r>
    </w:p>
    <w:p>
      <w:pPr>
        <w:pStyle w:val="Heading5"/>
      </w:pPr>
      <w:bookmarkStart w:id="110" w:name="_Toc178257627"/>
      <w:r>
        <w:rPr>
          <w:rStyle w:val="CharSectno"/>
        </w:rPr>
        <w:t>33I</w:t>
      </w:r>
      <w:r>
        <w:t>.</w:t>
      </w:r>
      <w:r>
        <w:tab/>
        <w:t>Performance reports about offenders on PSOs</w:t>
      </w:r>
      <w:bookmarkEnd w:id="110"/>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lastRenderedPageBreak/>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111" w:name="_Toc178257628"/>
      <w:r>
        <w:rPr>
          <w:rStyle w:val="CharSectno"/>
        </w:rPr>
        <w:t>33J</w:t>
      </w:r>
      <w:r>
        <w:t>.</w:t>
      </w:r>
      <w:r>
        <w:tab/>
        <w:t>Sentencing day, offender to be sentenced on etc.</w:t>
      </w:r>
      <w:bookmarkEnd w:id="111"/>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112" w:name="_Toc178257629"/>
      <w:r>
        <w:rPr>
          <w:rStyle w:val="CharSectno"/>
        </w:rPr>
        <w:t>33K</w:t>
      </w:r>
      <w:r>
        <w:t>.</w:t>
      </w:r>
      <w:r>
        <w:tab/>
        <w:t>Sentencing offender after PSO</w:t>
      </w:r>
      <w:bookmarkEnd w:id="112"/>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lastRenderedPageBreak/>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113" w:name="_Toc178157941"/>
      <w:bookmarkStart w:id="114" w:name="_Toc178158391"/>
      <w:bookmarkStart w:id="115" w:name="_Toc178158691"/>
      <w:bookmarkStart w:id="116" w:name="_Toc178257630"/>
      <w:r>
        <w:rPr>
          <w:rStyle w:val="CharDivNo"/>
        </w:rPr>
        <w:t>Division 2</w:t>
      </w:r>
      <w:r>
        <w:t> — </w:t>
      </w:r>
      <w:r>
        <w:rPr>
          <w:rStyle w:val="CharDivText"/>
        </w:rPr>
        <w:t>Amending and enforcing PSOs</w:t>
      </w:r>
      <w:bookmarkEnd w:id="113"/>
      <w:bookmarkEnd w:id="114"/>
      <w:bookmarkEnd w:id="115"/>
      <w:bookmarkEnd w:id="116"/>
    </w:p>
    <w:p>
      <w:pPr>
        <w:pStyle w:val="Footnoteheading"/>
        <w:keepNext/>
        <w:keepLines/>
      </w:pPr>
      <w:r>
        <w:tab/>
        <w:t>[Heading inserted: No. 50 of 2003 s. 6.]</w:t>
      </w:r>
    </w:p>
    <w:p>
      <w:pPr>
        <w:pStyle w:val="Heading5"/>
      </w:pPr>
      <w:bookmarkStart w:id="117" w:name="_Toc178257631"/>
      <w:r>
        <w:rPr>
          <w:rStyle w:val="CharSectno"/>
        </w:rPr>
        <w:t>33L</w:t>
      </w:r>
      <w:r>
        <w:t>.</w:t>
      </w:r>
      <w:r>
        <w:tab/>
        <w:t>Term used: requirement</w:t>
      </w:r>
      <w:bookmarkEnd w:id="117"/>
    </w:p>
    <w:p>
      <w:pPr>
        <w:pStyle w:val="Subsection"/>
      </w:pPr>
      <w:r>
        <w:tab/>
        <w:t>(1)</w:t>
      </w:r>
      <w:r>
        <w:tab/>
        <w:t>In this Division —</w:t>
      </w:r>
    </w:p>
    <w:p>
      <w:pPr>
        <w:pStyle w:val="Defstart"/>
      </w:pPr>
      <w:r>
        <w:tab/>
      </w:r>
      <w:r>
        <w:rPr>
          <w:rStyle w:val="CharDefText"/>
        </w:rPr>
        <w:t>requirement</w:t>
      </w:r>
      <w:r>
        <w:t>, in relation to a PSO, means —</w:t>
      </w:r>
    </w:p>
    <w:p>
      <w:pPr>
        <w:pStyle w:val="Defpara"/>
      </w:pPr>
      <w:r>
        <w:tab/>
        <w:t>(a)</w:t>
      </w:r>
      <w:r>
        <w:tab/>
        <w:t>the standard obligations and primary requirements of the PSO; and</w:t>
      </w:r>
    </w:p>
    <w:p>
      <w:pPr>
        <w:pStyle w:val="Defpara"/>
      </w:pPr>
      <w:r>
        <w:tab/>
        <w:t>(b)</w:t>
      </w:r>
      <w:r>
        <w:tab/>
        <w:t>any direction imposed under an electronic monitoring requirement under section 33HA; and</w:t>
      </w:r>
    </w:p>
    <w:p>
      <w:pPr>
        <w:pStyle w:val="Defpara"/>
      </w:pPr>
      <w:r>
        <w:tab/>
        <w:t>(c)</w:t>
      </w:r>
      <w:r>
        <w:tab/>
        <w:t>any direction of the court imposed under the PSO.</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 amended: No. 30 of 2020 s. 17.]</w:t>
      </w:r>
    </w:p>
    <w:p>
      <w:pPr>
        <w:pStyle w:val="Heading5"/>
        <w:spacing w:before="180"/>
      </w:pPr>
      <w:bookmarkStart w:id="118" w:name="_Toc178257632"/>
      <w:r>
        <w:rPr>
          <w:rStyle w:val="CharSectno"/>
        </w:rPr>
        <w:t>33M</w:t>
      </w:r>
      <w:r>
        <w:t>.</w:t>
      </w:r>
      <w:r>
        <w:tab/>
        <w:t>Application to amend or cancel PSO</w:t>
      </w:r>
      <w:bookmarkEnd w:id="118"/>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lastRenderedPageBreak/>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119" w:name="_Toc178257633"/>
      <w:r>
        <w:rPr>
          <w:rStyle w:val="CharSectno"/>
        </w:rPr>
        <w:t>33N</w:t>
      </w:r>
      <w:r>
        <w:t>.</w:t>
      </w:r>
      <w:r>
        <w:tab/>
        <w:t>Court may confirm, amend or cancel PSO</w:t>
      </w:r>
      <w:bookmarkEnd w:id="119"/>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(iia)</w:t>
      </w:r>
      <w:r>
        <w:tab/>
        <w:t>by adding, amending or cancelling an electronic monitoring requirement under section 33HA; or</w:t>
      </w:r>
    </w:p>
    <w:p>
      <w:pPr>
        <w:pStyle w:val="Indenti"/>
      </w:pPr>
      <w:r>
        <w:lastRenderedPageBreak/>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 No. 30 of 2020 s. 18.]</w:t>
      </w:r>
    </w:p>
    <w:p>
      <w:pPr>
        <w:pStyle w:val="Heading5"/>
      </w:pPr>
      <w:bookmarkStart w:id="120" w:name="_Toc178257634"/>
      <w:r>
        <w:rPr>
          <w:rStyle w:val="CharSectno"/>
        </w:rPr>
        <w:t>33O</w:t>
      </w:r>
      <w:r>
        <w:t>.</w:t>
      </w:r>
      <w:r>
        <w:tab/>
        <w:t>Re</w:t>
      </w:r>
      <w:r>
        <w:noBreakHyphen/>
        <w:t>offending while subject to PSO, consequences of</w:t>
      </w:r>
      <w:bookmarkEnd w:id="120"/>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 xml:space="preserve">if it is the Children’s Court, may deal with the person under subsection (5) unless the PSO was made by a superior court in which case it must commit the person </w:t>
      </w:r>
      <w:r>
        <w:lastRenderedPageBreak/>
        <w:t>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lastRenderedPageBreak/>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121" w:name="_Toc178257635"/>
      <w:r>
        <w:rPr>
          <w:rStyle w:val="CharSectno"/>
        </w:rPr>
        <w:t>33P</w:t>
      </w:r>
      <w:r>
        <w:t>.</w:t>
      </w:r>
      <w:r>
        <w:tab/>
        <w:t>Breach etc. of PSO, powers of CEO (corrections) and court</w:t>
      </w:r>
      <w:bookmarkEnd w:id="121"/>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lastRenderedPageBreak/>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122" w:name="_Toc178257636"/>
      <w:r>
        <w:rPr>
          <w:rStyle w:val="CharSectno"/>
        </w:rPr>
        <w:t>33Q</w:t>
      </w:r>
      <w:r>
        <w:t>.</w:t>
      </w:r>
      <w:r>
        <w:tab/>
        <w:t>Facilitation of proof</w:t>
      </w:r>
      <w:bookmarkEnd w:id="122"/>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123" w:name="_Toc178157948"/>
      <w:bookmarkStart w:id="124" w:name="_Toc178158398"/>
      <w:bookmarkStart w:id="125" w:name="_Toc178158698"/>
      <w:bookmarkStart w:id="126" w:name="_Toc178257637"/>
      <w:r>
        <w:rPr>
          <w:rStyle w:val="CharPartNo"/>
        </w:rPr>
        <w:lastRenderedPageBreak/>
        <w:t>Part 4</w:t>
      </w:r>
      <w:r>
        <w:rPr>
          <w:rStyle w:val="CharDivNo"/>
        </w:rPr>
        <w:t> </w:t>
      </w:r>
      <w:r>
        <w:t>—</w:t>
      </w:r>
      <w:r>
        <w:rPr>
          <w:rStyle w:val="CharDivText"/>
        </w:rPr>
        <w:t> </w:t>
      </w:r>
      <w:r>
        <w:rPr>
          <w:rStyle w:val="CharPartText"/>
        </w:rPr>
        <w:t>The sentencing process</w:t>
      </w:r>
      <w:bookmarkEnd w:id="123"/>
      <w:bookmarkEnd w:id="124"/>
      <w:bookmarkEnd w:id="125"/>
      <w:bookmarkEnd w:id="126"/>
    </w:p>
    <w:p>
      <w:pPr>
        <w:pStyle w:val="Heading5"/>
        <w:rPr>
          <w:snapToGrid w:val="0"/>
        </w:rPr>
      </w:pPr>
      <w:bookmarkStart w:id="127" w:name="_Toc178257638"/>
      <w:r>
        <w:rPr>
          <w:rStyle w:val="CharSectno"/>
        </w:rPr>
        <w:t>34</w:t>
      </w:r>
      <w:r>
        <w:rPr>
          <w:snapToGrid w:val="0"/>
        </w:rPr>
        <w:t>.</w:t>
      </w:r>
      <w:r>
        <w:rPr>
          <w:snapToGrid w:val="0"/>
        </w:rPr>
        <w:tab/>
        <w:t>Explanation of sentence </w:t>
      </w:r>
      <w:r>
        <w:rPr>
          <w:snapToGrid w:val="0"/>
          <w:vertAlign w:val="superscript"/>
        </w:rPr>
        <w:t>2M</w:t>
      </w:r>
      <w:bookmarkEnd w:id="127"/>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Footnotesection"/>
      </w:pPr>
      <w:r>
        <w:tab/>
        <w:t>[Section 34: modified by the COVID-19 Response and Economic Recovery Omnibus Act 2020 (34 of 2020) Part. 4 Division 4 Subdivision 1: See endnote 2M.]</w:t>
      </w:r>
    </w:p>
    <w:p>
      <w:pPr>
        <w:pStyle w:val="Heading5"/>
        <w:rPr>
          <w:snapToGrid w:val="0"/>
        </w:rPr>
      </w:pPr>
      <w:bookmarkStart w:id="128" w:name="_Toc178257639"/>
      <w:r>
        <w:rPr>
          <w:rStyle w:val="CharSectno"/>
        </w:rPr>
        <w:t>35</w:t>
      </w:r>
      <w:r>
        <w:rPr>
          <w:snapToGrid w:val="0"/>
        </w:rPr>
        <w:t>.</w:t>
      </w:r>
      <w:r>
        <w:rPr>
          <w:snapToGrid w:val="0"/>
        </w:rPr>
        <w:tab/>
        <w:t>Reasons for imprisonment to be given in some cases</w:t>
      </w:r>
      <w:bookmarkEnd w:id="128"/>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lastRenderedPageBreak/>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129" w:name="_Toc178257640"/>
      <w:r>
        <w:rPr>
          <w:rStyle w:val="CharSectno"/>
        </w:rPr>
        <w:t>36</w:t>
      </w:r>
      <w:r>
        <w:rPr>
          <w:snapToGrid w:val="0"/>
        </w:rPr>
        <w:t>.</w:t>
      </w:r>
      <w:r>
        <w:rPr>
          <w:snapToGrid w:val="0"/>
        </w:rPr>
        <w:tab/>
        <w:t>Warrant of commitment to be issued if imprisonment imposed</w:t>
      </w:r>
      <w:bookmarkEnd w:id="129"/>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130" w:name="_Toc178257641"/>
      <w:r>
        <w:rPr>
          <w:rStyle w:val="CharSectno"/>
        </w:rPr>
        <w:t>37</w:t>
      </w:r>
      <w:r>
        <w:rPr>
          <w:snapToGrid w:val="0"/>
        </w:rPr>
        <w:t>.</w:t>
      </w:r>
      <w:r>
        <w:rPr>
          <w:snapToGrid w:val="0"/>
        </w:rPr>
        <w:tab/>
        <w:t>Correction of sentence</w:t>
      </w:r>
      <w:bookmarkEnd w:id="130"/>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lastRenderedPageBreak/>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131" w:name="_Toc178257642"/>
      <w:r>
        <w:rPr>
          <w:rStyle w:val="CharSectno"/>
        </w:rPr>
        <w:t>37A</w:t>
      </w:r>
      <w:r>
        <w:t>.</w:t>
      </w:r>
      <w:r>
        <w:tab/>
        <w:t>Offender reneging on promise to assist authorities may be re</w:t>
      </w:r>
      <w:r>
        <w:noBreakHyphen/>
        <w:t>sentenced</w:t>
      </w:r>
      <w:bookmarkEnd w:id="131"/>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keepNext/>
      </w:pPr>
      <w:r>
        <w:lastRenderedPageBreak/>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132" w:name="_Toc178257643"/>
      <w:r>
        <w:rPr>
          <w:rStyle w:val="CharSectno"/>
        </w:rPr>
        <w:t>38</w:t>
      </w:r>
      <w:r>
        <w:rPr>
          <w:snapToGrid w:val="0"/>
        </w:rPr>
        <w:t>.</w:t>
      </w:r>
      <w:r>
        <w:rPr>
          <w:snapToGrid w:val="0"/>
        </w:rPr>
        <w:tab/>
        <w:t>Imprisonment by JPs, magistrate to review</w:t>
      </w:r>
      <w:bookmarkEnd w:id="132"/>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lastRenderedPageBreak/>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133" w:name="_Toc178157955"/>
      <w:bookmarkStart w:id="134" w:name="_Toc178158405"/>
      <w:bookmarkStart w:id="135" w:name="_Toc178158705"/>
      <w:bookmarkStart w:id="136" w:name="_Toc178257644"/>
      <w:r>
        <w:rPr>
          <w:rStyle w:val="CharPartNo"/>
        </w:rPr>
        <w:lastRenderedPageBreak/>
        <w:t>Part 5</w:t>
      </w:r>
      <w:r>
        <w:rPr>
          <w:rStyle w:val="CharDivNo"/>
        </w:rPr>
        <w:t> </w:t>
      </w:r>
      <w:r>
        <w:t>—</w:t>
      </w:r>
      <w:r>
        <w:rPr>
          <w:rStyle w:val="CharDivText"/>
        </w:rPr>
        <w:t> </w:t>
      </w:r>
      <w:r>
        <w:rPr>
          <w:rStyle w:val="CharPartText"/>
        </w:rPr>
        <w:t>Sentencing options</w:t>
      </w:r>
      <w:bookmarkEnd w:id="133"/>
      <w:bookmarkEnd w:id="134"/>
      <w:bookmarkEnd w:id="135"/>
      <w:bookmarkEnd w:id="136"/>
    </w:p>
    <w:p>
      <w:pPr>
        <w:pStyle w:val="Heading5"/>
        <w:rPr>
          <w:snapToGrid w:val="0"/>
        </w:rPr>
      </w:pPr>
      <w:bookmarkStart w:id="137" w:name="_Toc178257645"/>
      <w:r>
        <w:rPr>
          <w:rStyle w:val="CharSectno"/>
        </w:rPr>
        <w:t>39</w:t>
      </w:r>
      <w:r>
        <w:rPr>
          <w:snapToGrid w:val="0"/>
        </w:rPr>
        <w:t>.</w:t>
      </w:r>
      <w:r>
        <w:rPr>
          <w:snapToGrid w:val="0"/>
        </w:rPr>
        <w:tab/>
        <w:t>Natural person, sentences for</w:t>
      </w:r>
      <w:bookmarkEnd w:id="137"/>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lastRenderedPageBreak/>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 xml:space="preserve">A court sentencing an offender may also make an order </w:t>
      </w:r>
      <w:r>
        <w:t xml:space="preserve">or declaration </w:t>
      </w:r>
      <w:r>
        <w:rPr>
          <w:snapToGrid w:val="0"/>
        </w:rPr>
        <w:t xml:space="preserve">under Part 17, but any such order </w:t>
      </w:r>
      <w:r>
        <w:t xml:space="preserve">or declaration </w:t>
      </w:r>
      <w:r>
        <w:rPr>
          <w:snapToGrid w:val="0"/>
        </w:rPr>
        <w:t>is not to be taken as being part of the sentence.</w:t>
      </w:r>
    </w:p>
    <w:p>
      <w:pPr>
        <w:pStyle w:val="Footnotesection"/>
      </w:pPr>
      <w:r>
        <w:tab/>
        <w:t>[Section 39 amended: No. 29 of 1998 s. 18; No. 27 of 2004 s. 6(3); No. 45 of 2016 s. 49; No. 30 of 2020 s. 19.]</w:t>
      </w:r>
    </w:p>
    <w:p>
      <w:pPr>
        <w:pStyle w:val="Heading5"/>
        <w:rPr>
          <w:snapToGrid w:val="0"/>
        </w:rPr>
      </w:pPr>
      <w:bookmarkStart w:id="138" w:name="_Toc178257646"/>
      <w:r>
        <w:rPr>
          <w:rStyle w:val="CharSectno"/>
        </w:rPr>
        <w:t>40</w:t>
      </w:r>
      <w:r>
        <w:rPr>
          <w:snapToGrid w:val="0"/>
        </w:rPr>
        <w:t>.</w:t>
      </w:r>
      <w:r>
        <w:rPr>
          <w:snapToGrid w:val="0"/>
        </w:rPr>
        <w:tab/>
        <w:t>Body corporate, sentences for</w:t>
      </w:r>
      <w:bookmarkEnd w:id="138"/>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lastRenderedPageBreak/>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139" w:name="_Toc178257647"/>
      <w:r>
        <w:rPr>
          <w:rStyle w:val="CharSectno"/>
        </w:rPr>
        <w:t>41</w:t>
      </w:r>
      <w:r>
        <w:rPr>
          <w:snapToGrid w:val="0"/>
        </w:rPr>
        <w:t>.</w:t>
      </w:r>
      <w:r>
        <w:rPr>
          <w:snapToGrid w:val="0"/>
        </w:rPr>
        <w:tab/>
        <w:t>If statutory penalty is imprisonment only: sentencing options</w:t>
      </w:r>
      <w:bookmarkEnd w:id="139"/>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 xml:space="preserve">If the statutory penalty for the offence is such that imprisonment must be imposed, then despite subsection (2) the court must impose a term of imprisonment in accordance with the statutory </w:t>
      </w:r>
      <w:r>
        <w:lastRenderedPageBreak/>
        <w:t>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140" w:name="_Toc178257648"/>
      <w:r>
        <w:rPr>
          <w:rStyle w:val="CharSectno"/>
        </w:rPr>
        <w:t>42</w:t>
      </w:r>
      <w:r>
        <w:rPr>
          <w:snapToGrid w:val="0"/>
        </w:rPr>
        <w:t>.</w:t>
      </w:r>
      <w:r>
        <w:rPr>
          <w:snapToGrid w:val="0"/>
        </w:rPr>
        <w:tab/>
        <w:t>If statutory penalty is imprisonment and fine: sentencing options</w:t>
      </w:r>
      <w:bookmarkEnd w:id="140"/>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lastRenderedPageBreak/>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141" w:name="_Toc178257649"/>
      <w:r>
        <w:rPr>
          <w:rStyle w:val="CharSectno"/>
        </w:rPr>
        <w:t>43</w:t>
      </w:r>
      <w:r>
        <w:t>.</w:t>
      </w:r>
      <w:r>
        <w:tab/>
        <w:t>If statutory penalty is imprisonment or fine: sentencing options</w:t>
      </w:r>
      <w:bookmarkEnd w:id="141"/>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keepNext/>
      </w:pPr>
      <w:r>
        <w:lastRenderedPageBreak/>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142" w:name="_Toc178257650"/>
      <w:r>
        <w:rPr>
          <w:rStyle w:val="CharSectno"/>
        </w:rPr>
        <w:t>44</w:t>
      </w:r>
      <w:r>
        <w:rPr>
          <w:snapToGrid w:val="0"/>
        </w:rPr>
        <w:t>.</w:t>
      </w:r>
      <w:r>
        <w:rPr>
          <w:snapToGrid w:val="0"/>
        </w:rPr>
        <w:tab/>
        <w:t>If statutory penalty is fine only: sentencing options</w:t>
      </w:r>
      <w:bookmarkEnd w:id="142"/>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143" w:name="_Toc178257651"/>
      <w:r>
        <w:rPr>
          <w:rStyle w:val="CharSectno"/>
        </w:rPr>
        <w:lastRenderedPageBreak/>
        <w:t>45</w:t>
      </w:r>
      <w:r>
        <w:rPr>
          <w:snapToGrid w:val="0"/>
        </w:rPr>
        <w:t>.</w:t>
      </w:r>
      <w:r>
        <w:rPr>
          <w:snapToGrid w:val="0"/>
        </w:rPr>
        <w:tab/>
        <w:t>Spent conviction order, making and effect of</w:t>
      </w:r>
      <w:bookmarkEnd w:id="143"/>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keepNext/>
        <w:spacing w:before="120"/>
        <w:rPr>
          <w:snapToGrid w:val="0"/>
        </w:rPr>
      </w:pPr>
      <w:r>
        <w:rPr>
          <w:snapToGrid w:val="0"/>
        </w:rPr>
        <w:lastRenderedPageBreak/>
        <w:tab/>
        <w:t>(5)</w:t>
      </w:r>
      <w:r>
        <w:rPr>
          <w:snapToGrid w:val="0"/>
        </w:rPr>
        <w:tab/>
        <w:t>A spent conviction order in respect of a conviction does not affect —</w:t>
      </w:r>
    </w:p>
    <w:p>
      <w:pPr>
        <w:pStyle w:val="Indenta"/>
        <w:keepNext/>
        <w:rPr>
          <w:snapToGrid w:val="0"/>
        </w:rPr>
      </w:pPr>
      <w:r>
        <w:rPr>
          <w:snapToGrid w:val="0"/>
        </w:rPr>
        <w:tab/>
        <w:t>(a)</w:t>
      </w:r>
      <w:r>
        <w:rPr>
          <w:snapToGrid w:val="0"/>
        </w:rPr>
        <w:tab/>
        <w:t>the right or the duty of a court to —</w:t>
      </w:r>
    </w:p>
    <w:p>
      <w:pPr>
        <w:pStyle w:val="Indenti"/>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pPr>
      <w:r>
        <w:tab/>
        <w:t>(ia)</w:t>
      </w:r>
      <w:r>
        <w:tab/>
        <w:t xml:space="preserve">disqualify, under the </w:t>
      </w:r>
      <w:r>
        <w:rPr>
          <w:i/>
        </w:rPr>
        <w:t>Western Australian Marine Act 1982</w:t>
      </w:r>
      <w:r>
        <w:t>, the offender from holding or obtaining a WA marine qualification as defined in section 3(1) of that Act;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pPr>
      <w:r>
        <w:tab/>
        <w:t>(ba)</w:t>
      </w:r>
      <w:r>
        <w:tab/>
        <w:t xml:space="preserve">the operation of any provision in the </w:t>
      </w:r>
      <w:r>
        <w:rPr>
          <w:i/>
        </w:rPr>
        <w:t>Western Australian Marine Act 1982</w:t>
      </w:r>
      <w:r>
        <w:t xml:space="preserve"> relating to the cancellation of, or disqualification from holding or obtaining, a WA marine qualification as defined in section 3(1) of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keepNext/>
        <w:spacing w:before="120"/>
        <w:rPr>
          <w:snapToGrid w:val="0"/>
        </w:rPr>
      </w:pPr>
      <w:r>
        <w:rPr>
          <w:snapToGrid w:val="0"/>
        </w:rPr>
        <w:lastRenderedPageBreak/>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 No. 31 of 2023 s. 37(2).]</w:t>
      </w:r>
    </w:p>
    <w:p>
      <w:pPr>
        <w:pStyle w:val="Heading2"/>
      </w:pPr>
      <w:bookmarkStart w:id="144" w:name="_Toc178157963"/>
      <w:bookmarkStart w:id="145" w:name="_Toc178158413"/>
      <w:bookmarkStart w:id="146" w:name="_Toc178158713"/>
      <w:bookmarkStart w:id="147" w:name="_Toc178257652"/>
      <w:r>
        <w:rPr>
          <w:rStyle w:val="CharPartNo"/>
        </w:rPr>
        <w:lastRenderedPageBreak/>
        <w:t>Part 6</w:t>
      </w:r>
      <w:r>
        <w:rPr>
          <w:rStyle w:val="CharDivNo"/>
        </w:rPr>
        <w:t> </w:t>
      </w:r>
      <w:r>
        <w:t>—</w:t>
      </w:r>
      <w:r>
        <w:rPr>
          <w:rStyle w:val="CharDivText"/>
        </w:rPr>
        <w:t> </w:t>
      </w:r>
      <w:r>
        <w:rPr>
          <w:rStyle w:val="CharPartText"/>
        </w:rPr>
        <w:t>Release of offender without sentence</w:t>
      </w:r>
      <w:bookmarkEnd w:id="144"/>
      <w:bookmarkEnd w:id="145"/>
      <w:bookmarkEnd w:id="146"/>
      <w:bookmarkEnd w:id="147"/>
    </w:p>
    <w:p>
      <w:pPr>
        <w:pStyle w:val="Heading5"/>
        <w:rPr>
          <w:snapToGrid w:val="0"/>
        </w:rPr>
      </w:pPr>
      <w:bookmarkStart w:id="148" w:name="_Toc178257653"/>
      <w:r>
        <w:rPr>
          <w:rStyle w:val="CharSectno"/>
        </w:rPr>
        <w:t>46</w:t>
      </w:r>
      <w:r>
        <w:rPr>
          <w:snapToGrid w:val="0"/>
        </w:rPr>
        <w:t>.</w:t>
      </w:r>
      <w:r>
        <w:rPr>
          <w:snapToGrid w:val="0"/>
        </w:rPr>
        <w:tab/>
        <w:t>Release without sentence</w:t>
      </w:r>
      <w:bookmarkEnd w:id="148"/>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149" w:name="_Toc178157965"/>
      <w:bookmarkStart w:id="150" w:name="_Toc178158415"/>
      <w:bookmarkStart w:id="151" w:name="_Toc178158715"/>
      <w:bookmarkStart w:id="152" w:name="_Toc178257654"/>
      <w:r>
        <w:rPr>
          <w:rStyle w:val="CharPartNo"/>
        </w:rPr>
        <w:lastRenderedPageBreak/>
        <w:t>Part 7</w:t>
      </w:r>
      <w:r>
        <w:rPr>
          <w:rStyle w:val="CharDivNo"/>
        </w:rPr>
        <w:t> </w:t>
      </w:r>
      <w:r>
        <w:t>—</w:t>
      </w:r>
      <w:r>
        <w:rPr>
          <w:rStyle w:val="CharDivText"/>
        </w:rPr>
        <w:t> </w:t>
      </w:r>
      <w:r>
        <w:rPr>
          <w:rStyle w:val="CharPartText"/>
        </w:rPr>
        <w:t>Conditional release order</w:t>
      </w:r>
      <w:bookmarkEnd w:id="149"/>
      <w:bookmarkEnd w:id="150"/>
      <w:bookmarkEnd w:id="151"/>
      <w:bookmarkEnd w:id="152"/>
    </w:p>
    <w:p>
      <w:pPr>
        <w:pStyle w:val="Heading5"/>
        <w:rPr>
          <w:snapToGrid w:val="0"/>
        </w:rPr>
      </w:pPr>
      <w:bookmarkStart w:id="153" w:name="_Toc178257655"/>
      <w:r>
        <w:rPr>
          <w:rStyle w:val="CharSectno"/>
        </w:rPr>
        <w:t>47</w:t>
      </w:r>
      <w:r>
        <w:rPr>
          <w:snapToGrid w:val="0"/>
        </w:rPr>
        <w:t>.</w:t>
      </w:r>
      <w:r>
        <w:rPr>
          <w:snapToGrid w:val="0"/>
        </w:rPr>
        <w:tab/>
        <w:t>When CRO may be imposed</w:t>
      </w:r>
      <w:bookmarkEnd w:id="153"/>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54" w:name="_Toc178257656"/>
      <w:r>
        <w:rPr>
          <w:rStyle w:val="CharSectno"/>
        </w:rPr>
        <w:t>48</w:t>
      </w:r>
      <w:r>
        <w:rPr>
          <w:snapToGrid w:val="0"/>
        </w:rPr>
        <w:t>.</w:t>
      </w:r>
      <w:r>
        <w:rPr>
          <w:snapToGrid w:val="0"/>
        </w:rPr>
        <w:tab/>
        <w:t>CRO, nature of</w:t>
      </w:r>
      <w:bookmarkEnd w:id="154"/>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55" w:name="_Toc178257657"/>
      <w:r>
        <w:rPr>
          <w:rStyle w:val="CharSectno"/>
        </w:rPr>
        <w:t>49</w:t>
      </w:r>
      <w:r>
        <w:rPr>
          <w:snapToGrid w:val="0"/>
        </w:rPr>
        <w:t>.</w:t>
      </w:r>
      <w:r>
        <w:rPr>
          <w:snapToGrid w:val="0"/>
        </w:rPr>
        <w:tab/>
        <w:t>CRO, requirements of</w:t>
      </w:r>
      <w:bookmarkEnd w:id="155"/>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lastRenderedPageBreak/>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56" w:name="_Toc178257658"/>
      <w:r>
        <w:rPr>
          <w:rStyle w:val="CharSectno"/>
        </w:rPr>
        <w:t>50</w:t>
      </w:r>
      <w:r>
        <w:rPr>
          <w:snapToGrid w:val="0"/>
        </w:rPr>
        <w:t>.</w:t>
      </w:r>
      <w:r>
        <w:rPr>
          <w:snapToGrid w:val="0"/>
        </w:rPr>
        <w:tab/>
        <w:t>Court may direct offender to re</w:t>
      </w:r>
      <w:r>
        <w:rPr>
          <w:snapToGrid w:val="0"/>
        </w:rPr>
        <w:noBreakHyphen/>
        <w:t>appear</w:t>
      </w:r>
      <w:bookmarkEnd w:id="156"/>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57" w:name="_Toc178257659"/>
      <w:r>
        <w:rPr>
          <w:rStyle w:val="CharSectno"/>
        </w:rPr>
        <w:t>51</w:t>
      </w:r>
      <w:r>
        <w:rPr>
          <w:snapToGrid w:val="0"/>
        </w:rPr>
        <w:t>.</w:t>
      </w:r>
      <w:r>
        <w:rPr>
          <w:snapToGrid w:val="0"/>
        </w:rPr>
        <w:tab/>
        <w:t>Ensuring compliance with CRO</w:t>
      </w:r>
      <w:bookmarkEnd w:id="157"/>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lastRenderedPageBreak/>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158" w:name="_Toc178257660"/>
      <w:r>
        <w:rPr>
          <w:rStyle w:val="CharSectno"/>
        </w:rPr>
        <w:lastRenderedPageBreak/>
        <w:t>52</w:t>
      </w:r>
      <w:r>
        <w:rPr>
          <w:snapToGrid w:val="0"/>
        </w:rPr>
        <w:t>.</w:t>
      </w:r>
      <w:r>
        <w:rPr>
          <w:snapToGrid w:val="0"/>
        </w:rPr>
        <w:tab/>
        <w:t>Enforcing CRO</w:t>
      </w:r>
      <w:bookmarkEnd w:id="158"/>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lastRenderedPageBreak/>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159" w:name="_Toc178157972"/>
      <w:bookmarkStart w:id="160" w:name="_Toc178158422"/>
      <w:bookmarkStart w:id="161" w:name="_Toc178158722"/>
      <w:bookmarkStart w:id="162" w:name="_Toc178257661"/>
      <w:r>
        <w:rPr>
          <w:rStyle w:val="CharPartNo"/>
        </w:rPr>
        <w:lastRenderedPageBreak/>
        <w:t>Part 8</w:t>
      </w:r>
      <w:r>
        <w:rPr>
          <w:rStyle w:val="CharDivNo"/>
        </w:rPr>
        <w:t> </w:t>
      </w:r>
      <w:r>
        <w:t>—</w:t>
      </w:r>
      <w:r>
        <w:rPr>
          <w:rStyle w:val="CharDivText"/>
        </w:rPr>
        <w:t> </w:t>
      </w:r>
      <w:r>
        <w:rPr>
          <w:rStyle w:val="CharPartText"/>
        </w:rPr>
        <w:t>Fine</w:t>
      </w:r>
      <w:bookmarkEnd w:id="159"/>
      <w:bookmarkEnd w:id="160"/>
      <w:bookmarkEnd w:id="161"/>
      <w:bookmarkEnd w:id="162"/>
    </w:p>
    <w:p>
      <w:pPr>
        <w:pStyle w:val="Heading5"/>
        <w:spacing w:before="180"/>
        <w:rPr>
          <w:snapToGrid w:val="0"/>
        </w:rPr>
      </w:pPr>
      <w:bookmarkStart w:id="163" w:name="_Toc178257662"/>
      <w:r>
        <w:rPr>
          <w:rStyle w:val="CharSectno"/>
        </w:rPr>
        <w:t>53</w:t>
      </w:r>
      <w:r>
        <w:rPr>
          <w:snapToGrid w:val="0"/>
        </w:rPr>
        <w:t>.</w:t>
      </w:r>
      <w:r>
        <w:rPr>
          <w:snapToGrid w:val="0"/>
        </w:rPr>
        <w:tab/>
        <w:t>Considerations when imposing fine</w:t>
      </w:r>
      <w:bookmarkEnd w:id="163"/>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164" w:name="_Toc178257663"/>
      <w:r>
        <w:rPr>
          <w:rStyle w:val="CharSectno"/>
        </w:rPr>
        <w:t>54</w:t>
      </w:r>
      <w:r>
        <w:rPr>
          <w:snapToGrid w:val="0"/>
        </w:rPr>
        <w:t>.</w:t>
      </w:r>
      <w:r>
        <w:rPr>
          <w:snapToGrid w:val="0"/>
        </w:rPr>
        <w:tab/>
        <w:t>One fine for 2 or more offences</w:t>
      </w:r>
      <w:bookmarkEnd w:id="164"/>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spacing w:before="180"/>
        <w:rPr>
          <w:snapToGrid w:val="0"/>
        </w:rPr>
      </w:pPr>
      <w:bookmarkStart w:id="165" w:name="_Toc178257664"/>
      <w:r>
        <w:rPr>
          <w:rStyle w:val="CharSectno"/>
        </w:rPr>
        <w:lastRenderedPageBreak/>
        <w:t>55</w:t>
      </w:r>
      <w:r>
        <w:rPr>
          <w:snapToGrid w:val="0"/>
        </w:rPr>
        <w:t>.</w:t>
      </w:r>
      <w:r>
        <w:rPr>
          <w:snapToGrid w:val="0"/>
        </w:rPr>
        <w:tab/>
        <w:t>Apportionment of fine between joint offenders</w:t>
      </w:r>
      <w:bookmarkEnd w:id="165"/>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66" w:name="_Toc178257665"/>
      <w:r>
        <w:rPr>
          <w:rStyle w:val="CharSectno"/>
        </w:rPr>
        <w:t>56</w:t>
      </w:r>
      <w:r>
        <w:rPr>
          <w:snapToGrid w:val="0"/>
        </w:rPr>
        <w:t>.</w:t>
      </w:r>
      <w:r>
        <w:rPr>
          <w:snapToGrid w:val="0"/>
        </w:rPr>
        <w:tab/>
        <w:t>Assault victim may be awarded fine</w:t>
      </w:r>
      <w:bookmarkEnd w:id="166"/>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67" w:name="_Toc178257666"/>
      <w:r>
        <w:rPr>
          <w:rStyle w:val="CharSectno"/>
        </w:rPr>
        <w:t>57</w:t>
      </w:r>
      <w:r>
        <w:rPr>
          <w:snapToGrid w:val="0"/>
        </w:rPr>
        <w:t>.</w:t>
      </w:r>
      <w:r>
        <w:rPr>
          <w:snapToGrid w:val="0"/>
        </w:rPr>
        <w:tab/>
        <w:t>Enforcement of fine</w:t>
      </w:r>
      <w:bookmarkEnd w:id="167"/>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168" w:name="_Toc178257667"/>
      <w:r>
        <w:rPr>
          <w:rStyle w:val="CharSectno"/>
        </w:rPr>
        <w:lastRenderedPageBreak/>
        <w:t>57A</w:t>
      </w:r>
      <w:r>
        <w:t>.</w:t>
      </w:r>
      <w:r>
        <w:tab/>
        <w:t>Enforcement of fine by means of WDO</w:t>
      </w:r>
      <w:bookmarkEnd w:id="168"/>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the offender is personally present in court.</w:t>
      </w:r>
    </w:p>
    <w:p>
      <w:pPr>
        <w:pStyle w:val="Subsection"/>
      </w:pPr>
      <w:r>
        <w:tab/>
        <w:t>(5A)</w:t>
      </w:r>
      <w:r>
        <w:tab/>
        <w:t xml:space="preserve">In considering whether to make a fine enforcement (WDO) order, the court must take into account the following matters — </w:t>
      </w:r>
    </w:p>
    <w:p>
      <w:pPr>
        <w:pStyle w:val="Indenta"/>
      </w:pPr>
      <w:r>
        <w:tab/>
        <w:t>(a)</w:t>
      </w:r>
      <w:r>
        <w:tab/>
        <w:t>whether the offender has the means to pay the fine, either within 28 days or pursuant to a time to pay order;</w:t>
      </w:r>
    </w:p>
    <w:p>
      <w:pPr>
        <w:pStyle w:val="Indenta"/>
      </w:pPr>
      <w:r>
        <w:tab/>
        <w:t>(b)</w:t>
      </w:r>
      <w:r>
        <w:tab/>
        <w:t xml:space="preserve">whether the offender has any personal property that could be seized under an enforcement warrant issued under the </w:t>
      </w:r>
      <w:r>
        <w:rPr>
          <w:i/>
        </w:rPr>
        <w:t>Fines, Penalties and Infringement Notices Enforcement Act 1994</w:t>
      </w:r>
      <w:r>
        <w:t xml:space="preserve"> to satisfy, wholly or partly, the fine;</w:t>
      </w:r>
    </w:p>
    <w:p>
      <w:pPr>
        <w:pStyle w:val="Indenta"/>
      </w:pPr>
      <w:r>
        <w:tab/>
        <w:t>(c)</w:t>
      </w:r>
      <w:r>
        <w:tab/>
        <w:t xml:space="preserve">the likelihood of the offender having the means to pay referred to in paragraph (a), or personal property </w:t>
      </w:r>
      <w:r>
        <w:lastRenderedPageBreak/>
        <w:t>referred to in paragraph (b), within a reasonable time after the fine is imposed;</w:t>
      </w:r>
    </w:p>
    <w:p>
      <w:pPr>
        <w:pStyle w:val="Indenta"/>
      </w:pPr>
      <w:r>
        <w:tab/>
        <w:t>(d)</w:t>
      </w:r>
      <w:r>
        <w:tab/>
        <w:t>whether the offender is mentally and physically capable of performing the requirements of a WDO.</w:t>
      </w:r>
    </w:p>
    <w:p>
      <w:pPr>
        <w:pStyle w:val="Subsection"/>
      </w:pPr>
      <w:r>
        <w:tab/>
        <w:t>(5B)</w:t>
      </w:r>
      <w:r>
        <w:tab/>
        <w:t>The court may satisfy itself of any of the matters referred to in subsection (5A) by evidence on oath from the offender.</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The </w:t>
      </w:r>
      <w:r>
        <w:rPr>
          <w:i/>
        </w:rPr>
        <w:t>Fines, Penalties and Infringement Notices Enforcement Act 1994</w:t>
      </w:r>
      <w:r>
        <w:t xml:space="preserve"> applies to and in respect of a WDO served pursuant to a fine enforcement (WDO) order.</w:t>
      </w:r>
    </w:p>
    <w:p>
      <w:pPr>
        <w:pStyle w:val="Footnotesection"/>
      </w:pPr>
      <w:r>
        <w:tab/>
        <w:t>[Section 57A inserted: No. 9 of 2000 s. 10; amended: No. 48 of 2012 s. 78; No. 25 of 2020 s. 129.]</w:t>
      </w:r>
    </w:p>
    <w:p>
      <w:pPr>
        <w:pStyle w:val="Heading5"/>
      </w:pPr>
      <w:bookmarkStart w:id="169" w:name="_Toc178257668"/>
      <w:r>
        <w:rPr>
          <w:rStyle w:val="CharSectno"/>
        </w:rPr>
        <w:t>57B</w:t>
      </w:r>
      <w:r>
        <w:t>.</w:t>
      </w:r>
      <w:r>
        <w:tab/>
        <w:t>Court may cancel s. 57A order on application of Fines Enforcement Registrar</w:t>
      </w:r>
      <w:bookmarkEnd w:id="169"/>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57A(5A),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lastRenderedPageBreak/>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 No. 25 of 2020 s. 130.]</w:t>
      </w:r>
    </w:p>
    <w:p>
      <w:pPr>
        <w:pStyle w:val="Heading5"/>
        <w:rPr>
          <w:snapToGrid w:val="0"/>
        </w:rPr>
      </w:pPr>
      <w:bookmarkStart w:id="170" w:name="_Toc178257669"/>
      <w:r>
        <w:rPr>
          <w:rStyle w:val="CharSectno"/>
        </w:rPr>
        <w:t>58</w:t>
      </w:r>
      <w:r>
        <w:rPr>
          <w:snapToGrid w:val="0"/>
        </w:rPr>
        <w:t>.</w:t>
      </w:r>
      <w:r>
        <w:rPr>
          <w:snapToGrid w:val="0"/>
        </w:rPr>
        <w:tab/>
        <w:t>Imprisonment until fine paid</w:t>
      </w:r>
      <w:bookmarkEnd w:id="170"/>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lastRenderedPageBreak/>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171" w:name="_Toc178257670"/>
      <w:r>
        <w:rPr>
          <w:rStyle w:val="CharSectno"/>
        </w:rPr>
        <w:t>59</w:t>
      </w:r>
      <w:r>
        <w:rPr>
          <w:snapToGrid w:val="0"/>
        </w:rPr>
        <w:t>.</w:t>
      </w:r>
      <w:r>
        <w:rPr>
          <w:snapToGrid w:val="0"/>
        </w:rPr>
        <w:tab/>
        <w:t>Imprisonment if fine not paid</w:t>
      </w:r>
      <w:bookmarkEnd w:id="171"/>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lastRenderedPageBreak/>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keepNext/>
        <w:rPr>
          <w:snapToGrid w:val="0"/>
        </w:rPr>
      </w:pPr>
      <w:r>
        <w:rPr>
          <w:snapToGrid w:val="0"/>
        </w:rPr>
        <w:lastRenderedPageBreak/>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Gazette 3 Mar 2000 p. 1015; Act No. 3 of 2008 s. 18.]</w:t>
      </w:r>
    </w:p>
    <w:p>
      <w:pPr>
        <w:pStyle w:val="Heading5"/>
        <w:rPr>
          <w:snapToGrid w:val="0"/>
        </w:rPr>
      </w:pPr>
      <w:bookmarkStart w:id="172" w:name="_Toc178257671"/>
      <w:r>
        <w:rPr>
          <w:rStyle w:val="CharSectno"/>
        </w:rPr>
        <w:t>60</w:t>
      </w:r>
      <w:r>
        <w:rPr>
          <w:snapToGrid w:val="0"/>
        </w:rPr>
        <w:t>.</w:t>
      </w:r>
      <w:r>
        <w:rPr>
          <w:snapToGrid w:val="0"/>
        </w:rPr>
        <w:tab/>
        <w:t>Application of fine etc.</w:t>
      </w:r>
      <w:bookmarkEnd w:id="172"/>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keepLines/>
        <w:rPr>
          <w:snapToGrid w:val="0"/>
        </w:rPr>
      </w:pPr>
      <w:r>
        <w:rPr>
          <w:snapToGrid w:val="0"/>
        </w:rPr>
        <w:lastRenderedPageBreak/>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173" w:name="_Toc178157983"/>
      <w:bookmarkStart w:id="174" w:name="_Toc178158433"/>
      <w:bookmarkStart w:id="175" w:name="_Toc178158733"/>
      <w:bookmarkStart w:id="176" w:name="_Toc178257672"/>
      <w:r>
        <w:rPr>
          <w:rStyle w:val="CharPartNo"/>
        </w:rPr>
        <w:lastRenderedPageBreak/>
        <w:t>Part 8A</w:t>
      </w:r>
      <w:r>
        <w:t> — </w:t>
      </w:r>
      <w:r>
        <w:rPr>
          <w:rStyle w:val="CharPartText"/>
        </w:rPr>
        <w:t>Suspended fine</w:t>
      </w:r>
      <w:bookmarkEnd w:id="173"/>
      <w:bookmarkEnd w:id="174"/>
      <w:bookmarkEnd w:id="175"/>
      <w:bookmarkEnd w:id="176"/>
    </w:p>
    <w:p>
      <w:pPr>
        <w:pStyle w:val="Footnoteheading"/>
      </w:pPr>
      <w:r>
        <w:tab/>
        <w:t>[Heading inserted: No. 45 of 2016 s. 52.]</w:t>
      </w:r>
    </w:p>
    <w:p>
      <w:pPr>
        <w:pStyle w:val="Heading5"/>
      </w:pPr>
      <w:bookmarkStart w:id="177" w:name="_Toc178257673"/>
      <w:r>
        <w:rPr>
          <w:rStyle w:val="CharSectno"/>
        </w:rPr>
        <w:t>60A</w:t>
      </w:r>
      <w:r>
        <w:t>.</w:t>
      </w:r>
      <w:r>
        <w:tab/>
        <w:t>When fine may be suspended</w:t>
      </w:r>
      <w:bookmarkEnd w:id="177"/>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178" w:name="_Toc178257674"/>
      <w:r>
        <w:rPr>
          <w:rStyle w:val="CharSectno"/>
        </w:rPr>
        <w:t>60B</w:t>
      </w:r>
      <w:r>
        <w:t>.</w:t>
      </w:r>
      <w:r>
        <w:tab/>
        <w:t>Effect of suspending fine</w:t>
      </w:r>
      <w:bookmarkEnd w:id="178"/>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179" w:name="_Toc178257675"/>
      <w:r>
        <w:rPr>
          <w:rStyle w:val="CharSectno"/>
        </w:rPr>
        <w:t>60C</w:t>
      </w:r>
      <w:r>
        <w:t>.</w:t>
      </w:r>
      <w:r>
        <w:tab/>
        <w:t>Re</w:t>
      </w:r>
      <w:r>
        <w:noBreakHyphen/>
        <w:t>offender may be dealt with or committed</w:t>
      </w:r>
      <w:bookmarkEnd w:id="179"/>
    </w:p>
    <w:p>
      <w:pPr>
        <w:pStyle w:val="Subsection"/>
        <w:keepNext/>
      </w:pPr>
      <w:r>
        <w:tab/>
        <w:t>(1)</w:t>
      </w:r>
      <w:r>
        <w:tab/>
        <w:t xml:space="preserve">If a court convicts a person of an offence and that offence was committed during the suspension period of a suspended fine </w:t>
      </w:r>
      <w:r>
        <w:lastRenderedPageBreak/>
        <w:t>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180" w:name="_Toc178257676"/>
      <w:r>
        <w:rPr>
          <w:rStyle w:val="CharSectno"/>
        </w:rPr>
        <w:lastRenderedPageBreak/>
        <w:t>60D</w:t>
      </w:r>
      <w:r>
        <w:t>.</w:t>
      </w:r>
      <w:r>
        <w:tab/>
        <w:t>Alleging re</w:t>
      </w:r>
      <w:r>
        <w:noBreakHyphen/>
        <w:t>offending in court</w:t>
      </w:r>
      <w:bookmarkEnd w:id="180"/>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181" w:name="_Toc178257677"/>
      <w:r>
        <w:rPr>
          <w:rStyle w:val="CharSectno"/>
        </w:rPr>
        <w:lastRenderedPageBreak/>
        <w:t>60E</w:t>
      </w:r>
      <w:r>
        <w:t>.</w:t>
      </w:r>
      <w:r>
        <w:tab/>
        <w:t>How re</w:t>
      </w:r>
      <w:r>
        <w:noBreakHyphen/>
        <w:t>offender to be dealt with</w:t>
      </w:r>
      <w:bookmarkEnd w:id="181"/>
    </w:p>
    <w:p>
      <w:pPr>
        <w:pStyle w:val="Subsection"/>
        <w:keepLines/>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keepNext/>
        <w:keepLines/>
      </w:pPr>
      <w:r>
        <w:lastRenderedPageBreak/>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182" w:name="_Toc178157989"/>
      <w:bookmarkStart w:id="183" w:name="_Toc178158439"/>
      <w:bookmarkStart w:id="184" w:name="_Toc178158739"/>
      <w:bookmarkStart w:id="185" w:name="_Toc178257678"/>
      <w:r>
        <w:rPr>
          <w:rStyle w:val="CharPartNo"/>
        </w:rPr>
        <w:lastRenderedPageBreak/>
        <w:t>Part 9</w:t>
      </w:r>
      <w:r>
        <w:rPr>
          <w:rStyle w:val="CharDivNo"/>
        </w:rPr>
        <w:t> </w:t>
      </w:r>
      <w:r>
        <w:t>—</w:t>
      </w:r>
      <w:r>
        <w:rPr>
          <w:rStyle w:val="CharDivText"/>
        </w:rPr>
        <w:t> </w:t>
      </w:r>
      <w:r>
        <w:rPr>
          <w:rStyle w:val="CharPartText"/>
        </w:rPr>
        <w:t>Community based order</w:t>
      </w:r>
      <w:bookmarkEnd w:id="182"/>
      <w:bookmarkEnd w:id="183"/>
      <w:bookmarkEnd w:id="184"/>
      <w:bookmarkEnd w:id="185"/>
    </w:p>
    <w:p>
      <w:pPr>
        <w:pStyle w:val="Heading5"/>
        <w:rPr>
          <w:snapToGrid w:val="0"/>
        </w:rPr>
      </w:pPr>
      <w:bookmarkStart w:id="186" w:name="_Toc178257679"/>
      <w:r>
        <w:rPr>
          <w:rStyle w:val="CharSectno"/>
        </w:rPr>
        <w:t>61</w:t>
      </w:r>
      <w:r>
        <w:rPr>
          <w:snapToGrid w:val="0"/>
        </w:rPr>
        <w:t>.</w:t>
      </w:r>
      <w:r>
        <w:rPr>
          <w:snapToGrid w:val="0"/>
        </w:rPr>
        <w:tab/>
        <w:t>Pre</w:t>
      </w:r>
      <w:r>
        <w:rPr>
          <w:snapToGrid w:val="0"/>
        </w:rPr>
        <w:noBreakHyphen/>
        <w:t>sentence report optional before imposing CBO</w:t>
      </w:r>
      <w:bookmarkEnd w:id="186"/>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87" w:name="_Toc178257680"/>
      <w:r>
        <w:rPr>
          <w:rStyle w:val="CharSectno"/>
        </w:rPr>
        <w:t>62</w:t>
      </w:r>
      <w:r>
        <w:rPr>
          <w:snapToGrid w:val="0"/>
        </w:rPr>
        <w:t>.</w:t>
      </w:r>
      <w:r>
        <w:rPr>
          <w:snapToGrid w:val="0"/>
        </w:rPr>
        <w:tab/>
        <w:t>CBO, nature of</w:t>
      </w:r>
      <w:bookmarkEnd w:id="187"/>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w:t>
      </w:r>
      <w:r>
        <w:t>63; and</w:t>
      </w:r>
      <w:r>
        <w:rPr>
          <w:snapToGrid w:val="0"/>
        </w:rPr>
        <w:t xml:space="preserve"> </w:t>
      </w:r>
    </w:p>
    <w:p>
      <w:pPr>
        <w:pStyle w:val="Indenti"/>
      </w:pPr>
      <w:r>
        <w:tab/>
        <w:t>(iii)</w:t>
      </w:r>
      <w:r>
        <w:tab/>
        <w:t>must comply with any direction imposed under an electronic monitoring requirement under section 67A.</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lastRenderedPageBreak/>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Footnotesection"/>
      </w:pPr>
      <w:r>
        <w:tab/>
        <w:t>[Section 62 amended: No. 30 of 2020 s. 20.]</w:t>
      </w:r>
    </w:p>
    <w:p>
      <w:pPr>
        <w:pStyle w:val="Heading5"/>
        <w:rPr>
          <w:snapToGrid w:val="0"/>
        </w:rPr>
      </w:pPr>
      <w:bookmarkStart w:id="188" w:name="_Toc178257681"/>
      <w:r>
        <w:rPr>
          <w:rStyle w:val="CharSectno"/>
        </w:rPr>
        <w:t>63</w:t>
      </w:r>
      <w:r>
        <w:rPr>
          <w:snapToGrid w:val="0"/>
        </w:rPr>
        <w:t>.</w:t>
      </w:r>
      <w:r>
        <w:rPr>
          <w:snapToGrid w:val="0"/>
        </w:rPr>
        <w:tab/>
        <w:t>CBO, standard obligations of</w:t>
      </w:r>
      <w:bookmarkEnd w:id="188"/>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89" w:name="_Toc178257682"/>
      <w:r>
        <w:rPr>
          <w:rStyle w:val="CharSectno"/>
        </w:rPr>
        <w:t>64</w:t>
      </w:r>
      <w:r>
        <w:rPr>
          <w:snapToGrid w:val="0"/>
        </w:rPr>
        <w:t>.</w:t>
      </w:r>
      <w:r>
        <w:rPr>
          <w:snapToGrid w:val="0"/>
        </w:rPr>
        <w:tab/>
        <w:t>CBO, primary requirements of</w:t>
      </w:r>
      <w:bookmarkEnd w:id="189"/>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90" w:name="_Toc178257683"/>
      <w:r>
        <w:rPr>
          <w:rStyle w:val="CharSectno"/>
        </w:rPr>
        <w:lastRenderedPageBreak/>
        <w:t>65</w:t>
      </w:r>
      <w:r>
        <w:rPr>
          <w:snapToGrid w:val="0"/>
        </w:rPr>
        <w:t>.</w:t>
      </w:r>
      <w:r>
        <w:rPr>
          <w:snapToGrid w:val="0"/>
        </w:rPr>
        <w:tab/>
        <w:t>Supervision requirement</w:t>
      </w:r>
      <w:bookmarkEnd w:id="190"/>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91" w:name="_Toc178257684"/>
      <w:r>
        <w:rPr>
          <w:rStyle w:val="CharSectno"/>
        </w:rPr>
        <w:lastRenderedPageBreak/>
        <w:t>66</w:t>
      </w:r>
      <w:r>
        <w:rPr>
          <w:snapToGrid w:val="0"/>
        </w:rPr>
        <w:t>.</w:t>
      </w:r>
      <w:r>
        <w:rPr>
          <w:snapToGrid w:val="0"/>
        </w:rPr>
        <w:tab/>
        <w:t>Programme requirement</w:t>
      </w:r>
      <w:bookmarkEnd w:id="191"/>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lastRenderedPageBreak/>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192" w:name="_Toc178257685"/>
      <w:r>
        <w:rPr>
          <w:rStyle w:val="CharSectno"/>
        </w:rPr>
        <w:t>67</w:t>
      </w:r>
      <w:r>
        <w:rPr>
          <w:snapToGrid w:val="0"/>
        </w:rPr>
        <w:t>.</w:t>
      </w:r>
      <w:r>
        <w:rPr>
          <w:snapToGrid w:val="0"/>
        </w:rPr>
        <w:tab/>
        <w:t>Community service requirement</w:t>
      </w:r>
      <w:bookmarkEnd w:id="192"/>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lastRenderedPageBreak/>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Heading5"/>
      </w:pPr>
      <w:bookmarkStart w:id="193" w:name="_Toc178257686"/>
      <w:r>
        <w:rPr>
          <w:rStyle w:val="CharSectno"/>
        </w:rPr>
        <w:t>67A</w:t>
      </w:r>
      <w:r>
        <w:t>.</w:t>
      </w:r>
      <w:r>
        <w:tab/>
        <w:t>Electronic monitoring requirement</w:t>
      </w:r>
      <w:bookmarkEnd w:id="193"/>
    </w:p>
    <w:p>
      <w:pPr>
        <w:pStyle w:val="Subsection"/>
      </w:pPr>
      <w:r>
        <w:tab/>
        <w:t>(1)</w:t>
      </w:r>
      <w:r>
        <w:tab/>
        <w:t>This section applies if an offence in respect of which a CBO may apply is a family violence offence and the offender is a serial family violence offender.</w:t>
      </w:r>
    </w:p>
    <w:p>
      <w:pPr>
        <w:pStyle w:val="Subsection"/>
      </w:pPr>
      <w:r>
        <w:tab/>
        <w:t>(2)</w:t>
      </w:r>
      <w:r>
        <w:tab/>
        <w:t xml:space="preserve">Where this section applies, a court must not make a CBO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CBO is to enable the location of the offender to be monitored.</w:t>
      </w:r>
    </w:p>
    <w:p>
      <w:pPr>
        <w:pStyle w:val="Subsection"/>
      </w:pPr>
      <w:r>
        <w:tab/>
        <w:t>(4)</w:t>
      </w:r>
      <w:r>
        <w:tab/>
        <w:t>An electronic monitoring requirement may be imposed only if the court has received a report from the CEO (corrections) about the suitability of electronic monitoring in the particular case.</w:t>
      </w:r>
    </w:p>
    <w:p>
      <w:pPr>
        <w:pStyle w:val="Subsection"/>
      </w:pPr>
      <w:r>
        <w:tab/>
        <w:t>(5)</w:t>
      </w:r>
      <w:r>
        <w:tab/>
        <w:t>If a court considers that electronic monitoring should occur in a particular case, the court may impose an electronic monitoring requirement under this section.</w:t>
      </w:r>
    </w:p>
    <w:p>
      <w:pPr>
        <w:pStyle w:val="Subsection"/>
      </w:pPr>
      <w:r>
        <w:tab/>
        <w:t>(6)</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lastRenderedPageBreak/>
        <w:tab/>
        <w:t>(7)</w:t>
      </w:r>
      <w:r>
        <w:tab/>
        <w:t>The term of an electronic monitoring requirement must be set by the court when it imposes the requirement.</w:t>
      </w:r>
    </w:p>
    <w:p>
      <w:pPr>
        <w:pStyle w:val="Subsection"/>
      </w:pPr>
      <w:r>
        <w:tab/>
        <w:t>(8)</w:t>
      </w:r>
      <w:r>
        <w:tab/>
        <w:t>An electronic monitoring requirement ceases to be in force when its term ends, or when the CBO ceases to be in force, whichever happens first.</w:t>
      </w:r>
    </w:p>
    <w:p>
      <w:pPr>
        <w:pStyle w:val="Footnotesection"/>
      </w:pPr>
      <w:r>
        <w:tab/>
        <w:t>[Section 67A inserted: No. 30 of 2020 s. 21.]</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94" w:name="_Toc178157998"/>
      <w:bookmarkStart w:id="195" w:name="_Toc178158448"/>
      <w:bookmarkStart w:id="196" w:name="_Toc178158748"/>
      <w:bookmarkStart w:id="197" w:name="_Toc178257687"/>
      <w:r>
        <w:rPr>
          <w:rStyle w:val="CharPartNo"/>
        </w:rPr>
        <w:lastRenderedPageBreak/>
        <w:t>Part 10</w:t>
      </w:r>
      <w:r>
        <w:rPr>
          <w:rStyle w:val="CharDivNo"/>
        </w:rPr>
        <w:t> </w:t>
      </w:r>
      <w:r>
        <w:t>—</w:t>
      </w:r>
      <w:r>
        <w:rPr>
          <w:rStyle w:val="CharDivText"/>
        </w:rPr>
        <w:t> </w:t>
      </w:r>
      <w:r>
        <w:rPr>
          <w:rStyle w:val="CharPartText"/>
        </w:rPr>
        <w:t>Intensive supervision order</w:t>
      </w:r>
      <w:bookmarkEnd w:id="194"/>
      <w:bookmarkEnd w:id="195"/>
      <w:bookmarkEnd w:id="196"/>
      <w:bookmarkEnd w:id="197"/>
    </w:p>
    <w:p>
      <w:pPr>
        <w:pStyle w:val="Heading5"/>
        <w:rPr>
          <w:snapToGrid w:val="0"/>
        </w:rPr>
      </w:pPr>
      <w:bookmarkStart w:id="198" w:name="_Toc178257688"/>
      <w:r>
        <w:rPr>
          <w:rStyle w:val="CharSectno"/>
        </w:rPr>
        <w:t>68</w:t>
      </w:r>
      <w:r>
        <w:rPr>
          <w:snapToGrid w:val="0"/>
        </w:rPr>
        <w:t>.</w:t>
      </w:r>
      <w:r>
        <w:rPr>
          <w:snapToGrid w:val="0"/>
        </w:rPr>
        <w:tab/>
        <w:t>Pre</w:t>
      </w:r>
      <w:r>
        <w:rPr>
          <w:snapToGrid w:val="0"/>
        </w:rPr>
        <w:noBreakHyphen/>
        <w:t>sentence report mandatory before imposing ISO</w:t>
      </w:r>
      <w:bookmarkEnd w:id="198"/>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99" w:name="_Toc178257689"/>
      <w:r>
        <w:rPr>
          <w:rStyle w:val="CharSectno"/>
        </w:rPr>
        <w:t>69</w:t>
      </w:r>
      <w:r>
        <w:rPr>
          <w:snapToGrid w:val="0"/>
        </w:rPr>
        <w:t>.</w:t>
      </w:r>
      <w:r>
        <w:rPr>
          <w:snapToGrid w:val="0"/>
        </w:rPr>
        <w:tab/>
        <w:t>ISO, nature of</w:t>
      </w:r>
      <w:bookmarkEnd w:id="199"/>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lastRenderedPageBreak/>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200" w:name="_Toc178257690"/>
      <w:r>
        <w:rPr>
          <w:rStyle w:val="CharSectno"/>
        </w:rPr>
        <w:t>70</w:t>
      </w:r>
      <w:r>
        <w:rPr>
          <w:snapToGrid w:val="0"/>
        </w:rPr>
        <w:t>.</w:t>
      </w:r>
      <w:r>
        <w:rPr>
          <w:snapToGrid w:val="0"/>
        </w:rPr>
        <w:tab/>
        <w:t>ISO, standard obligations of</w:t>
      </w:r>
      <w:bookmarkEnd w:id="200"/>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201" w:name="_Toc178257691"/>
      <w:r>
        <w:rPr>
          <w:rStyle w:val="CharSectno"/>
        </w:rPr>
        <w:t>71</w:t>
      </w:r>
      <w:r>
        <w:rPr>
          <w:snapToGrid w:val="0"/>
        </w:rPr>
        <w:t>.</w:t>
      </w:r>
      <w:r>
        <w:rPr>
          <w:snapToGrid w:val="0"/>
        </w:rPr>
        <w:tab/>
        <w:t>Supervision requirement</w:t>
      </w:r>
      <w:bookmarkEnd w:id="201"/>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lastRenderedPageBreak/>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202" w:name="_Toc178257692"/>
      <w:r>
        <w:rPr>
          <w:rStyle w:val="CharSectno"/>
        </w:rPr>
        <w:t>72</w:t>
      </w:r>
      <w:r>
        <w:rPr>
          <w:snapToGrid w:val="0"/>
        </w:rPr>
        <w:t>.</w:t>
      </w:r>
      <w:r>
        <w:rPr>
          <w:snapToGrid w:val="0"/>
        </w:rPr>
        <w:tab/>
        <w:t>ISO, primary requirements of</w:t>
      </w:r>
      <w:bookmarkEnd w:id="202"/>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203" w:name="_Toc178257693"/>
      <w:r>
        <w:rPr>
          <w:rStyle w:val="CharSectno"/>
        </w:rPr>
        <w:lastRenderedPageBreak/>
        <w:t>73</w:t>
      </w:r>
      <w:r>
        <w:rPr>
          <w:snapToGrid w:val="0"/>
        </w:rPr>
        <w:t>.</w:t>
      </w:r>
      <w:r>
        <w:rPr>
          <w:snapToGrid w:val="0"/>
        </w:rPr>
        <w:tab/>
        <w:t>Programme requirement</w:t>
      </w:r>
      <w:bookmarkEnd w:id="203"/>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lastRenderedPageBreak/>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204" w:name="_Toc178257694"/>
      <w:r>
        <w:rPr>
          <w:rStyle w:val="CharSectno"/>
        </w:rPr>
        <w:t>74</w:t>
      </w:r>
      <w:r>
        <w:rPr>
          <w:snapToGrid w:val="0"/>
        </w:rPr>
        <w:t>.</w:t>
      </w:r>
      <w:r>
        <w:rPr>
          <w:snapToGrid w:val="0"/>
        </w:rPr>
        <w:tab/>
        <w:t>Community service requirement</w:t>
      </w:r>
      <w:bookmarkEnd w:id="204"/>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 xml:space="preserve">A community service requirement ceases to be in force when the offender finishes working the hours set to the satisfaction of </w:t>
      </w:r>
      <w:r>
        <w:rPr>
          <w:snapToGrid w:val="0"/>
        </w:rPr>
        <w:lastRenderedPageBreak/>
        <w:t>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205" w:name="_Toc178257695"/>
      <w:r>
        <w:rPr>
          <w:rStyle w:val="CharSectno"/>
        </w:rPr>
        <w:t>75</w:t>
      </w:r>
      <w:r>
        <w:rPr>
          <w:snapToGrid w:val="0"/>
        </w:rPr>
        <w:t>.</w:t>
      </w:r>
      <w:r>
        <w:rPr>
          <w:snapToGrid w:val="0"/>
        </w:rPr>
        <w:tab/>
        <w:t>Curfew requirement</w:t>
      </w:r>
      <w:bookmarkEnd w:id="205"/>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lastRenderedPageBreak/>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lastRenderedPageBreak/>
        <w:tab/>
        <w:t>(b)</w:t>
      </w:r>
      <w:r>
        <w:tab/>
        <w:t>to 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lastRenderedPageBreak/>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No. 50 of 2003 s. 25; No. 27 of 2004 s. 6(4); No. 65 of 2006 s. 49; No. 45 of 2016 s. 67; No. 13 of 2020 s. 7.]</w:t>
      </w:r>
    </w:p>
    <w:p>
      <w:pPr>
        <w:pStyle w:val="Heading5"/>
      </w:pPr>
      <w:bookmarkStart w:id="206" w:name="_Toc178257696"/>
      <w:r>
        <w:rPr>
          <w:rStyle w:val="CharSectno"/>
        </w:rPr>
        <w:t>76A</w:t>
      </w:r>
      <w:r>
        <w:t>.</w:t>
      </w:r>
      <w:r>
        <w:tab/>
        <w:t>Electronic monitoring requirement</w:t>
      </w:r>
      <w:bookmarkEnd w:id="206"/>
    </w:p>
    <w:p>
      <w:pPr>
        <w:pStyle w:val="Subsection"/>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(1A)</w:t>
      </w:r>
      <w:r>
        <w:tab/>
        <w:t>Where an offence in respect of which an ISO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(4)</w:t>
      </w:r>
      <w:r>
        <w:tab/>
        <w:t>The term of an electronic monitoring requirement must be set by the court when it imposes the requirement.</w:t>
      </w:r>
    </w:p>
    <w:p>
      <w:pPr>
        <w:pStyle w:val="Subsection"/>
      </w:pPr>
      <w:r>
        <w:lastRenderedPageBreak/>
        <w:tab/>
        <w:t>(5)</w:t>
      </w:r>
      <w:r>
        <w:tab/>
        <w:t>An electronic monitoring requirement ceases to be in force when its term ends, or when the ISO ceases to be in force, whichever happens first.</w:t>
      </w:r>
    </w:p>
    <w:p>
      <w:pPr>
        <w:pStyle w:val="Subsection"/>
        <w:keepNext/>
      </w:pPr>
      <w:r>
        <w:tab/>
        <w:t>(6)</w:t>
      </w:r>
      <w:r>
        <w:tab/>
        <w:t>This section does not apply to an offender who, at the time of sentencing, is under 18 years of age.</w:t>
      </w:r>
    </w:p>
    <w:p>
      <w:pPr>
        <w:pStyle w:val="Footnotesection"/>
      </w:pPr>
      <w:r>
        <w:tab/>
        <w:t>[Section 76A inserted: No. 13 of 2020 s. 8; amended: No. 30 of 2020 s. 22.]</w:t>
      </w:r>
    </w:p>
    <w:p>
      <w:pPr>
        <w:pStyle w:val="Heading2"/>
      </w:pPr>
      <w:bookmarkStart w:id="207" w:name="_Toc178158008"/>
      <w:bookmarkStart w:id="208" w:name="_Toc178158458"/>
      <w:bookmarkStart w:id="209" w:name="_Toc178158758"/>
      <w:bookmarkStart w:id="210" w:name="_Toc178257697"/>
      <w:r>
        <w:rPr>
          <w:rStyle w:val="CharPartNo"/>
        </w:rPr>
        <w:lastRenderedPageBreak/>
        <w:t>Part 11</w:t>
      </w:r>
      <w:r>
        <w:rPr>
          <w:rStyle w:val="CharDivNo"/>
        </w:rPr>
        <w:t> </w:t>
      </w:r>
      <w:r>
        <w:t>—</w:t>
      </w:r>
      <w:r>
        <w:rPr>
          <w:rStyle w:val="CharDivText"/>
        </w:rPr>
        <w:t> </w:t>
      </w:r>
      <w:r>
        <w:rPr>
          <w:rStyle w:val="CharPartText"/>
        </w:rPr>
        <w:t>Suspended imprisonment</w:t>
      </w:r>
      <w:bookmarkEnd w:id="207"/>
      <w:bookmarkEnd w:id="208"/>
      <w:bookmarkEnd w:id="209"/>
      <w:bookmarkEnd w:id="210"/>
    </w:p>
    <w:p>
      <w:pPr>
        <w:pStyle w:val="Heading5"/>
        <w:rPr>
          <w:snapToGrid w:val="0"/>
        </w:rPr>
      </w:pPr>
      <w:bookmarkStart w:id="211" w:name="_Toc178257698"/>
      <w:r>
        <w:rPr>
          <w:rStyle w:val="CharSectno"/>
        </w:rPr>
        <w:t>76</w:t>
      </w:r>
      <w:r>
        <w:rPr>
          <w:snapToGrid w:val="0"/>
        </w:rPr>
        <w:t>.</w:t>
      </w:r>
      <w:r>
        <w:rPr>
          <w:snapToGrid w:val="0"/>
        </w:rPr>
        <w:tab/>
        <w:t>When imprisonment may be suspended</w:t>
      </w:r>
      <w:bookmarkEnd w:id="211"/>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212" w:name="_Toc178257699"/>
      <w:r>
        <w:rPr>
          <w:rStyle w:val="CharSectno"/>
        </w:rPr>
        <w:t>77</w:t>
      </w:r>
      <w:r>
        <w:rPr>
          <w:snapToGrid w:val="0"/>
        </w:rPr>
        <w:t>.</w:t>
      </w:r>
      <w:r>
        <w:rPr>
          <w:snapToGrid w:val="0"/>
        </w:rPr>
        <w:tab/>
        <w:t>Effect of suspending imprisonment</w:t>
      </w:r>
      <w:bookmarkEnd w:id="212"/>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lastRenderedPageBreak/>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213" w:name="_Toc178257700"/>
      <w:r>
        <w:rPr>
          <w:rStyle w:val="CharSectno"/>
        </w:rPr>
        <w:t>78</w:t>
      </w:r>
      <w:r>
        <w:rPr>
          <w:snapToGrid w:val="0"/>
        </w:rPr>
        <w:t>.</w:t>
      </w:r>
      <w:r>
        <w:rPr>
          <w:snapToGrid w:val="0"/>
        </w:rPr>
        <w:tab/>
        <w:t>Re</w:t>
      </w:r>
      <w:r>
        <w:rPr>
          <w:snapToGrid w:val="0"/>
        </w:rPr>
        <w:noBreakHyphen/>
        <w:t>offender may be dealt with or committed</w:t>
      </w:r>
      <w:bookmarkEnd w:id="213"/>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lastRenderedPageBreak/>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214" w:name="_Toc178257701"/>
      <w:r>
        <w:rPr>
          <w:rStyle w:val="CharSectno"/>
        </w:rPr>
        <w:t>79</w:t>
      </w:r>
      <w:r>
        <w:t>.</w:t>
      </w:r>
      <w:r>
        <w:tab/>
        <w:t>Re</w:t>
      </w:r>
      <w:r>
        <w:noBreakHyphen/>
        <w:t>offending, alleging in court</w:t>
      </w:r>
      <w:bookmarkEnd w:id="214"/>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keepNext/>
        <w:spacing w:before="60"/>
      </w:pPr>
      <w:r>
        <w:lastRenderedPageBreak/>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lastRenderedPageBreak/>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rPr>
          <w:snapToGrid w:val="0"/>
        </w:rPr>
      </w:pPr>
      <w:bookmarkStart w:id="215" w:name="_Toc178257702"/>
      <w:r>
        <w:rPr>
          <w:rStyle w:val="CharSectno"/>
        </w:rPr>
        <w:t>80</w:t>
      </w:r>
      <w:r>
        <w:rPr>
          <w:snapToGrid w:val="0"/>
        </w:rPr>
        <w:t>.</w:t>
      </w:r>
      <w:r>
        <w:rPr>
          <w:snapToGrid w:val="0"/>
        </w:rPr>
        <w:tab/>
        <w:t>How re</w:t>
      </w:r>
      <w:r>
        <w:rPr>
          <w:snapToGrid w:val="0"/>
        </w:rPr>
        <w:noBreakHyphen/>
        <w:t>offender to be dealt with</w:t>
      </w:r>
      <w:bookmarkEnd w:id="215"/>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lastRenderedPageBreak/>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216" w:name="_Toc178158014"/>
      <w:bookmarkStart w:id="217" w:name="_Toc178158464"/>
      <w:bookmarkStart w:id="218" w:name="_Toc178158764"/>
      <w:bookmarkStart w:id="219" w:name="_Toc178257703"/>
      <w:r>
        <w:rPr>
          <w:rStyle w:val="CharPartNo"/>
        </w:rPr>
        <w:lastRenderedPageBreak/>
        <w:t>Part 12</w:t>
      </w:r>
      <w:r>
        <w:rPr>
          <w:b w:val="0"/>
        </w:rPr>
        <w:t> </w:t>
      </w:r>
      <w:r>
        <w:t>—</w:t>
      </w:r>
      <w:r>
        <w:rPr>
          <w:b w:val="0"/>
        </w:rPr>
        <w:t> </w:t>
      </w:r>
      <w:r>
        <w:rPr>
          <w:rStyle w:val="CharPartText"/>
        </w:rPr>
        <w:t>Conditional suspended imprisonment</w:t>
      </w:r>
      <w:bookmarkEnd w:id="216"/>
      <w:bookmarkEnd w:id="217"/>
      <w:bookmarkEnd w:id="218"/>
      <w:bookmarkEnd w:id="219"/>
    </w:p>
    <w:p>
      <w:pPr>
        <w:pStyle w:val="Footnoteheading"/>
      </w:pPr>
      <w:r>
        <w:tab/>
        <w:t>[Heading inserted: No. 27 of 2004 s. 5.]</w:t>
      </w:r>
    </w:p>
    <w:p>
      <w:pPr>
        <w:pStyle w:val="Heading3"/>
      </w:pPr>
      <w:bookmarkStart w:id="220" w:name="_Toc178158015"/>
      <w:bookmarkStart w:id="221" w:name="_Toc178158465"/>
      <w:bookmarkStart w:id="222" w:name="_Toc178158765"/>
      <w:bookmarkStart w:id="223" w:name="_Toc178257704"/>
      <w:r>
        <w:rPr>
          <w:rStyle w:val="CharDivNo"/>
        </w:rPr>
        <w:t>Division 1</w:t>
      </w:r>
      <w:r>
        <w:t> — </w:t>
      </w:r>
      <w:r>
        <w:rPr>
          <w:rStyle w:val="CharDivText"/>
        </w:rPr>
        <w:t>Imposition and effect of CSI</w:t>
      </w:r>
      <w:bookmarkEnd w:id="220"/>
      <w:bookmarkEnd w:id="221"/>
      <w:bookmarkEnd w:id="222"/>
      <w:bookmarkEnd w:id="223"/>
    </w:p>
    <w:p>
      <w:pPr>
        <w:pStyle w:val="Footnoteheading"/>
      </w:pPr>
      <w:r>
        <w:tab/>
        <w:t>[Heading inserted: No. 27 of 2004 s. 5.]</w:t>
      </w:r>
    </w:p>
    <w:p>
      <w:pPr>
        <w:pStyle w:val="Heading5"/>
      </w:pPr>
      <w:bookmarkStart w:id="224" w:name="_Toc178257705"/>
      <w:r>
        <w:rPr>
          <w:rStyle w:val="CharSectno"/>
        </w:rPr>
        <w:t>81</w:t>
      </w:r>
      <w:r>
        <w:t>.</w:t>
      </w:r>
      <w:r>
        <w:tab/>
        <w:t>Certain courts may suspend imprisonment conditionally</w:t>
      </w:r>
      <w:bookmarkEnd w:id="224"/>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lastRenderedPageBreak/>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225" w:name="_Toc178257706"/>
      <w:r>
        <w:rPr>
          <w:rStyle w:val="CharSectno"/>
        </w:rPr>
        <w:t>82</w:t>
      </w:r>
      <w:r>
        <w:t>.</w:t>
      </w:r>
      <w:r>
        <w:tab/>
        <w:t>Effect of CSI</w:t>
      </w:r>
      <w:bookmarkEnd w:id="225"/>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226" w:name="_Toc178257707"/>
      <w:r>
        <w:rPr>
          <w:rStyle w:val="CharSectno"/>
        </w:rPr>
        <w:t>83</w:t>
      </w:r>
      <w:r>
        <w:t>.</w:t>
      </w:r>
      <w:r>
        <w:tab/>
        <w:t>CSI, standard obligations of</w:t>
      </w:r>
      <w:bookmarkEnd w:id="226"/>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 xml:space="preserve">must notify a CCO of any change of address or place of employment within 2 clear working days after the </w:t>
      </w:r>
      <w:r>
        <w:lastRenderedPageBreak/>
        <w:t>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227" w:name="_Toc178257708"/>
      <w:r>
        <w:rPr>
          <w:rStyle w:val="CharSectno"/>
        </w:rPr>
        <w:t>84</w:t>
      </w:r>
      <w:r>
        <w:t>.</w:t>
      </w:r>
      <w:r>
        <w:tab/>
        <w:t>CSI, primary requirements of</w:t>
      </w:r>
      <w:bookmarkEnd w:id="227"/>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228" w:name="_Toc178257709"/>
      <w:r>
        <w:rPr>
          <w:rStyle w:val="CharSectno"/>
        </w:rPr>
        <w:t>84A</w:t>
      </w:r>
      <w:r>
        <w:t>.</w:t>
      </w:r>
      <w:r>
        <w:tab/>
        <w:t>Programme requirement</w:t>
      </w:r>
      <w:bookmarkEnd w:id="228"/>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lastRenderedPageBreak/>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lastRenderedPageBreak/>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229" w:name="_Toc178257710"/>
      <w:r>
        <w:rPr>
          <w:rStyle w:val="CharSectno"/>
        </w:rPr>
        <w:t>84B</w:t>
      </w:r>
      <w:r>
        <w:t>.</w:t>
      </w:r>
      <w:r>
        <w:tab/>
        <w:t>Supervision requirement</w:t>
      </w:r>
      <w:bookmarkEnd w:id="229"/>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lastRenderedPageBreak/>
        <w:tab/>
        <w:t>(7)</w:t>
      </w:r>
      <w:r>
        <w:tab/>
        <w:t>Subsection (3)(b) does not prevent a court from making a reparation order under Part 16.</w:t>
      </w:r>
    </w:p>
    <w:p>
      <w:pPr>
        <w:pStyle w:val="Footnotesection"/>
      </w:pPr>
      <w:r>
        <w:tab/>
        <w:t>[Section 84B inserted: No. 27 of 2004 s. 5.]</w:t>
      </w:r>
    </w:p>
    <w:p>
      <w:pPr>
        <w:pStyle w:val="Heading5"/>
      </w:pPr>
      <w:bookmarkStart w:id="230" w:name="_Toc178257711"/>
      <w:r>
        <w:rPr>
          <w:rStyle w:val="CharSectno"/>
        </w:rPr>
        <w:t>84C</w:t>
      </w:r>
      <w:r>
        <w:t>.</w:t>
      </w:r>
      <w:r>
        <w:tab/>
        <w:t>Curfew requirement</w:t>
      </w:r>
      <w:bookmarkEnd w:id="230"/>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lastRenderedPageBreak/>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keepNext/>
      </w:pPr>
      <w:r>
        <w:lastRenderedPageBreak/>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No. 27 of 2004 s. 5; amended: No. 65 of 2006 s. 49; No. 13 of 2020 s. 10.]</w:t>
      </w:r>
    </w:p>
    <w:p>
      <w:pPr>
        <w:pStyle w:val="Heading5"/>
      </w:pPr>
      <w:bookmarkStart w:id="231" w:name="_Toc178257712"/>
      <w:r>
        <w:rPr>
          <w:rStyle w:val="CharSectno"/>
        </w:rPr>
        <w:lastRenderedPageBreak/>
        <w:t>84CA</w:t>
      </w:r>
      <w:r>
        <w:t>.</w:t>
      </w:r>
      <w:r>
        <w:tab/>
        <w:t>Electronic monitoring requirement</w:t>
      </w:r>
      <w:bookmarkEnd w:id="231"/>
    </w:p>
    <w:p>
      <w:pPr>
        <w:pStyle w:val="Subsection"/>
        <w:keepNext/>
      </w:pPr>
      <w:r>
        <w:tab/>
        <w:t>(1)</w:t>
      </w:r>
      <w:r>
        <w:tab/>
        <w:t>The purpose of electronic monitoring under this section is to enable the location of an offender to be monitored where the offender presents a high risk to —</w:t>
      </w:r>
    </w:p>
    <w:p>
      <w:pPr>
        <w:pStyle w:val="Indenta"/>
        <w:keepNext/>
      </w:pPr>
      <w:r>
        <w:tab/>
        <w:t>(a)</w:t>
      </w:r>
      <w:r>
        <w:tab/>
        <w:t>a person; or</w:t>
      </w:r>
    </w:p>
    <w:p>
      <w:pPr>
        <w:pStyle w:val="Indenta"/>
        <w:keepNext/>
      </w:pPr>
      <w:r>
        <w:tab/>
        <w:t>(b)</w:t>
      </w:r>
      <w:r>
        <w:tab/>
        <w:t>a group of persons; or</w:t>
      </w:r>
    </w:p>
    <w:p>
      <w:pPr>
        <w:pStyle w:val="Indenta"/>
        <w:keepNext/>
      </w:pPr>
      <w:r>
        <w:tab/>
        <w:t>(c)</w:t>
      </w:r>
      <w:r>
        <w:tab/>
        <w:t>the community more generally.</w:t>
      </w:r>
    </w:p>
    <w:p>
      <w:pPr>
        <w:pStyle w:val="Subsection"/>
      </w:pPr>
      <w:r>
        <w:tab/>
        <w:t>(1A)</w:t>
      </w:r>
      <w:r>
        <w:tab/>
        <w:t>Where an offence in respect of which CSI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An electronic monitoring requirement may be imposed only if the court has received a report from the CEO (corrections) about the suitability of electronic monitoring in the particular case.</w:t>
      </w:r>
    </w:p>
    <w:p>
      <w:pPr>
        <w:pStyle w:val="Subsection"/>
      </w:pPr>
      <w:r>
        <w:tab/>
        <w:t>(4)</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(5)</w:t>
      </w:r>
      <w:r>
        <w:tab/>
        <w:t>An electronic monitoring requirement ceases to be in force when the suspension period ends.</w:t>
      </w:r>
    </w:p>
    <w:p>
      <w:pPr>
        <w:pStyle w:val="Footnotesection"/>
      </w:pPr>
      <w:r>
        <w:tab/>
        <w:t>[Section 84CA inserted: No. 13 of 2020 s. 11; amended: No. 30 of 2020 s. 23.]</w:t>
      </w:r>
    </w:p>
    <w:p>
      <w:pPr>
        <w:pStyle w:val="Heading3"/>
      </w:pPr>
      <w:bookmarkStart w:id="232" w:name="_Toc178158024"/>
      <w:bookmarkStart w:id="233" w:name="_Toc178158474"/>
      <w:bookmarkStart w:id="234" w:name="_Toc178158774"/>
      <w:bookmarkStart w:id="235" w:name="_Toc178257713"/>
      <w:r>
        <w:rPr>
          <w:rStyle w:val="CharDivNo"/>
        </w:rPr>
        <w:lastRenderedPageBreak/>
        <w:t>Division 2</w:t>
      </w:r>
      <w:r>
        <w:t> — </w:t>
      </w:r>
      <w:r>
        <w:rPr>
          <w:rStyle w:val="CharDivText"/>
        </w:rPr>
        <w:t>Consequences of re</w:t>
      </w:r>
      <w:r>
        <w:rPr>
          <w:rStyle w:val="CharDivText"/>
        </w:rPr>
        <w:noBreakHyphen/>
        <w:t>offending</w:t>
      </w:r>
      <w:bookmarkEnd w:id="232"/>
      <w:bookmarkEnd w:id="233"/>
      <w:bookmarkEnd w:id="234"/>
      <w:bookmarkEnd w:id="235"/>
    </w:p>
    <w:p>
      <w:pPr>
        <w:pStyle w:val="Footnoteheading"/>
      </w:pPr>
      <w:r>
        <w:tab/>
        <w:t>[Heading inserted: No. 27 of 2004 s. 5.]</w:t>
      </w:r>
    </w:p>
    <w:p>
      <w:pPr>
        <w:pStyle w:val="Heading5"/>
      </w:pPr>
      <w:bookmarkStart w:id="236" w:name="_Toc178257714"/>
      <w:r>
        <w:rPr>
          <w:rStyle w:val="CharSectno"/>
        </w:rPr>
        <w:t>84D</w:t>
      </w:r>
      <w:r>
        <w:t>.</w:t>
      </w:r>
      <w:r>
        <w:tab/>
        <w:t>Re</w:t>
      </w:r>
      <w:r>
        <w:noBreakHyphen/>
        <w:t>offender may be dealt with or committed</w:t>
      </w:r>
      <w:bookmarkEnd w:id="236"/>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lastRenderedPageBreak/>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237" w:name="_Toc178257715"/>
      <w:r>
        <w:rPr>
          <w:rStyle w:val="CharSectno"/>
        </w:rPr>
        <w:t>84E</w:t>
      </w:r>
      <w:r>
        <w:t>.</w:t>
      </w:r>
      <w:r>
        <w:tab/>
        <w:t>Re</w:t>
      </w:r>
      <w:r>
        <w:noBreakHyphen/>
        <w:t>offending, alleging in court</w:t>
      </w:r>
      <w:bookmarkEnd w:id="237"/>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lastRenderedPageBreak/>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238" w:name="_Toc178257716"/>
      <w:r>
        <w:rPr>
          <w:rStyle w:val="CharSectno"/>
        </w:rPr>
        <w:t>84F</w:t>
      </w:r>
      <w:r>
        <w:t>.</w:t>
      </w:r>
      <w:r>
        <w:tab/>
        <w:t>How re</w:t>
      </w:r>
      <w:r>
        <w:noBreakHyphen/>
        <w:t>offender to be dealt with</w:t>
      </w:r>
      <w:bookmarkEnd w:id="238"/>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 xml:space="preserve">unless an order under this paragraph, paragraph (a) or section 84L(1)(a) or (b) has already been made, it may order the person to serve part of the term or terms of </w:t>
      </w:r>
      <w:r>
        <w:lastRenderedPageBreak/>
        <w:t>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 xml:space="preserve">An order by a superior court under subsection (1) in a case where the sentence of CSI was imposed for an offence for which the person had not been convicted on indictment is to be </w:t>
      </w:r>
      <w:r>
        <w:lastRenderedPageBreak/>
        <w:t>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Pr>
      <w:bookmarkStart w:id="239" w:name="_Toc178158028"/>
      <w:bookmarkStart w:id="240" w:name="_Toc178158478"/>
      <w:bookmarkStart w:id="241" w:name="_Toc178158778"/>
      <w:bookmarkStart w:id="242" w:name="_Toc178257717"/>
      <w:r>
        <w:rPr>
          <w:rStyle w:val="CharDivNo"/>
        </w:rPr>
        <w:t>Division 3</w:t>
      </w:r>
      <w:r>
        <w:t> — </w:t>
      </w:r>
      <w:r>
        <w:rPr>
          <w:rStyle w:val="CharDivText"/>
        </w:rPr>
        <w:t>Amending, cancelling and enforcing CSI requirements</w:t>
      </w:r>
      <w:bookmarkEnd w:id="239"/>
      <w:bookmarkEnd w:id="240"/>
      <w:bookmarkEnd w:id="241"/>
      <w:bookmarkEnd w:id="242"/>
    </w:p>
    <w:p>
      <w:pPr>
        <w:pStyle w:val="Footnoteheading"/>
        <w:keepNext/>
        <w:keepLines/>
        <w:spacing w:before="100"/>
      </w:pPr>
      <w:r>
        <w:tab/>
        <w:t>[Heading inserted: No. 27 of 2004 s. 5.]</w:t>
      </w:r>
    </w:p>
    <w:p>
      <w:pPr>
        <w:pStyle w:val="Heading5"/>
      </w:pPr>
      <w:bookmarkStart w:id="243" w:name="_Toc178257718"/>
      <w:r>
        <w:rPr>
          <w:rStyle w:val="CharSectno"/>
        </w:rPr>
        <w:t>84G</w:t>
      </w:r>
      <w:r>
        <w:t>.</w:t>
      </w:r>
      <w:r>
        <w:tab/>
        <w:t>Term used: CSI requirement</w:t>
      </w:r>
      <w:bookmarkEnd w:id="243"/>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244" w:name="_Toc178257719"/>
      <w:r>
        <w:rPr>
          <w:rStyle w:val="CharSectno"/>
        </w:rPr>
        <w:t>84H</w:t>
      </w:r>
      <w:r>
        <w:t>.</w:t>
      </w:r>
      <w:r>
        <w:tab/>
        <w:t>Application to amend or cancel CSI requirement</w:t>
      </w:r>
      <w:bookmarkEnd w:id="244"/>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245" w:name="_Toc178257720"/>
      <w:r>
        <w:rPr>
          <w:rStyle w:val="CharSectno"/>
        </w:rPr>
        <w:t>84I</w:t>
      </w:r>
      <w:r>
        <w:t>.</w:t>
      </w:r>
      <w:r>
        <w:tab/>
        <w:t>Court may confirm, amend or cancel CSI requirement</w:t>
      </w:r>
      <w:bookmarkEnd w:id="245"/>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lastRenderedPageBreak/>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246" w:name="_Toc178257721"/>
      <w:r>
        <w:rPr>
          <w:rStyle w:val="CharSectno"/>
        </w:rPr>
        <w:t>84J</w:t>
      </w:r>
      <w:r>
        <w:t>.</w:t>
      </w:r>
      <w:r>
        <w:tab/>
        <w:t>Breach of CSI requirement, offence</w:t>
      </w:r>
      <w:bookmarkEnd w:id="246"/>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w:t>
      </w:r>
    </w:p>
    <w:p>
      <w:pPr>
        <w:pStyle w:val="Heading5"/>
      </w:pPr>
      <w:bookmarkStart w:id="247" w:name="_Toc178257722"/>
      <w:r>
        <w:rPr>
          <w:rStyle w:val="CharSectno"/>
        </w:rPr>
        <w:t>84K</w:t>
      </w:r>
      <w:r>
        <w:t>.</w:t>
      </w:r>
      <w:r>
        <w:tab/>
        <w:t>Offence under s. 84J, procedure and penalty for</w:t>
      </w:r>
      <w:bookmarkEnd w:id="247"/>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lastRenderedPageBreak/>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248" w:name="_Toc178257723"/>
      <w:r>
        <w:rPr>
          <w:rStyle w:val="CharSectno"/>
        </w:rPr>
        <w:t>84L</w:t>
      </w:r>
      <w:r>
        <w:t>.</w:t>
      </w:r>
      <w:r>
        <w:tab/>
        <w:t>Additional powers to deal with s. 84J offender</w:t>
      </w:r>
      <w:bookmarkEnd w:id="248"/>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 xml:space="preserve">unless an order under this paragraph, paragraph (b) or section 84F(1)(a) or (b) has already been made, it may </w:t>
      </w:r>
      <w:r>
        <w:lastRenderedPageBreak/>
        <w:t>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249" w:name="_Toc178257724"/>
      <w:r>
        <w:rPr>
          <w:rStyle w:val="CharSectno"/>
        </w:rPr>
        <w:lastRenderedPageBreak/>
        <w:t>84M</w:t>
      </w:r>
      <w:r>
        <w:t>.</w:t>
      </w:r>
      <w:r>
        <w:tab/>
        <w:t>Facilitation of proof</w:t>
      </w:r>
      <w:bookmarkEnd w:id="249"/>
    </w:p>
    <w:p>
      <w:pPr>
        <w:pStyle w:val="Subsection"/>
        <w:keepNext/>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250" w:name="_Toc178158036"/>
      <w:bookmarkStart w:id="251" w:name="_Toc178158486"/>
      <w:bookmarkStart w:id="252" w:name="_Toc178158786"/>
      <w:bookmarkStart w:id="253" w:name="_Toc178257725"/>
      <w:r>
        <w:rPr>
          <w:rStyle w:val="CharDivNo"/>
        </w:rPr>
        <w:t>Division 4</w:t>
      </w:r>
      <w:r>
        <w:t> — </w:t>
      </w:r>
      <w:r>
        <w:rPr>
          <w:rStyle w:val="CharDivText"/>
        </w:rPr>
        <w:t>Functions of speciality courts as to CSI</w:t>
      </w:r>
      <w:bookmarkEnd w:id="250"/>
      <w:bookmarkEnd w:id="251"/>
      <w:bookmarkEnd w:id="252"/>
      <w:bookmarkEnd w:id="253"/>
    </w:p>
    <w:p>
      <w:pPr>
        <w:pStyle w:val="Footnoteheading"/>
      </w:pPr>
      <w:r>
        <w:tab/>
        <w:t>[Heading inserted: No. 27 of 2004 s. 5.]</w:t>
      </w:r>
    </w:p>
    <w:p>
      <w:pPr>
        <w:pStyle w:val="Heading5"/>
      </w:pPr>
      <w:bookmarkStart w:id="254" w:name="_Toc178257726"/>
      <w:r>
        <w:rPr>
          <w:rStyle w:val="CharSectno"/>
        </w:rPr>
        <w:t>84N</w:t>
      </w:r>
      <w:r>
        <w:t>.</w:t>
      </w:r>
      <w:r>
        <w:tab/>
        <w:t>Application of this Division</w:t>
      </w:r>
      <w:bookmarkEnd w:id="254"/>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lastRenderedPageBreak/>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255" w:name="_Toc178257727"/>
      <w:r>
        <w:rPr>
          <w:rStyle w:val="CharSectno"/>
        </w:rPr>
        <w:t>84O</w:t>
      </w:r>
      <w:r>
        <w:t>.</w:t>
      </w:r>
      <w:r>
        <w:tab/>
        <w:t>Speciality court may direct offender on CSI to appear</w:t>
      </w:r>
      <w:bookmarkEnd w:id="255"/>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256" w:name="_Toc178257728"/>
      <w:r>
        <w:rPr>
          <w:rStyle w:val="CharSectno"/>
        </w:rPr>
        <w:t>84P</w:t>
      </w:r>
      <w:r>
        <w:t>.</w:t>
      </w:r>
      <w:r>
        <w:tab/>
        <w:t>Speciality court to deal with re</w:t>
      </w:r>
      <w:r>
        <w:noBreakHyphen/>
        <w:t>offender</w:t>
      </w:r>
      <w:bookmarkEnd w:id="256"/>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lastRenderedPageBreak/>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257" w:name="_Toc178257729"/>
      <w:r>
        <w:rPr>
          <w:rStyle w:val="CharSectno"/>
        </w:rPr>
        <w:t>84Q</w:t>
      </w:r>
      <w:r>
        <w:t>.</w:t>
      </w:r>
      <w:r>
        <w:tab/>
        <w:t>Speciality court to deal with application to amend or cancel CSI</w:t>
      </w:r>
      <w:bookmarkEnd w:id="257"/>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258" w:name="_Toc178257730"/>
      <w:r>
        <w:rPr>
          <w:rStyle w:val="CharSectno"/>
        </w:rPr>
        <w:t>84R</w:t>
      </w:r>
      <w:r>
        <w:t>.</w:t>
      </w:r>
      <w:r>
        <w:tab/>
        <w:t>Speciality court to deal with proceedings for breaches</w:t>
      </w:r>
      <w:bookmarkEnd w:id="258"/>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259" w:name="_Toc178158042"/>
      <w:bookmarkStart w:id="260" w:name="_Toc178158492"/>
      <w:bookmarkStart w:id="261" w:name="_Toc178158792"/>
      <w:bookmarkStart w:id="262" w:name="_Toc178257731"/>
      <w:r>
        <w:rPr>
          <w:rStyle w:val="CharPartNo"/>
        </w:rPr>
        <w:lastRenderedPageBreak/>
        <w:t>Part 13</w:t>
      </w:r>
      <w:r>
        <w:t> — </w:t>
      </w:r>
      <w:r>
        <w:rPr>
          <w:rStyle w:val="CharPartText"/>
        </w:rPr>
        <w:t>Imprisonment</w:t>
      </w:r>
      <w:bookmarkEnd w:id="259"/>
      <w:bookmarkEnd w:id="260"/>
      <w:bookmarkEnd w:id="261"/>
      <w:bookmarkEnd w:id="262"/>
    </w:p>
    <w:p>
      <w:pPr>
        <w:pStyle w:val="Heading3"/>
        <w:spacing w:before="180"/>
      </w:pPr>
      <w:bookmarkStart w:id="263" w:name="_Toc178158043"/>
      <w:bookmarkStart w:id="264" w:name="_Toc178158493"/>
      <w:bookmarkStart w:id="265" w:name="_Toc178158793"/>
      <w:bookmarkStart w:id="266" w:name="_Toc178257732"/>
      <w:r>
        <w:rPr>
          <w:rStyle w:val="CharDivNo"/>
        </w:rPr>
        <w:t>Division 1</w:t>
      </w:r>
      <w:r>
        <w:rPr>
          <w:snapToGrid w:val="0"/>
        </w:rPr>
        <w:t> — </w:t>
      </w:r>
      <w:r>
        <w:rPr>
          <w:rStyle w:val="CharDivText"/>
        </w:rPr>
        <w:t>Preliminary</w:t>
      </w:r>
      <w:bookmarkEnd w:id="263"/>
      <w:bookmarkEnd w:id="264"/>
      <w:bookmarkEnd w:id="265"/>
      <w:bookmarkEnd w:id="266"/>
    </w:p>
    <w:p>
      <w:pPr>
        <w:pStyle w:val="Heading5"/>
        <w:spacing w:before="180"/>
        <w:rPr>
          <w:snapToGrid w:val="0"/>
        </w:rPr>
      </w:pPr>
      <w:bookmarkStart w:id="267" w:name="_Toc178257733"/>
      <w:r>
        <w:rPr>
          <w:rStyle w:val="CharSectno"/>
        </w:rPr>
        <w:t>85</w:t>
      </w:r>
      <w:r>
        <w:rPr>
          <w:snapToGrid w:val="0"/>
        </w:rPr>
        <w:t>.</w:t>
      </w:r>
      <w:r>
        <w:rPr>
          <w:snapToGrid w:val="0"/>
        </w:rPr>
        <w:tab/>
        <w:t>Terms used and calculations</w:t>
      </w:r>
      <w:bookmarkEnd w:id="267"/>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lastRenderedPageBreak/>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lastRenderedPageBreak/>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268" w:name="_Toc178158045"/>
      <w:bookmarkStart w:id="269" w:name="_Toc178158495"/>
      <w:bookmarkStart w:id="270" w:name="_Toc178158795"/>
      <w:bookmarkStart w:id="271" w:name="_Toc178257734"/>
      <w:r>
        <w:rPr>
          <w:rStyle w:val="CharDivNo"/>
        </w:rPr>
        <w:t>Division 2</w:t>
      </w:r>
      <w:r>
        <w:rPr>
          <w:snapToGrid w:val="0"/>
        </w:rPr>
        <w:t> — </w:t>
      </w:r>
      <w:r>
        <w:rPr>
          <w:rStyle w:val="CharDivText"/>
        </w:rPr>
        <w:t>Imposing imprisonment</w:t>
      </w:r>
      <w:bookmarkEnd w:id="268"/>
      <w:bookmarkEnd w:id="269"/>
      <w:bookmarkEnd w:id="270"/>
      <w:bookmarkEnd w:id="271"/>
    </w:p>
    <w:p>
      <w:pPr>
        <w:pStyle w:val="Heading5"/>
        <w:keepNext w:val="0"/>
        <w:keepLines w:val="0"/>
        <w:spacing w:before="240"/>
        <w:rPr>
          <w:snapToGrid w:val="0"/>
        </w:rPr>
      </w:pPr>
      <w:bookmarkStart w:id="272" w:name="_Toc178257735"/>
      <w:r>
        <w:rPr>
          <w:rStyle w:val="CharSectno"/>
        </w:rPr>
        <w:t>86</w:t>
      </w:r>
      <w:r>
        <w:rPr>
          <w:snapToGrid w:val="0"/>
        </w:rPr>
        <w:t>.</w:t>
      </w:r>
      <w:r>
        <w:rPr>
          <w:snapToGrid w:val="0"/>
        </w:rPr>
        <w:tab/>
        <w:t>Term of 6 months or less not to be imposed</w:t>
      </w:r>
      <w:bookmarkEnd w:id="272"/>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lastRenderedPageBreak/>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273" w:name="_Toc178257736"/>
      <w:r>
        <w:rPr>
          <w:rStyle w:val="CharSectno"/>
        </w:rPr>
        <w:t>87</w:t>
      </w:r>
      <w:r>
        <w:rPr>
          <w:snapToGrid w:val="0"/>
        </w:rPr>
        <w:t>.</w:t>
      </w:r>
      <w:r>
        <w:rPr>
          <w:snapToGrid w:val="0"/>
        </w:rPr>
        <w:tab/>
        <w:t>Time on remand may be taken into account</w:t>
      </w:r>
      <w:bookmarkEnd w:id="273"/>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274" w:name="_Toc178257737"/>
      <w:r>
        <w:rPr>
          <w:rStyle w:val="CharSectno"/>
        </w:rPr>
        <w:t>88</w:t>
      </w:r>
      <w:r>
        <w:rPr>
          <w:snapToGrid w:val="0"/>
        </w:rPr>
        <w:t>.</w:t>
      </w:r>
      <w:r>
        <w:rPr>
          <w:snapToGrid w:val="0"/>
        </w:rPr>
        <w:tab/>
        <w:t>Concurrent, cumulative or partly cumulative terms</w:t>
      </w:r>
      <w:bookmarkEnd w:id="274"/>
    </w:p>
    <w:p>
      <w:pPr>
        <w:pStyle w:val="Subsection"/>
        <w:rPr>
          <w:snapToGrid w:val="0"/>
        </w:rPr>
      </w:pPr>
      <w:r>
        <w:rPr>
          <w:snapToGrid w:val="0"/>
        </w:rPr>
        <w:tab/>
        <w:t>(1)</w:t>
      </w:r>
      <w:r>
        <w:rPr>
          <w:snapToGrid w:val="0"/>
        </w:rPr>
        <w:tab/>
        <w:t xml:space="preserve">An offender sentenced to a fixed term is to serve that term concurrently with any other fixed term that he or she is serving </w:t>
      </w:r>
      <w:r>
        <w:rPr>
          <w:snapToGrid w:val="0"/>
        </w:rPr>
        <w:lastRenderedPageBreak/>
        <w:t>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275" w:name="_Toc178257738"/>
      <w:r>
        <w:rPr>
          <w:rStyle w:val="CharSectno"/>
        </w:rPr>
        <w:lastRenderedPageBreak/>
        <w:t>89</w:t>
      </w:r>
      <w:r>
        <w:t>.</w:t>
      </w:r>
      <w:r>
        <w:tab/>
        <w:t>Parole eligibility order, court may make</w:t>
      </w:r>
      <w:bookmarkEnd w:id="275"/>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lastRenderedPageBreak/>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276" w:name="_Toc178257739"/>
      <w:r>
        <w:rPr>
          <w:rStyle w:val="CharSectno"/>
        </w:rPr>
        <w:lastRenderedPageBreak/>
        <w:t>90</w:t>
      </w:r>
      <w:r>
        <w:t>.</w:t>
      </w:r>
      <w:r>
        <w:tab/>
        <w:t>Life imprisonment for murder, imposing</w:t>
      </w:r>
      <w:bookmarkEnd w:id="276"/>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277" w:name="_Toc178158051"/>
      <w:bookmarkStart w:id="278" w:name="_Toc178158501"/>
      <w:bookmarkStart w:id="279" w:name="_Toc178158801"/>
      <w:bookmarkStart w:id="280" w:name="_Toc178257740"/>
      <w:r>
        <w:rPr>
          <w:rStyle w:val="CharDivNo"/>
        </w:rPr>
        <w:lastRenderedPageBreak/>
        <w:t>Division 3</w:t>
      </w:r>
      <w:r>
        <w:rPr>
          <w:snapToGrid w:val="0"/>
        </w:rPr>
        <w:t> — </w:t>
      </w:r>
      <w:r>
        <w:rPr>
          <w:rStyle w:val="CharDivText"/>
        </w:rPr>
        <w:t>Release from imprisonment</w:t>
      </w:r>
      <w:bookmarkEnd w:id="277"/>
      <w:bookmarkEnd w:id="278"/>
      <w:bookmarkEnd w:id="279"/>
      <w:bookmarkEnd w:id="280"/>
    </w:p>
    <w:p>
      <w:pPr>
        <w:pStyle w:val="Ednotesection"/>
      </w:pPr>
      <w:r>
        <w:t>[</w:t>
      </w:r>
      <w:r>
        <w:rPr>
          <w:b/>
        </w:rPr>
        <w:t>92.</w:t>
      </w:r>
      <w:r>
        <w:tab/>
        <w:t>Deleted: No. 50 of 2003 s. 19.]</w:t>
      </w:r>
    </w:p>
    <w:p>
      <w:pPr>
        <w:pStyle w:val="Heading5"/>
      </w:pPr>
      <w:bookmarkStart w:id="281" w:name="_Toc178257741"/>
      <w:r>
        <w:rPr>
          <w:rStyle w:val="CharSectno"/>
        </w:rPr>
        <w:t>93</w:t>
      </w:r>
      <w:r>
        <w:t>.</w:t>
      </w:r>
      <w:r>
        <w:tab/>
        <w:t>Release from parole term</w:t>
      </w:r>
      <w:bookmarkEnd w:id="281"/>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282" w:name="_Toc178257742"/>
      <w:r>
        <w:rPr>
          <w:rStyle w:val="CharSectno"/>
        </w:rPr>
        <w:t>94A</w:t>
      </w:r>
      <w:r>
        <w:t>.</w:t>
      </w:r>
      <w:r>
        <w:tab/>
        <w:t xml:space="preserve">Release on parole of prisoners subject to </w:t>
      </w:r>
      <w:r>
        <w:rPr>
          <w:i/>
        </w:rPr>
        <w:t>Prisoners (Interstate Transfer) Act 1983</w:t>
      </w:r>
      <w:bookmarkEnd w:id="282"/>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keepNext/>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w:t>
      </w:r>
      <w:r>
        <w:lastRenderedPageBreak/>
        <w:t>taken to be a reference to eligibility to be released on parole under subsection (1).</w:t>
      </w:r>
    </w:p>
    <w:p>
      <w:pPr>
        <w:pStyle w:val="Footnotesection"/>
      </w:pPr>
      <w:r>
        <w:tab/>
        <w:t>[Section 94A inserted: No. 32 of 2015 s. 6.]</w:t>
      </w:r>
    </w:p>
    <w:p>
      <w:pPr>
        <w:pStyle w:val="Heading5"/>
      </w:pPr>
      <w:bookmarkStart w:id="283" w:name="_Toc178257743"/>
      <w:r>
        <w:rPr>
          <w:rStyle w:val="CharSectno"/>
        </w:rPr>
        <w:t>94</w:t>
      </w:r>
      <w:r>
        <w:t>.</w:t>
      </w:r>
      <w:r>
        <w:tab/>
        <w:t>Aggregation of parole terms for certain purposes</w:t>
      </w:r>
      <w:bookmarkEnd w:id="283"/>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lastRenderedPageBreak/>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lastRenderedPageBreak/>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284" w:name="_Toc178257744"/>
      <w:r>
        <w:rPr>
          <w:rStyle w:val="CharSectno"/>
        </w:rPr>
        <w:t>95A</w:t>
      </w:r>
      <w:r>
        <w:t>.</w:t>
      </w:r>
      <w:r>
        <w:tab/>
        <w:t>Eligibility for parole where certain mandatory minimum sentences imposed</w:t>
      </w:r>
      <w:bookmarkEnd w:id="284"/>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lastRenderedPageBreak/>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285" w:name="_Toc178257745"/>
      <w:r>
        <w:rPr>
          <w:rStyle w:val="CharSectno"/>
        </w:rPr>
        <w:t>95</w:t>
      </w:r>
      <w:r>
        <w:t>.</w:t>
      </w:r>
      <w:r>
        <w:tab/>
        <w:t>Release from fixed term that is not parole term</w:t>
      </w:r>
      <w:bookmarkEnd w:id="285"/>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286" w:name="_Toc178257746"/>
      <w:r>
        <w:rPr>
          <w:rStyle w:val="CharSectno"/>
        </w:rPr>
        <w:t>96</w:t>
      </w:r>
      <w:r>
        <w:t>.</w:t>
      </w:r>
      <w:r>
        <w:tab/>
        <w:t>Release from life imprisonment</w:t>
      </w:r>
      <w:bookmarkEnd w:id="286"/>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lastRenderedPageBreak/>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287" w:name="_Toc178158058"/>
      <w:bookmarkStart w:id="288" w:name="_Toc178158508"/>
      <w:bookmarkStart w:id="289" w:name="_Toc178158808"/>
      <w:bookmarkStart w:id="290" w:name="_Toc178257747"/>
      <w:r>
        <w:rPr>
          <w:rStyle w:val="CharDivNo"/>
        </w:rPr>
        <w:t>Division 4</w:t>
      </w:r>
      <w:r>
        <w:rPr>
          <w:snapToGrid w:val="0"/>
        </w:rPr>
        <w:t> — </w:t>
      </w:r>
      <w:r>
        <w:rPr>
          <w:rStyle w:val="CharDivText"/>
        </w:rPr>
        <w:t>Miscellaneous</w:t>
      </w:r>
      <w:bookmarkEnd w:id="287"/>
      <w:bookmarkEnd w:id="288"/>
      <w:bookmarkEnd w:id="289"/>
      <w:bookmarkEnd w:id="290"/>
    </w:p>
    <w:p>
      <w:pPr>
        <w:pStyle w:val="Heading5"/>
        <w:rPr>
          <w:snapToGrid w:val="0"/>
        </w:rPr>
      </w:pPr>
      <w:bookmarkStart w:id="291" w:name="_Toc178257748"/>
      <w:r>
        <w:rPr>
          <w:rStyle w:val="CharSectno"/>
        </w:rPr>
        <w:t>97</w:t>
      </w:r>
      <w:r>
        <w:rPr>
          <w:snapToGrid w:val="0"/>
        </w:rPr>
        <w:t>.</w:t>
      </w:r>
      <w:r>
        <w:rPr>
          <w:snapToGrid w:val="0"/>
        </w:rPr>
        <w:tab/>
      </w:r>
      <w:r>
        <w:rPr>
          <w:i/>
          <w:snapToGrid w:val="0"/>
        </w:rPr>
        <w:t>Sentence Administration Act 2003</w:t>
      </w:r>
      <w:r>
        <w:rPr>
          <w:snapToGrid w:val="0"/>
        </w:rPr>
        <w:t>, operation of</w:t>
      </w:r>
      <w:bookmarkEnd w:id="291"/>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292" w:name="_Toc178257749"/>
      <w:r>
        <w:rPr>
          <w:rStyle w:val="CharSectno"/>
        </w:rPr>
        <w:t>97A</w:t>
      </w:r>
      <w:r>
        <w:t>.</w:t>
      </w:r>
      <w:r>
        <w:tab/>
        <w:t xml:space="preserve">Declaration of serious violent offence for purposes of </w:t>
      </w:r>
      <w:r>
        <w:rPr>
          <w:i/>
        </w:rPr>
        <w:t>Sentence Administration Act 2003</w:t>
      </w:r>
      <w:r>
        <w:t xml:space="preserve"> Part 5A</w:t>
      </w:r>
      <w:bookmarkEnd w:id="292"/>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pPr>
        <w:pStyle w:val="Defstart"/>
      </w:pPr>
      <w:r>
        <w:tab/>
      </w:r>
      <w:r>
        <w:rPr>
          <w:rStyle w:val="CharDefText"/>
        </w:rPr>
        <w:t>victim</w:t>
      </w:r>
      <w:r>
        <w:t xml:space="preserve"> has the meaning given in section 13.</w:t>
      </w:r>
    </w:p>
    <w:p>
      <w:pPr>
        <w:pStyle w:val="Subsection"/>
      </w:pPr>
      <w:r>
        <w:tab/>
        <w:t>(2)</w:t>
      </w:r>
      <w:r>
        <w:tab/>
        <w:t>This section applies if —</w:t>
      </w:r>
    </w:p>
    <w:p>
      <w:pPr>
        <w:pStyle w:val="Indenta"/>
      </w:pPr>
      <w:r>
        <w:tab/>
        <w:t>(a)</w:t>
      </w:r>
      <w:r>
        <w:tab/>
        <w:t>a court is sentencing an offender to imprisonment for an indictable offence; and</w:t>
      </w:r>
    </w:p>
    <w:p>
      <w:pPr>
        <w:pStyle w:val="Indenta"/>
      </w:pPr>
      <w:r>
        <w:tab/>
        <w:t>(b)</w:t>
      </w:r>
      <w:r>
        <w:tab/>
        <w:t>the offence —</w:t>
      </w:r>
    </w:p>
    <w:p>
      <w:pPr>
        <w:pStyle w:val="Indenti"/>
      </w:pPr>
      <w:r>
        <w:tab/>
        <w:t>(i)</w:t>
      </w:r>
      <w:r>
        <w:tab/>
        <w:t>involved the use of, or counselling or procuring the use of, or conspiring or attempting to use, a firearm against another person; or</w:t>
      </w:r>
    </w:p>
    <w:p>
      <w:pPr>
        <w:pStyle w:val="Indenti"/>
      </w:pPr>
      <w:r>
        <w:lastRenderedPageBreak/>
        <w:tab/>
        <w:t>(ii)</w:t>
      </w:r>
      <w:r>
        <w:tab/>
        <w:t>involved the use of, or counselling or procuring the use of, or conspiring or attempting to use, serious violence against another person; or</w:t>
      </w:r>
    </w:p>
    <w:p>
      <w:pPr>
        <w:pStyle w:val="Indenti"/>
      </w:pPr>
      <w:r>
        <w:tab/>
        <w:t>(iii)</w:t>
      </w:r>
      <w:r>
        <w:tab/>
        <w:t>resulted in serious harm to, or the death of, another person.</w:t>
      </w:r>
    </w:p>
    <w:p>
      <w:pPr>
        <w:pStyle w:val="Subsection"/>
      </w:pPr>
      <w:r>
        <w:tab/>
        <w:t>(3)</w:t>
      </w:r>
      <w:r>
        <w:tab/>
        <w:t>The sentencing court may declare the offence committed by the offender to be a serious offence for the purposes of —</w:t>
      </w:r>
    </w:p>
    <w:p>
      <w:pPr>
        <w:pStyle w:val="Indenta"/>
      </w:pPr>
      <w:r>
        <w:tab/>
        <w:t>(a)</w:t>
      </w:r>
      <w:r>
        <w:tab/>
        <w:t xml:space="preserve">the </w:t>
      </w:r>
      <w:r>
        <w:rPr>
          <w:i/>
        </w:rPr>
        <w:t>High Risk Serious Offenders Act 2020</w:t>
      </w:r>
      <w:r>
        <w:t>; and</w:t>
      </w:r>
    </w:p>
    <w:p>
      <w:pPr>
        <w:pStyle w:val="Indenta"/>
      </w:pPr>
      <w:r>
        <w:tab/>
        <w:t>(b)</w:t>
      </w:r>
      <w:r>
        <w:tab/>
        <w:t xml:space="preserve">the </w:t>
      </w:r>
      <w:r>
        <w:rPr>
          <w:i/>
        </w:rPr>
        <w:t>Sentence Administration Act 2003</w:t>
      </w:r>
      <w:r>
        <w:t xml:space="preserve"> Part 5A.</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Subsection"/>
      </w:pPr>
      <w:r>
        <w:tab/>
        <w:t>(6)</w:t>
      </w:r>
      <w:r>
        <w:tab/>
        <w:t>In addition to subsection (2), this section applies if —</w:t>
      </w:r>
    </w:p>
    <w:p>
      <w:pPr>
        <w:pStyle w:val="Indenta"/>
      </w:pPr>
      <w:r>
        <w:tab/>
        <w:t>(a)</w:t>
      </w:r>
      <w:r>
        <w:tab/>
        <w:t>a court is sentencing an offender to imprisonment for an offence; and</w:t>
      </w:r>
    </w:p>
    <w:p>
      <w:pPr>
        <w:pStyle w:val="Indenta"/>
      </w:pPr>
      <w:r>
        <w:tab/>
        <w:t>(b)</w:t>
      </w:r>
      <w:r>
        <w:tab/>
        <w:t>the offence is a family violence offence; and</w:t>
      </w:r>
    </w:p>
    <w:p>
      <w:pPr>
        <w:pStyle w:val="Indenta"/>
      </w:pPr>
      <w:r>
        <w:tab/>
        <w:t>(c)</w:t>
      </w:r>
      <w:r>
        <w:tab/>
        <w:t>the offender is a serial family violence offender.</w:t>
      </w:r>
    </w:p>
    <w:p>
      <w:pPr>
        <w:pStyle w:val="Subsection"/>
      </w:pPr>
      <w:r>
        <w:tab/>
        <w:t>(7)</w:t>
      </w:r>
      <w:r>
        <w:tab/>
        <w:t>In a case where subsection (6) applies, the sentencing court must make a declaration under this section.</w:t>
      </w:r>
    </w:p>
    <w:p>
      <w:pPr>
        <w:pStyle w:val="Subsection"/>
        <w:keepNext/>
      </w:pPr>
      <w:r>
        <w:lastRenderedPageBreak/>
        <w:tab/>
        <w:t>(8)</w:t>
      </w:r>
      <w:r>
        <w:tab/>
        <w:t>This section does not limit the ability of a court to make a declaration in relation to the same person under section 124E.</w:t>
      </w:r>
    </w:p>
    <w:p>
      <w:pPr>
        <w:pStyle w:val="Footnotesection"/>
      </w:pPr>
      <w:r>
        <w:tab/>
        <w:t>[Section 97A inserted: No. 45 of 2016 s. 20; amended: No. 6 of 2017 s. 12(2)-(4); No. 29 of 2020 s. 120(2) and (3); No. 30 of 2020 s. 24.]</w:t>
      </w:r>
    </w:p>
    <w:p>
      <w:pPr>
        <w:pStyle w:val="Heading2"/>
      </w:pPr>
      <w:bookmarkStart w:id="293" w:name="_Toc178158061"/>
      <w:bookmarkStart w:id="294" w:name="_Toc178158511"/>
      <w:bookmarkStart w:id="295" w:name="_Toc178158811"/>
      <w:bookmarkStart w:id="296" w:name="_Toc178257750"/>
      <w:r>
        <w:rPr>
          <w:rStyle w:val="CharPartNo"/>
        </w:rPr>
        <w:lastRenderedPageBreak/>
        <w:t>Part 14</w:t>
      </w:r>
      <w:r>
        <w:rPr>
          <w:rStyle w:val="CharDivNo"/>
        </w:rPr>
        <w:t> </w:t>
      </w:r>
      <w:r>
        <w:t>—</w:t>
      </w:r>
      <w:r>
        <w:rPr>
          <w:rStyle w:val="CharDivText"/>
        </w:rPr>
        <w:t> </w:t>
      </w:r>
      <w:r>
        <w:rPr>
          <w:rStyle w:val="CharPartText"/>
        </w:rPr>
        <w:t>Indefinite imprisonment</w:t>
      </w:r>
      <w:bookmarkEnd w:id="293"/>
      <w:bookmarkEnd w:id="294"/>
      <w:bookmarkEnd w:id="295"/>
      <w:bookmarkEnd w:id="296"/>
    </w:p>
    <w:p>
      <w:pPr>
        <w:pStyle w:val="Heading5"/>
        <w:spacing w:before="180"/>
        <w:rPr>
          <w:snapToGrid w:val="0"/>
        </w:rPr>
      </w:pPr>
      <w:bookmarkStart w:id="297" w:name="_Toc178257751"/>
      <w:r>
        <w:rPr>
          <w:rStyle w:val="CharSectno"/>
        </w:rPr>
        <w:t>98</w:t>
      </w:r>
      <w:r>
        <w:rPr>
          <w:snapToGrid w:val="0"/>
        </w:rPr>
        <w:t>.</w:t>
      </w:r>
      <w:r>
        <w:rPr>
          <w:snapToGrid w:val="0"/>
        </w:rPr>
        <w:tab/>
        <w:t>Indefinite imprisonment, superior court may impose</w:t>
      </w:r>
      <w:bookmarkEnd w:id="297"/>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w:t>
      </w:r>
      <w:r>
        <w:lastRenderedPageBreak/>
        <w:t xml:space="preserve">made in respect of the offender under the </w:t>
      </w:r>
      <w:r>
        <w:rPr>
          <w:i/>
          <w:szCs w:val="24"/>
        </w:rPr>
        <w:t>High Risk Serious Offenders Act 2020</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 No. 29 of 2020 s. 121.]</w:t>
      </w:r>
    </w:p>
    <w:p>
      <w:pPr>
        <w:pStyle w:val="Heading5"/>
        <w:rPr>
          <w:snapToGrid w:val="0"/>
        </w:rPr>
      </w:pPr>
      <w:bookmarkStart w:id="298" w:name="_Toc178257752"/>
      <w:r>
        <w:rPr>
          <w:rStyle w:val="CharSectno"/>
        </w:rPr>
        <w:t>99</w:t>
      </w:r>
      <w:r>
        <w:rPr>
          <w:snapToGrid w:val="0"/>
        </w:rPr>
        <w:t>.</w:t>
      </w:r>
      <w:r>
        <w:rPr>
          <w:snapToGrid w:val="0"/>
        </w:rPr>
        <w:tab/>
        <w:t>Other terms not precluded by indefinite imprisonment</w:t>
      </w:r>
      <w:bookmarkEnd w:id="298"/>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299" w:name="_Toc178257753"/>
      <w:r>
        <w:rPr>
          <w:rStyle w:val="CharSectno"/>
        </w:rPr>
        <w:t>100</w:t>
      </w:r>
      <w:r>
        <w:rPr>
          <w:snapToGrid w:val="0"/>
        </w:rPr>
        <w:t>.</w:t>
      </w:r>
      <w:r>
        <w:rPr>
          <w:snapToGrid w:val="0"/>
        </w:rPr>
        <w:tab/>
        <w:t>When indefinite imprisonment commences</w:t>
      </w:r>
      <w:bookmarkEnd w:id="299"/>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300" w:name="_Toc178257754"/>
      <w:r>
        <w:rPr>
          <w:rStyle w:val="CharSectno"/>
        </w:rPr>
        <w:t>101</w:t>
      </w:r>
      <w:r>
        <w:rPr>
          <w:snapToGrid w:val="0"/>
        </w:rPr>
        <w:t>.</w:t>
      </w:r>
      <w:r>
        <w:rPr>
          <w:snapToGrid w:val="0"/>
        </w:rPr>
        <w:tab/>
        <w:t>Release from indefinite imprisonment</w:t>
      </w:r>
      <w:bookmarkEnd w:id="300"/>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301" w:name="_Toc178158066"/>
      <w:bookmarkStart w:id="302" w:name="_Toc178158516"/>
      <w:bookmarkStart w:id="303" w:name="_Toc178158816"/>
      <w:bookmarkStart w:id="304" w:name="_Toc178257755"/>
      <w:r>
        <w:rPr>
          <w:rStyle w:val="CharPartNo"/>
        </w:rPr>
        <w:lastRenderedPageBreak/>
        <w:t>Part 15</w:t>
      </w:r>
      <w:r>
        <w:t> — </w:t>
      </w:r>
      <w:r>
        <w:rPr>
          <w:rStyle w:val="CharPartText"/>
        </w:rPr>
        <w:t>Other orders forming part of a sentence</w:t>
      </w:r>
      <w:bookmarkEnd w:id="301"/>
      <w:bookmarkEnd w:id="302"/>
      <w:bookmarkEnd w:id="303"/>
      <w:bookmarkEnd w:id="304"/>
    </w:p>
    <w:p>
      <w:pPr>
        <w:pStyle w:val="Heading3"/>
      </w:pPr>
      <w:bookmarkStart w:id="305" w:name="_Toc178158067"/>
      <w:bookmarkStart w:id="306" w:name="_Toc178158517"/>
      <w:bookmarkStart w:id="307" w:name="_Toc178158817"/>
      <w:bookmarkStart w:id="308" w:name="_Toc178257756"/>
      <w:r>
        <w:rPr>
          <w:rStyle w:val="CharDivNo"/>
        </w:rPr>
        <w:t>Division 1</w:t>
      </w:r>
      <w:r>
        <w:rPr>
          <w:snapToGrid w:val="0"/>
        </w:rPr>
        <w:t> — </w:t>
      </w:r>
      <w:r>
        <w:rPr>
          <w:rStyle w:val="CharDivText"/>
        </w:rPr>
        <w:t>General matters</w:t>
      </w:r>
      <w:bookmarkEnd w:id="305"/>
      <w:bookmarkEnd w:id="306"/>
      <w:bookmarkEnd w:id="307"/>
      <w:bookmarkEnd w:id="308"/>
    </w:p>
    <w:p>
      <w:pPr>
        <w:pStyle w:val="Heading5"/>
        <w:rPr>
          <w:snapToGrid w:val="0"/>
        </w:rPr>
      </w:pPr>
      <w:bookmarkStart w:id="309" w:name="_Toc178257757"/>
      <w:r>
        <w:rPr>
          <w:rStyle w:val="CharSectno"/>
        </w:rPr>
        <w:t>102</w:t>
      </w:r>
      <w:r>
        <w:rPr>
          <w:snapToGrid w:val="0"/>
        </w:rPr>
        <w:t>.</w:t>
      </w:r>
      <w:r>
        <w:rPr>
          <w:snapToGrid w:val="0"/>
        </w:rPr>
        <w:tab/>
        <w:t>General provisions</w:t>
      </w:r>
      <w:bookmarkEnd w:id="309"/>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310" w:name="_Toc178257758"/>
      <w:r>
        <w:rPr>
          <w:rStyle w:val="CharSectno"/>
        </w:rPr>
        <w:t>103</w:t>
      </w:r>
      <w:r>
        <w:rPr>
          <w:snapToGrid w:val="0"/>
        </w:rPr>
        <w:t>.</w:t>
      </w:r>
      <w:r>
        <w:rPr>
          <w:snapToGrid w:val="0"/>
        </w:rPr>
        <w:tab/>
        <w:t>Disqualification order, calculation of term of</w:t>
      </w:r>
      <w:bookmarkEnd w:id="310"/>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311" w:name="_Toc178257759"/>
      <w:r>
        <w:rPr>
          <w:rStyle w:val="CharSectno"/>
        </w:rPr>
        <w:t>104</w:t>
      </w:r>
      <w:r>
        <w:rPr>
          <w:snapToGrid w:val="0"/>
        </w:rPr>
        <w:t>.</w:t>
      </w:r>
      <w:r>
        <w:rPr>
          <w:snapToGrid w:val="0"/>
        </w:rPr>
        <w:tab/>
        <w:t>Disqualification may be for life</w:t>
      </w:r>
      <w:bookmarkEnd w:id="311"/>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312" w:name="_Toc178158071"/>
      <w:bookmarkStart w:id="313" w:name="_Toc178158521"/>
      <w:bookmarkStart w:id="314" w:name="_Toc178158821"/>
      <w:bookmarkStart w:id="315" w:name="_Toc178257760"/>
      <w:r>
        <w:rPr>
          <w:rStyle w:val="CharDivNo"/>
        </w:rPr>
        <w:t>Division 2</w:t>
      </w:r>
      <w:r>
        <w:rPr>
          <w:snapToGrid w:val="0"/>
        </w:rPr>
        <w:t> — </w:t>
      </w:r>
      <w:r>
        <w:rPr>
          <w:rStyle w:val="CharDivText"/>
        </w:rPr>
        <w:t>Disqualification orders</w:t>
      </w:r>
      <w:bookmarkEnd w:id="312"/>
      <w:bookmarkEnd w:id="313"/>
      <w:bookmarkEnd w:id="314"/>
      <w:bookmarkEnd w:id="315"/>
    </w:p>
    <w:p>
      <w:pPr>
        <w:pStyle w:val="Heading5"/>
        <w:rPr>
          <w:snapToGrid w:val="0"/>
        </w:rPr>
      </w:pPr>
      <w:bookmarkStart w:id="316" w:name="_Toc178257761"/>
      <w:r>
        <w:rPr>
          <w:rStyle w:val="CharSectno"/>
        </w:rPr>
        <w:t>105</w:t>
      </w:r>
      <w:r>
        <w:rPr>
          <w:snapToGrid w:val="0"/>
        </w:rPr>
        <w:t>.</w:t>
      </w:r>
      <w:r>
        <w:rPr>
          <w:snapToGrid w:val="0"/>
        </w:rPr>
        <w:tab/>
        <w:t>Driver’s licence disqualification</w:t>
      </w:r>
      <w:bookmarkEnd w:id="316"/>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lastRenderedPageBreak/>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lastRenderedPageBreak/>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317" w:name="_Toc178257762"/>
      <w:r>
        <w:rPr>
          <w:rStyle w:val="CharSectno"/>
        </w:rPr>
        <w:t>106</w:t>
      </w:r>
      <w:r>
        <w:rPr>
          <w:snapToGrid w:val="0"/>
        </w:rPr>
        <w:t>.</w:t>
      </w:r>
      <w:r>
        <w:rPr>
          <w:snapToGrid w:val="0"/>
        </w:rPr>
        <w:tab/>
        <w:t>Firearms licence etc. disqualification</w:t>
      </w:r>
      <w:bookmarkEnd w:id="317"/>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lastRenderedPageBreak/>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318" w:name="_Toc178257763"/>
      <w:r>
        <w:rPr>
          <w:rStyle w:val="CharSectno"/>
        </w:rPr>
        <w:t>107</w:t>
      </w:r>
      <w:r>
        <w:rPr>
          <w:snapToGrid w:val="0"/>
        </w:rPr>
        <w:t>.</w:t>
      </w:r>
      <w:r>
        <w:rPr>
          <w:snapToGrid w:val="0"/>
        </w:rPr>
        <w:tab/>
        <w:t>Marine qualification disqualification</w:t>
      </w:r>
      <w:bookmarkEnd w:id="318"/>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w:t>
      </w:r>
      <w:r>
        <w:rPr>
          <w:snapToGrid w:val="0"/>
        </w:rPr>
        <w:lastRenderedPageBreak/>
        <w:t xml:space="preserve">from holding or obtaining a </w:t>
      </w:r>
      <w:r>
        <w:t>WA marine qualification or a particular WA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WA 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pPr>
      <w:r>
        <w:tab/>
        <w:t>(4A)</w:t>
      </w:r>
      <w:r>
        <w:tab/>
        <w:t xml:space="preserve">This section does not affect the right or duty of a court to disqualify, under the </w:t>
      </w:r>
      <w:r>
        <w:rPr>
          <w:i/>
        </w:rPr>
        <w:t>Western Australian Marine Act 1982</w:t>
      </w:r>
      <w:r>
        <w:t>, a person from holding or obtaining a WA marine qualification.</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lastRenderedPageBreak/>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vessel</w:t>
      </w:r>
      <w:r>
        <w:t xml:space="preserve"> has the meaning given in the </w:t>
      </w:r>
      <w:r>
        <w:rPr>
          <w:i/>
        </w:rPr>
        <w:t>Western Australian Marine Act 1982</w:t>
      </w:r>
      <w:r>
        <w:t xml:space="preserve"> section 3(1).</w:t>
      </w:r>
    </w:p>
    <w:p>
      <w:pPr>
        <w:pStyle w:val="Defstart"/>
      </w:pPr>
      <w:r>
        <w:tab/>
      </w:r>
      <w:r>
        <w:rPr>
          <w:rStyle w:val="CharDefText"/>
        </w:rPr>
        <w:t>WA marine qualification</w:t>
      </w:r>
      <w:r>
        <w:t xml:space="preserve"> has the meaning given in the </w:t>
      </w:r>
      <w:r>
        <w:rPr>
          <w:i/>
        </w:rPr>
        <w:t>Western Australian Marine Act 1982</w:t>
      </w:r>
      <w:r>
        <w:t xml:space="preserve"> section 3(1);</w:t>
      </w:r>
    </w:p>
    <w:p>
      <w:pPr>
        <w:pStyle w:val="Footnotesection"/>
      </w:pPr>
      <w:r>
        <w:tab/>
        <w:t>[Section 107 amended: No. 29 of 2008 s. 21; No. 24 of 2023 s. 115; No. 31 of 2023 s. 37(3)</w:t>
      </w:r>
      <w:r>
        <w:noBreakHyphen/>
        <w:t>(6).]</w:t>
      </w:r>
    </w:p>
    <w:p>
      <w:pPr>
        <w:pStyle w:val="Heading5"/>
        <w:rPr>
          <w:snapToGrid w:val="0"/>
        </w:rPr>
      </w:pPr>
      <w:bookmarkStart w:id="319" w:name="_Toc178257764"/>
      <w:r>
        <w:rPr>
          <w:rStyle w:val="CharSectno"/>
        </w:rPr>
        <w:t>108</w:t>
      </w:r>
      <w:r>
        <w:rPr>
          <w:snapToGrid w:val="0"/>
        </w:rPr>
        <w:t>.</w:t>
      </w:r>
      <w:r>
        <w:rPr>
          <w:snapToGrid w:val="0"/>
        </w:rPr>
        <w:tab/>
        <w:t>Passport, surrender of etc.</w:t>
      </w:r>
      <w:bookmarkEnd w:id="319"/>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lastRenderedPageBreak/>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keepNext/>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320" w:name="_Toc178158076"/>
      <w:bookmarkStart w:id="321" w:name="_Toc178158526"/>
      <w:bookmarkStart w:id="322" w:name="_Toc178158826"/>
      <w:bookmarkStart w:id="323" w:name="_Toc178257765"/>
      <w:r>
        <w:rPr>
          <w:rStyle w:val="CharPartNo"/>
        </w:rPr>
        <w:lastRenderedPageBreak/>
        <w:t>Part 16</w:t>
      </w:r>
      <w:r>
        <w:t> — </w:t>
      </w:r>
      <w:r>
        <w:rPr>
          <w:rStyle w:val="CharPartText"/>
        </w:rPr>
        <w:t>Reparation orders</w:t>
      </w:r>
      <w:bookmarkEnd w:id="320"/>
      <w:bookmarkEnd w:id="321"/>
      <w:bookmarkEnd w:id="322"/>
      <w:bookmarkEnd w:id="323"/>
    </w:p>
    <w:p>
      <w:pPr>
        <w:pStyle w:val="Heading3"/>
      </w:pPr>
      <w:bookmarkStart w:id="324" w:name="_Toc178158077"/>
      <w:bookmarkStart w:id="325" w:name="_Toc178158527"/>
      <w:bookmarkStart w:id="326" w:name="_Toc178158827"/>
      <w:bookmarkStart w:id="327" w:name="_Toc178257766"/>
      <w:r>
        <w:rPr>
          <w:rStyle w:val="CharDivNo"/>
        </w:rPr>
        <w:t>Division 1</w:t>
      </w:r>
      <w:r>
        <w:rPr>
          <w:snapToGrid w:val="0"/>
        </w:rPr>
        <w:t> — </w:t>
      </w:r>
      <w:r>
        <w:rPr>
          <w:rStyle w:val="CharDivText"/>
        </w:rPr>
        <w:t>General matters</w:t>
      </w:r>
      <w:bookmarkEnd w:id="324"/>
      <w:bookmarkEnd w:id="325"/>
      <w:bookmarkEnd w:id="326"/>
      <w:bookmarkEnd w:id="327"/>
    </w:p>
    <w:p>
      <w:pPr>
        <w:pStyle w:val="Heading5"/>
        <w:rPr>
          <w:snapToGrid w:val="0"/>
        </w:rPr>
      </w:pPr>
      <w:bookmarkStart w:id="328" w:name="_Toc178257767"/>
      <w:r>
        <w:rPr>
          <w:rStyle w:val="CharSectno"/>
        </w:rPr>
        <w:t>109</w:t>
      </w:r>
      <w:r>
        <w:rPr>
          <w:snapToGrid w:val="0"/>
        </w:rPr>
        <w:t>.</w:t>
      </w:r>
      <w:r>
        <w:rPr>
          <w:snapToGrid w:val="0"/>
        </w:rPr>
        <w:tab/>
        <w:t>Term used: reparation order</w:t>
      </w:r>
      <w:bookmarkEnd w:id="328"/>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329" w:name="_Toc178257768"/>
      <w:r>
        <w:rPr>
          <w:rStyle w:val="CharSectno"/>
        </w:rPr>
        <w:t>110</w:t>
      </w:r>
      <w:r>
        <w:rPr>
          <w:snapToGrid w:val="0"/>
        </w:rPr>
        <w:t>.</w:t>
      </w:r>
      <w:r>
        <w:rPr>
          <w:snapToGrid w:val="0"/>
        </w:rPr>
        <w:tab/>
        <w:t>General provisions</w:t>
      </w:r>
      <w:bookmarkEnd w:id="329"/>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330" w:name="_Toc178257769"/>
      <w:r>
        <w:rPr>
          <w:rStyle w:val="CharSectno"/>
        </w:rPr>
        <w:t>111</w:t>
      </w:r>
      <w:r>
        <w:rPr>
          <w:snapToGrid w:val="0"/>
        </w:rPr>
        <w:t>.</w:t>
      </w:r>
      <w:r>
        <w:rPr>
          <w:snapToGrid w:val="0"/>
        </w:rPr>
        <w:tab/>
        <w:t>Making a reparation order</w:t>
      </w:r>
      <w:bookmarkEnd w:id="330"/>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lastRenderedPageBreak/>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331" w:name="_Toc178257770"/>
      <w:r>
        <w:rPr>
          <w:rStyle w:val="CharSectno"/>
        </w:rPr>
        <w:t>112</w:t>
      </w:r>
      <w:r>
        <w:rPr>
          <w:snapToGrid w:val="0"/>
        </w:rPr>
        <w:t>.</w:t>
      </w:r>
      <w:r>
        <w:rPr>
          <w:snapToGrid w:val="0"/>
        </w:rPr>
        <w:tab/>
        <w:t>Facts relevant to making reparation order</w:t>
      </w:r>
      <w:bookmarkEnd w:id="331"/>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332" w:name="_Toc178257771"/>
      <w:r>
        <w:rPr>
          <w:rStyle w:val="CharSectno"/>
        </w:rPr>
        <w:lastRenderedPageBreak/>
        <w:t>113</w:t>
      </w:r>
      <w:r>
        <w:rPr>
          <w:snapToGrid w:val="0"/>
        </w:rPr>
        <w:t>.</w:t>
      </w:r>
      <w:r>
        <w:rPr>
          <w:snapToGrid w:val="0"/>
        </w:rPr>
        <w:tab/>
        <w:t>Victim’s behaviour and relationship relevant</w:t>
      </w:r>
      <w:bookmarkEnd w:id="332"/>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333" w:name="_Toc178257772"/>
      <w:r>
        <w:rPr>
          <w:rStyle w:val="CharSectno"/>
        </w:rPr>
        <w:t>114</w:t>
      </w:r>
      <w:r>
        <w:rPr>
          <w:snapToGrid w:val="0"/>
        </w:rPr>
        <w:t>.</w:t>
      </w:r>
      <w:r>
        <w:rPr>
          <w:snapToGrid w:val="0"/>
        </w:rPr>
        <w:tab/>
        <w:t>Civil standard of proof applies</w:t>
      </w:r>
      <w:bookmarkEnd w:id="333"/>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334" w:name="_Toc178257773"/>
      <w:r>
        <w:rPr>
          <w:rStyle w:val="CharSectno"/>
        </w:rPr>
        <w:t>114A</w:t>
      </w:r>
      <w:r>
        <w:t>.</w:t>
      </w:r>
      <w:r>
        <w:tab/>
        <w:t>Victim may appeal against refusal of reparation order</w:t>
      </w:r>
      <w:bookmarkEnd w:id="334"/>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335" w:name="_Toc178257774"/>
      <w:r>
        <w:rPr>
          <w:rStyle w:val="CharSectno"/>
        </w:rPr>
        <w:lastRenderedPageBreak/>
        <w:t>115</w:t>
      </w:r>
      <w:r>
        <w:rPr>
          <w:snapToGrid w:val="0"/>
        </w:rPr>
        <w:t>.</w:t>
      </w:r>
      <w:r>
        <w:rPr>
          <w:snapToGrid w:val="0"/>
        </w:rPr>
        <w:tab/>
        <w:t>Effect of reparation order on civil proceedings etc.</w:t>
      </w:r>
      <w:bookmarkEnd w:id="335"/>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336" w:name="_Toc178158086"/>
      <w:bookmarkStart w:id="337" w:name="_Toc178158536"/>
      <w:bookmarkStart w:id="338" w:name="_Toc178158836"/>
      <w:bookmarkStart w:id="339" w:name="_Toc178257775"/>
      <w:r>
        <w:rPr>
          <w:rStyle w:val="CharDivNo"/>
        </w:rPr>
        <w:t>Division 2</w:t>
      </w:r>
      <w:r>
        <w:rPr>
          <w:snapToGrid w:val="0"/>
        </w:rPr>
        <w:t> — </w:t>
      </w:r>
      <w:r>
        <w:rPr>
          <w:rStyle w:val="CharDivText"/>
        </w:rPr>
        <w:t>Compensation order</w:t>
      </w:r>
      <w:bookmarkEnd w:id="336"/>
      <w:bookmarkEnd w:id="337"/>
      <w:bookmarkEnd w:id="338"/>
      <w:bookmarkEnd w:id="339"/>
    </w:p>
    <w:p>
      <w:pPr>
        <w:pStyle w:val="Heading5"/>
        <w:rPr>
          <w:snapToGrid w:val="0"/>
        </w:rPr>
      </w:pPr>
      <w:bookmarkStart w:id="340" w:name="_Toc178257776"/>
      <w:r>
        <w:rPr>
          <w:rStyle w:val="CharSectno"/>
        </w:rPr>
        <w:t>116</w:t>
      </w:r>
      <w:r>
        <w:rPr>
          <w:snapToGrid w:val="0"/>
        </w:rPr>
        <w:t>.</w:t>
      </w:r>
      <w:r>
        <w:rPr>
          <w:snapToGrid w:val="0"/>
        </w:rPr>
        <w:tab/>
        <w:t>Terms used</w:t>
      </w:r>
      <w:bookmarkEnd w:id="340"/>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lastRenderedPageBreak/>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341" w:name="_Toc178257777"/>
      <w:r>
        <w:rPr>
          <w:rStyle w:val="CharSectno"/>
        </w:rPr>
        <w:t>117</w:t>
      </w:r>
      <w:r>
        <w:rPr>
          <w:snapToGrid w:val="0"/>
        </w:rPr>
        <w:t>.</w:t>
      </w:r>
      <w:r>
        <w:rPr>
          <w:snapToGrid w:val="0"/>
        </w:rPr>
        <w:tab/>
        <w:t>Compensation order in favour of victim</w:t>
      </w:r>
      <w:bookmarkEnd w:id="341"/>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342" w:name="_Toc178257778"/>
      <w:r>
        <w:rPr>
          <w:rStyle w:val="CharSectno"/>
        </w:rPr>
        <w:t>118</w:t>
      </w:r>
      <w:r>
        <w:rPr>
          <w:snapToGrid w:val="0"/>
        </w:rPr>
        <w:t>.</w:t>
      </w:r>
      <w:r>
        <w:rPr>
          <w:snapToGrid w:val="0"/>
        </w:rPr>
        <w:tab/>
        <w:t>Compensation order in favour of third party</w:t>
      </w:r>
      <w:bookmarkEnd w:id="342"/>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lastRenderedPageBreak/>
        <w:tab/>
        <w:t>(b)</w:t>
      </w:r>
      <w:r>
        <w:rPr>
          <w:snapToGrid w:val="0"/>
        </w:rPr>
        <w:tab/>
        <w:t>any expense reasonably incurred by the third party in connection with complying with the restitution order.</w:t>
      </w:r>
    </w:p>
    <w:p>
      <w:pPr>
        <w:pStyle w:val="Heading5"/>
      </w:pPr>
      <w:bookmarkStart w:id="343" w:name="_Toc178257779"/>
      <w:r>
        <w:rPr>
          <w:rStyle w:val="CharSectno"/>
        </w:rPr>
        <w:t>119</w:t>
      </w:r>
      <w:r>
        <w:t>.</w:t>
      </w:r>
      <w:r>
        <w:tab/>
        <w:t>Enforcing compensation order</w:t>
      </w:r>
      <w:bookmarkEnd w:id="343"/>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344" w:name="_Toc178257780"/>
      <w:r>
        <w:rPr>
          <w:rStyle w:val="CharSectno"/>
        </w:rPr>
        <w:t>119A</w:t>
      </w:r>
      <w:r>
        <w:t>.</w:t>
      </w:r>
      <w:r>
        <w:tab/>
        <w:t>Imprisonment until compensation paid, court may order</w:t>
      </w:r>
      <w:bookmarkEnd w:id="344"/>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lastRenderedPageBreak/>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345" w:name="_Toc178158092"/>
      <w:bookmarkStart w:id="346" w:name="_Toc178158542"/>
      <w:bookmarkStart w:id="347" w:name="_Toc178158842"/>
      <w:bookmarkStart w:id="348" w:name="_Toc178257781"/>
      <w:r>
        <w:rPr>
          <w:rStyle w:val="CharDivNo"/>
        </w:rPr>
        <w:t>Division 3</w:t>
      </w:r>
      <w:r>
        <w:rPr>
          <w:snapToGrid w:val="0"/>
        </w:rPr>
        <w:t> — </w:t>
      </w:r>
      <w:r>
        <w:rPr>
          <w:rStyle w:val="CharDivText"/>
        </w:rPr>
        <w:t>Restitution order</w:t>
      </w:r>
      <w:bookmarkEnd w:id="345"/>
      <w:bookmarkEnd w:id="346"/>
      <w:bookmarkEnd w:id="347"/>
      <w:bookmarkEnd w:id="348"/>
    </w:p>
    <w:p>
      <w:pPr>
        <w:pStyle w:val="Heading5"/>
        <w:rPr>
          <w:snapToGrid w:val="0"/>
        </w:rPr>
      </w:pPr>
      <w:bookmarkStart w:id="349" w:name="_Toc178257782"/>
      <w:r>
        <w:rPr>
          <w:rStyle w:val="CharSectno"/>
        </w:rPr>
        <w:t>120</w:t>
      </w:r>
      <w:r>
        <w:rPr>
          <w:snapToGrid w:val="0"/>
        </w:rPr>
        <w:t>.</w:t>
      </w:r>
      <w:r>
        <w:rPr>
          <w:snapToGrid w:val="0"/>
        </w:rPr>
        <w:tab/>
        <w:t>Making restitution order</w:t>
      </w:r>
      <w:bookmarkEnd w:id="349"/>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350" w:name="_Toc178257783"/>
      <w:r>
        <w:rPr>
          <w:rStyle w:val="CharSectno"/>
        </w:rPr>
        <w:lastRenderedPageBreak/>
        <w:t>120A</w:t>
      </w:r>
      <w:r>
        <w:t>.</w:t>
      </w:r>
      <w:r>
        <w:tab/>
        <w:t>Enforcing restitution order, Sheriff’s powers for</w:t>
      </w:r>
      <w:bookmarkEnd w:id="350"/>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351" w:name="_Toc178257784"/>
      <w:r>
        <w:rPr>
          <w:rStyle w:val="CharSectno"/>
        </w:rPr>
        <w:t>121</w:t>
      </w:r>
      <w:r>
        <w:rPr>
          <w:snapToGrid w:val="0"/>
        </w:rPr>
        <w:t>.</w:t>
      </w:r>
      <w:r>
        <w:rPr>
          <w:snapToGrid w:val="0"/>
        </w:rPr>
        <w:tab/>
        <w:t>Enforcing restitution order, court’s powers for</w:t>
      </w:r>
      <w:bookmarkEnd w:id="351"/>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 xml:space="preserve">If on such an application, the court is satisfied that the offender or the third party (as the case may be) has committed an offence </w:t>
      </w:r>
      <w:r>
        <w:rPr>
          <w:snapToGrid w:val="0"/>
        </w:rPr>
        <w:lastRenderedPageBreak/>
        <w:t>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352" w:name="_Toc178257785"/>
      <w:r>
        <w:rPr>
          <w:rStyle w:val="CharSectno"/>
        </w:rPr>
        <w:t>122</w:t>
      </w:r>
      <w:r>
        <w:rPr>
          <w:snapToGrid w:val="0"/>
        </w:rPr>
        <w:t>.</w:t>
      </w:r>
      <w:r>
        <w:rPr>
          <w:snapToGrid w:val="0"/>
        </w:rPr>
        <w:tab/>
        <w:t>Non</w:t>
      </w:r>
      <w:r>
        <w:rPr>
          <w:snapToGrid w:val="0"/>
        </w:rPr>
        <w:noBreakHyphen/>
        <w:t>compliance with restitution order, offence</w:t>
      </w:r>
      <w:bookmarkEnd w:id="352"/>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353" w:name="_Toc178158097"/>
      <w:bookmarkStart w:id="354" w:name="_Toc178158547"/>
      <w:bookmarkStart w:id="355" w:name="_Toc178158847"/>
      <w:bookmarkStart w:id="356" w:name="_Toc178257786"/>
      <w:r>
        <w:rPr>
          <w:rStyle w:val="CharPartNo"/>
        </w:rPr>
        <w:lastRenderedPageBreak/>
        <w:t>Part 17</w:t>
      </w:r>
      <w:r>
        <w:t> — </w:t>
      </w:r>
      <w:r>
        <w:rPr>
          <w:rStyle w:val="CharPartText"/>
        </w:rPr>
        <w:t>Other orders and declarations not forming part of a sentence</w:t>
      </w:r>
      <w:bookmarkEnd w:id="353"/>
      <w:bookmarkEnd w:id="354"/>
      <w:bookmarkEnd w:id="355"/>
      <w:bookmarkEnd w:id="356"/>
    </w:p>
    <w:p>
      <w:pPr>
        <w:pStyle w:val="Footnoteheading"/>
      </w:pPr>
      <w:r>
        <w:tab/>
        <w:t>[Heading amended: No. 30 of 2020 s. 25.]</w:t>
      </w:r>
    </w:p>
    <w:p>
      <w:pPr>
        <w:pStyle w:val="Heading3"/>
      </w:pPr>
      <w:bookmarkStart w:id="357" w:name="_Toc178158098"/>
      <w:bookmarkStart w:id="358" w:name="_Toc178158548"/>
      <w:bookmarkStart w:id="359" w:name="_Toc178158848"/>
      <w:bookmarkStart w:id="360" w:name="_Toc178257787"/>
      <w:r>
        <w:rPr>
          <w:rStyle w:val="CharDivNo"/>
        </w:rPr>
        <w:t>Division 1</w:t>
      </w:r>
      <w:r>
        <w:t> — </w:t>
      </w:r>
      <w:r>
        <w:rPr>
          <w:rStyle w:val="CharDivText"/>
        </w:rPr>
        <w:t>Preliminary</w:t>
      </w:r>
      <w:bookmarkEnd w:id="357"/>
      <w:bookmarkEnd w:id="358"/>
      <w:bookmarkEnd w:id="359"/>
      <w:bookmarkEnd w:id="360"/>
    </w:p>
    <w:p>
      <w:pPr>
        <w:pStyle w:val="Footnoteheading"/>
      </w:pPr>
      <w:r>
        <w:tab/>
        <w:t>[Heading inserted: No. 30 of 2020 s. 26.]</w:t>
      </w:r>
    </w:p>
    <w:p>
      <w:pPr>
        <w:pStyle w:val="Heading5"/>
        <w:spacing w:before="200"/>
        <w:rPr>
          <w:snapToGrid w:val="0"/>
        </w:rPr>
      </w:pPr>
      <w:bookmarkStart w:id="361" w:name="_Toc178257788"/>
      <w:r>
        <w:rPr>
          <w:rStyle w:val="CharSectno"/>
        </w:rPr>
        <w:t>123</w:t>
      </w:r>
      <w:r>
        <w:rPr>
          <w:snapToGrid w:val="0"/>
        </w:rPr>
        <w:t>.</w:t>
      </w:r>
      <w:r>
        <w:rPr>
          <w:snapToGrid w:val="0"/>
        </w:rPr>
        <w:tab/>
        <w:t>General provisions</w:t>
      </w:r>
      <w:bookmarkEnd w:id="361"/>
    </w:p>
    <w:p>
      <w:pPr>
        <w:pStyle w:val="Subsection"/>
        <w:spacing w:before="120"/>
        <w:rPr>
          <w:snapToGrid w:val="0"/>
        </w:rPr>
      </w:pPr>
      <w:r>
        <w:rPr>
          <w:snapToGrid w:val="0"/>
        </w:rPr>
        <w:tab/>
        <w:t>(1)</w:t>
      </w:r>
      <w:r>
        <w:rPr>
          <w:snapToGrid w:val="0"/>
        </w:rPr>
        <w:tab/>
        <w:t xml:space="preserve">An order </w:t>
      </w:r>
      <w:r>
        <w:t xml:space="preserve">or declaration </w:t>
      </w:r>
      <w:r>
        <w:rPr>
          <w:snapToGrid w:val="0"/>
        </w:rPr>
        <w:t>under this Part is in addition to and not part of the sentence imposed on an offender.</w:t>
      </w:r>
    </w:p>
    <w:p>
      <w:pPr>
        <w:pStyle w:val="Subsection"/>
        <w:spacing w:before="120"/>
        <w:rPr>
          <w:snapToGrid w:val="0"/>
        </w:rPr>
      </w:pPr>
      <w:r>
        <w:rPr>
          <w:snapToGrid w:val="0"/>
        </w:rPr>
        <w:tab/>
        <w:t>(2)</w:t>
      </w:r>
      <w:r>
        <w:rPr>
          <w:snapToGrid w:val="0"/>
        </w:rPr>
        <w:tab/>
        <w:t xml:space="preserve">A sentence must not be reduced because an order </w:t>
      </w:r>
      <w:r>
        <w:t xml:space="preserve">or declaration </w:t>
      </w:r>
      <w:r>
        <w:rPr>
          <w:snapToGrid w:val="0"/>
        </w:rPr>
        <w:t>is made under this Part.</w:t>
      </w:r>
    </w:p>
    <w:p>
      <w:pPr>
        <w:pStyle w:val="Subsection"/>
        <w:spacing w:before="120"/>
        <w:rPr>
          <w:snapToGrid w:val="0"/>
        </w:rPr>
      </w:pPr>
      <w:r>
        <w:rPr>
          <w:snapToGrid w:val="0"/>
        </w:rPr>
        <w:tab/>
        <w:t>(3)</w:t>
      </w:r>
      <w:r>
        <w:rPr>
          <w:snapToGrid w:val="0"/>
        </w:rPr>
        <w:tab/>
        <w:t xml:space="preserve">A court that under Part 6 does not impose a sentence on an offender may nevertheless make an order </w:t>
      </w:r>
      <w:r>
        <w:t xml:space="preserve">or declaration </w:t>
      </w:r>
      <w:r>
        <w:rPr>
          <w:snapToGrid w:val="0"/>
        </w:rPr>
        <w:t>under this Part.</w:t>
      </w:r>
    </w:p>
    <w:p>
      <w:pPr>
        <w:pStyle w:val="Subsection"/>
        <w:spacing w:before="120"/>
        <w:rPr>
          <w:snapToGrid w:val="0"/>
        </w:rPr>
      </w:pPr>
      <w:r>
        <w:rPr>
          <w:snapToGrid w:val="0"/>
        </w:rPr>
        <w:tab/>
        <w:t>(4)</w:t>
      </w:r>
      <w:r>
        <w:rPr>
          <w:snapToGrid w:val="0"/>
        </w:rPr>
        <w:tab/>
        <w:t xml:space="preserve">Despite subsection (1) an offender may appeal against an order </w:t>
      </w:r>
      <w:r>
        <w:t xml:space="preserve">or declaration </w:t>
      </w:r>
      <w:r>
        <w:rPr>
          <w:snapToGrid w:val="0"/>
        </w:rPr>
        <w:t>made under this Part as if it were part of the sentence imposed on him or her.</w:t>
      </w:r>
    </w:p>
    <w:p>
      <w:pPr>
        <w:pStyle w:val="Footnotesection"/>
        <w:spacing w:before="100"/>
      </w:pPr>
      <w:r>
        <w:tab/>
        <w:t>[Section 123 amended: No. 30 of 2020 s. 27.]</w:t>
      </w:r>
    </w:p>
    <w:p>
      <w:pPr>
        <w:pStyle w:val="Heading3"/>
      </w:pPr>
      <w:bookmarkStart w:id="362" w:name="_Toc178158100"/>
      <w:bookmarkStart w:id="363" w:name="_Toc178158550"/>
      <w:bookmarkStart w:id="364" w:name="_Toc178158850"/>
      <w:bookmarkStart w:id="365" w:name="_Toc178257789"/>
      <w:r>
        <w:rPr>
          <w:rStyle w:val="CharDivNo"/>
        </w:rPr>
        <w:t>Division 2</w:t>
      </w:r>
      <w:r>
        <w:t> — </w:t>
      </w:r>
      <w:r>
        <w:rPr>
          <w:rStyle w:val="CharDivText"/>
        </w:rPr>
        <w:t>Orders made under other Acts</w:t>
      </w:r>
      <w:bookmarkEnd w:id="362"/>
      <w:bookmarkEnd w:id="363"/>
      <w:bookmarkEnd w:id="364"/>
      <w:bookmarkEnd w:id="365"/>
    </w:p>
    <w:p>
      <w:pPr>
        <w:pStyle w:val="Footnoteheading"/>
      </w:pPr>
      <w:r>
        <w:tab/>
        <w:t>[Heading inserted: No. 30 of 2020 s. 28.]</w:t>
      </w:r>
    </w:p>
    <w:p>
      <w:pPr>
        <w:pStyle w:val="Heading5"/>
        <w:spacing w:before="200"/>
        <w:rPr>
          <w:snapToGrid w:val="0"/>
        </w:rPr>
      </w:pPr>
      <w:bookmarkStart w:id="366" w:name="_Toc178257790"/>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366"/>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367" w:name="_Toc178257791"/>
      <w:r>
        <w:rPr>
          <w:rStyle w:val="CharSectno"/>
        </w:rPr>
        <w:lastRenderedPageBreak/>
        <w:t>124A</w:t>
      </w:r>
      <w:r>
        <w:t>.</w:t>
      </w:r>
      <w:r>
        <w:tab/>
      </w:r>
      <w:r>
        <w:rPr>
          <w:i/>
        </w:rPr>
        <w:t>Community Protection (Offender Reporting) Act 2004</w:t>
      </w:r>
      <w:r>
        <w:t xml:space="preserve"> s. 13 offender reporting order, s. 123 applies to</w:t>
      </w:r>
      <w:bookmarkEnd w:id="367"/>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368" w:name="_Toc178257792"/>
      <w:r>
        <w:rPr>
          <w:rStyle w:val="CharSectno"/>
        </w:rPr>
        <w:t>124B</w:t>
      </w:r>
      <w:r>
        <w:t>.</w:t>
      </w:r>
      <w:r>
        <w:tab/>
      </w:r>
      <w:r>
        <w:rPr>
          <w:i/>
          <w:iCs/>
        </w:rPr>
        <w:t>Prohibited Behaviour Orders Act 2010</w:t>
      </w:r>
      <w:r>
        <w:rPr>
          <w:iCs/>
        </w:rPr>
        <w:t xml:space="preserve"> prohibited behaviour </w:t>
      </w:r>
      <w:r>
        <w:t>order, s. 123 applies to</w:t>
      </w:r>
      <w:bookmarkEnd w:id="368"/>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369" w:name="_Toc178257793"/>
      <w:r>
        <w:rPr>
          <w:rStyle w:val="CharSectno"/>
        </w:rPr>
        <w:t>124C</w:t>
      </w:r>
      <w:r>
        <w:t>.</w:t>
      </w:r>
      <w:r>
        <w:tab/>
        <w:t xml:space="preserve">Orders under </w:t>
      </w:r>
      <w:r>
        <w:rPr>
          <w:i/>
        </w:rPr>
        <w:t>Criminal Organisations Control Act 2012</w:t>
      </w:r>
      <w:bookmarkEnd w:id="369"/>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3"/>
      </w:pPr>
      <w:bookmarkStart w:id="370" w:name="_Toc178158105"/>
      <w:bookmarkStart w:id="371" w:name="_Toc178158555"/>
      <w:bookmarkStart w:id="372" w:name="_Toc178158855"/>
      <w:bookmarkStart w:id="373" w:name="_Toc178257794"/>
      <w:r>
        <w:rPr>
          <w:rStyle w:val="CharDivNo"/>
        </w:rPr>
        <w:t>Division 3</w:t>
      </w:r>
      <w:r>
        <w:t> — </w:t>
      </w:r>
      <w:r>
        <w:rPr>
          <w:rStyle w:val="CharDivText"/>
        </w:rPr>
        <w:t>Declarations</w:t>
      </w:r>
      <w:bookmarkEnd w:id="370"/>
      <w:bookmarkEnd w:id="371"/>
      <w:bookmarkEnd w:id="372"/>
      <w:bookmarkEnd w:id="373"/>
    </w:p>
    <w:p>
      <w:pPr>
        <w:pStyle w:val="Footnoteheading"/>
      </w:pPr>
      <w:r>
        <w:tab/>
        <w:t>[Heading inserted: No. 30 of 2020 s. 29.]</w:t>
      </w:r>
    </w:p>
    <w:p>
      <w:pPr>
        <w:pStyle w:val="Heading5"/>
      </w:pPr>
      <w:bookmarkStart w:id="374" w:name="_Toc178257795"/>
      <w:r>
        <w:rPr>
          <w:rStyle w:val="CharSectno"/>
        </w:rPr>
        <w:t>124D</w:t>
      </w:r>
      <w:r>
        <w:t>.</w:t>
      </w:r>
      <w:r>
        <w:tab/>
        <w:t>Terms used</w:t>
      </w:r>
      <w:bookmarkEnd w:id="374"/>
    </w:p>
    <w:p>
      <w:pPr>
        <w:pStyle w:val="Subsection"/>
      </w:pPr>
      <w:r>
        <w:tab/>
      </w:r>
      <w:r>
        <w:tab/>
        <w:t>In this Division —</w:t>
      </w:r>
    </w:p>
    <w:p>
      <w:pPr>
        <w:pStyle w:val="Defstart"/>
      </w:pPr>
      <w:r>
        <w:tab/>
      </w:r>
      <w:r>
        <w:rPr>
          <w:rStyle w:val="CharDefText"/>
        </w:rPr>
        <w:t>approved expert</w:t>
      </w:r>
      <w:r>
        <w:t xml:space="preserve"> means a person, or a person of a class of persons, approved by the CEO (corrections) as having the appropriate qualifications, skills and experience to carry out assessments under section 124E; </w:t>
      </w:r>
    </w:p>
    <w:p>
      <w:pPr>
        <w:pStyle w:val="Defstart"/>
        <w:keepNext/>
      </w:pPr>
      <w:r>
        <w:lastRenderedPageBreak/>
        <w:tab/>
      </w:r>
      <w:r>
        <w:rPr>
          <w:rStyle w:val="CharDefText"/>
        </w:rPr>
        <w:t>firearm</w:t>
      </w:r>
      <w:r>
        <w:t xml:space="preserve"> has the meaning given in section 106(5);</w:t>
      </w:r>
    </w:p>
    <w:p>
      <w:pPr>
        <w:pStyle w:val="Defstart"/>
      </w:pPr>
      <w:r>
        <w:tab/>
      </w:r>
      <w:r>
        <w:rPr>
          <w:rStyle w:val="CharDefText"/>
        </w:rPr>
        <w:t>prescribed offence</w:t>
      </w:r>
      <w:r>
        <w:t xml:space="preserve"> means — </w:t>
      </w:r>
    </w:p>
    <w:p>
      <w:pPr>
        <w:pStyle w:val="Defpara"/>
      </w:pPr>
      <w:r>
        <w:tab/>
        <w:t>(a)</w:t>
      </w:r>
      <w:r>
        <w:tab/>
        <w:t>a family violence offence; or</w:t>
      </w:r>
    </w:p>
    <w:p>
      <w:pPr>
        <w:pStyle w:val="Defpara"/>
      </w:pPr>
      <w:r>
        <w:tab/>
        <w:t>(b)</w:t>
      </w:r>
      <w:r>
        <w:tab/>
        <w:t>an offence against a law of the Commonwealth, of another State or of a Territory, or of a place outside Australia, if the act or acts constituting the offence would, if committed in the State, constitute a family violence offence; or</w:t>
      </w:r>
    </w:p>
    <w:p>
      <w:pPr>
        <w:pStyle w:val="Defpara"/>
      </w:pPr>
      <w:r>
        <w:tab/>
        <w:t>(c)</w:t>
      </w:r>
      <w:r>
        <w:tab/>
        <w:t>an attempt to commit such an offence under paragraph (a) or (b).</w:t>
      </w:r>
    </w:p>
    <w:p>
      <w:pPr>
        <w:pStyle w:val="Footnotesection"/>
        <w:spacing w:before="100"/>
      </w:pPr>
      <w:r>
        <w:tab/>
        <w:t>[Section 124D inserted: No. 30 of 2020 s. 29.]</w:t>
      </w:r>
    </w:p>
    <w:p>
      <w:pPr>
        <w:pStyle w:val="Heading5"/>
      </w:pPr>
      <w:bookmarkStart w:id="375" w:name="_Toc178257796"/>
      <w:r>
        <w:rPr>
          <w:rStyle w:val="CharSectno"/>
        </w:rPr>
        <w:t>124E</w:t>
      </w:r>
      <w:r>
        <w:t>.</w:t>
      </w:r>
      <w:r>
        <w:tab/>
        <w:t>Serial family violence offenders</w:t>
      </w:r>
      <w:bookmarkEnd w:id="375"/>
    </w:p>
    <w:p>
      <w:pPr>
        <w:pStyle w:val="Subsection"/>
      </w:pPr>
      <w:r>
        <w:tab/>
        <w:t>(1)</w:t>
      </w:r>
      <w:r>
        <w:tab/>
        <w:t>A court convicting an offender of a family violence offence may declare the offender to be a serial family violence offender if —</w:t>
      </w:r>
    </w:p>
    <w:p>
      <w:pPr>
        <w:pStyle w:val="Indenta"/>
      </w:pPr>
      <w:r>
        <w:tab/>
        <w:t>(a)</w:t>
      </w:r>
      <w:r>
        <w:tab/>
        <w:t>the offender has, on that conviction, been convicted of at least 2 prescribed offences which may only be tried on indictment, with at least 2 of those prescribed offences having been committed on different days; or</w:t>
      </w:r>
    </w:p>
    <w:p>
      <w:pPr>
        <w:pStyle w:val="Indenta"/>
      </w:pPr>
      <w:r>
        <w:tab/>
        <w:t>(b)</w:t>
      </w:r>
      <w:r>
        <w:tab/>
        <w:t>the offender has, on conviction, been convicted of at least 3 prescribed offences, with at least 3 of those prescribed offences having been committed on different days.</w:t>
      </w:r>
    </w:p>
    <w:p>
      <w:pPr>
        <w:pStyle w:val="Subsection"/>
      </w:pPr>
      <w:r>
        <w:tab/>
        <w:t>(2)</w:t>
      </w:r>
      <w:r>
        <w:tab/>
        <w:t>For the purposes of subsection (1) —</w:t>
      </w:r>
    </w:p>
    <w:p>
      <w:pPr>
        <w:pStyle w:val="Indenta"/>
      </w:pPr>
      <w:r>
        <w:tab/>
        <w:t>(a)</w:t>
      </w:r>
      <w:r>
        <w:tab/>
        <w:t>the victim of each offence may, but need not be, the same person; and</w:t>
      </w:r>
    </w:p>
    <w:p>
      <w:pPr>
        <w:pStyle w:val="Indenta"/>
      </w:pPr>
      <w:r>
        <w:tab/>
        <w:t>(b)</w:t>
      </w:r>
      <w:r>
        <w:tab/>
        <w:t>the offences need not be the same offences; and</w:t>
      </w:r>
    </w:p>
    <w:p>
      <w:pPr>
        <w:pStyle w:val="Indenta"/>
      </w:pPr>
      <w:r>
        <w:tab/>
        <w:t>(c)</w:t>
      </w:r>
      <w:r>
        <w:tab/>
        <w:t>the offences need not to have occurred in the State as long as 1 of them did; and</w:t>
      </w:r>
    </w:p>
    <w:p>
      <w:pPr>
        <w:pStyle w:val="Indenta"/>
      </w:pPr>
      <w:r>
        <w:tab/>
        <w:t>(d)</w:t>
      </w:r>
      <w:r>
        <w:tab/>
        <w:t>1 or more of the convictions may have been convictions by a court outside the State; and</w:t>
      </w:r>
    </w:p>
    <w:p>
      <w:pPr>
        <w:pStyle w:val="Indenta"/>
      </w:pPr>
      <w:r>
        <w:lastRenderedPageBreak/>
        <w:tab/>
        <w:t>(e)</w:t>
      </w:r>
      <w:r>
        <w:tab/>
        <w:t>it is immaterial in which order the offences were committed; and</w:t>
      </w:r>
    </w:p>
    <w:p>
      <w:pPr>
        <w:pStyle w:val="Indenta"/>
      </w:pPr>
      <w:r>
        <w:tab/>
        <w:t>(f)</w:t>
      </w:r>
      <w:r>
        <w:tab/>
        <w:t>an offence will not be taken into account if the offence was committed by a person who, at the time of the commission of the offence, was under 18 years of age; and</w:t>
      </w:r>
    </w:p>
    <w:p>
      <w:pPr>
        <w:pStyle w:val="Indenta"/>
      </w:pPr>
      <w:r>
        <w:tab/>
        <w:t>(g)</w:t>
      </w:r>
      <w:r>
        <w:tab/>
        <w:t xml:space="preserve">each of the offences taken into account must have been committed within a period of 10 years of each other unless the court is satisfied that exceptional circumstances exist that make it appropriate to make a declaration under this section (after taking into account the matters referred to in subsection (4) and such other matters as the court may consider to be relevant). </w:t>
      </w:r>
    </w:p>
    <w:p>
      <w:pPr>
        <w:pStyle w:val="Subsection"/>
      </w:pPr>
      <w:r>
        <w:tab/>
        <w:t>(3)</w:t>
      </w:r>
      <w:r>
        <w:tab/>
        <w:t>A declaration may be made by the court on its own initiative or on an application by the prosecutor.</w:t>
      </w:r>
    </w:p>
    <w:p>
      <w:pPr>
        <w:pStyle w:val="Subsection"/>
      </w:pPr>
      <w:r>
        <w:tab/>
        <w:t>(4)</w:t>
      </w:r>
      <w:r>
        <w:tab/>
        <w:t>Without limiting any other matter that a court dealing with an application under this section may consider to be relevant, the court must have regard to the following —</w:t>
      </w:r>
    </w:p>
    <w:p>
      <w:pPr>
        <w:pStyle w:val="Indenta"/>
      </w:pPr>
      <w:r>
        <w:tab/>
        <w:t>(a)</w:t>
      </w:r>
      <w:r>
        <w:tab/>
        <w:t>the level of risk that the offender may commit another family violence offence;</w:t>
      </w:r>
    </w:p>
    <w:p>
      <w:pPr>
        <w:pStyle w:val="Indenta"/>
      </w:pPr>
      <w:r>
        <w:tab/>
        <w:t>(b)</w:t>
      </w:r>
      <w:r>
        <w:tab/>
        <w:t>the offender’s criminal record;</w:t>
      </w:r>
    </w:p>
    <w:p>
      <w:pPr>
        <w:pStyle w:val="Indenta"/>
      </w:pPr>
      <w:r>
        <w:tab/>
        <w:t>(c)</w:t>
      </w:r>
      <w:r>
        <w:tab/>
        <w:t>the nature of the prescribed offences for which the offender has been convicted.</w:t>
      </w:r>
    </w:p>
    <w:p>
      <w:pPr>
        <w:pStyle w:val="Subsection"/>
      </w:pPr>
      <w:r>
        <w:tab/>
        <w:t>(5)</w:t>
      </w:r>
      <w:r>
        <w:tab/>
        <w:t>In addition, the court may —</w:t>
      </w:r>
    </w:p>
    <w:p>
      <w:pPr>
        <w:pStyle w:val="Indenta"/>
      </w:pPr>
      <w:r>
        <w:tab/>
        <w:t>(a)</w:t>
      </w:r>
      <w:r>
        <w:tab/>
        <w:t>before it makes a declaration, order an assessment of the offender by an approved expert; and</w:t>
      </w:r>
    </w:p>
    <w:p>
      <w:pPr>
        <w:pStyle w:val="Indenta"/>
      </w:pPr>
      <w:r>
        <w:tab/>
        <w:t>(b)</w:t>
      </w:r>
      <w:r>
        <w:tab/>
        <w:t>take the report of that assessment into account when deciding whether to make the declaration.</w:t>
      </w:r>
    </w:p>
    <w:p>
      <w:pPr>
        <w:pStyle w:val="Subsection"/>
      </w:pPr>
      <w:r>
        <w:tab/>
        <w:t>(6)</w:t>
      </w:r>
      <w:r>
        <w:tab/>
        <w:t>In connection with the operation of subsection (5) —</w:t>
      </w:r>
    </w:p>
    <w:p>
      <w:pPr>
        <w:pStyle w:val="Indenta"/>
      </w:pPr>
      <w:r>
        <w:tab/>
        <w:t>(a)</w:t>
      </w:r>
      <w:r>
        <w:tab/>
        <w:t>an approved expert is authorised by this subsection to examine and assess the offender and to report in accordance with this section; and</w:t>
      </w:r>
    </w:p>
    <w:p>
      <w:pPr>
        <w:pStyle w:val="Indenta"/>
        <w:keepNext/>
      </w:pPr>
      <w:r>
        <w:lastRenderedPageBreak/>
        <w:tab/>
        <w:t>(b)</w:t>
      </w:r>
      <w:r>
        <w:tab/>
        <w:t>the report may indicate —</w:t>
      </w:r>
    </w:p>
    <w:p>
      <w:pPr>
        <w:pStyle w:val="Indenti"/>
      </w:pPr>
      <w:r>
        <w:tab/>
        <w:t>(i)</w:t>
      </w:r>
      <w:r>
        <w:tab/>
        <w:t>the approved expert’s assessment of the level of risk that the offender may commit another family violence offence; and</w:t>
      </w:r>
    </w:p>
    <w:p>
      <w:pPr>
        <w:pStyle w:val="Indenti"/>
      </w:pPr>
      <w:r>
        <w:tab/>
        <w:t>(ii)</w:t>
      </w:r>
      <w:r>
        <w:tab/>
        <w:t xml:space="preserve">the reasons for this assessment; </w:t>
      </w:r>
    </w:p>
    <w:p>
      <w:pPr>
        <w:pStyle w:val="Indenta"/>
      </w:pPr>
      <w:r>
        <w:tab/>
      </w:r>
      <w:r>
        <w:tab/>
        <w:t>and</w:t>
      </w:r>
    </w:p>
    <w:p>
      <w:pPr>
        <w:pStyle w:val="Indenta"/>
      </w:pPr>
      <w:r>
        <w:tab/>
        <w:t>(c)</w:t>
      </w:r>
      <w:r>
        <w:tab/>
        <w:t>in preparing the report, the approved expert may —</w:t>
      </w:r>
    </w:p>
    <w:p>
      <w:pPr>
        <w:pStyle w:val="Indenti"/>
      </w:pPr>
      <w:r>
        <w:tab/>
        <w:t>(i)</w:t>
      </w:r>
      <w:r>
        <w:tab/>
        <w:t>take into account any other information or report provided to, or obtained by, the approved expert; and</w:t>
      </w:r>
    </w:p>
    <w:p>
      <w:pPr>
        <w:pStyle w:val="Indenti"/>
      </w:pPr>
      <w:r>
        <w:tab/>
        <w:t>(ii)</w:t>
      </w:r>
      <w:r>
        <w:tab/>
        <w:t xml:space="preserve">include in the report any other assessment or opinion, or address any other matter, that the approved expert considers to be relevant in the circumstances; </w:t>
      </w:r>
    </w:p>
    <w:p>
      <w:pPr>
        <w:pStyle w:val="Indenta"/>
      </w:pPr>
      <w:r>
        <w:tab/>
      </w:r>
      <w:r>
        <w:tab/>
        <w:t>and</w:t>
      </w:r>
    </w:p>
    <w:p>
      <w:pPr>
        <w:pStyle w:val="Indenta"/>
      </w:pPr>
      <w:r>
        <w:tab/>
        <w:t>(d)</w:t>
      </w:r>
      <w:r>
        <w:tab/>
        <w:t>the approved expert may prepare the report even if the offender does not cooperate, or does not fully cooperate, in any examination associated with the assessment.</w:t>
      </w:r>
    </w:p>
    <w:p>
      <w:pPr>
        <w:pStyle w:val="Footnotesection"/>
        <w:spacing w:before="100"/>
      </w:pPr>
      <w:r>
        <w:tab/>
        <w:t>[Section 124E inserted: No. 30 of 2020 s. 29.]</w:t>
      </w:r>
    </w:p>
    <w:p>
      <w:pPr>
        <w:pStyle w:val="Heading5"/>
      </w:pPr>
      <w:bookmarkStart w:id="376" w:name="_Toc178257797"/>
      <w:r>
        <w:rPr>
          <w:rStyle w:val="CharSectno"/>
        </w:rPr>
        <w:t>124F</w:t>
      </w:r>
      <w:r>
        <w:t>.</w:t>
      </w:r>
      <w:r>
        <w:tab/>
        <w:t>Serial family violence offender declaration — related matters</w:t>
      </w:r>
      <w:bookmarkEnd w:id="376"/>
      <w:r>
        <w:t xml:space="preserve"> </w:t>
      </w:r>
    </w:p>
    <w:p>
      <w:pPr>
        <w:pStyle w:val="Subsection"/>
      </w:pPr>
      <w:r>
        <w:tab/>
        <w:t>(1)</w:t>
      </w:r>
      <w:r>
        <w:tab/>
        <w:t>Section 124E does not limit the ability of a court to make a declaration in relation to the same person under section 97A.</w:t>
      </w:r>
    </w:p>
    <w:p>
      <w:pPr>
        <w:pStyle w:val="Subsection"/>
      </w:pPr>
      <w:r>
        <w:tab/>
        <w:t>(2)</w:t>
      </w:r>
      <w:r>
        <w:tab/>
        <w:t>Except as provided in subsections (5) and (6), the declaration of a person as a serial family violence offender will have effect for an indefinite period.</w:t>
      </w:r>
    </w:p>
    <w:p>
      <w:pPr>
        <w:pStyle w:val="Subsection"/>
      </w:pPr>
      <w:r>
        <w:tab/>
        <w:t>(3)</w:t>
      </w:r>
      <w:r>
        <w:tab/>
        <w:t>A person who is subject to a declaration may apply for the cancellation of the declaration if the declaration has been in effect for a period of at least 10 years.</w:t>
      </w:r>
    </w:p>
    <w:p>
      <w:pPr>
        <w:pStyle w:val="Subsection"/>
      </w:pPr>
      <w:r>
        <w:lastRenderedPageBreak/>
        <w:tab/>
        <w:t>(4)</w:t>
      </w:r>
      <w:r>
        <w:tab/>
        <w:t>An application may be made to any court of criminal jurisdiction unless the court is an inferior court to the court that made the declaration.</w:t>
      </w:r>
    </w:p>
    <w:p>
      <w:pPr>
        <w:pStyle w:val="Subsection"/>
      </w:pPr>
      <w:r>
        <w:tab/>
        <w:t>(5)</w:t>
      </w:r>
      <w:r>
        <w:tab/>
        <w:t>A court may cancel a declaration if satisfied that the declaration need no longer apply after taking into account the matters that would be taken into account by a court when considering whether to make a declaration under section 124E(1).</w:t>
      </w:r>
    </w:p>
    <w:p>
      <w:pPr>
        <w:pStyle w:val="Subsection"/>
      </w:pPr>
      <w:r>
        <w:tab/>
        <w:t>(6)</w:t>
      </w:r>
      <w:r>
        <w:tab/>
        <w:t>If a person is declared to be a serial family violence offender and the person’s conviction for a prescribed offence taken into account for the purposes of making the declaration is set aside or quashed, the declaration ceases to be in force at the conclusion of the proceedings in which the conviction is set aside or quashed unless there are still at least 3 other prescribed offences, or 2 other prescribed offences which may be only be tried on indictment, that qualify for the making of a declaration under section 124E(1).</w:t>
      </w:r>
    </w:p>
    <w:p>
      <w:pPr>
        <w:pStyle w:val="Footnotesection"/>
        <w:spacing w:before="100"/>
      </w:pPr>
      <w:r>
        <w:tab/>
        <w:t>[Section 124F inserted: No. 30 of 2020 s. 29.]</w:t>
      </w:r>
    </w:p>
    <w:p>
      <w:pPr>
        <w:pStyle w:val="Heading5"/>
      </w:pPr>
      <w:bookmarkStart w:id="377" w:name="_Toc178257798"/>
      <w:r>
        <w:rPr>
          <w:rStyle w:val="CharSectno"/>
        </w:rPr>
        <w:t>124G</w:t>
      </w:r>
      <w:r>
        <w:t>.</w:t>
      </w:r>
      <w:r>
        <w:tab/>
        <w:t>Disqualification if declaration made</w:t>
      </w:r>
      <w:bookmarkEnd w:id="377"/>
    </w:p>
    <w:p>
      <w:pPr>
        <w:pStyle w:val="Subsection"/>
      </w:pPr>
      <w:r>
        <w:tab/>
        <w:t>(1)</w:t>
      </w:r>
      <w:r>
        <w:tab/>
        <w:t>If a court makes a declaration under this Division —</w:t>
      </w:r>
    </w:p>
    <w:p>
      <w:pPr>
        <w:pStyle w:val="Indenta"/>
      </w:pPr>
      <w:r>
        <w:tab/>
        <w:t>(a)</w:t>
      </w:r>
      <w:r>
        <w:tab/>
        <w:t>the serial family violence offender is disqualified from —</w:t>
      </w:r>
    </w:p>
    <w:p>
      <w:pPr>
        <w:pStyle w:val="Indenti"/>
      </w:pPr>
      <w:r>
        <w:tab/>
        <w:t>(i)</w:t>
      </w:r>
      <w:r>
        <w:tab/>
        <w:t xml:space="preserve">holding or obtaining a licence or permit, or an approval, for a firearm under the </w:t>
      </w:r>
      <w:r>
        <w:rPr>
          <w:i/>
        </w:rPr>
        <w:t>Firearms Act 1973</w:t>
      </w:r>
      <w:r>
        <w:t>; or</w:t>
      </w:r>
    </w:p>
    <w:p>
      <w:pPr>
        <w:pStyle w:val="Indenti"/>
      </w:pPr>
      <w:r>
        <w:tab/>
        <w:t>(ii)</w:t>
      </w:r>
      <w:r>
        <w:tab/>
        <w:t xml:space="preserve">holding or obtaining a licence, permit or authorisation to hold an explosive under the </w:t>
      </w:r>
      <w:r>
        <w:rPr>
          <w:i/>
        </w:rPr>
        <w:t>Dangerous Goods Safety Act 2004</w:t>
      </w:r>
      <w:r>
        <w:t>;</w:t>
      </w:r>
    </w:p>
    <w:p>
      <w:pPr>
        <w:pStyle w:val="Indenta"/>
      </w:pPr>
      <w:r>
        <w:tab/>
      </w:r>
      <w:r>
        <w:tab/>
        <w:t>and</w:t>
      </w:r>
    </w:p>
    <w:p>
      <w:pPr>
        <w:pStyle w:val="Indenta"/>
      </w:pPr>
      <w:r>
        <w:tab/>
        <w:t>(b)</w:t>
      </w:r>
      <w:r>
        <w:tab/>
        <w:t>by force of this section any relevant licence, permit, approval or authorisation in relation to which a disqualification applies under paragraph (a) is cancelled; and</w:t>
      </w:r>
    </w:p>
    <w:p>
      <w:pPr>
        <w:pStyle w:val="Indenta"/>
      </w:pPr>
      <w:r>
        <w:lastRenderedPageBreak/>
        <w:tab/>
        <w:t>(c)</w:t>
      </w:r>
      <w:r>
        <w:tab/>
        <w:t>the court must ensure that details of the declaration are made known to —</w:t>
      </w:r>
    </w:p>
    <w:p>
      <w:pPr>
        <w:pStyle w:val="Indenti"/>
      </w:pPr>
      <w:r>
        <w:tab/>
        <w:t>(i)</w:t>
      </w:r>
      <w:r>
        <w:tab/>
        <w:t>the Commissioner of Police; and</w:t>
      </w:r>
    </w:p>
    <w:p>
      <w:pPr>
        <w:pStyle w:val="Indenti"/>
      </w:pPr>
      <w:r>
        <w:tab/>
        <w:t>(ii)</w:t>
      </w:r>
      <w:r>
        <w:tab/>
        <w:t xml:space="preserve">the Chief Officer under the </w:t>
      </w:r>
      <w:r>
        <w:rPr>
          <w:i/>
        </w:rPr>
        <w:t>Dangerous Goods Safety Act 2004</w:t>
      </w:r>
      <w:r>
        <w:t>.</w:t>
      </w:r>
    </w:p>
    <w:p>
      <w:pPr>
        <w:pStyle w:val="Subsection"/>
      </w:pPr>
      <w:r>
        <w:tab/>
        <w:t>(2)</w:t>
      </w:r>
      <w:r>
        <w:tab/>
        <w:t>The court that makes a declaration under this Division may grant an exemption from the operation of subsection (1) if it is satisfied that exceptional circumstances exist in a particular case.</w:t>
      </w:r>
    </w:p>
    <w:p>
      <w:pPr>
        <w:pStyle w:val="Footnotesection"/>
        <w:spacing w:before="100"/>
      </w:pPr>
      <w:r>
        <w:tab/>
        <w:t>[Section 124G inserted: No. 30 of 2020 s. 29.]</w:t>
      </w:r>
    </w:p>
    <w:p>
      <w:pPr>
        <w:pStyle w:val="Heading2"/>
      </w:pPr>
      <w:bookmarkStart w:id="378" w:name="_Toc178158110"/>
      <w:bookmarkStart w:id="379" w:name="_Toc178158560"/>
      <w:bookmarkStart w:id="380" w:name="_Toc178158860"/>
      <w:bookmarkStart w:id="381" w:name="_Toc178257799"/>
      <w:r>
        <w:rPr>
          <w:rStyle w:val="CharPartNo"/>
        </w:rPr>
        <w:lastRenderedPageBreak/>
        <w:t>Part 18</w:t>
      </w:r>
      <w:r>
        <w:t> — </w:t>
      </w:r>
      <w:r>
        <w:rPr>
          <w:rStyle w:val="CharPartText"/>
        </w:rPr>
        <w:t>Amending and enforcing conditional release orders and community orders</w:t>
      </w:r>
      <w:bookmarkEnd w:id="378"/>
      <w:bookmarkEnd w:id="379"/>
      <w:bookmarkEnd w:id="380"/>
      <w:bookmarkEnd w:id="381"/>
    </w:p>
    <w:p>
      <w:pPr>
        <w:pStyle w:val="Heading3"/>
      </w:pPr>
      <w:bookmarkStart w:id="382" w:name="_Toc178158111"/>
      <w:bookmarkStart w:id="383" w:name="_Toc178158561"/>
      <w:bookmarkStart w:id="384" w:name="_Toc178158861"/>
      <w:bookmarkStart w:id="385" w:name="_Toc178257800"/>
      <w:r>
        <w:rPr>
          <w:rStyle w:val="CharDivNo"/>
        </w:rPr>
        <w:t>Division 1</w:t>
      </w:r>
      <w:r>
        <w:rPr>
          <w:snapToGrid w:val="0"/>
        </w:rPr>
        <w:t> — </w:t>
      </w:r>
      <w:r>
        <w:rPr>
          <w:rStyle w:val="CharDivText"/>
        </w:rPr>
        <w:t>Preliminary</w:t>
      </w:r>
      <w:bookmarkEnd w:id="382"/>
      <w:bookmarkEnd w:id="383"/>
      <w:bookmarkEnd w:id="384"/>
      <w:bookmarkEnd w:id="385"/>
    </w:p>
    <w:p>
      <w:pPr>
        <w:pStyle w:val="Heading5"/>
        <w:rPr>
          <w:snapToGrid w:val="0"/>
        </w:rPr>
      </w:pPr>
      <w:bookmarkStart w:id="386" w:name="_Toc178257801"/>
      <w:r>
        <w:rPr>
          <w:rStyle w:val="CharSectno"/>
        </w:rPr>
        <w:t>125</w:t>
      </w:r>
      <w:r>
        <w:rPr>
          <w:snapToGrid w:val="0"/>
        </w:rPr>
        <w:t>.</w:t>
      </w:r>
      <w:r>
        <w:rPr>
          <w:snapToGrid w:val="0"/>
        </w:rPr>
        <w:tab/>
        <w:t>Term used: requirements; and interpretation</w:t>
      </w:r>
      <w:bookmarkEnd w:id="386"/>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requirements under section 67A,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Footnotesection"/>
        <w:spacing w:before="100"/>
      </w:pPr>
      <w:r>
        <w:tab/>
        <w:t>[Section 125 amended: No. 30 of 2020 s. 30.]</w:t>
      </w:r>
    </w:p>
    <w:p>
      <w:pPr>
        <w:pStyle w:val="Heading3"/>
        <w:spacing w:before="180"/>
      </w:pPr>
      <w:bookmarkStart w:id="387" w:name="_Toc178158113"/>
      <w:bookmarkStart w:id="388" w:name="_Toc178158563"/>
      <w:bookmarkStart w:id="389" w:name="_Toc178158863"/>
      <w:bookmarkStart w:id="390" w:name="_Toc178257802"/>
      <w:r>
        <w:rPr>
          <w:rStyle w:val="CharDivNo"/>
        </w:rPr>
        <w:lastRenderedPageBreak/>
        <w:t>Division 2</w:t>
      </w:r>
      <w:r>
        <w:rPr>
          <w:snapToGrid w:val="0"/>
        </w:rPr>
        <w:t> — </w:t>
      </w:r>
      <w:r>
        <w:rPr>
          <w:rStyle w:val="CharDivText"/>
        </w:rPr>
        <w:t>Amending or cancelling conditional release orders and community orders</w:t>
      </w:r>
      <w:bookmarkEnd w:id="387"/>
      <w:bookmarkEnd w:id="388"/>
      <w:bookmarkEnd w:id="389"/>
      <w:bookmarkEnd w:id="390"/>
    </w:p>
    <w:p>
      <w:pPr>
        <w:pStyle w:val="Heading5"/>
        <w:spacing w:before="180"/>
        <w:rPr>
          <w:snapToGrid w:val="0"/>
        </w:rPr>
      </w:pPr>
      <w:bookmarkStart w:id="391" w:name="_Toc178257803"/>
      <w:r>
        <w:rPr>
          <w:rStyle w:val="CharSectno"/>
        </w:rPr>
        <w:t>126</w:t>
      </w:r>
      <w:r>
        <w:rPr>
          <w:snapToGrid w:val="0"/>
        </w:rPr>
        <w:t>.</w:t>
      </w:r>
      <w:r>
        <w:rPr>
          <w:snapToGrid w:val="0"/>
        </w:rPr>
        <w:tab/>
        <w:t>Application to amend or cancel</w:t>
      </w:r>
      <w:bookmarkEnd w:id="391"/>
    </w:p>
    <w:p>
      <w:pPr>
        <w:pStyle w:val="Subsection"/>
        <w:keepNext/>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392" w:name="_Toc178257804"/>
      <w:r>
        <w:rPr>
          <w:rStyle w:val="CharSectno"/>
        </w:rPr>
        <w:t>127</w:t>
      </w:r>
      <w:r>
        <w:rPr>
          <w:snapToGrid w:val="0"/>
        </w:rPr>
        <w:t>.</w:t>
      </w:r>
      <w:r>
        <w:rPr>
          <w:snapToGrid w:val="0"/>
        </w:rPr>
        <w:tab/>
        <w:t>Court may confirm, amend or cancel</w:t>
      </w:r>
      <w:bookmarkEnd w:id="392"/>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spacing w:before="120"/>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lastRenderedPageBreak/>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393" w:name="_Toc178158116"/>
      <w:bookmarkStart w:id="394" w:name="_Toc178158566"/>
      <w:bookmarkStart w:id="395" w:name="_Toc178158866"/>
      <w:bookmarkStart w:id="396" w:name="_Toc178257805"/>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393"/>
      <w:bookmarkEnd w:id="394"/>
      <w:bookmarkEnd w:id="395"/>
      <w:bookmarkEnd w:id="396"/>
    </w:p>
    <w:p>
      <w:pPr>
        <w:pStyle w:val="Heading5"/>
        <w:rPr>
          <w:snapToGrid w:val="0"/>
        </w:rPr>
      </w:pPr>
      <w:bookmarkStart w:id="397" w:name="_Toc178257806"/>
      <w:r>
        <w:rPr>
          <w:rStyle w:val="CharSectno"/>
        </w:rPr>
        <w:t>128</w:t>
      </w:r>
      <w:r>
        <w:rPr>
          <w:snapToGrid w:val="0"/>
        </w:rPr>
        <w:t>.</w:t>
      </w:r>
      <w:r>
        <w:rPr>
          <w:snapToGrid w:val="0"/>
        </w:rPr>
        <w:tab/>
        <w:t>Re</w:t>
      </w:r>
      <w:r>
        <w:rPr>
          <w:snapToGrid w:val="0"/>
        </w:rPr>
        <w:noBreakHyphen/>
        <w:t>offender may be dealt with or committed</w:t>
      </w:r>
      <w:bookmarkEnd w:id="397"/>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 xml:space="preserve">if it is the District Court, may deal with the person under section 130 unless the CRO or community order was </w:t>
      </w:r>
      <w:r>
        <w:rPr>
          <w:snapToGrid w:val="0"/>
        </w:rPr>
        <w:lastRenderedPageBreak/>
        <w:t>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398" w:name="_Toc178257807"/>
      <w:r>
        <w:rPr>
          <w:rStyle w:val="CharSectno"/>
        </w:rPr>
        <w:t>129</w:t>
      </w:r>
      <w:r>
        <w:t>.</w:t>
      </w:r>
      <w:r>
        <w:tab/>
        <w:t>Re</w:t>
      </w:r>
      <w:r>
        <w:noBreakHyphen/>
        <w:t>offending, alleging in court</w:t>
      </w:r>
      <w:bookmarkEnd w:id="398"/>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lastRenderedPageBreak/>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keepNext/>
        <w:spacing w:before="150"/>
      </w:pPr>
      <w:r>
        <w:lastRenderedPageBreak/>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399" w:name="_Toc178257808"/>
      <w:r>
        <w:rPr>
          <w:rStyle w:val="CharSectno"/>
        </w:rPr>
        <w:t>130</w:t>
      </w:r>
      <w:r>
        <w:rPr>
          <w:snapToGrid w:val="0"/>
        </w:rPr>
        <w:t>.</w:t>
      </w:r>
      <w:r>
        <w:rPr>
          <w:snapToGrid w:val="0"/>
        </w:rPr>
        <w:tab/>
        <w:t>How re</w:t>
      </w:r>
      <w:r>
        <w:rPr>
          <w:snapToGrid w:val="0"/>
        </w:rPr>
        <w:noBreakHyphen/>
        <w:t>offender may be dealt with</w:t>
      </w:r>
      <w:bookmarkEnd w:id="399"/>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400" w:name="_Toc178158120"/>
      <w:bookmarkStart w:id="401" w:name="_Toc178158570"/>
      <w:bookmarkStart w:id="402" w:name="_Toc178158870"/>
      <w:bookmarkStart w:id="403" w:name="_Toc178257809"/>
      <w:r>
        <w:rPr>
          <w:rStyle w:val="CharDivNo"/>
        </w:rPr>
        <w:lastRenderedPageBreak/>
        <w:t>Division 4</w:t>
      </w:r>
      <w:r>
        <w:rPr>
          <w:snapToGrid w:val="0"/>
        </w:rPr>
        <w:t> — </w:t>
      </w:r>
      <w:r>
        <w:rPr>
          <w:rStyle w:val="CharDivText"/>
        </w:rPr>
        <w:t>Breaching a conditional release order or a community order</w:t>
      </w:r>
      <w:bookmarkEnd w:id="400"/>
      <w:bookmarkEnd w:id="401"/>
      <w:bookmarkEnd w:id="402"/>
      <w:bookmarkEnd w:id="403"/>
    </w:p>
    <w:p>
      <w:pPr>
        <w:pStyle w:val="Heading5"/>
        <w:rPr>
          <w:snapToGrid w:val="0"/>
        </w:rPr>
      </w:pPr>
      <w:bookmarkStart w:id="404" w:name="_Toc178257810"/>
      <w:r>
        <w:rPr>
          <w:rStyle w:val="CharSectno"/>
        </w:rPr>
        <w:t>131</w:t>
      </w:r>
      <w:r>
        <w:rPr>
          <w:snapToGrid w:val="0"/>
        </w:rPr>
        <w:t>.</w:t>
      </w:r>
      <w:r>
        <w:rPr>
          <w:snapToGrid w:val="0"/>
        </w:rPr>
        <w:tab/>
        <w:t>Breach of requirement, offence</w:t>
      </w:r>
      <w:bookmarkEnd w:id="404"/>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w:t>
      </w:r>
    </w:p>
    <w:p>
      <w:pPr>
        <w:pStyle w:val="Heading5"/>
        <w:spacing w:before="180"/>
        <w:rPr>
          <w:snapToGrid w:val="0"/>
        </w:rPr>
      </w:pPr>
      <w:bookmarkStart w:id="405" w:name="_Toc178257811"/>
      <w:r>
        <w:rPr>
          <w:rStyle w:val="CharSectno"/>
        </w:rPr>
        <w:t>132</w:t>
      </w:r>
      <w:r>
        <w:rPr>
          <w:snapToGrid w:val="0"/>
        </w:rPr>
        <w:t>.</w:t>
      </w:r>
      <w:r>
        <w:rPr>
          <w:snapToGrid w:val="0"/>
        </w:rPr>
        <w:tab/>
        <w:t>Offence under s. 131, procedure and penalty for</w:t>
      </w:r>
      <w:bookmarkEnd w:id="405"/>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lastRenderedPageBreak/>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lastRenderedPageBreak/>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406" w:name="_Toc178257812"/>
      <w:r>
        <w:rPr>
          <w:rStyle w:val="CharSectno"/>
        </w:rPr>
        <w:t>133</w:t>
      </w:r>
      <w:r>
        <w:rPr>
          <w:snapToGrid w:val="0"/>
        </w:rPr>
        <w:t>.</w:t>
      </w:r>
      <w:r>
        <w:rPr>
          <w:snapToGrid w:val="0"/>
        </w:rPr>
        <w:tab/>
        <w:t>Additional powers to deal with s. 131 offender</w:t>
      </w:r>
      <w:bookmarkEnd w:id="406"/>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407" w:name="_Toc178158124"/>
      <w:bookmarkStart w:id="408" w:name="_Toc178158574"/>
      <w:bookmarkStart w:id="409" w:name="_Toc178158874"/>
      <w:bookmarkStart w:id="410" w:name="_Toc178257813"/>
      <w:r>
        <w:rPr>
          <w:rStyle w:val="CharDivNo"/>
        </w:rPr>
        <w:t>Division 5</w:t>
      </w:r>
      <w:r>
        <w:rPr>
          <w:snapToGrid w:val="0"/>
        </w:rPr>
        <w:t> — </w:t>
      </w:r>
      <w:r>
        <w:rPr>
          <w:rStyle w:val="CharDivText"/>
        </w:rPr>
        <w:t>Miscellaneous</w:t>
      </w:r>
      <w:bookmarkEnd w:id="407"/>
      <w:bookmarkEnd w:id="408"/>
      <w:bookmarkEnd w:id="409"/>
      <w:bookmarkEnd w:id="410"/>
    </w:p>
    <w:p>
      <w:pPr>
        <w:pStyle w:val="Heading5"/>
        <w:rPr>
          <w:snapToGrid w:val="0"/>
        </w:rPr>
      </w:pPr>
      <w:bookmarkStart w:id="411" w:name="_Toc178257814"/>
      <w:r>
        <w:rPr>
          <w:rStyle w:val="CharSectno"/>
        </w:rPr>
        <w:t>134</w:t>
      </w:r>
      <w:r>
        <w:rPr>
          <w:snapToGrid w:val="0"/>
        </w:rPr>
        <w:t>.</w:t>
      </w:r>
      <w:r>
        <w:rPr>
          <w:snapToGrid w:val="0"/>
        </w:rPr>
        <w:tab/>
        <w:t>Facilitation of proof</w:t>
      </w:r>
      <w:bookmarkEnd w:id="411"/>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lastRenderedPageBreak/>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412" w:name="_Toc178257815"/>
      <w:r>
        <w:rPr>
          <w:rStyle w:val="CharSectno"/>
        </w:rPr>
        <w:t>135</w:t>
      </w:r>
      <w:r>
        <w:rPr>
          <w:snapToGrid w:val="0"/>
        </w:rPr>
        <w:t>.</w:t>
      </w:r>
      <w:r>
        <w:rPr>
          <w:snapToGrid w:val="0"/>
        </w:rPr>
        <w:tab/>
        <w:t>Compliance with CRO or community order to be taken into account</w:t>
      </w:r>
      <w:bookmarkEnd w:id="412"/>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lastRenderedPageBreak/>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413" w:name="_Toc178257816"/>
      <w:r>
        <w:rPr>
          <w:rStyle w:val="CharSectno"/>
        </w:rPr>
        <w:t>136</w:t>
      </w:r>
      <w:r>
        <w:rPr>
          <w:snapToGrid w:val="0"/>
        </w:rPr>
        <w:t>.</w:t>
      </w:r>
      <w:r>
        <w:rPr>
          <w:snapToGrid w:val="0"/>
        </w:rPr>
        <w:tab/>
        <w:t>Re</w:t>
      </w:r>
      <w:r>
        <w:rPr>
          <w:snapToGrid w:val="0"/>
        </w:rPr>
        <w:noBreakHyphen/>
        <w:t>sentencing, court’s powers for</w:t>
      </w:r>
      <w:bookmarkEnd w:id="413"/>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414" w:name="_Toc178158128"/>
      <w:bookmarkStart w:id="415" w:name="_Toc178158578"/>
      <w:bookmarkStart w:id="416" w:name="_Toc178158878"/>
      <w:bookmarkStart w:id="417" w:name="_Toc178257817"/>
      <w:r>
        <w:rPr>
          <w:rStyle w:val="CharDivNo"/>
        </w:rPr>
        <w:lastRenderedPageBreak/>
        <w:t>Division 6</w:t>
      </w:r>
      <w:r>
        <w:t> — </w:t>
      </w:r>
      <w:r>
        <w:rPr>
          <w:rStyle w:val="CharDivText"/>
        </w:rPr>
        <w:t>Functions of speciality courts</w:t>
      </w:r>
      <w:bookmarkEnd w:id="414"/>
      <w:bookmarkEnd w:id="415"/>
      <w:bookmarkEnd w:id="416"/>
      <w:bookmarkEnd w:id="417"/>
    </w:p>
    <w:p>
      <w:pPr>
        <w:pStyle w:val="Footnoteheading"/>
        <w:keepNext/>
      </w:pPr>
      <w:r>
        <w:tab/>
        <w:t>[Heading inserted: No. 45 of 2016 s. 77.]</w:t>
      </w:r>
    </w:p>
    <w:p>
      <w:pPr>
        <w:pStyle w:val="Heading5"/>
      </w:pPr>
      <w:bookmarkStart w:id="418" w:name="_Toc178257818"/>
      <w:r>
        <w:rPr>
          <w:rStyle w:val="CharSectno"/>
        </w:rPr>
        <w:t>136A</w:t>
      </w:r>
      <w:r>
        <w:t>.</w:t>
      </w:r>
      <w:r>
        <w:tab/>
        <w:t>Application of Division</w:t>
      </w:r>
      <w:bookmarkEnd w:id="418"/>
    </w:p>
    <w:p>
      <w:pPr>
        <w:pStyle w:val="Subsection"/>
        <w:keepNext/>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419" w:name="_Toc178257819"/>
      <w:r>
        <w:rPr>
          <w:rStyle w:val="CharSectno"/>
        </w:rPr>
        <w:t>136B</w:t>
      </w:r>
      <w:r>
        <w:t>.</w:t>
      </w:r>
      <w:r>
        <w:tab/>
        <w:t>Term used: court</w:t>
      </w:r>
      <w:bookmarkEnd w:id="419"/>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420" w:name="_Toc178257820"/>
      <w:r>
        <w:rPr>
          <w:rStyle w:val="CharSectno"/>
        </w:rPr>
        <w:t>136C</w:t>
      </w:r>
      <w:r>
        <w:t>.</w:t>
      </w:r>
      <w:r>
        <w:tab/>
        <w:t>Court may direct offender on community order to appear</w:t>
      </w:r>
      <w:bookmarkEnd w:id="420"/>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lastRenderedPageBreak/>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421" w:name="_Toc178257821"/>
      <w:r>
        <w:rPr>
          <w:rStyle w:val="CharSectno"/>
        </w:rPr>
        <w:t>136D</w:t>
      </w:r>
      <w:r>
        <w:t>.</w:t>
      </w:r>
      <w:r>
        <w:tab/>
        <w:t>Court to deal with re</w:t>
      </w:r>
      <w:r>
        <w:noBreakHyphen/>
        <w:t>offender</w:t>
      </w:r>
      <w:bookmarkEnd w:id="421"/>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422" w:name="_Toc178257822"/>
      <w:r>
        <w:rPr>
          <w:rStyle w:val="CharSectno"/>
        </w:rPr>
        <w:t>136E</w:t>
      </w:r>
      <w:r>
        <w:t>.</w:t>
      </w:r>
      <w:r>
        <w:tab/>
        <w:t>Court to deal with application to amend or cancel community order</w:t>
      </w:r>
      <w:bookmarkEnd w:id="422"/>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423" w:name="_Toc178257823"/>
      <w:r>
        <w:rPr>
          <w:rStyle w:val="CharSectno"/>
        </w:rPr>
        <w:t>136F</w:t>
      </w:r>
      <w:r>
        <w:t>.</w:t>
      </w:r>
      <w:r>
        <w:tab/>
        <w:t>Court to deal with proceedings for breaches</w:t>
      </w:r>
      <w:bookmarkEnd w:id="423"/>
    </w:p>
    <w:p>
      <w:pPr>
        <w:pStyle w:val="Subsection"/>
        <w:keepNext/>
      </w:pPr>
      <w:r>
        <w:tab/>
      </w:r>
      <w:r>
        <w:tab/>
        <w:t xml:space="preserve">If this Division applies, a prosecution for an offence against section 131(1) is to be commenced in, and heard and determined </w:t>
      </w:r>
      <w:r>
        <w:lastRenderedPageBreak/>
        <w:t>by, the court and, if the offender is convicted, the court must deal with the offender under sections 132 and 133.</w:t>
      </w:r>
    </w:p>
    <w:p>
      <w:pPr>
        <w:pStyle w:val="Footnotesection"/>
      </w:pPr>
      <w:r>
        <w:tab/>
        <w:t>[Section 136F inserted: No. 45 of 2016 s. 77.]</w:t>
      </w:r>
    </w:p>
    <w:p>
      <w:pPr>
        <w:pStyle w:val="Heading2"/>
      </w:pPr>
      <w:bookmarkStart w:id="424" w:name="_Toc178158135"/>
      <w:bookmarkStart w:id="425" w:name="_Toc178158585"/>
      <w:bookmarkStart w:id="426" w:name="_Toc178158885"/>
      <w:bookmarkStart w:id="427" w:name="_Toc178257824"/>
      <w:r>
        <w:rPr>
          <w:rStyle w:val="CharPartNo"/>
        </w:rPr>
        <w:lastRenderedPageBreak/>
        <w:t>Part 18A</w:t>
      </w:r>
      <w:r>
        <w:rPr>
          <w:rStyle w:val="CharDivNo"/>
        </w:rPr>
        <w:t> </w:t>
      </w:r>
      <w:r>
        <w:t>—</w:t>
      </w:r>
      <w:r>
        <w:rPr>
          <w:rStyle w:val="CharDivText"/>
        </w:rPr>
        <w:t> </w:t>
      </w:r>
      <w:r>
        <w:rPr>
          <w:rStyle w:val="CharPartText"/>
        </w:rPr>
        <w:t>Review of conditional orders</w:t>
      </w:r>
      <w:bookmarkEnd w:id="424"/>
      <w:bookmarkEnd w:id="425"/>
      <w:bookmarkEnd w:id="426"/>
      <w:bookmarkEnd w:id="427"/>
    </w:p>
    <w:p>
      <w:pPr>
        <w:pStyle w:val="Footnoteheading"/>
      </w:pPr>
      <w:r>
        <w:tab/>
        <w:t>[Heading inserted: No. 45 of 2016 s. 78.]</w:t>
      </w:r>
    </w:p>
    <w:p>
      <w:pPr>
        <w:pStyle w:val="Heading5"/>
      </w:pPr>
      <w:bookmarkStart w:id="428" w:name="_Toc178257825"/>
      <w:r>
        <w:rPr>
          <w:rStyle w:val="CharSectno"/>
        </w:rPr>
        <w:t>136G</w:t>
      </w:r>
      <w:r>
        <w:t>.</w:t>
      </w:r>
      <w:r>
        <w:tab/>
        <w:t>Terms used</w:t>
      </w:r>
      <w:bookmarkEnd w:id="428"/>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of the department of the Public Service principally assisting the Minister in the administration of Part 7; or</w:t>
      </w:r>
    </w:p>
    <w:p>
      <w:pPr>
        <w:pStyle w:val="Defpara"/>
      </w:pPr>
      <w:r>
        <w:tab/>
        <w:t>(b)</w:t>
      </w:r>
      <w:r>
        <w:tab/>
        <w:t>in relation to CSI or a CBO,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(aa)</w:t>
      </w:r>
      <w:r>
        <w:tab/>
        <w:t>a CBO;</w:t>
      </w:r>
    </w:p>
    <w:p>
      <w:pPr>
        <w:pStyle w:val="Defpara"/>
      </w:pPr>
      <w:r>
        <w:tab/>
        <w:t>(b)</w:t>
      </w:r>
      <w:r>
        <w:tab/>
        <w:t>CSI;</w:t>
      </w:r>
    </w:p>
    <w:p>
      <w:pPr>
        <w:pStyle w:val="Defpara"/>
      </w:pPr>
      <w:r>
        <w:tab/>
        <w:t>(c)</w:t>
      </w:r>
      <w:r>
        <w:tab/>
        <w:t>an ISO;</w:t>
      </w:r>
    </w:p>
    <w:p>
      <w:pPr>
        <w:pStyle w:val="Defpara"/>
      </w:pPr>
      <w:r>
        <w:tab/>
        <w:t>(d)</w:t>
      </w:r>
      <w:r>
        <w:tab/>
        <w:t>a PSO.</w:t>
      </w:r>
    </w:p>
    <w:p>
      <w:pPr>
        <w:pStyle w:val="Footnotesection"/>
      </w:pPr>
      <w:r>
        <w:tab/>
        <w:t>[Section 136G inserted: No. 45 of 2016 s. 78; amended: No. 25 of 2020 s. 131.]</w:t>
      </w:r>
    </w:p>
    <w:p>
      <w:pPr>
        <w:pStyle w:val="Heading5"/>
      </w:pPr>
      <w:bookmarkStart w:id="429" w:name="_Toc178257826"/>
      <w:r>
        <w:rPr>
          <w:rStyle w:val="CharSectno"/>
        </w:rPr>
        <w:t>136H</w:t>
      </w:r>
      <w:r>
        <w:t>.</w:t>
      </w:r>
      <w:r>
        <w:tab/>
        <w:t>Application to review</w:t>
      </w:r>
      <w:bookmarkEnd w:id="429"/>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430" w:name="_Toc178257827"/>
      <w:r>
        <w:rPr>
          <w:rStyle w:val="CharSectno"/>
        </w:rPr>
        <w:lastRenderedPageBreak/>
        <w:t>136I</w:t>
      </w:r>
      <w:r>
        <w:t>.</w:t>
      </w:r>
      <w:r>
        <w:tab/>
        <w:t>Court may confirm, amend or cancel</w:t>
      </w:r>
      <w:bookmarkEnd w:id="430"/>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431" w:name="_Toc178158139"/>
      <w:bookmarkStart w:id="432" w:name="_Toc178158589"/>
      <w:bookmarkStart w:id="433" w:name="_Toc178158889"/>
      <w:bookmarkStart w:id="434" w:name="_Toc178257828"/>
      <w:r>
        <w:rPr>
          <w:rStyle w:val="CharPartNo"/>
        </w:rPr>
        <w:lastRenderedPageBreak/>
        <w:t>Part 19</w:t>
      </w:r>
      <w:r>
        <w:rPr>
          <w:rStyle w:val="CharDivNo"/>
        </w:rPr>
        <w:t> </w:t>
      </w:r>
      <w:r>
        <w:t>—</w:t>
      </w:r>
      <w:r>
        <w:rPr>
          <w:rStyle w:val="CharDivText"/>
        </w:rPr>
        <w:t> </w:t>
      </w:r>
      <w:r>
        <w:rPr>
          <w:rStyle w:val="CharPartText"/>
        </w:rPr>
        <w:t>Royal Prerogative of Mercy</w:t>
      </w:r>
      <w:bookmarkEnd w:id="431"/>
      <w:bookmarkEnd w:id="432"/>
      <w:bookmarkEnd w:id="433"/>
      <w:bookmarkEnd w:id="434"/>
    </w:p>
    <w:p>
      <w:pPr>
        <w:pStyle w:val="Heading5"/>
      </w:pPr>
      <w:bookmarkStart w:id="435" w:name="_Toc178257829"/>
      <w:r>
        <w:rPr>
          <w:rStyle w:val="CharSectno"/>
        </w:rPr>
        <w:t>137</w:t>
      </w:r>
      <w:r>
        <w:t>.</w:t>
      </w:r>
      <w:r>
        <w:tab/>
        <w:t>Royal Prerogative of Mercy not affected</w:t>
      </w:r>
      <w:bookmarkEnd w:id="435"/>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436" w:name="_Toc178257830"/>
      <w:r>
        <w:rPr>
          <w:rStyle w:val="CharSectno"/>
        </w:rPr>
        <w:t>138</w:t>
      </w:r>
      <w:r>
        <w:rPr>
          <w:snapToGrid w:val="0"/>
        </w:rPr>
        <w:t>.</w:t>
      </w:r>
      <w:r>
        <w:rPr>
          <w:snapToGrid w:val="0"/>
        </w:rPr>
        <w:tab/>
        <w:t>Pardon, effect of</w:t>
      </w:r>
      <w:bookmarkEnd w:id="436"/>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437" w:name="_Toc178257831"/>
      <w:r>
        <w:rPr>
          <w:rStyle w:val="CharSectno"/>
        </w:rPr>
        <w:t>139</w:t>
      </w:r>
      <w:r>
        <w:rPr>
          <w:snapToGrid w:val="0"/>
        </w:rPr>
        <w:t>.</w:t>
      </w:r>
      <w:r>
        <w:rPr>
          <w:snapToGrid w:val="0"/>
        </w:rPr>
        <w:tab/>
        <w:t>Order to pay money, Governor may remit</w:t>
      </w:r>
      <w:bookmarkEnd w:id="437"/>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438" w:name="_Toc178257832"/>
      <w:r>
        <w:rPr>
          <w:rStyle w:val="CharSectno"/>
        </w:rPr>
        <w:t>140</w:t>
      </w:r>
      <w:r>
        <w:rPr>
          <w:snapToGrid w:val="0"/>
        </w:rPr>
        <w:t>.</w:t>
      </w:r>
      <w:r>
        <w:rPr>
          <w:snapToGrid w:val="0"/>
        </w:rPr>
        <w:tab/>
        <w:t>Petition for mercy may be referred to Court of Appeal</w:t>
      </w:r>
      <w:bookmarkEnd w:id="438"/>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lastRenderedPageBreak/>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439" w:name="_Toc178257833"/>
      <w:r>
        <w:rPr>
          <w:rStyle w:val="CharSectno"/>
        </w:rPr>
        <w:t>141</w:t>
      </w:r>
      <w:r>
        <w:rPr>
          <w:snapToGrid w:val="0"/>
        </w:rPr>
        <w:t>.</w:t>
      </w:r>
      <w:r>
        <w:rPr>
          <w:snapToGrid w:val="0"/>
        </w:rPr>
        <w:tab/>
        <w:t>Offender may be paroled</w:t>
      </w:r>
      <w:bookmarkEnd w:id="439"/>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440" w:name="_Toc178257834"/>
      <w:r>
        <w:rPr>
          <w:rStyle w:val="CharSectno"/>
        </w:rPr>
        <w:t>142</w:t>
      </w:r>
      <w:r>
        <w:rPr>
          <w:snapToGrid w:val="0"/>
        </w:rPr>
        <w:t>.</w:t>
      </w:r>
      <w:r>
        <w:rPr>
          <w:snapToGrid w:val="0"/>
        </w:rPr>
        <w:tab/>
        <w:t>Strict security life imprisonment, exercise of Prerogative in case of</w:t>
      </w:r>
      <w:bookmarkEnd w:id="440"/>
    </w:p>
    <w:p>
      <w:pPr>
        <w:pStyle w:val="Subsection"/>
        <w:keepNext/>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xml:space="preserve">, the Minister must cause a copy of the order and a written explanation of the circumstances giving rise to it </w:t>
      </w:r>
      <w:r>
        <w:rPr>
          <w:snapToGrid w:val="0"/>
        </w:rPr>
        <w:lastRenderedPageBreak/>
        <w:t>to be tabled in each House of Parliament within 15 sitting days of that House after it is made.</w:t>
      </w:r>
    </w:p>
    <w:p>
      <w:pPr>
        <w:pStyle w:val="Footnotesection"/>
      </w:pPr>
      <w:r>
        <w:tab/>
        <w:t>[Section 142 amended: No. 29 of 2008 s. 22(3).]</w:t>
      </w:r>
    </w:p>
    <w:p>
      <w:pPr>
        <w:pStyle w:val="Heading2"/>
      </w:pPr>
      <w:bookmarkStart w:id="441" w:name="_Toc178158146"/>
      <w:bookmarkStart w:id="442" w:name="_Toc178158596"/>
      <w:bookmarkStart w:id="443" w:name="_Toc178158896"/>
      <w:bookmarkStart w:id="444" w:name="_Toc178257835"/>
      <w:r>
        <w:rPr>
          <w:rStyle w:val="CharPartNo"/>
        </w:rPr>
        <w:lastRenderedPageBreak/>
        <w:t>Part 20</w:t>
      </w:r>
      <w:r>
        <w:rPr>
          <w:rStyle w:val="CharDivNo"/>
        </w:rPr>
        <w:t> </w:t>
      </w:r>
      <w:r>
        <w:t>—</w:t>
      </w:r>
      <w:r>
        <w:rPr>
          <w:rStyle w:val="CharDivText"/>
        </w:rPr>
        <w:t> </w:t>
      </w:r>
      <w:r>
        <w:rPr>
          <w:rStyle w:val="CharPartText"/>
        </w:rPr>
        <w:t>Miscellaneous</w:t>
      </w:r>
      <w:bookmarkEnd w:id="441"/>
      <w:bookmarkEnd w:id="442"/>
      <w:bookmarkEnd w:id="443"/>
      <w:bookmarkEnd w:id="444"/>
    </w:p>
    <w:p>
      <w:pPr>
        <w:pStyle w:val="Heading5"/>
        <w:rPr>
          <w:snapToGrid w:val="0"/>
        </w:rPr>
      </w:pPr>
      <w:bookmarkStart w:id="445" w:name="_Toc178257836"/>
      <w:r>
        <w:rPr>
          <w:rStyle w:val="CharSectno"/>
        </w:rPr>
        <w:t>143</w:t>
      </w:r>
      <w:r>
        <w:rPr>
          <w:snapToGrid w:val="0"/>
        </w:rPr>
        <w:t>.</w:t>
      </w:r>
      <w:r>
        <w:rPr>
          <w:snapToGrid w:val="0"/>
        </w:rPr>
        <w:tab/>
        <w:t>Guideline judgments by Court of Appeal</w:t>
      </w:r>
      <w:bookmarkEnd w:id="445"/>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446" w:name="_Toc178257837"/>
      <w:r>
        <w:rPr>
          <w:rStyle w:val="CharSectno"/>
        </w:rPr>
        <w:t>143A</w:t>
      </w:r>
      <w:r>
        <w:t>.</w:t>
      </w:r>
      <w:r>
        <w:tab/>
        <w:t>Sentencing guidelines for courts of summary jurisdiction</w:t>
      </w:r>
      <w:bookmarkEnd w:id="446"/>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447" w:name="_Toc178257838"/>
      <w:r>
        <w:rPr>
          <w:rStyle w:val="CharSectno"/>
        </w:rPr>
        <w:lastRenderedPageBreak/>
        <w:t>144</w:t>
      </w:r>
      <w:r>
        <w:rPr>
          <w:snapToGrid w:val="0"/>
        </w:rPr>
        <w:t>.</w:t>
      </w:r>
      <w:r>
        <w:rPr>
          <w:snapToGrid w:val="0"/>
        </w:rPr>
        <w:tab/>
        <w:t>Chief Justice may report to Parliament</w:t>
      </w:r>
      <w:bookmarkEnd w:id="447"/>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448" w:name="_Toc178257839"/>
      <w:r>
        <w:rPr>
          <w:rStyle w:val="CharSectno"/>
        </w:rPr>
        <w:t>145</w:t>
      </w:r>
      <w:r>
        <w:rPr>
          <w:snapToGrid w:val="0"/>
        </w:rPr>
        <w:t>.</w:t>
      </w:r>
      <w:r>
        <w:rPr>
          <w:snapToGrid w:val="0"/>
        </w:rPr>
        <w:tab/>
        <w:t>Non-compliance with procedural requirements, effect of</w:t>
      </w:r>
      <w:bookmarkEnd w:id="448"/>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449" w:name="_Toc178257840"/>
      <w:r>
        <w:rPr>
          <w:rStyle w:val="CharSectno"/>
        </w:rPr>
        <w:t>145A</w:t>
      </w:r>
      <w:r>
        <w:t>.</w:t>
      </w:r>
      <w:r>
        <w:tab/>
        <w:t>Existence of circumstances of aggravation is question for judge to determine</w:t>
      </w:r>
      <w:bookmarkEnd w:id="449"/>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lastRenderedPageBreak/>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450" w:name="_Toc178257841"/>
      <w:r>
        <w:rPr>
          <w:rStyle w:val="CharSectno"/>
        </w:rPr>
        <w:t>146</w:t>
      </w:r>
      <w:r>
        <w:rPr>
          <w:snapToGrid w:val="0"/>
        </w:rPr>
        <w:t>.</w:t>
      </w:r>
      <w:r>
        <w:rPr>
          <w:snapToGrid w:val="0"/>
        </w:rPr>
        <w:tab/>
        <w:t>Questions of fact in superior courts</w:t>
      </w:r>
      <w:bookmarkEnd w:id="450"/>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451" w:name="_Toc178257842"/>
      <w:r>
        <w:rPr>
          <w:rStyle w:val="CharSectno"/>
        </w:rPr>
        <w:t>147</w:t>
      </w:r>
      <w:r>
        <w:rPr>
          <w:snapToGrid w:val="0"/>
        </w:rPr>
        <w:t>.</w:t>
      </w:r>
      <w:r>
        <w:rPr>
          <w:snapToGrid w:val="0"/>
        </w:rPr>
        <w:tab/>
        <w:t>Operation of other Acts not affected</w:t>
      </w:r>
      <w:bookmarkEnd w:id="451"/>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452" w:name="_Toc178257843"/>
      <w:r>
        <w:rPr>
          <w:rStyle w:val="CharSectno"/>
        </w:rPr>
        <w:t>147A</w:t>
      </w:r>
      <w:r>
        <w:t>.</w:t>
      </w:r>
      <w:r>
        <w:tab/>
        <w:t>Monitoring requirements: additional provisions</w:t>
      </w:r>
      <w:bookmarkEnd w:id="452"/>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rPr>
          <w:snapToGrid w:val="0"/>
        </w:rPr>
      </w:pPr>
      <w:bookmarkStart w:id="453" w:name="_Toc178257844"/>
      <w:r>
        <w:rPr>
          <w:rStyle w:val="CharSectno"/>
        </w:rPr>
        <w:lastRenderedPageBreak/>
        <w:t>148</w:t>
      </w:r>
      <w:r>
        <w:rPr>
          <w:snapToGrid w:val="0"/>
        </w:rPr>
        <w:t>.</w:t>
      </w:r>
      <w:r>
        <w:rPr>
          <w:snapToGrid w:val="0"/>
        </w:rPr>
        <w:tab/>
        <w:t>Regulations</w:t>
      </w:r>
      <w:bookmarkEnd w:id="45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454" w:name="_Toc178257845"/>
      <w:r>
        <w:rPr>
          <w:rStyle w:val="CharSectno"/>
        </w:rPr>
        <w:t>149</w:t>
      </w:r>
      <w:r>
        <w:rPr>
          <w:snapToGrid w:val="0"/>
        </w:rPr>
        <w:t>.</w:t>
      </w:r>
      <w:r>
        <w:rPr>
          <w:snapToGrid w:val="0"/>
        </w:rPr>
        <w:tab/>
        <w:t>Rules of court</w:t>
      </w:r>
      <w:bookmarkEnd w:id="454"/>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455" w:name="_Toc178158157"/>
      <w:bookmarkStart w:id="456" w:name="_Toc178158607"/>
      <w:bookmarkStart w:id="457" w:name="_Toc178158907"/>
      <w:bookmarkStart w:id="458" w:name="_Toc178257846"/>
      <w:r>
        <w:rPr>
          <w:rStyle w:val="CharPartNo"/>
        </w:rPr>
        <w:lastRenderedPageBreak/>
        <w:t>Part 21</w:t>
      </w:r>
      <w:r>
        <w:rPr>
          <w:rStyle w:val="CharDivNo"/>
        </w:rPr>
        <w:t> </w:t>
      </w:r>
      <w:r>
        <w:t>—</w:t>
      </w:r>
      <w:r>
        <w:rPr>
          <w:rStyle w:val="CharDivText"/>
        </w:rPr>
        <w:t> </w:t>
      </w:r>
      <w:r>
        <w:rPr>
          <w:rStyle w:val="CharPartText"/>
        </w:rPr>
        <w:t>Transitional and review provisions</w:t>
      </w:r>
      <w:bookmarkEnd w:id="455"/>
      <w:bookmarkEnd w:id="456"/>
      <w:bookmarkEnd w:id="457"/>
      <w:bookmarkEnd w:id="458"/>
    </w:p>
    <w:p>
      <w:pPr>
        <w:pStyle w:val="Footnoteheading"/>
      </w:pPr>
      <w:r>
        <w:tab/>
        <w:t>[Heading inserted: No. 42 of 2012 s. 5.]</w:t>
      </w:r>
    </w:p>
    <w:p>
      <w:pPr>
        <w:pStyle w:val="Heading5"/>
      </w:pPr>
      <w:bookmarkStart w:id="459" w:name="_Toc178257847"/>
      <w:r>
        <w:rPr>
          <w:rStyle w:val="CharSectno"/>
        </w:rPr>
        <w:t>150A</w:t>
      </w:r>
      <w:r>
        <w:t>.</w:t>
      </w:r>
      <w:r>
        <w:tab/>
      </w:r>
      <w:r>
        <w:rPr>
          <w:i/>
        </w:rPr>
        <w:t xml:space="preserve">Sentencing Amendment Act 2012 </w:t>
      </w:r>
      <w:r>
        <w:t>amendments, application of</w:t>
      </w:r>
      <w:bookmarkEnd w:id="459"/>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460" w:name="_Toc178257848"/>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460"/>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lastRenderedPageBreak/>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461" w:name="_Toc178257849"/>
      <w:r>
        <w:rPr>
          <w:rStyle w:val="CharSectno"/>
        </w:rPr>
        <w:t>150B</w:t>
      </w:r>
      <w:r>
        <w:t>.</w:t>
      </w:r>
      <w:r>
        <w:tab/>
        <w:t>Review of s. 9AA</w:t>
      </w:r>
      <w:bookmarkEnd w:id="461"/>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462" w:name="_Toc178257850"/>
      <w:r>
        <w:rPr>
          <w:rStyle w:val="CharSectno"/>
        </w:rPr>
        <w:t>150</w:t>
      </w:r>
      <w:r>
        <w:t>.</w:t>
      </w:r>
      <w:r>
        <w:tab/>
        <w:t>Review of Act</w:t>
      </w:r>
      <w:bookmarkEnd w:id="462"/>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463" w:name="_Toc178257851"/>
      <w:r>
        <w:rPr>
          <w:rStyle w:val="CharSectno"/>
        </w:rPr>
        <w:t>151</w:t>
      </w:r>
      <w:r>
        <w:t>.</w:t>
      </w:r>
      <w:r>
        <w:tab/>
        <w:t xml:space="preserve">Review of amendments made by </w:t>
      </w:r>
      <w:r>
        <w:rPr>
          <w:i/>
          <w:iCs/>
        </w:rPr>
        <w:t>Family Violence Legislation Reform Act 2020</w:t>
      </w:r>
      <w:bookmarkEnd w:id="463"/>
    </w:p>
    <w:p>
      <w:pPr>
        <w:pStyle w:val="Subsection"/>
      </w:pPr>
      <w:r>
        <w:tab/>
        <w:t>(1)</w:t>
      </w:r>
      <w:r>
        <w:tab/>
        <w:t xml:space="preserve">The Minister must review the operation and effectiveness of the amendments made to this Act by the </w:t>
      </w:r>
      <w:r>
        <w:rPr>
          <w:i/>
          <w:iCs/>
        </w:rPr>
        <w:t xml:space="preserve">Family Violence </w:t>
      </w:r>
      <w:r>
        <w:rPr>
          <w:i/>
          <w:iCs/>
        </w:rPr>
        <w:lastRenderedPageBreak/>
        <w:t>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Pr>
        <w:rPr>
          <w:rStyle w:val="CharDivText"/>
        </w:rPr>
        <w:sectPr>
          <w:headerReference w:type="even" r:id="rId22"/>
          <w:headerReference w:type="default" r:id="rId23"/>
          <w:headerReference w:type="first" r:id="rId24"/>
          <w:type w:val="oddPage"/>
          <w:pgSz w:w="11907" w:h="16840" w:code="9"/>
          <w:pgMar w:top="2381" w:right="2409" w:bottom="3543" w:left="2409" w:header="720" w:footer="3544" w:gutter="0"/>
          <w:pgNumType w:start="1"/>
          <w:cols w:space="720"/>
          <w:noEndnote/>
          <w:titlePg/>
          <w:docGrid w:linePitch="326"/>
        </w:sectPr>
      </w:pPr>
    </w:p>
    <w:p>
      <w:pPr>
        <w:pStyle w:val="yScheduleHeading"/>
      </w:pPr>
      <w:bookmarkStart w:id="464" w:name="_Toc178158163"/>
      <w:bookmarkStart w:id="465" w:name="_Toc178158613"/>
      <w:bookmarkStart w:id="466" w:name="_Toc178158913"/>
      <w:bookmarkStart w:id="467" w:name="_Toc178257852"/>
      <w:r>
        <w:rPr>
          <w:rStyle w:val="CharSchNo"/>
        </w:rPr>
        <w:lastRenderedPageBreak/>
        <w:t>Schedule 1A</w:t>
      </w:r>
      <w:r>
        <w:t> — </w:t>
      </w:r>
      <w:r>
        <w:rPr>
          <w:rStyle w:val="CharSchText"/>
        </w:rPr>
        <w:t>Relevant indictable and simple offences for purposes of Part 2 Division 2A</w:t>
      </w:r>
      <w:bookmarkEnd w:id="464"/>
      <w:bookmarkEnd w:id="465"/>
      <w:bookmarkEnd w:id="466"/>
      <w:bookmarkEnd w:id="467"/>
    </w:p>
    <w:p>
      <w:pPr>
        <w:pStyle w:val="yShoulderClause"/>
      </w:pPr>
      <w:r>
        <w:t>[s. 9A(1)]</w:t>
      </w:r>
    </w:p>
    <w:p>
      <w:pPr>
        <w:pStyle w:val="yFootnoteheading"/>
      </w:pPr>
      <w:r>
        <w:tab/>
        <w:t>[Heading inserted: No. 49 of 2012 s. 181(4).]</w:t>
      </w:r>
    </w:p>
    <w:p>
      <w:pPr>
        <w:pStyle w:val="yHeading3"/>
      </w:pPr>
      <w:bookmarkStart w:id="468" w:name="_Toc178158164"/>
      <w:bookmarkStart w:id="469" w:name="_Toc178158614"/>
      <w:bookmarkStart w:id="470" w:name="_Toc178158914"/>
      <w:bookmarkStart w:id="471" w:name="_Toc178257853"/>
      <w:r>
        <w:rPr>
          <w:rStyle w:val="CharSDivNo"/>
        </w:rPr>
        <w:t>Part 1</w:t>
      </w:r>
      <w:r>
        <w:t> — </w:t>
      </w:r>
      <w:r>
        <w:rPr>
          <w:rStyle w:val="CharSDivText"/>
        </w:rPr>
        <w:t>Relevant indictable offences</w:t>
      </w:r>
      <w:bookmarkEnd w:id="468"/>
      <w:bookmarkEnd w:id="469"/>
      <w:bookmarkEnd w:id="470"/>
      <w:bookmarkEnd w:id="471"/>
    </w:p>
    <w:p>
      <w:pPr>
        <w:pStyle w:val="yFootnoteheading"/>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318B</w:t>
            </w:r>
          </w:p>
        </w:tc>
        <w:tc>
          <w:tcPr>
            <w:tcW w:w="3360" w:type="dxa"/>
          </w:tcPr>
          <w:p>
            <w:pPr>
              <w:pStyle w:val="yTableNAm"/>
            </w:pPr>
            <w:r>
              <w:t>Assault on retail workers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pPr>
            <w:r>
              <w:rPr>
                <w:rStyle w:val="CharSClsNo"/>
                <w:b/>
              </w:rPr>
              <w:lastRenderedPageBreak/>
              <w:t>5</w:t>
            </w:r>
            <w:r>
              <w:t>.</w:t>
            </w:r>
          </w:p>
        </w:tc>
        <w:tc>
          <w:tcPr>
            <w:tcW w:w="3000" w:type="dxa"/>
          </w:tcPr>
          <w:p>
            <w:pPr>
              <w:pStyle w:val="yTableNAm"/>
              <w:keepNext/>
            </w:pPr>
            <w:r>
              <w:rPr>
                <w:b/>
                <w:i/>
              </w:rPr>
              <w:t>Firearms Act 1973</w:t>
            </w:r>
          </w:p>
        </w:tc>
        <w:tc>
          <w:tcPr>
            <w:tcW w:w="3360" w:type="dxa"/>
          </w:tcPr>
          <w:p>
            <w:pPr>
              <w:pStyle w:val="yTableNAm"/>
              <w:keepNext/>
            </w:pPr>
          </w:p>
        </w:tc>
      </w:tr>
      <w:tr>
        <w:trPr>
          <w:cantSplit/>
        </w:trPr>
        <w:tc>
          <w:tcPr>
            <w:tcW w:w="720" w:type="dxa"/>
          </w:tcPr>
          <w:p>
            <w:pPr>
              <w:pStyle w:val="zyTableNAm"/>
            </w:pPr>
          </w:p>
        </w:tc>
        <w:tc>
          <w:tcPr>
            <w:tcW w:w="3000" w:type="dxa"/>
          </w:tcPr>
          <w:p>
            <w:pPr>
              <w:pStyle w:val="yTableNAm"/>
            </w:pPr>
            <w:r>
              <w:t>s. 6(3)</w:t>
            </w:r>
          </w:p>
        </w:tc>
        <w:tc>
          <w:tcPr>
            <w:tcW w:w="3360" w:type="dxa"/>
          </w:tcPr>
          <w:p>
            <w:pPr>
              <w:pStyle w:val="yTableNAm"/>
            </w:pPr>
            <w:r>
              <w:t>Contravention of regulation made under s. 6(1)</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major firearm part or ammunition when not holder of a licence or permit</w:t>
            </w:r>
          </w:p>
        </w:tc>
      </w:tr>
      <w:tr>
        <w:trPr>
          <w:cantSplit/>
        </w:trPr>
        <w:tc>
          <w:tcPr>
            <w:tcW w:w="720" w:type="dxa"/>
          </w:tcPr>
          <w:p>
            <w:pPr>
              <w:pStyle w:val="zyTableNAm"/>
            </w:pPr>
          </w:p>
        </w:tc>
        <w:tc>
          <w:tcPr>
            <w:tcW w:w="3000" w:type="dxa"/>
          </w:tcPr>
          <w:p>
            <w:pPr>
              <w:pStyle w:val="yTableNAm"/>
            </w:pPr>
            <w:r>
              <w:t>s. 23(3), (5) and (9A)</w:t>
            </w:r>
          </w:p>
        </w:tc>
        <w:tc>
          <w:tcPr>
            <w:tcW w:w="3360" w:type="dxa"/>
          </w:tcPr>
          <w:p>
            <w:pPr>
              <w:pStyle w:val="yTableNAm"/>
            </w:pPr>
            <w:r>
              <w:t>Offences relating to firearms and major firearm parts</w:t>
            </w:r>
          </w:p>
        </w:tc>
      </w:tr>
      <w:tr>
        <w:trPr>
          <w:cantSplit/>
        </w:trPr>
        <w:tc>
          <w:tcPr>
            <w:tcW w:w="720" w:type="dxa"/>
          </w:tcPr>
          <w:p>
            <w:pPr>
              <w:pStyle w:val="zyTableNAm"/>
            </w:pPr>
          </w:p>
        </w:tc>
        <w:tc>
          <w:tcPr>
            <w:tcW w:w="3000" w:type="dxa"/>
          </w:tcPr>
          <w:p>
            <w:pPr>
              <w:pStyle w:val="yTableNAm"/>
            </w:pPr>
            <w:r>
              <w:t>s. 23AC(1)</w:t>
            </w:r>
          </w:p>
        </w:tc>
        <w:tc>
          <w:tcPr>
            <w:tcW w:w="3360" w:type="dxa"/>
          </w:tcPr>
          <w:p>
            <w:pPr>
              <w:pStyle w:val="yTableNAm"/>
            </w:pPr>
            <w:r>
              <w:t>Unauthorised manufacture of firearms and other things</w:t>
            </w:r>
          </w:p>
        </w:tc>
      </w:tr>
      <w:tr>
        <w:trPr>
          <w:cantSplit/>
        </w:trPr>
        <w:tc>
          <w:tcPr>
            <w:tcW w:w="720" w:type="dxa"/>
          </w:tcPr>
          <w:p>
            <w:pPr>
              <w:pStyle w:val="zyTableNAm"/>
            </w:pPr>
          </w:p>
        </w:tc>
        <w:tc>
          <w:tcPr>
            <w:tcW w:w="3000" w:type="dxa"/>
          </w:tcPr>
          <w:p>
            <w:pPr>
              <w:pStyle w:val="yTableNAm"/>
            </w:pPr>
            <w:r>
              <w:t>s. 23AD</w:t>
            </w:r>
          </w:p>
        </w:tc>
        <w:tc>
          <w:tcPr>
            <w:tcW w:w="3360" w:type="dxa"/>
          </w:tcPr>
          <w:p>
            <w:pPr>
              <w:pStyle w:val="yTableNAm"/>
            </w:pPr>
            <w:r>
              <w:t>Unauthorised repair of firearms and other things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r>
        <w:trPr>
          <w:cantSplit/>
        </w:trPr>
        <w:tc>
          <w:tcPr>
            <w:tcW w:w="720" w:type="dxa"/>
          </w:tcPr>
          <w:p>
            <w:pPr>
              <w:pStyle w:val="zyTableNAm"/>
              <w:rPr>
                <w:i/>
              </w:rPr>
            </w:pPr>
            <w:r>
              <w:rPr>
                <w:rStyle w:val="CharSClsNo"/>
                <w:b/>
              </w:rPr>
              <w:t>8</w:t>
            </w:r>
            <w:r>
              <w:t>.</w:t>
            </w:r>
          </w:p>
        </w:tc>
        <w:tc>
          <w:tcPr>
            <w:tcW w:w="6360" w:type="dxa"/>
            <w:gridSpan w:val="2"/>
          </w:tcPr>
          <w:p>
            <w:pPr>
              <w:pStyle w:val="yTableNAm"/>
            </w:pPr>
            <w:r>
              <w:rPr>
                <w:b/>
                <w:i/>
              </w:rPr>
              <w:t>Western Australian Marine Act 1982</w:t>
            </w:r>
          </w:p>
        </w:tc>
      </w:tr>
      <w:tr>
        <w:trPr>
          <w:cantSplit/>
        </w:trPr>
        <w:tc>
          <w:tcPr>
            <w:tcW w:w="720" w:type="dxa"/>
          </w:tcPr>
          <w:p>
            <w:pPr>
              <w:pStyle w:val="zyTableNAm"/>
              <w:rPr>
                <w:i/>
              </w:rPr>
            </w:pPr>
          </w:p>
        </w:tc>
        <w:tc>
          <w:tcPr>
            <w:tcW w:w="3000" w:type="dxa"/>
          </w:tcPr>
          <w:p>
            <w:pPr>
              <w:pStyle w:val="yTableNAm"/>
            </w:pPr>
            <w:r>
              <w:t>s. 75B(1) and (2)</w:t>
            </w:r>
          </w:p>
        </w:tc>
        <w:tc>
          <w:tcPr>
            <w:tcW w:w="3360" w:type="dxa"/>
          </w:tcPr>
          <w:p>
            <w:pPr>
              <w:pStyle w:val="yTableNAm"/>
            </w:pPr>
            <w:r>
              <w:t>Dangerous navigation of vessel occasioning death</w:t>
            </w:r>
          </w:p>
        </w:tc>
      </w:tr>
      <w:tr>
        <w:trPr>
          <w:cantSplit/>
        </w:trPr>
        <w:tc>
          <w:tcPr>
            <w:tcW w:w="720" w:type="dxa"/>
          </w:tcPr>
          <w:p>
            <w:pPr>
              <w:pStyle w:val="zyTableNAm"/>
              <w:rPr>
                <w:i/>
              </w:rPr>
            </w:pPr>
          </w:p>
        </w:tc>
        <w:tc>
          <w:tcPr>
            <w:tcW w:w="3000" w:type="dxa"/>
          </w:tcPr>
          <w:p>
            <w:pPr>
              <w:pStyle w:val="yTableNAm"/>
            </w:pPr>
            <w:r>
              <w:t>s. 75BA(1) and (2)</w:t>
            </w:r>
          </w:p>
        </w:tc>
        <w:tc>
          <w:tcPr>
            <w:tcW w:w="3360" w:type="dxa"/>
          </w:tcPr>
          <w:p>
            <w:pPr>
              <w:pStyle w:val="yTableNAm"/>
            </w:pPr>
            <w:r>
              <w:t>Dangerous navigation of vessel occasioning grievous bodily harm</w:t>
            </w:r>
          </w:p>
        </w:tc>
      </w:tr>
      <w:tr>
        <w:trPr>
          <w:cantSplit/>
        </w:trPr>
        <w:tc>
          <w:tcPr>
            <w:tcW w:w="720" w:type="dxa"/>
          </w:tcPr>
          <w:p>
            <w:pPr>
              <w:pStyle w:val="zyTableNAm"/>
              <w:rPr>
                <w:i/>
              </w:rPr>
            </w:pPr>
          </w:p>
        </w:tc>
        <w:tc>
          <w:tcPr>
            <w:tcW w:w="3000" w:type="dxa"/>
          </w:tcPr>
          <w:p>
            <w:pPr>
              <w:pStyle w:val="yTableNAm"/>
            </w:pPr>
            <w:r>
              <w:t>s. 75BB(1) and (3)</w:t>
            </w:r>
          </w:p>
        </w:tc>
        <w:tc>
          <w:tcPr>
            <w:tcW w:w="3360" w:type="dxa"/>
          </w:tcPr>
          <w:p>
            <w:pPr>
              <w:pStyle w:val="yTableNAm"/>
            </w:pPr>
            <w:r>
              <w:t>Dangerous navigation of vessel occasioning bodily harm — if the offender is liable to imprisonment for 7 years</w:t>
            </w:r>
          </w:p>
        </w:tc>
      </w:tr>
    </w:tbl>
    <w:p>
      <w:pPr>
        <w:pStyle w:val="yFootnoteheading"/>
        <w:spacing w:after="120"/>
      </w:pPr>
      <w:r>
        <w:tab/>
        <w:t>[Part 1 inserted: No. 49 of 2012 s. 181(4); amended: No. 11 of 2014 s. 8(1); No. 35 of 2014 s. 39; No. 13 of 2022 s. 85(2); No. 31 of 2023 s. 37(7); No. 16 of 2024 s. 8.]</w:t>
      </w:r>
    </w:p>
    <w:p>
      <w:pPr>
        <w:pStyle w:val="yHeading3"/>
        <w:spacing w:before="220"/>
      </w:pPr>
      <w:bookmarkStart w:id="472" w:name="_Toc178158165"/>
      <w:bookmarkStart w:id="473" w:name="_Toc178158615"/>
      <w:bookmarkStart w:id="474" w:name="_Toc178158915"/>
      <w:bookmarkStart w:id="475" w:name="_Toc178257854"/>
      <w:r>
        <w:rPr>
          <w:rStyle w:val="CharSDivNo"/>
        </w:rPr>
        <w:t>Part 2</w:t>
      </w:r>
      <w:r>
        <w:t> — </w:t>
      </w:r>
      <w:r>
        <w:rPr>
          <w:rStyle w:val="CharSDivText"/>
        </w:rPr>
        <w:t>Relevant simple offences</w:t>
      </w:r>
      <w:bookmarkEnd w:id="472"/>
      <w:bookmarkEnd w:id="473"/>
      <w:bookmarkEnd w:id="474"/>
      <w:bookmarkEnd w:id="475"/>
    </w:p>
    <w:p>
      <w:pPr>
        <w:pStyle w:val="yFootnoteheading"/>
        <w:keepNext/>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keepNext/>
            </w:pPr>
            <w:r>
              <w:rPr>
                <w:b/>
              </w:rPr>
              <w:t>Enactment</w:t>
            </w:r>
          </w:p>
        </w:tc>
        <w:tc>
          <w:tcPr>
            <w:tcW w:w="3360" w:type="dxa"/>
          </w:tcPr>
          <w:p>
            <w:pPr>
              <w:pStyle w:val="yTableNAm"/>
              <w:keepNext/>
            </w:pPr>
            <w:r>
              <w:rPr>
                <w:b/>
                <w:spacing w:val="-2"/>
              </w:rPr>
              <w:t>Description of offence</w:t>
            </w:r>
          </w:p>
        </w:tc>
      </w:tr>
      <w:tr>
        <w:trPr>
          <w:cantSplit/>
        </w:trPr>
        <w:tc>
          <w:tcPr>
            <w:tcW w:w="720" w:type="dxa"/>
          </w:tcPr>
          <w:p>
            <w:pPr>
              <w:pStyle w:val="yTableNAm"/>
              <w:keepNext/>
            </w:pPr>
            <w:r>
              <w:rPr>
                <w:rStyle w:val="CharSClsNo"/>
                <w:b/>
              </w:rPr>
              <w:t>1</w:t>
            </w:r>
            <w:r>
              <w:t>.</w:t>
            </w:r>
          </w:p>
        </w:tc>
        <w:tc>
          <w:tcPr>
            <w:tcW w:w="6360" w:type="dxa"/>
            <w:gridSpan w:val="2"/>
          </w:tcPr>
          <w:p>
            <w:pPr>
              <w:pStyle w:val="yTableNAm"/>
              <w:keepNext/>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keepNext/>
            </w:pPr>
            <w:r>
              <w:rPr>
                <w:rStyle w:val="CharSClsNo"/>
                <w:b/>
              </w:rPr>
              <w:t>2</w:t>
            </w:r>
            <w:r>
              <w:t>.</w:t>
            </w:r>
          </w:p>
        </w:tc>
        <w:tc>
          <w:tcPr>
            <w:tcW w:w="6360" w:type="dxa"/>
            <w:gridSpan w:val="2"/>
          </w:tcPr>
          <w:p>
            <w:pPr>
              <w:pStyle w:val="yTableNAm"/>
              <w:keepNext/>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keepNext/>
            </w:pPr>
            <w:r>
              <w:rPr>
                <w:rStyle w:val="CharSClsNo"/>
                <w:b/>
              </w:rPr>
              <w:lastRenderedPageBreak/>
              <w:t>4</w:t>
            </w:r>
            <w:r>
              <w:t>.</w:t>
            </w:r>
          </w:p>
        </w:tc>
        <w:tc>
          <w:tcPr>
            <w:tcW w:w="6360" w:type="dxa"/>
            <w:gridSpan w:val="2"/>
            <w:shd w:val="clear" w:color="auto" w:fill="auto"/>
          </w:tcPr>
          <w:p>
            <w:pPr>
              <w:pStyle w:val="yTableNAm"/>
              <w:keepNext/>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keepNext/>
              <w:rPr>
                <w:rStyle w:val="CharSClsNo"/>
                <w:b/>
              </w:rPr>
            </w:pPr>
            <w:r>
              <w:rPr>
                <w:rStyle w:val="CharSClsNo"/>
                <w:b/>
              </w:rPr>
              <w:t>5</w:t>
            </w:r>
            <w:r>
              <w:t>.</w:t>
            </w:r>
          </w:p>
        </w:tc>
        <w:tc>
          <w:tcPr>
            <w:tcW w:w="6360" w:type="dxa"/>
            <w:gridSpan w:val="2"/>
          </w:tcPr>
          <w:p>
            <w:pPr>
              <w:pStyle w:val="yTableNAm"/>
              <w:keepNext/>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keepNext/>
            </w:pPr>
            <w:r>
              <w:rPr>
                <w:rStyle w:val="CharSClsNo"/>
                <w:b/>
              </w:rPr>
              <w:t>6</w:t>
            </w:r>
            <w:r>
              <w:t>.</w:t>
            </w:r>
          </w:p>
        </w:tc>
        <w:tc>
          <w:tcPr>
            <w:tcW w:w="6360" w:type="dxa"/>
            <w:gridSpan w:val="2"/>
          </w:tcPr>
          <w:p>
            <w:pPr>
              <w:pStyle w:val="yTableNAm"/>
              <w:keepNext/>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keepNext/>
            </w:pPr>
            <w:r>
              <w:rPr>
                <w:rStyle w:val="CharSClsNo"/>
                <w:b/>
              </w:rPr>
              <w:t>8</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keepNext/>
              <w:rPr>
                <w:i/>
              </w:rPr>
            </w:pPr>
          </w:p>
        </w:tc>
        <w:tc>
          <w:tcPr>
            <w:tcW w:w="3000" w:type="dxa"/>
          </w:tcPr>
          <w:p>
            <w:pPr>
              <w:pStyle w:val="yTableNAm"/>
              <w:keepNext/>
            </w:pPr>
            <w:r>
              <w:t>s. 8(1)</w:t>
            </w:r>
          </w:p>
        </w:tc>
        <w:tc>
          <w:tcPr>
            <w:tcW w:w="3360" w:type="dxa"/>
          </w:tcPr>
          <w:p>
            <w:pPr>
              <w:pStyle w:val="yTableNAm"/>
              <w:keepNext/>
            </w:pPr>
            <w:r>
              <w:t>Carrying or possessing article as weapon</w:t>
            </w:r>
          </w:p>
        </w:tc>
      </w:tr>
      <w:tr>
        <w:trPr>
          <w:cantSplit/>
        </w:trPr>
        <w:tc>
          <w:tcPr>
            <w:tcW w:w="720" w:type="dxa"/>
          </w:tcPr>
          <w:p>
            <w:pPr>
              <w:pStyle w:val="zyTableNAm"/>
              <w:keepNext/>
              <w:rPr>
                <w:i/>
              </w:rPr>
            </w:pPr>
            <w:r>
              <w:rPr>
                <w:rStyle w:val="CharSClsNo"/>
                <w:b/>
              </w:rPr>
              <w:t>10</w:t>
            </w:r>
            <w:r>
              <w:t>.</w:t>
            </w:r>
          </w:p>
        </w:tc>
        <w:tc>
          <w:tcPr>
            <w:tcW w:w="6360" w:type="dxa"/>
            <w:gridSpan w:val="2"/>
          </w:tcPr>
          <w:p>
            <w:pPr>
              <w:pStyle w:val="yTableNAm"/>
              <w:keepNext/>
            </w:pPr>
            <w:r>
              <w:rPr>
                <w:b/>
                <w:i/>
              </w:rPr>
              <w:t>Western Australian Marine Act 1982</w:t>
            </w:r>
          </w:p>
        </w:tc>
      </w:tr>
      <w:tr>
        <w:trPr>
          <w:cantSplit/>
        </w:trPr>
        <w:tc>
          <w:tcPr>
            <w:tcW w:w="720" w:type="dxa"/>
          </w:tcPr>
          <w:p>
            <w:pPr>
              <w:pStyle w:val="zyTableNAm"/>
              <w:keepNext/>
              <w:rPr>
                <w:i/>
              </w:rPr>
            </w:pPr>
          </w:p>
        </w:tc>
        <w:tc>
          <w:tcPr>
            <w:tcW w:w="3000" w:type="dxa"/>
          </w:tcPr>
          <w:p>
            <w:pPr>
              <w:pStyle w:val="yTableNAm"/>
              <w:keepNext/>
            </w:pPr>
            <w:r>
              <w:t>s. 75BB(1) and (3)</w:t>
            </w:r>
          </w:p>
        </w:tc>
        <w:tc>
          <w:tcPr>
            <w:tcW w:w="3360" w:type="dxa"/>
          </w:tcPr>
          <w:p>
            <w:pPr>
              <w:pStyle w:val="yTableNAm"/>
              <w:keepNext/>
            </w:pPr>
            <w:r>
              <w:t>Dangerous navigation of vessel occasioning bodily harm — if the offender is not liable to imprisonment for 7 years</w:t>
            </w:r>
          </w:p>
        </w:tc>
      </w:tr>
    </w:tbl>
    <w:p>
      <w:pPr>
        <w:pStyle w:val="yFootnoteheading"/>
        <w:spacing w:after="120"/>
      </w:pPr>
      <w:r>
        <w:tab/>
        <w:t>[Part 2 inserted: No. 49 of 2012 s. 181(4); amended: No. 35 of 2014 s. 39; No. 6 of 2017 s. 12(5); No. 13 of 2020 s. 13; No. 13 of 2022 s. 85(3); No. 31 of 2023 s. 37(8).]</w:t>
      </w:r>
    </w:p>
    <w:p>
      <w:pPr>
        <w:sectPr>
          <w:headerReference w:type="even" r:id="rId25"/>
          <w:headerReference w:type="default" r:id="rId26"/>
          <w:pgSz w:w="11907" w:h="16840" w:code="9"/>
          <w:pgMar w:top="2381" w:right="2410" w:bottom="3544" w:left="2410" w:header="720" w:footer="3544" w:gutter="0"/>
          <w:cols w:space="720"/>
        </w:sectPr>
      </w:pPr>
    </w:p>
    <w:p>
      <w:pPr>
        <w:pStyle w:val="yScheduleHeading"/>
        <w:outlineLvl w:val="0"/>
      </w:pPr>
      <w:bookmarkStart w:id="477" w:name="_Toc178158166"/>
      <w:bookmarkStart w:id="478" w:name="_Toc178158616"/>
      <w:bookmarkStart w:id="479" w:name="_Toc178158916"/>
      <w:bookmarkStart w:id="480" w:name="_Toc178257855"/>
      <w:r>
        <w:rPr>
          <w:rStyle w:val="CharSchNo"/>
        </w:rPr>
        <w:lastRenderedPageBreak/>
        <w:t>Schedule 1</w:t>
      </w:r>
      <w:r>
        <w:rPr>
          <w:rStyle w:val="CharSDivNo"/>
        </w:rPr>
        <w:t> </w:t>
      </w:r>
      <w:r>
        <w:t>—</w:t>
      </w:r>
      <w:r>
        <w:rPr>
          <w:rStyle w:val="CharSDivText"/>
        </w:rPr>
        <w:t> </w:t>
      </w:r>
      <w:r>
        <w:rPr>
          <w:rStyle w:val="CharSchText"/>
        </w:rPr>
        <w:t>Acts, fines under which are not to be credited to the Consolidated Account</w:t>
      </w:r>
      <w:bookmarkEnd w:id="477"/>
      <w:bookmarkEnd w:id="478"/>
      <w:bookmarkEnd w:id="479"/>
      <w:bookmarkEnd w:id="480"/>
    </w:p>
    <w:p>
      <w:pPr>
        <w:pStyle w:val="yShoulderClause"/>
        <w:spacing w:after="40"/>
        <w:rPr>
          <w:snapToGrid w:val="0"/>
        </w:rPr>
      </w:pPr>
      <w:r>
        <w:rPr>
          <w:snapToGrid w:val="0"/>
        </w:rPr>
        <w:t>[s. 60(2)]</w:t>
      </w:r>
    </w:p>
    <w:p>
      <w:pPr>
        <w:pStyle w:val="yFootnoteheading"/>
        <w:spacing w:after="120"/>
      </w:pPr>
      <w:r>
        <w:tab/>
        <w:t>[Heading amended: No. 19 of 2010 s. 4.]</w:t>
      </w:r>
    </w:p>
    <w:tbl>
      <w:tblPr>
        <w:tblW w:w="7201" w:type="dxa"/>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lastRenderedPageBreak/>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i/>
              </w:rPr>
            </w:pPr>
            <w:r>
              <w:rPr>
                <w:i/>
                <w:snapToGrid w:val="0"/>
                <w:szCs w:val="22"/>
              </w:rPr>
              <w:t>Veterinary Practice Act 2021</w:t>
            </w:r>
          </w:p>
        </w:tc>
        <w:tc>
          <w:tcPr>
            <w:tcW w:w="4649" w:type="dxa"/>
          </w:tcPr>
          <w:p>
            <w:pPr>
              <w:pStyle w:val="yTableNAm"/>
            </w:pPr>
            <w:r>
              <w:t>Veterinary Practice Board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2023</w:t>
            </w:r>
          </w:p>
        </w:tc>
        <w:tc>
          <w:tcPr>
            <w:tcW w:w="4649" w:type="dxa"/>
          </w:tcPr>
          <w:p>
            <w:pPr>
              <w:pStyle w:val="yTableNAm"/>
            </w:pPr>
            <w:r>
              <w:t>WorkCover WA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 xml:space="preserve">[Schedule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w:t>
      </w:r>
      <w:r>
        <w:lastRenderedPageBreak/>
        <w:t>No. 22 of 2008 Sch. 3 cl. 52; No. 8 of 2009 s. 115(3); No. 35 of 2010 s. 155; No. 19 of 2011 s. 157</w:t>
      </w:r>
      <w:r>
        <w:rPr>
          <w:spacing w:val="-4"/>
        </w:rPr>
        <w:t>; No. 47 of 2011 s.</w:t>
      </w:r>
      <w:r>
        <w:t> 26(2) and (3); No. 16 of 2012 s. 168; No. 22 of 2012 s. 141; No. 17 of 2014 s. 37(5); No. 19 of 2016 s. 101; No. 32 of 2016 s. 195; No. 19 of 2021 s. 235(2); No. 27 of 2021 s. 352(2); No</w:t>
      </w:r>
      <w:r>
        <w:rPr>
          <w:sz w:val="24"/>
          <w:szCs w:val="22"/>
        </w:rPr>
        <w:t>. 23 of 2023 s. 33; No. 21 of 2023 s. 702</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8"/>
          <w:headerReference w:type="default" r:id="rId29"/>
          <w:pgSz w:w="11907" w:h="16840" w:code="9"/>
          <w:pgMar w:top="2381" w:right="2410" w:bottom="3544" w:left="2410" w:header="720" w:footer="3544" w:gutter="0"/>
          <w:cols w:space="720"/>
        </w:sectPr>
      </w:pPr>
    </w:p>
    <w:p>
      <w:pPr>
        <w:pStyle w:val="nHeading2"/>
      </w:pPr>
      <w:bookmarkStart w:id="481" w:name="_Toc178158167"/>
      <w:bookmarkStart w:id="482" w:name="_Toc178158617"/>
      <w:bookmarkStart w:id="483" w:name="_Toc178158917"/>
      <w:bookmarkStart w:id="484" w:name="_Toc178257856"/>
      <w:r>
        <w:lastRenderedPageBreak/>
        <w:t>Notes</w:t>
      </w:r>
      <w:bookmarkEnd w:id="481"/>
      <w:bookmarkEnd w:id="482"/>
      <w:bookmarkEnd w:id="483"/>
      <w:bookmarkEnd w:id="484"/>
    </w:p>
    <w:p>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485" w:name="_Toc178257857"/>
      <w:r>
        <w:t>Compilation table</w:t>
      </w:r>
      <w:bookmarkEnd w:id="485"/>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lastRenderedPageBreak/>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lastRenderedPageBreak/>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keepNext/>
              <w:spacing w:after="40"/>
              <w:rPr>
                <w:i/>
              </w:rPr>
            </w:pPr>
            <w:r>
              <w:rPr>
                <w:i/>
                <w:snapToGrid w:val="0"/>
              </w:rPr>
              <w:lastRenderedPageBreak/>
              <w:t>Pig, Potato and Poultry Industries (Compensation Legislation) Repeal Act 2004</w:t>
            </w:r>
            <w:r>
              <w:rPr>
                <w:snapToGrid w:val="0"/>
              </w:rPr>
              <w:t xml:space="preserve"> s. 18</w:t>
            </w:r>
          </w:p>
        </w:tc>
        <w:tc>
          <w:tcPr>
            <w:tcW w:w="1134" w:type="dxa"/>
          </w:tcPr>
          <w:p>
            <w:pPr>
              <w:pStyle w:val="nTable"/>
              <w:keepNext/>
              <w:spacing w:after="40"/>
            </w:pPr>
            <w:r>
              <w:rPr>
                <w:snapToGrid w:val="0"/>
              </w:rPr>
              <w:t>40 of 2004</w:t>
            </w:r>
          </w:p>
        </w:tc>
        <w:tc>
          <w:tcPr>
            <w:tcW w:w="1134" w:type="dxa"/>
          </w:tcPr>
          <w:p>
            <w:pPr>
              <w:pStyle w:val="nTable"/>
              <w:keepNext/>
              <w:spacing w:after="40"/>
            </w:pPr>
            <w:r>
              <w:t>3 Nov 2004</w:t>
            </w:r>
          </w:p>
        </w:tc>
        <w:tc>
          <w:tcPr>
            <w:tcW w:w="2553" w:type="dxa"/>
          </w:tcPr>
          <w:p>
            <w:pPr>
              <w:pStyle w:val="nTable"/>
              <w:keepNext/>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spacing w:after="40"/>
              <w:rPr>
                <w:snapToGrid w:val="0"/>
              </w:rPr>
            </w:pPr>
            <w:r>
              <w:rPr>
                <w:snapToGrid w:val="0"/>
              </w:rPr>
              <w:t>42 of 2004</w:t>
            </w:r>
          </w:p>
        </w:tc>
        <w:tc>
          <w:tcPr>
            <w:tcW w:w="1134" w:type="dxa"/>
          </w:tcPr>
          <w:p>
            <w:pPr>
              <w:pStyle w:val="nTable"/>
              <w:spacing w:after="40"/>
              <w:rPr>
                <w:snapToGrid w:val="0"/>
              </w:rPr>
            </w:pPr>
            <w:r>
              <w:t>9 Nov 2004</w:t>
            </w:r>
          </w:p>
        </w:tc>
        <w:tc>
          <w:tcPr>
            <w:tcW w:w="2553" w:type="dxa"/>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keepNext/>
              <w:keepLines/>
              <w:spacing w:after="40"/>
              <w:rPr>
                <w:i/>
                <w:snapToGrid w:val="0"/>
              </w:rPr>
            </w:pPr>
            <w:r>
              <w:rPr>
                <w:i/>
                <w:snapToGrid w:val="0"/>
              </w:rPr>
              <w:lastRenderedPageBreak/>
              <w:t>Prisons and Sentencing Legislation Amendment Act 2006</w:t>
            </w:r>
            <w:r>
              <w:rPr>
                <w:snapToGrid w:val="0"/>
              </w:rPr>
              <w:t> Pt. 4</w:t>
            </w:r>
          </w:p>
        </w:tc>
        <w:tc>
          <w:tcPr>
            <w:tcW w:w="1134" w:type="dxa"/>
          </w:tcPr>
          <w:p>
            <w:pPr>
              <w:pStyle w:val="nTable"/>
              <w:keepNext/>
              <w:keepLines/>
              <w:spacing w:after="40"/>
              <w:rPr>
                <w:snapToGrid w:val="0"/>
              </w:rPr>
            </w:pPr>
            <w:r>
              <w:rPr>
                <w:snapToGrid w:val="0"/>
              </w:rPr>
              <w:t>65 of 2006</w:t>
            </w:r>
          </w:p>
        </w:tc>
        <w:tc>
          <w:tcPr>
            <w:tcW w:w="1134" w:type="dxa"/>
          </w:tcPr>
          <w:p>
            <w:pPr>
              <w:pStyle w:val="nTable"/>
              <w:keepNext/>
              <w:keepLines/>
              <w:spacing w:after="40"/>
            </w:pPr>
            <w:r>
              <w:rPr>
                <w:snapToGrid w:val="0"/>
              </w:rPr>
              <w:t>8 Dec 2006</w:t>
            </w:r>
          </w:p>
        </w:tc>
        <w:tc>
          <w:tcPr>
            <w:tcW w:w="2553" w:type="dxa"/>
          </w:tcPr>
          <w:p>
            <w:pPr>
              <w:pStyle w:val="nTable"/>
              <w:keepNext/>
              <w:keepLines/>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keepNext/>
              <w:spacing w:after="40"/>
              <w:ind w:right="113"/>
              <w:rPr>
                <w:iCs/>
                <w:snapToGrid w:val="0"/>
              </w:rPr>
            </w:pPr>
            <w:r>
              <w:rPr>
                <w:i/>
                <w:snapToGrid w:val="0"/>
              </w:rPr>
              <w:lastRenderedPageBreak/>
              <w:t>Standardisation of Formatting Act 2010</w:t>
            </w:r>
            <w:r>
              <w:rPr>
                <w:iCs/>
                <w:snapToGrid w:val="0"/>
              </w:rPr>
              <w:t xml:space="preserve"> s. 4</w:t>
            </w:r>
          </w:p>
        </w:tc>
        <w:tc>
          <w:tcPr>
            <w:tcW w:w="1134" w:type="dxa"/>
          </w:tcPr>
          <w:p>
            <w:pPr>
              <w:pStyle w:val="nTable"/>
              <w:keepNext/>
              <w:spacing w:after="40"/>
              <w:rPr>
                <w:snapToGrid w:val="0"/>
              </w:rPr>
            </w:pPr>
            <w:r>
              <w:rPr>
                <w:snapToGrid w:val="0"/>
              </w:rPr>
              <w:t>19 of 2010</w:t>
            </w:r>
          </w:p>
        </w:tc>
        <w:tc>
          <w:tcPr>
            <w:tcW w:w="1134" w:type="dxa"/>
          </w:tcPr>
          <w:p>
            <w:pPr>
              <w:pStyle w:val="nTable"/>
              <w:keepNext/>
              <w:spacing w:after="40"/>
              <w:rPr>
                <w:snapToGrid w:val="0"/>
              </w:rPr>
            </w:pPr>
            <w:r>
              <w:rPr>
                <w:snapToGrid w:val="0"/>
              </w:rPr>
              <w:t>28 Jun 2010</w:t>
            </w:r>
          </w:p>
        </w:tc>
        <w:tc>
          <w:tcPr>
            <w:tcW w:w="2553" w:type="dxa"/>
          </w:tcPr>
          <w:p>
            <w:pPr>
              <w:pStyle w:val="nTable"/>
              <w:keepNext/>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lastRenderedPageBreak/>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rPr>
            </w:pPr>
            <w:r>
              <w:rPr>
                <w:i/>
              </w:rPr>
              <w:lastRenderedPageBreak/>
              <w:t>Universities Legislation Amendment Act 2016</w:t>
            </w:r>
            <w:r>
              <w:t xml:space="preserve"> Pt. 7 Div. 9</w:t>
            </w:r>
          </w:p>
        </w:tc>
        <w:tc>
          <w:tcPr>
            <w:tcW w:w="1134" w:type="dxa"/>
            <w:tcBorders>
              <w:top w:val="nil"/>
              <w:left w:val="nil"/>
              <w:bottom w:val="nil"/>
              <w:right w:val="nil"/>
            </w:tcBorders>
          </w:tcPr>
          <w:p>
            <w:pPr>
              <w:pStyle w:val="nTable"/>
              <w:keepNext/>
              <w:keepLines/>
              <w:spacing w:after="40"/>
            </w:pPr>
            <w:r>
              <w:t>32 of 2016</w:t>
            </w:r>
          </w:p>
        </w:tc>
        <w:tc>
          <w:tcPr>
            <w:tcW w:w="1134" w:type="dxa"/>
            <w:tcBorders>
              <w:top w:val="nil"/>
              <w:left w:val="nil"/>
              <w:bottom w:val="nil"/>
              <w:right w:val="nil"/>
            </w:tcBorders>
          </w:tcPr>
          <w:p>
            <w:pPr>
              <w:pStyle w:val="nTable"/>
              <w:keepNext/>
              <w:keepLines/>
              <w:spacing w:after="40"/>
            </w:pPr>
            <w:r>
              <w:t>19 Oct 2016</w:t>
            </w:r>
          </w:p>
        </w:tc>
        <w:tc>
          <w:tcPr>
            <w:tcW w:w="2553" w:type="dxa"/>
            <w:tcBorders>
              <w:top w:val="nil"/>
              <w:left w:val="nil"/>
              <w:bottom w:val="nil"/>
            </w:tcBorders>
          </w:tcPr>
          <w:p>
            <w:pPr>
              <w:pStyle w:val="nTable"/>
              <w:keepNext/>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Fines, Penalties and Infringement Notices Enforcement Amendment Act 2020</w:t>
            </w:r>
            <w:r>
              <w:t xml:space="preserve"> Pt. 3 Div. 8</w:t>
            </w:r>
          </w:p>
        </w:tc>
        <w:tc>
          <w:tcPr>
            <w:tcW w:w="1134" w:type="dxa"/>
            <w:tcBorders>
              <w:top w:val="nil"/>
              <w:left w:val="nil"/>
              <w:bottom w:val="nil"/>
              <w:right w:val="nil"/>
            </w:tcBorders>
          </w:tcPr>
          <w:p>
            <w:pPr>
              <w:pStyle w:val="nTable"/>
              <w:keepNext/>
              <w:keepLines/>
              <w:spacing w:after="40"/>
            </w:pPr>
            <w:r>
              <w:t>25 of 2020</w:t>
            </w:r>
          </w:p>
        </w:tc>
        <w:tc>
          <w:tcPr>
            <w:tcW w:w="1134" w:type="dxa"/>
            <w:tcBorders>
              <w:top w:val="nil"/>
              <w:left w:val="nil"/>
              <w:bottom w:val="nil"/>
              <w:right w:val="nil"/>
            </w:tcBorders>
          </w:tcPr>
          <w:p>
            <w:pPr>
              <w:pStyle w:val="nTable"/>
              <w:keepNext/>
              <w:keepLines/>
              <w:spacing w:after="40"/>
            </w:pPr>
            <w:r>
              <w:t>19 Jun 2020</w:t>
            </w:r>
          </w:p>
        </w:tc>
        <w:tc>
          <w:tcPr>
            <w:tcW w:w="2553" w:type="dxa"/>
            <w:tcBorders>
              <w:top w:val="nil"/>
              <w:left w:val="nil"/>
              <w:bottom w:val="nil"/>
            </w:tcBorders>
          </w:tcPr>
          <w:p>
            <w:pPr>
              <w:pStyle w:val="nTable"/>
              <w:keepNext/>
              <w:keepLines/>
              <w:spacing w:after="40"/>
              <w:rPr>
                <w:noProof/>
                <w:snapToGrid w:val="0"/>
              </w:rPr>
            </w:pPr>
            <w:r>
              <w:t>29 Sep 2020 (see s. 2(1)(c) and SL 2020/159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High Risk Serious Offenders Act 2020</w:t>
            </w:r>
            <w:r>
              <w:t xml:space="preserve"> s. 120 and 121</w:t>
            </w:r>
          </w:p>
        </w:tc>
        <w:tc>
          <w:tcPr>
            <w:tcW w:w="1134" w:type="dxa"/>
            <w:tcBorders>
              <w:top w:val="nil"/>
              <w:left w:val="nil"/>
              <w:bottom w:val="nil"/>
              <w:right w:val="nil"/>
            </w:tcBorders>
          </w:tcPr>
          <w:p>
            <w:pPr>
              <w:pStyle w:val="nTable"/>
              <w:keepNext/>
              <w:keepLines/>
              <w:spacing w:after="40"/>
            </w:pPr>
            <w:r>
              <w:t>29 of 2020</w:t>
            </w:r>
          </w:p>
        </w:tc>
        <w:tc>
          <w:tcPr>
            <w:tcW w:w="1134" w:type="dxa"/>
            <w:tcBorders>
              <w:top w:val="nil"/>
              <w:left w:val="nil"/>
              <w:bottom w:val="nil"/>
              <w:right w:val="nil"/>
            </w:tcBorders>
          </w:tcPr>
          <w:p>
            <w:pPr>
              <w:pStyle w:val="nTable"/>
              <w:keepNext/>
              <w:keepLines/>
              <w:spacing w:after="40"/>
            </w:pPr>
            <w:r>
              <w:t>9 Jul 2020</w:t>
            </w:r>
          </w:p>
        </w:tc>
        <w:tc>
          <w:tcPr>
            <w:tcW w:w="2553" w:type="dxa"/>
            <w:tcBorders>
              <w:top w:val="nil"/>
              <w:left w:val="nil"/>
              <w:bottom w:val="nil"/>
            </w:tcBorders>
          </w:tcPr>
          <w:p>
            <w:pPr>
              <w:pStyle w:val="nTable"/>
              <w:keepNext/>
              <w:keepLines/>
              <w:spacing w:after="40"/>
            </w:pPr>
            <w:r>
              <w:rPr>
                <w:snapToGrid w:val="0"/>
              </w:rPr>
              <w:t>26 Aug 2020 (see s. 2(1)(c) and SL 2020/131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snapToGrid w:val="0"/>
              </w:rPr>
            </w:pPr>
            <w:r>
              <w:rPr>
                <w:i/>
                <w:snapToGrid w:val="0"/>
              </w:rPr>
              <w:t>Family Violence Legislation Reform Act 2020</w:t>
            </w:r>
            <w:r>
              <w:rPr>
                <w:snapToGrid w:val="0"/>
              </w:rPr>
              <w:t xml:space="preserve"> Pt. 3</w:t>
            </w:r>
          </w:p>
        </w:tc>
        <w:tc>
          <w:tcPr>
            <w:tcW w:w="1134" w:type="dxa"/>
            <w:tcBorders>
              <w:top w:val="nil"/>
              <w:left w:val="nil"/>
              <w:bottom w:val="nil"/>
              <w:right w:val="nil"/>
            </w:tcBorders>
          </w:tcPr>
          <w:p>
            <w:pPr>
              <w:pStyle w:val="nTable"/>
              <w:keepLines/>
              <w:spacing w:after="40"/>
            </w:pPr>
            <w:r>
              <w:t>30 of 2020</w:t>
            </w:r>
          </w:p>
        </w:tc>
        <w:tc>
          <w:tcPr>
            <w:tcW w:w="1134" w:type="dxa"/>
            <w:tcBorders>
              <w:top w:val="nil"/>
              <w:left w:val="nil"/>
              <w:bottom w:val="nil"/>
              <w:right w:val="nil"/>
            </w:tcBorders>
          </w:tcPr>
          <w:p>
            <w:pPr>
              <w:pStyle w:val="nTable"/>
              <w:keepLines/>
              <w:spacing w:after="40"/>
            </w:pPr>
            <w:r>
              <w:t>9 Jul 2020</w:t>
            </w:r>
          </w:p>
        </w:tc>
        <w:tc>
          <w:tcPr>
            <w:tcW w:w="2553" w:type="dxa"/>
            <w:tcBorders>
              <w:top w:val="nil"/>
              <w:left w:val="nil"/>
              <w:bottom w:val="nil"/>
            </w:tcBorders>
          </w:tcPr>
          <w:p>
            <w:pPr>
              <w:pStyle w:val="nTable"/>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r>
              <w:rPr>
                <w:snapToGrid w:val="0"/>
              </w:rPr>
              <w:br/>
              <w:t>s. 13 to 30: 1 Jan 2021 (see s. 2(1)(c) and SL 2020/125 cl. 2(c)(i))</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Veterinary Practice Act 2021</w:t>
            </w:r>
            <w:r>
              <w:t xml:space="preserve"> s. 235</w:t>
            </w:r>
          </w:p>
        </w:tc>
        <w:tc>
          <w:tcPr>
            <w:tcW w:w="1134" w:type="dxa"/>
            <w:tcBorders>
              <w:top w:val="nil"/>
              <w:left w:val="nil"/>
              <w:bottom w:val="nil"/>
              <w:right w:val="nil"/>
            </w:tcBorders>
          </w:tcPr>
          <w:p>
            <w:pPr>
              <w:pStyle w:val="nTable"/>
              <w:keepLines/>
              <w:spacing w:after="40"/>
            </w:pPr>
            <w:r>
              <w:t>19 of 2021</w:t>
            </w:r>
          </w:p>
        </w:tc>
        <w:tc>
          <w:tcPr>
            <w:tcW w:w="1134" w:type="dxa"/>
            <w:tcBorders>
              <w:top w:val="nil"/>
              <w:left w:val="nil"/>
              <w:bottom w:val="nil"/>
              <w:right w:val="nil"/>
            </w:tcBorders>
          </w:tcPr>
          <w:p>
            <w:pPr>
              <w:pStyle w:val="nTable"/>
              <w:keepLines/>
              <w:spacing w:after="40"/>
            </w:pPr>
            <w:r>
              <w:t>27 Oct 2021</w:t>
            </w:r>
          </w:p>
        </w:tc>
        <w:tc>
          <w:tcPr>
            <w:tcW w:w="2553" w:type="dxa"/>
            <w:tcBorders>
              <w:top w:val="nil"/>
              <w:left w:val="nil"/>
              <w:bottom w:val="nil"/>
            </w:tcBorders>
          </w:tcPr>
          <w:p>
            <w:pPr>
              <w:pStyle w:val="nTable"/>
              <w:keepLines/>
              <w:spacing w:after="40"/>
              <w:rPr>
                <w:noProof/>
                <w:snapToGrid w:val="0"/>
              </w:rPr>
            </w:pPr>
            <w:r>
              <w:rPr>
                <w:noProof/>
                <w:snapToGrid w:val="0"/>
              </w:rPr>
              <w:t>18 Jun 2022 (see s. 2(b) and SL 2022</w:t>
            </w:r>
            <w:r>
              <w:rPr>
                <w:snapToGrid w:val="0"/>
              </w:rPr>
              <w:t>/81</w:t>
            </w:r>
            <w:r>
              <w:rPr>
                <w:noProof/>
                <w:snapToGrid w:val="0"/>
              </w:rPr>
              <w:t xml:space="preserve">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rPr>
            </w:pPr>
            <w:r>
              <w:rPr>
                <w:i/>
              </w:rPr>
              <w:lastRenderedPageBreak/>
              <w:t>Aboriginal Cultural Heritage Act 2021</w:t>
            </w:r>
            <w:r>
              <w:t xml:space="preserve"> s. 352</w:t>
            </w:r>
          </w:p>
        </w:tc>
        <w:tc>
          <w:tcPr>
            <w:tcW w:w="1134" w:type="dxa"/>
            <w:tcBorders>
              <w:top w:val="nil"/>
              <w:left w:val="nil"/>
              <w:bottom w:val="nil"/>
              <w:right w:val="nil"/>
            </w:tcBorders>
          </w:tcPr>
          <w:p>
            <w:pPr>
              <w:pStyle w:val="nTable"/>
              <w:keepNext/>
              <w:keepLines/>
              <w:spacing w:after="40"/>
            </w:pPr>
            <w:r>
              <w:t>27 of 2021</w:t>
            </w:r>
          </w:p>
        </w:tc>
        <w:tc>
          <w:tcPr>
            <w:tcW w:w="1134" w:type="dxa"/>
            <w:tcBorders>
              <w:top w:val="nil"/>
              <w:left w:val="nil"/>
              <w:bottom w:val="nil"/>
              <w:right w:val="nil"/>
            </w:tcBorders>
          </w:tcPr>
          <w:p>
            <w:pPr>
              <w:pStyle w:val="nTable"/>
              <w:keepNext/>
              <w:keepLines/>
              <w:spacing w:after="40"/>
            </w:pPr>
            <w:r>
              <w:t>22 Dec 2021</w:t>
            </w:r>
          </w:p>
        </w:tc>
        <w:tc>
          <w:tcPr>
            <w:tcW w:w="2553" w:type="dxa"/>
            <w:tcBorders>
              <w:top w:val="nil"/>
              <w:left w:val="nil"/>
              <w:bottom w:val="nil"/>
            </w:tcBorders>
          </w:tcPr>
          <w:p>
            <w:pPr>
              <w:pStyle w:val="nTable"/>
              <w:keepNext/>
              <w:keepLines/>
              <w:spacing w:after="40"/>
              <w:rPr>
                <w:noProof/>
                <w:snapToGrid w:val="0"/>
              </w:rPr>
            </w:pPr>
            <w:r>
              <w:t>1 Jul 2023 (see s. 2(e) and SL 2023/40 cl.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Firearms Amendment Act 2022</w:t>
            </w:r>
            <w:r>
              <w:t xml:space="preserve"> s. 85</w:t>
            </w:r>
          </w:p>
        </w:tc>
        <w:tc>
          <w:tcPr>
            <w:tcW w:w="1134" w:type="dxa"/>
            <w:tcBorders>
              <w:top w:val="nil"/>
              <w:left w:val="nil"/>
              <w:bottom w:val="nil"/>
              <w:right w:val="nil"/>
            </w:tcBorders>
          </w:tcPr>
          <w:p>
            <w:pPr>
              <w:pStyle w:val="nTable"/>
              <w:keepLines/>
              <w:spacing w:after="40"/>
            </w:pPr>
            <w:r>
              <w:t>13 of 2022</w:t>
            </w:r>
          </w:p>
        </w:tc>
        <w:tc>
          <w:tcPr>
            <w:tcW w:w="1134" w:type="dxa"/>
            <w:tcBorders>
              <w:top w:val="nil"/>
              <w:left w:val="nil"/>
              <w:bottom w:val="nil"/>
              <w:right w:val="nil"/>
            </w:tcBorders>
          </w:tcPr>
          <w:p>
            <w:pPr>
              <w:pStyle w:val="nTable"/>
              <w:keepLines/>
              <w:spacing w:after="40"/>
            </w:pPr>
            <w:r>
              <w:t>18 May 2022</w:t>
            </w:r>
          </w:p>
        </w:tc>
        <w:tc>
          <w:tcPr>
            <w:tcW w:w="2553" w:type="dxa"/>
            <w:tcBorders>
              <w:top w:val="nil"/>
              <w:left w:val="nil"/>
              <w:bottom w:val="nil"/>
            </w:tcBorders>
          </w:tcPr>
          <w:p>
            <w:pPr>
              <w:pStyle w:val="nTable"/>
              <w:keepLines/>
              <w:spacing w:after="40"/>
            </w:pPr>
            <w:r>
              <w:rPr>
                <w:noProof/>
                <w:snapToGrid w:val="0"/>
              </w:rPr>
              <w:t>19 Nov 2022 (see s. 2(c) and SL 2022/186 cl.</w:t>
            </w:r>
            <w:r>
              <w:t>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Liquor Control Amendment (Protected Entertainment Precincts) Act 2022</w:t>
            </w:r>
            <w:r>
              <w:t xml:space="preserve"> Pt. 4</w:t>
            </w:r>
          </w:p>
        </w:tc>
        <w:tc>
          <w:tcPr>
            <w:tcW w:w="1134" w:type="dxa"/>
            <w:tcBorders>
              <w:top w:val="nil"/>
              <w:left w:val="nil"/>
              <w:bottom w:val="nil"/>
              <w:right w:val="nil"/>
            </w:tcBorders>
          </w:tcPr>
          <w:p>
            <w:pPr>
              <w:pStyle w:val="nTable"/>
              <w:spacing w:after="40"/>
            </w:pPr>
            <w:r>
              <w:t>44 of 2022</w:t>
            </w:r>
          </w:p>
        </w:tc>
        <w:tc>
          <w:tcPr>
            <w:tcW w:w="1134" w:type="dxa"/>
            <w:tcBorders>
              <w:top w:val="nil"/>
              <w:left w:val="nil"/>
              <w:bottom w:val="nil"/>
              <w:right w:val="nil"/>
            </w:tcBorders>
          </w:tcPr>
          <w:p>
            <w:pPr>
              <w:pStyle w:val="nTable"/>
              <w:spacing w:after="40"/>
            </w:pPr>
            <w:r>
              <w:t>1 Dec 2022</w:t>
            </w:r>
          </w:p>
        </w:tc>
        <w:tc>
          <w:tcPr>
            <w:tcW w:w="2553" w:type="dxa"/>
            <w:tcBorders>
              <w:top w:val="nil"/>
              <w:left w:val="nil"/>
              <w:bottom w:val="nil"/>
            </w:tcBorders>
          </w:tcPr>
          <w:p>
            <w:pPr>
              <w:pStyle w:val="nTable"/>
              <w:spacing w:after="40"/>
              <w:rPr>
                <w:noProof/>
                <w:snapToGrid w:val="0"/>
              </w:rPr>
            </w:pPr>
            <w:r>
              <w:rPr>
                <w:snapToGrid w:val="0"/>
              </w:rPr>
              <w:t>24 Dec 2022 (see s. 2(b) and SL 2022/216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Workers Compensation and Injury Management Act 2023</w:t>
            </w:r>
            <w:r>
              <w:rPr>
                <w:iCs/>
                <w:snapToGrid w:val="0"/>
              </w:rPr>
              <w:t xml:space="preserve"> Pt. 15 Div. 3 Subdiv. 16</w:t>
            </w:r>
          </w:p>
        </w:tc>
        <w:tc>
          <w:tcPr>
            <w:tcW w:w="1134" w:type="dxa"/>
            <w:tcBorders>
              <w:top w:val="nil"/>
              <w:left w:val="nil"/>
              <w:bottom w:val="nil"/>
              <w:right w:val="nil"/>
            </w:tcBorders>
          </w:tcPr>
          <w:p>
            <w:pPr>
              <w:pStyle w:val="nTable"/>
              <w:spacing w:after="40"/>
            </w:pPr>
            <w:r>
              <w:t>21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noProof/>
                <w:snapToGrid w:val="0"/>
              </w:rPr>
            </w:pPr>
            <w:r>
              <w:rPr>
                <w:noProof/>
                <w:snapToGrid w:val="0"/>
              </w:rPr>
              <w:t>1 Jul 2024 (see s. 2(d) and SL 2024/34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Aboriginal Heritage Legislation Amendment and Repeal Act 2023</w:t>
            </w:r>
            <w:r>
              <w:rPr>
                <w:iCs/>
                <w:snapToGrid w:val="0"/>
              </w:rPr>
              <w:t xml:space="preserve"> s. 33</w:t>
            </w:r>
          </w:p>
        </w:tc>
        <w:tc>
          <w:tcPr>
            <w:tcW w:w="1134" w:type="dxa"/>
            <w:tcBorders>
              <w:top w:val="nil"/>
              <w:left w:val="nil"/>
              <w:bottom w:val="nil"/>
              <w:right w:val="nil"/>
            </w:tcBorders>
          </w:tcPr>
          <w:p>
            <w:pPr>
              <w:pStyle w:val="nTable"/>
              <w:spacing w:after="40"/>
            </w:pPr>
            <w:r>
              <w:t>23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snapToGrid w:val="0"/>
              </w:rPr>
            </w:pPr>
            <w:r>
              <w:rPr>
                <w:noProof/>
                <w:snapToGrid w:val="0"/>
              </w:rPr>
              <w:t>15 Nov 2023 (see s. 2(d) and SL 2023/161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Marine Safety (Domestic Commercial Vessel National Law Application) Act 2023</w:t>
            </w:r>
            <w:r>
              <w:rPr>
                <w:iCs/>
                <w:snapToGrid w:val="0"/>
              </w:rPr>
              <w:t xml:space="preserve"> Pt. 10 Div. 6</w:t>
            </w:r>
          </w:p>
        </w:tc>
        <w:tc>
          <w:tcPr>
            <w:tcW w:w="1134" w:type="dxa"/>
            <w:tcBorders>
              <w:top w:val="nil"/>
              <w:left w:val="nil"/>
              <w:bottom w:val="nil"/>
              <w:right w:val="nil"/>
            </w:tcBorders>
          </w:tcPr>
          <w:p>
            <w:pPr>
              <w:pStyle w:val="nTable"/>
              <w:spacing w:after="40"/>
            </w:pPr>
            <w:r>
              <w:t>24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noProof/>
                <w:snapToGrid w:val="0"/>
              </w:rPr>
            </w:pPr>
            <w:r>
              <w:rPr>
                <w:noProof/>
                <w:snapToGrid w:val="0"/>
              </w:rPr>
              <w:t>16 Dec 2023 (see s. 2(b) and SL 2023/190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Western Australian Marine Amendment Act 2023</w:t>
            </w:r>
            <w:r>
              <w:rPr>
                <w:iCs/>
                <w:snapToGrid w:val="0"/>
              </w:rPr>
              <w:t xml:space="preserve"> s. 37</w:t>
            </w:r>
          </w:p>
        </w:tc>
        <w:tc>
          <w:tcPr>
            <w:tcW w:w="1134" w:type="dxa"/>
            <w:tcBorders>
              <w:top w:val="nil"/>
              <w:left w:val="nil"/>
              <w:bottom w:val="nil"/>
              <w:right w:val="nil"/>
            </w:tcBorders>
          </w:tcPr>
          <w:p>
            <w:pPr>
              <w:pStyle w:val="nTable"/>
              <w:spacing w:after="40"/>
            </w:pPr>
            <w:r>
              <w:t>31 of 2023</w:t>
            </w:r>
          </w:p>
        </w:tc>
        <w:tc>
          <w:tcPr>
            <w:tcW w:w="1134" w:type="dxa"/>
            <w:tcBorders>
              <w:top w:val="nil"/>
              <w:left w:val="nil"/>
              <w:bottom w:val="nil"/>
              <w:right w:val="nil"/>
            </w:tcBorders>
          </w:tcPr>
          <w:p>
            <w:pPr>
              <w:pStyle w:val="nTable"/>
              <w:spacing w:after="40"/>
            </w:pPr>
            <w:r>
              <w:t>11 Dec 2023</w:t>
            </w:r>
          </w:p>
        </w:tc>
        <w:tc>
          <w:tcPr>
            <w:tcW w:w="2553" w:type="dxa"/>
            <w:tcBorders>
              <w:top w:val="nil"/>
              <w:left w:val="nil"/>
              <w:bottom w:val="nil"/>
            </w:tcBorders>
          </w:tcPr>
          <w:p>
            <w:pPr>
              <w:pStyle w:val="nTable"/>
              <w:spacing w:after="40"/>
              <w:rPr>
                <w:noProof/>
                <w:snapToGrid w:val="0"/>
              </w:rPr>
            </w:pPr>
            <w:r>
              <w:rPr>
                <w:noProof/>
                <w:snapToGrid w:val="0"/>
              </w:rPr>
              <w:t>21 Dec 2023 (see s. 2(c) and SL 2023/202 cl. 2(a))</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right w:val="nil"/>
            </w:tcBorders>
          </w:tcPr>
          <w:p>
            <w:pPr>
              <w:pStyle w:val="nTable"/>
              <w:spacing w:after="40"/>
              <w:rPr>
                <w:i/>
                <w:snapToGrid w:val="0"/>
              </w:rPr>
            </w:pPr>
            <w:r>
              <w:rPr>
                <w:i/>
              </w:rPr>
              <w:t>Criminal Code Amendment Act 2024</w:t>
            </w:r>
            <w:r>
              <w:rPr>
                <w:iCs/>
              </w:rPr>
              <w:t xml:space="preserve"> s. 8</w:t>
            </w:r>
          </w:p>
        </w:tc>
        <w:tc>
          <w:tcPr>
            <w:tcW w:w="1134" w:type="dxa"/>
            <w:tcBorders>
              <w:top w:val="nil"/>
              <w:left w:val="nil"/>
              <w:bottom w:val="single" w:sz="4" w:space="0" w:color="auto"/>
              <w:right w:val="nil"/>
            </w:tcBorders>
          </w:tcPr>
          <w:p>
            <w:pPr>
              <w:pStyle w:val="nTable"/>
              <w:spacing w:after="40"/>
            </w:pPr>
            <w:r>
              <w:t>16 of 2024</w:t>
            </w:r>
          </w:p>
        </w:tc>
        <w:tc>
          <w:tcPr>
            <w:tcW w:w="1134" w:type="dxa"/>
            <w:tcBorders>
              <w:top w:val="nil"/>
              <w:left w:val="nil"/>
              <w:bottom w:val="single" w:sz="4" w:space="0" w:color="auto"/>
              <w:right w:val="nil"/>
            </w:tcBorders>
          </w:tcPr>
          <w:p>
            <w:pPr>
              <w:pStyle w:val="nTable"/>
              <w:spacing w:after="40"/>
            </w:pPr>
            <w:r>
              <w:t>14 May 2024</w:t>
            </w:r>
          </w:p>
        </w:tc>
        <w:tc>
          <w:tcPr>
            <w:tcW w:w="2553" w:type="dxa"/>
            <w:tcBorders>
              <w:top w:val="nil"/>
              <w:left w:val="nil"/>
              <w:bottom w:val="single" w:sz="4" w:space="0" w:color="auto"/>
            </w:tcBorders>
          </w:tcPr>
          <w:p>
            <w:pPr>
              <w:pStyle w:val="nTable"/>
              <w:spacing w:after="40"/>
              <w:rPr>
                <w:noProof/>
                <w:snapToGrid w:val="0"/>
              </w:rPr>
            </w:pPr>
            <w:r>
              <w:rPr>
                <w:noProof/>
                <w:snapToGrid w:val="0"/>
              </w:rPr>
              <w:t>1 Jul 2024 (see s. 2(b) and SL 2024/125 cl. 2)</w:t>
            </w:r>
          </w:p>
        </w:tc>
      </w:tr>
    </w:tbl>
    <w:p>
      <w:pPr>
        <w:pStyle w:val="nHeading3"/>
        <w:keepLines/>
      </w:pPr>
      <w:bookmarkStart w:id="486" w:name="_Toc178257858"/>
      <w:r>
        <w:t>Uncommenced provisions table</w:t>
      </w:r>
      <w:bookmarkEnd w:id="486"/>
    </w:p>
    <w:p>
      <w:pPr>
        <w:pStyle w:val="nStatement"/>
        <w:keepNext/>
        <w:keepLines/>
        <w:spacing w:after="240"/>
      </w:pPr>
      <w:r>
        <w:t xml:space="preserve">To view the text of the uncommenced provisions see </w:t>
      </w:r>
      <w:r>
        <w:rPr>
          <w:i/>
        </w:rPr>
        <w:t>Acts as passed</w:t>
      </w:r>
      <w:r>
        <w:t xml:space="preserve"> on the WA Legislation website.</w:t>
      </w:r>
    </w:p>
    <w:tbl>
      <w:tblPr>
        <w:tblW w:w="0" w:type="auto"/>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410"/>
        <w:gridCol w:w="1134"/>
        <w:gridCol w:w="1134"/>
        <w:gridCol w:w="2410"/>
      </w:tblGrid>
      <w:tr>
        <w:trPr>
          <w:tblHeader/>
        </w:trPr>
        <w:tc>
          <w:tcPr>
            <w:tcW w:w="2410"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Assent</w:t>
            </w:r>
          </w:p>
        </w:tc>
        <w:tc>
          <w:tcPr>
            <w:tcW w:w="2410"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410" w:type="dxa"/>
            <w:tcBorders>
              <w:top w:val="single" w:sz="4" w:space="0" w:color="auto"/>
              <w:left w:val="nil"/>
              <w:bottom w:val="nil"/>
              <w:right w:val="nil"/>
            </w:tcBorders>
          </w:tcPr>
          <w:p>
            <w:pPr>
              <w:pStyle w:val="nTable"/>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4" w:type="dxa"/>
            <w:tcBorders>
              <w:top w:val="single" w:sz="4" w:space="0" w:color="auto"/>
              <w:left w:val="nil"/>
              <w:bottom w:val="nil"/>
              <w:right w:val="nil"/>
            </w:tcBorders>
          </w:tcPr>
          <w:p>
            <w:pPr>
              <w:pStyle w:val="nTable"/>
              <w:keepLines/>
              <w:spacing w:after="40"/>
              <w:rPr>
                <w:snapToGrid w:val="0"/>
              </w:rPr>
            </w:pPr>
            <w:r>
              <w:rPr>
                <w:snapToGrid w:val="0"/>
              </w:rPr>
              <w:t>20 of 2013</w:t>
            </w:r>
          </w:p>
        </w:tc>
        <w:tc>
          <w:tcPr>
            <w:tcW w:w="1134" w:type="dxa"/>
            <w:tcBorders>
              <w:top w:val="single" w:sz="4" w:space="0" w:color="auto"/>
              <w:left w:val="nil"/>
              <w:bottom w:val="nil"/>
              <w:right w:val="nil"/>
            </w:tcBorders>
          </w:tcPr>
          <w:p>
            <w:pPr>
              <w:pStyle w:val="nTable"/>
              <w:keepLines/>
              <w:spacing w:after="40"/>
              <w:rPr>
                <w:snapToGrid w:val="0"/>
              </w:rPr>
            </w:pPr>
            <w:r>
              <w:rPr>
                <w:snapToGrid w:val="0"/>
              </w:rPr>
              <w:t>4 Nov 2013</w:t>
            </w:r>
          </w:p>
        </w:tc>
        <w:tc>
          <w:tcPr>
            <w:tcW w:w="2410" w:type="dxa"/>
            <w:tcBorders>
              <w:top w:val="single" w:sz="4" w:space="0" w:color="auto"/>
              <w:left w:val="nil"/>
              <w:bottom w:val="nil"/>
              <w:right w:val="nil"/>
            </w:tcBorders>
          </w:tcPr>
          <w:p>
            <w:pPr>
              <w:pStyle w:val="nTable"/>
              <w:keepLines/>
              <w:spacing w:after="40"/>
              <w:rPr>
                <w:snapToGrid w:val="0"/>
              </w:rPr>
            </w:pPr>
            <w:r>
              <w:rPr>
                <w:snapToGrid w:val="0"/>
              </w:rPr>
              <w:t>To be proclaimed (see s. 2(b))</w:t>
            </w:r>
          </w:p>
        </w:tc>
      </w:tr>
      <w:tr>
        <w:tc>
          <w:tcPr>
            <w:tcW w:w="2410" w:type="dxa"/>
            <w:tcBorders>
              <w:top w:val="nil"/>
              <w:left w:val="nil"/>
              <w:bottom w:val="nil"/>
              <w:right w:val="nil"/>
            </w:tcBorders>
          </w:tcPr>
          <w:p>
            <w:pPr>
              <w:pStyle w:val="nTable"/>
              <w:keepLines/>
              <w:spacing w:after="40"/>
              <w:rPr>
                <w:i/>
                <w:snapToGrid w:val="0"/>
              </w:rPr>
            </w:pPr>
            <w:r>
              <w:rPr>
                <w:i/>
              </w:rPr>
              <w:t>Public Health (Consequential Provisions) Act 2016</w:t>
            </w:r>
            <w:r>
              <w:t xml:space="preserve"> Pt. 5 Div. 23</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410" w:type="dxa"/>
            <w:tcBorders>
              <w:top w:val="nil"/>
              <w:left w:val="nil"/>
              <w:bottom w:val="nil"/>
              <w:right w:val="nil"/>
            </w:tcBorders>
          </w:tcPr>
          <w:p>
            <w:pPr>
              <w:pStyle w:val="nTable"/>
              <w:keepLines/>
              <w:spacing w:after="40"/>
            </w:pPr>
            <w:r>
              <w:t>To</w:t>
            </w:r>
            <w:r>
              <w:rPr>
                <w:snapToGrid w:val="0"/>
              </w:rPr>
              <w:t xml:space="preserve"> be proclaimed (see s. 2(1)(c))</w:t>
            </w:r>
          </w:p>
        </w:tc>
      </w:tr>
      <w:tr>
        <w:trPr>
          <w:cantSplit/>
          <w:trHeight w:val="1026"/>
        </w:trPr>
        <w:tc>
          <w:tcPr>
            <w:tcW w:w="2410" w:type="dxa"/>
            <w:tcBorders>
              <w:top w:val="nil"/>
              <w:left w:val="nil"/>
              <w:bottom w:val="nil"/>
              <w:right w:val="nil"/>
            </w:tcBorders>
          </w:tcPr>
          <w:p>
            <w:pPr>
              <w:pStyle w:val="nTable"/>
              <w:spacing w:after="40"/>
              <w:rPr>
                <w:snapToGrid w:val="0"/>
              </w:rPr>
            </w:pPr>
            <w:r>
              <w:rPr>
                <w:i/>
                <w:snapToGrid w:val="0"/>
              </w:rPr>
              <w:lastRenderedPageBreak/>
              <w:t>Sentencing Legislation Amendment Act 2016</w:t>
            </w:r>
            <w:r>
              <w:rPr>
                <w:snapToGrid w:val="0"/>
              </w:rPr>
              <w:t xml:space="preserve"> </w:t>
            </w:r>
            <w:r>
              <w:rPr>
                <w:snapToGrid w:val="0"/>
              </w:rPr>
              <w:br/>
              <w:t>Pt. 4 Div. 5 and s. 69 and 73</w:t>
            </w:r>
          </w:p>
        </w:tc>
        <w:tc>
          <w:tcPr>
            <w:tcW w:w="1134" w:type="dxa"/>
            <w:tcBorders>
              <w:top w:val="nil"/>
              <w:left w:val="nil"/>
              <w:bottom w:val="nil"/>
              <w:right w:val="nil"/>
            </w:tcBorders>
          </w:tcPr>
          <w:p>
            <w:pPr>
              <w:pStyle w:val="nTable"/>
              <w:spacing w:after="40"/>
            </w:pPr>
            <w:r>
              <w:t>45 of 2016</w:t>
            </w:r>
          </w:p>
        </w:tc>
        <w:tc>
          <w:tcPr>
            <w:tcW w:w="1134" w:type="dxa"/>
            <w:tcBorders>
              <w:top w:val="nil"/>
              <w:left w:val="nil"/>
              <w:bottom w:val="nil"/>
              <w:right w:val="nil"/>
            </w:tcBorders>
          </w:tcPr>
          <w:p>
            <w:pPr>
              <w:pStyle w:val="nTable"/>
              <w:spacing w:after="40"/>
            </w:pPr>
            <w:r>
              <w:t>7 Dec 2016</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2(c))</w:t>
            </w:r>
          </w:p>
        </w:tc>
      </w:tr>
      <w:tr>
        <w:trPr>
          <w:cantSplit/>
        </w:trPr>
        <w:tc>
          <w:tcPr>
            <w:tcW w:w="2410" w:type="dxa"/>
            <w:tcBorders>
              <w:top w:val="nil"/>
              <w:left w:val="nil"/>
              <w:bottom w:val="nil"/>
              <w:right w:val="nil"/>
            </w:tcBorders>
          </w:tcPr>
          <w:p>
            <w:pPr>
              <w:pStyle w:val="nTable"/>
              <w:spacing w:after="40"/>
              <w:rPr>
                <w:iCs/>
                <w:snapToGrid w:val="0"/>
              </w:rPr>
            </w:pPr>
            <w:r>
              <w:rPr>
                <w:i/>
                <w:snapToGrid w:val="0"/>
              </w:rPr>
              <w:t>Perth Parking Management Act 2024</w:t>
            </w:r>
            <w:r>
              <w:rPr>
                <w:iCs/>
                <w:snapToGrid w:val="0"/>
              </w:rPr>
              <w:t xml:space="preserve"> Pt. 11</w:t>
            </w:r>
          </w:p>
        </w:tc>
        <w:tc>
          <w:tcPr>
            <w:tcW w:w="1134" w:type="dxa"/>
            <w:tcBorders>
              <w:top w:val="nil"/>
              <w:left w:val="nil"/>
              <w:bottom w:val="nil"/>
              <w:right w:val="nil"/>
            </w:tcBorders>
          </w:tcPr>
          <w:p>
            <w:pPr>
              <w:pStyle w:val="nTable"/>
              <w:spacing w:after="40"/>
            </w:pPr>
            <w:r>
              <w:t>2 of 2024</w:t>
            </w:r>
          </w:p>
        </w:tc>
        <w:tc>
          <w:tcPr>
            <w:tcW w:w="1134" w:type="dxa"/>
            <w:tcBorders>
              <w:top w:val="nil"/>
              <w:left w:val="nil"/>
              <w:bottom w:val="nil"/>
              <w:right w:val="nil"/>
            </w:tcBorders>
          </w:tcPr>
          <w:p>
            <w:pPr>
              <w:pStyle w:val="nTable"/>
              <w:spacing w:after="40"/>
            </w:pPr>
            <w:r>
              <w:t>7 Mar 2024</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2(c))</w:t>
            </w:r>
          </w:p>
        </w:tc>
      </w:tr>
      <w:tr>
        <w:trPr>
          <w:cantSplit/>
        </w:trPr>
        <w:tc>
          <w:tcPr>
            <w:tcW w:w="2410" w:type="dxa"/>
            <w:tcBorders>
              <w:top w:val="nil"/>
              <w:left w:val="nil"/>
              <w:bottom w:val="nil"/>
              <w:right w:val="nil"/>
            </w:tcBorders>
          </w:tcPr>
          <w:p>
            <w:pPr>
              <w:pStyle w:val="nTable"/>
              <w:spacing w:after="40"/>
            </w:pPr>
            <w:r>
              <w:rPr>
                <w:i/>
                <w:snapToGrid w:val="0"/>
              </w:rPr>
              <w:t>Firearms Act</w:t>
            </w:r>
            <w:r>
              <w:rPr>
                <w:i/>
                <w:iCs/>
              </w:rPr>
              <w:t> 2024</w:t>
            </w:r>
            <w:r>
              <w:t xml:space="preserve"> Pt. 17 Div. 3 Subdiv. 18</w:t>
            </w:r>
          </w:p>
        </w:tc>
        <w:tc>
          <w:tcPr>
            <w:tcW w:w="1134" w:type="dxa"/>
            <w:tcBorders>
              <w:top w:val="nil"/>
              <w:left w:val="nil"/>
              <w:bottom w:val="nil"/>
              <w:right w:val="nil"/>
            </w:tcBorders>
          </w:tcPr>
          <w:p>
            <w:pPr>
              <w:pStyle w:val="nTable"/>
              <w:spacing w:after="40"/>
            </w:pPr>
            <w:r>
              <w:t>23 of 2024</w:t>
            </w:r>
          </w:p>
        </w:tc>
        <w:tc>
          <w:tcPr>
            <w:tcW w:w="1134" w:type="dxa"/>
            <w:tcBorders>
              <w:top w:val="nil"/>
              <w:left w:val="nil"/>
              <w:bottom w:val="nil"/>
              <w:right w:val="nil"/>
            </w:tcBorders>
          </w:tcPr>
          <w:p>
            <w:pPr>
              <w:pStyle w:val="nTable"/>
              <w:spacing w:after="40"/>
            </w:pPr>
            <w:r>
              <w:t>27 Jun 2024</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2(d))</w:t>
            </w:r>
          </w:p>
        </w:tc>
      </w:tr>
      <w:tr>
        <w:trPr>
          <w:cantSplit/>
        </w:trPr>
        <w:tc>
          <w:tcPr>
            <w:tcW w:w="2410" w:type="dxa"/>
            <w:tcBorders>
              <w:top w:val="nil"/>
              <w:left w:val="nil"/>
              <w:bottom w:val="nil"/>
              <w:right w:val="nil"/>
            </w:tcBorders>
          </w:tcPr>
          <w:p>
            <w:pPr>
              <w:pStyle w:val="nTable"/>
              <w:spacing w:after="40"/>
              <w:rPr>
                <w:iCs/>
                <w:snapToGrid w:val="0"/>
              </w:rPr>
            </w:pPr>
            <w:r>
              <w:rPr>
                <w:i/>
                <w:snapToGrid w:val="0"/>
              </w:rPr>
              <w:t xml:space="preserve">Family Violence Legislation Reform Act 2024 </w:t>
            </w:r>
            <w:r>
              <w:rPr>
                <w:iCs/>
                <w:snapToGrid w:val="0"/>
              </w:rPr>
              <w:t>Pt. 9</w:t>
            </w:r>
          </w:p>
        </w:tc>
        <w:tc>
          <w:tcPr>
            <w:tcW w:w="1134" w:type="dxa"/>
            <w:tcBorders>
              <w:top w:val="nil"/>
              <w:left w:val="nil"/>
              <w:bottom w:val="nil"/>
              <w:right w:val="nil"/>
            </w:tcBorders>
          </w:tcPr>
          <w:p>
            <w:pPr>
              <w:pStyle w:val="nTable"/>
              <w:spacing w:after="40"/>
            </w:pPr>
            <w:r>
              <w:t>28 of 2024</w:t>
            </w:r>
          </w:p>
        </w:tc>
        <w:tc>
          <w:tcPr>
            <w:tcW w:w="1134" w:type="dxa"/>
            <w:tcBorders>
              <w:top w:val="nil"/>
              <w:left w:val="nil"/>
              <w:bottom w:val="nil"/>
              <w:right w:val="nil"/>
            </w:tcBorders>
          </w:tcPr>
          <w:p>
            <w:pPr>
              <w:pStyle w:val="nTable"/>
              <w:spacing w:after="40"/>
            </w:pPr>
            <w:r>
              <w:t>17 Sep 2024</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2(d))</w:t>
            </w:r>
          </w:p>
        </w:tc>
      </w:tr>
      <w:tr>
        <w:trPr>
          <w:cantSplit/>
        </w:trPr>
        <w:tc>
          <w:tcPr>
            <w:tcW w:w="2410" w:type="dxa"/>
            <w:tcBorders>
              <w:top w:val="nil"/>
              <w:left w:val="nil"/>
              <w:bottom w:val="single" w:sz="4" w:space="0" w:color="auto"/>
              <w:right w:val="nil"/>
            </w:tcBorders>
          </w:tcPr>
          <w:p>
            <w:pPr>
              <w:pStyle w:val="nTable"/>
              <w:spacing w:after="40"/>
              <w:rPr>
                <w:i/>
                <w:snapToGrid w:val="0"/>
              </w:rPr>
            </w:pPr>
            <w:r>
              <w:rPr>
                <w:i/>
              </w:rPr>
              <w:t xml:space="preserve">Police Legislation Amendment Act 2024 </w:t>
            </w:r>
            <w:r>
              <w:rPr>
                <w:iCs/>
              </w:rPr>
              <w:t>Pt. 5 Div. 5</w:t>
            </w:r>
          </w:p>
        </w:tc>
        <w:tc>
          <w:tcPr>
            <w:tcW w:w="1134" w:type="dxa"/>
            <w:tcBorders>
              <w:top w:val="nil"/>
              <w:left w:val="nil"/>
              <w:bottom w:val="single" w:sz="4" w:space="0" w:color="auto"/>
              <w:right w:val="nil"/>
            </w:tcBorders>
          </w:tcPr>
          <w:p>
            <w:pPr>
              <w:pStyle w:val="nTable"/>
              <w:spacing w:after="40"/>
            </w:pPr>
            <w:r>
              <w:t>33 of 2024</w:t>
            </w:r>
          </w:p>
        </w:tc>
        <w:tc>
          <w:tcPr>
            <w:tcW w:w="1134" w:type="dxa"/>
            <w:tcBorders>
              <w:top w:val="nil"/>
              <w:left w:val="nil"/>
              <w:bottom w:val="single" w:sz="4" w:space="0" w:color="auto"/>
              <w:right w:val="nil"/>
            </w:tcBorders>
          </w:tcPr>
          <w:p>
            <w:pPr>
              <w:pStyle w:val="nTable"/>
              <w:spacing w:after="40"/>
            </w:pPr>
            <w:r>
              <w:t>26 Sep 2024</w:t>
            </w:r>
          </w:p>
        </w:tc>
        <w:tc>
          <w:tcPr>
            <w:tcW w:w="2410" w:type="dxa"/>
            <w:tcBorders>
              <w:top w:val="nil"/>
              <w:left w:val="nil"/>
              <w:bottom w:val="single" w:sz="4" w:space="0" w:color="auto"/>
              <w:right w:val="nil"/>
            </w:tcBorders>
          </w:tcPr>
          <w:p>
            <w:pPr>
              <w:pStyle w:val="nTable"/>
              <w:spacing w:after="40"/>
              <w:rPr>
                <w:noProof/>
                <w:snapToGrid w:val="0"/>
              </w:rPr>
            </w:pPr>
            <w:r>
              <w:rPr>
                <w:noProof/>
                <w:snapToGrid w:val="0"/>
              </w:rPr>
              <w:t>To be proclaimed (see s. 2(1)(b))</w:t>
            </w:r>
          </w:p>
        </w:tc>
      </w:tr>
    </w:tbl>
    <w:p>
      <w:pPr>
        <w:pStyle w:val="nHeading3"/>
      </w:pPr>
      <w:bookmarkStart w:id="487" w:name="_Toc178257859"/>
      <w:r>
        <w:t>Other notes</w:t>
      </w:r>
      <w:bookmarkEnd w:id="487"/>
    </w:p>
    <w:p>
      <w:pPr>
        <w:pStyle w:val="nNote"/>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2M</w:t>
      </w:r>
      <w:r>
        <w:tab/>
        <w:t xml:space="preserve">The </w:t>
      </w:r>
      <w:r>
        <w:rPr>
          <w:i/>
        </w:rPr>
        <w:t>COVID</w:t>
      </w:r>
      <w:r>
        <w:rPr>
          <w:i/>
        </w:rPr>
        <w:noBreakHyphen/>
        <w:t>19 Response and Economic Recovery Omnibus Act 2020</w:t>
      </w:r>
      <w:r>
        <w:t xml:space="preserve"> Part 4  Division 4 Subdivision 1 modifies sections 14, 14B and 34 of the Act. The modified sections are identified by the superscript 2M appearing after the section numbers. The modification ceases on 31 December 2021 unless postponed under sections 46(3) and 52 of that Act.</w:t>
      </w:r>
    </w:p>
    <w:p>
      <w:pPr>
        <w:pStyle w:val="nNote"/>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w:t>
      </w:r>
      <w:r>
        <w:lastRenderedPageBreak/>
        <w:t xml:space="preserve">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keepNext/>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keepLines w:val="0"/>
        <w:rPr>
          <w:sz w:val="20"/>
          <w:szCs w:val="20"/>
        </w:rPr>
      </w:pPr>
    </w:p>
    <w:p>
      <w:pPr>
        <w:pStyle w:val="nzHeading5"/>
        <w:keepLines w:val="0"/>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keepLines w:val="0"/>
        <w:rPr>
          <w:sz w:val="20"/>
          <w:szCs w:val="20"/>
        </w:rPr>
      </w:pPr>
    </w:p>
    <w:p>
      <w:pPr>
        <w:pStyle w:val="nzHeading2"/>
        <w:keepNext w:val="0"/>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keepNext w:val="0"/>
        <w:keepLines w:val="0"/>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lastRenderedPageBreak/>
        <w:t>4.</w:t>
      </w:r>
      <w:r>
        <w:tab/>
        <w:t>Community orders imposed before commencement</w:t>
      </w:r>
    </w:p>
    <w:p>
      <w:pPr>
        <w:pStyle w:val="nzSubsection"/>
        <w:keepNext/>
        <w:keepLines/>
        <w:tabs>
          <w:tab w:val="left" w:pos="2506"/>
        </w:tabs>
      </w:pPr>
      <w:r>
        <w:tab/>
      </w:r>
      <w:r>
        <w:tab/>
        <w:t>If immediately before commencement —</w:t>
      </w:r>
    </w:p>
    <w:p>
      <w:pPr>
        <w:pStyle w:val="nzIndenta"/>
        <w:keepNext/>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keepNext/>
        <w:keepLines/>
        <w:tabs>
          <w:tab w:val="left" w:pos="2506"/>
        </w:tabs>
      </w:pPr>
      <w:r>
        <w:lastRenderedPageBreak/>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lastRenderedPageBreak/>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lastRenderedPageBreak/>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 xml:space="preserve">are to be read as </w:t>
      </w:r>
      <w:r>
        <w:lastRenderedPageBreak/>
        <w:t>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w:t>
      </w:r>
      <w:r>
        <w:lastRenderedPageBreak/>
        <w:t xml:space="preserve">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lastRenderedPageBreak/>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489" w:name="_Toc178158171"/>
      <w:bookmarkStart w:id="490" w:name="_Toc178158621"/>
      <w:bookmarkStart w:id="491" w:name="_Toc178158921"/>
      <w:bookmarkStart w:id="492" w:name="_Toc178257860"/>
      <w:r>
        <w:rPr>
          <w:sz w:val="28"/>
        </w:rPr>
        <w:lastRenderedPageBreak/>
        <w:t>Defined terms</w:t>
      </w:r>
      <w:bookmarkEnd w:id="489"/>
      <w:bookmarkEnd w:id="490"/>
      <w:bookmarkEnd w:id="491"/>
      <w:bookmarkEnd w:id="4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ammunition</w:t>
      </w:r>
      <w:r>
        <w:tab/>
        <w:t>106(5)</w:t>
      </w:r>
    </w:p>
    <w:p>
      <w:pPr>
        <w:pStyle w:val="DefinedTerms"/>
      </w:pPr>
      <w:r>
        <w:t>approved electronic monitoring device</w:t>
      </w:r>
      <w:r>
        <w:tab/>
        <w:t>4(1)</w:t>
      </w:r>
    </w:p>
    <w:p>
      <w:pPr>
        <w:pStyle w:val="DefinedTerms"/>
      </w:pPr>
      <w:r>
        <w:t>approved expert</w:t>
      </w:r>
      <w:r>
        <w:tab/>
        <w:t>124D</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w:t>
      </w:r>
      <w:r>
        <w:tab/>
        <w:t>136G</w:t>
      </w:r>
    </w:p>
    <w:p>
      <w:pPr>
        <w:pStyle w:val="DefinedTerms"/>
      </w:pPr>
      <w:r>
        <w:t>CEO (corrections)</w:t>
      </w:r>
      <w:r>
        <w:tab/>
        <w:t>4(1)</w:t>
      </w:r>
    </w:p>
    <w:p>
      <w:pPr>
        <w:pStyle w:val="DefinedTerms"/>
      </w:pPr>
      <w:r>
        <w:t>circumstances of aggravation</w:t>
      </w:r>
      <w:r>
        <w:tab/>
        <w:t>145A(1)</w:t>
      </w:r>
    </w:p>
    <w:p>
      <w:pPr>
        <w:pStyle w:val="DefinedTerms"/>
      </w:pPr>
      <w:r>
        <w:t>COC Act</w:t>
      </w:r>
      <w:r>
        <w:tab/>
        <w:t>9A(1)</w:t>
      </w:r>
    </w:p>
    <w:p>
      <w:pPr>
        <w:pStyle w:val="DefinedTerms"/>
      </w:pPr>
      <w:r>
        <w:t>COC Act offence</w:t>
      </w:r>
      <w:r>
        <w:tab/>
        <w:t>9A(1)</w:t>
      </w:r>
    </w:p>
    <w:p>
      <w:pPr>
        <w:pStyle w:val="DefinedTerms"/>
      </w:pPr>
      <w:r>
        <w:t>commencement</w:t>
      </w:r>
      <w:r>
        <w:tab/>
        <w:t>150A(1), 150AB(1)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order</w:t>
      </w:r>
      <w:r>
        <w:tab/>
        <w:t>136G</w:t>
      </w:r>
    </w:p>
    <w:p>
      <w:pPr>
        <w:pStyle w:val="DefinedTerms"/>
      </w:pPr>
      <w:r>
        <w:t>conditional release order</w:t>
      </w:r>
      <w:r>
        <w:tab/>
        <w:t>4(1)</w:t>
      </w:r>
    </w:p>
    <w:p>
      <w:pPr>
        <w:pStyle w:val="DefinedTerms"/>
      </w:pPr>
      <w:r>
        <w:t>conditional suspended imprisonment</w:t>
      </w:r>
      <w:r>
        <w:tab/>
        <w:t>4(1)</w:t>
      </w:r>
    </w:p>
    <w:p>
      <w:pPr>
        <w:pStyle w:val="DefinedTerms"/>
      </w:pPr>
      <w:r>
        <w:t>court</w:t>
      </w:r>
      <w:r>
        <w:tab/>
        <w:t>136B</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designated family relationship</w:t>
      </w:r>
      <w:r>
        <w:tab/>
        <w:t>4(1)</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electronic monitoring requirement</w:t>
      </w:r>
      <w:r>
        <w:tab/>
        <w:t>33HA(2), 67A(2), 76A(2), 84CA(2)</w:t>
      </w:r>
    </w:p>
    <w:p>
      <w:pPr>
        <w:pStyle w:val="DefinedTerms"/>
      </w:pPr>
      <w:r>
        <w:t>excluded offence</w:t>
      </w:r>
      <w:r>
        <w:tab/>
        <w:t>33A(1)</w:t>
      </w:r>
    </w:p>
    <w:p>
      <w:pPr>
        <w:pStyle w:val="DefinedTerms"/>
      </w:pPr>
      <w:r>
        <w:t>explosive</w:t>
      </w:r>
      <w:r>
        <w:tab/>
        <w:t>4(1)</w:t>
      </w:r>
    </w:p>
    <w:p>
      <w:pPr>
        <w:pStyle w:val="DefinedTerms"/>
      </w:pPr>
      <w:r>
        <w:t>family relationship</w:t>
      </w:r>
      <w:r>
        <w:tab/>
        <w:t>97A(1)</w:t>
      </w:r>
    </w:p>
    <w:p>
      <w:pPr>
        <w:pStyle w:val="DefinedTerms"/>
      </w:pPr>
      <w:r>
        <w:t>family victim</w:t>
      </w:r>
      <w:r>
        <w:tab/>
        <w:t>23A</w:t>
      </w:r>
    </w:p>
    <w:p>
      <w:pPr>
        <w:pStyle w:val="DefinedTerms"/>
      </w:pPr>
      <w:r>
        <w:lastRenderedPageBreak/>
        <w:t>family violence offence</w:t>
      </w:r>
      <w:r>
        <w:tab/>
        <w:t>4(1)</w:t>
      </w:r>
    </w:p>
    <w:p>
      <w:pPr>
        <w:pStyle w:val="DefinedTerms"/>
      </w:pPr>
      <w:r>
        <w:t>fine</w:t>
      </w:r>
      <w:r>
        <w:tab/>
        <w:t>57(1)</w:t>
      </w:r>
    </w:p>
    <w:p>
      <w:pPr>
        <w:pStyle w:val="DefinedTerms"/>
      </w:pPr>
      <w:r>
        <w:t>firearm</w:t>
      </w:r>
      <w:r>
        <w:tab/>
        <w:t>106(5), 124D</w:t>
      </w:r>
    </w:p>
    <w:p>
      <w:pPr>
        <w:pStyle w:val="DefinedTerms"/>
      </w:pPr>
      <w:r>
        <w:t>firearms offence</w:t>
      </w:r>
      <w:r>
        <w:tab/>
        <w:t>106(5)</w:t>
      </w:r>
    </w:p>
    <w:p>
      <w:pPr>
        <w:pStyle w:val="DefinedTerms"/>
      </w:pPr>
      <w:r>
        <w:t>fixed term</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intimate personal relationship</w:t>
      </w:r>
      <w:r>
        <w:tab/>
        <w:t>4(1A)</w:t>
      </w:r>
    </w:p>
    <w:p>
      <w:pPr>
        <w:pStyle w:val="DefinedTerms"/>
      </w:pPr>
      <w:r>
        <w:t>ISO</w:t>
      </w:r>
      <w:r>
        <w:tab/>
        <w:t>4(2)</w:t>
      </w:r>
    </w:p>
    <w:p>
      <w:pPr>
        <w:pStyle w:val="DefinedTerms"/>
      </w:pPr>
      <w:r>
        <w:t>joint offenders</w:t>
      </w:r>
      <w:r>
        <w:tab/>
        <w:t>55(3)</w:t>
      </w:r>
    </w:p>
    <w:p>
      <w:pPr>
        <w:pStyle w:val="DefinedTerms"/>
      </w:pPr>
      <w:r>
        <w:t>mandatory minimum sentence</w:t>
      </w:r>
      <w:r>
        <w:tab/>
        <w:t>85(1)</w:t>
      </w:r>
    </w:p>
    <w:p>
      <w:pPr>
        <w:pStyle w:val="DefinedTerms"/>
      </w:pPr>
      <w:r>
        <w:t>marine offence</w:t>
      </w:r>
      <w:r>
        <w:tab/>
        <w:t>107(5)</w:t>
      </w:r>
    </w:p>
    <w:p>
      <w:pPr>
        <w:pStyle w:val="DefinedTerms"/>
      </w:pPr>
      <w:r>
        <w:t>member of the primary victim’s immediate family</w:t>
      </w:r>
      <w:r>
        <w:tab/>
        <w:t>23A</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 97A(1)</w:t>
      </w:r>
    </w:p>
    <w:p>
      <w:pPr>
        <w:pStyle w:val="DefinedTerms"/>
      </w:pPr>
      <w:r>
        <w:t>offender</w:t>
      </w:r>
      <w:r>
        <w:tab/>
        <w:t>4(1), 60D(1), 79(1), 84E(1), 129(1)</w:t>
      </w:r>
    </w:p>
    <w:p>
      <w:pPr>
        <w:pStyle w:val="DefinedTerms"/>
      </w:pPr>
      <w:r>
        <w:t>original offence</w:t>
      </w:r>
      <w:r>
        <w:tab/>
        <w:t>32(1)</w:t>
      </w:r>
    </w:p>
    <w:p>
      <w:pPr>
        <w:pStyle w:val="DefinedTerms"/>
      </w:pPr>
      <w:r>
        <w:t>parole eligibility order</w:t>
      </w:r>
      <w:r>
        <w:tab/>
        <w:t>4(1), 89(1)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personal harm</w:t>
      </w:r>
      <w:r>
        <w:tab/>
        <w:t>23A</w:t>
      </w:r>
    </w:p>
    <w:p>
      <w:pPr>
        <w:pStyle w:val="DefinedTerms"/>
      </w:pPr>
      <w:r>
        <w:t>prescribed</w:t>
      </w:r>
      <w:r>
        <w:tab/>
        <w:t>4(1)</w:t>
      </w:r>
    </w:p>
    <w:p>
      <w:pPr>
        <w:pStyle w:val="DefinedTerms"/>
      </w:pPr>
      <w:r>
        <w:t>prescribed offence</w:t>
      </w:r>
      <w:r>
        <w:tab/>
        <w:t>85(1), 124D</w:t>
      </w:r>
    </w:p>
    <w:p>
      <w:pPr>
        <w:pStyle w:val="DefinedTerms"/>
      </w:pPr>
      <w:r>
        <w:t>prescribed term</w:t>
      </w:r>
      <w:r>
        <w:tab/>
        <w:t>85(1)</w:t>
      </w:r>
    </w:p>
    <w:p>
      <w:pPr>
        <w:pStyle w:val="DefinedTerms"/>
      </w:pPr>
      <w:r>
        <w:t>pre-sentence order</w:t>
      </w:r>
      <w:r>
        <w:tab/>
        <w:t>4(1)</w:t>
      </w:r>
    </w:p>
    <w:p>
      <w:pPr>
        <w:pStyle w:val="DefinedTerms"/>
      </w:pPr>
      <w:r>
        <w:t>primary victim</w:t>
      </w:r>
      <w:r>
        <w:tab/>
        <w:t>23A</w:t>
      </w:r>
    </w:p>
    <w:p>
      <w:pPr>
        <w:pStyle w:val="DefinedTerms"/>
      </w:pPr>
      <w:r>
        <w:t>prisoner</w:t>
      </w:r>
      <w:r>
        <w:tab/>
        <w:t>85(1)</w:t>
      </w:r>
    </w:p>
    <w:p>
      <w:pPr>
        <w:pStyle w:val="DefinedTerms"/>
      </w:pPr>
      <w:r>
        <w:t>Prisoners Review Board</w:t>
      </w:r>
      <w:r>
        <w:tab/>
        <w:t>4(1)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relevant indictable offence</w:t>
      </w:r>
      <w:r>
        <w:tab/>
        <w:t>9A(1)</w:t>
      </w:r>
    </w:p>
    <w:p>
      <w:pPr>
        <w:pStyle w:val="DefinedTerms"/>
      </w:pPr>
      <w:r>
        <w:t>relevant simple offence</w:t>
      </w:r>
      <w:r>
        <w:tab/>
        <w:t>9A(1)</w:t>
      </w:r>
    </w:p>
    <w:p>
      <w:pPr>
        <w:pStyle w:val="DefinedTerms"/>
      </w:pPr>
      <w:r>
        <w:t>reparation order</w:t>
      </w:r>
      <w:r>
        <w:tab/>
        <w:t>109</w:t>
      </w:r>
    </w:p>
    <w:p>
      <w:pPr>
        <w:pStyle w:val="DefinedTerms"/>
      </w:pPr>
      <w:r>
        <w:lastRenderedPageBreak/>
        <w:t>requirement</w:t>
      </w:r>
      <w:r>
        <w:tab/>
        <w:t>33L(1)</w:t>
      </w:r>
    </w:p>
    <w:p>
      <w:pPr>
        <w:pStyle w:val="DefinedTerms"/>
      </w:pPr>
      <w:r>
        <w:t>requirements</w:t>
      </w:r>
      <w:r>
        <w:tab/>
        <w:t>125(1)</w:t>
      </w:r>
    </w:p>
    <w:p>
      <w:pPr>
        <w:pStyle w:val="DefinedTerms"/>
      </w:pPr>
      <w:r>
        <w:t>requiring care</w:t>
      </w:r>
      <w:r>
        <w:tab/>
        <w:t>23A</w:t>
      </w:r>
    </w:p>
    <w:p>
      <w:pPr>
        <w:pStyle w:val="DefinedTerms"/>
      </w:pPr>
      <w:r>
        <w:t>sentence</w:t>
      </w:r>
      <w:r>
        <w:tab/>
        <w:t>37(5), 37A(5)</w:t>
      </w:r>
    </w:p>
    <w:p>
      <w:pPr>
        <w:pStyle w:val="DefinedTerms"/>
      </w:pPr>
      <w:r>
        <w:t>sentencing</w:t>
      </w:r>
      <w:r>
        <w:tab/>
        <w:t>150A(1)</w:t>
      </w:r>
    </w:p>
    <w:p>
      <w:pPr>
        <w:pStyle w:val="DefinedTerms"/>
      </w:pPr>
      <w:r>
        <w:t>sentencing day</w:t>
      </w:r>
      <w:r>
        <w:tab/>
        <w:t>33B(1)</w:t>
      </w:r>
    </w:p>
    <w:p>
      <w:pPr>
        <w:pStyle w:val="DefinedTerms"/>
      </w:pPr>
      <w:r>
        <w:t>serial family violence offender</w:t>
      </w:r>
      <w:r>
        <w:tab/>
        <w:t>4(1)</w:t>
      </w:r>
    </w:p>
    <w:p>
      <w:pPr>
        <w:pStyle w:val="DefinedTerms"/>
      </w:pPr>
      <w:r>
        <w:t>speciality court</w:t>
      </w:r>
      <w:r>
        <w:tab/>
        <w:t>4(1), 84N(2)</w:t>
      </w:r>
    </w:p>
    <w:p>
      <w:pPr>
        <w:pStyle w:val="DefinedTerms"/>
      </w:pPr>
      <w:r>
        <w:t>specified</w:t>
      </w:r>
      <w:r>
        <w:tab/>
        <w:t>33H(15), 75(15), 84C(15)</w:t>
      </w:r>
    </w:p>
    <w:p>
      <w:pPr>
        <w:pStyle w:val="DefinedTerms"/>
      </w:pPr>
      <w:r>
        <w:t>specified place</w:t>
      </w:r>
      <w:r>
        <w:tab/>
        <w:t>33H(2), 75(2), 84C(2)</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w:t>
      </w:r>
    </w:p>
    <w:p>
      <w:pPr>
        <w:pStyle w:val="DefinedTerms"/>
      </w:pPr>
      <w:r>
        <w:t xml:space="preserve">translated sentence </w:t>
      </w:r>
      <w:r>
        <w:tab/>
        <w:t>85(1)</w:t>
      </w:r>
    </w:p>
    <w:p>
      <w:pPr>
        <w:pStyle w:val="DefinedTerms"/>
      </w:pPr>
      <w:r>
        <w:t>vessel</w:t>
      </w:r>
      <w:r>
        <w:tab/>
        <w:t>107(5)</w:t>
      </w:r>
    </w:p>
    <w:p>
      <w:pPr>
        <w:pStyle w:val="DefinedTerms"/>
      </w:pPr>
      <w:r>
        <w:t>victim</w:t>
      </w:r>
      <w:r>
        <w:tab/>
        <w:t>9AA(1), 13, 23A, 97A(1), 116, 120(1)</w:t>
      </w:r>
    </w:p>
    <w:p>
      <w:pPr>
        <w:pStyle w:val="DefinedTerms"/>
      </w:pPr>
      <w:r>
        <w:t>victim impact statement</w:t>
      </w:r>
      <w:r>
        <w:tab/>
        <w:t>23A</w:t>
      </w:r>
    </w:p>
    <w:p>
      <w:pPr>
        <w:pStyle w:val="DefinedTerms"/>
      </w:pPr>
      <w:r>
        <w:t>video link</w:t>
      </w:r>
      <w:r>
        <w:tab/>
        <w:t>14A(4)</w:t>
      </w:r>
    </w:p>
    <w:p>
      <w:pPr>
        <w:pStyle w:val="DefinedTerms"/>
      </w:pPr>
      <w:r>
        <w:t>WA marine qualification</w:t>
      </w:r>
      <w:r>
        <w:tab/>
        <w:t>107(5)</w:t>
      </w:r>
    </w:p>
    <w:p>
      <w:pPr>
        <w:pStyle w:val="DefinedTerms"/>
      </w:pPr>
      <w:r>
        <w:t>WDO</w:t>
      </w:r>
      <w:r>
        <w:tab/>
        <w:t>57A(4)</w:t>
      </w:r>
    </w:p>
    <w:p>
      <w:pPr>
        <w:pStyle w:val="DefinedTerms"/>
      </w:pPr>
      <w:r>
        <w:t>written reasons</w:t>
      </w:r>
      <w:r>
        <w:tab/>
        <w:t>4(1), 80(5A)</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AFAF19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807D794" w14:textId="33E9DC8B" w:rsidR="00826927" w:rsidRDefault="007F7A5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A11AB">
                        <w:rPr>
                          <w:sz w:val="16"/>
                        </w:rPr>
                        <w:t>2024</w:t>
                      </w:r>
                      <w:r>
                        <w:rPr>
                          <w:sz w:val="16"/>
                        </w:rPr>
                        <w:fldChar w:fldCharType="end"/>
                      </w:r>
                      <w:r>
                        <w:rPr>
                          <w:sz w:val="16"/>
                        </w:rPr>
                        <w:t>.</w:t>
                      </w:r>
                    </w:p>
                    <w:p w14:paraId="3FE63FAD" w14:textId="77777777" w:rsidR="00826927" w:rsidRDefault="007F7A5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F25B3CC" w14:textId="021A1F1A" w:rsidR="00826927" w:rsidRDefault="007F7A5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A11AB">
                        <w:rPr>
                          <w:sz w:val="16"/>
                        </w:rPr>
                        <w:t>2024</w:t>
                      </w:r>
                      <w:r>
                        <w:rPr>
                          <w:sz w:val="16"/>
                        </w:rPr>
                        <w:fldChar w:fldCharType="end"/>
                      </w:r>
                      <w:r>
                        <w:rPr>
                          <w:sz w:val="16"/>
                        </w:rPr>
                        <w:t>.</w:t>
                      </w:r>
                    </w:p>
                    <w:p w14:paraId="646FA526" w14:textId="77777777" w:rsidR="00826927" w:rsidRDefault="007F7A5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10-z0-00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10-z0-00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10-z0-00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10-z0-00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10-z0-00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10-z0-00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476" w:name="Schedule"/>
    <w:bookmarkEnd w:id="47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88" w:name="Compilation"/>
    <w:bookmarkEnd w:id="48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93" w:name="DefinedTerms"/>
    <w:bookmarkEnd w:id="493"/>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94" w:name="Coversheet"/>
    <w:bookmarkEnd w:id="4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38CA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F6FF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4C15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0B22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9CF3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60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5100057"/>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 w:name="WAFER_2020091713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3852_GUID" w:val="4be5fd10-5777-4ee2-b0ea-4fdd42652be8"/>
    <w:docVar w:name="WAFER_20201124142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21_GUID" w:val="34b99263-248b-4a73-933e-46da0a7ccfd4"/>
    <w:docVar w:name="WAFER_20211028105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05118_GUID" w:val="303f6971-1b27-4d07-a6bf-315b24ead30c"/>
    <w:docVar w:name="WAFER_20211221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3705_GUID" w:val="49226d02-02e6-49de-be4a-704b93638767"/>
    <w:docVar w:name="WAFER_2022051914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33_GUID" w:val="5d9ee695-72af-4705-a41b-c172146b779a"/>
    <w:docVar w:name="WAFER_202206091552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55_GUID" w:val="49f17322-f4cb-49df-943e-41aebdad26ed"/>
    <w:docVar w:name="WAFER_20221115152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2007_GUID" w:val="25ec0975-915c-43d8-84d0-d074ebfa19b5"/>
    <w:docVar w:name="WAFER_20221202101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800_GUID" w:val="4cacd8ec-3892-46c3-bd1c-b34c1ba47ea9"/>
    <w:docVar w:name="WAFER_202212191206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19120609_GUID" w:val="98687f32-fe90-475a-8a04-1d9109e220ee"/>
    <w:docVar w:name="WAFER_2023051510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30_GUID" w:val="0ef9aff9-57ab-40d6-8dc6-ec4266bd2144"/>
    <w:docVar w:name="WAFER_20230627113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3000_GUID" w:val="d9e8fc00-2075-4bec-8994-e40da71ac900"/>
    <w:docVar w:name="WAFER_2023102012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19_GUID" w:val="8f7eb5b9-ba03-465f-95b0-297d1668e335"/>
    <w:docVar w:name="WAFER_20231031095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206_GUID" w:val="cde69ad6-d7b4-48e3-9ee2-07b9964fab97"/>
    <w:docVar w:name="WAFER_20231109142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2533_GUID" w:val="b01a3399-26b5-4f93-8160-7a1cb43b26b2"/>
    <w:docVar w:name="WAFER_20231201152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1152230_GUID" w:val="93a73ffb-21ea-4031-8c4d-b3fae416011b"/>
    <w:docVar w:name="WAFER_20231218103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03143_GUID" w:val="e21e5346-237b-4675-87d2-bd2ab3c6ba33"/>
    <w:docVar w:name="WAFER_20240307101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07101414_GUID" w:val="6bd1a33c-cee0-4270-a698-3a1a505f23fc"/>
    <w:docVar w:name="WAFER_202403150913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1310_GUID" w:val="8a25447c-e88a-4b97-aecf-be1a16943008"/>
    <w:docVar w:name="WAFER_202403181534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8153420_GUID" w:val="f4ae3557-9e92-4a01-a116-fdd5893f31c4"/>
    <w:docVar w:name="WAFER_202406131124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3112425_GUID" w:val="957c915b-01f8-4335-adb6-21e56b3d3d80"/>
    <w:docVar w:name="WAFER_20240627094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4024_GUID" w:val="b5f14f23-25f6-4c47-81f6-8046ba8478b9"/>
    <w:docVar w:name="WAFER_202409120958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095826_GUID" w:val="d29ed599-c1ac-4f47-bccb-6e254057c34d"/>
    <w:docVar w:name="WAFER_202409251000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25100057_GUID" w:val="9ed6c388-19b4-4379-84a4-0e77bdfb17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0097"/>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C557D4-EA51-4FC0-9FB5-63253816268D}">
  <ds:schemaRefs>
    <ds:schemaRef ds:uri="http://schemas.openxmlformats.org/officeDocument/2006/bibliography"/>
  </ds:schemaRefs>
</ds:datastoreItem>
</file>

<file path=customXml/itemProps2.xml><?xml version="1.0" encoding="utf-8"?>
<ds:datastoreItem xmlns:ds="http://schemas.openxmlformats.org/officeDocument/2006/customXml" ds:itemID="{5CB843FF-4E14-4BE8-9177-F84E522DB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57026</Words>
  <Characters>264031</Characters>
  <Application>Microsoft Office Word</Application>
  <DocSecurity>0</DocSecurity>
  <Lines>7765</Lines>
  <Paragraphs>4721</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316336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1995 - 10-z0-00</dc:title>
  <dc:subject/>
  <dc:creator/>
  <cp:keywords/>
  <dc:description/>
  <cp:lastModifiedBy>Master Repository Process</cp:lastModifiedBy>
  <cp:revision>4</cp:revision>
  <cp:lastPrinted>2019-06-26T03:44:00Z</cp:lastPrinted>
  <dcterms:created xsi:type="dcterms:W3CDTF">2025-06-16T04:34:00Z</dcterms:created>
  <dcterms:modified xsi:type="dcterms:W3CDTF">2025-06-16T04:34:00Z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AsAtDate">
    <vt:lpwstr>26 Sep 2024</vt:lpwstr>
  </property>
  <property fmtid="{D5CDD505-2E9C-101B-9397-08002B2CF9AE}" pid="8" name="Suffix">
    <vt:lpwstr>10-z0-00</vt:lpwstr>
  </property>
  <property fmtid="{D5CDD505-2E9C-101B-9397-08002B2CF9AE}" pid="9" name="Official">
    <vt:lpwstr/>
  </property>
  <property fmtid="{D5CDD505-2E9C-101B-9397-08002B2CF9AE}" pid="10" name="CommencementDate">
    <vt:lpwstr>20240926</vt:lpwstr>
  </property>
  <property fmtid="{D5CDD505-2E9C-101B-9397-08002B2CF9AE}" pid="11" name="CommencementAsAt">
    <vt:filetime>2024-09-25T16:00:00Z</vt:filetime>
  </property>
  <property fmtid="{D5CDD505-2E9C-101B-9397-08002B2CF9AE}" pid="12" name="CommencementYear">
    <vt:lpwstr>2024</vt:lpwstr>
  </property>
</Properties>
</file>