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_Toc178589796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_Toc178589797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  <w:spacing w:after="480"/>
      </w:pPr>
      <w:r>
        <w:t>Therapeutic Goods (Legislative Instruments) Notice (No. 2) 2024</w:t>
      </w:r>
    </w:p>
    <w:p>
      <w:pPr>
        <w:pStyle w:val="MadeBy"/>
        <w:spacing w:before="400"/>
      </w:pPr>
      <w:r>
        <w:t>Made under section 12(2)(c) of the Act.</w:t>
      </w:r>
    </w:p>
    <w:p>
      <w:pPr>
        <w:pStyle w:val="Heading5"/>
      </w:pPr>
      <w:bookmarkStart w:id="2" w:name="_Toc17858979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notice is the </w:t>
      </w:r>
      <w:r>
        <w:rPr>
          <w:i/>
          <w:iCs/>
        </w:rPr>
        <w:t>Therapeutic Goods (Legislative Instruments) Notice (No. 2) 2024</w:t>
      </w:r>
      <w:r>
        <w:t>.</w:t>
      </w:r>
    </w:p>
    <w:p>
      <w:pPr>
        <w:pStyle w:val="Heading5"/>
        <w:rPr>
          <w:spacing w:val="-2"/>
        </w:rPr>
      </w:pPr>
      <w:bookmarkStart w:id="4" w:name="_Toc1785897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4"/>
    </w:p>
    <w:p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426"/>
        </w:tabs>
        <w:ind w:left="426" w:hanging="426"/>
      </w:pPr>
      <w:r>
        <w:t>1.</w:t>
      </w:r>
      <w:r>
        <w:tab/>
        <w:t>Therapeutic Goods (Clinical Trial Inspections) Amendment Specification 2024</w:t>
      </w:r>
    </w:p>
    <w:p>
      <w:pPr>
        <w:pStyle w:val="MiscellaneousBody"/>
        <w:tabs>
          <w:tab w:val="left" w:pos="426"/>
        </w:tabs>
        <w:ind w:left="426" w:hanging="426"/>
      </w:pPr>
      <w:r>
        <w:t>2.</w:t>
      </w:r>
      <w:r>
        <w:tab/>
        <w:t>Therapeutic Goods (Permissible Ingredients) Determination (No. 3) 2024</w:t>
      </w:r>
    </w:p>
    <w:p>
      <w:pPr>
        <w:pStyle w:val="PermNoteHeading"/>
        <w:tabs>
          <w:tab w:val="left" w:pos="426"/>
        </w:tabs>
        <w:ind w:left="709"/>
      </w:pPr>
      <w:r>
        <w:tab/>
        <w:t>Note:</w:t>
      </w:r>
    </w:p>
    <w:p>
      <w:pPr>
        <w:pStyle w:val="PermNoteText"/>
        <w:tabs>
          <w:tab w:val="left" w:pos="426"/>
        </w:tabs>
        <w:ind w:left="709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240"/>
        <w:rPr>
          <w:b/>
          <w:bCs/>
          <w:highlight w:val="yellow"/>
        </w:rPr>
      </w:pPr>
      <w:r>
        <w:rPr>
          <w:b/>
          <w:bCs/>
        </w:rPr>
        <w:t>JANE LAURENCE</w:t>
      </w:r>
      <w:r>
        <w:rPr>
          <w:b/>
          <w:bCs/>
        </w:rPr>
        <w:br/>
        <w:t>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ByCommand"/>
        <w:rPr>
          <w:b/>
          <w:bCs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A348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6E8C65A" w14:textId="17759ADB" w:rsidR="006B0804" w:rsidRDefault="006B080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173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0E3C71" w14:textId="77777777" w:rsidR="006B0804" w:rsidRDefault="006B080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319B69" w14:textId="5FD92BE4" w:rsidR="006B0804" w:rsidRDefault="006B080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173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23D541" w14:textId="77777777" w:rsidR="006B0804" w:rsidRDefault="006B080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9301153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30115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30115334_GUID" w:val="6b76aa79-c66f-4bcb-a630-c633bc107f0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43388FC4-31AA-4573-B83C-D5D1C651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1588</Characters>
  <Application>Microsoft Office Word</Application>
  <DocSecurity>0</DocSecurity>
  <Lines>58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2025-06-05T03:55:00Z</dcterms:created>
  <dcterms:modified xsi:type="dcterms:W3CDTF">2025-06-05T03:55:00Z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55119</vt:lpwstr>
  </property>
  <property fmtid="{D5CDD505-2E9C-101B-9397-08002B2CF9AE}" pid="3" name="DocumentType">
    <vt:lpwstr>Reg</vt:lpwstr>
  </property>
  <property fmtid="{D5CDD505-2E9C-101B-9397-08002B2CF9AE}" pid="4" name="AsAtDate">
    <vt:lpwstr>01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2024/199</vt:lpwstr>
  </property>
  <property fmtid="{D5CDD505-2E9C-101B-9397-08002B2CF9AE}" pid="8" name="PublishDate">
    <vt:lpwstr>1 Oct 2024</vt:lpwstr>
  </property>
  <property fmtid="{D5CDD505-2E9C-101B-9397-08002B2CF9AE}" pid="9" name="CommencementDate">
    <vt:lpwstr>20241001</vt:lpwstr>
  </property>
  <property fmtid="{D5CDD505-2E9C-101B-9397-08002B2CF9AE}" pid="10" name="CommencementAsAt">
    <vt:filetime>2024-09-30T16:00:00Z</vt:filetime>
  </property>
  <property fmtid="{D5CDD505-2E9C-101B-9397-08002B2CF9AE}" pid="11" name="CommencementYear">
    <vt:lpwstr>2024</vt:lpwstr>
  </property>
</Properties>
</file>