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Road Traffic (Administration)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_Toc178673422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_Toc178673423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_Toc178673424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_Toc178673425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12 amended</w:t>
      </w:r>
      <w:r>
        <w:tab/>
      </w:r>
      <w:r>
        <w:fldChar w:fldCharType="begin"/>
      </w:r>
      <w:r>
        <w:instrText xml:space="preserve"> PAGEREF _Toc178673426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13 amended</w:t>
      </w:r>
      <w:r>
        <w:tab/>
      </w:r>
      <w:r>
        <w:fldChar w:fldCharType="begin"/>
      </w:r>
      <w:r>
        <w:instrText xml:space="preserve"> PAGEREF _Toc178673427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14 amended</w:t>
      </w:r>
      <w:r>
        <w:tab/>
      </w:r>
      <w:r>
        <w:fldChar w:fldCharType="begin"/>
      </w:r>
      <w:r>
        <w:instrText xml:space="preserve"> PAGEREF _Toc178673428 \h </w:instrText>
      </w:r>
      <w:r>
        <w:fldChar w:fldCharType="separate"/>
      </w:r>
      <w:r>
        <w:t>4</w:t>
      </w:r>
      <w:r>
        <w:fldChar w:fldCharType="end"/>
      </w:r>
    </w:p>
    <w:p>
      <w:pPr>
        <w:pStyle w:val="TOC8"/>
        <w:rPr>
          <w:rFonts w:asciiTheme="minorHAnsi" w:eastAsiaTheme="minorEastAsia" w:hAnsiTheme="minorHAnsi" w:cstheme="minorBidi"/>
          <w:szCs w:val="22"/>
        </w:rPr>
      </w:pPr>
      <w:r>
        <w:t>8.</w:t>
      </w:r>
      <w:r>
        <w:tab/>
        <w:t>Regulation 14A inserted</w:t>
      </w:r>
      <w:r>
        <w:tab/>
      </w:r>
      <w:r>
        <w:fldChar w:fldCharType="begin"/>
      </w:r>
      <w:r>
        <w:instrText xml:space="preserve"> PAGEREF _Toc178673429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14A.</w:t>
      </w:r>
      <w:r>
        <w:rPr>
          <w:noProof/>
        </w:rPr>
        <w:tab/>
        <w:t>Parking wardens</w:t>
      </w:r>
      <w:r>
        <w:rPr>
          <w:noProof/>
        </w:rPr>
        <w:tab/>
      </w:r>
      <w:r>
        <w:rPr>
          <w:noProof/>
        </w:rPr>
        <w:fldChar w:fldCharType="begin"/>
      </w:r>
      <w:r>
        <w:rPr>
          <w:noProof/>
        </w:rPr>
        <w:instrText xml:space="preserve"> PAGEREF _Toc178673430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Regulation 15 amended</w:t>
      </w:r>
      <w:r>
        <w:tab/>
      </w:r>
      <w:r>
        <w:fldChar w:fldCharType="begin"/>
      </w:r>
      <w:r>
        <w:instrText xml:space="preserve"> PAGEREF _Toc178673431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18 deleted</w:t>
      </w:r>
      <w:r>
        <w:tab/>
      </w:r>
      <w:r>
        <w:fldChar w:fldCharType="begin"/>
      </w:r>
      <w:r>
        <w:instrText xml:space="preserve"> PAGEREF _Toc178673432 \h </w:instrText>
      </w:r>
      <w:r>
        <w:fldChar w:fldCharType="separate"/>
      </w:r>
      <w:r>
        <w:t>6</w:t>
      </w:r>
      <w:r>
        <w:fldChar w:fldCharType="end"/>
      </w:r>
    </w:p>
    <w:p>
      <w:pPr>
        <w:pStyle w:val="TOC8"/>
        <w:rPr>
          <w:rFonts w:asciiTheme="minorHAnsi" w:eastAsiaTheme="minorEastAsia" w:hAnsiTheme="minorHAnsi" w:cstheme="minorBidi"/>
          <w:szCs w:val="22"/>
        </w:rPr>
      </w:pPr>
      <w:r>
        <w:t>11.</w:t>
      </w:r>
      <w:r>
        <w:tab/>
        <w:t>Part 7 Division 1 heading inserted</w:t>
      </w:r>
      <w:r>
        <w:tab/>
      </w:r>
      <w:r>
        <w:fldChar w:fldCharType="begin"/>
      </w:r>
      <w:r>
        <w:instrText xml:space="preserve"> PAGEREF _Toc178673433 \h </w:instrText>
      </w:r>
      <w:r>
        <w:fldChar w:fldCharType="separate"/>
      </w:r>
      <w:r>
        <w:t>6</w:t>
      </w:r>
      <w:r>
        <w:fldChar w:fldCharType="end"/>
      </w:r>
    </w:p>
    <w:p>
      <w:pPr>
        <w:pStyle w:val="TOC5"/>
        <w:tabs>
          <w:tab w:val="right" w:leader="dot" w:pos="7077"/>
        </w:tabs>
        <w:rPr>
          <w:rFonts w:asciiTheme="minorHAnsi" w:eastAsiaTheme="minorEastAsia" w:hAnsiTheme="minorHAnsi" w:cstheme="minorBidi"/>
          <w:b w:val="0"/>
          <w:sz w:val="22"/>
          <w:szCs w:val="22"/>
        </w:rPr>
      </w:pPr>
      <w:r>
        <w:t>Division 1 — Offences for which infringement notices may be served under Part 5 of Act</w:t>
      </w:r>
    </w:p>
    <w:p>
      <w:pPr>
        <w:pStyle w:val="TOC8"/>
        <w:rPr>
          <w:rFonts w:asciiTheme="minorHAnsi" w:eastAsiaTheme="minorEastAsia" w:hAnsiTheme="minorHAnsi" w:cstheme="minorBidi"/>
          <w:szCs w:val="22"/>
        </w:rPr>
      </w:pPr>
      <w:r>
        <w:t>12.</w:t>
      </w:r>
      <w:r>
        <w:tab/>
        <w:t>Regulation 21 amended</w:t>
      </w:r>
      <w:r>
        <w:tab/>
      </w:r>
      <w:r>
        <w:fldChar w:fldCharType="begin"/>
      </w:r>
      <w:r>
        <w:instrText xml:space="preserve"> PAGEREF _Toc178673435 \h </w:instrText>
      </w:r>
      <w:r>
        <w:fldChar w:fldCharType="separate"/>
      </w:r>
      <w:r>
        <w:t>6</w:t>
      </w:r>
      <w:r>
        <w:fldChar w:fldCharType="end"/>
      </w:r>
    </w:p>
    <w:p>
      <w:pPr>
        <w:pStyle w:val="TOC8"/>
        <w:rPr>
          <w:rFonts w:asciiTheme="minorHAnsi" w:eastAsiaTheme="minorEastAsia" w:hAnsiTheme="minorHAnsi" w:cstheme="minorBidi"/>
          <w:szCs w:val="22"/>
        </w:rPr>
      </w:pPr>
      <w:r>
        <w:t>13.</w:t>
      </w:r>
      <w:r>
        <w:tab/>
        <w:t>Regulation 21A replaced</w:t>
      </w:r>
      <w:r>
        <w:tab/>
      </w:r>
      <w:r>
        <w:fldChar w:fldCharType="begin"/>
      </w:r>
      <w:r>
        <w:instrText xml:space="preserve"> PAGEREF _Toc178673436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21A.</w:t>
      </w:r>
      <w:r>
        <w:rPr>
          <w:noProof/>
        </w:rPr>
        <w:tab/>
        <w:t xml:space="preserve">Prescribed road law offences and modified penalties (s. 95(1)): </w:t>
      </w:r>
      <w:r>
        <w:rPr>
          <w:i/>
          <w:iCs/>
          <w:noProof/>
        </w:rPr>
        <w:t>Road Traffic (Authorisation to Drive) Act 2008</w:t>
      </w:r>
      <w:r>
        <w:rPr>
          <w:noProof/>
        </w:rPr>
        <w:tab/>
      </w:r>
      <w:r>
        <w:rPr>
          <w:noProof/>
        </w:rPr>
        <w:fldChar w:fldCharType="begin"/>
      </w:r>
      <w:r>
        <w:rPr>
          <w:noProof/>
        </w:rPr>
        <w:instrText xml:space="preserve"> PAGEREF _Toc178673437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14.</w:t>
      </w:r>
      <w:r>
        <w:tab/>
        <w:t>Regulation 22 amended</w:t>
      </w:r>
      <w:r>
        <w:tab/>
      </w:r>
      <w:r>
        <w:fldChar w:fldCharType="begin"/>
      </w:r>
      <w:r>
        <w:instrText xml:space="preserve"> PAGEREF _Toc178673438 \h </w:instrText>
      </w:r>
      <w:r>
        <w:fldChar w:fldCharType="separate"/>
      </w:r>
      <w:r>
        <w:t>7</w:t>
      </w:r>
      <w:r>
        <w:fldChar w:fldCharType="end"/>
      </w:r>
    </w:p>
    <w:p>
      <w:pPr>
        <w:pStyle w:val="TOC8"/>
        <w:rPr>
          <w:rFonts w:asciiTheme="minorHAnsi" w:eastAsiaTheme="minorEastAsia" w:hAnsiTheme="minorHAnsi" w:cstheme="minorBidi"/>
          <w:szCs w:val="22"/>
        </w:rPr>
      </w:pPr>
      <w:r>
        <w:t>15.</w:t>
      </w:r>
      <w:r>
        <w:tab/>
        <w:t>Regulation 23 amended</w:t>
      </w:r>
      <w:r>
        <w:tab/>
      </w:r>
      <w:r>
        <w:fldChar w:fldCharType="begin"/>
      </w:r>
      <w:r>
        <w:instrText xml:space="preserve"> PAGEREF _Toc178673439 \h </w:instrText>
      </w:r>
      <w:r>
        <w:fldChar w:fldCharType="separate"/>
      </w:r>
      <w:r>
        <w:t>8</w:t>
      </w:r>
      <w:r>
        <w:fldChar w:fldCharType="end"/>
      </w:r>
    </w:p>
    <w:p>
      <w:pPr>
        <w:pStyle w:val="TOC8"/>
        <w:rPr>
          <w:rFonts w:asciiTheme="minorHAnsi" w:eastAsiaTheme="minorEastAsia" w:hAnsiTheme="minorHAnsi" w:cstheme="minorBidi"/>
          <w:szCs w:val="22"/>
        </w:rPr>
      </w:pPr>
      <w:r>
        <w:t>16.</w:t>
      </w:r>
      <w:r>
        <w:tab/>
        <w:t>Regulation 24 amended</w:t>
      </w:r>
      <w:r>
        <w:tab/>
      </w:r>
      <w:r>
        <w:fldChar w:fldCharType="begin"/>
      </w:r>
      <w:r>
        <w:instrText xml:space="preserve"> PAGEREF _Toc178673440 \h </w:instrText>
      </w:r>
      <w:r>
        <w:fldChar w:fldCharType="separate"/>
      </w:r>
      <w:r>
        <w:t>9</w:t>
      </w:r>
      <w:r>
        <w:fldChar w:fldCharType="end"/>
      </w:r>
    </w:p>
    <w:p>
      <w:pPr>
        <w:pStyle w:val="TOC8"/>
        <w:rPr>
          <w:rFonts w:asciiTheme="minorHAnsi" w:eastAsiaTheme="minorEastAsia" w:hAnsiTheme="minorHAnsi" w:cstheme="minorBidi"/>
          <w:szCs w:val="22"/>
        </w:rPr>
      </w:pPr>
      <w:r>
        <w:t>17.</w:t>
      </w:r>
      <w:r>
        <w:tab/>
        <w:t>Part 7 Division 2 heading inserted</w:t>
      </w:r>
      <w:r>
        <w:tab/>
      </w:r>
      <w:r>
        <w:fldChar w:fldCharType="begin"/>
      </w:r>
      <w:r>
        <w:instrText xml:space="preserve"> PAGEREF _Toc178673441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Division 2 — Service of infringement notices by wardens</w:t>
      </w:r>
    </w:p>
    <w:p>
      <w:pPr>
        <w:pStyle w:val="TOC8"/>
        <w:rPr>
          <w:rFonts w:asciiTheme="minorHAnsi" w:eastAsiaTheme="minorEastAsia" w:hAnsiTheme="minorHAnsi" w:cstheme="minorBidi"/>
          <w:szCs w:val="22"/>
        </w:rPr>
      </w:pPr>
      <w:r>
        <w:t>18.</w:t>
      </w:r>
      <w:r>
        <w:tab/>
        <w:t>Regulation 25 amended</w:t>
      </w:r>
      <w:r>
        <w:tab/>
      </w:r>
      <w:r>
        <w:fldChar w:fldCharType="begin"/>
      </w:r>
      <w:r>
        <w:instrText xml:space="preserve"> PAGEREF _Toc178673443 \h </w:instrText>
      </w:r>
      <w:r>
        <w:fldChar w:fldCharType="separate"/>
      </w:r>
      <w:r>
        <w:t>10</w:t>
      </w:r>
      <w:r>
        <w:fldChar w:fldCharType="end"/>
      </w:r>
    </w:p>
    <w:p>
      <w:pPr>
        <w:pStyle w:val="TOC8"/>
        <w:rPr>
          <w:rFonts w:asciiTheme="minorHAnsi" w:eastAsiaTheme="minorEastAsia" w:hAnsiTheme="minorHAnsi" w:cstheme="minorBidi"/>
          <w:szCs w:val="22"/>
        </w:rPr>
      </w:pPr>
      <w:r>
        <w:t>19.</w:t>
      </w:r>
      <w:r>
        <w:tab/>
        <w:t>Regulation 26 amended</w:t>
      </w:r>
      <w:r>
        <w:tab/>
      </w:r>
      <w:r>
        <w:fldChar w:fldCharType="begin"/>
      </w:r>
      <w:r>
        <w:instrText xml:space="preserve"> PAGEREF _Toc178673444 \h </w:instrText>
      </w:r>
      <w:r>
        <w:fldChar w:fldCharType="separate"/>
      </w:r>
      <w:r>
        <w:t>11</w:t>
      </w:r>
      <w:r>
        <w:fldChar w:fldCharType="end"/>
      </w:r>
    </w:p>
    <w:p>
      <w:pPr>
        <w:pStyle w:val="TOC8"/>
        <w:rPr>
          <w:rFonts w:asciiTheme="minorHAnsi" w:eastAsiaTheme="minorEastAsia" w:hAnsiTheme="minorHAnsi" w:cstheme="minorBidi"/>
          <w:szCs w:val="22"/>
        </w:rPr>
      </w:pPr>
      <w:r>
        <w:t>20.</w:t>
      </w:r>
      <w:r>
        <w:tab/>
        <w:t>Regulation 26A amended</w:t>
      </w:r>
      <w:r>
        <w:tab/>
      </w:r>
      <w:r>
        <w:fldChar w:fldCharType="begin"/>
      </w:r>
      <w:r>
        <w:instrText xml:space="preserve"> PAGEREF _Toc178673445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tab/>
        <w:t>Part 7 Division 3 inserted</w:t>
      </w:r>
      <w:r>
        <w:tab/>
      </w:r>
      <w:r>
        <w:fldChar w:fldCharType="begin"/>
      </w:r>
      <w:r>
        <w:instrText xml:space="preserve"> PAGEREF _Toc178673446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Division 3 — Miscellaneous</w:t>
      </w:r>
    </w:p>
    <w:p>
      <w:pPr>
        <w:pStyle w:val="TOC9"/>
        <w:rPr>
          <w:rFonts w:asciiTheme="minorHAnsi" w:eastAsiaTheme="minorEastAsia" w:hAnsiTheme="minorHAnsi" w:cstheme="minorBidi"/>
          <w:noProof/>
          <w:sz w:val="22"/>
          <w:szCs w:val="22"/>
        </w:rPr>
      </w:pPr>
      <w:r>
        <w:rPr>
          <w:noProof/>
        </w:rPr>
        <w:t>26B.</w:t>
      </w:r>
      <w:r>
        <w:rPr>
          <w:noProof/>
        </w:rPr>
        <w:tab/>
        <w:t>Public transport offences</w:t>
      </w:r>
      <w:r>
        <w:rPr>
          <w:noProof/>
        </w:rPr>
        <w:tab/>
      </w:r>
      <w:r>
        <w:rPr>
          <w:noProof/>
        </w:rPr>
        <w:fldChar w:fldCharType="begin"/>
      </w:r>
      <w:r>
        <w:rPr>
          <w:noProof/>
        </w:rPr>
        <w:instrText xml:space="preserve"> PAGEREF _Toc178673448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26C.</w:t>
      </w:r>
      <w:r>
        <w:rPr>
          <w:noProof/>
        </w:rPr>
        <w:tab/>
        <w:t>Police officers who are withdrawing officers</w:t>
      </w:r>
      <w:r>
        <w:rPr>
          <w:noProof/>
        </w:rPr>
        <w:tab/>
      </w:r>
      <w:r>
        <w:rPr>
          <w:noProof/>
        </w:rPr>
        <w:fldChar w:fldCharType="begin"/>
      </w:r>
      <w:r>
        <w:rPr>
          <w:noProof/>
        </w:rPr>
        <w:instrText xml:space="preserve"> PAGEREF _Toc178673449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26D.</w:t>
      </w:r>
      <w:r>
        <w:rPr>
          <w:noProof/>
        </w:rPr>
        <w:tab/>
        <w:t>Payment of infringement notices by instalment</w:t>
      </w:r>
      <w:r>
        <w:rPr>
          <w:noProof/>
        </w:rPr>
        <w:tab/>
      </w:r>
      <w:r>
        <w:rPr>
          <w:noProof/>
        </w:rPr>
        <w:fldChar w:fldCharType="begin"/>
      </w:r>
      <w:r>
        <w:rPr>
          <w:noProof/>
        </w:rPr>
        <w:instrText xml:space="preserve"> PAGEREF _Toc178673450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22.</w:t>
      </w:r>
      <w:r>
        <w:tab/>
        <w:t>Regulations 27 to 29 deleted</w:t>
      </w:r>
      <w:r>
        <w:tab/>
      </w:r>
      <w:r>
        <w:fldChar w:fldCharType="begin"/>
      </w:r>
      <w:r>
        <w:instrText xml:space="preserve"> PAGEREF _Toc178673451 \h </w:instrText>
      </w:r>
      <w:r>
        <w:fldChar w:fldCharType="separate"/>
      </w:r>
      <w:r>
        <w:t>14</w:t>
      </w:r>
      <w:r>
        <w:fldChar w:fldCharType="end"/>
      </w:r>
    </w:p>
    <w:p>
      <w:pPr>
        <w:pStyle w:val="TOC8"/>
        <w:rPr>
          <w:rFonts w:asciiTheme="minorHAnsi" w:eastAsiaTheme="minorEastAsia" w:hAnsiTheme="minorHAnsi" w:cstheme="minorBidi"/>
          <w:szCs w:val="22"/>
        </w:rPr>
      </w:pPr>
      <w:r>
        <w:t>23.</w:t>
      </w:r>
      <w:r>
        <w:tab/>
        <w:t>Regulation 31AA inserted</w:t>
      </w:r>
      <w:r>
        <w:tab/>
      </w:r>
      <w:r>
        <w:fldChar w:fldCharType="begin"/>
      </w:r>
      <w:r>
        <w:instrText xml:space="preserve"> PAGEREF _Toc178673452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31AA.</w:t>
      </w:r>
      <w:r>
        <w:rPr>
          <w:noProof/>
        </w:rPr>
        <w:tab/>
        <w:t>Acts and omissions ascertained by visual detection equipment (s. 117(2)(d)(i))</w:t>
      </w:r>
      <w:r>
        <w:rPr>
          <w:noProof/>
        </w:rPr>
        <w:tab/>
      </w:r>
      <w:r>
        <w:rPr>
          <w:noProof/>
        </w:rPr>
        <w:fldChar w:fldCharType="begin"/>
      </w:r>
      <w:r>
        <w:rPr>
          <w:noProof/>
        </w:rPr>
        <w:instrText xml:space="preserve"> PAGEREF _Toc178673453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24.</w:t>
      </w:r>
      <w:r>
        <w:tab/>
        <w:t>Parts 11 and 12 inserted</w:t>
      </w:r>
      <w:r>
        <w:tab/>
      </w:r>
      <w:r>
        <w:fldChar w:fldCharType="begin"/>
      </w:r>
      <w:r>
        <w:instrText xml:space="preserve"> PAGEREF _Toc178673454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Part 11 — Service</w:t>
      </w:r>
    </w:p>
    <w:p>
      <w:pPr>
        <w:pStyle w:val="TOC9"/>
        <w:rPr>
          <w:rFonts w:asciiTheme="minorHAnsi" w:eastAsiaTheme="minorEastAsia" w:hAnsiTheme="minorHAnsi" w:cstheme="minorBidi"/>
          <w:noProof/>
          <w:sz w:val="22"/>
          <w:szCs w:val="22"/>
        </w:rPr>
      </w:pPr>
      <w:r>
        <w:rPr>
          <w:noProof/>
        </w:rPr>
        <w:t>36.</w:t>
      </w:r>
      <w:r>
        <w:rPr>
          <w:noProof/>
        </w:rPr>
        <w:tab/>
        <w:t>Service of Part 5 documents (s. 100)</w:t>
      </w:r>
      <w:r>
        <w:rPr>
          <w:noProof/>
        </w:rPr>
        <w:tab/>
      </w:r>
      <w:r>
        <w:rPr>
          <w:noProof/>
        </w:rPr>
        <w:fldChar w:fldCharType="begin"/>
      </w:r>
      <w:r>
        <w:rPr>
          <w:noProof/>
        </w:rPr>
        <w:instrText xml:space="preserve"> PAGEREF _Toc178673456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Giving other records by electronic means (s. 143(3)(c))</w:t>
      </w:r>
      <w:r>
        <w:rPr>
          <w:noProof/>
        </w:rPr>
        <w:tab/>
      </w:r>
      <w:r>
        <w:rPr>
          <w:noProof/>
        </w:rPr>
        <w:fldChar w:fldCharType="begin"/>
      </w:r>
      <w:r>
        <w:rPr>
          <w:noProof/>
        </w:rPr>
        <w:instrText xml:space="preserve"> PAGEREF _Toc178673457 \h </w:instrText>
      </w:r>
      <w:r>
        <w:rPr>
          <w:noProof/>
        </w:rPr>
      </w:r>
      <w:r>
        <w:rPr>
          <w:noProof/>
        </w:rPr>
        <w:fldChar w:fldCharType="separate"/>
      </w:r>
      <w:r>
        <w:rPr>
          <w:noProof/>
        </w:rPr>
        <w:t>15</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 xml:space="preserve">Part 12 — Transitional provision for </w:t>
      </w:r>
      <w:r>
        <w:rPr>
          <w:i/>
        </w:rPr>
        <w:t>Road Traffic (Administration) Amendment Regulations 2024</w:t>
      </w:r>
    </w:p>
    <w:p>
      <w:pPr>
        <w:pStyle w:val="TOC9"/>
        <w:rPr>
          <w:rFonts w:asciiTheme="minorHAnsi" w:eastAsiaTheme="minorEastAsia" w:hAnsiTheme="minorHAnsi" w:cstheme="minorBidi"/>
          <w:noProof/>
          <w:sz w:val="22"/>
          <w:szCs w:val="22"/>
        </w:rPr>
      </w:pPr>
      <w:r>
        <w:rPr>
          <w:noProof/>
        </w:rPr>
        <w:t>38.</w:t>
      </w:r>
      <w:r>
        <w:rPr>
          <w:noProof/>
        </w:rPr>
        <w:tab/>
        <w:t>Existing wardens</w:t>
      </w:r>
      <w:r>
        <w:rPr>
          <w:noProof/>
        </w:rPr>
        <w:tab/>
      </w:r>
      <w:r>
        <w:rPr>
          <w:noProof/>
        </w:rPr>
        <w:fldChar w:fldCharType="begin"/>
      </w:r>
      <w:r>
        <w:rPr>
          <w:noProof/>
        </w:rPr>
        <w:instrText xml:space="preserve"> PAGEREF _Toc178673459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25.</w:t>
      </w:r>
      <w:r>
        <w:tab/>
        <w:t>Schedule 2 deleted</w:t>
      </w:r>
      <w:r>
        <w:tab/>
      </w:r>
      <w:r>
        <w:fldChar w:fldCharType="begin"/>
      </w:r>
      <w:r>
        <w:instrText xml:space="preserve"> PAGEREF _Toc178673460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Amendment Regulations 2024</w:t>
      </w:r>
    </w:p>
    <w:p>
      <w:pPr>
        <w:pStyle w:val="MadeBy"/>
      </w:pPr>
      <w:r>
        <w:t>Made by the Governor in Executive Council.</w:t>
      </w:r>
    </w:p>
    <w:p>
      <w:pPr>
        <w:pStyle w:val="Heading5"/>
      </w:pPr>
      <w:bookmarkStart w:id="2" w:name="_Toc178244031"/>
      <w:bookmarkStart w:id="3" w:name="_Toc178673422"/>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Road Traffic (Administration) Amendment Regulations 2024</w:t>
      </w:r>
      <w:r>
        <w:t>.</w:t>
      </w:r>
    </w:p>
    <w:p>
      <w:pPr>
        <w:pStyle w:val="Heading5"/>
        <w:rPr>
          <w:spacing w:val="-2"/>
        </w:rPr>
      </w:pPr>
      <w:bookmarkStart w:id="5" w:name="_Toc178244032"/>
      <w:bookmarkStart w:id="6" w:name="_Toc17867342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7 October 2024.</w:t>
      </w:r>
    </w:p>
    <w:p>
      <w:pPr>
        <w:pStyle w:val="Heading5"/>
        <w:rPr>
          <w:snapToGrid w:val="0"/>
        </w:rPr>
      </w:pPr>
      <w:bookmarkStart w:id="7" w:name="_Toc178244033"/>
      <w:bookmarkStart w:id="8" w:name="_Toc178673424"/>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Road Traffic (Administration) Regulations 2014</w:t>
      </w:r>
      <w:r>
        <w:t>.</w:t>
      </w:r>
    </w:p>
    <w:p>
      <w:pPr>
        <w:pStyle w:val="Heading5"/>
      </w:pPr>
      <w:bookmarkStart w:id="9" w:name="_Toc178244034"/>
      <w:bookmarkStart w:id="10" w:name="_Toc178673425"/>
      <w:r>
        <w:rPr>
          <w:rStyle w:val="CharSectno"/>
        </w:rPr>
        <w:t>4</w:t>
      </w:r>
      <w:r>
        <w:t>.</w:t>
      </w:r>
      <w:r>
        <w:tab/>
        <w:t>Regulation 3 amended</w:t>
      </w:r>
      <w:bookmarkEnd w:id="9"/>
      <w:bookmarkEnd w:id="10"/>
    </w:p>
    <w:p>
      <w:pPr>
        <w:pStyle w:val="Subsection"/>
      </w:pPr>
      <w:r>
        <w:tab/>
        <w:t>(1)</w:t>
      </w:r>
      <w:r>
        <w:tab/>
        <w:t>In regulation 3 insert in alphabetical order:</w:t>
      </w:r>
    </w:p>
    <w:p>
      <w:pPr>
        <w:pStyle w:val="BlankOpen"/>
      </w:pPr>
    </w:p>
    <w:p>
      <w:pPr>
        <w:pStyle w:val="zDefstart"/>
      </w:pPr>
      <w:r>
        <w:tab/>
      </w:r>
      <w:r>
        <w:rPr>
          <w:rStyle w:val="CharDefText"/>
        </w:rPr>
        <w:t>parking warden</w:t>
      </w:r>
      <w:r>
        <w:t xml:space="preserve"> means a person authorised under section 22(1) to perform the functions prescribed by regulation 14A(1);</w:t>
      </w:r>
    </w:p>
    <w:p>
      <w:pPr>
        <w:pStyle w:val="zDefstart"/>
      </w:pPr>
      <w:r>
        <w:tab/>
      </w:r>
      <w:r>
        <w:rPr>
          <w:rStyle w:val="CharDefText"/>
        </w:rPr>
        <w:t>prescribed road law offence</w:t>
      </w:r>
      <w:r>
        <w:t xml:space="preserve"> has the meaning given in section 95(1)(a);</w:t>
      </w:r>
    </w:p>
    <w:p>
      <w:pPr>
        <w:pStyle w:val="zDefstart"/>
      </w:pPr>
      <w:r>
        <w:lastRenderedPageBreak/>
        <w:tab/>
      </w:r>
      <w:r>
        <w:rPr>
          <w:rStyle w:val="CharDefText"/>
        </w:rPr>
        <w:t>transport inspection warden</w:t>
      </w:r>
      <w:r>
        <w:t xml:space="preserve"> means a person authorised under section 22(1) to perform the functions prescribed by regulation 13(1);</w:t>
      </w:r>
    </w:p>
    <w:p>
      <w:pPr>
        <w:pStyle w:val="zDefstart"/>
      </w:pPr>
      <w:r>
        <w:tab/>
      </w:r>
      <w:r>
        <w:rPr>
          <w:rStyle w:val="CharDefText"/>
        </w:rPr>
        <w:t>transport investigation warden</w:t>
      </w:r>
      <w:r>
        <w:t xml:space="preserve"> means a person authorised under section 22(1) to perform the functions prescribed by regulation 14(1);</w:t>
      </w:r>
    </w:p>
    <w:p>
      <w:pPr>
        <w:pStyle w:val="zDefstart"/>
      </w:pPr>
      <w:r>
        <w:tab/>
      </w:r>
      <w:r>
        <w:rPr>
          <w:rStyle w:val="CharDefText"/>
        </w:rPr>
        <w:t>transport warden</w:t>
      </w:r>
      <w:r>
        <w:t xml:space="preserve"> means a person authorised under section 22(1) to perform the functions prescribed by regulation 12(1).</w:t>
      </w:r>
    </w:p>
    <w:p>
      <w:pPr>
        <w:pStyle w:val="BlankClose"/>
      </w:pPr>
    </w:p>
    <w:p>
      <w:pPr>
        <w:pStyle w:val="Subsection"/>
      </w:pPr>
      <w:r>
        <w:tab/>
        <w:t>(2)</w:t>
      </w:r>
      <w:r>
        <w:tab/>
        <w:t xml:space="preserve">In regulation 3 in the definition of </w:t>
      </w:r>
      <w:r>
        <w:rPr>
          <w:b/>
          <w:i/>
        </w:rPr>
        <w:t>section</w:t>
      </w:r>
      <w:r>
        <w:t xml:space="preserve"> delete “Act.” and insert:</w:t>
      </w:r>
    </w:p>
    <w:p>
      <w:pPr>
        <w:pStyle w:val="BlankOpen"/>
      </w:pPr>
    </w:p>
    <w:p>
      <w:pPr>
        <w:pStyle w:val="Subsection"/>
      </w:pPr>
      <w:r>
        <w:tab/>
      </w:r>
      <w:r>
        <w:tab/>
        <w:t>Act;</w:t>
      </w:r>
    </w:p>
    <w:p>
      <w:pPr>
        <w:pStyle w:val="BlankClose"/>
      </w:pPr>
    </w:p>
    <w:p>
      <w:pPr>
        <w:pStyle w:val="SectAltNote"/>
      </w:pPr>
      <w:r>
        <w:tab/>
        <w:t>Note: The heading to amended regulation 3 is to read:</w:t>
      </w:r>
    </w:p>
    <w:p>
      <w:pPr>
        <w:pStyle w:val="SectAltHeading"/>
      </w:pPr>
      <w:r>
        <w:tab/>
      </w:r>
      <w:r>
        <w:tab/>
        <w:t>Terms used</w:t>
      </w:r>
    </w:p>
    <w:p>
      <w:pPr>
        <w:pStyle w:val="Heading5"/>
      </w:pPr>
      <w:bookmarkStart w:id="11" w:name="_Toc178244035"/>
      <w:bookmarkStart w:id="12" w:name="_Toc178673426"/>
      <w:r>
        <w:rPr>
          <w:rStyle w:val="CharSectno"/>
        </w:rPr>
        <w:t>5</w:t>
      </w:r>
      <w:r>
        <w:t>.</w:t>
      </w:r>
      <w:r>
        <w:tab/>
        <w:t>Regulation 12 amended</w:t>
      </w:r>
      <w:bookmarkEnd w:id="11"/>
      <w:bookmarkEnd w:id="12"/>
    </w:p>
    <w:p>
      <w:pPr>
        <w:pStyle w:val="Subsection"/>
      </w:pPr>
      <w:r>
        <w:tab/>
        <w:t>(1)</w:t>
      </w:r>
      <w:r>
        <w:tab/>
        <w:t>In regulation 12(1):</w:t>
      </w:r>
    </w:p>
    <w:p>
      <w:pPr>
        <w:pStyle w:val="Indenta"/>
      </w:pPr>
      <w:r>
        <w:tab/>
        <w:t>(a)</w:t>
      </w:r>
      <w:r>
        <w:tab/>
        <w:t>delete “a transport warden can perform”;</w:t>
      </w:r>
    </w:p>
    <w:p>
      <w:pPr>
        <w:pStyle w:val="Indenta"/>
      </w:pPr>
      <w:r>
        <w:tab/>
        <w:t>(b)</w:t>
      </w:r>
      <w:r>
        <w:tab/>
        <w:t>delete “Table.” and insert:</w:t>
      </w:r>
    </w:p>
    <w:p>
      <w:pPr>
        <w:pStyle w:val="BlankOpen"/>
      </w:pPr>
    </w:p>
    <w:p>
      <w:pPr>
        <w:pStyle w:val="Indenta"/>
      </w:pPr>
      <w:r>
        <w:tab/>
      </w:r>
      <w:r>
        <w:tab/>
        <w:t>Table are functions that can be performed by a warden.</w:t>
      </w:r>
    </w:p>
    <w:p>
      <w:pPr>
        <w:pStyle w:val="BlankClose"/>
      </w:pPr>
    </w:p>
    <w:p>
      <w:pPr>
        <w:pStyle w:val="Indenta"/>
      </w:pPr>
      <w:r>
        <w:tab/>
        <w:t>(c)</w:t>
      </w:r>
      <w:r>
        <w:tab/>
        <w:t xml:space="preserve">in the Table delete the row relating to the </w:t>
      </w:r>
      <w:r>
        <w:rPr>
          <w:i/>
          <w:iCs/>
        </w:rPr>
        <w:t>Road Traffic (Administration) Act 2008</w:t>
      </w:r>
      <w:r>
        <w:t xml:space="preserve"> section 52(2)(b) and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zTableNAm"/>
              <w:rPr>
                <w:rStyle w:val="DraftersNotes"/>
                <w:b w:val="0"/>
                <w:i w:val="0"/>
                <w:iCs/>
                <w:sz w:val="24"/>
              </w:rPr>
            </w:pPr>
            <w:r>
              <w:rPr>
                <w:i/>
                <w:iCs/>
              </w:rPr>
              <w:t>Road Traffic (Administration) Act 2008</w:t>
            </w:r>
            <w:r>
              <w:t xml:space="preserve"> </w:t>
            </w:r>
            <w:r>
              <w:rPr>
                <w:iCs/>
              </w:rPr>
              <w:t>s. 52</w:t>
            </w:r>
          </w:p>
        </w:tc>
        <w:tc>
          <w:tcPr>
            <w:tcW w:w="3034" w:type="dxa"/>
          </w:tcPr>
          <w:p>
            <w:pPr>
              <w:pStyle w:val="zTableNAm"/>
              <w:rPr>
                <w:rStyle w:val="DraftersNotes"/>
              </w:rPr>
            </w:pPr>
            <w:r>
              <w:t>Inspect vehicle for defect</w:t>
            </w:r>
          </w:p>
        </w:tc>
      </w:tr>
    </w:tbl>
    <w:p>
      <w:pPr>
        <w:pStyle w:val="BlankClose"/>
      </w:pPr>
    </w:p>
    <w:p>
      <w:pPr>
        <w:pStyle w:val="Indenta"/>
      </w:pPr>
      <w:r>
        <w:lastRenderedPageBreak/>
        <w:tab/>
        <w:t>(d)</w:t>
      </w:r>
      <w:r>
        <w:tab/>
        <w:t xml:space="preserve">in the Table delete the row relating to the </w:t>
      </w:r>
      <w:r>
        <w:rPr>
          <w:i/>
          <w:iCs/>
        </w:rPr>
        <w:t>Road Traffic (Administration) Act 2008</w:t>
      </w:r>
      <w:r>
        <w:t xml:space="preserve"> section 79 and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zTableNAm"/>
              <w:rPr>
                <w:rStyle w:val="DraftersNotes"/>
                <w:b w:val="0"/>
                <w:i w:val="0"/>
                <w:iCs/>
                <w:sz w:val="24"/>
              </w:rPr>
            </w:pPr>
            <w:r>
              <w:rPr>
                <w:i/>
                <w:iCs/>
              </w:rPr>
              <w:t>Road Traffic (Administration) Act 2008</w:t>
            </w:r>
            <w:r>
              <w:t xml:space="preserve"> </w:t>
            </w:r>
            <w:r>
              <w:rPr>
                <w:iCs/>
              </w:rPr>
              <w:t>s. 81</w:t>
            </w:r>
          </w:p>
        </w:tc>
        <w:tc>
          <w:tcPr>
            <w:tcW w:w="3034" w:type="dxa"/>
          </w:tcPr>
          <w:p>
            <w:pPr>
              <w:pStyle w:val="zTableNAm"/>
              <w:rPr>
                <w:rStyle w:val="DraftersNotes"/>
              </w:rPr>
            </w:pPr>
            <w:r>
              <w:t>Serve infringement notices (alleged offender) in respect of the prescribed road law offences set out in the Table to regulation 25</w:t>
            </w:r>
          </w:p>
        </w:tc>
      </w:tr>
    </w:tbl>
    <w:p>
      <w:pPr>
        <w:pStyle w:val="BlankClose"/>
      </w:pPr>
    </w:p>
    <w:p>
      <w:pPr>
        <w:pStyle w:val="Subsection"/>
      </w:pPr>
      <w:r>
        <w:tab/>
        <w:t>(2)</w:t>
      </w:r>
      <w:r>
        <w:tab/>
        <w:t>In regulation 12(3) delete “reference to” and insert:</w:t>
      </w:r>
    </w:p>
    <w:p>
      <w:pPr>
        <w:pStyle w:val="BlankOpen"/>
      </w:pPr>
    </w:p>
    <w:p>
      <w:pPr>
        <w:pStyle w:val="Subsection"/>
      </w:pPr>
      <w:r>
        <w:tab/>
      </w:r>
      <w:r>
        <w:tab/>
        <w:t>reference to, or that includes,</w:t>
      </w:r>
    </w:p>
    <w:p>
      <w:pPr>
        <w:pStyle w:val="BlankClose"/>
      </w:pPr>
    </w:p>
    <w:p>
      <w:pPr>
        <w:pStyle w:val="Subsection"/>
      </w:pPr>
      <w:r>
        <w:tab/>
        <w:t>(3)</w:t>
      </w:r>
      <w:r>
        <w:tab/>
        <w:t>Delete regulation 12(4) and insert:</w:t>
      </w:r>
    </w:p>
    <w:p>
      <w:pPr>
        <w:pStyle w:val="BlankOpen"/>
      </w:pPr>
    </w:p>
    <w:p>
      <w:pPr>
        <w:pStyle w:val="z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BlankClose"/>
      </w:pPr>
    </w:p>
    <w:p>
      <w:pPr>
        <w:pStyle w:val="SectAltNote"/>
      </w:pPr>
      <w:r>
        <w:tab/>
        <w:t>Note: The heading to amended regulation 12 is to read:</w:t>
      </w:r>
    </w:p>
    <w:p>
      <w:pPr>
        <w:pStyle w:val="SectAltHeading"/>
      </w:pPr>
      <w:r>
        <w:tab/>
      </w:r>
      <w:r>
        <w:tab/>
        <w:t>Transport wardens</w:t>
      </w:r>
    </w:p>
    <w:p>
      <w:pPr>
        <w:pStyle w:val="Heading5"/>
      </w:pPr>
      <w:bookmarkStart w:id="13" w:name="_Toc178244036"/>
      <w:bookmarkStart w:id="14" w:name="_Toc178673427"/>
      <w:r>
        <w:rPr>
          <w:rStyle w:val="CharSectno"/>
        </w:rPr>
        <w:t>6</w:t>
      </w:r>
      <w:r>
        <w:t>.</w:t>
      </w:r>
      <w:r>
        <w:tab/>
        <w:t>Regulation 13 amended</w:t>
      </w:r>
      <w:bookmarkEnd w:id="13"/>
      <w:bookmarkEnd w:id="14"/>
    </w:p>
    <w:p>
      <w:pPr>
        <w:pStyle w:val="Subsection"/>
      </w:pPr>
      <w:r>
        <w:tab/>
        <w:t>(1)</w:t>
      </w:r>
      <w:r>
        <w:tab/>
        <w:t>In regulation 13(1):</w:t>
      </w:r>
    </w:p>
    <w:p>
      <w:pPr>
        <w:pStyle w:val="Indenta"/>
      </w:pPr>
      <w:r>
        <w:tab/>
        <w:t>(a)</w:t>
      </w:r>
      <w:r>
        <w:tab/>
        <w:t>delete “a transport inspection warden can perform”;</w:t>
      </w:r>
    </w:p>
    <w:p>
      <w:pPr>
        <w:pStyle w:val="Indenta"/>
      </w:pPr>
      <w:r>
        <w:tab/>
        <w:t>(b)</w:t>
      </w:r>
      <w:r>
        <w:tab/>
        <w:t>delete “Table.” and insert:</w:t>
      </w:r>
    </w:p>
    <w:p>
      <w:pPr>
        <w:pStyle w:val="BlankOpen"/>
      </w:pPr>
    </w:p>
    <w:p>
      <w:pPr>
        <w:pStyle w:val="Indenta"/>
      </w:pPr>
      <w:r>
        <w:tab/>
      </w:r>
      <w:r>
        <w:tab/>
        <w:t>Table are functions that can be performed by a warden.</w:t>
      </w:r>
    </w:p>
    <w:p>
      <w:pPr>
        <w:pStyle w:val="BlankClose"/>
      </w:pPr>
    </w:p>
    <w:p>
      <w:pPr>
        <w:pStyle w:val="Indenta"/>
      </w:pPr>
      <w:r>
        <w:lastRenderedPageBreak/>
        <w:tab/>
        <w:t>(c)</w:t>
      </w:r>
      <w:r>
        <w:tab/>
        <w:t xml:space="preserve">in the Table delete the row relating to the </w:t>
      </w:r>
      <w:r>
        <w:rPr>
          <w:i/>
          <w:iCs/>
        </w:rPr>
        <w:t>Road Traffic (Administration) Act 2008</w:t>
      </w:r>
      <w:r>
        <w:t xml:space="preserve"> section 79 and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zTableNAm"/>
              <w:rPr>
                <w:rStyle w:val="DraftersNotes"/>
                <w:b w:val="0"/>
                <w:i w:val="0"/>
                <w:iCs/>
                <w:sz w:val="24"/>
              </w:rPr>
            </w:pPr>
            <w:r>
              <w:rPr>
                <w:i/>
                <w:iCs/>
              </w:rPr>
              <w:t>Road Traffic (Administration) Act 2008</w:t>
            </w:r>
            <w:r>
              <w:t xml:space="preserve"> </w:t>
            </w:r>
            <w:r>
              <w:rPr>
                <w:iCs/>
              </w:rPr>
              <w:t>s. 81</w:t>
            </w:r>
          </w:p>
        </w:tc>
        <w:tc>
          <w:tcPr>
            <w:tcW w:w="3034" w:type="dxa"/>
          </w:tcPr>
          <w:p>
            <w:pPr>
              <w:pStyle w:val="zTableNAm"/>
              <w:rPr>
                <w:rStyle w:val="DraftersNotes"/>
              </w:rPr>
            </w:pPr>
            <w:r>
              <w:t>Serve infringement notices (alleged offender) in respect of the prescribed road law offences set out in the Table to regulation 26</w:t>
            </w:r>
          </w:p>
        </w:tc>
      </w:tr>
    </w:tbl>
    <w:p>
      <w:pPr>
        <w:pStyle w:val="BlankClose"/>
      </w:pPr>
    </w:p>
    <w:p>
      <w:pPr>
        <w:pStyle w:val="Subsection"/>
      </w:pPr>
      <w:r>
        <w:tab/>
        <w:t>(2)</w:t>
      </w:r>
      <w:r>
        <w:tab/>
        <w:t>In regulation 13(3) delete “reference to” and insert:</w:t>
      </w:r>
    </w:p>
    <w:p>
      <w:pPr>
        <w:pStyle w:val="BlankOpen"/>
      </w:pPr>
    </w:p>
    <w:p>
      <w:pPr>
        <w:pStyle w:val="Subsection"/>
      </w:pPr>
      <w:r>
        <w:tab/>
      </w:r>
      <w:r>
        <w:tab/>
        <w:t>reference to, or that includes,</w:t>
      </w:r>
    </w:p>
    <w:p>
      <w:pPr>
        <w:pStyle w:val="BlankClose"/>
      </w:pPr>
    </w:p>
    <w:p>
      <w:pPr>
        <w:pStyle w:val="Heading5"/>
      </w:pPr>
      <w:bookmarkStart w:id="15" w:name="_Toc178244037"/>
      <w:bookmarkStart w:id="16" w:name="_Toc178673428"/>
      <w:r>
        <w:rPr>
          <w:rStyle w:val="CharSectno"/>
        </w:rPr>
        <w:t>7</w:t>
      </w:r>
      <w:r>
        <w:t>.</w:t>
      </w:r>
      <w:r>
        <w:tab/>
        <w:t>Regulation 14 amended</w:t>
      </w:r>
      <w:bookmarkEnd w:id="15"/>
      <w:bookmarkEnd w:id="16"/>
    </w:p>
    <w:p>
      <w:pPr>
        <w:pStyle w:val="Subsection"/>
      </w:pPr>
      <w:r>
        <w:tab/>
        <w:t>(1)</w:t>
      </w:r>
      <w:r>
        <w:tab/>
        <w:t>In regulation 14(1):</w:t>
      </w:r>
    </w:p>
    <w:p>
      <w:pPr>
        <w:pStyle w:val="Indenta"/>
      </w:pPr>
      <w:r>
        <w:tab/>
        <w:t>(a)</w:t>
      </w:r>
      <w:r>
        <w:tab/>
        <w:t>delete “a transport investigation warden can perform”;</w:t>
      </w:r>
    </w:p>
    <w:p>
      <w:pPr>
        <w:pStyle w:val="Indenta"/>
      </w:pPr>
      <w:r>
        <w:tab/>
        <w:t>(b)</w:t>
      </w:r>
      <w:r>
        <w:tab/>
        <w:t>delete “Table.” and insert:</w:t>
      </w:r>
    </w:p>
    <w:p>
      <w:pPr>
        <w:pStyle w:val="BlankOpen"/>
      </w:pPr>
    </w:p>
    <w:p>
      <w:pPr>
        <w:pStyle w:val="Indenta"/>
      </w:pPr>
      <w:r>
        <w:tab/>
      </w:r>
      <w:r>
        <w:tab/>
        <w:t>Table are functions that can be performed by a warden.</w:t>
      </w:r>
    </w:p>
    <w:p>
      <w:pPr>
        <w:pStyle w:val="BlankClose"/>
      </w:pPr>
    </w:p>
    <w:p>
      <w:pPr>
        <w:pStyle w:val="Indenta"/>
      </w:pPr>
      <w:r>
        <w:tab/>
        <w:t>(c)</w:t>
      </w:r>
      <w:r>
        <w:tab/>
        <w:t xml:space="preserve">in the Table delete the row relating to the </w:t>
      </w:r>
      <w:r>
        <w:rPr>
          <w:i/>
          <w:iCs/>
        </w:rPr>
        <w:t>Road Traffic (Administration) Act 2008</w:t>
      </w:r>
      <w:r>
        <w:t xml:space="preserve"> section 79 and insert:</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tcPr>
          <w:p>
            <w:pPr>
              <w:pStyle w:val="zTableNAm"/>
              <w:rPr>
                <w:rStyle w:val="DraftersNotes"/>
                <w:b w:val="0"/>
                <w:i w:val="0"/>
                <w:iCs/>
                <w:sz w:val="24"/>
              </w:rPr>
            </w:pPr>
            <w:r>
              <w:rPr>
                <w:i/>
                <w:iCs/>
              </w:rPr>
              <w:t>Road Traffic (Administration) Act 2008</w:t>
            </w:r>
            <w:r>
              <w:t xml:space="preserve"> </w:t>
            </w:r>
            <w:r>
              <w:rPr>
                <w:iCs/>
              </w:rPr>
              <w:t>s. 81</w:t>
            </w:r>
          </w:p>
        </w:tc>
        <w:tc>
          <w:tcPr>
            <w:tcW w:w="3034" w:type="dxa"/>
          </w:tcPr>
          <w:p>
            <w:pPr>
              <w:pStyle w:val="zTableNAm"/>
              <w:rPr>
                <w:rStyle w:val="DraftersNotes"/>
              </w:rPr>
            </w:pPr>
            <w:r>
              <w:t>Serve infringement notices (alleged offender) in respect of the prescribed road law offences set out in the Table to regulation 26A</w:t>
            </w:r>
          </w:p>
        </w:tc>
      </w:tr>
    </w:tbl>
    <w:p>
      <w:pPr>
        <w:pStyle w:val="BlankClose"/>
      </w:pPr>
    </w:p>
    <w:p>
      <w:pPr>
        <w:pStyle w:val="Subsection"/>
        <w:keepNext/>
      </w:pPr>
      <w:r>
        <w:lastRenderedPageBreak/>
        <w:tab/>
        <w:t>(2)</w:t>
      </w:r>
      <w:r>
        <w:tab/>
        <w:t>In regulation 14(3) delete “reference to” and insert:</w:t>
      </w:r>
    </w:p>
    <w:p>
      <w:pPr>
        <w:pStyle w:val="BlankOpen"/>
      </w:pPr>
    </w:p>
    <w:p>
      <w:pPr>
        <w:pStyle w:val="Subsection"/>
      </w:pPr>
      <w:r>
        <w:tab/>
      </w:r>
      <w:r>
        <w:tab/>
        <w:t>reference to, or that includes,</w:t>
      </w:r>
    </w:p>
    <w:p>
      <w:pPr>
        <w:pStyle w:val="BlankClose"/>
      </w:pPr>
    </w:p>
    <w:p>
      <w:pPr>
        <w:pStyle w:val="Heading5"/>
      </w:pPr>
      <w:bookmarkStart w:id="17" w:name="_Toc178244038"/>
      <w:bookmarkStart w:id="18" w:name="_Toc178673429"/>
      <w:r>
        <w:rPr>
          <w:rStyle w:val="CharSectno"/>
        </w:rPr>
        <w:t>8</w:t>
      </w:r>
      <w:r>
        <w:t>.</w:t>
      </w:r>
      <w:r>
        <w:tab/>
        <w:t>Regulation 14A inserted</w:t>
      </w:r>
      <w:bookmarkEnd w:id="17"/>
      <w:bookmarkEnd w:id="18"/>
    </w:p>
    <w:p>
      <w:pPr>
        <w:pStyle w:val="Subsection"/>
      </w:pPr>
      <w:r>
        <w:tab/>
      </w:r>
      <w:r>
        <w:tab/>
        <w:t>After regulation 14 insert:</w:t>
      </w:r>
    </w:p>
    <w:p>
      <w:pPr>
        <w:pStyle w:val="BlankOpen"/>
      </w:pPr>
    </w:p>
    <w:p>
      <w:pPr>
        <w:pStyle w:val="zHeading5"/>
      </w:pPr>
      <w:bookmarkStart w:id="19" w:name="_Toc178244039"/>
      <w:bookmarkStart w:id="20" w:name="_Toc178673430"/>
      <w:r>
        <w:t>14A.</w:t>
      </w:r>
      <w:r>
        <w:tab/>
        <w:t>Parking wardens</w:t>
      </w:r>
      <w:bookmarkEnd w:id="19"/>
      <w:bookmarkEnd w:id="20"/>
    </w:p>
    <w:p>
      <w:pPr>
        <w:pStyle w:val="z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z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zSubsection"/>
      </w:pPr>
      <w:r>
        <w:tab/>
        <w:t>(3)</w:t>
      </w:r>
      <w:r>
        <w:tab/>
        <w:t>For section 24(1)(b), a reference to a police officer in a provision of a road law mentioned in subregulation (1) is to be read as including a parking warden.</w:t>
      </w:r>
    </w:p>
    <w:p>
      <w:pPr>
        <w:pStyle w:val="BlankClose"/>
      </w:pPr>
    </w:p>
    <w:p>
      <w:pPr>
        <w:pStyle w:val="Heading5"/>
      </w:pPr>
      <w:bookmarkStart w:id="21" w:name="_Toc178244040"/>
      <w:bookmarkStart w:id="22" w:name="_Toc178673431"/>
      <w:r>
        <w:rPr>
          <w:rStyle w:val="CharSectno"/>
        </w:rPr>
        <w:t>9</w:t>
      </w:r>
      <w:r>
        <w:t>.</w:t>
      </w:r>
      <w:r>
        <w:tab/>
        <w:t>Regulation 15 amended</w:t>
      </w:r>
      <w:bookmarkEnd w:id="21"/>
      <w:bookmarkEnd w:id="22"/>
    </w:p>
    <w:p>
      <w:pPr>
        <w:pStyle w:val="Subsection"/>
      </w:pPr>
      <w:r>
        <w:tab/>
      </w:r>
      <w:r>
        <w:tab/>
        <w:t>In regulation 15:</w:t>
      </w:r>
    </w:p>
    <w:p>
      <w:pPr>
        <w:pStyle w:val="Indenta"/>
      </w:pPr>
      <w:r>
        <w:tab/>
        <w:t>(a)</w:t>
      </w:r>
      <w:r>
        <w:tab/>
        <w:t>delete “a transport warden, a transport inspection warden and a transport investigation warden can perform”;</w:t>
      </w:r>
    </w:p>
    <w:p>
      <w:pPr>
        <w:pStyle w:val="Indenta"/>
      </w:pPr>
      <w:r>
        <w:tab/>
        <w:t>(b)</w:t>
      </w:r>
      <w:r>
        <w:tab/>
        <w:t>delete “law other than an offence to which section 105(1) applies.” and insert:</w:t>
      </w:r>
    </w:p>
    <w:p>
      <w:pPr>
        <w:pStyle w:val="BlankOpen"/>
      </w:pPr>
    </w:p>
    <w:p>
      <w:pPr>
        <w:pStyle w:val="Indenta"/>
      </w:pPr>
      <w:r>
        <w:tab/>
      </w:r>
      <w:r>
        <w:tab/>
        <w:t>law, other than an offence to which section 105(1) applies, is a function that can be performed by a warden.</w:t>
      </w:r>
    </w:p>
    <w:p>
      <w:pPr>
        <w:pStyle w:val="BlankClose"/>
      </w:pPr>
    </w:p>
    <w:p>
      <w:pPr>
        <w:pStyle w:val="SectAltNote"/>
      </w:pPr>
      <w:r>
        <w:lastRenderedPageBreak/>
        <w:tab/>
        <w:t>Note: The heading to amended regulation 15 is to read:</w:t>
      </w:r>
    </w:p>
    <w:p>
      <w:pPr>
        <w:pStyle w:val="SectAltHeading"/>
      </w:pPr>
      <w:r>
        <w:tab/>
      </w:r>
      <w:r>
        <w:tab/>
        <w:t>Wardens commencing prosecutions for offences under road laws</w:t>
      </w:r>
    </w:p>
    <w:p>
      <w:pPr>
        <w:pStyle w:val="Heading5"/>
      </w:pPr>
      <w:bookmarkStart w:id="23" w:name="_Toc178244041"/>
      <w:bookmarkStart w:id="24" w:name="_Toc178673432"/>
      <w:r>
        <w:rPr>
          <w:rStyle w:val="CharSectno"/>
        </w:rPr>
        <w:t>10</w:t>
      </w:r>
      <w:r>
        <w:t>.</w:t>
      </w:r>
      <w:r>
        <w:tab/>
        <w:t>Regulation 18 deleted</w:t>
      </w:r>
      <w:bookmarkEnd w:id="23"/>
      <w:bookmarkEnd w:id="24"/>
    </w:p>
    <w:p>
      <w:pPr>
        <w:pStyle w:val="Subsection"/>
      </w:pPr>
      <w:r>
        <w:tab/>
      </w:r>
      <w:r>
        <w:tab/>
        <w:t>Delete regulation 18.</w:t>
      </w:r>
    </w:p>
    <w:p>
      <w:pPr>
        <w:pStyle w:val="Heading5"/>
      </w:pPr>
      <w:bookmarkStart w:id="25" w:name="_Toc178244042"/>
      <w:bookmarkStart w:id="26" w:name="_Toc178673433"/>
      <w:r>
        <w:rPr>
          <w:rStyle w:val="CharSectno"/>
        </w:rPr>
        <w:t>11</w:t>
      </w:r>
      <w:r>
        <w:t>.</w:t>
      </w:r>
      <w:r>
        <w:tab/>
        <w:t>Part 7 Division 1 heading inserted</w:t>
      </w:r>
      <w:bookmarkEnd w:id="25"/>
      <w:bookmarkEnd w:id="26"/>
    </w:p>
    <w:p>
      <w:pPr>
        <w:pStyle w:val="Subsection"/>
      </w:pPr>
      <w:r>
        <w:tab/>
      </w:r>
      <w:r>
        <w:tab/>
        <w:t>At the beginning of Part 7 insert:</w:t>
      </w:r>
    </w:p>
    <w:p>
      <w:pPr>
        <w:pStyle w:val="BlankOpen"/>
      </w:pPr>
    </w:p>
    <w:p>
      <w:pPr>
        <w:pStyle w:val="zHeading3"/>
      </w:pPr>
      <w:bookmarkStart w:id="27" w:name="_Toc178244043"/>
      <w:bookmarkStart w:id="28" w:name="_Toc178244148"/>
      <w:bookmarkStart w:id="29" w:name="_Toc178244357"/>
      <w:bookmarkStart w:id="30" w:name="_Toc178673434"/>
      <w:r>
        <w:t>Division 1 — Offences for which infringement notices may be served under Part 5 of Act</w:t>
      </w:r>
      <w:bookmarkEnd w:id="27"/>
      <w:bookmarkEnd w:id="28"/>
      <w:bookmarkEnd w:id="29"/>
      <w:bookmarkEnd w:id="30"/>
    </w:p>
    <w:p>
      <w:pPr>
        <w:pStyle w:val="BlankClose"/>
      </w:pPr>
    </w:p>
    <w:p>
      <w:pPr>
        <w:pStyle w:val="Heading5"/>
      </w:pPr>
      <w:bookmarkStart w:id="31" w:name="_Toc178244044"/>
      <w:bookmarkStart w:id="32" w:name="_Toc178673435"/>
      <w:r>
        <w:rPr>
          <w:rStyle w:val="CharSectno"/>
        </w:rPr>
        <w:t>12</w:t>
      </w:r>
      <w:r>
        <w:t>.</w:t>
      </w:r>
      <w:r>
        <w:tab/>
        <w:t>Regulation 21 amended</w:t>
      </w:r>
      <w:bookmarkEnd w:id="31"/>
      <w:bookmarkEnd w:id="32"/>
    </w:p>
    <w:p>
      <w:pPr>
        <w:pStyle w:val="Subsection"/>
      </w:pPr>
      <w:r>
        <w:tab/>
        <w:t>(1)</w:t>
      </w:r>
      <w:r>
        <w:tab/>
        <w:t>In regulation 21 delete the passage that begins with “An offence” and ends with “of that Act.” and insert:</w:t>
      </w:r>
    </w:p>
    <w:p>
      <w:pPr>
        <w:pStyle w:val="BlankOpen"/>
      </w:pPr>
    </w:p>
    <w:p>
      <w:pPr>
        <w:pStyle w:val="z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zSubsection"/>
      </w:pPr>
      <w:r>
        <w:tab/>
        <w:t>(2)</w:t>
      </w:r>
      <w:r>
        <w:tab/>
        <w:t>The penalty applicable in relation to the offence if the offence is dealt with by infringement notice is the number of PU set out in the Table opposite the offence.</w:t>
      </w:r>
    </w:p>
    <w:p>
      <w:pPr>
        <w:pStyle w:val="BlankClose"/>
      </w:pPr>
    </w:p>
    <w:p>
      <w:pPr>
        <w:pStyle w:val="Subsection"/>
      </w:pPr>
      <w:r>
        <w:tab/>
        <w:t>(2)</w:t>
      </w:r>
      <w:r>
        <w:tab/>
        <w:t>At the end of regulation 21 insert:</w:t>
      </w:r>
    </w:p>
    <w:p>
      <w:pPr>
        <w:pStyle w:val="BlankOpen"/>
      </w:pPr>
    </w:p>
    <w:p>
      <w:pPr>
        <w:pStyle w:val="zPermNoteHeading"/>
      </w:pPr>
      <w:r>
        <w:tab/>
        <w:t>Note for this regulation:</w:t>
      </w:r>
    </w:p>
    <w:p>
      <w:pPr>
        <w:pStyle w:val="zPermNoteText"/>
        <w:keepNext/>
      </w:pPr>
      <w:r>
        <w:tab/>
      </w:r>
      <w:r>
        <w:tab/>
        <w:t xml:space="preserve">An offence under the </w:t>
      </w:r>
      <w:r>
        <w:rPr>
          <w:i/>
          <w:iCs/>
        </w:rPr>
        <w:t>Road Traffic (Administration) Act 2008</w:t>
      </w:r>
      <w:r>
        <w:t xml:space="preserve"> section 97(1) is also an offence in respect of which an </w:t>
      </w:r>
      <w:r>
        <w:lastRenderedPageBreak/>
        <w:t>infringement notice may be served under Part 5 of the Act: see section 98.</w:t>
      </w:r>
    </w:p>
    <w:p>
      <w:pPr>
        <w:pStyle w:val="BlankClose"/>
      </w:pPr>
    </w:p>
    <w:p>
      <w:pPr>
        <w:pStyle w:val="SectAltNote"/>
      </w:pPr>
      <w:r>
        <w:tab/>
        <w:t>Note: The heading to amended regulation 21 is to read:</w:t>
      </w:r>
    </w:p>
    <w:p>
      <w:pPr>
        <w:pStyle w:val="SectAltHeading"/>
        <w:rPr>
          <w:i/>
          <w:iCs/>
        </w:rPr>
      </w:pPr>
      <w:r>
        <w:tab/>
      </w:r>
      <w:r>
        <w:tab/>
        <w:t xml:space="preserve">Prescribed road law offences and modified penalties (s. 95(1)): </w:t>
      </w:r>
      <w:r>
        <w:rPr>
          <w:i/>
          <w:iCs/>
        </w:rPr>
        <w:t>Road Traffic (Administration) Act 2008</w:t>
      </w:r>
    </w:p>
    <w:p>
      <w:pPr>
        <w:pStyle w:val="Heading5"/>
      </w:pPr>
      <w:bookmarkStart w:id="33" w:name="_Toc178244045"/>
      <w:bookmarkStart w:id="34" w:name="_Toc178673436"/>
      <w:r>
        <w:rPr>
          <w:rStyle w:val="CharSectno"/>
        </w:rPr>
        <w:t>13</w:t>
      </w:r>
      <w:r>
        <w:t>.</w:t>
      </w:r>
      <w:r>
        <w:tab/>
        <w:t>Regulation 21A replaced</w:t>
      </w:r>
      <w:bookmarkEnd w:id="33"/>
      <w:bookmarkEnd w:id="34"/>
    </w:p>
    <w:p>
      <w:pPr>
        <w:pStyle w:val="Subsection"/>
      </w:pPr>
      <w:r>
        <w:tab/>
      </w:r>
      <w:r>
        <w:tab/>
        <w:t>Delete regulation 21A and insert:</w:t>
      </w:r>
    </w:p>
    <w:p>
      <w:pPr>
        <w:pStyle w:val="BlankOpen"/>
      </w:pPr>
    </w:p>
    <w:p>
      <w:pPr>
        <w:pStyle w:val="zHeading5"/>
        <w:rPr>
          <w:i/>
          <w:iCs/>
        </w:rPr>
      </w:pPr>
      <w:bookmarkStart w:id="35" w:name="_Toc178244046"/>
      <w:bookmarkStart w:id="36" w:name="_Toc178673437"/>
      <w:r>
        <w:t>21A.</w:t>
      </w:r>
      <w:r>
        <w:tab/>
        <w:t xml:space="preserve">Prescribed road law offences and modified penalties (s. 95(1)): </w:t>
      </w:r>
      <w:r>
        <w:rPr>
          <w:i/>
          <w:iCs/>
        </w:rPr>
        <w:t>Road Traffic (Authorisation to Drive) Act 2008</w:t>
      </w:r>
      <w:bookmarkEnd w:id="35"/>
      <w:bookmarkEnd w:id="36"/>
    </w:p>
    <w:p>
      <w:pPr>
        <w:pStyle w:val="z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zSubsection"/>
      </w:pPr>
      <w:r>
        <w:tab/>
        <w:t>(2)</w:t>
      </w:r>
      <w:r>
        <w:tab/>
        <w:t>The penalty applicable in relation to the offence if the offence is dealt with by infringement notice is 10 PU.</w:t>
      </w:r>
    </w:p>
    <w:p>
      <w:pPr>
        <w:pStyle w:val="BlankClose"/>
      </w:pPr>
    </w:p>
    <w:p>
      <w:pPr>
        <w:pStyle w:val="Heading5"/>
      </w:pPr>
      <w:bookmarkStart w:id="37" w:name="_Toc178244047"/>
      <w:bookmarkStart w:id="38" w:name="_Toc178673438"/>
      <w:r>
        <w:rPr>
          <w:rStyle w:val="CharSectno"/>
        </w:rPr>
        <w:t>14</w:t>
      </w:r>
      <w:r>
        <w:t>.</w:t>
      </w:r>
      <w:r>
        <w:tab/>
        <w:t>Regulation 22 amended</w:t>
      </w:r>
      <w:bookmarkEnd w:id="37"/>
      <w:bookmarkEnd w:id="38"/>
    </w:p>
    <w:p>
      <w:pPr>
        <w:pStyle w:val="Subsection"/>
      </w:pPr>
      <w:r>
        <w:tab/>
        <w:t>(1)</w:t>
      </w:r>
      <w:r>
        <w:tab/>
        <w:t>In regulation 22 delete:</w:t>
      </w:r>
    </w:p>
    <w:p>
      <w:pPr>
        <w:pStyle w:val="DeleteOpen"/>
      </w:pPr>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DeleteClose"/>
      </w:pPr>
    </w:p>
    <w:p>
      <w:pPr>
        <w:pStyle w:val="Subsection"/>
      </w:pPr>
      <w:r>
        <w:tab/>
      </w:r>
      <w:r>
        <w:tab/>
        <w:t>and insert:</w:t>
      </w:r>
    </w:p>
    <w:p>
      <w:pPr>
        <w:pStyle w:val="BlankOpen"/>
      </w:pPr>
    </w:p>
    <w:p>
      <w:pPr>
        <w:pStyle w:val="z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zSubsection"/>
      </w:pPr>
      <w:r>
        <w:tab/>
        <w:t>(2)</w:t>
      </w:r>
      <w:r>
        <w:tab/>
        <w:t>The penalty applicable in relation to the offence if the offence is dealt with by infringement notice is the number of PU set out in the Table opposite the offence.</w:t>
      </w:r>
    </w:p>
    <w:p>
      <w:pPr>
        <w:pStyle w:val="BlankClose"/>
      </w:pPr>
    </w:p>
    <w:p>
      <w:pPr>
        <w:pStyle w:val="Subsection"/>
      </w:pPr>
      <w:r>
        <w:tab/>
        <w:t>(2)</w:t>
      </w:r>
      <w:r>
        <w:tab/>
        <w:t>Delete regulation 22(2).</w:t>
      </w:r>
    </w:p>
    <w:p>
      <w:pPr>
        <w:pStyle w:val="SectAltNote"/>
      </w:pPr>
      <w:r>
        <w:tab/>
        <w:t>Note: The heading to amended regulation 22 is to read:</w:t>
      </w:r>
    </w:p>
    <w:p>
      <w:pPr>
        <w:pStyle w:val="SectAltHeading"/>
        <w:rPr>
          <w:i/>
          <w:iCs/>
        </w:rPr>
      </w:pPr>
      <w:r>
        <w:tab/>
      </w:r>
      <w:r>
        <w:tab/>
        <w:t xml:space="preserve">Prescribed road law offences and modified penalties (s. 95(1)): </w:t>
      </w:r>
      <w:r>
        <w:rPr>
          <w:i/>
          <w:iCs/>
        </w:rPr>
        <w:t>Road Traffic (Vehicles) Act 2012</w:t>
      </w:r>
    </w:p>
    <w:p>
      <w:pPr>
        <w:pStyle w:val="Heading5"/>
      </w:pPr>
      <w:bookmarkStart w:id="39" w:name="_Toc178244048"/>
      <w:bookmarkStart w:id="40" w:name="_Toc178673439"/>
      <w:r>
        <w:rPr>
          <w:rStyle w:val="CharSectno"/>
        </w:rPr>
        <w:t>15</w:t>
      </w:r>
      <w:r>
        <w:t>.</w:t>
      </w:r>
      <w:r>
        <w:tab/>
        <w:t>Regulation 23 amended</w:t>
      </w:r>
      <w:bookmarkEnd w:id="39"/>
      <w:bookmarkEnd w:id="40"/>
    </w:p>
    <w:p>
      <w:pPr>
        <w:pStyle w:val="Subsection"/>
      </w:pPr>
      <w:r>
        <w:tab/>
      </w:r>
      <w:r>
        <w:tab/>
        <w:t>In regulation 23 delete:</w:t>
      </w:r>
    </w:p>
    <w:p>
      <w:pPr>
        <w:pStyle w:val="DeleteOpen"/>
      </w:pPr>
    </w:p>
    <w:p>
      <w:pPr>
        <w:pStyle w:val="Subsection"/>
      </w:pPr>
      <w:r>
        <w:tab/>
        <w:t>(2)</w:t>
      </w:r>
      <w:r>
        <w:tab/>
        <w:t xml:space="preserve">An offence under a provision of the </w:t>
      </w:r>
      <w:r>
        <w:rPr>
          <w:i/>
          <w:iCs/>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iCs/>
        </w:rPr>
        <w:t>Road Traffic (Administration) Act 2008</w:t>
      </w:r>
      <w:r>
        <w:t xml:space="preserve"> Part 5 Division 1.</w:t>
      </w:r>
    </w:p>
    <w:p>
      <w:pPr>
        <w:pStyle w:val="DeleteClose"/>
      </w:pPr>
    </w:p>
    <w:p>
      <w:pPr>
        <w:pStyle w:val="Subsection"/>
      </w:pPr>
      <w:r>
        <w:tab/>
      </w:r>
      <w:r>
        <w:tab/>
        <w:t>and insert:</w:t>
      </w:r>
    </w:p>
    <w:p>
      <w:pPr>
        <w:pStyle w:val="BlankOpen"/>
      </w:pPr>
    </w:p>
    <w:p>
      <w:pPr>
        <w:pStyle w:val="zSubsection"/>
      </w:pPr>
      <w:r>
        <w:tab/>
        <w:t>(2)</w:t>
      </w:r>
      <w:r>
        <w:tab/>
        <w:t xml:space="preserve">An offence under a provision of the </w:t>
      </w:r>
      <w:r>
        <w:rPr>
          <w:i/>
          <w:iCs/>
        </w:rPr>
        <w:t>Road Traffic Act 1974</w:t>
      </w:r>
      <w:r>
        <w:t xml:space="preserve"> set out in the Table to this regulation is an offence in respect of which an infringement notice may be served under Part 5 of the Act.</w:t>
      </w:r>
    </w:p>
    <w:p>
      <w:pPr>
        <w:pStyle w:val="zSubsection"/>
      </w:pPr>
      <w:r>
        <w:lastRenderedPageBreak/>
        <w:tab/>
        <w:t>(3)</w:t>
      </w:r>
      <w:r>
        <w:tab/>
        <w:t>The penalty applicable in relation to the offence if the offence is dealt with by infringement notice is the number of PU set out in the Table opposite the offence.</w:t>
      </w:r>
    </w:p>
    <w:p>
      <w:pPr>
        <w:pStyle w:val="BlankClose"/>
      </w:pPr>
    </w:p>
    <w:p>
      <w:pPr>
        <w:pStyle w:val="SectAltNote"/>
      </w:pPr>
      <w:r>
        <w:tab/>
        <w:t>Note: The heading to amended regulation 23 is to read:</w:t>
      </w:r>
    </w:p>
    <w:p>
      <w:pPr>
        <w:pStyle w:val="SectAltHeading"/>
        <w:rPr>
          <w:i/>
          <w:iCs/>
        </w:rPr>
      </w:pPr>
      <w:r>
        <w:tab/>
      </w:r>
      <w:r>
        <w:tab/>
        <w:t xml:space="preserve">Prescribed road law offences and modified penalties (s. 95(1)): </w:t>
      </w:r>
      <w:r>
        <w:rPr>
          <w:i/>
          <w:iCs/>
        </w:rPr>
        <w:t>Road Traffic Act 1974</w:t>
      </w:r>
    </w:p>
    <w:p>
      <w:pPr>
        <w:pStyle w:val="Heading5"/>
      </w:pPr>
      <w:bookmarkStart w:id="41" w:name="_Toc178244049"/>
      <w:bookmarkStart w:id="42" w:name="_Toc178673440"/>
      <w:r>
        <w:rPr>
          <w:rStyle w:val="CharSectno"/>
        </w:rPr>
        <w:t>16</w:t>
      </w:r>
      <w:r>
        <w:t>.</w:t>
      </w:r>
      <w:r>
        <w:tab/>
        <w:t>Regulation 24 amended</w:t>
      </w:r>
      <w:bookmarkEnd w:id="41"/>
      <w:bookmarkEnd w:id="42"/>
    </w:p>
    <w:p>
      <w:pPr>
        <w:pStyle w:val="Subsection"/>
      </w:pPr>
      <w:r>
        <w:tab/>
        <w:t>(1)</w:t>
      </w:r>
      <w:r>
        <w:tab/>
        <w:t>In regulation 24 delete:</w:t>
      </w:r>
    </w:p>
    <w:p>
      <w:pPr>
        <w:pStyle w:val="DeleteOpen"/>
      </w:pPr>
    </w:p>
    <w:p>
      <w:pPr>
        <w:pStyle w:val="Subsection"/>
      </w:pPr>
      <w:r>
        <w:tab/>
        <w:t>(1)</w:t>
      </w:r>
      <w:r>
        <w:tab/>
        <w:t xml:space="preserve">In this regulation — </w:t>
      </w:r>
    </w:p>
    <w:p>
      <w:pPr>
        <w:pStyle w:val="Defstart"/>
      </w:pPr>
      <w:r>
        <w:tab/>
      </w:r>
      <w:r>
        <w:rPr>
          <w:b/>
          <w:i/>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DeleteClose"/>
      </w:pPr>
    </w:p>
    <w:p>
      <w:pPr>
        <w:pStyle w:val="Subsection"/>
      </w:pPr>
      <w:r>
        <w:tab/>
      </w:r>
      <w:r>
        <w:tab/>
        <w:t>and insert:</w:t>
      </w:r>
    </w:p>
    <w:p>
      <w:pPr>
        <w:pStyle w:val="BlankOpen"/>
      </w:pPr>
    </w:p>
    <w:p>
      <w:pPr>
        <w:pStyle w:val="zSubsection"/>
      </w:pPr>
      <w:r>
        <w:tab/>
        <w:t>(1)</w:t>
      </w:r>
      <w:r>
        <w:tab/>
        <w:t xml:space="preserve">An offence under a provision of a road law set out in the Table to this regulation is an offence in respect of which an infringement notice may be served under Part 5 of the Act if — </w:t>
      </w:r>
    </w:p>
    <w:p>
      <w:pPr>
        <w:pStyle w:val="zIndenta"/>
      </w:pPr>
      <w:r>
        <w:tab/>
        <w:t>(a)</w:t>
      </w:r>
      <w:r>
        <w:tab/>
        <w:t>the road law specifies a modified penalty applicable to the offence; and</w:t>
      </w:r>
    </w:p>
    <w:p>
      <w:pPr>
        <w:pStyle w:val="zIndenta"/>
      </w:pPr>
      <w:r>
        <w:tab/>
        <w:t>(b)</w:t>
      </w:r>
      <w:r>
        <w:tab/>
        <w:t>the offence is not of a kind mentioned in section 95(2)(a) or (b).</w:t>
      </w:r>
    </w:p>
    <w:p>
      <w:pPr>
        <w:pStyle w:val="zSubsection"/>
      </w:pPr>
      <w:r>
        <w:tab/>
        <w:t>(2)</w:t>
      </w:r>
      <w:r>
        <w:tab/>
        <w:t>The penalty applicable in relation to the offence if the offence is dealt with by infringement notice is the modified penalty that the road law specifies is applicable to the offence.</w:t>
      </w:r>
    </w:p>
    <w:p>
      <w:pPr>
        <w:pStyle w:val="BlankClose"/>
      </w:pPr>
    </w:p>
    <w:p>
      <w:pPr>
        <w:pStyle w:val="Subsection"/>
      </w:pPr>
      <w:r>
        <w:tab/>
        <w:t>(2)</w:t>
      </w:r>
      <w:r>
        <w:tab/>
        <w:t>In regulation 24 in the Table delete “</w:t>
      </w:r>
      <w:r>
        <w:rPr>
          <w:b/>
          <w:bCs/>
        </w:rPr>
        <w:t>regulations</w:t>
      </w:r>
      <w:r>
        <w:t>”.</w:t>
      </w:r>
    </w:p>
    <w:p>
      <w:pPr>
        <w:pStyle w:val="Subsection"/>
      </w:pPr>
      <w:r>
        <w:lastRenderedPageBreak/>
        <w:tab/>
        <w:t>(3)</w:t>
      </w:r>
      <w:r>
        <w:tab/>
        <w:t>Delete regulation 24(2) and (3).</w:t>
      </w:r>
    </w:p>
    <w:p>
      <w:pPr>
        <w:pStyle w:val="SectAltNote"/>
      </w:pPr>
      <w:r>
        <w:tab/>
        <w:t>Note: The heading to amended regulation 24 is to read:</w:t>
      </w:r>
    </w:p>
    <w:p>
      <w:pPr>
        <w:pStyle w:val="SectAltHeading"/>
      </w:pPr>
      <w:r>
        <w:tab/>
      </w:r>
      <w:r>
        <w:tab/>
        <w:t>Prescribed road law offences and modified penalties (s. 95(1)): regulations made under road laws</w:t>
      </w:r>
    </w:p>
    <w:p>
      <w:pPr>
        <w:pStyle w:val="Heading5"/>
      </w:pPr>
      <w:bookmarkStart w:id="43" w:name="_Toc178244050"/>
      <w:bookmarkStart w:id="44" w:name="_Toc178673441"/>
      <w:r>
        <w:rPr>
          <w:rStyle w:val="CharSectno"/>
        </w:rPr>
        <w:t>17</w:t>
      </w:r>
      <w:r>
        <w:t>.</w:t>
      </w:r>
      <w:r>
        <w:tab/>
        <w:t>Part 7 Division 2 heading inserted</w:t>
      </w:r>
      <w:bookmarkEnd w:id="43"/>
      <w:bookmarkEnd w:id="44"/>
    </w:p>
    <w:p>
      <w:pPr>
        <w:pStyle w:val="Subsection"/>
      </w:pPr>
      <w:r>
        <w:tab/>
      </w:r>
      <w:r>
        <w:tab/>
        <w:t>After regulation 24 insert:</w:t>
      </w:r>
    </w:p>
    <w:p>
      <w:pPr>
        <w:pStyle w:val="BlankOpen"/>
      </w:pPr>
    </w:p>
    <w:p>
      <w:pPr>
        <w:pStyle w:val="zHeading3"/>
      </w:pPr>
      <w:bookmarkStart w:id="45" w:name="_Toc178244051"/>
      <w:bookmarkStart w:id="46" w:name="_Toc178244156"/>
      <w:bookmarkStart w:id="47" w:name="_Toc178244365"/>
      <w:bookmarkStart w:id="48" w:name="_Toc178673442"/>
      <w:r>
        <w:t>Division 2 — Service of infringement notices by wardens</w:t>
      </w:r>
      <w:bookmarkEnd w:id="45"/>
      <w:bookmarkEnd w:id="46"/>
      <w:bookmarkEnd w:id="47"/>
      <w:bookmarkEnd w:id="48"/>
    </w:p>
    <w:p>
      <w:pPr>
        <w:pStyle w:val="BlankClose"/>
      </w:pPr>
    </w:p>
    <w:p>
      <w:pPr>
        <w:pStyle w:val="Heading5"/>
      </w:pPr>
      <w:bookmarkStart w:id="49" w:name="_Toc178244052"/>
      <w:bookmarkStart w:id="50" w:name="_Toc178673443"/>
      <w:r>
        <w:rPr>
          <w:rStyle w:val="CharSectno"/>
        </w:rPr>
        <w:t>18</w:t>
      </w:r>
      <w:r>
        <w:t>.</w:t>
      </w:r>
      <w:r>
        <w:tab/>
        <w:t>Regulation 25 amended</w:t>
      </w:r>
      <w:bookmarkEnd w:id="49"/>
      <w:bookmarkEnd w:id="50"/>
    </w:p>
    <w:p>
      <w:pPr>
        <w:pStyle w:val="Subsection"/>
      </w:pPr>
      <w:r>
        <w:tab/>
      </w:r>
      <w:r>
        <w:tab/>
        <w:t>In regulation 25:</w:t>
      </w:r>
    </w:p>
    <w:p>
      <w:pPr>
        <w:pStyle w:val="Indenta"/>
      </w:pPr>
      <w:r>
        <w:tab/>
        <w:t>(a)</w:t>
      </w:r>
      <w:r>
        <w:tab/>
        <w:t>delete the passage that begins with “For regulation 12(1)” and ends with “transport warden.” and insert:</w:t>
      </w:r>
    </w:p>
    <w:p>
      <w:pPr>
        <w:pStyle w:val="BlankOpen"/>
      </w:pPr>
    </w:p>
    <w:p>
      <w:pPr>
        <w:pStyle w:val="z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BlankClose"/>
      </w:pPr>
    </w:p>
    <w:p>
      <w:pPr>
        <w:pStyle w:val="Indenta"/>
      </w:pPr>
      <w:r>
        <w:tab/>
        <w:t>(b)</w:t>
      </w:r>
      <w:r>
        <w:tab/>
        <w:t xml:space="preserve">in the Table in the row relating to the </w:t>
      </w:r>
      <w:r>
        <w:rPr>
          <w:i/>
        </w:rPr>
        <w:t>Road Traffic (Authorisation to Drive) Regulations 2014</w:t>
      </w:r>
      <w:r>
        <w:rPr>
          <w:iCs/>
        </w:rPr>
        <w:t xml:space="preserve"> </w:t>
      </w:r>
      <w:r>
        <w:t>delete “r. 63(b)” and insert:</w:t>
      </w:r>
    </w:p>
    <w:p>
      <w:pPr>
        <w:pStyle w:val="BlankOpen"/>
      </w:pPr>
    </w:p>
    <w:p>
      <w:pPr>
        <w:pStyle w:val="Indenta"/>
      </w:pPr>
      <w:r>
        <w:tab/>
      </w:r>
      <w:r>
        <w:tab/>
        <w:t>r. 63</w:t>
      </w:r>
    </w:p>
    <w:p>
      <w:pPr>
        <w:pStyle w:val="BlankClose"/>
      </w:pPr>
    </w:p>
    <w:p>
      <w:pPr>
        <w:pStyle w:val="Heading5"/>
      </w:pPr>
      <w:bookmarkStart w:id="51" w:name="_Toc178244053"/>
      <w:bookmarkStart w:id="52" w:name="_Toc178673444"/>
      <w:r>
        <w:rPr>
          <w:rStyle w:val="CharSectno"/>
        </w:rPr>
        <w:lastRenderedPageBreak/>
        <w:t>19</w:t>
      </w:r>
      <w:r>
        <w:t>.</w:t>
      </w:r>
      <w:r>
        <w:tab/>
        <w:t>Regulation 26 amended</w:t>
      </w:r>
      <w:bookmarkEnd w:id="51"/>
      <w:bookmarkEnd w:id="52"/>
    </w:p>
    <w:p>
      <w:pPr>
        <w:pStyle w:val="Subsection"/>
        <w:keepNext/>
      </w:pPr>
      <w:r>
        <w:tab/>
      </w:r>
      <w:r>
        <w:tab/>
        <w:t>In regulation 26:</w:t>
      </w:r>
    </w:p>
    <w:p>
      <w:pPr>
        <w:pStyle w:val="Indenta"/>
      </w:pPr>
      <w:r>
        <w:tab/>
        <w:t>(a)</w:t>
      </w:r>
      <w:r>
        <w:tab/>
        <w:t>delete the passage that begins with “For regulations 13(1)” and ends with “transport investigation warden.” and insert:</w:t>
      </w:r>
    </w:p>
    <w:p>
      <w:pPr>
        <w:pStyle w:val="BlankOpen"/>
      </w:pPr>
    </w:p>
    <w:p>
      <w:pPr>
        <w:pStyle w:val="zSubsection"/>
      </w:pPr>
      <w:r>
        <w:tab/>
      </w:r>
      <w:r>
        <w:tab/>
        <w:t>For the purposes of regulation 13(1), a prescribed road law offence under a provision of a road law set out in the Table to this regulation is an offence in respect of which an infringement notice (alleged offender) may be served.</w:t>
      </w:r>
    </w:p>
    <w:p>
      <w:pPr>
        <w:pStyle w:val="BlankClose"/>
      </w:pPr>
    </w:p>
    <w:p>
      <w:pPr>
        <w:pStyle w:val="Indenta"/>
      </w:pPr>
      <w:r>
        <w:tab/>
        <w:t>(b)</w:t>
      </w:r>
      <w:r>
        <w:tab/>
        <w:t xml:space="preserve">in the Table in the row relating to the </w:t>
      </w:r>
      <w:r>
        <w:rPr>
          <w:i/>
        </w:rPr>
        <w:t>Road Traffic (Vehicles) Act 2012</w:t>
      </w:r>
      <w:r>
        <w:rPr>
          <w:iCs/>
        </w:rPr>
        <w:t xml:space="preserve"> </w:t>
      </w:r>
      <w:r>
        <w:t>delete “22(1)” and insert:</w:t>
      </w:r>
    </w:p>
    <w:p>
      <w:pPr>
        <w:pStyle w:val="BlankOpen"/>
      </w:pPr>
    </w:p>
    <w:p>
      <w:pPr>
        <w:pStyle w:val="Indenta"/>
      </w:pPr>
      <w:r>
        <w:tab/>
      </w:r>
      <w:r>
        <w:tab/>
        <w:t>22</w:t>
      </w:r>
    </w:p>
    <w:p>
      <w:pPr>
        <w:pStyle w:val="BlankClose"/>
      </w:pPr>
    </w:p>
    <w:p>
      <w:pPr>
        <w:pStyle w:val="Indenta"/>
      </w:pPr>
      <w:r>
        <w:tab/>
        <w:t>(c)</w:t>
      </w:r>
      <w:r>
        <w:tab/>
        <w:t xml:space="preserve">in the Table in the row relating to the </w:t>
      </w:r>
      <w:r>
        <w:rPr>
          <w:i/>
        </w:rPr>
        <w:t>Road Traffic (Authorisation to Drive) Regulations 2014</w:t>
      </w:r>
      <w:r>
        <w:rPr>
          <w:iCs/>
        </w:rPr>
        <w:t xml:space="preserve"> </w:t>
      </w:r>
      <w:r>
        <w:t>delete “r. 63(b)” and insert:</w:t>
      </w:r>
    </w:p>
    <w:p>
      <w:pPr>
        <w:pStyle w:val="BlankOpen"/>
      </w:pPr>
    </w:p>
    <w:p>
      <w:pPr>
        <w:pStyle w:val="Indenta"/>
      </w:pPr>
      <w:r>
        <w:tab/>
      </w:r>
      <w:r>
        <w:tab/>
        <w:t>r. 63</w:t>
      </w:r>
    </w:p>
    <w:p>
      <w:pPr>
        <w:pStyle w:val="BlankClose"/>
      </w:pPr>
    </w:p>
    <w:p>
      <w:pPr>
        <w:pStyle w:val="SectAltNote"/>
      </w:pPr>
      <w:r>
        <w:tab/>
        <w:t>Note: The heading to amended regulation 26 is to read:</w:t>
      </w:r>
    </w:p>
    <w:p>
      <w:pPr>
        <w:pStyle w:val="SectAltHeading"/>
      </w:pPr>
      <w:r>
        <w:tab/>
      </w:r>
      <w:r>
        <w:tab/>
        <w:t>Offences for which infringement notices may be served by transport inspection wardens</w:t>
      </w:r>
    </w:p>
    <w:p>
      <w:pPr>
        <w:pStyle w:val="Heading5"/>
      </w:pPr>
      <w:bookmarkStart w:id="53" w:name="_Toc178244054"/>
      <w:bookmarkStart w:id="54" w:name="_Toc178673445"/>
      <w:r>
        <w:rPr>
          <w:rStyle w:val="CharSectno"/>
        </w:rPr>
        <w:lastRenderedPageBreak/>
        <w:t>20</w:t>
      </w:r>
      <w:r>
        <w:t>.</w:t>
      </w:r>
      <w:r>
        <w:tab/>
        <w:t>Regulation 26A amended</w:t>
      </w:r>
      <w:bookmarkEnd w:id="53"/>
      <w:bookmarkEnd w:id="54"/>
    </w:p>
    <w:p>
      <w:pPr>
        <w:pStyle w:val="Subsection"/>
        <w:keepNext/>
      </w:pPr>
      <w:r>
        <w:tab/>
      </w:r>
      <w:r>
        <w:tab/>
        <w:t>In regulation 26A:</w:t>
      </w:r>
    </w:p>
    <w:p>
      <w:pPr>
        <w:pStyle w:val="Indenta"/>
        <w:keepNext/>
      </w:pPr>
      <w:r>
        <w:tab/>
        <w:t>(a)</w:t>
      </w:r>
      <w:r>
        <w:tab/>
        <w:t>delete the passage that begins with “For regulation 14(1)” and ends with “transport investigation warden.” and insert:</w:t>
      </w:r>
    </w:p>
    <w:p>
      <w:pPr>
        <w:pStyle w:val="BlankOpen"/>
      </w:pPr>
    </w:p>
    <w:p>
      <w:pPr>
        <w:pStyle w:val="z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BlankClose"/>
      </w:pPr>
    </w:p>
    <w:p>
      <w:pPr>
        <w:pStyle w:val="Indenta"/>
      </w:pPr>
      <w:r>
        <w:tab/>
        <w:t>(b)</w:t>
      </w:r>
      <w:r>
        <w:tab/>
        <w:t xml:space="preserve">in the Table in the row relating to the </w:t>
      </w:r>
      <w:r>
        <w:rPr>
          <w:i/>
          <w:iCs/>
        </w:rPr>
        <w:t xml:space="preserve">Road Traffic (Administration) Act 2008 </w:t>
      </w:r>
      <w:r>
        <w:t>delete “s. 61C(4),” and insert:</w:t>
      </w:r>
    </w:p>
    <w:p>
      <w:pPr>
        <w:pStyle w:val="BlankOpen"/>
      </w:pPr>
    </w:p>
    <w:p>
      <w:pPr>
        <w:pStyle w:val="Indenta"/>
      </w:pPr>
      <w:r>
        <w:tab/>
      </w:r>
      <w:r>
        <w:tab/>
        <w:t>s. 33(2), 36(2), 44, 47(4), 61C(4),</w:t>
      </w:r>
    </w:p>
    <w:p>
      <w:pPr>
        <w:pStyle w:val="BlankClose"/>
      </w:pPr>
    </w:p>
    <w:p>
      <w:pPr>
        <w:pStyle w:val="Indenta"/>
      </w:pPr>
      <w:r>
        <w:tab/>
        <w:t>(c)</w:t>
      </w:r>
      <w:r>
        <w:tab/>
        <w:t xml:space="preserve">in the Table after the row relating to the </w:t>
      </w:r>
      <w:r>
        <w:rPr>
          <w:i/>
          <w:iCs/>
        </w:rPr>
        <w:t>Road Traffic (Administration) Act 2008</w:t>
      </w:r>
      <w:r>
        <w:t xml:space="preserve">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zTableNAm"/>
              <w:rPr>
                <w:i/>
                <w:iCs/>
              </w:rPr>
            </w:pPr>
            <w:r>
              <w:rPr>
                <w:i/>
                <w:iCs/>
              </w:rPr>
              <w:t>Road Traffic (Vehicles) Act 2012</w:t>
            </w:r>
          </w:p>
        </w:tc>
        <w:tc>
          <w:tcPr>
            <w:tcW w:w="3034" w:type="dxa"/>
          </w:tcPr>
          <w:p>
            <w:pPr>
              <w:pStyle w:val="zTableNAm"/>
              <w:rPr>
                <w:rStyle w:val="DraftersNotes"/>
                <w:b w:val="0"/>
                <w:i w:val="0"/>
                <w:sz w:val="24"/>
              </w:rPr>
            </w:pPr>
            <w:r>
              <w:t>All the provisions mentioned in the Table to regulation 22</w:t>
            </w:r>
          </w:p>
        </w:tc>
      </w:tr>
      <w:tr>
        <w:tc>
          <w:tcPr>
            <w:tcW w:w="3033" w:type="dxa"/>
          </w:tcPr>
          <w:p>
            <w:pPr>
              <w:pStyle w:val="zTableNAm"/>
              <w:rPr>
                <w:i/>
                <w:iCs/>
              </w:rPr>
            </w:pPr>
            <w:r>
              <w:rPr>
                <w:i/>
                <w:iCs/>
              </w:rPr>
              <w:t>Road Traffic (Authorisation to Drive) Regulations 2014</w:t>
            </w:r>
          </w:p>
        </w:tc>
        <w:tc>
          <w:tcPr>
            <w:tcW w:w="3034" w:type="dxa"/>
          </w:tcPr>
          <w:p>
            <w:pPr>
              <w:pStyle w:val="zTableNAm"/>
              <w:rPr>
                <w:rStyle w:val="DraftersNotes"/>
              </w:rPr>
            </w:pPr>
            <w:r>
              <w:t>r. 63</w:t>
            </w:r>
          </w:p>
        </w:tc>
      </w:tr>
    </w:tbl>
    <w:p>
      <w:pPr>
        <w:pStyle w:val="BlankClose"/>
      </w:pPr>
    </w:p>
    <w:p>
      <w:pPr>
        <w:pStyle w:val="Indenta"/>
      </w:pPr>
      <w:r>
        <w:tab/>
        <w:t>(d)</w:t>
      </w:r>
      <w:r>
        <w:tab/>
        <w:t xml:space="preserve">in the Table after the row relating to the </w:t>
      </w:r>
      <w:r>
        <w:rPr>
          <w:i/>
          <w:iCs/>
        </w:rPr>
        <w:t>Road Traffic (Towing of Vehicles) Regulations 2020</w:t>
      </w:r>
      <w:r>
        <w:t xml:space="preserve">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zTableNAm"/>
              <w:rPr>
                <w:i/>
                <w:iCs/>
              </w:rPr>
            </w:pPr>
            <w:r>
              <w:rPr>
                <w:i/>
                <w:iCs/>
              </w:rPr>
              <w:t>Road Traffic (Vehicles) Regulations 2014</w:t>
            </w:r>
          </w:p>
        </w:tc>
        <w:tc>
          <w:tcPr>
            <w:tcW w:w="3034" w:type="dxa"/>
          </w:tcPr>
          <w:p>
            <w:pPr>
              <w:pStyle w:val="zTableNAm"/>
              <w:rPr>
                <w:rStyle w:val="DraftersNotes"/>
              </w:rPr>
            </w:pPr>
            <w:r>
              <w:t>Pts. 2, 3, 4, 5, 7, 8, 10, 11, 12, 13A, 14 and 16</w:t>
            </w:r>
          </w:p>
        </w:tc>
      </w:tr>
    </w:tbl>
    <w:p>
      <w:pPr>
        <w:pStyle w:val="BlankClose"/>
      </w:pPr>
    </w:p>
    <w:p>
      <w:pPr>
        <w:pStyle w:val="Heading5"/>
      </w:pPr>
      <w:bookmarkStart w:id="55" w:name="_Toc178244055"/>
      <w:bookmarkStart w:id="56" w:name="_Toc178673446"/>
      <w:r>
        <w:rPr>
          <w:rStyle w:val="CharSectno"/>
        </w:rPr>
        <w:lastRenderedPageBreak/>
        <w:t>21</w:t>
      </w:r>
      <w:r>
        <w:t>.</w:t>
      </w:r>
      <w:r>
        <w:tab/>
        <w:t>Part 7 Division 3 inserted</w:t>
      </w:r>
      <w:bookmarkEnd w:id="55"/>
      <w:bookmarkEnd w:id="56"/>
    </w:p>
    <w:p>
      <w:pPr>
        <w:pStyle w:val="Subsection"/>
      </w:pPr>
      <w:r>
        <w:tab/>
      </w:r>
      <w:r>
        <w:tab/>
        <w:t>After regulation 26A insert:</w:t>
      </w:r>
    </w:p>
    <w:p>
      <w:pPr>
        <w:pStyle w:val="BlankOpen"/>
      </w:pPr>
    </w:p>
    <w:p>
      <w:pPr>
        <w:pStyle w:val="zHeading3"/>
      </w:pPr>
      <w:bookmarkStart w:id="57" w:name="_Toc178244056"/>
      <w:bookmarkStart w:id="58" w:name="_Toc178244161"/>
      <w:bookmarkStart w:id="59" w:name="_Toc178244370"/>
      <w:bookmarkStart w:id="60" w:name="_Toc178673447"/>
      <w:r>
        <w:t>Division 3 — Miscellaneous</w:t>
      </w:r>
      <w:bookmarkEnd w:id="57"/>
      <w:bookmarkEnd w:id="58"/>
      <w:bookmarkEnd w:id="59"/>
      <w:bookmarkEnd w:id="60"/>
    </w:p>
    <w:p>
      <w:pPr>
        <w:pStyle w:val="zHeading5"/>
      </w:pPr>
      <w:bookmarkStart w:id="61" w:name="_Toc178244057"/>
      <w:bookmarkStart w:id="62" w:name="_Toc178673448"/>
      <w:r>
        <w:t>26B.</w:t>
      </w:r>
      <w:r>
        <w:tab/>
        <w:t>Public transport offences</w:t>
      </w:r>
      <w:bookmarkEnd w:id="61"/>
      <w:bookmarkEnd w:id="62"/>
    </w:p>
    <w:p>
      <w:pPr>
        <w:pStyle w:val="z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zHeading5"/>
      </w:pPr>
      <w:bookmarkStart w:id="63" w:name="_Toc178244058"/>
      <w:bookmarkStart w:id="64" w:name="_Toc178673449"/>
      <w:r>
        <w:t>26C.</w:t>
      </w:r>
      <w:r>
        <w:tab/>
        <w:t>Police officers who are withdrawing officers</w:t>
      </w:r>
      <w:bookmarkEnd w:id="63"/>
      <w:bookmarkEnd w:id="64"/>
    </w:p>
    <w:p>
      <w:pPr>
        <w:pStyle w:val="zSubsection"/>
      </w:pPr>
      <w:r>
        <w:tab/>
      </w:r>
      <w:r>
        <w:tab/>
        <w:t xml:space="preserve">For the purposes of paragraph (a) of the definition of </w:t>
      </w:r>
      <w:r>
        <w:rPr>
          <w:b/>
          <w:i/>
        </w:rPr>
        <w:t>withdrawing officer</w:t>
      </w:r>
      <w:r>
        <w:t xml:space="preserve"> in section 79, the police officers are officers who are of, or are acting at, the rank of inspector or above.</w:t>
      </w:r>
    </w:p>
    <w:p>
      <w:pPr>
        <w:pStyle w:val="zHeading5"/>
      </w:pPr>
      <w:bookmarkStart w:id="65" w:name="_Toc178244059"/>
      <w:bookmarkStart w:id="66" w:name="_Toc178673450"/>
      <w:r>
        <w:t>26D.</w:t>
      </w:r>
      <w:r>
        <w:tab/>
        <w:t>Payment of infringement notices by instalment</w:t>
      </w:r>
      <w:bookmarkEnd w:id="65"/>
      <w:bookmarkEnd w:id="66"/>
    </w:p>
    <w:p>
      <w:pPr>
        <w:pStyle w:val="zSubsection"/>
      </w:pPr>
      <w:r>
        <w:tab/>
        <w:t>(1)</w:t>
      </w:r>
      <w:r>
        <w:tab/>
        <w:t xml:space="preserve">For the purposes of section 95(4)(a), the number of instalments by which a modified penalty can be paid is — </w:t>
      </w:r>
    </w:p>
    <w:p>
      <w:pPr>
        <w:pStyle w:val="zIndenta"/>
      </w:pPr>
      <w:r>
        <w:tab/>
        <w:t>(a)</w:t>
      </w:r>
      <w:r>
        <w:tab/>
        <w:t>if the amount of the modified penalty is less than or equal to 8 PU — 4 instalments; or</w:t>
      </w:r>
    </w:p>
    <w:p>
      <w:pPr>
        <w:pStyle w:val="zIndenta"/>
      </w:pPr>
      <w:r>
        <w:tab/>
        <w:t>(b)</w:t>
      </w:r>
      <w:r>
        <w:tab/>
        <w:t>if the amount of the modified penalty is greater than 8 PU but less than or equal to 20 PU — 6 instalments; or</w:t>
      </w:r>
    </w:p>
    <w:p>
      <w:pPr>
        <w:pStyle w:val="zIndenta"/>
      </w:pPr>
      <w:r>
        <w:tab/>
        <w:t>(c)</w:t>
      </w:r>
      <w:r>
        <w:tab/>
        <w:t>if the amount of the modified penalty is greater than 20 PU — 10 instalments.</w:t>
      </w:r>
    </w:p>
    <w:p>
      <w:pPr>
        <w:pStyle w:val="zSubsection"/>
      </w:pPr>
      <w:r>
        <w:tab/>
        <w:t>(2)</w:t>
      </w:r>
      <w:r>
        <w:tab/>
        <w:t>For the purposes of section 95(4)(b), an equal or nearly equal amount is to be paid for each instalment.</w:t>
      </w:r>
    </w:p>
    <w:p>
      <w:pPr>
        <w:pStyle w:val="zSubsection"/>
      </w:pPr>
      <w:r>
        <w:tab/>
        <w:t>(3)</w:t>
      </w:r>
      <w:r>
        <w:tab/>
        <w:t xml:space="preserve">For the purposes of section 95(4)(c), an instalment (other than the first instalment) must be paid no later </w:t>
      </w:r>
      <w:r>
        <w:lastRenderedPageBreak/>
        <w:t>than 28 days after the day on which the previous instalment was required to be paid.</w:t>
      </w:r>
    </w:p>
    <w:p>
      <w:pPr>
        <w:pStyle w:val="BlankClose"/>
      </w:pPr>
    </w:p>
    <w:p>
      <w:pPr>
        <w:pStyle w:val="Heading5"/>
      </w:pPr>
      <w:bookmarkStart w:id="67" w:name="_Toc178244060"/>
      <w:bookmarkStart w:id="68" w:name="_Toc178673451"/>
      <w:r>
        <w:rPr>
          <w:rStyle w:val="CharSectno"/>
        </w:rPr>
        <w:t>22</w:t>
      </w:r>
      <w:r>
        <w:t>.</w:t>
      </w:r>
      <w:r>
        <w:tab/>
        <w:t>Regulations 27 to 29 deleted</w:t>
      </w:r>
      <w:bookmarkEnd w:id="67"/>
      <w:bookmarkEnd w:id="68"/>
    </w:p>
    <w:p>
      <w:pPr>
        <w:pStyle w:val="Subsection"/>
      </w:pPr>
      <w:r>
        <w:tab/>
      </w:r>
      <w:r>
        <w:tab/>
        <w:t>Delete regulations 27 to 29.</w:t>
      </w:r>
    </w:p>
    <w:p>
      <w:pPr>
        <w:pStyle w:val="Heading5"/>
      </w:pPr>
      <w:bookmarkStart w:id="69" w:name="_Toc178244061"/>
      <w:bookmarkStart w:id="70" w:name="_Toc178673452"/>
      <w:r>
        <w:rPr>
          <w:rStyle w:val="CharSectno"/>
        </w:rPr>
        <w:t>23</w:t>
      </w:r>
      <w:r>
        <w:t>.</w:t>
      </w:r>
      <w:r>
        <w:tab/>
        <w:t>Regulation 31AA inserted</w:t>
      </w:r>
      <w:bookmarkEnd w:id="69"/>
      <w:bookmarkEnd w:id="70"/>
    </w:p>
    <w:p>
      <w:pPr>
        <w:pStyle w:val="Subsection"/>
      </w:pPr>
      <w:r>
        <w:tab/>
      </w:r>
      <w:r>
        <w:tab/>
        <w:t>After regulation 31 insert:</w:t>
      </w:r>
    </w:p>
    <w:p>
      <w:pPr>
        <w:pStyle w:val="BlankOpen"/>
      </w:pPr>
    </w:p>
    <w:p>
      <w:pPr>
        <w:pStyle w:val="zHeading5"/>
      </w:pPr>
      <w:bookmarkStart w:id="71" w:name="_Toc178244062"/>
      <w:bookmarkStart w:id="72" w:name="_Toc178673453"/>
      <w:r>
        <w:t>31AA.</w:t>
      </w:r>
      <w:r>
        <w:tab/>
        <w:t>Acts and omissions ascertained by visual detection equipment (s. 117(2)(d)(i))</w:t>
      </w:r>
      <w:bookmarkEnd w:id="71"/>
      <w:bookmarkEnd w:id="72"/>
    </w:p>
    <w:p>
      <w:pPr>
        <w:pStyle w:val="zSubsection"/>
      </w:pPr>
      <w:r>
        <w:tab/>
        <w:t>(1)</w:t>
      </w:r>
      <w:r>
        <w:tab/>
        <w:t xml:space="preserve">A term used in this regulation has the same meaning as it has in the </w:t>
      </w:r>
      <w:r>
        <w:rPr>
          <w:i/>
          <w:iCs/>
        </w:rPr>
        <w:t>Road Traffic Code 2000</w:t>
      </w:r>
      <w:r>
        <w:t>.</w:t>
      </w:r>
    </w:p>
    <w:p>
      <w:pPr>
        <w:pStyle w:val="zSubsection"/>
      </w:pPr>
      <w:r>
        <w:tab/>
        <w:t>(2)</w:t>
      </w:r>
      <w:r>
        <w:tab/>
        <w:t xml:space="preserve">For the purposes of section 117(2)(d)(i) of the Act — </w:t>
      </w:r>
    </w:p>
    <w:p>
      <w:pPr>
        <w:pStyle w:val="zIndenta"/>
      </w:pPr>
      <w:r>
        <w:tab/>
        <w:t>(a)</w:t>
      </w:r>
      <w:r>
        <w:tab/>
        <w:t xml:space="preserve">the acts are the following — </w:t>
      </w:r>
    </w:p>
    <w:p>
      <w:pPr>
        <w:pStyle w:val="zIndenti"/>
      </w:pPr>
      <w:r>
        <w:tab/>
        <w:t>(i)</w:t>
      </w:r>
      <w:r>
        <w:tab/>
        <w:t>a driver of a vehicle using a mobile phone while the vehicle is moving or is stationary but not parked;</w:t>
      </w:r>
    </w:p>
    <w:p>
      <w:pPr>
        <w:pStyle w:val="zIndenti"/>
      </w:pPr>
      <w:r>
        <w:tab/>
        <w:t>(ii)</w:t>
      </w:r>
      <w:r>
        <w:tab/>
        <w:t>a vehicle proceeding beyond a stop line when a traffic</w:t>
      </w:r>
      <w:r>
        <w:noBreakHyphen/>
        <w:t>control signal facing the driver of the vehicle displays a circular red signal;</w:t>
      </w:r>
    </w:p>
    <w:p>
      <w:pPr>
        <w:pStyle w:val="zIndenti"/>
      </w:pPr>
      <w:r>
        <w:tab/>
        <w:t>(iii)</w:t>
      </w:r>
      <w:r>
        <w:tab/>
        <w:t>a vehicle proceeding beyond a stop line and turning in the direction indicated by a red arrow signal displayed by a traffic</w:t>
      </w:r>
      <w:r>
        <w:noBreakHyphen/>
        <w:t>control signal facing the driver of the vehicle;</w:t>
      </w:r>
    </w:p>
    <w:p>
      <w:pPr>
        <w:pStyle w:val="zIndenti"/>
      </w:pPr>
      <w:r>
        <w:tab/>
        <w:t>(iv)</w:t>
      </w:r>
      <w:r>
        <w:tab/>
        <w:t>driving a vehicle in a red X lane;</w:t>
      </w:r>
    </w:p>
    <w:p>
      <w:pPr>
        <w:pStyle w:val="zIndenti"/>
      </w:pPr>
      <w:r>
        <w:tab/>
        <w:t>(v)</w:t>
      </w:r>
      <w:r>
        <w:tab/>
        <w:t>driving a vehicle along or into a bus lane or busway;</w:t>
      </w:r>
    </w:p>
    <w:p>
      <w:pPr>
        <w:pStyle w:val="zIndenti"/>
      </w:pPr>
      <w:r>
        <w:tab/>
        <w:t>(vi)</w:t>
      </w:r>
      <w:r>
        <w:tab/>
        <w:t>stopping a vehicle in a bus lane;</w:t>
      </w:r>
    </w:p>
    <w:p>
      <w:pPr>
        <w:pStyle w:val="zIndenta"/>
      </w:pPr>
      <w:r>
        <w:lastRenderedPageBreak/>
        <w:tab/>
      </w:r>
      <w:r>
        <w:tab/>
        <w:t>and</w:t>
      </w:r>
    </w:p>
    <w:p>
      <w:pPr>
        <w:pStyle w:val="zIndenta"/>
      </w:pPr>
      <w:r>
        <w:tab/>
        <w:t>(b)</w:t>
      </w:r>
      <w:r>
        <w:tab/>
        <w:t>the omission is a driver or passenger of a vehicle failing to wear a seatbelt properly adjusted and securely fastened while the vehicle is moving or is stationary but not parked.</w:t>
      </w:r>
    </w:p>
    <w:p>
      <w:pPr>
        <w:pStyle w:val="BlankClose"/>
      </w:pPr>
    </w:p>
    <w:p>
      <w:pPr>
        <w:pStyle w:val="Heading5"/>
      </w:pPr>
      <w:bookmarkStart w:id="73" w:name="_Toc178244063"/>
      <w:bookmarkStart w:id="74" w:name="_Toc178673454"/>
      <w:r>
        <w:rPr>
          <w:rStyle w:val="CharSectno"/>
        </w:rPr>
        <w:t>24</w:t>
      </w:r>
      <w:r>
        <w:t>.</w:t>
      </w:r>
      <w:r>
        <w:tab/>
        <w:t>Parts 11 and 12 inserted</w:t>
      </w:r>
      <w:bookmarkEnd w:id="73"/>
      <w:bookmarkEnd w:id="74"/>
    </w:p>
    <w:p>
      <w:pPr>
        <w:pStyle w:val="Subsection"/>
      </w:pPr>
      <w:r>
        <w:tab/>
      </w:r>
      <w:r>
        <w:tab/>
        <w:t>After regulation 35 insert:</w:t>
      </w:r>
    </w:p>
    <w:p>
      <w:pPr>
        <w:pStyle w:val="BlankOpen"/>
      </w:pPr>
    </w:p>
    <w:p>
      <w:pPr>
        <w:pStyle w:val="zHeading2"/>
      </w:pPr>
      <w:bookmarkStart w:id="75" w:name="_Toc178244064"/>
      <w:bookmarkStart w:id="76" w:name="_Toc178244169"/>
      <w:bookmarkStart w:id="77" w:name="_Toc178244378"/>
      <w:bookmarkStart w:id="78" w:name="_Toc178673455"/>
      <w:r>
        <w:rPr>
          <w:rStyle w:val="CharPartNo"/>
        </w:rPr>
        <w:t>Part 11</w:t>
      </w:r>
      <w:r>
        <w:rPr>
          <w:rStyle w:val="CharDivNo"/>
        </w:rPr>
        <w:t> </w:t>
      </w:r>
      <w:r>
        <w:t>—</w:t>
      </w:r>
      <w:r>
        <w:rPr>
          <w:rStyle w:val="CharDivText"/>
        </w:rPr>
        <w:t> </w:t>
      </w:r>
      <w:r>
        <w:rPr>
          <w:rStyle w:val="CharPartText"/>
        </w:rPr>
        <w:t>Service</w:t>
      </w:r>
      <w:bookmarkEnd w:id="75"/>
      <w:bookmarkEnd w:id="76"/>
      <w:bookmarkEnd w:id="77"/>
      <w:bookmarkEnd w:id="78"/>
    </w:p>
    <w:p>
      <w:pPr>
        <w:pStyle w:val="zHeading5"/>
      </w:pPr>
      <w:bookmarkStart w:id="79" w:name="_Toc178244065"/>
      <w:bookmarkStart w:id="80" w:name="_Toc178673456"/>
      <w:r>
        <w:t>36.</w:t>
      </w:r>
      <w:r>
        <w:tab/>
        <w:t>Service of Part 5 documents (s. 100)</w:t>
      </w:r>
      <w:bookmarkEnd w:id="79"/>
      <w:bookmarkEnd w:id="80"/>
    </w:p>
    <w:p>
      <w:pPr>
        <w:pStyle w:val="zSubsection"/>
      </w:pPr>
      <w:r>
        <w:tab/>
        <w:t>(1)</w:t>
      </w:r>
      <w:r>
        <w:tab/>
        <w:t>Consent to being served Part 5 documents by particular electronic means must be obtained in writing.</w:t>
      </w:r>
    </w:p>
    <w:p>
      <w:pPr>
        <w:pStyle w:val="z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zSubsection"/>
      </w:pPr>
      <w:r>
        <w:tab/>
        <w:t>(3)</w:t>
      </w:r>
      <w:r>
        <w:tab/>
        <w:t>A Part 5 document served by email is taken to have been served on the day on which the email is sent.</w:t>
      </w:r>
    </w:p>
    <w:p>
      <w:pPr>
        <w:pStyle w:val="zHeading5"/>
      </w:pPr>
      <w:bookmarkStart w:id="81" w:name="_Toc178244066"/>
      <w:bookmarkStart w:id="82" w:name="_Toc178673457"/>
      <w:r>
        <w:t>37.</w:t>
      </w:r>
      <w:r>
        <w:tab/>
        <w:t>Giving other records by electronic means (s. 143(3)(c))</w:t>
      </w:r>
      <w:bookmarkEnd w:id="81"/>
      <w:bookmarkEnd w:id="82"/>
    </w:p>
    <w:p>
      <w:pPr>
        <w:pStyle w:val="z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zSubsection"/>
      </w:pPr>
      <w:r>
        <w:lastRenderedPageBreak/>
        <w:tab/>
        <w:t>(2)</w:t>
      </w:r>
      <w:r>
        <w:tab/>
        <w:t>A record (other than a Part 5 document) sent by email is taken to have been given on the day on which the email is sent.</w:t>
      </w:r>
    </w:p>
    <w:p>
      <w:pPr>
        <w:pStyle w:val="zHeading2"/>
      </w:pPr>
      <w:bookmarkStart w:id="83" w:name="_Toc178244067"/>
      <w:bookmarkStart w:id="84" w:name="_Toc178244172"/>
      <w:bookmarkStart w:id="85" w:name="_Toc178244381"/>
      <w:bookmarkStart w:id="86" w:name="_Toc178673458"/>
      <w:r>
        <w:rPr>
          <w:rStyle w:val="CharPartNo"/>
        </w:rPr>
        <w:t>Part 12</w:t>
      </w:r>
      <w:r>
        <w:rPr>
          <w:rStyle w:val="CharDivNo"/>
        </w:rPr>
        <w:t> </w:t>
      </w:r>
      <w:r>
        <w:t>—</w:t>
      </w:r>
      <w:r>
        <w:rPr>
          <w:rStyle w:val="CharDivText"/>
        </w:rPr>
        <w:t> </w:t>
      </w:r>
      <w:r>
        <w:rPr>
          <w:rStyle w:val="CharPartText"/>
        </w:rPr>
        <w:t xml:space="preserve">Transitional provision for </w:t>
      </w:r>
      <w:r>
        <w:rPr>
          <w:i/>
        </w:rPr>
        <w:t>Road Traffic (Administration) Amendment Regulations 2024</w:t>
      </w:r>
      <w:bookmarkEnd w:id="83"/>
      <w:bookmarkEnd w:id="84"/>
      <w:bookmarkEnd w:id="85"/>
      <w:bookmarkEnd w:id="86"/>
    </w:p>
    <w:p>
      <w:pPr>
        <w:pStyle w:val="zHeading5"/>
      </w:pPr>
      <w:bookmarkStart w:id="87" w:name="_Toc178244068"/>
      <w:bookmarkStart w:id="88" w:name="_Toc178673459"/>
      <w:r>
        <w:t>38.</w:t>
      </w:r>
      <w:r>
        <w:tab/>
        <w:t>Existing wardens</w:t>
      </w:r>
      <w:bookmarkEnd w:id="87"/>
      <w:bookmarkEnd w:id="88"/>
    </w:p>
    <w:p>
      <w:pPr>
        <w:pStyle w:val="zSubsection"/>
      </w:pPr>
      <w:r>
        <w:tab/>
        <w:t>(1)</w:t>
      </w:r>
      <w:r>
        <w:tab/>
        <w:t xml:space="preserve">In this regulation — </w:t>
      </w:r>
    </w:p>
    <w:p>
      <w:pPr>
        <w:pStyle w:val="zDefstart"/>
        <w:rPr>
          <w:iCs/>
        </w:rPr>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zDefstart"/>
      </w:pPr>
      <w:r>
        <w:tab/>
      </w:r>
      <w:r>
        <w:rPr>
          <w:rStyle w:val="CharDefText"/>
        </w:rPr>
        <w:t>existing warden</w:t>
      </w:r>
      <w:r>
        <w:t xml:space="preserve"> means a person who, immediately before commencement day, is authorised by the CEO under section 22 to perform a function.</w:t>
      </w:r>
    </w:p>
    <w:p>
      <w:pPr>
        <w:pStyle w:val="z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zSubsection"/>
      </w:pPr>
      <w:r>
        <w:tab/>
        <w:t>(3)</w:t>
      </w:r>
      <w:r>
        <w:tab/>
        <w:t>For section 24(1)(b), in a provision relating to a function that an existing warden is authorised by the CEO under section 22 to perform a reference to a police officer is to be read as including the warden.</w:t>
      </w:r>
    </w:p>
    <w:p>
      <w:pPr>
        <w:pStyle w:val="BlankClose"/>
      </w:pPr>
    </w:p>
    <w:p>
      <w:pPr>
        <w:pStyle w:val="Heading5"/>
      </w:pPr>
      <w:bookmarkStart w:id="89" w:name="_Toc178244069"/>
      <w:bookmarkStart w:id="90" w:name="_Toc178673460"/>
      <w:r>
        <w:rPr>
          <w:rStyle w:val="CharSectno"/>
        </w:rPr>
        <w:t>25</w:t>
      </w:r>
      <w:r>
        <w:t>.</w:t>
      </w:r>
      <w:r>
        <w:tab/>
        <w:t>Schedule 2 deleted</w:t>
      </w:r>
      <w:bookmarkEnd w:id="89"/>
      <w:bookmarkEnd w:id="90"/>
    </w:p>
    <w:p>
      <w:pPr>
        <w:pStyle w:val="Subsection"/>
      </w:pPr>
      <w:r>
        <w:tab/>
      </w:r>
      <w:r>
        <w:tab/>
        <w:t>Delete Schedule 2.</w:t>
      </w:r>
    </w:p>
    <w:p>
      <w:pPr>
        <w:pStyle w:val="ByCommand"/>
        <w:keepNext/>
      </w:pPr>
    </w:p>
    <w:p>
      <w:pPr>
        <w:pStyle w:val="ByCommand"/>
        <w:keepNex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CE22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FED8665" w14:textId="7713F59D" w:rsidR="00BF6D3F" w:rsidRDefault="00BF6D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B7BDA">
                        <w:rPr>
                          <w:sz w:val="16"/>
                        </w:rPr>
                        <w:t>2024</w:t>
                      </w:r>
                      <w:r>
                        <w:rPr>
                          <w:sz w:val="16"/>
                        </w:rPr>
                        <w:fldChar w:fldCharType="end"/>
                      </w:r>
                      <w:r>
                        <w:rPr>
                          <w:sz w:val="16"/>
                        </w:rPr>
                        <w:t>.</w:t>
                      </w:r>
                    </w:p>
                    <w:p w14:paraId="46498D15" w14:textId="77777777" w:rsidR="00BF6D3F" w:rsidRDefault="00BF6D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B647E8" w14:textId="3DC0579F" w:rsidR="00BF6D3F" w:rsidRDefault="00BF6D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B7BDA">
                        <w:rPr>
                          <w:sz w:val="16"/>
                        </w:rPr>
                        <w:t>2024</w:t>
                      </w:r>
                      <w:r>
                        <w:rPr>
                          <w:sz w:val="16"/>
                        </w:rPr>
                        <w:fldChar w:fldCharType="end"/>
                      </w:r>
                      <w:r>
                        <w:rPr>
                          <w:sz w:val="16"/>
                        </w:rPr>
                        <w:t>.</w:t>
                      </w:r>
                    </w:p>
                    <w:p w14:paraId="01F14AA1" w14:textId="77777777" w:rsidR="00BF6D3F" w:rsidRDefault="00BF6D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Oct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Road Traffic (Administration)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5F56918"/>
    <w:multiLevelType w:val="hybridMultilevel"/>
    <w:tmpl w:val="B640454A"/>
    <w:lvl w:ilvl="0" w:tplc="6D54A1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4"/>
  </w:num>
  <w:num w:numId="4">
    <w:abstractNumId w:val="19"/>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611531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21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1125150_GUID" w:val="93dddd59-759d-499a-957f-246fddd97432"/>
    <w:docVar w:name="WAFER_20240905091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5091521_GUID" w:val="47bdbff3-d767-4de1-b2f6-cbb17e101aa9"/>
    <w:docVar w:name="WAFER_20240926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26115312_GUID" w:val="619a966e-2415-4bc3-aa62-fe86cb2c8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F21D6FA0-3278-42EA-A790-614CABAA3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3301</Words>
  <Characters>16179</Characters>
  <Application>Microsoft Office Word</Application>
  <DocSecurity>0</DocSecurity>
  <Lines>599</Lines>
  <Paragraphs>330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Amendment Regulations 2024 - 00-00-00</dc:title>
  <dc:subject/>
  <dc:creator/>
  <cp:keywords/>
  <dc:description/>
  <cp:lastModifiedBy>Master Repository Process</cp:lastModifiedBy>
  <cp:revision>4</cp:revision>
  <cp:lastPrinted>2024-09-04T04:52:00Z</cp:lastPrinted>
  <dcterms:created xsi:type="dcterms:W3CDTF">2025-07-02T04:28:00Z</dcterms:created>
  <dcterms:modified xsi:type="dcterms:W3CDTF">2025-07-02T04:28:00Z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54827</vt:lpwstr>
  </property>
  <property fmtid="{D5CDD505-2E9C-101B-9397-08002B2CF9AE}" pid="3" name="DocumentType">
    <vt:lpwstr>Reg</vt:lpwstr>
  </property>
  <property fmtid="{D5CDD505-2E9C-101B-9397-08002B2CF9AE}" pid="4" name="AsAtDate">
    <vt:lpwstr>02 Oct 2024</vt:lpwstr>
  </property>
  <property fmtid="{D5CDD505-2E9C-101B-9397-08002B2CF9AE}" pid="5" name="Suffix">
    <vt:lpwstr>00-00-00</vt:lpwstr>
  </property>
  <property fmtid="{D5CDD505-2E9C-101B-9397-08002B2CF9AE}" pid="6" name="Official">
    <vt:lpwstr/>
  </property>
  <property fmtid="{D5CDD505-2E9C-101B-9397-08002B2CF9AE}" pid="7" name="SLAPId">
    <vt:lpwstr>2024/201</vt:lpwstr>
  </property>
  <property fmtid="{D5CDD505-2E9C-101B-9397-08002B2CF9AE}" pid="8" name="PublishDate">
    <vt:lpwstr>2 Oct 2024</vt:lpwstr>
  </property>
  <property fmtid="{D5CDD505-2E9C-101B-9397-08002B2CF9AE}" pid="9" name="CommencementDate">
    <vt:lpwstr>20241002</vt:lpwstr>
  </property>
  <property fmtid="{D5CDD505-2E9C-101B-9397-08002B2CF9AE}" pid="10" name="CommencementAsAt">
    <vt:filetime>2024-10-01T16:00:00Z</vt:filetime>
  </property>
  <property fmtid="{D5CDD505-2E9C-101B-9397-08002B2CF9AE}" pid="11" name="CommencementYear">
    <vt:lpwstr>2024</vt:lpwstr>
  </property>
</Properties>
</file>