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_Toc178341710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_Toc178341711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_Toc178341712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_Toc178341713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_Toc178341714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_Toc178341715 \h </w:instrText>
      </w:r>
      <w:r>
        <w:fldChar w:fldCharType="separate"/>
      </w:r>
      <w:r>
        <w:t>3</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_Toc178341716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_Toc178341717 \h </w:instrText>
      </w:r>
      <w:r>
        <w:fldChar w:fldCharType="separate"/>
      </w:r>
      <w:r>
        <w:t>6</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_Toc178341718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_Toc178341719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_Toc178341720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_Toc178341721 \h </w:instrText>
      </w:r>
      <w:r>
        <w:fldChar w:fldCharType="separate"/>
      </w:r>
      <w:r>
        <w:t>8</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_Toc178341722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_Toc178341723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_Toc178341724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_Toc178341725 \h </w:instrText>
      </w:r>
      <w:r>
        <w:fldChar w:fldCharType="separate"/>
      </w:r>
      <w:r>
        <w:t>10</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_Toc178341726 \h </w:instrText>
      </w:r>
      <w:r>
        <w:fldChar w:fldCharType="separate"/>
      </w:r>
      <w:r>
        <w:t>11</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Road Traffic Legislation Amendment (Infringement Management Reform) Act 2024</w:t>
      </w:r>
      <w:r>
        <w:tab/>
      </w:r>
      <w:r>
        <w:fldChar w:fldCharType="begin"/>
      </w:r>
      <w:r>
        <w:instrText xml:space="preserve"> PAGEREF _Toc178341727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_Toc178341729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_Toc178341730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1</w:t>
      </w:r>
      <w:r>
        <w:t>.</w:t>
      </w:r>
    </w:p>
    <w:p>
      <w:pPr>
        <w:pStyle w:val="Heading5"/>
        <w:spacing w:before="480"/>
        <w:rPr>
          <w:snapToGrid w:val="0"/>
        </w:rPr>
      </w:pPr>
      <w:bookmarkStart w:id="2" w:name="_Toc17834171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keepNext w:val="0"/>
        <w:keepLines w:val="0"/>
        <w:rPr>
          <w:snapToGrid w:val="0"/>
        </w:rPr>
      </w:pPr>
      <w:bookmarkStart w:id="3" w:name="_Toc178341711"/>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4" w:name="_Toc178341712"/>
      <w:r>
        <w:rPr>
          <w:rStyle w:val="CharSectno"/>
        </w:rPr>
        <w:t>3</w:t>
      </w:r>
      <w:r>
        <w:t>.</w:t>
      </w:r>
      <w:r>
        <w:tab/>
        <w:t>Terms used</w:t>
      </w:r>
      <w:bookmarkEnd w:id="4"/>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lastRenderedPageBreak/>
        <w:tab/>
        <w:t>[Section 3 amended: No. 77 of 2006 Sch. 1 cl. 151(1); No. 8 of 2012 s. 171.]</w:t>
      </w:r>
    </w:p>
    <w:p>
      <w:pPr>
        <w:pStyle w:val="Heading5"/>
      </w:pPr>
      <w:bookmarkStart w:id="5" w:name="_Toc178341713"/>
      <w:r>
        <w:rPr>
          <w:rStyle w:val="CharSectno"/>
        </w:rPr>
        <w:t>4</w:t>
      </w:r>
      <w:r>
        <w:t>.</w:t>
      </w:r>
      <w:r>
        <w:tab/>
        <w:t>Establishment</w:t>
      </w:r>
      <w:bookmarkEnd w:id="5"/>
    </w:p>
    <w:p>
      <w:pPr>
        <w:pStyle w:val="Subsection"/>
      </w:pPr>
      <w:r>
        <w:tab/>
      </w:r>
      <w:r>
        <w:tab/>
        <w:t>There is to be a body called the Road Safety Council.</w:t>
      </w:r>
    </w:p>
    <w:p>
      <w:pPr>
        <w:pStyle w:val="Heading5"/>
      </w:pPr>
      <w:bookmarkStart w:id="6" w:name="_Toc178341714"/>
      <w:r>
        <w:rPr>
          <w:rStyle w:val="CharSectno"/>
        </w:rPr>
        <w:t>5</w:t>
      </w:r>
      <w:r>
        <w:t>.</w:t>
      </w:r>
      <w:r>
        <w:tab/>
        <w:t>Functions</w:t>
      </w:r>
      <w:bookmarkEnd w:id="6"/>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No. 30 of 2011 s. 4.]</w:t>
      </w:r>
    </w:p>
    <w:p>
      <w:pPr>
        <w:pStyle w:val="Heading5"/>
      </w:pPr>
      <w:bookmarkStart w:id="7" w:name="_Toc178341715"/>
      <w:r>
        <w:rPr>
          <w:rStyle w:val="CharSectno"/>
        </w:rPr>
        <w:lastRenderedPageBreak/>
        <w:t>6A</w:t>
      </w:r>
      <w:r>
        <w:t>.</w:t>
      </w:r>
      <w:r>
        <w:tab/>
        <w:t>Minister may give directions</w:t>
      </w:r>
      <w:bookmarkEnd w:id="7"/>
    </w:p>
    <w:p>
      <w:pPr>
        <w:pStyle w:val="Subsection"/>
        <w:keepNext/>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No. 30 of 2011 s. 5.]</w:t>
      </w:r>
    </w:p>
    <w:p>
      <w:pPr>
        <w:pStyle w:val="Heading5"/>
        <w:spacing w:before="240"/>
      </w:pPr>
      <w:bookmarkStart w:id="8" w:name="_Toc178341716"/>
      <w:r>
        <w:rPr>
          <w:rStyle w:val="CharSectno"/>
        </w:rPr>
        <w:t>6</w:t>
      </w:r>
      <w:r>
        <w:t>.</w:t>
      </w:r>
      <w:r>
        <w:tab/>
        <w:t>Membership</w:t>
      </w:r>
      <w:bookmarkEnd w:id="8"/>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 xml:space="preserve">a person employed in the department of the Public Service principally assisting the Minister in the </w:t>
      </w:r>
      <w:r>
        <w:lastRenderedPageBreak/>
        <w:t>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iCs/>
        </w:rPr>
        <w:t>Public Health Act 2016</w:t>
      </w:r>
      <w:r>
        <w:rPr>
          <w:iCs/>
        </w:rPr>
        <w:t>;</w:t>
      </w:r>
      <w:r>
        <w:t xml:space="preserve">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 xml:space="preserve">Road </w:t>
      </w:r>
      <w:r>
        <w:rPr>
          <w:i/>
          <w:iCs/>
        </w:rPr>
        <w:lastRenderedPageBreak/>
        <w:t>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No. 49 of 2004 s. 13; No. 38 of 2005 s. 15; No. 8 of 2012 s. 172; No. 19 of 2016 s. 101 and s. 324.]</w:t>
      </w:r>
    </w:p>
    <w:p>
      <w:pPr>
        <w:pStyle w:val="Heading5"/>
      </w:pPr>
      <w:bookmarkStart w:id="9" w:name="_Toc178341717"/>
      <w:r>
        <w:rPr>
          <w:rStyle w:val="CharSectno"/>
        </w:rPr>
        <w:lastRenderedPageBreak/>
        <w:t>7</w:t>
      </w:r>
      <w:r>
        <w:t>.</w:t>
      </w:r>
      <w:r>
        <w:tab/>
        <w:t>Deputy of member</w:t>
      </w:r>
      <w:bookmarkEnd w:id="9"/>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0" w:name="_Toc178341718"/>
      <w:r>
        <w:rPr>
          <w:rStyle w:val="CharSectno"/>
        </w:rPr>
        <w:t>8</w:t>
      </w:r>
      <w:r>
        <w:t>.</w:t>
      </w:r>
      <w:r>
        <w:tab/>
        <w:t>Nomination for appointment</w:t>
      </w:r>
      <w:bookmarkEnd w:id="1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1" w:name="_Toc178341719"/>
      <w:r>
        <w:rPr>
          <w:rStyle w:val="CharSectno"/>
        </w:rPr>
        <w:t>9</w:t>
      </w:r>
      <w:r>
        <w:t>.</w:t>
      </w:r>
      <w:r>
        <w:tab/>
        <w:t>Duration of appointment as member or deputy</w:t>
      </w:r>
      <w:bookmarkEnd w:id="11"/>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lastRenderedPageBreak/>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No. 18 of 2009 s. 76.]</w:t>
      </w:r>
    </w:p>
    <w:p>
      <w:pPr>
        <w:pStyle w:val="Heading5"/>
      </w:pPr>
      <w:bookmarkStart w:id="12" w:name="_Toc178341720"/>
      <w:r>
        <w:rPr>
          <w:rStyle w:val="CharSectno"/>
        </w:rPr>
        <w:t>10</w:t>
      </w:r>
      <w:r>
        <w:t>.</w:t>
      </w:r>
      <w:r>
        <w:tab/>
        <w:t>Remuneration and allowances</w:t>
      </w:r>
      <w:bookmarkEnd w:id="12"/>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No. 39 of 2010 s. 89.]</w:t>
      </w:r>
    </w:p>
    <w:p>
      <w:pPr>
        <w:pStyle w:val="Heading5"/>
      </w:pPr>
      <w:bookmarkStart w:id="13" w:name="_Toc178341721"/>
      <w:r>
        <w:rPr>
          <w:rStyle w:val="CharSectno"/>
        </w:rPr>
        <w:lastRenderedPageBreak/>
        <w:t>11</w:t>
      </w:r>
      <w:r>
        <w:t>.</w:t>
      </w:r>
      <w:r>
        <w:tab/>
        <w:t>Meetings</w:t>
      </w:r>
      <w:bookmarkEnd w:id="13"/>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14" w:name="_Toc178341722"/>
      <w:r>
        <w:rPr>
          <w:rStyle w:val="CharSectno"/>
        </w:rPr>
        <w:t>12</w:t>
      </w:r>
      <w:r>
        <w:t>.</w:t>
      </w:r>
      <w:r>
        <w:tab/>
        <w:t>Road Trauma Trust Account</w:t>
      </w:r>
      <w:bookmarkEnd w:id="14"/>
    </w:p>
    <w:p>
      <w:pPr>
        <w:pStyle w:val="Subsection"/>
      </w:pPr>
      <w:r>
        <w:tab/>
        <w:t>(1A)</w:t>
      </w:r>
      <w:r>
        <w:tab/>
        <w:t xml:space="preserve">In this section — </w:t>
      </w:r>
    </w:p>
    <w:p>
      <w:pPr>
        <w:pStyle w:val="Defstart"/>
      </w:pPr>
      <w:r>
        <w:tab/>
      </w:r>
      <w:r>
        <w:rPr>
          <w:rStyle w:val="CharDefText"/>
        </w:rPr>
        <w:t>infringement notice (alleged offender)</w:t>
      </w:r>
      <w:r>
        <w:t xml:space="preserve"> has the meaning given in the </w:t>
      </w:r>
      <w:r>
        <w:rPr>
          <w:i/>
        </w:rPr>
        <w:t>Road Traffic (Administration) Act 2008</w:t>
      </w:r>
      <w:r>
        <w:rPr>
          <w:iCs/>
        </w:rPr>
        <w:t xml:space="preserve"> </w:t>
      </w:r>
      <w:r>
        <w:t>section 81(1);</w:t>
      </w:r>
    </w:p>
    <w:p>
      <w:pPr>
        <w:pStyle w:val="Defstart"/>
      </w:pPr>
      <w:r>
        <w:tab/>
      </w:r>
      <w:r>
        <w:rPr>
          <w:rStyle w:val="CharDefText"/>
        </w:rPr>
        <w:t>infringement notice (visual evidence)</w:t>
      </w:r>
      <w:r>
        <w:t xml:space="preserve"> has the meaning given in the </w:t>
      </w:r>
      <w:r>
        <w:rPr>
          <w:i/>
        </w:rPr>
        <w:t>Road Traffic (Administration) Act 2008</w:t>
      </w:r>
      <w:r>
        <w:rPr>
          <w:iCs/>
        </w:rPr>
        <w:t xml:space="preserve"> </w:t>
      </w:r>
      <w:r>
        <w:t>section 86(2);</w:t>
      </w:r>
    </w:p>
    <w:p>
      <w:pPr>
        <w:pStyle w:val="Defstart"/>
      </w:pPr>
      <w:r>
        <w:tab/>
      </w:r>
      <w:r>
        <w:rPr>
          <w:rStyle w:val="CharDefText"/>
        </w:rPr>
        <w:t>modified penalty</w:t>
      </w:r>
      <w:r>
        <w:t xml:space="preserve"> has the meaning given in the </w:t>
      </w:r>
      <w:r>
        <w:rPr>
          <w:i/>
        </w:rPr>
        <w:t>Road Traffic (Administration) Act 2008</w:t>
      </w:r>
      <w:r>
        <w:t xml:space="preserve"> section 79;</w:t>
      </w:r>
    </w:p>
    <w:p>
      <w:pPr>
        <w:pStyle w:val="Defstart"/>
      </w:pPr>
      <w:r>
        <w:tab/>
      </w:r>
      <w:r>
        <w:rPr>
          <w:rStyle w:val="CharDefText"/>
        </w:rPr>
        <w:t>notice requesting information</w:t>
      </w:r>
      <w:r>
        <w:t xml:space="preserve"> has the meaning given in the </w:t>
      </w:r>
      <w:r>
        <w:rPr>
          <w:i/>
        </w:rPr>
        <w:t>Road Traffic (Administration) Act 2008</w:t>
      </w:r>
      <w:r>
        <w:rPr>
          <w:iCs/>
        </w:rPr>
        <w:t xml:space="preserve"> </w:t>
      </w:r>
      <w:r>
        <w:t>section 96(2);</w:t>
      </w:r>
    </w:p>
    <w:p>
      <w:pPr>
        <w:pStyle w:val="Defstart"/>
      </w:pPr>
      <w:r>
        <w:tab/>
      </w:r>
      <w:r>
        <w:rPr>
          <w:rStyle w:val="CharDefText"/>
        </w:rPr>
        <w:t>visual evidence</w:t>
      </w:r>
      <w:r>
        <w:rPr>
          <w:rStyle w:val="CharDefText"/>
        </w:rPr>
        <w:noBreakHyphen/>
        <w:t>based infringement notice</w:t>
      </w:r>
      <w:r>
        <w:t xml:space="preserve"> means — </w:t>
      </w:r>
    </w:p>
    <w:p>
      <w:pPr>
        <w:pStyle w:val="Defpara"/>
      </w:pPr>
      <w:r>
        <w:tab/>
        <w:t>(a)</w:t>
      </w:r>
      <w:r>
        <w:tab/>
        <w:t>an infringement notice (visual evidence); or</w:t>
      </w:r>
    </w:p>
    <w:p>
      <w:pPr>
        <w:pStyle w:val="Defpara"/>
      </w:pPr>
      <w:r>
        <w:tab/>
        <w:t>(b)</w:t>
      </w:r>
      <w:r>
        <w:tab/>
        <w:t xml:space="preserve">an infringement notice (alleged offender) if the notice relates to an alleged offence — </w:t>
      </w:r>
    </w:p>
    <w:p>
      <w:pPr>
        <w:pStyle w:val="Defsubpara"/>
      </w:pPr>
      <w:r>
        <w:tab/>
        <w:t>(i)</w:t>
      </w:r>
      <w:r>
        <w:tab/>
        <w:t xml:space="preserve">under the </w:t>
      </w:r>
      <w:r>
        <w:rPr>
          <w:i/>
        </w:rPr>
        <w:t>Road Traffic (Administration) Act 2008</w:t>
      </w:r>
      <w:r>
        <w:t xml:space="preserve"> section 97(1); or</w:t>
      </w:r>
    </w:p>
    <w:p>
      <w:pPr>
        <w:pStyle w:val="Defsubpara"/>
      </w:pPr>
      <w:r>
        <w:tab/>
        <w:t>(ii)</w:t>
      </w:r>
      <w:r>
        <w:tab/>
        <w:t>in relation to which an infringement notice (visual evidence) or notice requesting information was served.</w:t>
      </w:r>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lastRenderedPageBreak/>
        <w:tab/>
        <w:t>(2)</w:t>
      </w:r>
      <w:r>
        <w:tab/>
        <w:t xml:space="preserve">There is to be credited to the Account — </w:t>
      </w:r>
    </w:p>
    <w:p>
      <w:pPr>
        <w:pStyle w:val="Indenta"/>
      </w:pPr>
      <w:r>
        <w:tab/>
        <w:t>(a)</w:t>
      </w:r>
      <w:r>
        <w:tab/>
        <w:t>the total amount of each modified penalty paid pursuant to a visual evidence</w:t>
      </w:r>
      <w:r>
        <w:noBreakHyphen/>
        <w:t>based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Ednotesubsection"/>
      </w:pPr>
      <w:r>
        <w:tab/>
        <w:t>[(3), (4)</w:t>
      </w:r>
      <w:r>
        <w:tab/>
        <w:t>deleted]</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No. 77 of 2006 Sch. 1 cl. 151(2)-(4); No. 23 of 2009 s. 29; No. 30 of 2011 s. 6; No. 8 of 2012 s. 173; No. 51 of 2016 s. 52; No. 15 of 2024 s. 70.]</w:t>
      </w:r>
    </w:p>
    <w:p>
      <w:pPr>
        <w:pStyle w:val="Heading5"/>
      </w:pPr>
      <w:bookmarkStart w:id="15" w:name="_Toc178341723"/>
      <w:r>
        <w:rPr>
          <w:rStyle w:val="CharSectno"/>
        </w:rPr>
        <w:lastRenderedPageBreak/>
        <w:t>13</w:t>
      </w:r>
      <w:r>
        <w:t>.</w:t>
      </w:r>
      <w:r>
        <w:tab/>
        <w:t>Annual report</w:t>
      </w:r>
      <w:bookmarkEnd w:id="15"/>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6" w:name="_Toc178341724"/>
      <w:r>
        <w:rPr>
          <w:rStyle w:val="CharSectno"/>
        </w:rPr>
        <w:t>14</w:t>
      </w:r>
      <w:r>
        <w:t>.</w:t>
      </w:r>
      <w:r>
        <w:tab/>
        <w:t>Protection from liability for wrongdoing</w:t>
      </w:r>
      <w:bookmarkEnd w:id="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17" w:name="_Toc178341725"/>
      <w:r>
        <w:rPr>
          <w:rStyle w:val="CharSectno"/>
        </w:rPr>
        <w:t>15</w:t>
      </w:r>
      <w:r>
        <w:t>.</w:t>
      </w:r>
      <w:r>
        <w:tab/>
        <w:t>Supplementary provision about laying directions before Parliament</w:t>
      </w:r>
      <w:bookmarkEnd w:id="17"/>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lastRenderedPageBreak/>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No. 30 of 2011 s. 7.]</w:t>
      </w:r>
    </w:p>
    <w:p>
      <w:pPr>
        <w:pStyle w:val="Heading5"/>
      </w:pPr>
      <w:bookmarkStart w:id="18" w:name="_Toc178341726"/>
      <w:r>
        <w:rPr>
          <w:rStyle w:val="CharSectno"/>
        </w:rPr>
        <w:t>16</w:t>
      </w:r>
      <w:r>
        <w:t>.</w:t>
      </w:r>
      <w:r>
        <w:tab/>
        <w:t>Transitional provision: credits of prescribed penalties to Account</w:t>
      </w:r>
      <w:bookmarkEnd w:id="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No. 30 of 2011 s. 7.]</w:t>
      </w:r>
    </w:p>
    <w:p>
      <w:pPr>
        <w:pStyle w:val="Heading5"/>
      </w:pPr>
      <w:bookmarkStart w:id="19" w:name="_Toc166650007"/>
      <w:bookmarkStart w:id="20" w:name="_Toc178341727"/>
      <w:r>
        <w:rPr>
          <w:rStyle w:val="CharSectno"/>
        </w:rPr>
        <w:lastRenderedPageBreak/>
        <w:t>17</w:t>
      </w:r>
      <w:r>
        <w:t>.</w:t>
      </w:r>
      <w:r>
        <w:tab/>
        <w:t xml:space="preserve">Transitional provision for </w:t>
      </w:r>
      <w:r>
        <w:rPr>
          <w:i/>
        </w:rPr>
        <w:t>Road Traffic Legislation Amendment (Infringement Management Reform) Act 2024</w:t>
      </w:r>
      <w:bookmarkEnd w:id="19"/>
      <w:bookmarkEnd w:id="2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Road Traffic Legislation Amendment (Infringement Management Reform) Act 2024</w:t>
      </w:r>
      <w:r>
        <w:rPr>
          <w:iCs/>
        </w:rPr>
        <w:t xml:space="preserve"> </w:t>
      </w:r>
      <w:r>
        <w:t>section 70 comes into operation;</w:t>
      </w:r>
    </w:p>
    <w:p>
      <w:pPr>
        <w:pStyle w:val="Defstart"/>
      </w:pPr>
      <w:r>
        <w:tab/>
      </w:r>
      <w:r>
        <w:rPr>
          <w:rStyle w:val="CharDefText"/>
        </w:rPr>
        <w:t>former</w:t>
      </w:r>
      <w:r>
        <w:t>, in relation to a provision, means that provision as in force immediately before commencement day;</w:t>
      </w:r>
    </w:p>
    <w:p>
      <w:pPr>
        <w:pStyle w:val="Defstart"/>
      </w:pPr>
      <w:r>
        <w:tab/>
      </w:r>
      <w:r>
        <w:rPr>
          <w:rStyle w:val="CharDefText"/>
        </w:rPr>
        <w:t>photograph</w:t>
      </w:r>
      <w:r>
        <w:rPr>
          <w:rStyle w:val="CharDefText"/>
        </w:rPr>
        <w:noBreakHyphen/>
        <w:t>based vehicle infringement notice</w:t>
      </w:r>
      <w:r>
        <w:t xml:space="preserve"> has the meaning given in former section 12(3);</w:t>
      </w:r>
    </w:p>
    <w:p>
      <w:pPr>
        <w:pStyle w:val="Defstart"/>
      </w:pPr>
      <w:r>
        <w:tab/>
      </w:r>
      <w:r>
        <w:rPr>
          <w:rStyle w:val="CharDefText"/>
        </w:rPr>
        <w:t>prescribed penalty</w:t>
      </w:r>
      <w:r>
        <w:t xml:space="preserve"> has the meaning given in former section 12(3).</w:t>
      </w:r>
    </w:p>
    <w:p>
      <w:pPr>
        <w:pStyle w:val="Subsection"/>
      </w:pPr>
      <w:r>
        <w:tab/>
        <w:t>(2)</w:t>
      </w:r>
      <w:r>
        <w:tab/>
        <w:t xml:space="preserve">This section applies — </w:t>
      </w:r>
    </w:p>
    <w:p>
      <w:pPr>
        <w:pStyle w:val="Indenta"/>
      </w:pPr>
      <w:r>
        <w:tab/>
        <w:t>(a)</w:t>
      </w:r>
      <w:r>
        <w:tab/>
        <w:t xml:space="preserve">if — </w:t>
      </w:r>
    </w:p>
    <w:p>
      <w:pPr>
        <w:pStyle w:val="Indenti"/>
      </w:pPr>
      <w:r>
        <w:tab/>
        <w:t>(i)</w:t>
      </w:r>
      <w:r>
        <w:tab/>
        <w:t>a prescribed penalty is paid before commencement day; and</w:t>
      </w:r>
    </w:p>
    <w:p>
      <w:pPr>
        <w:pStyle w:val="Indenti"/>
      </w:pPr>
      <w:r>
        <w:tab/>
        <w:t>(ii)</w:t>
      </w:r>
      <w:r>
        <w:tab/>
        <w:t>immediately before commencement day, the amount of the prescribed penalty had not been credited to the Account;</w:t>
      </w:r>
    </w:p>
    <w:p>
      <w:pPr>
        <w:pStyle w:val="Indenta"/>
      </w:pPr>
      <w:r>
        <w:tab/>
      </w:r>
      <w:r>
        <w:tab/>
        <w:t>or</w:t>
      </w:r>
    </w:p>
    <w:p>
      <w:pPr>
        <w:pStyle w:val="Indenta"/>
      </w:pPr>
      <w:r>
        <w:tab/>
        <w:t>(b)</w:t>
      </w:r>
      <w:r>
        <w:tab/>
        <w:t xml:space="preserve">if — </w:t>
      </w:r>
    </w:p>
    <w:p>
      <w:pPr>
        <w:pStyle w:val="Indenti"/>
      </w:pPr>
      <w:r>
        <w:tab/>
        <w:t>(i)</w:t>
      </w:r>
      <w:r>
        <w:tab/>
        <w:t>a photograph</w:t>
      </w:r>
      <w:r>
        <w:noBreakHyphen/>
        <w:t>based vehicle infringement notice is served on a person before commencement day; and</w:t>
      </w:r>
    </w:p>
    <w:p>
      <w:pPr>
        <w:pStyle w:val="Indenti"/>
      </w:pPr>
      <w:r>
        <w:tab/>
        <w:t>(ii)</w:t>
      </w:r>
      <w:r>
        <w:tab/>
        <w:t>immediately before commencement day, the prescribed penalty associated with the photograph</w:t>
      </w:r>
      <w:r>
        <w:noBreakHyphen/>
        <w:t>based vehicle infringement notice had not been paid.</w:t>
      </w:r>
    </w:p>
    <w:p>
      <w:pPr>
        <w:pStyle w:val="Subsection"/>
        <w:keepNext/>
      </w:pPr>
      <w:r>
        <w:tab/>
        <w:t>(3)</w:t>
      </w:r>
      <w:r>
        <w:tab/>
        <w:t xml:space="preserve">Former section 12(2), (3) and (4) continue to apply in relation to the prescribed penalty as if former section 12 had not been </w:t>
      </w:r>
      <w:r>
        <w:lastRenderedPageBreak/>
        <w:t xml:space="preserve">amended by </w:t>
      </w:r>
      <w:r>
        <w:rPr>
          <w:snapToGrid w:val="0"/>
        </w:rPr>
        <w:t xml:space="preserve">the </w:t>
      </w:r>
      <w:r>
        <w:rPr>
          <w:i/>
          <w:iCs/>
          <w:snapToGrid w:val="0"/>
        </w:rPr>
        <w:t>Road Traffic Legislation Amendment (Infringement Management Reform) Act 2024</w:t>
      </w:r>
      <w:r>
        <w:rPr>
          <w:snapToGrid w:val="0"/>
        </w:rPr>
        <w:t xml:space="preserve"> </w:t>
      </w:r>
      <w:r>
        <w:t>section 70.</w:t>
      </w:r>
    </w:p>
    <w:p>
      <w:pPr>
        <w:pStyle w:val="Footnotesection"/>
      </w:pPr>
      <w:r>
        <w:tab/>
        <w:t>[Section 17 inserted: No. 15 of 2024 s. 71.]</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nHeading2"/>
      </w:pPr>
      <w:bookmarkStart w:id="21" w:name="_Toc178337677"/>
      <w:bookmarkStart w:id="22" w:name="_Toc178338342"/>
      <w:bookmarkStart w:id="23" w:name="_Toc178341728"/>
      <w:r>
        <w:lastRenderedPageBreak/>
        <w:t>Notes</w:t>
      </w:r>
      <w:bookmarkEnd w:id="21"/>
      <w:bookmarkEnd w:id="22"/>
      <w:bookmarkEnd w:id="23"/>
    </w:p>
    <w:p>
      <w:pPr>
        <w:pStyle w:val="nStatement"/>
      </w:pPr>
      <w:r>
        <w:t xml:space="preserve">This is a compilation of the </w:t>
      </w:r>
      <w:r>
        <w:rPr>
          <w:i/>
          <w:noProof/>
        </w:rPr>
        <w:t>Road Safety Council Act 2002</w:t>
      </w:r>
      <w:r>
        <w:t xml:space="preserve"> and includes amendments made by other written laws. For provisions that have come into operation, and for information about any reprints, see the compilation table.</w:t>
      </w:r>
    </w:p>
    <w:p>
      <w:pPr>
        <w:pStyle w:val="nHeading3"/>
      </w:pPr>
      <w:bookmarkStart w:id="24" w:name="_Toc178341729"/>
      <w:r>
        <w:t>Compilation table</w:t>
      </w:r>
      <w:bookmarkEnd w:id="2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Road Safety Council Act 2002</w:t>
            </w:r>
          </w:p>
        </w:tc>
        <w:tc>
          <w:tcPr>
            <w:tcW w:w="1134" w:type="dxa"/>
            <w:tcBorders>
              <w:top w:val="single" w:sz="8" w:space="0" w:color="auto"/>
            </w:tcBorders>
          </w:tcPr>
          <w:p>
            <w:pPr>
              <w:pStyle w:val="nTable"/>
              <w:spacing w:after="40"/>
            </w:pPr>
            <w:r>
              <w:t>5 of 2002</w:t>
            </w:r>
          </w:p>
        </w:tc>
        <w:tc>
          <w:tcPr>
            <w:tcW w:w="1134"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2" w:type="dxa"/>
          </w:tcPr>
          <w:p>
            <w:pPr>
              <w:pStyle w:val="nTable"/>
              <w:spacing w:after="40"/>
            </w:pPr>
            <w:r>
              <w:t xml:space="preserve">1 Apr 2005 (see s.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4" w:type="dxa"/>
          </w:tcPr>
          <w:p>
            <w:pPr>
              <w:pStyle w:val="nTable"/>
              <w:spacing w:after="40"/>
              <w:rPr>
                <w:snapToGrid w:val="0"/>
              </w:rPr>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76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Road Traffic Amendment (Hoons) Act 2009</w:t>
            </w:r>
            <w:r>
              <w:rPr>
                <w:snapToGrid w:val="0"/>
              </w:rPr>
              <w:t xml:space="preserve"> Pt. 3 </w:t>
            </w:r>
          </w:p>
        </w:tc>
        <w:tc>
          <w:tcPr>
            <w:tcW w:w="1134" w:type="dxa"/>
          </w:tcPr>
          <w:p>
            <w:pPr>
              <w:pStyle w:val="nTable"/>
              <w:spacing w:after="40"/>
            </w:pPr>
            <w:r>
              <w:rPr>
                <w:snapToGrid w:val="0"/>
              </w:rPr>
              <w:t>23 of 2009</w:t>
            </w:r>
          </w:p>
        </w:tc>
        <w:tc>
          <w:tcPr>
            <w:tcW w:w="1134" w:type="dxa"/>
          </w:tcPr>
          <w:p>
            <w:pPr>
              <w:pStyle w:val="nTable"/>
              <w:spacing w:after="40"/>
            </w:pPr>
            <w:r>
              <w:rPr>
                <w:snapToGrid w:val="0"/>
              </w:rPr>
              <w:t>6 Oct 2009</w:t>
            </w:r>
          </w:p>
        </w:tc>
        <w:tc>
          <w:tcPr>
            <w:tcW w:w="2552"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Road Safety Council Amendment Act 2011</w:t>
            </w:r>
          </w:p>
        </w:tc>
        <w:tc>
          <w:tcPr>
            <w:tcW w:w="1134" w:type="dxa"/>
          </w:tcPr>
          <w:p>
            <w:pPr>
              <w:pStyle w:val="nTable"/>
              <w:spacing w:after="40"/>
              <w:rPr>
                <w:snapToGrid w:val="0"/>
              </w:rPr>
            </w:pPr>
            <w:r>
              <w:rPr>
                <w:snapToGrid w:val="0"/>
              </w:rPr>
              <w:t>30 of 2011</w:t>
            </w:r>
          </w:p>
        </w:tc>
        <w:tc>
          <w:tcPr>
            <w:tcW w:w="1134" w:type="dxa"/>
          </w:tcPr>
          <w:p>
            <w:pPr>
              <w:pStyle w:val="nTable"/>
              <w:spacing w:after="40"/>
              <w:rPr>
                <w:snapToGrid w:val="0"/>
              </w:rPr>
            </w:pPr>
            <w:r>
              <w:rPr>
                <w:snapToGrid w:val="0"/>
              </w:rPr>
              <w:t>16 Aug 2011</w:t>
            </w:r>
          </w:p>
        </w:tc>
        <w:tc>
          <w:tcPr>
            <w:tcW w:w="2552" w:type="dxa"/>
          </w:tcPr>
          <w:p>
            <w:pPr>
              <w:pStyle w:val="nTable"/>
              <w:spacing w:after="40"/>
            </w:pPr>
            <w:r>
              <w:rPr>
                <w:snapToGrid w:val="0"/>
              </w:rPr>
              <w:t>s. 1 and 2: 16</w:t>
            </w:r>
            <w:r>
              <w:t xml:space="preserve"> Aug 2011 (see s. 2(a)); </w:t>
            </w:r>
            <w:r>
              <w:br/>
              <w:t>Act other than s. 1 and 2: 17 Aug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lastRenderedPageBreak/>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pPr>
            <w:r>
              <w:rPr>
                <w:i/>
              </w:rPr>
              <w:t xml:space="preserve">Public Health (Consequential Provisions) Act 2016 </w:t>
            </w:r>
            <w:r>
              <w:t>s. 101 and Pt. 5 Div. 20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pPr>
            <w:r>
              <w:t xml:space="preserve">s. 101: 24 Jan 2017 (see s. 2(1)(c) and </w:t>
            </w:r>
            <w:r>
              <w:rPr>
                <w:i/>
              </w:rPr>
              <w:t>Gazette</w:t>
            </w:r>
            <w:r>
              <w:t xml:space="preserve"> 10 Jan 2017 p. 165);</w:t>
            </w:r>
            <w:r>
              <w:br/>
              <w:t>Pt. 5 Div. 20: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4" w:type="dxa"/>
            <w:tcBorders>
              <w:top w:val="nil"/>
              <w:bottom w:val="nil"/>
            </w:tcBorders>
            <w:shd w:val="clear" w:color="auto" w:fill="auto"/>
          </w:tcPr>
          <w:p>
            <w:pPr>
              <w:pStyle w:val="nTable"/>
              <w:spacing w:after="40"/>
              <w:rPr>
                <w:snapToGrid w:val="0"/>
              </w:rPr>
            </w:pPr>
            <w:r>
              <w:t>51 of 2016</w:t>
            </w:r>
          </w:p>
        </w:tc>
        <w:tc>
          <w:tcPr>
            <w:tcW w:w="1134" w:type="dxa"/>
            <w:tcBorders>
              <w:top w:val="nil"/>
              <w:bottom w:val="nil"/>
            </w:tcBorders>
            <w:shd w:val="clear" w:color="auto" w:fill="auto"/>
          </w:tcPr>
          <w:p>
            <w:pPr>
              <w:pStyle w:val="nTable"/>
              <w:spacing w:after="40"/>
              <w:rPr>
                <w:snapToGrid w:val="0"/>
              </w:rPr>
            </w:pPr>
            <w:r>
              <w:t>28 Nov 2016</w:t>
            </w:r>
          </w:p>
        </w:tc>
        <w:tc>
          <w:tcPr>
            <w:tcW w:w="2552" w:type="dxa"/>
            <w:tcBorders>
              <w:top w:val="nil"/>
              <w:bottom w:val="nil"/>
            </w:tcBorders>
            <w:shd w:val="clear" w:color="auto" w:fill="auto"/>
          </w:tcPr>
          <w:p>
            <w:pPr>
              <w:pStyle w:val="nTable"/>
              <w:spacing w:after="40"/>
              <w:rPr>
                <w:snapToGrid w:val="0"/>
              </w:rPr>
            </w:pPr>
            <w:r>
              <w:t xml:space="preserve">14 Jan 2017 (see s. 2(1)(b) and </w:t>
            </w:r>
            <w:r>
              <w:rPr>
                <w:i/>
              </w:rPr>
              <w:t>Gazette</w:t>
            </w:r>
            <w:r>
              <w:t xml:space="preserve"> 13 Jan 2017 p. 338)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i/>
              </w:rPr>
            </w:pPr>
            <w:r>
              <w:rPr>
                <w:i/>
              </w:rPr>
              <w:t>Road Traffic Legislation Amendment (Infringement Management Reform) Act 2024</w:t>
            </w:r>
            <w:r>
              <w:rPr>
                <w:iCs/>
              </w:rPr>
              <w:t xml:space="preserve"> Pt. 4 Div. 3</w:t>
            </w:r>
          </w:p>
        </w:tc>
        <w:tc>
          <w:tcPr>
            <w:tcW w:w="1134" w:type="dxa"/>
            <w:tcBorders>
              <w:bottom w:val="single" w:sz="8" w:space="0" w:color="auto"/>
            </w:tcBorders>
            <w:shd w:val="clear" w:color="auto" w:fill="auto"/>
          </w:tcPr>
          <w:p>
            <w:pPr>
              <w:pStyle w:val="nTable"/>
              <w:spacing w:after="40"/>
            </w:pPr>
            <w:r>
              <w:t>15 of 2024</w:t>
            </w:r>
          </w:p>
        </w:tc>
        <w:tc>
          <w:tcPr>
            <w:tcW w:w="1134" w:type="dxa"/>
            <w:tcBorders>
              <w:bottom w:val="single" w:sz="8" w:space="0" w:color="auto"/>
            </w:tcBorders>
            <w:shd w:val="clear" w:color="auto" w:fill="auto"/>
          </w:tcPr>
          <w:p>
            <w:pPr>
              <w:pStyle w:val="nTable"/>
              <w:spacing w:after="40"/>
            </w:pPr>
            <w:r>
              <w:t>14 May 2024</w:t>
            </w:r>
          </w:p>
        </w:tc>
        <w:tc>
          <w:tcPr>
            <w:tcW w:w="2552" w:type="dxa"/>
            <w:tcBorders>
              <w:bottom w:val="single" w:sz="8" w:space="0" w:color="auto"/>
            </w:tcBorders>
            <w:shd w:val="clear" w:color="auto" w:fill="auto"/>
          </w:tcPr>
          <w:p>
            <w:pPr>
              <w:pStyle w:val="nTable"/>
              <w:spacing w:after="40"/>
            </w:pPr>
            <w:r>
              <w:t>7 Oct 2024 (see s. 2(b) and SL 2024/200 cl. 2)</w:t>
            </w:r>
          </w:p>
        </w:tc>
      </w:tr>
    </w:tbl>
    <w:p>
      <w:pPr>
        <w:pStyle w:val="nHeading3"/>
      </w:pPr>
      <w:bookmarkStart w:id="25" w:name="_Toc178341730"/>
      <w:r>
        <w:t>Other notes</w:t>
      </w:r>
      <w:bookmarkEnd w:id="25"/>
    </w:p>
    <w:p>
      <w:pPr>
        <w:pStyle w:val="nNote"/>
        <w:spacing w:before="160"/>
      </w:pPr>
      <w:r>
        <w:rPr>
          <w:vertAlign w:val="superscript"/>
        </w:rPr>
        <w:t>1</w:t>
      </w:r>
      <w:r>
        <w:tab/>
        <w:t xml:space="preserve">The provisions of this Act amending those Acts have been omitted under the </w:t>
      </w:r>
      <w:r>
        <w:rPr>
          <w:i/>
          <w:iCs/>
        </w:rPr>
        <w:t>Reprints Act 1984</w:t>
      </w:r>
      <w:r>
        <w:t xml:space="preserve"> s. 7(4)(e).</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7" w:name="_Toc178341731"/>
      <w:r>
        <w:rPr>
          <w:sz w:val="28"/>
        </w:rPr>
        <w:lastRenderedPageBreak/>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 17(1)</w:t>
      </w:r>
    </w:p>
    <w:p>
      <w:pPr>
        <w:pStyle w:val="DefinedTerms"/>
      </w:pPr>
      <w:r>
        <w:t>Council</w:t>
      </w:r>
      <w:r>
        <w:tab/>
        <w:t>3</w:t>
      </w:r>
    </w:p>
    <w:p>
      <w:pPr>
        <w:pStyle w:val="DefinedTerms"/>
      </w:pPr>
      <w:r>
        <w:t>former</w:t>
      </w:r>
      <w:r>
        <w:tab/>
        <w:t>17(1)</w:t>
      </w:r>
    </w:p>
    <w:p>
      <w:pPr>
        <w:pStyle w:val="DefinedTerms"/>
      </w:pPr>
      <w:r>
        <w:t>former section 12(2)(a)</w:t>
      </w:r>
      <w:r>
        <w:tab/>
        <w:t>16(1)</w:t>
      </w:r>
    </w:p>
    <w:p>
      <w:pPr>
        <w:pStyle w:val="DefinedTerms"/>
      </w:pPr>
      <w:r>
        <w:t>infringement notice (alleged offender)</w:t>
      </w:r>
      <w:r>
        <w:tab/>
        <w:t>12(1A)</w:t>
      </w:r>
    </w:p>
    <w:p>
      <w:pPr>
        <w:pStyle w:val="DefinedTerms"/>
      </w:pPr>
      <w:r>
        <w:t>infringement notice (visual evidence)</w:t>
      </w:r>
      <w:r>
        <w:tab/>
        <w:t>12(1A)</w:t>
      </w:r>
    </w:p>
    <w:p>
      <w:pPr>
        <w:pStyle w:val="DefinedTerms"/>
      </w:pPr>
      <w:r>
        <w:t>modified penalty</w:t>
      </w:r>
      <w:r>
        <w:tab/>
        <w:t>12(1A)</w:t>
      </w:r>
    </w:p>
    <w:p>
      <w:pPr>
        <w:pStyle w:val="DefinedTerms"/>
      </w:pPr>
      <w:r>
        <w:t>notice requesting information</w:t>
      </w:r>
      <w:r>
        <w:tab/>
        <w:t>12(1A)</w:t>
      </w:r>
    </w:p>
    <w:p>
      <w:pPr>
        <w:pStyle w:val="DefinedTerms"/>
      </w:pPr>
      <w:r>
        <w:t>officer</w:t>
      </w:r>
      <w:r>
        <w:tab/>
        <w:t>3</w:t>
      </w:r>
    </w:p>
    <w:p>
      <w:pPr>
        <w:pStyle w:val="DefinedTerms"/>
      </w:pPr>
      <w:r>
        <w:t>photograph-based vehicle infringement notice</w:t>
      </w:r>
      <w:r>
        <w:tab/>
        <w:t>17(1)</w:t>
      </w:r>
    </w:p>
    <w:p>
      <w:pPr>
        <w:pStyle w:val="DefinedTerms"/>
      </w:pPr>
      <w:r>
        <w:t>prescribed penalty</w:t>
      </w:r>
      <w:r>
        <w:tab/>
        <w:t>17(1)</w:t>
      </w:r>
    </w:p>
    <w:p>
      <w:pPr>
        <w:pStyle w:val="DefinedTerms"/>
      </w:pPr>
      <w:r>
        <w:t>public officer</w:t>
      </w:r>
      <w:r>
        <w:tab/>
        <w:t>3</w:t>
      </w:r>
    </w:p>
    <w:p>
      <w:pPr>
        <w:pStyle w:val="DefinedTerms"/>
      </w:pPr>
      <w:r>
        <w:t>road</w:t>
      </w:r>
      <w:r>
        <w:tab/>
        <w:t>3</w:t>
      </w:r>
    </w:p>
    <w:p>
      <w:pPr>
        <w:pStyle w:val="DefinedTerms"/>
      </w:pPr>
      <w:r>
        <w:t>visual evidence-based infringement notice</w:t>
      </w:r>
      <w:r>
        <w:tab/>
        <w:t>12(1A)</w:t>
      </w:r>
    </w:p>
    <w:p/>
    <w:p>
      <w:pPr>
        <w:rPr>
          <w:sz w:val="20"/>
        </w:rPr>
        <w:sectPr>
          <w:headerReference w:type="even" r:id="rId26"/>
          <w:headerReference w:type="default" r:id="rId27"/>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052F7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D7E2E3" w14:textId="44EC465C" w:rsidR="00AD706B" w:rsidRDefault="00EF6A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C421B">
                        <w:rPr>
                          <w:sz w:val="16"/>
                        </w:rPr>
                        <w:t>2024</w:t>
                      </w:r>
                      <w:r>
                        <w:rPr>
                          <w:sz w:val="16"/>
                        </w:rPr>
                        <w:fldChar w:fldCharType="end"/>
                      </w:r>
                      <w:r>
                        <w:rPr>
                          <w:sz w:val="16"/>
                        </w:rPr>
                        <w:t>.</w:t>
                      </w:r>
                    </w:p>
                    <w:p w14:paraId="762820FD" w14:textId="77777777" w:rsidR="00AD706B" w:rsidRDefault="00EF6A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8673EE" w14:textId="0FAA27E5" w:rsidR="00AD706B" w:rsidRDefault="00EF6A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C421B">
                        <w:rPr>
                          <w:sz w:val="16"/>
                        </w:rPr>
                        <w:t>2024</w:t>
                      </w:r>
                      <w:r>
                        <w:rPr>
                          <w:sz w:val="16"/>
                        </w:rPr>
                        <w:fldChar w:fldCharType="end"/>
                      </w:r>
                      <w:r>
                        <w:rPr>
                          <w:sz w:val="16"/>
                        </w:rPr>
                        <w:t>.</w:t>
                      </w:r>
                    </w:p>
                    <w:p w14:paraId="4D1A7290" w14:textId="77777777" w:rsidR="00AD706B" w:rsidRDefault="00EF6A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3522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 w:name="WAFER_2024051509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4103_GUID" w:val="c5f09cd9-0157-4a3a-ad7f-73a5861c7248"/>
    <w:docVar w:name="WAFER_2024092713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35223_GUID" w:val="efa047a0-c0ae-4098-8023-b95ef5b7f7ac"/>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50E48B09-B8E7-420A-B43E-96633E99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3745</Words>
  <Characters>18055</Characters>
  <Application>Microsoft Office Word</Application>
  <DocSecurity>0</DocSecurity>
  <Lines>564</Lines>
  <Paragraphs>335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2002 - 02-h0-00</dc:title>
  <dc:subject/>
  <dc:creator/>
  <cp:keywords/>
  <dc:description/>
  <cp:lastModifiedBy>Master Repository Process</cp:lastModifiedBy>
  <cp:revision>4</cp:revision>
  <cp:lastPrinted>2017-09-19T08:51:00Z</cp:lastPrinted>
  <dcterms:created xsi:type="dcterms:W3CDTF">2025-07-02T04:33:00Z</dcterms:created>
  <dcterms:modified xsi:type="dcterms:W3CDTF">2025-07-02T04:33:00Z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AsAtDate">
    <vt:lpwstr>07 Oct 2024</vt:lpwstr>
  </property>
  <property fmtid="{D5CDD505-2E9C-101B-9397-08002B2CF9AE}" pid="11" name="Suffix">
    <vt:lpwstr>02-h0-00</vt:lpwstr>
  </property>
  <property fmtid="{D5CDD505-2E9C-101B-9397-08002B2CF9AE}" pid="12" name="Official">
    <vt:lpwstr/>
  </property>
</Properties>
</file>