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Gold Corporation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_Toc179455190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_Toc179455191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_Toc179455192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and administration of Gold Corporation</w:t>
      </w:r>
    </w:p>
    <w:p>
      <w:pPr>
        <w:pStyle w:val="TOC8"/>
        <w:rPr>
          <w:rFonts w:asciiTheme="minorHAnsi" w:eastAsiaTheme="minorEastAsia" w:hAnsiTheme="minorHAnsi" w:cstheme="minorBidi"/>
          <w:szCs w:val="22"/>
        </w:rPr>
      </w:pPr>
      <w:r>
        <w:t>4</w:t>
      </w:r>
      <w:r>
        <w:rPr>
          <w:snapToGrid w:val="0"/>
        </w:rPr>
        <w:t>.</w:t>
      </w:r>
      <w:r>
        <w:rPr>
          <w:snapToGrid w:val="0"/>
        </w:rPr>
        <w:tab/>
        <w:t>Constitution of Gold Corporation as a body corporate</w:t>
      </w:r>
      <w:r>
        <w:tab/>
      </w:r>
      <w:r>
        <w:fldChar w:fldCharType="begin"/>
      </w:r>
      <w:r>
        <w:instrText xml:space="preserve"> PAGEREF _Toc179455194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 of Gold Corporation</w:t>
      </w:r>
      <w:r>
        <w:tab/>
      </w:r>
      <w:r>
        <w:fldChar w:fldCharType="begin"/>
      </w:r>
      <w:r>
        <w:instrText xml:space="preserve"> PAGEREF _Toc179455195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the Board</w:t>
      </w:r>
      <w:r>
        <w:tab/>
      </w:r>
      <w:r>
        <w:fldChar w:fldCharType="begin"/>
      </w:r>
      <w:r>
        <w:instrText xml:space="preserve"> PAGEREF _Toc179455196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Management of Gold Corporation</w:t>
      </w:r>
      <w:r>
        <w:tab/>
      </w:r>
      <w:r>
        <w:fldChar w:fldCharType="begin"/>
      </w:r>
      <w:r>
        <w:instrText xml:space="preserve"> PAGEREF _Toc179455197 \h </w:instrText>
      </w:r>
      <w:r>
        <w:fldChar w:fldCharType="separate"/>
      </w:r>
      <w:r>
        <w:t>10</w:t>
      </w:r>
      <w:r>
        <w:fldChar w:fldCharType="end"/>
      </w:r>
    </w:p>
    <w:p>
      <w:pPr>
        <w:pStyle w:val="TOC8"/>
        <w:rPr>
          <w:rFonts w:asciiTheme="minorHAnsi" w:eastAsiaTheme="minorEastAsia" w:hAnsiTheme="minorHAnsi" w:cstheme="minorBidi"/>
          <w:szCs w:val="22"/>
        </w:rPr>
      </w:pPr>
      <w:r>
        <w:t>8A.</w:t>
      </w:r>
      <w:r>
        <w:tab/>
        <w:t>Remuneration of chief executive officer, deputy while Gold Corporation is not a Government entity</w:t>
      </w:r>
      <w:r>
        <w:tab/>
      </w:r>
      <w:r>
        <w:fldChar w:fldCharType="begin"/>
      </w:r>
      <w:r>
        <w:instrText xml:space="preserve"> PAGEREF _Toc179455198 \h </w:instrText>
      </w:r>
      <w:r>
        <w:fldChar w:fldCharType="separate"/>
      </w:r>
      <w:r>
        <w:t>11</w:t>
      </w:r>
      <w:r>
        <w:fldChar w:fldCharType="end"/>
      </w:r>
    </w:p>
    <w:p>
      <w:pPr>
        <w:pStyle w:val="TOC8"/>
        <w:rPr>
          <w:rFonts w:asciiTheme="minorHAnsi" w:eastAsiaTheme="minorEastAsia" w:hAnsiTheme="minorHAnsi" w:cstheme="minorBidi"/>
          <w:szCs w:val="22"/>
        </w:rPr>
      </w:pPr>
      <w:r>
        <w:t>8B.</w:t>
      </w:r>
      <w:r>
        <w:tab/>
        <w:t>Remuneration of chief executive officer, deputy while Gold Corporation is a Government entity</w:t>
      </w:r>
      <w:r>
        <w:tab/>
      </w:r>
      <w:r>
        <w:fldChar w:fldCharType="begin"/>
      </w:r>
      <w:r>
        <w:instrText xml:space="preserve"> PAGEREF _Toc179455199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appoint committees</w:t>
      </w:r>
      <w:r>
        <w:tab/>
      </w:r>
      <w:r>
        <w:fldChar w:fldCharType="begin"/>
      </w:r>
      <w:r>
        <w:instrText xml:space="preserve"> PAGEREF _Toc179455200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of Board to delegate</w:t>
      </w:r>
      <w:r>
        <w:tab/>
      </w:r>
      <w:r>
        <w:fldChar w:fldCharType="begin"/>
      </w:r>
      <w:r>
        <w:instrText xml:space="preserve"> PAGEREF _Toc179455201 \h </w:instrText>
      </w:r>
      <w:r>
        <w:fldChar w:fldCharType="separate"/>
      </w:r>
      <w:r>
        <w:t>12</w:t>
      </w:r>
      <w:r>
        <w:fldChar w:fldCharType="end"/>
      </w:r>
    </w:p>
    <w:p>
      <w:pPr>
        <w:pStyle w:val="TOC8"/>
        <w:rPr>
          <w:rFonts w:asciiTheme="minorHAnsi" w:eastAsiaTheme="minorEastAsia" w:hAnsiTheme="minorHAnsi" w:cstheme="minorBidi"/>
          <w:szCs w:val="22"/>
        </w:rPr>
      </w:pPr>
      <w:r>
        <w:t>9A.</w:t>
      </w:r>
      <w:r>
        <w:tab/>
        <w:t>Duty to observe policy instruments</w:t>
      </w:r>
      <w:r>
        <w:tab/>
      </w:r>
      <w:r>
        <w:fldChar w:fldCharType="begin"/>
      </w:r>
      <w:r>
        <w:instrText xml:space="preserve"> PAGEREF _Toc179455202 \h </w:instrText>
      </w:r>
      <w:r>
        <w:fldChar w:fldCharType="separate"/>
      </w:r>
      <w:r>
        <w:t>13</w:t>
      </w:r>
      <w:r>
        <w:fldChar w:fldCharType="end"/>
      </w:r>
    </w:p>
    <w:p>
      <w:pPr>
        <w:pStyle w:val="TOC8"/>
        <w:rPr>
          <w:rFonts w:asciiTheme="minorHAnsi" w:eastAsiaTheme="minorEastAsia" w:hAnsiTheme="minorHAnsi" w:cstheme="minorBidi"/>
          <w:szCs w:val="22"/>
        </w:rPr>
      </w:pPr>
      <w:r>
        <w:t>9B.</w:t>
      </w:r>
      <w:r>
        <w:tab/>
        <w:t>Strategic development plan and statement of corporate intent</w:t>
      </w:r>
      <w:r>
        <w:tab/>
      </w:r>
      <w:r>
        <w:fldChar w:fldCharType="begin"/>
      </w:r>
      <w:r>
        <w:instrText xml:space="preserve"> PAGEREF _Toc179455203 \h </w:instrText>
      </w:r>
      <w:r>
        <w:fldChar w:fldCharType="separate"/>
      </w:r>
      <w:r>
        <w:t>13</w:t>
      </w:r>
      <w:r>
        <w:fldChar w:fldCharType="end"/>
      </w:r>
    </w:p>
    <w:p>
      <w:pPr>
        <w:pStyle w:val="TOC8"/>
        <w:rPr>
          <w:rFonts w:asciiTheme="minorHAnsi" w:eastAsiaTheme="minorEastAsia" w:hAnsiTheme="minorHAnsi" w:cstheme="minorBidi"/>
          <w:szCs w:val="22"/>
        </w:rPr>
      </w:pPr>
      <w:r>
        <w:t>9C.</w:t>
      </w:r>
      <w:r>
        <w:tab/>
        <w:t>Laying directions about strategic development plan or statement of corporate intent before Parliament</w:t>
      </w:r>
      <w:r>
        <w:tab/>
      </w:r>
      <w:r>
        <w:fldChar w:fldCharType="begin"/>
      </w:r>
      <w:r>
        <w:instrText xml:space="preserve"> PAGEREF _Toc179455204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Functions of Gold Corporation</w:t>
      </w:r>
    </w:p>
    <w:p>
      <w:pPr>
        <w:pStyle w:val="TOC8"/>
        <w:rPr>
          <w:rFonts w:asciiTheme="minorHAnsi" w:eastAsiaTheme="minorEastAsia" w:hAnsiTheme="minorHAnsi" w:cstheme="minorBidi"/>
          <w:szCs w:val="22"/>
        </w:rPr>
      </w:pPr>
      <w:r>
        <w:t>10</w:t>
      </w:r>
      <w:r>
        <w:rPr>
          <w:snapToGrid w:val="0"/>
        </w:rPr>
        <w:t>.</w:t>
      </w:r>
      <w:r>
        <w:rPr>
          <w:snapToGrid w:val="0"/>
        </w:rPr>
        <w:tab/>
        <w:t>General functions of Gold Corporation</w:t>
      </w:r>
      <w:r>
        <w:tab/>
      </w:r>
      <w:r>
        <w:fldChar w:fldCharType="begin"/>
      </w:r>
      <w:r>
        <w:instrText xml:space="preserve"> PAGEREF _Toc179455206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Gold Corporation</w:t>
      </w:r>
      <w:r>
        <w:tab/>
      </w:r>
      <w:r>
        <w:fldChar w:fldCharType="begin"/>
      </w:r>
      <w:r>
        <w:instrText xml:space="preserve"> PAGEREF _Toc179455207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to act as agent for Commonwealth or States</w:t>
      </w:r>
      <w:r>
        <w:tab/>
      </w:r>
      <w:r>
        <w:fldChar w:fldCharType="begin"/>
      </w:r>
      <w:r>
        <w:instrText xml:space="preserve"> PAGEREF _Toc179455208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 of Gold Corporation</w:t>
      </w:r>
    </w:p>
    <w:p>
      <w:pPr>
        <w:pStyle w:val="TOC8"/>
        <w:rPr>
          <w:rFonts w:asciiTheme="minorHAnsi" w:eastAsiaTheme="minorEastAsia" w:hAnsiTheme="minorHAnsi" w:cstheme="minorBidi"/>
          <w:szCs w:val="22"/>
        </w:rPr>
      </w:pPr>
      <w:r>
        <w:t>15</w:t>
      </w:r>
      <w:r>
        <w:rPr>
          <w:snapToGrid w:val="0"/>
        </w:rPr>
        <w:t>.</w:t>
      </w:r>
      <w:r>
        <w:rPr>
          <w:snapToGrid w:val="0"/>
        </w:rPr>
        <w:tab/>
        <w:t>Capital of Gold Corporation</w:t>
      </w:r>
      <w:r>
        <w:tab/>
      </w:r>
      <w:r>
        <w:fldChar w:fldCharType="begin"/>
      </w:r>
      <w:r>
        <w:instrText xml:space="preserve"> PAGEREF _Toc179455210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Share issues</w:t>
      </w:r>
      <w:r>
        <w:tab/>
      </w:r>
      <w:r>
        <w:fldChar w:fldCharType="begin"/>
      </w:r>
      <w:r>
        <w:instrText xml:space="preserve"> PAGEREF _Toc179455211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Treasurer</w:t>
      </w:r>
      <w:r>
        <w:tab/>
      </w:r>
      <w:r>
        <w:fldChar w:fldCharType="begin"/>
      </w:r>
      <w:r>
        <w:instrText xml:space="preserve"> PAGEREF _Toc179455212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of profits</w:t>
      </w:r>
      <w:r>
        <w:tab/>
      </w:r>
      <w:r>
        <w:fldChar w:fldCharType="begin"/>
      </w:r>
      <w:r>
        <w:instrText xml:space="preserve"> PAGEREF _Toc179455213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Guarantee by Treasurer</w:t>
      </w:r>
      <w:r>
        <w:tab/>
      </w:r>
      <w:r>
        <w:fldChar w:fldCharType="begin"/>
      </w:r>
      <w:r>
        <w:instrText xml:space="preserve"> PAGEREF _Toc179455214 \h </w:instrText>
      </w:r>
      <w:r>
        <w:fldChar w:fldCharType="separate"/>
      </w:r>
      <w:r>
        <w:t>25</w:t>
      </w:r>
      <w:r>
        <w:fldChar w:fldCharType="end"/>
      </w:r>
    </w:p>
    <w:p>
      <w:pPr>
        <w:pStyle w:val="TOC8"/>
        <w:rPr>
          <w:rFonts w:asciiTheme="minorHAnsi" w:eastAsiaTheme="minorEastAsia" w:hAnsiTheme="minorHAnsi" w:cstheme="minorBidi"/>
          <w:szCs w:val="22"/>
        </w:rPr>
      </w:pPr>
      <w:r>
        <w:t>23.</w:t>
      </w:r>
      <w:r>
        <w:tab/>
        <w:t>Charges for guarantee</w:t>
      </w:r>
      <w:r>
        <w:tab/>
      </w:r>
      <w:r>
        <w:fldChar w:fldCharType="begin"/>
      </w:r>
      <w:r>
        <w:instrText xml:space="preserve"> PAGEREF _Toc179455215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Western Australian Mint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Mint</w:t>
      </w:r>
    </w:p>
    <w:p>
      <w:pPr>
        <w:pStyle w:val="TOC8"/>
        <w:rPr>
          <w:rFonts w:asciiTheme="minorHAnsi" w:eastAsiaTheme="minorEastAsia" w:hAnsiTheme="minorHAnsi" w:cstheme="minorBidi"/>
          <w:szCs w:val="22"/>
        </w:rPr>
      </w:pPr>
      <w:r>
        <w:t>35</w:t>
      </w:r>
      <w:r>
        <w:rPr>
          <w:snapToGrid w:val="0"/>
        </w:rPr>
        <w:t>.</w:t>
      </w:r>
      <w:r>
        <w:rPr>
          <w:snapToGrid w:val="0"/>
        </w:rPr>
        <w:tab/>
        <w:t>Constitution of the Mint</w:t>
      </w:r>
      <w:r>
        <w:tab/>
      </w:r>
      <w:r>
        <w:fldChar w:fldCharType="begin"/>
      </w:r>
      <w:r>
        <w:instrText xml:space="preserve"> PAGEREF _Toc179455218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 of the Mint</w:t>
      </w:r>
      <w:r>
        <w:tab/>
      </w:r>
      <w:r>
        <w:fldChar w:fldCharType="begin"/>
      </w:r>
      <w:r>
        <w:instrText xml:space="preserve"> PAGEREF _Toc179455219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the Mint</w:t>
      </w:r>
      <w:r>
        <w:tab/>
      </w:r>
      <w:r>
        <w:fldChar w:fldCharType="begin"/>
      </w:r>
      <w:r>
        <w:instrText xml:space="preserve"> PAGEREF _Toc179455220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Prescribed symbols</w:t>
      </w:r>
      <w:r>
        <w:tab/>
      </w:r>
      <w:r>
        <w:fldChar w:fldCharType="begin"/>
      </w:r>
      <w:r>
        <w:instrText xml:space="preserve"> PAGEREF _Toc179455221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Branches of the Mint</w:t>
      </w:r>
      <w:r>
        <w:tab/>
      </w:r>
      <w:r>
        <w:fldChar w:fldCharType="begin"/>
      </w:r>
      <w:r>
        <w:instrText xml:space="preserve"> PAGEREF _Toc179455222 \h </w:instrText>
      </w:r>
      <w:r>
        <w:fldChar w:fldCharType="separate"/>
      </w:r>
      <w:r>
        <w:t>31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Managing director of the Mint</w:t>
      </w:r>
      <w:r>
        <w:tab/>
      </w:r>
      <w:r>
        <w:fldChar w:fldCharType="begin"/>
      </w:r>
      <w:r>
        <w:instrText xml:space="preserve"> PAGEREF _Toc179455223 \h </w:instrText>
      </w:r>
      <w:r>
        <w:fldChar w:fldCharType="separate"/>
      </w:r>
      <w:r>
        <w:t>31</w:t>
      </w:r>
      <w:r>
        <w:fldChar w:fldCharType="end"/>
      </w:r>
    </w:p>
    <w:p>
      <w:pPr>
        <w:pStyle w:val="TOC8"/>
        <w:rPr>
          <w:rFonts w:asciiTheme="minorHAnsi" w:eastAsiaTheme="minorEastAsia" w:hAnsiTheme="minorHAnsi" w:cstheme="minorBidi"/>
          <w:szCs w:val="22"/>
        </w:rPr>
      </w:pPr>
      <w:r>
        <w:t>41A.</w:t>
      </w:r>
      <w:r>
        <w:tab/>
        <w:t>Remuneration of managing director while Mint is not a Government entity</w:t>
      </w:r>
      <w:r>
        <w:tab/>
      </w:r>
      <w:r>
        <w:fldChar w:fldCharType="begin"/>
      </w:r>
      <w:r>
        <w:instrText xml:space="preserve"> PAGEREF _Toc179455224 \h </w:instrText>
      </w:r>
      <w:r>
        <w:fldChar w:fldCharType="separate"/>
      </w:r>
      <w:r>
        <w:t>32</w:t>
      </w:r>
      <w:r>
        <w:fldChar w:fldCharType="end"/>
      </w:r>
    </w:p>
    <w:p>
      <w:pPr>
        <w:pStyle w:val="TOC8"/>
        <w:rPr>
          <w:rFonts w:asciiTheme="minorHAnsi" w:eastAsiaTheme="minorEastAsia" w:hAnsiTheme="minorHAnsi" w:cstheme="minorBidi"/>
          <w:szCs w:val="22"/>
        </w:rPr>
      </w:pPr>
      <w:r>
        <w:t>41B.</w:t>
      </w:r>
      <w:r>
        <w:tab/>
        <w:t>Remuneration of managing director while Mint is a Government entity</w:t>
      </w:r>
      <w:r>
        <w:tab/>
      </w:r>
      <w:r>
        <w:fldChar w:fldCharType="begin"/>
      </w:r>
      <w:r>
        <w:instrText xml:space="preserve"> PAGEREF _Toc179455225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Employment by the Mint of staff and consultants</w:t>
      </w:r>
      <w:r>
        <w:tab/>
      </w:r>
      <w:r>
        <w:fldChar w:fldCharType="begin"/>
      </w:r>
      <w:r>
        <w:instrText xml:space="preserve"> PAGEREF _Toc179455226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Financial provisions of the Mint</w:t>
      </w:r>
    </w:p>
    <w:p>
      <w:pPr>
        <w:pStyle w:val="TOC8"/>
        <w:rPr>
          <w:rFonts w:asciiTheme="minorHAnsi" w:eastAsiaTheme="minorEastAsia" w:hAnsiTheme="minorHAnsi" w:cstheme="minorBidi"/>
          <w:szCs w:val="22"/>
        </w:rPr>
      </w:pPr>
      <w:r>
        <w:t>42</w:t>
      </w:r>
      <w:r>
        <w:rPr>
          <w:snapToGrid w:val="0"/>
        </w:rPr>
        <w:t>.</w:t>
      </w:r>
      <w:r>
        <w:rPr>
          <w:snapToGrid w:val="0"/>
        </w:rPr>
        <w:tab/>
        <w:t>Moneys available to the Mint</w:t>
      </w:r>
      <w:r>
        <w:tab/>
      </w:r>
      <w:r>
        <w:fldChar w:fldCharType="begin"/>
      </w:r>
      <w:r>
        <w:instrText xml:space="preserve"> PAGEREF _Toc179455228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Recovery of fees and charges</w:t>
      </w:r>
      <w:r>
        <w:tab/>
      </w:r>
      <w:r>
        <w:fldChar w:fldCharType="begin"/>
      </w:r>
      <w:r>
        <w:instrText xml:space="preserve"> PAGEREF _Toc179455229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Payments to Gold Corporation</w:t>
      </w:r>
      <w:r>
        <w:tab/>
      </w:r>
      <w:r>
        <w:fldChar w:fldCharType="begin"/>
      </w:r>
      <w:r>
        <w:instrText xml:space="preserve"> PAGEREF _Toc179455230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Security provisions</w:t>
      </w:r>
    </w:p>
    <w:p>
      <w:pPr>
        <w:pStyle w:val="TOC8"/>
        <w:rPr>
          <w:rFonts w:asciiTheme="minorHAnsi" w:eastAsiaTheme="minorEastAsia" w:hAnsiTheme="minorHAnsi" w:cstheme="minorBidi"/>
          <w:szCs w:val="22"/>
        </w:rPr>
      </w:pPr>
      <w:r>
        <w:t>45</w:t>
      </w:r>
      <w:r>
        <w:rPr>
          <w:snapToGrid w:val="0"/>
        </w:rPr>
        <w:t>.</w:t>
      </w:r>
      <w:r>
        <w:rPr>
          <w:snapToGrid w:val="0"/>
        </w:rPr>
        <w:tab/>
        <w:t>Title to gold and other residues</w:t>
      </w:r>
      <w:r>
        <w:tab/>
      </w:r>
      <w:r>
        <w:fldChar w:fldCharType="begin"/>
      </w:r>
      <w:r>
        <w:instrText xml:space="preserve"> PAGEREF _Toc179455232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Detention of suspects</w:t>
      </w:r>
      <w:r>
        <w:tab/>
      </w:r>
      <w:r>
        <w:fldChar w:fldCharType="begin"/>
      </w:r>
      <w:r>
        <w:instrText xml:space="preserve"> PAGEREF _Toc179455233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Protection of the Mint name, symbol etc.</w:t>
      </w:r>
      <w:r>
        <w:tab/>
      </w:r>
      <w:r>
        <w:fldChar w:fldCharType="begin"/>
      </w:r>
      <w:r>
        <w:instrText xml:space="preserve"> PAGEREF _Toc179455234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GoldCorp Australia</w:t>
      </w:r>
    </w:p>
    <w:p>
      <w:pPr>
        <w:pStyle w:val="TOC8"/>
        <w:rPr>
          <w:rFonts w:asciiTheme="minorHAnsi" w:eastAsiaTheme="minorEastAsia" w:hAnsiTheme="minorHAnsi" w:cstheme="minorBidi"/>
          <w:szCs w:val="22"/>
        </w:rPr>
      </w:pPr>
      <w:r>
        <w:t>48</w:t>
      </w:r>
      <w:r>
        <w:rPr>
          <w:snapToGrid w:val="0"/>
        </w:rPr>
        <w:t>.</w:t>
      </w:r>
      <w:r>
        <w:rPr>
          <w:snapToGrid w:val="0"/>
        </w:rPr>
        <w:tab/>
        <w:t>Constitution of GoldCorp Australia as a body corporate</w:t>
      </w:r>
      <w:r>
        <w:tab/>
      </w:r>
      <w:r>
        <w:fldChar w:fldCharType="begin"/>
      </w:r>
      <w:r>
        <w:instrText xml:space="preserve"> PAGEREF _Toc179455236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Functions of GoldCorp</w:t>
      </w:r>
      <w:r>
        <w:tab/>
      </w:r>
      <w:r>
        <w:fldChar w:fldCharType="begin"/>
      </w:r>
      <w:r>
        <w:instrText xml:space="preserve"> PAGEREF _Toc179455237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Powers of GoldCorp</w:t>
      </w:r>
      <w:r>
        <w:tab/>
      </w:r>
      <w:r>
        <w:fldChar w:fldCharType="begin"/>
      </w:r>
      <w:r>
        <w:instrText xml:space="preserve"> PAGEREF _Toc179455238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Managing director of GoldCorp</w:t>
      </w:r>
      <w:r>
        <w:tab/>
      </w:r>
      <w:r>
        <w:fldChar w:fldCharType="begin"/>
      </w:r>
      <w:r>
        <w:instrText xml:space="preserve"> PAGEREF _Toc179455239 \h </w:instrText>
      </w:r>
      <w:r>
        <w:fldChar w:fldCharType="separate"/>
      </w:r>
      <w:r>
        <w:t>42</w:t>
      </w:r>
      <w:r>
        <w:fldChar w:fldCharType="end"/>
      </w:r>
    </w:p>
    <w:p>
      <w:pPr>
        <w:pStyle w:val="TOC8"/>
        <w:rPr>
          <w:rFonts w:asciiTheme="minorHAnsi" w:eastAsiaTheme="minorEastAsia" w:hAnsiTheme="minorHAnsi" w:cstheme="minorBidi"/>
          <w:szCs w:val="22"/>
        </w:rPr>
      </w:pPr>
      <w:r>
        <w:t>52A.</w:t>
      </w:r>
      <w:r>
        <w:tab/>
        <w:t>Remuneration of managing director while GoldCorp is not a Government entity</w:t>
      </w:r>
      <w:r>
        <w:tab/>
      </w:r>
      <w:r>
        <w:fldChar w:fldCharType="begin"/>
      </w:r>
      <w:r>
        <w:instrText xml:space="preserve"> PAGEREF _Toc179455240 \h </w:instrText>
      </w:r>
      <w:r>
        <w:fldChar w:fldCharType="separate"/>
      </w:r>
      <w:r>
        <w:t>43</w:t>
      </w:r>
      <w:r>
        <w:fldChar w:fldCharType="end"/>
      </w:r>
    </w:p>
    <w:p>
      <w:pPr>
        <w:pStyle w:val="TOC8"/>
        <w:rPr>
          <w:rFonts w:asciiTheme="minorHAnsi" w:eastAsiaTheme="minorEastAsia" w:hAnsiTheme="minorHAnsi" w:cstheme="minorBidi"/>
          <w:szCs w:val="22"/>
        </w:rPr>
      </w:pPr>
      <w:r>
        <w:t>52B.</w:t>
      </w:r>
      <w:r>
        <w:tab/>
        <w:t>Remuneration of managing director while GoldCorp is a Government entity</w:t>
      </w:r>
      <w:r>
        <w:tab/>
      </w:r>
      <w:r>
        <w:fldChar w:fldCharType="begin"/>
      </w:r>
      <w:r>
        <w:instrText xml:space="preserve"> PAGEREF _Toc179455241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Employment by GoldCorp of staff and consultants</w:t>
      </w:r>
      <w:r>
        <w:tab/>
      </w:r>
      <w:r>
        <w:fldChar w:fldCharType="begin"/>
      </w:r>
      <w:r>
        <w:instrText xml:space="preserve"> PAGEREF _Toc179455242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Payments to Gold Corporation</w:t>
      </w:r>
      <w:r>
        <w:tab/>
      </w:r>
      <w:r>
        <w:fldChar w:fldCharType="begin"/>
      </w:r>
      <w:r>
        <w:instrText xml:space="preserve"> PAGEREF _Toc179455243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VIII — Accounts and audit</w:t>
      </w:r>
    </w:p>
    <w:p>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_Toc179455245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Funding</w:t>
      </w:r>
      <w:r>
        <w:tab/>
      </w:r>
      <w:r>
        <w:fldChar w:fldCharType="begin"/>
      </w:r>
      <w:r>
        <w:instrText xml:space="preserve"> PAGEREF _Toc179455246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matters</w:t>
      </w:r>
    </w:p>
    <w:p>
      <w:pPr>
        <w:pStyle w:val="TOC8"/>
        <w:rPr>
          <w:rFonts w:asciiTheme="minorHAnsi" w:eastAsiaTheme="minorEastAsia" w:hAnsiTheme="minorHAnsi" w:cstheme="minorBidi"/>
          <w:szCs w:val="22"/>
        </w:rPr>
      </w:pPr>
      <w:r>
        <w:t>67</w:t>
      </w:r>
      <w:r>
        <w:rPr>
          <w:snapToGrid w:val="0"/>
        </w:rPr>
        <w:t>.</w:t>
      </w:r>
      <w:r>
        <w:rPr>
          <w:snapToGrid w:val="0"/>
        </w:rPr>
        <w:tab/>
        <w:t>Title to gold etc.</w:t>
      </w:r>
      <w:r>
        <w:tab/>
      </w:r>
      <w:r>
        <w:fldChar w:fldCharType="begin"/>
      </w:r>
      <w:r>
        <w:instrText xml:space="preserve"> PAGEREF _Toc179455248 \h </w:instrText>
      </w:r>
      <w:r>
        <w:fldChar w:fldCharType="separate"/>
      </w:r>
      <w:r>
        <w:t>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Employment by Gold Corporation of staff and consultants</w:t>
      </w:r>
      <w:r>
        <w:tab/>
      </w:r>
      <w:r>
        <w:fldChar w:fldCharType="begin"/>
      </w:r>
      <w:r>
        <w:instrText xml:space="preserve"> PAGEREF _Toc179455249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staff and facilities of departments and instrumentalities etc.</w:t>
      </w:r>
      <w:r>
        <w:tab/>
      </w:r>
      <w:r>
        <w:fldChar w:fldCharType="begin"/>
      </w:r>
      <w:r>
        <w:instrText xml:space="preserve"> PAGEREF _Toc179455250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Superannuation</w:t>
      </w:r>
      <w:r>
        <w:tab/>
      </w:r>
      <w:r>
        <w:fldChar w:fldCharType="begin"/>
      </w:r>
      <w:r>
        <w:instrText xml:space="preserve"> PAGEREF _Toc179455251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and liability of directors</w:t>
      </w:r>
      <w:r>
        <w:tab/>
      </w:r>
      <w:r>
        <w:fldChar w:fldCharType="begin"/>
      </w:r>
      <w:r>
        <w:instrText xml:space="preserve"> PAGEREF _Toc179455252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Improper use of position or information</w:t>
      </w:r>
      <w:r>
        <w:tab/>
      </w:r>
      <w:r>
        <w:fldChar w:fldCharType="begin"/>
      </w:r>
      <w:r>
        <w:instrText xml:space="preserve"> PAGEREF _Toc179455253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Contravention of sections 71 and 72</w:t>
      </w:r>
      <w:r>
        <w:tab/>
      </w:r>
      <w:r>
        <w:fldChar w:fldCharType="begin"/>
      </w:r>
      <w:r>
        <w:instrText xml:space="preserve"> PAGEREF _Toc179455254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Secrecy and security of records of Gold Corporation and its subsidiaries</w:t>
      </w:r>
      <w:r>
        <w:tab/>
      </w:r>
      <w:r>
        <w:fldChar w:fldCharType="begin"/>
      </w:r>
      <w:r>
        <w:instrText xml:space="preserve"> PAGEREF _Toc179455255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Security</w:t>
      </w:r>
      <w:r>
        <w:tab/>
      </w:r>
      <w:r>
        <w:fldChar w:fldCharType="begin"/>
      </w:r>
      <w:r>
        <w:instrText xml:space="preserve"> PAGEREF _Toc179455256 \h </w:instrText>
      </w:r>
      <w:r>
        <w:fldChar w:fldCharType="separate"/>
      </w:r>
      <w:r>
        <w:t>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_Toc179455257 \h </w:instrText>
      </w:r>
      <w:r>
        <w:fldChar w:fldCharType="separate"/>
      </w:r>
      <w:r>
        <w:t>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Repeal</w:t>
      </w:r>
      <w:r>
        <w:tab/>
      </w:r>
      <w:r>
        <w:fldChar w:fldCharType="begin"/>
      </w:r>
      <w:r>
        <w:instrText xml:space="preserve"> PAGEREF _Toc179455258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directors and the procedure of the Board</w:t>
      </w:r>
    </w:p>
    <w:p>
      <w:pPr>
        <w:pStyle w:val="TOC8"/>
        <w:rPr>
          <w:rFonts w:asciiTheme="minorHAnsi" w:eastAsiaTheme="minorEastAsia" w:hAnsiTheme="minorHAnsi" w:cstheme="minorBidi"/>
          <w:szCs w:val="22"/>
        </w:rPr>
      </w:pPr>
      <w:r>
        <w:t>1</w:t>
      </w:r>
      <w:r>
        <w:rPr>
          <w:snapToGrid w:val="0"/>
        </w:rPr>
        <w:t>.</w:t>
      </w:r>
      <w:r>
        <w:rPr>
          <w:snapToGrid w:val="0"/>
        </w:rPr>
        <w:tab/>
        <w:t>Term of office of directors</w:t>
      </w:r>
      <w:r>
        <w:tab/>
      </w:r>
      <w:r>
        <w:fldChar w:fldCharType="begin"/>
      </w:r>
      <w:r>
        <w:instrText xml:space="preserve"> PAGEREF _Toc179455260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Vacation of office</w:t>
      </w:r>
      <w:r>
        <w:tab/>
      </w:r>
      <w:r>
        <w:fldChar w:fldCharType="begin"/>
      </w:r>
      <w:r>
        <w:instrText xml:space="preserve"> PAGEREF _Toc179455261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Temporary directors</w:t>
      </w:r>
      <w:r>
        <w:tab/>
      </w:r>
      <w:r>
        <w:fldChar w:fldCharType="begin"/>
      </w:r>
      <w:r>
        <w:instrText xml:space="preserve"> PAGEREF _Toc179455262 \h </w:instrText>
      </w:r>
      <w:r>
        <w:fldChar w:fldCharType="separate"/>
      </w:r>
      <w:r>
        <w:t>60</w:t>
      </w:r>
      <w:r>
        <w:fldChar w:fldCharType="end"/>
      </w:r>
    </w:p>
    <w:p>
      <w:pPr>
        <w:pStyle w:val="TOC8"/>
        <w:rPr>
          <w:rFonts w:asciiTheme="minorHAnsi" w:eastAsiaTheme="minorEastAsia" w:hAnsiTheme="minorHAnsi" w:cstheme="minorBidi"/>
          <w:szCs w:val="22"/>
        </w:rPr>
      </w:pPr>
      <w:r>
        <w:rPr>
          <w:snapToGrid w:val="0"/>
        </w:rPr>
        <w:t>4.</w:t>
      </w:r>
      <w:r>
        <w:rPr>
          <w:snapToGrid w:val="0"/>
        </w:rPr>
        <w:tab/>
        <w:t>Remuneration of certain directors</w:t>
      </w:r>
      <w:r>
        <w:tab/>
      </w:r>
      <w:r>
        <w:fldChar w:fldCharType="begin"/>
      </w:r>
      <w:r>
        <w:instrText xml:space="preserve"> PAGEREF _Toc179455263 \h </w:instrText>
      </w:r>
      <w:r>
        <w:fldChar w:fldCharType="separate"/>
      </w:r>
      <w:r>
        <w:t>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Restrictions on loans to directors</w:t>
      </w:r>
      <w:r>
        <w:tab/>
      </w:r>
      <w:r>
        <w:fldChar w:fldCharType="begin"/>
      </w:r>
      <w:r>
        <w:instrText xml:space="preserve"> PAGEREF _Toc179455264 \h </w:instrText>
      </w:r>
      <w:r>
        <w:fldChar w:fldCharType="separate"/>
      </w:r>
      <w:r>
        <w:t>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Liability of directors</w:t>
      </w:r>
      <w:r>
        <w:tab/>
      </w:r>
      <w:r>
        <w:fldChar w:fldCharType="begin"/>
      </w:r>
      <w:r>
        <w:instrText xml:space="preserve"> PAGEREF _Toc179455265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7.</w:t>
      </w:r>
      <w:r>
        <w:rPr>
          <w:snapToGrid w:val="0"/>
        </w:rPr>
        <w:tab/>
        <w:t>General procedure concerning meetings</w:t>
      </w:r>
      <w:r>
        <w:tab/>
      </w:r>
      <w:r>
        <w:fldChar w:fldCharType="begin"/>
      </w:r>
      <w:r>
        <w:instrText xml:space="preserve"> PAGEREF _Toc179455266 \h </w:instrText>
      </w:r>
      <w:r>
        <w:fldChar w:fldCharType="separate"/>
      </w:r>
      <w:r>
        <w:t>61</w:t>
      </w:r>
      <w:r>
        <w:fldChar w:fldCharType="end"/>
      </w:r>
    </w:p>
    <w:p>
      <w:pPr>
        <w:pStyle w:val="TOC8"/>
        <w:rPr>
          <w:rFonts w:asciiTheme="minorHAnsi" w:eastAsiaTheme="minorEastAsia" w:hAnsiTheme="minorHAnsi" w:cstheme="minorBidi"/>
          <w:szCs w:val="22"/>
        </w:rPr>
      </w:pPr>
      <w:r>
        <w:rPr>
          <w:snapToGrid w:val="0"/>
        </w:rPr>
        <w:t>8.</w:t>
      </w:r>
      <w:r>
        <w:rPr>
          <w:snapToGrid w:val="0"/>
        </w:rPr>
        <w:tab/>
        <w:t>Presiding member</w:t>
      </w:r>
      <w:r>
        <w:tab/>
      </w:r>
      <w:r>
        <w:fldChar w:fldCharType="begin"/>
      </w:r>
      <w:r>
        <w:instrText xml:space="preserve"> PAGEREF _Toc179455267 \h </w:instrText>
      </w:r>
      <w:r>
        <w:fldChar w:fldCharType="separate"/>
      </w:r>
      <w:r>
        <w:t>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Declaration of interests by directors</w:t>
      </w:r>
      <w:r>
        <w:tab/>
      </w:r>
      <w:r>
        <w:fldChar w:fldCharType="begin"/>
      </w:r>
      <w:r>
        <w:instrText xml:space="preserve"> PAGEREF _Toc179455268 \h </w:instrText>
      </w:r>
      <w:r>
        <w:fldChar w:fldCharType="separate"/>
      </w:r>
      <w:r>
        <w:t>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Conflict of interest</w:t>
      </w:r>
      <w:r>
        <w:tab/>
      </w:r>
      <w:r>
        <w:fldChar w:fldCharType="begin"/>
      </w:r>
      <w:r>
        <w:instrText xml:space="preserve"> PAGEREF _Toc179455269 \h </w:instrText>
      </w:r>
      <w:r>
        <w:fldChar w:fldCharType="separate"/>
      </w:r>
      <w:r>
        <w:t>62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_Toc179455270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12.</w:t>
      </w:r>
      <w:r>
        <w:rPr>
          <w:snapToGrid w:val="0"/>
        </w:rPr>
        <w:tab/>
        <w:t>Quorum</w:t>
      </w:r>
      <w:r>
        <w:tab/>
      </w:r>
      <w:r>
        <w:fldChar w:fldCharType="begin"/>
      </w:r>
      <w:r>
        <w:instrText xml:space="preserve"> PAGEREF _Toc179455271 \h </w:instrText>
      </w:r>
      <w:r>
        <w:fldChar w:fldCharType="separate"/>
      </w:r>
      <w:r>
        <w:t>63</w:t>
      </w:r>
      <w:r>
        <w:fldChar w:fldCharType="end"/>
      </w:r>
    </w:p>
    <w:p>
      <w:pPr>
        <w:pStyle w:val="TOC8"/>
        <w:rPr>
          <w:rFonts w:asciiTheme="minorHAnsi" w:eastAsiaTheme="minorEastAsia" w:hAnsiTheme="minorHAnsi" w:cstheme="minorBidi"/>
          <w:szCs w:val="22"/>
        </w:rPr>
      </w:pPr>
      <w:r>
        <w:rPr>
          <w:snapToGrid w:val="0"/>
        </w:rPr>
        <w:t>13.</w:t>
      </w:r>
      <w:r>
        <w:rPr>
          <w:snapToGrid w:val="0"/>
        </w:rPr>
        <w:tab/>
        <w:t>Minutes</w:t>
      </w:r>
      <w:r>
        <w:tab/>
      </w:r>
      <w:r>
        <w:fldChar w:fldCharType="begin"/>
      </w:r>
      <w:r>
        <w:instrText xml:space="preserve"> PAGEREF _Toc179455272 \h </w:instrText>
      </w:r>
      <w:r>
        <w:fldChar w:fldCharType="separate"/>
      </w:r>
      <w:r>
        <w:t>63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Resolution may be passed without meeting</w:t>
      </w:r>
      <w:r>
        <w:tab/>
      </w:r>
      <w:r>
        <w:fldChar w:fldCharType="begin"/>
      </w:r>
      <w:r>
        <w:instrText xml:space="preserve"> PAGEREF _Toc179455273 \h </w:instrText>
      </w:r>
      <w:r>
        <w:fldChar w:fldCharType="separate"/>
      </w:r>
      <w:r>
        <w:t>63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Leave of absence</w:t>
      </w:r>
      <w:r>
        <w:tab/>
      </w:r>
      <w:r>
        <w:fldChar w:fldCharType="begin"/>
      </w:r>
      <w:r>
        <w:instrText xml:space="preserve"> PAGEREF _Toc179455274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17.</w:t>
      </w:r>
      <w:r>
        <w:rPr>
          <w:snapToGrid w:val="0"/>
        </w:rPr>
        <w:tab/>
        <w:t>Common seals, and the use of facsimiles</w:t>
      </w:r>
      <w:r>
        <w:tab/>
      </w:r>
      <w:r>
        <w:fldChar w:fldCharType="begin"/>
      </w:r>
      <w:r>
        <w:instrText xml:space="preserve"> PAGEREF _Toc179455275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 concerning the Mint</w:t>
      </w:r>
    </w:p>
    <w:p>
      <w:pPr>
        <w:pStyle w:val="TOC8"/>
        <w:rPr>
          <w:rFonts w:asciiTheme="minorHAnsi" w:eastAsiaTheme="minorEastAsia" w:hAnsiTheme="minorHAnsi" w:cstheme="minorBidi"/>
          <w:szCs w:val="22"/>
        </w:rPr>
      </w:pPr>
      <w:r>
        <w:t>1</w:t>
      </w:r>
      <w:r>
        <w:rPr>
          <w:snapToGrid w:val="0"/>
        </w:rPr>
        <w:t>.</w:t>
      </w:r>
      <w:r>
        <w:rPr>
          <w:snapToGrid w:val="0"/>
        </w:rPr>
        <w:tab/>
        <w:t>Terms used in this Schedule</w:t>
      </w:r>
      <w:r>
        <w:tab/>
      </w:r>
      <w:r>
        <w:fldChar w:fldCharType="begin"/>
      </w:r>
      <w:r>
        <w:instrText xml:space="preserve"> PAGEREF _Toc179455277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arrangements as to employment</w:t>
      </w:r>
      <w:r>
        <w:tab/>
      </w:r>
      <w:r>
        <w:fldChar w:fldCharType="begin"/>
      </w:r>
      <w:r>
        <w:instrText xml:space="preserve"> PAGEREF _Toc179455278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Transitional termination and re</w:t>
      </w:r>
      <w:r>
        <w:rPr>
          <w:snapToGrid w:val="0"/>
        </w:rPr>
        <w:noBreakHyphen/>
        <w:t>employment scheme</w:t>
      </w:r>
      <w:r>
        <w:tab/>
      </w:r>
      <w:r>
        <w:fldChar w:fldCharType="begin"/>
      </w:r>
      <w:r>
        <w:instrText xml:space="preserve"> PAGEREF _Toc179455279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Continuity of service and superannuation</w:t>
      </w:r>
      <w:r>
        <w:tab/>
      </w:r>
      <w:r>
        <w:fldChar w:fldCharType="begin"/>
      </w:r>
      <w:r>
        <w:instrText xml:space="preserve"> PAGEREF _Toc179455280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Managing Director of the Mint</w:t>
      </w:r>
      <w:r>
        <w:tab/>
      </w:r>
      <w:r>
        <w:fldChar w:fldCharType="begin"/>
      </w:r>
      <w:r>
        <w:instrText xml:space="preserve"> PAGEREF _Toc179455281 \h </w:instrText>
      </w:r>
      <w:r>
        <w:fldChar w:fldCharType="separate"/>
      </w:r>
      <w:r>
        <w:t>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Transfer of certain functions of directors of the Mint</w:t>
      </w:r>
      <w:r>
        <w:tab/>
      </w:r>
      <w:r>
        <w:fldChar w:fldCharType="begin"/>
      </w:r>
      <w:r>
        <w:instrText xml:space="preserve"> PAGEREF _Toc179455282 \h </w:instrText>
      </w:r>
      <w:r>
        <w:fldChar w:fldCharType="separate"/>
      </w:r>
      <w:r>
        <w:t>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 for employment benefits</w:t>
      </w:r>
      <w:r>
        <w:tab/>
      </w:r>
      <w:r>
        <w:fldChar w:fldCharType="begin"/>
      </w:r>
      <w:r>
        <w:instrText xml:space="preserve"> PAGEREF _Toc179455283 \h </w:instrText>
      </w:r>
      <w:r>
        <w:fldChar w:fldCharType="separate"/>
      </w:r>
      <w:r>
        <w:t>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Amounts payable to the Consolidated Account</w:t>
      </w:r>
      <w:r>
        <w:tab/>
      </w:r>
      <w:r>
        <w:fldChar w:fldCharType="begin"/>
      </w:r>
      <w:r>
        <w:instrText xml:space="preserve"> PAGEREF _Toc179455284 \h </w:instrText>
      </w:r>
      <w:r>
        <w:fldChar w:fldCharType="separate"/>
      </w:r>
      <w:r>
        <w:t>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Construction of references</w:t>
      </w:r>
      <w:r>
        <w:tab/>
      </w:r>
      <w:r>
        <w:fldChar w:fldCharType="begin"/>
      </w:r>
      <w:r>
        <w:instrText xml:space="preserve"> PAGEREF _Toc179455285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_Toc179455287 \h </w:instrText>
      </w:r>
      <w:r>
        <w:fldChar w:fldCharType="separate"/>
      </w:r>
      <w:r>
        <w:t>72</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_Toc179455288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_Toc179455289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_Toc179455290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No. 10 of 1990 s. 4.] </w:t>
      </w:r>
    </w:p>
    <w:p>
      <w:pPr>
        <w:pStyle w:val="Heading2"/>
      </w:pPr>
      <w:bookmarkStart w:id="2" w:name="_Toc169939097"/>
      <w:bookmarkStart w:id="3" w:name="_Toc170119810"/>
      <w:bookmarkStart w:id="4" w:name="_Toc178839844"/>
      <w:bookmarkStart w:id="5" w:name="_Toc179210129"/>
      <w:bookmarkStart w:id="6" w:name="_Toc17945518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79455190"/>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rPr>
        <w:t>.</w:t>
      </w:r>
    </w:p>
    <w:p>
      <w:pPr>
        <w:pStyle w:val="Footnotesection"/>
      </w:pPr>
      <w:r>
        <w:tab/>
        <w:t xml:space="preserve">[Section 1 amended: No. 10 of 1990 s. 5.] </w:t>
      </w:r>
    </w:p>
    <w:p>
      <w:pPr>
        <w:pStyle w:val="Heading5"/>
        <w:rPr>
          <w:snapToGrid w:val="0"/>
        </w:rPr>
      </w:pPr>
      <w:bookmarkStart w:id="8" w:name="_Toc179455191"/>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9" w:name="_Toc179455192"/>
      <w:r>
        <w:rPr>
          <w:rStyle w:val="CharSectno"/>
        </w:rPr>
        <w:t>3</w:t>
      </w:r>
      <w:r>
        <w:rPr>
          <w:snapToGrid w:val="0"/>
        </w:rPr>
        <w:t>.</w:t>
      </w:r>
      <w:r>
        <w:rPr>
          <w:snapToGrid w:val="0"/>
        </w:rPr>
        <w:tab/>
        <w:t>Terms used in this Act</w:t>
      </w:r>
      <w:bookmarkEnd w:id="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Australian currency</w:t>
      </w:r>
      <w:r>
        <w:t xml:space="preserve"> means the lawful currency of Australia;</w:t>
      </w:r>
    </w:p>
    <w:p>
      <w:pPr>
        <w:pStyle w:val="Defstart"/>
      </w:pPr>
      <w:r>
        <w:rPr>
          <w:b/>
        </w:rPr>
        <w:tab/>
      </w:r>
      <w:r>
        <w:rPr>
          <w:rStyle w:val="CharDefText"/>
        </w:rPr>
        <w:t>Board</w:t>
      </w:r>
      <w:r>
        <w:t xml:space="preserve"> means the board of directors of Gold Corporation constituted by section 5;</w:t>
      </w:r>
    </w:p>
    <w:p>
      <w:pPr>
        <w:pStyle w:val="Defstart"/>
      </w:pPr>
      <w:r>
        <w:rPr>
          <w:b/>
        </w:rPr>
        <w:tab/>
      </w:r>
      <w:r>
        <w:rPr>
          <w:rStyle w:val="CharDefText"/>
        </w:rPr>
        <w:t>business undertaking</w:t>
      </w:r>
      <w:r>
        <w:t xml:space="preserve"> means a body corporate or unincorporate engaging in or proposing to engage in any industry whether or not the industry is related to the gold industry;</w:t>
      </w:r>
    </w:p>
    <w:p>
      <w:pPr>
        <w:pStyle w:val="Defstart"/>
      </w:pPr>
      <w:r>
        <w:rPr>
          <w:b/>
        </w:rPr>
        <w:tab/>
      </w:r>
      <w:r>
        <w:rPr>
          <w:rStyle w:val="CharDefText"/>
        </w:rPr>
        <w:t>chief executive officer</w:t>
      </w:r>
      <w:r>
        <w:t xml:space="preserve"> means the person holding office as chief executive officer of Gold Corporation appointed under section 7;</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deputy chief executive officer</w:t>
      </w:r>
      <w:r>
        <w:t xml:space="preserve"> means the person holding office as the deputy chief executive officer of Gold Corporation appointed under section 7;</w:t>
      </w:r>
    </w:p>
    <w:p>
      <w:pPr>
        <w:pStyle w:val="Defstart"/>
      </w:pPr>
      <w:r>
        <w:rPr>
          <w:b/>
        </w:rPr>
        <w:tab/>
      </w:r>
      <w:r>
        <w:rPr>
          <w:rStyle w:val="CharDefText"/>
        </w:rPr>
        <w:t>director</w:t>
      </w:r>
      <w:r>
        <w:t xml:space="preserve"> means a person holding office as a member of the board of directors of Gold Corporation under section 5;</w:t>
      </w:r>
    </w:p>
    <w:p>
      <w:pPr>
        <w:pStyle w:val="Defstart"/>
      </w:pPr>
      <w:r>
        <w:rPr>
          <w:b/>
        </w:rPr>
        <w:tab/>
      </w:r>
      <w:r>
        <w:rPr>
          <w:rStyle w:val="CharDefText"/>
        </w:rPr>
        <w:t>foreign currency</w:t>
      </w:r>
      <w:r>
        <w:t xml:space="preserve"> means the lawful currency of a country other than Australia;</w:t>
      </w:r>
    </w:p>
    <w:p>
      <w:pPr>
        <w:pStyle w:val="Defstart"/>
        <w:keepNext/>
        <w:keepLines/>
      </w:pPr>
      <w:r>
        <w:rPr>
          <w:b/>
        </w:rPr>
        <w:lastRenderedPageBreak/>
        <w:tab/>
      </w:r>
      <w:r>
        <w:rPr>
          <w:rStyle w:val="CharDefText"/>
        </w:rPr>
        <w:t>Gold Bank</w:t>
      </w:r>
      <w:r>
        <w:t xml:space="preserve"> means the corporation of that name formerly constituted under section 4 prior to the coming into operation of section 9 of the </w:t>
      </w:r>
      <w:r>
        <w:rPr>
          <w:i/>
        </w:rPr>
        <w:t>Acts Amendment (Gold Banking Corporation) Act 1990</w:t>
      </w:r>
      <w:r>
        <w:t>;</w:t>
      </w:r>
    </w:p>
    <w:p>
      <w:pPr>
        <w:pStyle w:val="Defstart"/>
      </w:pPr>
      <w:r>
        <w:rPr>
          <w:b/>
        </w:rPr>
        <w:tab/>
      </w:r>
      <w:r>
        <w:rPr>
          <w:rStyle w:val="CharDefText"/>
        </w:rPr>
        <w:t>GoldCorp</w:t>
      </w:r>
      <w:r>
        <w:t xml:space="preserve"> means the subsidiary of Gold Corporation known as GoldCorp Australia constituted under section 48;</w:t>
      </w:r>
    </w:p>
    <w:p>
      <w:pPr>
        <w:pStyle w:val="Defstart"/>
      </w:pPr>
      <w:r>
        <w:rPr>
          <w:b/>
        </w:rPr>
        <w:tab/>
      </w:r>
      <w:r>
        <w:rPr>
          <w:rStyle w:val="CharDefText"/>
        </w:rPr>
        <w:t>Gold Corporation</w:t>
      </w:r>
      <w:r>
        <w:t xml:space="preserve"> means the Gold Corporation constituted under section 4;</w:t>
      </w:r>
    </w:p>
    <w:p>
      <w:pPr>
        <w:pStyle w:val="Defstart"/>
      </w:pPr>
      <w:r>
        <w:rPr>
          <w:b/>
        </w:rPr>
        <w:tab/>
      </w:r>
      <w:r>
        <w:rPr>
          <w:rStyle w:val="CharDefText"/>
        </w:rPr>
        <w:t>industry</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r>
      <w:r>
        <w:rPr>
          <w:rStyle w:val="CharDefText"/>
        </w:rPr>
        <w:t>minerals</w:t>
      </w:r>
      <w:r>
        <w:t xml:space="preserve"> means any solid, liquefied or gaseous inorganic or organic matter and includes petroleum and gas;</w:t>
      </w:r>
    </w:p>
    <w:p>
      <w:pPr>
        <w:pStyle w:val="Defstart"/>
      </w:pPr>
      <w:r>
        <w:rPr>
          <w:b/>
        </w:rPr>
        <w:tab/>
      </w:r>
      <w:r>
        <w:rPr>
          <w:rStyle w:val="CharDefText"/>
        </w:rPr>
        <w:t>Mint</w:t>
      </w:r>
      <w:r>
        <w:t xml:space="preserve"> means the Western Australian Mint preserved and continued in existence under section 35;</w:t>
      </w:r>
    </w:p>
    <w:p>
      <w:pPr>
        <w:pStyle w:val="Defstart"/>
      </w:pPr>
      <w:r>
        <w:rPr>
          <w:b/>
        </w:rPr>
        <w:tab/>
      </w:r>
      <w:r>
        <w:rPr>
          <w:rStyle w:val="CharDefText"/>
        </w:rPr>
        <w:t>money</w:t>
      </w:r>
      <w:r>
        <w:t xml:space="preserve"> means Australian currency and foreign currency;</w:t>
      </w:r>
    </w:p>
    <w:p>
      <w:pPr>
        <w:pStyle w:val="Defstart"/>
      </w:pPr>
      <w:r>
        <w:rPr>
          <w:b/>
        </w:rPr>
        <w:tab/>
      </w:r>
      <w:r>
        <w:rPr>
          <w:rStyle w:val="CharDefText"/>
        </w:rPr>
        <w:t>repealed Act</w:t>
      </w:r>
      <w:r>
        <w:t xml:space="preserve"> means the </w:t>
      </w:r>
      <w:r>
        <w:rPr>
          <w:i/>
        </w:rPr>
        <w:t>Western Australian Mint Act 1970</w:t>
      </w:r>
      <w:r>
        <w:t>;</w:t>
      </w:r>
    </w:p>
    <w:p>
      <w:pPr>
        <w:pStyle w:val="Defstart"/>
      </w:pPr>
      <w:r>
        <w:rPr>
          <w:b/>
        </w:rPr>
        <w:tab/>
      </w:r>
      <w:r>
        <w:rPr>
          <w:rStyle w:val="CharDefText"/>
        </w:rPr>
        <w:t>statutory authority</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r>
      <w:r>
        <w:rPr>
          <w:rStyle w:val="CharDefText"/>
        </w:rPr>
        <w:t>subsidiary</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 body determined to be a subsidiary of Gold Corporation under subsection (3);</w:t>
      </w:r>
    </w:p>
    <w:p>
      <w:pPr>
        <w:pStyle w:val="Defstart"/>
      </w:pPr>
      <w:r>
        <w:rPr>
          <w:b/>
        </w:rPr>
        <w:tab/>
      </w:r>
      <w:r>
        <w:rPr>
          <w:rStyle w:val="CharDefText"/>
        </w:rPr>
        <w:t>the Account</w:t>
      </w:r>
      <w:r>
        <w:t xml:space="preserve"> means the banking accounts together constituting the Gold Corporation Account referred to in section 55;</w:t>
      </w:r>
    </w:p>
    <w:p>
      <w:pPr>
        <w:pStyle w:val="Defstart"/>
      </w:pPr>
      <w:r>
        <w:rPr>
          <w:b/>
        </w:rPr>
        <w:lastRenderedPageBreak/>
        <w:tab/>
      </w:r>
      <w:r>
        <w:rPr>
          <w:rStyle w:val="CharDefText"/>
        </w:rPr>
        <w:t>The Director of The Perth Mint</w:t>
      </w:r>
      <w:r>
        <w:t xml:space="preserve"> means the body corporate of that name constituted under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r>
      <w:r>
        <w:rPr>
          <w:rStyle w:val="CharDefText"/>
        </w:rPr>
        <w:t>Treasurer</w:t>
      </w:r>
      <w:r>
        <w:t xml:space="preserve"> means the Treasurer of the State;</w:t>
      </w:r>
    </w:p>
    <w:p>
      <w:pPr>
        <w:pStyle w:val="Defstart"/>
      </w:pPr>
      <w:r>
        <w:tab/>
      </w:r>
      <w:r>
        <w:rPr>
          <w:rStyle w:val="CharDefText"/>
        </w:rPr>
        <w:t>Treasury</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Subsection"/>
      </w:pPr>
      <w:r>
        <w:tab/>
        <w:t>(3)</w:t>
      </w:r>
      <w:r>
        <w:tab/>
        <w:t>Part 1.2 Division 6 of the Corporations Act applies for the purpose of determining whether a body is a subsidiary of Gold Corporation.</w:t>
      </w:r>
    </w:p>
    <w:p>
      <w:pPr>
        <w:pStyle w:val="Footnotesection"/>
      </w:pPr>
      <w:r>
        <w:tab/>
        <w:t xml:space="preserve">[Section 3 amended: No. 10 of 1990 s. 6 and 7; No. 73 of 1994 s. 4; No. 20 of 2003 s. 25; No. 28 of 2006 s. 415; No. 8 of 2009 s. 65.] </w:t>
      </w:r>
    </w:p>
    <w:p>
      <w:pPr>
        <w:pStyle w:val="Heading2"/>
      </w:pPr>
      <w:bookmarkStart w:id="10" w:name="_Toc169939101"/>
      <w:bookmarkStart w:id="11" w:name="_Toc170119814"/>
      <w:bookmarkStart w:id="12" w:name="_Toc178839848"/>
      <w:bookmarkStart w:id="13" w:name="_Toc179210133"/>
      <w:bookmarkStart w:id="14" w:name="_Toc179455193"/>
      <w:r>
        <w:rPr>
          <w:rStyle w:val="CharPartNo"/>
        </w:rPr>
        <w:lastRenderedPageBreak/>
        <w:t>Part II</w:t>
      </w:r>
      <w:r>
        <w:rPr>
          <w:rStyle w:val="CharDivNo"/>
        </w:rPr>
        <w:t> </w:t>
      </w:r>
      <w:r>
        <w:t>—</w:t>
      </w:r>
      <w:r>
        <w:rPr>
          <w:rStyle w:val="CharDivText"/>
        </w:rPr>
        <w:t> </w:t>
      </w:r>
      <w:r>
        <w:rPr>
          <w:rStyle w:val="CharPartText"/>
        </w:rPr>
        <w:t>Constitution and administration of Gold Corporation</w:t>
      </w:r>
      <w:bookmarkEnd w:id="10"/>
      <w:bookmarkEnd w:id="11"/>
      <w:bookmarkEnd w:id="12"/>
      <w:bookmarkEnd w:id="13"/>
      <w:bookmarkEnd w:id="14"/>
      <w:r>
        <w:rPr>
          <w:rStyle w:val="CharPartText"/>
        </w:rPr>
        <w:t xml:space="preserve"> </w:t>
      </w:r>
    </w:p>
    <w:p>
      <w:pPr>
        <w:pStyle w:val="Footnoteheading"/>
        <w:ind w:left="890"/>
        <w:rPr>
          <w:snapToGrid w:val="0"/>
        </w:rPr>
      </w:pPr>
      <w:r>
        <w:rPr>
          <w:snapToGrid w:val="0"/>
        </w:rPr>
        <w:tab/>
        <w:t>[Heading amended: No. 10 of 1990 s. 8; No. 28 of 2006 s. 416.]</w:t>
      </w:r>
    </w:p>
    <w:p>
      <w:pPr>
        <w:pStyle w:val="Heading5"/>
        <w:rPr>
          <w:snapToGrid w:val="0"/>
        </w:rPr>
      </w:pPr>
      <w:bookmarkStart w:id="15" w:name="_Toc179455194"/>
      <w:r>
        <w:rPr>
          <w:rStyle w:val="CharSectno"/>
        </w:rPr>
        <w:t>4</w:t>
      </w:r>
      <w:r>
        <w:rPr>
          <w:snapToGrid w:val="0"/>
        </w:rPr>
        <w:t>.</w:t>
      </w:r>
      <w:r>
        <w:rPr>
          <w:snapToGrid w:val="0"/>
        </w:rPr>
        <w:tab/>
        <w:t>Constitution of Gold Corporation as a body corporate</w:t>
      </w:r>
      <w:bookmarkEnd w:id="15"/>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rPr>
          <w:snapToGrid w:val="0"/>
        </w:rPr>
      </w:pPr>
      <w:r>
        <w:rPr>
          <w:snapToGrid w:val="0"/>
        </w:rPr>
        <w:tab/>
        <w:t>(5)</w:t>
      </w:r>
      <w:r>
        <w:rPr>
          <w:snapToGrid w:val="0"/>
        </w:rPr>
        <w:tab/>
        <w:t xml:space="preserve">Notwithstanding any exemption or immunity that may otherwise exist, Gold Corporation shall be liable for and shall pay all land tax, metropolitan region improvement tax, water </w:t>
      </w:r>
      <w:r>
        <w:rPr>
          <w:snapToGrid w:val="0"/>
        </w:rPr>
        <w:lastRenderedPageBreak/>
        <w:t>charges, pay</w:t>
      </w:r>
      <w:r>
        <w:rPr>
          <w:snapToGrid w:val="0"/>
        </w:rPr>
        <w:noBreakHyphen/>
        <w:t xml:space="preserve">roll tax, </w:t>
      </w:r>
      <w:r>
        <w:t xml:space="preserve">duty under the </w:t>
      </w:r>
      <w:r>
        <w:rPr>
          <w:i/>
          <w:iCs/>
        </w:rPr>
        <w:t>Duties Act 2008</w:t>
      </w:r>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No. 5 of 1988 s. 4; No. 10 of 1990 s. 6 and 9; No. 73 of 1994 s. 4; No. 20 of 2003 s. 26; No. 70 of 2003 s. 28; No. 77 of 2006 s. 4; No. 12 of 2008 s. 52.] </w:t>
      </w:r>
    </w:p>
    <w:p>
      <w:pPr>
        <w:pStyle w:val="Heading5"/>
        <w:rPr>
          <w:snapToGrid w:val="0"/>
        </w:rPr>
      </w:pPr>
      <w:bookmarkStart w:id="16" w:name="_Toc179455195"/>
      <w:r>
        <w:rPr>
          <w:rStyle w:val="CharSectno"/>
        </w:rPr>
        <w:t>5</w:t>
      </w:r>
      <w:r>
        <w:rPr>
          <w:snapToGrid w:val="0"/>
        </w:rPr>
        <w:t>.</w:t>
      </w:r>
      <w:r>
        <w:rPr>
          <w:snapToGrid w:val="0"/>
        </w:rPr>
        <w:tab/>
        <w:t>Constitution of Board of Gold Corporation</w:t>
      </w:r>
      <w:bookmarkEnd w:id="16"/>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tabs>
          <w:tab w:val="left" w:pos="2160"/>
          <w:tab w:val="center" w:pos="3548"/>
        </w:tabs>
        <w:rPr>
          <w:snapToGrid w:val="0"/>
        </w:rPr>
      </w:pPr>
      <w:r>
        <w:rPr>
          <w:snapToGrid w:val="0"/>
        </w:rPr>
        <w:tab/>
        <w:t>(a)</w:t>
      </w:r>
      <w:r>
        <w:rPr>
          <w:snapToGrid w:val="0"/>
        </w:rPr>
        <w:tab/>
        <w:t>a chairman;</w:t>
      </w:r>
      <w:r>
        <w:rPr>
          <w:snapToGrid w:val="0"/>
        </w:rPr>
        <w:tab/>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lastRenderedPageBreak/>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No. 5 of 1988 s. 5; No. 10 of 1990 s. 6 and 10.] </w:t>
      </w:r>
    </w:p>
    <w:p>
      <w:pPr>
        <w:pStyle w:val="Heading5"/>
        <w:rPr>
          <w:snapToGrid w:val="0"/>
        </w:rPr>
      </w:pPr>
      <w:bookmarkStart w:id="17" w:name="_Toc179455196"/>
      <w:r>
        <w:rPr>
          <w:rStyle w:val="CharSectno"/>
        </w:rPr>
        <w:t>6</w:t>
      </w:r>
      <w:r>
        <w:rPr>
          <w:snapToGrid w:val="0"/>
        </w:rPr>
        <w:t>.</w:t>
      </w:r>
      <w:r>
        <w:rPr>
          <w:snapToGrid w:val="0"/>
        </w:rPr>
        <w:tab/>
        <w:t>Functions of the Board</w:t>
      </w:r>
      <w:bookmarkEnd w:id="17"/>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lastRenderedPageBreak/>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lastRenderedPageBreak/>
        <w:tab/>
        <w:t>(b)</w:t>
      </w:r>
      <w:r>
        <w:rPr>
          <w:snapToGrid w:val="0"/>
        </w:rPr>
        <w:tab/>
        <w:t>the Board shall ensure that the Minister shall have and may retain copies of any documents requested.</w:t>
      </w:r>
    </w:p>
    <w:p>
      <w:pPr>
        <w:pStyle w:val="Subsection"/>
        <w:spacing w:before="180"/>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spacing w:before="180"/>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spacing w:before="180"/>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spacing w:before="180"/>
        <w:rPr>
          <w:snapToGrid w:val="0"/>
        </w:rPr>
      </w:pPr>
      <w:r>
        <w:rPr>
          <w:snapToGrid w:val="0"/>
        </w:rPr>
        <w:tab/>
        <w:t>(11)</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keepNext/>
      </w:pPr>
      <w:r>
        <w:lastRenderedPageBreak/>
        <w:tab/>
        <w:t>(b)</w:t>
      </w:r>
      <w:r>
        <w:tab/>
        <w:t>complying with a written law, or an order or resolution of a House of Parliament, that requires information to be furnished to a House of Parliament.</w:t>
      </w:r>
    </w:p>
    <w:p>
      <w:pPr>
        <w:pStyle w:val="Footnotesection"/>
      </w:pPr>
      <w:r>
        <w:tab/>
        <w:t xml:space="preserve">[Section 6 amended: No. 10 of 1990 s. 6 and 11; No. 73 of 1994 s. 4; No. 77 of 2006 s. 17.] </w:t>
      </w:r>
    </w:p>
    <w:p>
      <w:pPr>
        <w:pStyle w:val="Heading5"/>
        <w:rPr>
          <w:snapToGrid w:val="0"/>
        </w:rPr>
      </w:pPr>
      <w:bookmarkStart w:id="18" w:name="_Toc179455197"/>
      <w:r>
        <w:rPr>
          <w:rStyle w:val="CharSectno"/>
        </w:rPr>
        <w:t>7</w:t>
      </w:r>
      <w:r>
        <w:rPr>
          <w:snapToGrid w:val="0"/>
        </w:rPr>
        <w:t>.</w:t>
      </w:r>
      <w:r>
        <w:rPr>
          <w:snapToGrid w:val="0"/>
        </w:rPr>
        <w:tab/>
        <w:t>Management of Gold Corporation</w:t>
      </w:r>
      <w:bookmarkEnd w:id="18"/>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 xml:space="preserve">subject to </w:t>
      </w:r>
      <w:r>
        <w:t>sections 8A and 8B and</w:t>
      </w:r>
      <w:r>
        <w:rPr>
          <w:snapToGrid w:val="0"/>
        </w:rPr>
        <w:t xml:space="preserve">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No. 10 of 1990 s. 6; No. 46 of 2016 s. 16.] </w:t>
      </w:r>
    </w:p>
    <w:p>
      <w:pPr>
        <w:pStyle w:val="Heading5"/>
      </w:pPr>
      <w:bookmarkStart w:id="19" w:name="_Toc179455198"/>
      <w:r>
        <w:rPr>
          <w:rStyle w:val="CharSectno"/>
        </w:rPr>
        <w:lastRenderedPageBreak/>
        <w:t>8A</w:t>
      </w:r>
      <w:r>
        <w:t>.</w:t>
      </w:r>
      <w:r>
        <w:tab/>
        <w:t>Remuneration of chief executive officer, deputy while Gold Corporation is not a Government entity</w:t>
      </w:r>
      <w:bookmarkEnd w:id="1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 Corporation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chief executive officer or the deputy chief executive officer of Gold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or the deputy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Gold Corporation’s chief executive officer or deputy chief executive officer.</w:t>
      </w:r>
    </w:p>
    <w:p>
      <w:pPr>
        <w:pStyle w:val="Footnotesection"/>
      </w:pPr>
      <w:r>
        <w:tab/>
        <w:t>[Section 8A inserted: No. 46 of 2016 s. 17; amended: No. 13 of  2023 s. 213.]</w:t>
      </w:r>
    </w:p>
    <w:p>
      <w:pPr>
        <w:pStyle w:val="Heading5"/>
      </w:pPr>
      <w:bookmarkStart w:id="20" w:name="_Toc179455199"/>
      <w:r>
        <w:rPr>
          <w:rStyle w:val="CharSectno"/>
        </w:rPr>
        <w:t>8B</w:t>
      </w:r>
      <w:r>
        <w:t>.</w:t>
      </w:r>
      <w:r>
        <w:tab/>
        <w:t>Remuneration of chief executive officer, deputy while Gold Corporation is a Government entity</w:t>
      </w:r>
      <w:bookmarkEnd w:id="2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 Corporation is a Government entity as defined in the </w:t>
      </w:r>
      <w:r>
        <w:rPr>
          <w:i/>
        </w:rPr>
        <w:t>Salaries and Allowances Act 1975</w:t>
      </w:r>
      <w:r>
        <w:t xml:space="preserve"> section 7BA.</w:t>
      </w:r>
    </w:p>
    <w:p>
      <w:pPr>
        <w:pStyle w:val="Subsection"/>
      </w:pPr>
      <w:r>
        <w:tab/>
        <w:t>(3)</w:t>
      </w:r>
      <w:r>
        <w:tab/>
        <w:t xml:space="preserve">The remuneration of the chief executive officer, or the deputy chief executive officer, of Gold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or the deputy chief executive officer, of Gold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8B inserted: No. 46 of 2016 s. 17; amended: No. 13 of  2023 s. 213.]</w:t>
      </w:r>
    </w:p>
    <w:p>
      <w:pPr>
        <w:pStyle w:val="Heading5"/>
        <w:spacing w:before="180"/>
        <w:rPr>
          <w:snapToGrid w:val="0"/>
        </w:rPr>
      </w:pPr>
      <w:bookmarkStart w:id="21" w:name="_Toc179455200"/>
      <w:r>
        <w:rPr>
          <w:rStyle w:val="CharSectno"/>
        </w:rPr>
        <w:t>8</w:t>
      </w:r>
      <w:r>
        <w:rPr>
          <w:snapToGrid w:val="0"/>
        </w:rPr>
        <w:t>.</w:t>
      </w:r>
      <w:r>
        <w:rPr>
          <w:snapToGrid w:val="0"/>
        </w:rPr>
        <w:tab/>
        <w:t>Power to appoint committees</w:t>
      </w:r>
      <w:bookmarkEnd w:id="21"/>
      <w:r>
        <w:rPr>
          <w:snapToGrid w:val="0"/>
        </w:rPr>
        <w:t xml:space="preserve"> </w:t>
      </w:r>
    </w:p>
    <w:p>
      <w:pPr>
        <w:pStyle w:val="Subsection"/>
        <w:spacing w:before="120"/>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spacing w:before="120"/>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spacing w:before="180"/>
        <w:rPr>
          <w:snapToGrid w:val="0"/>
        </w:rPr>
      </w:pPr>
      <w:bookmarkStart w:id="22" w:name="_Toc179455201"/>
      <w:r>
        <w:rPr>
          <w:rStyle w:val="CharSectno"/>
        </w:rPr>
        <w:t>9</w:t>
      </w:r>
      <w:r>
        <w:rPr>
          <w:snapToGrid w:val="0"/>
        </w:rPr>
        <w:t>.</w:t>
      </w:r>
      <w:r>
        <w:rPr>
          <w:snapToGrid w:val="0"/>
        </w:rPr>
        <w:tab/>
        <w:t>Power of Board to delegate</w:t>
      </w:r>
      <w:bookmarkEnd w:id="22"/>
      <w:r>
        <w:rPr>
          <w:snapToGrid w:val="0"/>
        </w:rPr>
        <w:t xml:space="preserve"> </w:t>
      </w:r>
    </w:p>
    <w:p>
      <w:pPr>
        <w:pStyle w:val="Subsection"/>
        <w:keepNext/>
        <w:spacing w:before="120"/>
        <w:rPr>
          <w:snapToGrid w:val="0"/>
        </w:rPr>
      </w:pPr>
      <w:r>
        <w:rPr>
          <w:snapToGrid w:val="0"/>
        </w:rPr>
        <w:tab/>
        <w:t>(1)</w:t>
      </w:r>
      <w:r>
        <w:rPr>
          <w:snapToGrid w:val="0"/>
        </w:rPr>
        <w:tab/>
        <w:t>The Board may, by instrument in writing, delegate to — </w:t>
      </w:r>
    </w:p>
    <w:p>
      <w:pPr>
        <w:pStyle w:val="Indenta"/>
        <w:spacing w:before="60"/>
        <w:rPr>
          <w:snapToGrid w:val="0"/>
        </w:rPr>
      </w:pPr>
      <w:r>
        <w:rPr>
          <w:snapToGrid w:val="0"/>
        </w:rPr>
        <w:tab/>
        <w:t>(a)</w:t>
      </w:r>
      <w:r>
        <w:rPr>
          <w:snapToGrid w:val="0"/>
        </w:rPr>
        <w:tab/>
        <w:t>the chief executive officer of Gold Corporation;</w:t>
      </w:r>
    </w:p>
    <w:p>
      <w:pPr>
        <w:pStyle w:val="Indenta"/>
        <w:spacing w:before="60"/>
        <w:rPr>
          <w:snapToGrid w:val="0"/>
        </w:rPr>
      </w:pPr>
      <w:r>
        <w:rPr>
          <w:snapToGrid w:val="0"/>
        </w:rPr>
        <w:tab/>
        <w:t>(b)</w:t>
      </w:r>
      <w:r>
        <w:rPr>
          <w:snapToGrid w:val="0"/>
        </w:rPr>
        <w:tab/>
        <w:t>a committee appointed under section 8; or</w:t>
      </w:r>
    </w:p>
    <w:p>
      <w:pPr>
        <w:pStyle w:val="Indenta"/>
        <w:keepNext/>
        <w:spacing w:before="60"/>
        <w:rPr>
          <w:snapToGrid w:val="0"/>
        </w:rPr>
      </w:pPr>
      <w:r>
        <w:rPr>
          <w:snapToGrid w:val="0"/>
        </w:rPr>
        <w:lastRenderedPageBreak/>
        <w:tab/>
        <w:t>(c)</w:t>
      </w:r>
      <w:r>
        <w:rPr>
          <w:snapToGrid w:val="0"/>
        </w:rPr>
        <w:tab/>
        <w:t>an employee of Gold Corporation, the Mint or GoldCorp,</w:t>
      </w:r>
    </w:p>
    <w:p>
      <w:pPr>
        <w:pStyle w:val="Subsection"/>
        <w:spacing w:before="120"/>
        <w:rPr>
          <w:snapToGrid w:val="0"/>
        </w:rPr>
      </w:pPr>
      <w:r>
        <w:rPr>
          <w:snapToGrid w:val="0"/>
        </w:rPr>
        <w:tab/>
      </w:r>
      <w:r>
        <w:rPr>
          <w:snapToGrid w:val="0"/>
        </w:rPr>
        <w:tab/>
        <w:t>the exercise of such of the functions of Gold Corporation or any of its subsidiaries as are specified in the instrument.</w:t>
      </w:r>
    </w:p>
    <w:p>
      <w:pPr>
        <w:pStyle w:val="Subsection"/>
        <w:spacing w:before="120"/>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spacing w:before="120"/>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spacing w:before="120"/>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keepLines w:val="0"/>
        <w:spacing w:before="60"/>
        <w:ind w:left="890" w:hanging="890"/>
      </w:pPr>
      <w:r>
        <w:tab/>
        <w:t xml:space="preserve">[Section 9 amended: No. 10 of 1990 s. 6; No. 28 of 2006 s. 417.] </w:t>
      </w:r>
    </w:p>
    <w:p>
      <w:pPr>
        <w:pStyle w:val="Heading5"/>
      </w:pPr>
      <w:bookmarkStart w:id="23" w:name="_Toc179455202"/>
      <w:r>
        <w:rPr>
          <w:rStyle w:val="CharSectno"/>
        </w:rPr>
        <w:t>9A</w:t>
      </w:r>
      <w:r>
        <w:t>.</w:t>
      </w:r>
      <w:r>
        <w:tab/>
        <w:t>Duty to observe policy instruments</w:t>
      </w:r>
      <w:bookmarkEnd w:id="23"/>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No. 28 of 2006 s. 418.]</w:t>
      </w:r>
    </w:p>
    <w:p>
      <w:pPr>
        <w:pStyle w:val="Heading5"/>
      </w:pPr>
      <w:bookmarkStart w:id="24" w:name="_Toc179455203"/>
      <w:r>
        <w:rPr>
          <w:rStyle w:val="CharSectno"/>
        </w:rPr>
        <w:t>9B</w:t>
      </w:r>
      <w:r>
        <w:t>.</w:t>
      </w:r>
      <w:r>
        <w:tab/>
        <w:t>Strategic development plan and statement of corporate intent</w:t>
      </w:r>
      <w:bookmarkEnd w:id="24"/>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lastRenderedPageBreak/>
        <w:tab/>
        <w:t>(b)</w:t>
      </w:r>
      <w:r>
        <w:tab/>
        <w:t>a statement of corporate intent for Gold Corporation.</w:t>
      </w:r>
    </w:p>
    <w:p>
      <w:pPr>
        <w:pStyle w:val="Subsection"/>
        <w:keepNext/>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r>
        <w:tab/>
        <w:t>[Section 9B inserted: No. 28 of 2006 s. 418.]</w:t>
      </w:r>
    </w:p>
    <w:p>
      <w:pPr>
        <w:pStyle w:val="Heading5"/>
      </w:pPr>
      <w:bookmarkStart w:id="25" w:name="_Toc179455204"/>
      <w:r>
        <w:rPr>
          <w:rStyle w:val="CharSectno"/>
        </w:rPr>
        <w:t>9C</w:t>
      </w:r>
      <w:r>
        <w:t>.</w:t>
      </w:r>
      <w:r>
        <w:tab/>
        <w:t>Laying directions about strategic development plan or statement of corporate intent before Parliament</w:t>
      </w:r>
      <w:bookmarkEnd w:id="25"/>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keepNext/>
      </w:pPr>
      <w:r>
        <w:lastRenderedPageBreak/>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No. 28 of 2006 s. 418; amended: No. 77 of 2006 s. 17.]</w:t>
      </w:r>
    </w:p>
    <w:p>
      <w:pPr>
        <w:pStyle w:val="Heading2"/>
      </w:pPr>
      <w:bookmarkStart w:id="26" w:name="_Toc169939113"/>
      <w:bookmarkStart w:id="27" w:name="_Toc170119826"/>
      <w:bookmarkStart w:id="28" w:name="_Toc178839860"/>
      <w:bookmarkStart w:id="29" w:name="_Toc179210145"/>
      <w:bookmarkStart w:id="30" w:name="_Toc179455205"/>
      <w:r>
        <w:rPr>
          <w:rStyle w:val="CharPartNo"/>
        </w:rPr>
        <w:lastRenderedPageBreak/>
        <w:t>Part III</w:t>
      </w:r>
      <w:r>
        <w:rPr>
          <w:rStyle w:val="CharDivNo"/>
        </w:rPr>
        <w:t> </w:t>
      </w:r>
      <w:r>
        <w:t>—</w:t>
      </w:r>
      <w:r>
        <w:rPr>
          <w:rStyle w:val="CharDivText"/>
        </w:rPr>
        <w:t> </w:t>
      </w:r>
      <w:r>
        <w:rPr>
          <w:rStyle w:val="CharPartText"/>
        </w:rPr>
        <w:t>Functions of Gold Corporation</w:t>
      </w:r>
      <w:bookmarkEnd w:id="26"/>
      <w:bookmarkEnd w:id="27"/>
      <w:bookmarkEnd w:id="28"/>
      <w:bookmarkEnd w:id="29"/>
      <w:bookmarkEnd w:id="30"/>
      <w:r>
        <w:rPr>
          <w:rStyle w:val="CharPartText"/>
        </w:rPr>
        <w:t xml:space="preserve"> </w:t>
      </w:r>
    </w:p>
    <w:p>
      <w:pPr>
        <w:pStyle w:val="Footnoteheading"/>
        <w:ind w:left="890"/>
        <w:rPr>
          <w:snapToGrid w:val="0"/>
        </w:rPr>
      </w:pPr>
      <w:r>
        <w:rPr>
          <w:snapToGrid w:val="0"/>
        </w:rPr>
        <w:tab/>
        <w:t>[Heading amended: No. 10 of 1990 s. 6.]</w:t>
      </w:r>
    </w:p>
    <w:p>
      <w:pPr>
        <w:pStyle w:val="Heading5"/>
        <w:rPr>
          <w:snapToGrid w:val="0"/>
        </w:rPr>
      </w:pPr>
      <w:bookmarkStart w:id="31" w:name="_Toc179455206"/>
      <w:r>
        <w:rPr>
          <w:rStyle w:val="CharSectno"/>
        </w:rPr>
        <w:t>10</w:t>
      </w:r>
      <w:r>
        <w:rPr>
          <w:snapToGrid w:val="0"/>
        </w:rPr>
        <w:t>.</w:t>
      </w:r>
      <w:r>
        <w:rPr>
          <w:snapToGrid w:val="0"/>
        </w:rPr>
        <w:tab/>
        <w:t>General functions of Gold Corporation</w:t>
      </w:r>
      <w:bookmarkEnd w:id="31"/>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lastRenderedPageBreak/>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No. 10 of 1990 s. 6 and 12.] </w:t>
      </w:r>
    </w:p>
    <w:p>
      <w:pPr>
        <w:pStyle w:val="Heading5"/>
        <w:rPr>
          <w:snapToGrid w:val="0"/>
        </w:rPr>
      </w:pPr>
      <w:bookmarkStart w:id="32" w:name="_Toc179455207"/>
      <w:r>
        <w:rPr>
          <w:rStyle w:val="CharSectno"/>
        </w:rPr>
        <w:t>11</w:t>
      </w:r>
      <w:r>
        <w:rPr>
          <w:snapToGrid w:val="0"/>
        </w:rPr>
        <w:t>.</w:t>
      </w:r>
      <w:r>
        <w:rPr>
          <w:snapToGrid w:val="0"/>
        </w:rPr>
        <w:tab/>
        <w:t>Powers of Gold Corporation</w:t>
      </w:r>
      <w:bookmarkEnd w:id="32"/>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 xml:space="preserve">subject to subsection (3), borrow, lease, buy or otherwise acquire and sell, lend, lease or otherwise dispose of gold and other things containing or associated </w:t>
      </w:r>
      <w:r>
        <w:rPr>
          <w:snapToGrid w:val="0"/>
        </w:rPr>
        <w:lastRenderedPageBreak/>
        <w:t>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w:t>
      </w:r>
      <w:r>
        <w:rPr>
          <w:snapToGrid w:val="0"/>
        </w:rPr>
        <w:lastRenderedPageBreak/>
        <w:t xml:space="preserve">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No. 10 of 1990 s. 6 and 13.] </w:t>
      </w:r>
    </w:p>
    <w:p>
      <w:pPr>
        <w:pStyle w:val="Ednotesection"/>
      </w:pPr>
      <w:r>
        <w:t>[</w:t>
      </w:r>
      <w:r>
        <w:rPr>
          <w:b/>
        </w:rPr>
        <w:t>12.</w:t>
      </w:r>
      <w:r>
        <w:rPr>
          <w:b/>
        </w:rPr>
        <w:tab/>
      </w:r>
      <w:r>
        <w:t xml:space="preserve">Deleted: No. 10 of 1990 s. 14.] </w:t>
      </w:r>
    </w:p>
    <w:p>
      <w:pPr>
        <w:pStyle w:val="Heading5"/>
        <w:rPr>
          <w:snapToGrid w:val="0"/>
        </w:rPr>
      </w:pPr>
      <w:bookmarkStart w:id="33" w:name="_Toc179455208"/>
      <w:r>
        <w:rPr>
          <w:rStyle w:val="CharSectno"/>
        </w:rPr>
        <w:t>13</w:t>
      </w:r>
      <w:r>
        <w:rPr>
          <w:snapToGrid w:val="0"/>
        </w:rPr>
        <w:t>.</w:t>
      </w:r>
      <w:r>
        <w:rPr>
          <w:snapToGrid w:val="0"/>
        </w:rPr>
        <w:tab/>
        <w:t>Power to act as agent for Commonwealth or States</w:t>
      </w:r>
      <w:bookmarkEnd w:id="33"/>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lastRenderedPageBreak/>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No. 10 of 1990 s. 6.] </w:t>
      </w:r>
    </w:p>
    <w:p>
      <w:pPr>
        <w:pStyle w:val="Heading2"/>
      </w:pPr>
      <w:bookmarkStart w:id="34" w:name="_Toc169939117"/>
      <w:bookmarkStart w:id="35" w:name="_Toc170119830"/>
      <w:bookmarkStart w:id="36" w:name="_Toc178839864"/>
      <w:bookmarkStart w:id="37" w:name="_Toc179210149"/>
      <w:bookmarkStart w:id="38" w:name="_Toc179455209"/>
      <w:r>
        <w:rPr>
          <w:rStyle w:val="CharPartNo"/>
        </w:rPr>
        <w:lastRenderedPageBreak/>
        <w:t>Part IV</w:t>
      </w:r>
      <w:r>
        <w:rPr>
          <w:rStyle w:val="CharDivNo"/>
        </w:rPr>
        <w:t> </w:t>
      </w:r>
      <w:r>
        <w:t>—</w:t>
      </w:r>
      <w:r>
        <w:rPr>
          <w:rStyle w:val="CharDivText"/>
        </w:rPr>
        <w:t> </w:t>
      </w:r>
      <w:r>
        <w:rPr>
          <w:rStyle w:val="CharPartText"/>
        </w:rPr>
        <w:t>Financial provisions of Gold Corporation</w:t>
      </w:r>
      <w:bookmarkEnd w:id="34"/>
      <w:bookmarkEnd w:id="35"/>
      <w:bookmarkEnd w:id="36"/>
      <w:bookmarkEnd w:id="37"/>
      <w:bookmarkEnd w:id="38"/>
      <w:r>
        <w:rPr>
          <w:rStyle w:val="CharPartText"/>
        </w:rPr>
        <w:t xml:space="preserve"> </w:t>
      </w:r>
    </w:p>
    <w:p>
      <w:pPr>
        <w:pStyle w:val="Footnoteheading"/>
        <w:ind w:left="890"/>
        <w:rPr>
          <w:snapToGrid w:val="0"/>
        </w:rPr>
      </w:pPr>
      <w:r>
        <w:rPr>
          <w:snapToGrid w:val="0"/>
        </w:rPr>
        <w:tab/>
        <w:t>[Heading amended: No. 10 of 1990 s. 6.]</w:t>
      </w:r>
    </w:p>
    <w:p>
      <w:pPr>
        <w:pStyle w:val="Ednotesection"/>
      </w:pPr>
      <w:r>
        <w:t>[</w:t>
      </w:r>
      <w:r>
        <w:rPr>
          <w:b/>
        </w:rPr>
        <w:t>14.</w:t>
      </w:r>
      <w:r>
        <w:tab/>
        <w:t xml:space="preserve">Deleted: No. 10 of 1990 s. 15.] </w:t>
      </w:r>
    </w:p>
    <w:p>
      <w:pPr>
        <w:pStyle w:val="Heading5"/>
        <w:spacing w:before="240"/>
        <w:rPr>
          <w:snapToGrid w:val="0"/>
        </w:rPr>
      </w:pPr>
      <w:bookmarkStart w:id="39" w:name="_Toc179455210"/>
      <w:r>
        <w:rPr>
          <w:rStyle w:val="CharSectno"/>
        </w:rPr>
        <w:t>15</w:t>
      </w:r>
      <w:r>
        <w:rPr>
          <w:snapToGrid w:val="0"/>
        </w:rPr>
        <w:t>.</w:t>
      </w:r>
      <w:r>
        <w:rPr>
          <w:snapToGrid w:val="0"/>
        </w:rPr>
        <w:tab/>
        <w:t>Capital of Gold Corporation</w:t>
      </w:r>
      <w:bookmarkEnd w:id="39"/>
      <w:r>
        <w:rPr>
          <w:snapToGrid w:val="0"/>
        </w:rPr>
        <w:t xml:space="preserve"> </w:t>
      </w:r>
    </w:p>
    <w:p>
      <w:pPr>
        <w:pStyle w:val="Subsection"/>
        <w:spacing w:before="180"/>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spacing w:before="180"/>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spacing w:before="180"/>
        <w:rPr>
          <w:snapToGrid w:val="0"/>
        </w:rPr>
      </w:pPr>
      <w:r>
        <w:rPr>
          <w:snapToGrid w:val="0"/>
        </w:rPr>
        <w:tab/>
        <w:t>(3)</w:t>
      </w:r>
      <w:r>
        <w:rPr>
          <w:snapToGrid w:val="0"/>
        </w:rPr>
        <w:tab/>
        <w:t xml:space="preserve">The Treasurer is authorised, on transferring to Gold Corporation the shares in Gold Bank at par in accordance with subsection (2) </w:t>
      </w:r>
      <w:r>
        <w:rPr>
          <w:snapToGrid w:val="0"/>
        </w:rPr>
        <w:lastRenderedPageBreak/>
        <w:t>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No. 5 of 1988 s. 6; No. 10 of 1990 s. 16; No. 6 of 1993 s. 11; No. 49 of 1996 s. 64; No. 77 of 2006 s. 4.] </w:t>
      </w:r>
    </w:p>
    <w:p>
      <w:pPr>
        <w:pStyle w:val="Heading5"/>
        <w:rPr>
          <w:snapToGrid w:val="0"/>
        </w:rPr>
      </w:pPr>
      <w:bookmarkStart w:id="40" w:name="_Toc179455211"/>
      <w:r>
        <w:rPr>
          <w:rStyle w:val="CharSectno"/>
        </w:rPr>
        <w:t>16</w:t>
      </w:r>
      <w:r>
        <w:rPr>
          <w:snapToGrid w:val="0"/>
        </w:rPr>
        <w:t>.</w:t>
      </w:r>
      <w:r>
        <w:rPr>
          <w:snapToGrid w:val="0"/>
        </w:rPr>
        <w:tab/>
        <w:t>Share issues</w:t>
      </w:r>
      <w:bookmarkEnd w:id="40"/>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lastRenderedPageBreak/>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deleted]</w:t>
      </w:r>
    </w:p>
    <w:p>
      <w:pPr>
        <w:pStyle w:val="Subsection"/>
        <w:rPr>
          <w:snapToGrid w:val="0"/>
        </w:rPr>
      </w:pPr>
      <w:r>
        <w:rPr>
          <w:snapToGrid w:val="0"/>
        </w:rPr>
        <w:tab/>
        <w:t>(9)</w:t>
      </w:r>
      <w:r>
        <w:rPr>
          <w:snapToGrid w:val="0"/>
        </w:rPr>
        <w:tab/>
        <w:t xml:space="preserve">Any transaction with respect to the issue, purchase, sale or transfer of shares under this Part shall be exempt from </w:t>
      </w:r>
      <w:r>
        <w:t xml:space="preserve">duty chargeable under the </w:t>
      </w:r>
      <w:r>
        <w:rPr>
          <w:i/>
          <w:iCs/>
        </w:rPr>
        <w:t>Duties Act 2008</w:t>
      </w:r>
      <w:r>
        <w:t>.</w:t>
      </w:r>
    </w:p>
    <w:p>
      <w:pPr>
        <w:pStyle w:val="Subsection"/>
        <w:keepNext/>
        <w:keepLines/>
        <w:rPr>
          <w:snapToGrid w:val="0"/>
        </w:rPr>
      </w:pPr>
      <w:r>
        <w:rPr>
          <w:snapToGrid w:val="0"/>
        </w:rPr>
        <w:lastRenderedPageBreak/>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No. 10 of 1990 s. 6 and 17; No. 28 of 2006 s. 419; No. 12 of 2008 s. 52.] </w:t>
      </w:r>
    </w:p>
    <w:p>
      <w:pPr>
        <w:pStyle w:val="Ednotesection"/>
        <w:ind w:left="890" w:hanging="890"/>
      </w:pPr>
      <w:r>
        <w:t>[</w:t>
      </w:r>
      <w:r>
        <w:rPr>
          <w:b/>
        </w:rPr>
        <w:t>17</w:t>
      </w:r>
      <w:r>
        <w:rPr>
          <w:b/>
          <w:i w:val="0"/>
        </w:rPr>
        <w:t>.</w:t>
      </w:r>
      <w:r>
        <w:tab/>
        <w:t xml:space="preserve">Deleted: No. 10 of 1990 s. 18.] </w:t>
      </w:r>
    </w:p>
    <w:p>
      <w:pPr>
        <w:pStyle w:val="Heading5"/>
        <w:rPr>
          <w:snapToGrid w:val="0"/>
        </w:rPr>
      </w:pPr>
      <w:bookmarkStart w:id="41" w:name="_Toc179455212"/>
      <w:r>
        <w:rPr>
          <w:rStyle w:val="CharSectno"/>
        </w:rPr>
        <w:t>18</w:t>
      </w:r>
      <w:r>
        <w:rPr>
          <w:snapToGrid w:val="0"/>
        </w:rPr>
        <w:t>.</w:t>
      </w:r>
      <w:r>
        <w:rPr>
          <w:snapToGrid w:val="0"/>
        </w:rPr>
        <w:tab/>
        <w:t>Borrowing from Treasurer</w:t>
      </w:r>
      <w:bookmarkEnd w:id="41"/>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No. 10 of 1990 s. 6 and 19.] </w:t>
      </w:r>
    </w:p>
    <w:p>
      <w:pPr>
        <w:pStyle w:val="Ednotesection"/>
      </w:pPr>
      <w:r>
        <w:t>[</w:t>
      </w:r>
      <w:r>
        <w:rPr>
          <w:b/>
        </w:rPr>
        <w:t>19.</w:t>
      </w:r>
      <w:r>
        <w:tab/>
        <w:t xml:space="preserve">Deleted: No. 10 of 1990 s. 20.] </w:t>
      </w:r>
    </w:p>
    <w:p>
      <w:pPr>
        <w:pStyle w:val="Ednotesection"/>
      </w:pPr>
      <w:r>
        <w:t>[</w:t>
      </w:r>
      <w:r>
        <w:rPr>
          <w:b/>
        </w:rPr>
        <w:t>20.</w:t>
      </w:r>
      <w:r>
        <w:tab/>
        <w:t xml:space="preserve">Deleted: No. 70 of 2003 s. 29.] </w:t>
      </w:r>
    </w:p>
    <w:p>
      <w:pPr>
        <w:pStyle w:val="Heading5"/>
        <w:rPr>
          <w:snapToGrid w:val="0"/>
        </w:rPr>
      </w:pPr>
      <w:bookmarkStart w:id="42" w:name="_Toc179455213"/>
      <w:r>
        <w:rPr>
          <w:rStyle w:val="CharSectno"/>
        </w:rPr>
        <w:t>21</w:t>
      </w:r>
      <w:r>
        <w:rPr>
          <w:snapToGrid w:val="0"/>
        </w:rPr>
        <w:t>.</w:t>
      </w:r>
      <w:r>
        <w:rPr>
          <w:snapToGrid w:val="0"/>
        </w:rPr>
        <w:tab/>
        <w:t>Application of profits</w:t>
      </w:r>
      <w:bookmarkEnd w:id="4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 xml:space="preserve">shall determine the amount, if any, that is to be paid by Gold Corporation by way of dividend to shareholders from </w:t>
      </w:r>
      <w:r>
        <w:rPr>
          <w:snapToGrid w:val="0"/>
        </w:rPr>
        <w:lastRenderedPageBreak/>
        <w:t>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No. 10 of 1990 s. 6 and 21; No. 6 of 1993 s. 11; No. 70 of 2003 s. 30; No. 28 of 2006 s. 420; No. 77 of 2006 s. 4.] </w:t>
      </w:r>
    </w:p>
    <w:p>
      <w:pPr>
        <w:pStyle w:val="Heading5"/>
        <w:rPr>
          <w:snapToGrid w:val="0"/>
        </w:rPr>
      </w:pPr>
      <w:bookmarkStart w:id="43" w:name="_Toc179455214"/>
      <w:r>
        <w:rPr>
          <w:rStyle w:val="CharSectno"/>
        </w:rPr>
        <w:t>22</w:t>
      </w:r>
      <w:r>
        <w:rPr>
          <w:snapToGrid w:val="0"/>
        </w:rPr>
        <w:t>.</w:t>
      </w:r>
      <w:r>
        <w:rPr>
          <w:snapToGrid w:val="0"/>
        </w:rPr>
        <w:tab/>
        <w:t>Guarantee by Treasurer</w:t>
      </w:r>
      <w:bookmarkEnd w:id="43"/>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keepLines/>
        <w:rPr>
          <w:snapToGrid w:val="0"/>
        </w:rPr>
      </w:pPr>
      <w:r>
        <w:rPr>
          <w:snapToGrid w:val="0"/>
        </w:rPr>
        <w:lastRenderedPageBreak/>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rStyle w:val="CharDefText"/>
        </w:rPr>
        <w:t>cash equivalent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keepLines/>
        <w:rPr>
          <w:snapToGrid w:val="0"/>
        </w:rPr>
      </w:pPr>
      <w:r>
        <w:rPr>
          <w:snapToGrid w:val="0"/>
        </w:rPr>
        <w:lastRenderedPageBreak/>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No. 10 of 1990 s. 22; amended: No. 6 of 1993 s. 11; No. 49 of 1996 s. 64; No. 77 of 2006 s. 4.] </w:t>
      </w:r>
    </w:p>
    <w:p>
      <w:pPr>
        <w:pStyle w:val="Heading5"/>
      </w:pPr>
      <w:bookmarkStart w:id="44" w:name="_Toc179455215"/>
      <w:r>
        <w:rPr>
          <w:rStyle w:val="CharSectno"/>
        </w:rPr>
        <w:t>23</w:t>
      </w:r>
      <w:r>
        <w:t>.</w:t>
      </w:r>
      <w:r>
        <w:tab/>
        <w:t>Charges for guarantee</w:t>
      </w:r>
      <w:bookmarkEnd w:id="44"/>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No. 70 of 2003 s. 31; amended: No. 77 of 2006 s. 4.] </w:t>
      </w:r>
    </w:p>
    <w:p>
      <w:pPr>
        <w:pStyle w:val="Ednotepart"/>
      </w:pPr>
      <w:r>
        <w:t>[Part V (s. 24</w:t>
      </w:r>
      <w:r>
        <w:noBreakHyphen/>
        <w:t>34) deleted: No. 10 of 1990 s. 23.]</w:t>
      </w:r>
    </w:p>
    <w:p>
      <w:pPr>
        <w:pStyle w:val="Heading2"/>
      </w:pPr>
      <w:bookmarkStart w:id="45" w:name="_Toc169939124"/>
      <w:bookmarkStart w:id="46" w:name="_Toc170119837"/>
      <w:bookmarkStart w:id="47" w:name="_Toc178839871"/>
      <w:bookmarkStart w:id="48" w:name="_Toc179210156"/>
      <w:bookmarkStart w:id="49" w:name="_Toc179455216"/>
      <w:r>
        <w:rPr>
          <w:rStyle w:val="CharPartNo"/>
        </w:rPr>
        <w:lastRenderedPageBreak/>
        <w:t>Part VI</w:t>
      </w:r>
      <w:r>
        <w:t> — </w:t>
      </w:r>
      <w:r>
        <w:rPr>
          <w:rStyle w:val="CharPartText"/>
        </w:rPr>
        <w:t>Western Australian Mint</w:t>
      </w:r>
      <w:bookmarkEnd w:id="45"/>
      <w:bookmarkEnd w:id="46"/>
      <w:bookmarkEnd w:id="47"/>
      <w:bookmarkEnd w:id="48"/>
      <w:bookmarkEnd w:id="49"/>
    </w:p>
    <w:p>
      <w:pPr>
        <w:pStyle w:val="Heading3"/>
        <w:rPr>
          <w:snapToGrid w:val="0"/>
        </w:rPr>
      </w:pPr>
      <w:bookmarkStart w:id="50" w:name="_Toc169939125"/>
      <w:bookmarkStart w:id="51" w:name="_Toc170119838"/>
      <w:bookmarkStart w:id="52" w:name="_Toc178839872"/>
      <w:bookmarkStart w:id="53" w:name="_Toc179210157"/>
      <w:bookmarkStart w:id="54" w:name="_Toc179455217"/>
      <w:r>
        <w:rPr>
          <w:rStyle w:val="CharDivNo"/>
        </w:rPr>
        <w:t>Division 1</w:t>
      </w:r>
      <w:r>
        <w:rPr>
          <w:snapToGrid w:val="0"/>
        </w:rPr>
        <w:t> — </w:t>
      </w:r>
      <w:r>
        <w:rPr>
          <w:rStyle w:val="CharDivText"/>
        </w:rPr>
        <w:t>Constitution of the Mint</w:t>
      </w:r>
      <w:bookmarkEnd w:id="50"/>
      <w:bookmarkEnd w:id="51"/>
      <w:bookmarkEnd w:id="52"/>
      <w:bookmarkEnd w:id="53"/>
      <w:bookmarkEnd w:id="54"/>
      <w:r>
        <w:rPr>
          <w:rStyle w:val="CharDivText"/>
        </w:rPr>
        <w:t xml:space="preserve"> </w:t>
      </w:r>
    </w:p>
    <w:p>
      <w:pPr>
        <w:pStyle w:val="Heading5"/>
        <w:rPr>
          <w:snapToGrid w:val="0"/>
        </w:rPr>
      </w:pPr>
      <w:bookmarkStart w:id="55" w:name="_Toc179455218"/>
      <w:r>
        <w:rPr>
          <w:rStyle w:val="CharSectno"/>
        </w:rPr>
        <w:t>35</w:t>
      </w:r>
      <w:r>
        <w:rPr>
          <w:snapToGrid w:val="0"/>
        </w:rPr>
        <w:t>.</w:t>
      </w:r>
      <w:r>
        <w:rPr>
          <w:snapToGrid w:val="0"/>
        </w:rPr>
        <w:tab/>
        <w:t>Constitution of the Mint</w:t>
      </w:r>
      <w:bookmarkEnd w:id="55"/>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lastRenderedPageBreak/>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No. 10 of 1990 s. 6 and 24; No. 20 of 2003 s. 26; No. 70 of 2003 s. 32; No. 77 of 2006 s. 4; No. 12 of 2008 s. 52.] </w:t>
      </w:r>
    </w:p>
    <w:p>
      <w:pPr>
        <w:pStyle w:val="Heading5"/>
        <w:rPr>
          <w:snapToGrid w:val="0"/>
        </w:rPr>
      </w:pPr>
      <w:bookmarkStart w:id="56" w:name="_Toc179455219"/>
      <w:r>
        <w:rPr>
          <w:rStyle w:val="CharSectno"/>
        </w:rPr>
        <w:lastRenderedPageBreak/>
        <w:t>36</w:t>
      </w:r>
      <w:r>
        <w:rPr>
          <w:snapToGrid w:val="0"/>
        </w:rPr>
        <w:t>.</w:t>
      </w:r>
      <w:r>
        <w:rPr>
          <w:snapToGrid w:val="0"/>
        </w:rPr>
        <w:tab/>
        <w:t>Functions of the Mint</w:t>
      </w:r>
      <w:bookmarkEnd w:id="56"/>
      <w:r>
        <w:rPr>
          <w:snapToGrid w:val="0"/>
        </w:rPr>
        <w:t xml:space="preserve"> </w:t>
      </w:r>
    </w:p>
    <w:p>
      <w:pPr>
        <w:pStyle w:val="Subsection"/>
        <w:keepNext/>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57" w:name="_Toc179455220"/>
      <w:r>
        <w:rPr>
          <w:rStyle w:val="CharSectno"/>
        </w:rPr>
        <w:t>37</w:t>
      </w:r>
      <w:r>
        <w:rPr>
          <w:snapToGrid w:val="0"/>
        </w:rPr>
        <w:t>.</w:t>
      </w:r>
      <w:r>
        <w:rPr>
          <w:snapToGrid w:val="0"/>
        </w:rPr>
        <w:tab/>
        <w:t>Powers of the Mint</w:t>
      </w:r>
      <w:bookmarkEnd w:id="57"/>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lastRenderedPageBreak/>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No. 10 of 1990 s. 25.] </w:t>
      </w:r>
    </w:p>
    <w:p>
      <w:pPr>
        <w:pStyle w:val="Heading5"/>
        <w:rPr>
          <w:snapToGrid w:val="0"/>
        </w:rPr>
      </w:pPr>
      <w:bookmarkStart w:id="58" w:name="_Toc179455221"/>
      <w:r>
        <w:rPr>
          <w:rStyle w:val="CharSectno"/>
        </w:rPr>
        <w:t>38</w:t>
      </w:r>
      <w:r>
        <w:rPr>
          <w:snapToGrid w:val="0"/>
        </w:rPr>
        <w:t>.</w:t>
      </w:r>
      <w:r>
        <w:rPr>
          <w:snapToGrid w:val="0"/>
        </w:rPr>
        <w:tab/>
        <w:t>Prescribed symbols</w:t>
      </w:r>
      <w:bookmarkEnd w:id="58"/>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59" w:name="_Toc179455222"/>
      <w:r>
        <w:rPr>
          <w:rStyle w:val="CharSectno"/>
        </w:rPr>
        <w:t>39</w:t>
      </w:r>
      <w:r>
        <w:rPr>
          <w:snapToGrid w:val="0"/>
        </w:rPr>
        <w:t>.</w:t>
      </w:r>
      <w:r>
        <w:rPr>
          <w:snapToGrid w:val="0"/>
        </w:rPr>
        <w:tab/>
        <w:t>Branches of the Mint</w:t>
      </w:r>
      <w:bookmarkEnd w:id="59"/>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60" w:name="_Toc179455223"/>
      <w:r>
        <w:rPr>
          <w:rStyle w:val="CharSectno"/>
        </w:rPr>
        <w:t>40</w:t>
      </w:r>
      <w:r>
        <w:rPr>
          <w:snapToGrid w:val="0"/>
        </w:rPr>
        <w:t>.</w:t>
      </w:r>
      <w:r>
        <w:rPr>
          <w:snapToGrid w:val="0"/>
        </w:rPr>
        <w:tab/>
        <w:t>Managing director of the Mint</w:t>
      </w:r>
      <w:bookmarkEnd w:id="60"/>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41A and 41B, </w:t>
      </w:r>
      <w:r>
        <w:rPr>
          <w:snapToGrid w:val="0"/>
        </w:rPr>
        <w:t>shall be appointed on such terms and conditions and shall be paid such remuneration and allowances as are determined by the Board;</w:t>
      </w:r>
    </w:p>
    <w:p>
      <w:pPr>
        <w:pStyle w:val="Indenta"/>
        <w:rPr>
          <w:snapToGrid w:val="0"/>
        </w:rPr>
      </w:pPr>
      <w:r>
        <w:rPr>
          <w:snapToGrid w:val="0"/>
        </w:rPr>
        <w:lastRenderedPageBreak/>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No. 28 of 2006 s. 421; No. 46 of 2016 s. 18.]</w:t>
      </w:r>
    </w:p>
    <w:p>
      <w:pPr>
        <w:pStyle w:val="Heading5"/>
      </w:pPr>
      <w:bookmarkStart w:id="61" w:name="_Toc179455224"/>
      <w:r>
        <w:rPr>
          <w:rStyle w:val="CharSectno"/>
        </w:rPr>
        <w:t>41A</w:t>
      </w:r>
      <w:r>
        <w:t>.</w:t>
      </w:r>
      <w:r>
        <w:tab/>
        <w:t>Remuneration of managing director while Mint is not a Government entity</w:t>
      </w:r>
      <w:bookmarkEnd w:id="6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the Mint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the Mint.</w:t>
      </w:r>
    </w:p>
    <w:p>
      <w:pPr>
        <w:pStyle w:val="Footnotesection"/>
      </w:pPr>
      <w:r>
        <w:tab/>
        <w:t>[Section 41A inserted: No. 46 of 2016 s. 19; amended: No. 13 of  2023 s. 213.]</w:t>
      </w:r>
    </w:p>
    <w:p>
      <w:pPr>
        <w:pStyle w:val="Heading5"/>
      </w:pPr>
      <w:bookmarkStart w:id="62" w:name="_Toc179455225"/>
      <w:r>
        <w:rPr>
          <w:rStyle w:val="CharSectno"/>
        </w:rPr>
        <w:lastRenderedPageBreak/>
        <w:t>41B</w:t>
      </w:r>
      <w:r>
        <w:t>.</w:t>
      </w:r>
      <w:r>
        <w:tab/>
        <w:t>Remuneration of managing director while Mint is a Government entity</w:t>
      </w:r>
      <w:bookmarkEnd w:id="6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Mint is a Government entity as defined in the </w:t>
      </w:r>
      <w:r>
        <w:rPr>
          <w:i/>
        </w:rPr>
        <w:t>Salaries and Allowances Act 1975</w:t>
      </w:r>
      <w:r>
        <w:t xml:space="preserve"> section 7BA.</w:t>
      </w:r>
    </w:p>
    <w:p>
      <w:pPr>
        <w:pStyle w:val="Subsection"/>
      </w:pPr>
      <w:r>
        <w:tab/>
        <w:t>(3)</w:t>
      </w:r>
      <w:r>
        <w:tab/>
        <w:t xml:space="preserve">The remuneration of the managing director of the Mint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the Mint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41B inserted: No. 46 of 2016 s. 19; amended: No. 13 of  2023 s. 213.]</w:t>
      </w:r>
    </w:p>
    <w:p>
      <w:pPr>
        <w:pStyle w:val="Heading5"/>
        <w:rPr>
          <w:snapToGrid w:val="0"/>
        </w:rPr>
      </w:pPr>
      <w:bookmarkStart w:id="63" w:name="_Toc179455226"/>
      <w:r>
        <w:rPr>
          <w:rStyle w:val="CharSectno"/>
        </w:rPr>
        <w:t>41</w:t>
      </w:r>
      <w:r>
        <w:rPr>
          <w:snapToGrid w:val="0"/>
        </w:rPr>
        <w:t>.</w:t>
      </w:r>
      <w:r>
        <w:rPr>
          <w:snapToGrid w:val="0"/>
        </w:rPr>
        <w:tab/>
        <w:t>Employment by the Mint of staff and consultants</w:t>
      </w:r>
      <w:bookmarkEnd w:id="63"/>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(4)</w:t>
      </w:r>
      <w:r>
        <w:rPr>
          <w:snapToGrid w:val="0"/>
        </w:rPr>
        <w:tab/>
        <w:t>The Mint may engage under contract for services such professional, technical or other assistance as it considers necessary.</w:t>
      </w:r>
    </w:p>
    <w:p>
      <w:pPr>
        <w:pStyle w:val="Heading3"/>
        <w:rPr>
          <w:snapToGrid w:val="0"/>
        </w:rPr>
      </w:pPr>
      <w:bookmarkStart w:id="64" w:name="_Toc169939135"/>
      <w:bookmarkStart w:id="65" w:name="_Toc170119848"/>
      <w:bookmarkStart w:id="66" w:name="_Toc178839882"/>
      <w:bookmarkStart w:id="67" w:name="_Toc179210167"/>
      <w:bookmarkStart w:id="68" w:name="_Toc179455227"/>
      <w:r>
        <w:rPr>
          <w:rStyle w:val="CharDivNo"/>
        </w:rPr>
        <w:t>Division 2</w:t>
      </w:r>
      <w:r>
        <w:rPr>
          <w:snapToGrid w:val="0"/>
        </w:rPr>
        <w:t> — </w:t>
      </w:r>
      <w:r>
        <w:rPr>
          <w:rStyle w:val="CharDivText"/>
        </w:rPr>
        <w:t>Financial provisions of the Mint</w:t>
      </w:r>
      <w:bookmarkEnd w:id="64"/>
      <w:bookmarkEnd w:id="65"/>
      <w:bookmarkEnd w:id="66"/>
      <w:bookmarkEnd w:id="67"/>
      <w:bookmarkEnd w:id="68"/>
      <w:r>
        <w:rPr>
          <w:rStyle w:val="CharDivText"/>
        </w:rPr>
        <w:t xml:space="preserve"> </w:t>
      </w:r>
    </w:p>
    <w:p>
      <w:pPr>
        <w:pStyle w:val="Heading5"/>
        <w:rPr>
          <w:snapToGrid w:val="0"/>
        </w:rPr>
      </w:pPr>
      <w:bookmarkStart w:id="69" w:name="_Toc179455228"/>
      <w:r>
        <w:rPr>
          <w:rStyle w:val="CharSectno"/>
        </w:rPr>
        <w:t>42</w:t>
      </w:r>
      <w:r>
        <w:rPr>
          <w:snapToGrid w:val="0"/>
        </w:rPr>
        <w:t>.</w:t>
      </w:r>
      <w:r>
        <w:rPr>
          <w:snapToGrid w:val="0"/>
        </w:rPr>
        <w:tab/>
        <w:t>Moneys available to the Mint</w:t>
      </w:r>
      <w:bookmarkEnd w:id="69"/>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70" w:name="_Toc179455229"/>
      <w:r>
        <w:rPr>
          <w:rStyle w:val="CharSectno"/>
        </w:rPr>
        <w:t>43</w:t>
      </w:r>
      <w:r>
        <w:rPr>
          <w:snapToGrid w:val="0"/>
        </w:rPr>
        <w:t>.</w:t>
      </w:r>
      <w:r>
        <w:rPr>
          <w:snapToGrid w:val="0"/>
        </w:rPr>
        <w:tab/>
        <w:t>Recovery of fees and charges</w:t>
      </w:r>
      <w:bookmarkEnd w:id="70"/>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71" w:name="_Toc179455230"/>
      <w:r>
        <w:rPr>
          <w:rStyle w:val="CharSectno"/>
        </w:rPr>
        <w:t>44</w:t>
      </w:r>
      <w:r>
        <w:rPr>
          <w:snapToGrid w:val="0"/>
        </w:rPr>
        <w:t>.</w:t>
      </w:r>
      <w:r>
        <w:rPr>
          <w:snapToGrid w:val="0"/>
        </w:rPr>
        <w:tab/>
        <w:t>Payments to Gold Corporation</w:t>
      </w:r>
      <w:bookmarkEnd w:id="71"/>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lastRenderedPageBreak/>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No. 10 of 1990 s. 6; No. 70 of 2003 s. 33.] </w:t>
      </w:r>
    </w:p>
    <w:p>
      <w:pPr>
        <w:pStyle w:val="Heading3"/>
        <w:rPr>
          <w:snapToGrid w:val="0"/>
        </w:rPr>
      </w:pPr>
      <w:bookmarkStart w:id="72" w:name="_Toc169939139"/>
      <w:bookmarkStart w:id="73" w:name="_Toc170119852"/>
      <w:bookmarkStart w:id="74" w:name="_Toc178839886"/>
      <w:bookmarkStart w:id="75" w:name="_Toc179210171"/>
      <w:bookmarkStart w:id="76" w:name="_Toc179455231"/>
      <w:r>
        <w:rPr>
          <w:rStyle w:val="CharDivNo"/>
        </w:rPr>
        <w:t>Division 3</w:t>
      </w:r>
      <w:r>
        <w:rPr>
          <w:snapToGrid w:val="0"/>
        </w:rPr>
        <w:t> — </w:t>
      </w:r>
      <w:r>
        <w:rPr>
          <w:rStyle w:val="CharDivText"/>
        </w:rPr>
        <w:t>Security provisions</w:t>
      </w:r>
      <w:bookmarkEnd w:id="72"/>
      <w:bookmarkEnd w:id="73"/>
      <w:bookmarkEnd w:id="74"/>
      <w:bookmarkEnd w:id="75"/>
      <w:bookmarkEnd w:id="76"/>
      <w:r>
        <w:rPr>
          <w:rStyle w:val="CharDivText"/>
        </w:rPr>
        <w:t xml:space="preserve"> </w:t>
      </w:r>
    </w:p>
    <w:p>
      <w:pPr>
        <w:pStyle w:val="Heading5"/>
        <w:rPr>
          <w:snapToGrid w:val="0"/>
        </w:rPr>
      </w:pPr>
      <w:bookmarkStart w:id="77" w:name="_Toc179455232"/>
      <w:r>
        <w:rPr>
          <w:rStyle w:val="CharSectno"/>
        </w:rPr>
        <w:t>45</w:t>
      </w:r>
      <w:r>
        <w:rPr>
          <w:snapToGrid w:val="0"/>
        </w:rPr>
        <w:t>.</w:t>
      </w:r>
      <w:r>
        <w:rPr>
          <w:snapToGrid w:val="0"/>
        </w:rPr>
        <w:tab/>
        <w:t>Title to gold and other residues</w:t>
      </w:r>
      <w:bookmarkEnd w:id="7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78" w:name="_Toc179455233"/>
      <w:r>
        <w:rPr>
          <w:rStyle w:val="CharSectno"/>
        </w:rPr>
        <w:t>46</w:t>
      </w:r>
      <w:r>
        <w:rPr>
          <w:snapToGrid w:val="0"/>
        </w:rPr>
        <w:t>.</w:t>
      </w:r>
      <w:r>
        <w:rPr>
          <w:snapToGrid w:val="0"/>
        </w:rPr>
        <w:tab/>
        <w:t>Detention of suspects</w:t>
      </w:r>
      <w:bookmarkEnd w:id="78"/>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w:t>
      </w:r>
      <w:r>
        <w:rPr>
          <w:snapToGrid w:val="0"/>
        </w:rPr>
        <w:lastRenderedPageBreak/>
        <w:t xml:space="preserve">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spacing w:before="180"/>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spacing w:before="100"/>
        <w:rPr>
          <w:snapToGrid w:val="0"/>
        </w:rPr>
      </w:pPr>
      <w:r>
        <w:rPr>
          <w:snapToGrid w:val="0"/>
        </w:rPr>
        <w:tab/>
        <w:t>(a)</w:t>
      </w:r>
      <w:r>
        <w:rPr>
          <w:snapToGrid w:val="0"/>
        </w:rPr>
        <w:tab/>
        <w:t>search that person and the possessions of that person;</w:t>
      </w:r>
    </w:p>
    <w:p>
      <w:pPr>
        <w:pStyle w:val="Indenta"/>
        <w:spacing w:before="100"/>
        <w:rPr>
          <w:snapToGrid w:val="0"/>
        </w:rPr>
      </w:pPr>
      <w:r>
        <w:rPr>
          <w:snapToGrid w:val="0"/>
        </w:rPr>
        <w:tab/>
        <w:t>(b)</w:t>
      </w:r>
      <w:r>
        <w:rPr>
          <w:snapToGrid w:val="0"/>
        </w:rPr>
        <w:tab/>
        <w:t>seize anything found, as a result of the search or otherwise, that may afford evidence of the commission of an offence;</w:t>
      </w:r>
    </w:p>
    <w:p>
      <w:pPr>
        <w:pStyle w:val="Indenta"/>
        <w:spacing w:before="100"/>
        <w:rPr>
          <w:snapToGrid w:val="0"/>
        </w:rPr>
      </w:pPr>
      <w:r>
        <w:rPr>
          <w:snapToGrid w:val="0"/>
        </w:rPr>
        <w:tab/>
        <w:t>(c)</w:t>
      </w:r>
      <w:r>
        <w:rPr>
          <w:snapToGrid w:val="0"/>
        </w:rPr>
        <w:tab/>
        <w:t>use such force as is reasonably necessary for the purpose of detention and search; and</w:t>
      </w:r>
    </w:p>
    <w:p>
      <w:pPr>
        <w:pStyle w:val="Indenta"/>
        <w:spacing w:before="100"/>
        <w:rPr>
          <w:snapToGrid w:val="0"/>
        </w:rPr>
      </w:pPr>
      <w:r>
        <w:rPr>
          <w:snapToGrid w:val="0"/>
        </w:rPr>
        <w:tab/>
        <w:t>(d)</w:t>
      </w:r>
      <w:r>
        <w:rPr>
          <w:snapToGrid w:val="0"/>
        </w:rPr>
        <w:tab/>
        <w:t>arrest the person without warrant.</w:t>
      </w:r>
    </w:p>
    <w:p>
      <w:pPr>
        <w:pStyle w:val="Footnotesection"/>
      </w:pPr>
      <w:r>
        <w:tab/>
        <w:t xml:space="preserve">[Section 46 amended: No. 10 of 1990 s. 6.] </w:t>
      </w:r>
    </w:p>
    <w:p>
      <w:pPr>
        <w:pStyle w:val="Heading5"/>
        <w:spacing w:before="240"/>
        <w:rPr>
          <w:snapToGrid w:val="0"/>
        </w:rPr>
      </w:pPr>
      <w:bookmarkStart w:id="79" w:name="_Toc179455234"/>
      <w:r>
        <w:rPr>
          <w:rStyle w:val="CharSectno"/>
        </w:rPr>
        <w:t>47</w:t>
      </w:r>
      <w:r>
        <w:rPr>
          <w:snapToGrid w:val="0"/>
        </w:rPr>
        <w:t>.</w:t>
      </w:r>
      <w:r>
        <w:rPr>
          <w:snapToGrid w:val="0"/>
        </w:rPr>
        <w:tab/>
        <w:t>Protection of the Mint name, symbol etc.</w:t>
      </w:r>
      <w:bookmarkEnd w:id="79"/>
      <w:r>
        <w:rPr>
          <w:snapToGrid w:val="0"/>
        </w:rPr>
        <w:t xml:space="preserve"> </w:t>
      </w:r>
    </w:p>
    <w:p>
      <w:pPr>
        <w:pStyle w:val="Subsection"/>
        <w:keepNext/>
        <w:spacing w:before="180"/>
        <w:rPr>
          <w:snapToGrid w:val="0"/>
        </w:rPr>
      </w:pPr>
      <w:r>
        <w:rPr>
          <w:snapToGrid w:val="0"/>
        </w:rPr>
        <w:tab/>
        <w:t>(1)</w:t>
      </w:r>
      <w:r>
        <w:rPr>
          <w:snapToGrid w:val="0"/>
        </w:rPr>
        <w:tab/>
        <w:t>Subject to subsection (5), a person who, without the consent in writing of the Mint — </w:t>
      </w:r>
    </w:p>
    <w:p>
      <w:pPr>
        <w:pStyle w:val="Indenta"/>
        <w:spacing w:before="100"/>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spacing w:before="100"/>
        <w:rPr>
          <w:snapToGrid w:val="0"/>
        </w:rPr>
      </w:pPr>
      <w:r>
        <w:rPr>
          <w:snapToGrid w:val="0"/>
        </w:rPr>
        <w:tab/>
        <w:t>(b)</w:t>
      </w:r>
      <w:r>
        <w:rPr>
          <w:snapToGrid w:val="0"/>
        </w:rPr>
        <w:tab/>
        <w:t xml:space="preserve">sells, offers for sale, exposes for sale, or otherwise has in his possession for sale, goods or securities to which the </w:t>
      </w:r>
      <w:r>
        <w:rPr>
          <w:snapToGrid w:val="0"/>
        </w:rPr>
        <w:lastRenderedPageBreak/>
        <w:t>name, or an abbreviation of the name, of the Mint, or a prescribed symbol, has been applied;</w:t>
      </w:r>
    </w:p>
    <w:p>
      <w:pPr>
        <w:pStyle w:val="Indenta"/>
        <w:spacing w:before="100"/>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spacing w:before="100"/>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 xml:space="preserve">The conviction of a person for an offence against this section in respect of the use of a name, abbreviation of a name, or prescribed symbol does not prevent a further conviction of that person in respect of the use of that name, abbreviation or </w:t>
      </w:r>
      <w:r>
        <w:rPr>
          <w:snapToGrid w:val="0"/>
        </w:rPr>
        <w:lastRenderedPageBreak/>
        <w:t>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keepNext/>
        <w:keepLines/>
        <w:rPr>
          <w:snapToGrid w:val="0"/>
        </w:rPr>
      </w:pPr>
      <w:r>
        <w:rPr>
          <w:snapToGrid w:val="0"/>
        </w:rPr>
        <w:lastRenderedPageBreak/>
        <w:tab/>
        <w:t>(f)</w:t>
      </w:r>
      <w:r>
        <w:rPr>
          <w:snapToGrid w:val="0"/>
        </w:rPr>
        <w:tab/>
        <w:t xml:space="preserve">a reference to </w:t>
      </w:r>
      <w:r>
        <w:rPr>
          <w:rStyle w:val="CharDefText"/>
        </w:rPr>
        <w:t>the Mint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80" w:name="_Toc169939143"/>
      <w:bookmarkStart w:id="81" w:name="_Toc170119856"/>
      <w:bookmarkStart w:id="82" w:name="_Toc178839890"/>
      <w:bookmarkStart w:id="83" w:name="_Toc179210175"/>
      <w:bookmarkStart w:id="84" w:name="_Toc179455235"/>
      <w:r>
        <w:rPr>
          <w:rStyle w:val="CharPartNo"/>
        </w:rPr>
        <w:lastRenderedPageBreak/>
        <w:t>Part VII</w:t>
      </w:r>
      <w:r>
        <w:rPr>
          <w:rStyle w:val="CharDivNo"/>
        </w:rPr>
        <w:t> </w:t>
      </w:r>
      <w:r>
        <w:t>—</w:t>
      </w:r>
      <w:r>
        <w:rPr>
          <w:rStyle w:val="CharDivText"/>
        </w:rPr>
        <w:t> </w:t>
      </w:r>
      <w:r>
        <w:rPr>
          <w:rStyle w:val="CharPartText"/>
        </w:rPr>
        <w:t>GoldCorp Australia</w:t>
      </w:r>
      <w:bookmarkEnd w:id="80"/>
      <w:bookmarkEnd w:id="81"/>
      <w:bookmarkEnd w:id="82"/>
      <w:bookmarkEnd w:id="83"/>
      <w:bookmarkEnd w:id="84"/>
      <w:r>
        <w:rPr>
          <w:rStyle w:val="CharPartText"/>
        </w:rPr>
        <w:t xml:space="preserve"> </w:t>
      </w:r>
    </w:p>
    <w:p>
      <w:pPr>
        <w:pStyle w:val="Heading5"/>
        <w:rPr>
          <w:snapToGrid w:val="0"/>
        </w:rPr>
      </w:pPr>
      <w:bookmarkStart w:id="85" w:name="_Toc179455236"/>
      <w:r>
        <w:rPr>
          <w:rStyle w:val="CharSectno"/>
        </w:rPr>
        <w:t>48</w:t>
      </w:r>
      <w:r>
        <w:rPr>
          <w:snapToGrid w:val="0"/>
        </w:rPr>
        <w:t>.</w:t>
      </w:r>
      <w:r>
        <w:rPr>
          <w:snapToGrid w:val="0"/>
        </w:rPr>
        <w:tab/>
        <w:t>Constitution of GoldCorp Australia as a body corporate</w:t>
      </w:r>
      <w:bookmarkEnd w:id="85"/>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r>
        <w:t xml:space="preserve">duty under the </w:t>
      </w:r>
      <w:r>
        <w:rPr>
          <w:i/>
          <w:iCs/>
        </w:rPr>
        <w:t>Duties Act 2008</w:t>
      </w:r>
      <w:r>
        <w:rPr>
          <w:snapToGrid w:val="0"/>
        </w:rPr>
        <w:t>, and all other taxes, fees and charges imposed by the Government, its instrumentalities or agencies.</w:t>
      </w:r>
    </w:p>
    <w:p>
      <w:pPr>
        <w:pStyle w:val="Subsection"/>
      </w:pPr>
      <w:r>
        <w:tab/>
        <w:t>(6)</w:t>
      </w:r>
      <w:r>
        <w:tab/>
        <w:t xml:space="preserve">No local government rate or charge is to be imposed or levied on any land vested in, or the care, control and management of which are placed with, GoldCorp, that is used or reserved </w:t>
      </w:r>
      <w:r>
        <w:lastRenderedPageBreak/>
        <w:t>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No. 10 of 1990 s. 6; No. 20 of 2003 s. 26; No. 70 of 2003 s. 34; No. 77 of 2006 s. 4; No. 12 of 2008 s. 52.] </w:t>
      </w:r>
    </w:p>
    <w:p>
      <w:pPr>
        <w:pStyle w:val="Heading5"/>
        <w:rPr>
          <w:snapToGrid w:val="0"/>
        </w:rPr>
      </w:pPr>
      <w:bookmarkStart w:id="86" w:name="_Toc179455237"/>
      <w:r>
        <w:rPr>
          <w:rStyle w:val="CharSectno"/>
        </w:rPr>
        <w:t>49</w:t>
      </w:r>
      <w:r>
        <w:rPr>
          <w:snapToGrid w:val="0"/>
        </w:rPr>
        <w:t>.</w:t>
      </w:r>
      <w:r>
        <w:rPr>
          <w:snapToGrid w:val="0"/>
        </w:rPr>
        <w:tab/>
        <w:t>Functions of GoldCorp</w:t>
      </w:r>
      <w:bookmarkEnd w:id="86"/>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87" w:name="_Toc179455238"/>
      <w:r>
        <w:rPr>
          <w:rStyle w:val="CharSectno"/>
        </w:rPr>
        <w:t>50</w:t>
      </w:r>
      <w:r>
        <w:rPr>
          <w:snapToGrid w:val="0"/>
        </w:rPr>
        <w:t>.</w:t>
      </w:r>
      <w:r>
        <w:rPr>
          <w:snapToGrid w:val="0"/>
        </w:rPr>
        <w:tab/>
        <w:t>Powers of GoldCorp</w:t>
      </w:r>
      <w:bookmarkEnd w:id="87"/>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lastRenderedPageBreak/>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No. 10 of 1990 s. 26.] </w:t>
      </w:r>
    </w:p>
    <w:p>
      <w:pPr>
        <w:pStyle w:val="Heading5"/>
        <w:rPr>
          <w:snapToGrid w:val="0"/>
        </w:rPr>
      </w:pPr>
      <w:bookmarkStart w:id="88" w:name="_Toc179455239"/>
      <w:r>
        <w:rPr>
          <w:rStyle w:val="CharSectno"/>
        </w:rPr>
        <w:t>51</w:t>
      </w:r>
      <w:r>
        <w:rPr>
          <w:snapToGrid w:val="0"/>
        </w:rPr>
        <w:t>.</w:t>
      </w:r>
      <w:r>
        <w:rPr>
          <w:snapToGrid w:val="0"/>
        </w:rPr>
        <w:tab/>
        <w:t>Managing director of GoldCorp</w:t>
      </w:r>
      <w:bookmarkEnd w:id="88"/>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 xml:space="preserve">subject to </w:t>
      </w:r>
      <w:r>
        <w:t xml:space="preserve">sections 52A and 52B, </w:t>
      </w:r>
      <w:r>
        <w:rPr>
          <w:snapToGrid w:val="0"/>
        </w:rPr>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lastRenderedPageBreak/>
        <w:tab/>
        <w:t>[Section 51 amended: No. 28 of 2006 s. 422; No. 46 of 2016 s. 20.]</w:t>
      </w:r>
    </w:p>
    <w:p>
      <w:pPr>
        <w:pStyle w:val="Heading5"/>
      </w:pPr>
      <w:bookmarkStart w:id="89" w:name="_Toc179455240"/>
      <w:r>
        <w:rPr>
          <w:rStyle w:val="CharSectno"/>
        </w:rPr>
        <w:t>52A</w:t>
      </w:r>
      <w:r>
        <w:t>.</w:t>
      </w:r>
      <w:r>
        <w:tab/>
        <w:t>Remuneration of managing director while GoldCorp is not a Government entity</w:t>
      </w:r>
      <w:bookmarkEnd w:id="8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GoldCorp is not a Government entity as defined in the </w:t>
      </w:r>
      <w:r>
        <w:rPr>
          <w:i/>
        </w:rPr>
        <w:t>Salaries and Allowances Act 1975</w:t>
      </w:r>
      <w:r>
        <w:t xml:space="preserve"> section 7BA.</w:t>
      </w:r>
    </w:p>
    <w:p>
      <w:pPr>
        <w:pStyle w:val="Subsection"/>
      </w:pPr>
      <w:r>
        <w:tab/>
        <w:t>(3)</w:t>
      </w:r>
      <w:r>
        <w:tab/>
        <w:t>The remuneration, including any variation to the remuneration, of the managing director of GoldCorp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managing director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managing director of GoldCorp.</w:t>
      </w:r>
    </w:p>
    <w:p>
      <w:pPr>
        <w:pStyle w:val="Footnotesection"/>
      </w:pPr>
      <w:r>
        <w:tab/>
        <w:t>[Section 52A inserted: No. 46 of 2016 s. 21; amended: No. 13 of  2023 s. 213.]</w:t>
      </w:r>
    </w:p>
    <w:p>
      <w:pPr>
        <w:pStyle w:val="Heading5"/>
      </w:pPr>
      <w:bookmarkStart w:id="90" w:name="_Toc179455241"/>
      <w:r>
        <w:rPr>
          <w:rStyle w:val="CharSectno"/>
        </w:rPr>
        <w:t>52B</w:t>
      </w:r>
      <w:r>
        <w:t>.</w:t>
      </w:r>
      <w:r>
        <w:tab/>
        <w:t>Remuneration of managing director while GoldCorp is a Government entity</w:t>
      </w:r>
      <w:bookmarkEnd w:id="9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lastRenderedPageBreak/>
        <w:tab/>
        <w:t>(2)</w:t>
      </w:r>
      <w:r>
        <w:tab/>
        <w:t xml:space="preserve">This section applies when GoldCorp is a Government entity as defined in the </w:t>
      </w:r>
      <w:r>
        <w:rPr>
          <w:i/>
        </w:rPr>
        <w:t>Salaries and Allowances Act 1975</w:t>
      </w:r>
      <w:r>
        <w:t xml:space="preserve"> section 7BA.</w:t>
      </w:r>
    </w:p>
    <w:p>
      <w:pPr>
        <w:pStyle w:val="Subsection"/>
      </w:pPr>
      <w:r>
        <w:tab/>
        <w:t>(3)</w:t>
      </w:r>
      <w:r>
        <w:tab/>
        <w:t xml:space="preserve">The remuneration of the managing director of GoldCorp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managing director of GoldCorp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52B inserted: No. 46 of 2016 s. 21; amended: No. 13 of  2023 s. 213.]</w:t>
      </w:r>
    </w:p>
    <w:p>
      <w:pPr>
        <w:pStyle w:val="Heading5"/>
        <w:rPr>
          <w:snapToGrid w:val="0"/>
        </w:rPr>
      </w:pPr>
      <w:bookmarkStart w:id="91" w:name="_Toc179455242"/>
      <w:r>
        <w:rPr>
          <w:rStyle w:val="CharSectno"/>
        </w:rPr>
        <w:t>52</w:t>
      </w:r>
      <w:r>
        <w:rPr>
          <w:snapToGrid w:val="0"/>
        </w:rPr>
        <w:t>.</w:t>
      </w:r>
      <w:r>
        <w:rPr>
          <w:snapToGrid w:val="0"/>
        </w:rPr>
        <w:tab/>
        <w:t>Employment by GoldCorp of staff and consultants</w:t>
      </w:r>
      <w:bookmarkEnd w:id="91"/>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lastRenderedPageBreak/>
        <w:tab/>
        <w:t>(5)</w:t>
      </w:r>
      <w:r>
        <w:rPr>
          <w:snapToGrid w:val="0"/>
        </w:rPr>
        <w:tab/>
        <w:t>GoldCorp may engage under contract for services such professional, technical or other assistance as it considers necessary.</w:t>
      </w:r>
    </w:p>
    <w:p>
      <w:pPr>
        <w:pStyle w:val="Footnotesection"/>
      </w:pPr>
      <w:r>
        <w:tab/>
        <w:t xml:space="preserve">[Section 52 amended: No. 1 of 1995 s. 35.] </w:t>
      </w:r>
    </w:p>
    <w:p>
      <w:pPr>
        <w:pStyle w:val="Heading5"/>
        <w:rPr>
          <w:snapToGrid w:val="0"/>
        </w:rPr>
      </w:pPr>
      <w:bookmarkStart w:id="92" w:name="_Toc179455243"/>
      <w:r>
        <w:rPr>
          <w:rStyle w:val="CharSectno"/>
        </w:rPr>
        <w:t>53</w:t>
      </w:r>
      <w:r>
        <w:rPr>
          <w:snapToGrid w:val="0"/>
        </w:rPr>
        <w:t>.</w:t>
      </w:r>
      <w:r>
        <w:rPr>
          <w:snapToGrid w:val="0"/>
        </w:rPr>
        <w:tab/>
        <w:t>Payments to Gold Corporation</w:t>
      </w:r>
      <w:bookmarkEnd w:id="92"/>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No. 10 of 1990 s. 6; No. 70 of 2003 s. 35.] </w:t>
      </w:r>
    </w:p>
    <w:p>
      <w:pPr>
        <w:pStyle w:val="Heading2"/>
      </w:pPr>
      <w:bookmarkStart w:id="93" w:name="_Toc169939152"/>
      <w:bookmarkStart w:id="94" w:name="_Toc170119865"/>
      <w:bookmarkStart w:id="95" w:name="_Toc178839899"/>
      <w:bookmarkStart w:id="96" w:name="_Toc179210184"/>
      <w:bookmarkStart w:id="97" w:name="_Toc179455244"/>
      <w:r>
        <w:rPr>
          <w:rStyle w:val="CharPartNo"/>
        </w:rPr>
        <w:lastRenderedPageBreak/>
        <w:t>Part VIII</w:t>
      </w:r>
      <w:r>
        <w:rPr>
          <w:rStyle w:val="CharDivNo"/>
        </w:rPr>
        <w:t> </w:t>
      </w:r>
      <w:r>
        <w:t>—</w:t>
      </w:r>
      <w:r>
        <w:rPr>
          <w:rStyle w:val="CharDivText"/>
        </w:rPr>
        <w:t> </w:t>
      </w:r>
      <w:r>
        <w:rPr>
          <w:rStyle w:val="CharPartText"/>
        </w:rPr>
        <w:t>Accounts and audit</w:t>
      </w:r>
      <w:bookmarkEnd w:id="93"/>
      <w:bookmarkEnd w:id="94"/>
      <w:bookmarkEnd w:id="95"/>
      <w:bookmarkEnd w:id="96"/>
      <w:bookmarkEnd w:id="97"/>
      <w:r>
        <w:rPr>
          <w:rStyle w:val="CharPartText"/>
        </w:rPr>
        <w:t xml:space="preserve"> </w:t>
      </w:r>
    </w:p>
    <w:p>
      <w:pPr>
        <w:pStyle w:val="Heading5"/>
        <w:rPr>
          <w:snapToGrid w:val="0"/>
        </w:rPr>
      </w:pPr>
      <w:bookmarkStart w:id="98" w:name="_Toc179455245"/>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8"/>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No. 10 of 1990 s. 27; amended: No. 77 of 2006 s. 17.] </w:t>
      </w:r>
    </w:p>
    <w:p>
      <w:pPr>
        <w:pStyle w:val="Heading5"/>
        <w:rPr>
          <w:snapToGrid w:val="0"/>
        </w:rPr>
      </w:pPr>
      <w:bookmarkStart w:id="99" w:name="_Toc179455246"/>
      <w:r>
        <w:rPr>
          <w:rStyle w:val="CharSectno"/>
        </w:rPr>
        <w:t>55</w:t>
      </w:r>
      <w:r>
        <w:rPr>
          <w:snapToGrid w:val="0"/>
        </w:rPr>
        <w:t>.</w:t>
      </w:r>
      <w:r>
        <w:rPr>
          <w:snapToGrid w:val="0"/>
        </w:rPr>
        <w:tab/>
        <w:t>Funding</w:t>
      </w:r>
      <w:bookmarkEnd w:id="99"/>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lastRenderedPageBreak/>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No. 10 of 1990 s. 27.] </w:t>
      </w:r>
    </w:p>
    <w:p>
      <w:pPr>
        <w:pStyle w:val="Ednotesection"/>
      </w:pPr>
      <w:r>
        <w:t>[</w:t>
      </w:r>
      <w:r>
        <w:rPr>
          <w:b/>
        </w:rPr>
        <w:t>56</w:t>
      </w:r>
      <w:r>
        <w:rPr>
          <w:b/>
        </w:rPr>
        <w:noBreakHyphen/>
        <w:t>66.</w:t>
      </w:r>
      <w:r>
        <w:tab/>
        <w:t xml:space="preserve">Deleted: No. 10 of 1990 s. 27.] </w:t>
      </w:r>
    </w:p>
    <w:p>
      <w:pPr>
        <w:pStyle w:val="Heading2"/>
      </w:pPr>
      <w:bookmarkStart w:id="100" w:name="_Toc169939155"/>
      <w:bookmarkStart w:id="101" w:name="_Toc170119868"/>
      <w:bookmarkStart w:id="102" w:name="_Toc178839902"/>
      <w:bookmarkStart w:id="103" w:name="_Toc179210187"/>
      <w:bookmarkStart w:id="104" w:name="_Toc179455247"/>
      <w:r>
        <w:rPr>
          <w:rStyle w:val="CharPartNo"/>
        </w:rPr>
        <w:lastRenderedPageBreak/>
        <w:t>Part IX</w:t>
      </w:r>
      <w:r>
        <w:rPr>
          <w:rStyle w:val="CharDivNo"/>
        </w:rPr>
        <w:t> </w:t>
      </w:r>
      <w:r>
        <w:t>—</w:t>
      </w:r>
      <w:r>
        <w:rPr>
          <w:rStyle w:val="CharDivText"/>
        </w:rPr>
        <w:t> </w:t>
      </w:r>
      <w:r>
        <w:rPr>
          <w:rStyle w:val="CharPartText"/>
        </w:rPr>
        <w:t>Miscellaneous matters</w:t>
      </w:r>
      <w:bookmarkEnd w:id="100"/>
      <w:bookmarkEnd w:id="101"/>
      <w:bookmarkEnd w:id="102"/>
      <w:bookmarkEnd w:id="103"/>
      <w:bookmarkEnd w:id="104"/>
      <w:r>
        <w:rPr>
          <w:rStyle w:val="CharPartText"/>
        </w:rPr>
        <w:t xml:space="preserve"> </w:t>
      </w:r>
    </w:p>
    <w:p>
      <w:pPr>
        <w:pStyle w:val="Heading5"/>
        <w:rPr>
          <w:snapToGrid w:val="0"/>
        </w:rPr>
      </w:pPr>
      <w:bookmarkStart w:id="105" w:name="_Toc179455248"/>
      <w:r>
        <w:rPr>
          <w:rStyle w:val="CharSectno"/>
        </w:rPr>
        <w:t>67</w:t>
      </w:r>
      <w:r>
        <w:rPr>
          <w:snapToGrid w:val="0"/>
        </w:rPr>
        <w:t>.</w:t>
      </w:r>
      <w:r>
        <w:rPr>
          <w:snapToGrid w:val="0"/>
        </w:rPr>
        <w:tab/>
        <w:t>Title to gold etc.</w:t>
      </w:r>
      <w:bookmarkEnd w:id="105"/>
      <w:r>
        <w:rPr>
          <w:snapToGrid w:val="0"/>
        </w:rPr>
        <w:t xml:space="preserve"> </w:t>
      </w:r>
    </w:p>
    <w:p>
      <w:pPr>
        <w:pStyle w:val="Subsection"/>
        <w:rPr>
          <w:snapToGrid w:val="0"/>
        </w:rPr>
      </w:pPr>
      <w:r>
        <w:tab/>
        <w:t>(1)</w:t>
      </w:r>
      <w:r>
        <w:tab/>
        <w:t>Where gold</w:t>
      </w:r>
      <w:r>
        <w:rPr>
          <w:snapToGrid w:val="0"/>
        </w:rPr>
        <w:t xml:space="preserve">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Subsection"/>
      </w:pPr>
      <w:r>
        <w:tab/>
        <w:t>(2)</w:t>
      </w:r>
      <w:r>
        <w:tab/>
        <w:t xml:space="preserve">For the purposes of the </w:t>
      </w:r>
      <w:r>
        <w:rPr>
          <w:i/>
          <w:iCs/>
        </w:rPr>
        <w:t>Personal Property Securities Act 2009</w:t>
      </w:r>
      <w:r>
        <w:t xml:space="preserve"> (Commonwealth) section 259, gold that is collateral purchased by Gold Corporation, the Mint or GoldCorp under subsection (1), but not the proceeds from the sale of gold to Gold Corporation, the Mint, or GoldCorp, is declared to be an excluded matter in relation to section 32 of that Act.</w:t>
      </w:r>
    </w:p>
    <w:p>
      <w:pPr>
        <w:pStyle w:val="Footnotesection"/>
      </w:pPr>
      <w:r>
        <w:tab/>
        <w:t xml:space="preserve">[Section 67 amended: No. 10 of 1990 s. 6; No. 42 of 2011 s. 93.] </w:t>
      </w:r>
    </w:p>
    <w:p>
      <w:pPr>
        <w:pStyle w:val="Heading5"/>
        <w:rPr>
          <w:snapToGrid w:val="0"/>
        </w:rPr>
      </w:pPr>
      <w:bookmarkStart w:id="106" w:name="_Toc179455249"/>
      <w:r>
        <w:rPr>
          <w:rStyle w:val="CharSectno"/>
        </w:rPr>
        <w:lastRenderedPageBreak/>
        <w:t>68</w:t>
      </w:r>
      <w:r>
        <w:rPr>
          <w:snapToGrid w:val="0"/>
        </w:rPr>
        <w:t>.</w:t>
      </w:r>
      <w:r>
        <w:rPr>
          <w:snapToGrid w:val="0"/>
        </w:rPr>
        <w:tab/>
        <w:t>Employment by Gold Corporation of staff and consultants</w:t>
      </w:r>
      <w:bookmarkEnd w:id="106"/>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spacing w:before="120"/>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spacing w:before="120"/>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2</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spacing w:before="120"/>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spacing w:before="120"/>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No. 10 of 1990 s. 6 and 28; No. 1 of 1995 s. 35.] </w:t>
      </w:r>
    </w:p>
    <w:p>
      <w:pPr>
        <w:pStyle w:val="Heading5"/>
        <w:spacing w:before="180"/>
        <w:rPr>
          <w:snapToGrid w:val="0"/>
        </w:rPr>
      </w:pPr>
      <w:bookmarkStart w:id="107" w:name="_Toc179455250"/>
      <w:r>
        <w:rPr>
          <w:rStyle w:val="CharSectno"/>
        </w:rPr>
        <w:t>69</w:t>
      </w:r>
      <w:r>
        <w:rPr>
          <w:snapToGrid w:val="0"/>
        </w:rPr>
        <w:t>.</w:t>
      </w:r>
      <w:r>
        <w:rPr>
          <w:snapToGrid w:val="0"/>
        </w:rPr>
        <w:tab/>
        <w:t>Use of staff and facilities of departments and instrumentalities etc.</w:t>
      </w:r>
      <w:bookmarkEnd w:id="107"/>
      <w:r>
        <w:rPr>
          <w:snapToGrid w:val="0"/>
        </w:rPr>
        <w:t xml:space="preserve"> </w:t>
      </w:r>
    </w:p>
    <w:p>
      <w:pPr>
        <w:pStyle w:val="Subsection"/>
        <w:keepNext/>
        <w:spacing w:before="120"/>
        <w:rPr>
          <w:snapToGrid w:val="0"/>
        </w:rPr>
      </w:pPr>
      <w:r>
        <w:rPr>
          <w:snapToGrid w:val="0"/>
        </w:rPr>
        <w:tab/>
        <w:t>(1)</w:t>
      </w:r>
      <w:r>
        <w:rPr>
          <w:snapToGrid w:val="0"/>
        </w:rPr>
        <w:tab/>
        <w:t xml:space="preserve">Gold Corporation and any of its subsidiaries may, by arrangement made between the Board and the Minister </w:t>
      </w:r>
      <w:r>
        <w:rPr>
          <w:snapToGrid w:val="0"/>
        </w:rPr>
        <w:lastRenderedPageBreak/>
        <w:t>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ind w:left="890" w:hanging="890"/>
      </w:pPr>
      <w:r>
        <w:tab/>
        <w:t xml:space="preserve">[Section 69 amended: No. 10 of 1990 s. 6 and 29.] </w:t>
      </w:r>
    </w:p>
    <w:p>
      <w:pPr>
        <w:pStyle w:val="Heading5"/>
        <w:rPr>
          <w:snapToGrid w:val="0"/>
        </w:rPr>
      </w:pPr>
      <w:bookmarkStart w:id="108" w:name="_Toc179455251"/>
      <w:r>
        <w:rPr>
          <w:rStyle w:val="CharSectno"/>
        </w:rPr>
        <w:t>70</w:t>
      </w:r>
      <w:r>
        <w:rPr>
          <w:snapToGrid w:val="0"/>
        </w:rPr>
        <w:t>.</w:t>
      </w:r>
      <w:r>
        <w:rPr>
          <w:snapToGrid w:val="0"/>
        </w:rPr>
        <w:tab/>
        <w:t>Superannuation</w:t>
      </w:r>
      <w:bookmarkEnd w:id="108"/>
      <w:r>
        <w:rPr>
          <w:snapToGrid w:val="0"/>
        </w:rPr>
        <w:t xml:space="preserve"> </w:t>
      </w:r>
    </w:p>
    <w:p>
      <w:pPr>
        <w:pStyle w:val="Subsection"/>
        <w:spacing w:before="12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2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20"/>
        <w:rPr>
          <w:snapToGrid w:val="0"/>
        </w:rPr>
      </w:pPr>
      <w:r>
        <w:rPr>
          <w:snapToGrid w:val="0"/>
        </w:rPr>
        <w:tab/>
        <w:t>(3)</w:t>
      </w:r>
      <w:r>
        <w:rPr>
          <w:snapToGrid w:val="0"/>
        </w:rPr>
        <w:tab/>
        <w:t xml:space="preserve">In subsection (1) </w:t>
      </w:r>
      <w:r>
        <w:rPr>
          <w:rStyle w:val="CharDefText"/>
        </w:rPr>
        <w:t>employees</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No. 10 of 1990 s. 6.] </w:t>
      </w:r>
    </w:p>
    <w:p>
      <w:pPr>
        <w:pStyle w:val="Heading5"/>
        <w:spacing w:before="180"/>
        <w:rPr>
          <w:snapToGrid w:val="0"/>
        </w:rPr>
      </w:pPr>
      <w:bookmarkStart w:id="109" w:name="_Toc179455252"/>
      <w:r>
        <w:rPr>
          <w:rStyle w:val="CharSectno"/>
        </w:rPr>
        <w:lastRenderedPageBreak/>
        <w:t>71</w:t>
      </w:r>
      <w:r>
        <w:rPr>
          <w:snapToGrid w:val="0"/>
        </w:rPr>
        <w:t>.</w:t>
      </w:r>
      <w:r>
        <w:rPr>
          <w:snapToGrid w:val="0"/>
        </w:rPr>
        <w:tab/>
        <w:t>Duty and liability of directors</w:t>
      </w:r>
      <w:bookmarkEnd w:id="109"/>
      <w:r>
        <w:rPr>
          <w:snapToGrid w:val="0"/>
        </w:rPr>
        <w:t xml:space="preserve"> </w:t>
      </w:r>
    </w:p>
    <w:p>
      <w:pPr>
        <w:pStyle w:val="Subsection"/>
        <w:spacing w:before="12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keepNext/>
        <w:rPr>
          <w:snapToGrid w:val="0"/>
        </w:rPr>
      </w:pPr>
      <w:r>
        <w:rPr>
          <w:snapToGrid w:val="0"/>
        </w:rPr>
        <w:tab/>
        <w:t>Penalty — </w:t>
      </w:r>
    </w:p>
    <w:p>
      <w:pPr>
        <w:pStyle w:val="Penpara"/>
        <w:spacing w:before="60"/>
        <w:rPr>
          <w:snapToGrid w:val="0"/>
        </w:rPr>
      </w:pPr>
      <w:r>
        <w:rPr>
          <w:snapToGrid w:val="0"/>
        </w:rPr>
        <w:tab/>
        <w:t>(a)</w:t>
      </w:r>
      <w:r>
        <w:rPr>
          <w:snapToGrid w:val="0"/>
        </w:rPr>
        <w:tab/>
        <w:t>in a case to which paragraph (b) does not apply —$5 000;</w:t>
      </w:r>
    </w:p>
    <w:p>
      <w:pPr>
        <w:pStyle w:val="Penpara"/>
        <w:spacing w:before="60"/>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spacing w:before="60"/>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No. 10 of 1990 s. 6; No. 4 of 2004 s. 58.] </w:t>
      </w:r>
    </w:p>
    <w:p>
      <w:pPr>
        <w:pStyle w:val="Heading5"/>
        <w:rPr>
          <w:snapToGrid w:val="0"/>
        </w:rPr>
      </w:pPr>
      <w:bookmarkStart w:id="110" w:name="_Toc179455253"/>
      <w:r>
        <w:rPr>
          <w:rStyle w:val="CharSectno"/>
        </w:rPr>
        <w:t>72</w:t>
      </w:r>
      <w:r>
        <w:rPr>
          <w:snapToGrid w:val="0"/>
        </w:rPr>
        <w:t>.</w:t>
      </w:r>
      <w:r>
        <w:rPr>
          <w:snapToGrid w:val="0"/>
        </w:rPr>
        <w:tab/>
        <w:t>Improper use of position or information</w:t>
      </w:r>
      <w:bookmarkEnd w:id="110"/>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 xml:space="preserve">and makes improper use of his or her position as such an officer or employee, or of information acquired by virtue of that </w:t>
      </w:r>
      <w:r>
        <w:rPr>
          <w:snapToGrid w:val="0"/>
        </w:rPr>
        <w:lastRenderedPageBreak/>
        <w:t>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rStyle w:val="CharDefText"/>
        </w:rPr>
        <w:t>officer</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ind w:left="890" w:hanging="890"/>
      </w:pPr>
      <w:r>
        <w:tab/>
        <w:t xml:space="preserve">[Section 72 amended: No. 10 of 1990 s. 30; No. 20 of 2003 s. 27; No. 4 of 2004 s. 58.] </w:t>
      </w:r>
    </w:p>
    <w:p>
      <w:pPr>
        <w:pStyle w:val="Heading5"/>
        <w:spacing w:before="240"/>
        <w:rPr>
          <w:snapToGrid w:val="0"/>
        </w:rPr>
      </w:pPr>
      <w:bookmarkStart w:id="111" w:name="_Toc179455254"/>
      <w:r>
        <w:rPr>
          <w:rStyle w:val="CharSectno"/>
        </w:rPr>
        <w:t>73</w:t>
      </w:r>
      <w:r>
        <w:rPr>
          <w:snapToGrid w:val="0"/>
        </w:rPr>
        <w:t>.</w:t>
      </w:r>
      <w:r>
        <w:rPr>
          <w:snapToGrid w:val="0"/>
        </w:rPr>
        <w:tab/>
        <w:t>Contravention of sections 71 and 72</w:t>
      </w:r>
      <w:bookmarkEnd w:id="111"/>
      <w:r>
        <w:rPr>
          <w:snapToGrid w:val="0"/>
        </w:rPr>
        <w:t xml:space="preserve"> </w:t>
      </w:r>
    </w:p>
    <w:p>
      <w:pPr>
        <w:pStyle w:val="Ednotesubsection"/>
        <w:spacing w:before="180"/>
      </w:pPr>
      <w:r>
        <w:tab/>
        <w:t>[(1), (2)</w:t>
      </w:r>
      <w:r>
        <w:tab/>
        <w:t>deleted]</w:t>
      </w:r>
    </w:p>
    <w:p>
      <w:pPr>
        <w:pStyle w:val="Subsection"/>
        <w:keepNext/>
        <w:spacing w:before="18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lastRenderedPageBreak/>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spacing w:before="180"/>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spacing w:before="180"/>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keepNext/>
        <w:spacing w:before="180"/>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xml:space="preserve">, that arose out of or was constituted by the same act or transaction as the contravention of or failure to </w:t>
      </w:r>
      <w:r>
        <w:rPr>
          <w:snapToGrid w:val="0"/>
        </w:rPr>
        <w:lastRenderedPageBreak/>
        <w:t>comply with that section, the amount of the liability under this section shall be reduced by the first</w:t>
      </w:r>
      <w:r>
        <w:rPr>
          <w:snapToGrid w:val="0"/>
        </w:rPr>
        <w:noBreakHyphen/>
        <w:t>mentioned amount.</w:t>
      </w:r>
    </w:p>
    <w:p>
      <w:pPr>
        <w:pStyle w:val="Footnotesection"/>
      </w:pPr>
      <w:r>
        <w:tab/>
        <w:t xml:space="preserve">[Section 73 amended: No. 10 of 1990 s. 31; No. 20 of 2003 s. 28; No. 4 of 2004 s. 58.] </w:t>
      </w:r>
    </w:p>
    <w:p>
      <w:pPr>
        <w:pStyle w:val="Heading5"/>
        <w:spacing w:before="180"/>
        <w:rPr>
          <w:snapToGrid w:val="0"/>
        </w:rPr>
      </w:pPr>
      <w:bookmarkStart w:id="112" w:name="_Toc179455255"/>
      <w:r>
        <w:rPr>
          <w:rStyle w:val="CharSectno"/>
        </w:rPr>
        <w:t>74</w:t>
      </w:r>
      <w:r>
        <w:rPr>
          <w:snapToGrid w:val="0"/>
        </w:rPr>
        <w:t>.</w:t>
      </w:r>
      <w:r>
        <w:rPr>
          <w:snapToGrid w:val="0"/>
        </w:rPr>
        <w:tab/>
        <w:t>Secrecy and security of records of Gold Corporation and its subsidiaries</w:t>
      </w:r>
      <w:bookmarkEnd w:id="112"/>
      <w:r>
        <w:rPr>
          <w:snapToGrid w:val="0"/>
        </w:rPr>
        <w:t xml:space="preserve"> </w:t>
      </w:r>
    </w:p>
    <w:p>
      <w:pPr>
        <w:pStyle w:val="Subsection"/>
        <w:spacing w:before="180"/>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keepNext/>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lastRenderedPageBreak/>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information</w:t>
      </w:r>
      <w:r>
        <w:t xml:space="preserve"> includes any record relating to information;</w:t>
      </w:r>
    </w:p>
    <w:p>
      <w:pPr>
        <w:pStyle w:val="Defstart"/>
      </w:pPr>
      <w:r>
        <w:rPr>
          <w:b/>
        </w:rPr>
        <w:lastRenderedPageBreak/>
        <w:tab/>
      </w:r>
      <w:r>
        <w:rPr>
          <w:rStyle w:val="CharDefText"/>
        </w:rPr>
        <w:t>record</w:t>
      </w:r>
      <w:r>
        <w:t xml:space="preserve"> includes any document, accounts or accounting records and any other method of compiling information however prepared, recorded or stored;</w:t>
      </w:r>
    </w:p>
    <w:p>
      <w:pPr>
        <w:pStyle w:val="Defstart"/>
      </w:pPr>
      <w:r>
        <w:rPr>
          <w:b/>
        </w:rPr>
        <w:tab/>
      </w:r>
      <w:r>
        <w:rPr>
          <w:rStyle w:val="CharDefText"/>
        </w:rPr>
        <w:t>to divulge</w:t>
      </w:r>
      <w:r>
        <w:t xml:space="preserve"> includes to communicate by any means whatsoever, or to produce or furnish any record, or any copy of or extract from a record; and</w:t>
      </w:r>
    </w:p>
    <w:p>
      <w:pPr>
        <w:pStyle w:val="Defstart"/>
      </w:pPr>
      <w:r>
        <w:rPr>
          <w:b/>
        </w:rPr>
        <w:tab/>
      </w:r>
      <w:r>
        <w:rPr>
          <w:rStyle w:val="CharDefText"/>
        </w:rPr>
        <w:t>to produce</w:t>
      </w:r>
      <w:r>
        <w:t xml:space="preserve"> includes to permit access to, obtain for or make available.</w:t>
      </w:r>
    </w:p>
    <w:p>
      <w:pPr>
        <w:pStyle w:val="Footnotesection"/>
      </w:pPr>
      <w:r>
        <w:tab/>
        <w:t xml:space="preserve">[Section 74 amended: No. 10 of 1990 s. 32; No. 84 of 2004 s. 82.] </w:t>
      </w:r>
    </w:p>
    <w:p>
      <w:pPr>
        <w:pStyle w:val="Heading5"/>
        <w:rPr>
          <w:snapToGrid w:val="0"/>
        </w:rPr>
      </w:pPr>
      <w:bookmarkStart w:id="113" w:name="_Toc179455256"/>
      <w:r>
        <w:rPr>
          <w:rStyle w:val="CharSectno"/>
        </w:rPr>
        <w:t>75</w:t>
      </w:r>
      <w:r>
        <w:rPr>
          <w:snapToGrid w:val="0"/>
        </w:rPr>
        <w:t>.</w:t>
      </w:r>
      <w:r>
        <w:rPr>
          <w:snapToGrid w:val="0"/>
        </w:rPr>
        <w:tab/>
        <w:t>Security</w:t>
      </w:r>
      <w:bookmarkEnd w:id="113"/>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spacing w:before="180"/>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spacing w:before="180"/>
        <w:rPr>
          <w:snapToGrid w:val="0"/>
        </w:rPr>
      </w:pPr>
      <w:r>
        <w:rPr>
          <w:snapToGrid w:val="0"/>
        </w:rPr>
        <w:tab/>
        <w:t>(3)</w:t>
      </w:r>
      <w:r>
        <w:rPr>
          <w:snapToGrid w:val="0"/>
        </w:rPr>
        <w:tab/>
        <w:t>Security Instructions under this section may be issued — </w:t>
      </w:r>
    </w:p>
    <w:p>
      <w:pPr>
        <w:pStyle w:val="Indenta"/>
        <w:keepNext/>
        <w:spacing w:before="100"/>
        <w:rPr>
          <w:snapToGrid w:val="0"/>
        </w:rPr>
      </w:pPr>
      <w:r>
        <w:rPr>
          <w:snapToGrid w:val="0"/>
        </w:rPr>
        <w:tab/>
        <w:t>(a)</w:t>
      </w:r>
      <w:r>
        <w:rPr>
          <w:snapToGrid w:val="0"/>
        </w:rPr>
        <w:tab/>
        <w:t>so as to apply — </w:t>
      </w:r>
    </w:p>
    <w:p>
      <w:pPr>
        <w:pStyle w:val="Indenti"/>
        <w:spacing w:before="100"/>
        <w:rPr>
          <w:snapToGrid w:val="0"/>
        </w:rPr>
      </w:pPr>
      <w:r>
        <w:rPr>
          <w:snapToGrid w:val="0"/>
        </w:rPr>
        <w:tab/>
        <w:t>(i)</w:t>
      </w:r>
      <w:r>
        <w:rPr>
          <w:snapToGrid w:val="0"/>
        </w:rPr>
        <w:tab/>
        <w:t>at all times or at a specified time;</w:t>
      </w:r>
    </w:p>
    <w:p>
      <w:pPr>
        <w:pStyle w:val="Indenti"/>
        <w:spacing w:before="100"/>
        <w:rPr>
          <w:snapToGrid w:val="0"/>
        </w:rPr>
      </w:pPr>
      <w:r>
        <w:rPr>
          <w:snapToGrid w:val="0"/>
        </w:rPr>
        <w:lastRenderedPageBreak/>
        <w:tab/>
        <w:t>(ii)</w:t>
      </w:r>
      <w:r>
        <w:rPr>
          <w:snapToGrid w:val="0"/>
        </w:rPr>
        <w:tab/>
        <w:t>to all employees or persons associated with the activities of Gold Corporation and its subsidiaries or to specified employees or persons; or</w:t>
      </w:r>
    </w:p>
    <w:p>
      <w:pPr>
        <w:pStyle w:val="Indenti"/>
        <w:spacing w:before="100"/>
        <w:rPr>
          <w:snapToGrid w:val="0"/>
        </w:rPr>
      </w:pPr>
      <w:r>
        <w:rPr>
          <w:snapToGrid w:val="0"/>
        </w:rPr>
        <w:tab/>
        <w:t>(iii)</w:t>
      </w:r>
      <w:r>
        <w:rPr>
          <w:snapToGrid w:val="0"/>
        </w:rPr>
        <w:tab/>
        <w:t>in specified circumstances;</w:t>
      </w:r>
    </w:p>
    <w:p>
      <w:pPr>
        <w:pStyle w:val="Indenta"/>
        <w:keepNext/>
        <w:spacing w:before="100"/>
        <w:rPr>
          <w:snapToGrid w:val="0"/>
        </w:rPr>
      </w:pPr>
      <w:r>
        <w:rPr>
          <w:snapToGrid w:val="0"/>
        </w:rPr>
        <w:tab/>
        <w:t>(b)</w:t>
      </w:r>
      <w:r>
        <w:rPr>
          <w:snapToGrid w:val="0"/>
        </w:rPr>
        <w:tab/>
        <w:t>so as to require a matter affected by the Instructions to be — </w:t>
      </w:r>
    </w:p>
    <w:p>
      <w:pPr>
        <w:pStyle w:val="Indenti"/>
        <w:spacing w:before="100"/>
        <w:rPr>
          <w:snapToGrid w:val="0"/>
        </w:rPr>
      </w:pPr>
      <w:r>
        <w:rPr>
          <w:snapToGrid w:val="0"/>
        </w:rPr>
        <w:tab/>
        <w:t>(i)</w:t>
      </w:r>
      <w:r>
        <w:rPr>
          <w:snapToGrid w:val="0"/>
        </w:rPr>
        <w:tab/>
        <w:t>in accordance with a specified standard or specified requirement; or</w:t>
      </w:r>
    </w:p>
    <w:p>
      <w:pPr>
        <w:pStyle w:val="Indenti"/>
        <w:spacing w:before="100"/>
        <w:rPr>
          <w:snapToGrid w:val="0"/>
        </w:rPr>
      </w:pPr>
      <w:r>
        <w:rPr>
          <w:snapToGrid w:val="0"/>
        </w:rPr>
        <w:tab/>
        <w:t>(ii)</w:t>
      </w:r>
      <w:r>
        <w:rPr>
          <w:snapToGrid w:val="0"/>
        </w:rPr>
        <w:tab/>
        <w:t>approved by or to the satisfaction of a specified person or body or a specified class of person or body;</w:t>
      </w:r>
    </w:p>
    <w:p>
      <w:pPr>
        <w:pStyle w:val="Indenta"/>
        <w:spacing w:before="100"/>
        <w:rPr>
          <w:snapToGrid w:val="0"/>
        </w:rPr>
      </w:pPr>
      <w:r>
        <w:rPr>
          <w:snapToGrid w:val="0"/>
        </w:rPr>
        <w:tab/>
        <w:t>(c)</w:t>
      </w:r>
      <w:r>
        <w:rPr>
          <w:snapToGrid w:val="0"/>
        </w:rPr>
        <w:tab/>
        <w:t>so as to confer a discretionary authority on a specified person or body or a specified class of person or body;</w:t>
      </w:r>
    </w:p>
    <w:p>
      <w:pPr>
        <w:pStyle w:val="Indenta"/>
        <w:spacing w:before="100"/>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spacing w:before="100"/>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spacing w:before="180"/>
        <w:rPr>
          <w:snapToGrid w:val="0"/>
        </w:rPr>
      </w:pPr>
      <w:r>
        <w:rPr>
          <w:snapToGrid w:val="0"/>
        </w:rPr>
        <w:tab/>
        <w:t>(4)</w:t>
      </w:r>
      <w:r>
        <w:rPr>
          <w:snapToGrid w:val="0"/>
        </w:rPr>
        <w:tab/>
        <w:t>In this section </w:t>
      </w:r>
      <w:r>
        <w:rPr>
          <w:rStyle w:val="CharDefText"/>
        </w:rPr>
        <w:t>specified</w:t>
      </w:r>
      <w:r>
        <w:rPr>
          <w:snapToGrid w:val="0"/>
        </w:rPr>
        <w:t xml:space="preserve"> means specified in a relevant Security Instruction issued under this section.</w:t>
      </w:r>
    </w:p>
    <w:p>
      <w:pPr>
        <w:pStyle w:val="Subsection"/>
        <w:keepNext/>
        <w:spacing w:before="180"/>
        <w:rPr>
          <w:snapToGrid w:val="0"/>
        </w:rPr>
      </w:pPr>
      <w:r>
        <w:rPr>
          <w:snapToGrid w:val="0"/>
        </w:rPr>
        <w:lastRenderedPageBreak/>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spacing w:before="180"/>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spacing w:before="180"/>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No. 10 of 1990 s. 6.] </w:t>
      </w:r>
    </w:p>
    <w:p>
      <w:pPr>
        <w:pStyle w:val="Ednotesection"/>
      </w:pPr>
      <w:r>
        <w:t>[</w:t>
      </w:r>
      <w:r>
        <w:rPr>
          <w:b/>
        </w:rPr>
        <w:t>76.</w:t>
      </w:r>
      <w:r>
        <w:tab/>
        <w:t>Deleted: No. 9 of 2023 s. 85.]</w:t>
      </w:r>
    </w:p>
    <w:p>
      <w:pPr>
        <w:pStyle w:val="Heading5"/>
        <w:rPr>
          <w:snapToGrid w:val="0"/>
        </w:rPr>
      </w:pPr>
      <w:bookmarkStart w:id="114" w:name="_Toc179455257"/>
      <w:r>
        <w:rPr>
          <w:rStyle w:val="CharSectno"/>
        </w:rPr>
        <w:t>77</w:t>
      </w:r>
      <w:r>
        <w:rPr>
          <w:snapToGrid w:val="0"/>
        </w:rPr>
        <w:t>.</w:t>
      </w:r>
      <w:r>
        <w:rPr>
          <w:snapToGrid w:val="0"/>
        </w:rPr>
        <w:tab/>
        <w:t>Regulations</w:t>
      </w:r>
      <w:bookmarkEnd w:id="11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115" w:name="_Toc179455258"/>
      <w:r>
        <w:rPr>
          <w:rStyle w:val="CharSectno"/>
        </w:rPr>
        <w:t>78</w:t>
      </w:r>
      <w:r>
        <w:rPr>
          <w:snapToGrid w:val="0"/>
        </w:rPr>
        <w:t>.</w:t>
      </w:r>
      <w:r>
        <w:rPr>
          <w:snapToGrid w:val="0"/>
        </w:rPr>
        <w:tab/>
        <w:t>Repeal</w:t>
      </w:r>
      <w:bookmarkEnd w:id="115"/>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Deleted: No. 73 of 1994 s. 4.] </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16" w:name="_Toc169939167"/>
      <w:bookmarkStart w:id="117" w:name="_Toc170119880"/>
      <w:bookmarkStart w:id="118" w:name="_Toc178839914"/>
      <w:bookmarkStart w:id="119" w:name="_Toc179210199"/>
      <w:bookmarkStart w:id="120" w:name="_Toc179455259"/>
      <w:r>
        <w:rPr>
          <w:rStyle w:val="CharSchNo"/>
        </w:rPr>
        <w:lastRenderedPageBreak/>
        <w:t>Schedule 1</w:t>
      </w:r>
      <w:r>
        <w:t> — </w:t>
      </w:r>
      <w:r>
        <w:rPr>
          <w:rStyle w:val="CharSchText"/>
        </w:rPr>
        <w:t>Provisions concerning directors and the procedure of the Board</w:t>
      </w:r>
      <w:bookmarkEnd w:id="116"/>
      <w:bookmarkEnd w:id="117"/>
      <w:bookmarkEnd w:id="118"/>
      <w:bookmarkEnd w:id="119"/>
      <w:bookmarkEnd w:id="120"/>
    </w:p>
    <w:p>
      <w:pPr>
        <w:pStyle w:val="yShoulderClause"/>
        <w:rPr>
          <w:snapToGrid w:val="0"/>
        </w:rPr>
      </w:pPr>
      <w:r>
        <w:rPr>
          <w:snapToGrid w:val="0"/>
        </w:rPr>
        <w:t>[s. 5(4)]</w:t>
      </w:r>
    </w:p>
    <w:p>
      <w:pPr>
        <w:pStyle w:val="yFootnoteheading"/>
      </w:pPr>
      <w:r>
        <w:tab/>
        <w:t>[Heading amended: No. 19 of 2010 s. 4.]</w:t>
      </w:r>
    </w:p>
    <w:p>
      <w:pPr>
        <w:pStyle w:val="yHeading5"/>
        <w:rPr>
          <w:snapToGrid w:val="0"/>
        </w:rPr>
      </w:pPr>
      <w:bookmarkStart w:id="121" w:name="_Toc179455260"/>
      <w:r>
        <w:rPr>
          <w:rStyle w:val="CharSClsNo"/>
        </w:rPr>
        <w:t>1</w:t>
      </w:r>
      <w:r>
        <w:rPr>
          <w:snapToGrid w:val="0"/>
        </w:rPr>
        <w:t>.</w:t>
      </w:r>
      <w:r>
        <w:rPr>
          <w:snapToGrid w:val="0"/>
        </w:rPr>
        <w:tab/>
        <w:t>Term of office of directors</w:t>
      </w:r>
      <w:bookmarkEnd w:id="121"/>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r>
        <w:tab/>
        <w:t xml:space="preserve">[Clause 1 amended: No. 10 of 1990 s. 6 and 33(a); No. 28 of 2006 s. 423(1).] </w:t>
      </w:r>
    </w:p>
    <w:p>
      <w:pPr>
        <w:pStyle w:val="yHeading5"/>
        <w:rPr>
          <w:snapToGrid w:val="0"/>
        </w:rPr>
      </w:pPr>
      <w:bookmarkStart w:id="122" w:name="_Toc179455261"/>
      <w:r>
        <w:rPr>
          <w:rStyle w:val="CharSClsNo"/>
        </w:rPr>
        <w:t>2</w:t>
      </w:r>
      <w:r>
        <w:rPr>
          <w:snapToGrid w:val="0"/>
        </w:rPr>
        <w:t>.</w:t>
      </w:r>
      <w:r>
        <w:rPr>
          <w:snapToGrid w:val="0"/>
        </w:rPr>
        <w:tab/>
        <w:t>Vacation of office</w:t>
      </w:r>
      <w:bookmarkEnd w:id="122"/>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lastRenderedPageBreak/>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r>
        <w:tab/>
        <w:t>[Clause 2 amended: No. 20 of 2003 s. 29(1).]</w:t>
      </w:r>
    </w:p>
    <w:p>
      <w:pPr>
        <w:pStyle w:val="yHeading5"/>
        <w:rPr>
          <w:snapToGrid w:val="0"/>
        </w:rPr>
      </w:pPr>
      <w:bookmarkStart w:id="123" w:name="_Toc179455262"/>
      <w:r>
        <w:rPr>
          <w:rStyle w:val="CharSClsNo"/>
        </w:rPr>
        <w:t>3</w:t>
      </w:r>
      <w:r>
        <w:rPr>
          <w:snapToGrid w:val="0"/>
        </w:rPr>
        <w:t>.</w:t>
      </w:r>
      <w:r>
        <w:rPr>
          <w:snapToGrid w:val="0"/>
        </w:rPr>
        <w:tab/>
        <w:t>Temporary directors</w:t>
      </w:r>
      <w:bookmarkEnd w:id="123"/>
      <w:r>
        <w:rPr>
          <w:snapToGrid w:val="0"/>
        </w:rPr>
        <w:t xml:space="preserve"> </w:t>
      </w:r>
    </w:p>
    <w:p>
      <w:pPr>
        <w:pStyle w:val="ySubsection"/>
        <w:spacing w:before="120"/>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spacing w:before="120"/>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r>
        <w:tab/>
        <w:t xml:space="preserve">[Clause 3 amended: No. 28 of 2006 s. 423(2).] </w:t>
      </w:r>
    </w:p>
    <w:p>
      <w:pPr>
        <w:pStyle w:val="yHeading5"/>
        <w:rPr>
          <w:snapToGrid w:val="0"/>
        </w:rPr>
      </w:pPr>
      <w:bookmarkStart w:id="124" w:name="_Toc179455263"/>
      <w:r>
        <w:rPr>
          <w:snapToGrid w:val="0"/>
        </w:rPr>
        <w:t>4.</w:t>
      </w:r>
      <w:r>
        <w:rPr>
          <w:snapToGrid w:val="0"/>
        </w:rPr>
        <w:tab/>
        <w:t>Remuneration of certain directors</w:t>
      </w:r>
      <w:bookmarkEnd w:id="124"/>
      <w:r>
        <w:rPr>
          <w:snapToGrid w:val="0"/>
        </w:rPr>
        <w:t xml:space="preserve"> </w:t>
      </w:r>
    </w:p>
    <w:p>
      <w:pPr>
        <w:pStyle w:val="ySubsection"/>
        <w:spacing w:before="120"/>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r>
        <w:tab/>
        <w:t xml:space="preserve">[Clause 4 amended: No. 28 of 2006 s. 423(3).] </w:t>
      </w:r>
    </w:p>
    <w:p>
      <w:pPr>
        <w:pStyle w:val="yHeading5"/>
        <w:rPr>
          <w:snapToGrid w:val="0"/>
        </w:rPr>
      </w:pPr>
      <w:bookmarkStart w:id="125" w:name="_Toc179455264"/>
      <w:r>
        <w:rPr>
          <w:rStyle w:val="CharSClsNo"/>
        </w:rPr>
        <w:t>5</w:t>
      </w:r>
      <w:r>
        <w:rPr>
          <w:snapToGrid w:val="0"/>
        </w:rPr>
        <w:t>.</w:t>
      </w:r>
      <w:r>
        <w:rPr>
          <w:snapToGrid w:val="0"/>
        </w:rPr>
        <w:tab/>
        <w:t>Restrictions on loans to directors</w:t>
      </w:r>
      <w:bookmarkEnd w:id="125"/>
      <w:r>
        <w:rPr>
          <w:snapToGrid w:val="0"/>
        </w:rPr>
        <w:t xml:space="preserve"> </w:t>
      </w:r>
    </w:p>
    <w:p>
      <w:pPr>
        <w:pStyle w:val="ySubsection"/>
        <w:spacing w:before="120"/>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20"/>
        <w:ind w:left="851" w:hanging="851"/>
        <w:rPr>
          <w:snapToGrid w:val="0"/>
        </w:rPr>
      </w:pPr>
      <w:r>
        <w:rPr>
          <w:snapToGrid w:val="0"/>
        </w:rPr>
        <w:tab/>
        <w:t>[(2)</w:t>
      </w:r>
      <w:r>
        <w:rPr>
          <w:snapToGrid w:val="0"/>
        </w:rPr>
        <w:tab/>
        <w:t>deleted]</w:t>
      </w:r>
    </w:p>
    <w:p>
      <w:pPr>
        <w:pStyle w:val="ySubsection"/>
        <w:rPr>
          <w:snapToGrid w:val="0"/>
        </w:rPr>
      </w:pPr>
      <w:r>
        <w:rPr>
          <w:snapToGrid w:val="0"/>
        </w:rPr>
        <w:lastRenderedPageBreak/>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No. 10 of 1990 s. 6; No. 28 of 2003 s. 69; No. 28 of 2006 s. 423(4).]</w:t>
      </w:r>
    </w:p>
    <w:p>
      <w:pPr>
        <w:pStyle w:val="yHeading5"/>
        <w:rPr>
          <w:snapToGrid w:val="0"/>
        </w:rPr>
      </w:pPr>
      <w:bookmarkStart w:id="126" w:name="_Toc179455265"/>
      <w:r>
        <w:rPr>
          <w:rStyle w:val="CharSClsNo"/>
        </w:rPr>
        <w:t>6</w:t>
      </w:r>
      <w:r>
        <w:rPr>
          <w:snapToGrid w:val="0"/>
        </w:rPr>
        <w:t>.</w:t>
      </w:r>
      <w:r>
        <w:rPr>
          <w:snapToGrid w:val="0"/>
        </w:rPr>
        <w:tab/>
        <w:t>Liability of directors</w:t>
      </w:r>
      <w:bookmarkEnd w:id="126"/>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r>
        <w:tab/>
        <w:t xml:space="preserve">[Clause 6 amended: No. 41 of 1996 s. 3.] </w:t>
      </w:r>
    </w:p>
    <w:p>
      <w:pPr>
        <w:pStyle w:val="yHeading5"/>
        <w:rPr>
          <w:snapToGrid w:val="0"/>
        </w:rPr>
      </w:pPr>
      <w:bookmarkStart w:id="127" w:name="_Toc179455266"/>
      <w:r>
        <w:rPr>
          <w:snapToGrid w:val="0"/>
        </w:rPr>
        <w:t>7.</w:t>
      </w:r>
      <w:r>
        <w:rPr>
          <w:snapToGrid w:val="0"/>
        </w:rPr>
        <w:tab/>
        <w:t>General procedure concerning meetings</w:t>
      </w:r>
      <w:bookmarkEnd w:id="127"/>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128" w:name="_Toc179455267"/>
      <w:r>
        <w:rPr>
          <w:snapToGrid w:val="0"/>
        </w:rPr>
        <w:t>8.</w:t>
      </w:r>
      <w:r>
        <w:rPr>
          <w:snapToGrid w:val="0"/>
        </w:rPr>
        <w:tab/>
        <w:t>Presiding member</w:t>
      </w:r>
      <w:bookmarkEnd w:id="12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129" w:name="_Toc179455268"/>
      <w:r>
        <w:rPr>
          <w:rStyle w:val="CharSClsNo"/>
        </w:rPr>
        <w:t>9</w:t>
      </w:r>
      <w:r>
        <w:rPr>
          <w:snapToGrid w:val="0"/>
        </w:rPr>
        <w:t>.</w:t>
      </w:r>
      <w:r>
        <w:rPr>
          <w:snapToGrid w:val="0"/>
        </w:rPr>
        <w:tab/>
        <w:t>Declaration of interests by directors</w:t>
      </w:r>
      <w:bookmarkEnd w:id="129"/>
      <w:r>
        <w:rPr>
          <w:snapToGrid w:val="0"/>
        </w:rPr>
        <w:t xml:space="preserve"> </w:t>
      </w:r>
    </w:p>
    <w:p>
      <w:pPr>
        <w:pStyle w:val="ySubsection"/>
        <w:rPr>
          <w:snapToGrid w:val="0"/>
        </w:rPr>
      </w:pPr>
      <w:r>
        <w:rPr>
          <w:snapToGrid w:val="0"/>
        </w:rPr>
        <w:tab/>
        <w:t>(1)</w:t>
      </w:r>
      <w:r>
        <w:rPr>
          <w:snapToGrid w:val="0"/>
        </w:rPr>
        <w:tab/>
        <w:t xml:space="preserve">A director shall give notice in writing to the Board of any interest held by him in any body corporate other than Gold Corporation, as though </w:t>
      </w:r>
      <w:r>
        <w:rPr>
          <w:snapToGrid w:val="0"/>
        </w:rPr>
        <w:lastRenderedPageBreak/>
        <w:t>Gold Corporation was a company of which that person was a director and the notice was required pursuant to section 232 of the Code</w:t>
      </w:r>
      <w:r>
        <w:rPr>
          <w:snapToGrid w:val="0"/>
          <w:vertAlign w:val="superscript"/>
        </w:rPr>
        <w:t> 3</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3</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r>
        <w:tab/>
        <w:t xml:space="preserve">[Clause 9 amended: No. 10 of 1990 s. 6.] </w:t>
      </w:r>
    </w:p>
    <w:p>
      <w:pPr>
        <w:pStyle w:val="yHeading5"/>
        <w:rPr>
          <w:snapToGrid w:val="0"/>
        </w:rPr>
      </w:pPr>
      <w:bookmarkStart w:id="130" w:name="_Toc179455269"/>
      <w:r>
        <w:rPr>
          <w:rStyle w:val="CharSClsNo"/>
        </w:rPr>
        <w:t>10</w:t>
      </w:r>
      <w:r>
        <w:rPr>
          <w:snapToGrid w:val="0"/>
        </w:rPr>
        <w:t>.</w:t>
      </w:r>
      <w:r>
        <w:rPr>
          <w:snapToGrid w:val="0"/>
        </w:rPr>
        <w:tab/>
        <w:t>Conflict of interest</w:t>
      </w:r>
      <w:bookmarkEnd w:id="130"/>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lastRenderedPageBreak/>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r>
        <w:tab/>
        <w:t>[Clause 10 amended: No. 10 of 1990 s. 6; No. 20 of 2003 s. 29(2).]</w:t>
      </w:r>
    </w:p>
    <w:p>
      <w:pPr>
        <w:pStyle w:val="yHeading5"/>
        <w:rPr>
          <w:snapToGrid w:val="0"/>
        </w:rPr>
      </w:pPr>
      <w:bookmarkStart w:id="131" w:name="_Toc179455270"/>
      <w:r>
        <w:rPr>
          <w:rStyle w:val="CharSClsNo"/>
        </w:rPr>
        <w:t>11</w:t>
      </w:r>
      <w:r>
        <w:rPr>
          <w:snapToGrid w:val="0"/>
        </w:rPr>
        <w:t>.</w:t>
      </w:r>
      <w:r>
        <w:rPr>
          <w:snapToGrid w:val="0"/>
        </w:rPr>
        <w:tab/>
        <w:t>Voting</w:t>
      </w:r>
      <w:bookmarkEnd w:id="131"/>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132" w:name="_Toc179455271"/>
      <w:r>
        <w:rPr>
          <w:snapToGrid w:val="0"/>
        </w:rPr>
        <w:t>12.</w:t>
      </w:r>
      <w:r>
        <w:rPr>
          <w:snapToGrid w:val="0"/>
        </w:rPr>
        <w:tab/>
        <w:t>Quorum</w:t>
      </w:r>
      <w:bookmarkEnd w:id="132"/>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133" w:name="_Toc179455272"/>
      <w:r>
        <w:rPr>
          <w:snapToGrid w:val="0"/>
        </w:rPr>
        <w:t>13.</w:t>
      </w:r>
      <w:r>
        <w:rPr>
          <w:snapToGrid w:val="0"/>
        </w:rPr>
        <w:tab/>
        <w:t>Minutes</w:t>
      </w:r>
      <w:bookmarkEnd w:id="133"/>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134" w:name="_Toc179455273"/>
      <w:r>
        <w:rPr>
          <w:rStyle w:val="CharSClsNo"/>
        </w:rPr>
        <w:t>14</w:t>
      </w:r>
      <w:r>
        <w:rPr>
          <w:snapToGrid w:val="0"/>
        </w:rPr>
        <w:t>.</w:t>
      </w:r>
      <w:r>
        <w:rPr>
          <w:snapToGrid w:val="0"/>
        </w:rPr>
        <w:tab/>
        <w:t>Resolution may be passed without meeting</w:t>
      </w:r>
      <w:bookmarkEnd w:id="134"/>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135" w:name="_Toc179455274"/>
      <w:r>
        <w:rPr>
          <w:rStyle w:val="CharSClsNo"/>
        </w:rPr>
        <w:lastRenderedPageBreak/>
        <w:t>15</w:t>
      </w:r>
      <w:r>
        <w:rPr>
          <w:snapToGrid w:val="0"/>
        </w:rPr>
        <w:t>.</w:t>
      </w:r>
      <w:r>
        <w:rPr>
          <w:snapToGrid w:val="0"/>
        </w:rPr>
        <w:tab/>
        <w:t>Leave of absence</w:t>
      </w:r>
      <w:bookmarkEnd w:id="135"/>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Deleted: No. 10 of 1990 s. 33(b).] </w:t>
      </w:r>
    </w:p>
    <w:p>
      <w:pPr>
        <w:pStyle w:val="yHeading5"/>
        <w:rPr>
          <w:snapToGrid w:val="0"/>
        </w:rPr>
      </w:pPr>
      <w:bookmarkStart w:id="136" w:name="_Toc179455275"/>
      <w:r>
        <w:rPr>
          <w:snapToGrid w:val="0"/>
        </w:rPr>
        <w:t>17.</w:t>
      </w:r>
      <w:r>
        <w:rPr>
          <w:snapToGrid w:val="0"/>
        </w:rPr>
        <w:tab/>
        <w:t>Common seals, and the use of facsimiles</w:t>
      </w:r>
      <w:bookmarkEnd w:id="136"/>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No. 10 of 1990 s. 6.] </w:t>
      </w:r>
    </w:p>
    <w:p>
      <w:pPr>
        <w:pStyle w:val="yScheduleHeading"/>
      </w:pPr>
      <w:bookmarkStart w:id="137" w:name="_Toc169939184"/>
      <w:bookmarkStart w:id="138" w:name="_Toc170119897"/>
      <w:bookmarkStart w:id="139" w:name="_Toc178839931"/>
      <w:bookmarkStart w:id="140" w:name="_Toc179210216"/>
      <w:bookmarkStart w:id="141" w:name="_Toc179455276"/>
      <w:r>
        <w:rPr>
          <w:rStyle w:val="CharSchNo"/>
        </w:rPr>
        <w:lastRenderedPageBreak/>
        <w:t>Schedule 2</w:t>
      </w:r>
      <w:r>
        <w:t> — </w:t>
      </w:r>
      <w:r>
        <w:rPr>
          <w:rStyle w:val="CharSchText"/>
        </w:rPr>
        <w:t>Transitional provisions concerning the Mint</w:t>
      </w:r>
      <w:bookmarkEnd w:id="137"/>
      <w:bookmarkEnd w:id="138"/>
      <w:bookmarkEnd w:id="139"/>
      <w:bookmarkEnd w:id="140"/>
      <w:bookmarkEnd w:id="141"/>
    </w:p>
    <w:p>
      <w:pPr>
        <w:pStyle w:val="yShoulderClause"/>
        <w:rPr>
          <w:snapToGrid w:val="0"/>
        </w:rPr>
      </w:pPr>
      <w:r>
        <w:rPr>
          <w:snapToGrid w:val="0"/>
        </w:rPr>
        <w:t>[s. 35(9)]</w:t>
      </w:r>
    </w:p>
    <w:p>
      <w:pPr>
        <w:pStyle w:val="yFootnoteheading"/>
      </w:pPr>
      <w:r>
        <w:tab/>
        <w:t>[Heading amended: No. 19 of 2010 s. 4.]</w:t>
      </w:r>
    </w:p>
    <w:p>
      <w:pPr>
        <w:pStyle w:val="yHeading5"/>
        <w:rPr>
          <w:snapToGrid w:val="0"/>
        </w:rPr>
      </w:pPr>
      <w:bookmarkStart w:id="142" w:name="_Toc179455277"/>
      <w:r>
        <w:rPr>
          <w:rStyle w:val="CharSClsNo"/>
        </w:rPr>
        <w:t>1</w:t>
      </w:r>
      <w:r>
        <w:rPr>
          <w:snapToGrid w:val="0"/>
        </w:rPr>
        <w:t>.</w:t>
      </w:r>
      <w:r>
        <w:rPr>
          <w:snapToGrid w:val="0"/>
        </w:rPr>
        <w:tab/>
        <w:t>Terms used in this Schedule</w:t>
      </w:r>
      <w:bookmarkEnd w:id="142"/>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benefit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r>
      <w:r>
        <w:rPr>
          <w:rStyle w:val="CharDefText"/>
        </w:rPr>
        <w:t>contributor</w:t>
      </w:r>
      <w:r>
        <w:t xml:space="preserve"> has the meaning given to that expression by section 6 of the </w:t>
      </w:r>
      <w:r>
        <w:rPr>
          <w:i/>
        </w:rPr>
        <w:t>Superannuation and Family Benefits Act 1938</w:t>
      </w:r>
      <w:r>
        <w:rPr>
          <w:iCs/>
          <w:vertAlign w:val="superscript"/>
        </w:rPr>
        <w:t> 4</w:t>
      </w:r>
      <w:r>
        <w:t xml:space="preserve">, and for the purpose of that definition the expressions </w:t>
      </w:r>
      <w:r>
        <w:rPr>
          <w:rStyle w:val="CharDefText"/>
        </w:rPr>
        <w:t>employee</w:t>
      </w:r>
      <w:r>
        <w:t xml:space="preserve"> and </w:t>
      </w:r>
      <w:r>
        <w:rPr>
          <w:rStyle w:val="CharDefText"/>
        </w:rPr>
        <w:t>qualified contributor</w:t>
      </w:r>
      <w:r>
        <w:t xml:space="preserve"> have the respective meanings given in that section;</w:t>
      </w:r>
    </w:p>
    <w:p>
      <w:pPr>
        <w:pStyle w:val="yDefstart"/>
      </w:pPr>
      <w:r>
        <w:rPr>
          <w:b/>
        </w:rPr>
        <w:tab/>
      </w:r>
      <w:r>
        <w:rPr>
          <w:rStyle w:val="CharDefText"/>
        </w:rPr>
        <w:t>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who has been issued with a certificate of qualifications by one of Her Majesty’s Civil Service Commissioners;</w:t>
      </w:r>
    </w:p>
    <w:p>
      <w:pPr>
        <w:pStyle w:val="yDefstart"/>
      </w:pPr>
      <w:r>
        <w:rPr>
          <w:b/>
        </w:rPr>
        <w:tab/>
      </w:r>
      <w:r>
        <w:rPr>
          <w:rStyle w:val="CharDefText"/>
        </w:rPr>
        <w:t>Imperial conditions</w:t>
      </w:r>
      <w:r>
        <w:t xml:space="preserve"> means the terms and conditions of employment relating to leave and retirement and benefits under the Imperial scheme that, immediately prior to the day on which the </w:t>
      </w:r>
      <w:r>
        <w:rPr>
          <w:i/>
        </w:rPr>
        <w:t>Perth Mint Act 1970</w:t>
      </w:r>
      <w:r>
        <w:rPr>
          <w:vertAlign w:val="superscript"/>
        </w:rPr>
        <w:t> 1</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r>
      <w:r>
        <w:rPr>
          <w:rStyle w:val="CharDefText"/>
        </w:rPr>
        <w:t>Imperial scheme</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rPr>
          <w:vertAlign w:val="superscript"/>
        </w:rPr>
        <w:t> 1</w:t>
      </w:r>
      <w:r>
        <w:t xml:space="preserve"> came into operation;</w:t>
      </w:r>
    </w:p>
    <w:p>
      <w:pPr>
        <w:pStyle w:val="yDefstart"/>
      </w:pPr>
      <w:r>
        <w:rPr>
          <w:b/>
        </w:rPr>
        <w:lastRenderedPageBreak/>
        <w:tab/>
      </w:r>
      <w:r>
        <w:rPr>
          <w:rStyle w:val="CharDefText"/>
        </w:rPr>
        <w:t>leave</w:t>
      </w:r>
      <w:r>
        <w:t xml:space="preserve"> means leave of absence for any reason including long service leave, sick leave, and holidays, and includes pro rata entitlement to leave and payment in lieu of leave;</w:t>
      </w:r>
    </w:p>
    <w:p>
      <w:pPr>
        <w:pStyle w:val="yDefstart"/>
      </w:pPr>
      <w:r>
        <w:rPr>
          <w:b/>
        </w:rPr>
        <w:tab/>
      </w:r>
      <w:r>
        <w:rPr>
          <w:rStyle w:val="CharDefText"/>
        </w:rPr>
        <w:t>Royal Mint employee</w:t>
      </w:r>
      <w:r>
        <w:t xml:space="preserve"> means a person employed at the Royal Mint, immediately prior to the day on which the </w:t>
      </w:r>
      <w:r>
        <w:rPr>
          <w:i/>
        </w:rPr>
        <w:t>Perth Mint Act 1970</w:t>
      </w:r>
      <w:r>
        <w:rPr>
          <w:vertAlign w:val="superscript"/>
        </w:rPr>
        <w:t> 1</w:t>
      </w:r>
      <w:r>
        <w:t xml:space="preserve"> came into operation, under section 15 of the </w:t>
      </w:r>
      <w:r>
        <w:rPr>
          <w:i/>
        </w:rPr>
        <w:t>Coinage Act 1870</w:t>
      </w:r>
      <w:r>
        <w:t xml:space="preserve"> of the Parliament of the United Kingdom or otherwise;</w:t>
      </w:r>
    </w:p>
    <w:p>
      <w:pPr>
        <w:pStyle w:val="yDefstart"/>
      </w:pPr>
      <w:r>
        <w:rPr>
          <w:b/>
        </w:rPr>
        <w:tab/>
      </w:r>
      <w:r>
        <w:rPr>
          <w:rStyle w:val="CharDefText"/>
        </w:rPr>
        <w:t>service</w:t>
      </w:r>
      <w:r>
        <w:t xml:space="preserve"> has the meaning given to that expression by section 6 of the </w:t>
      </w:r>
      <w:r>
        <w:rPr>
          <w:i/>
        </w:rPr>
        <w:t>Superannuation and Family Benefits Act 1938</w:t>
      </w:r>
      <w:r>
        <w:rPr>
          <w:iCs/>
          <w:vertAlign w:val="superscript"/>
        </w:rPr>
        <w:t> 4</w:t>
      </w:r>
      <w:r>
        <w:t>;</w:t>
      </w:r>
    </w:p>
    <w:p>
      <w:pPr>
        <w:pStyle w:val="yDefstart"/>
      </w:pPr>
      <w:r>
        <w:rPr>
          <w:b/>
        </w:rPr>
        <w:tab/>
      </w:r>
      <w:r>
        <w:rPr>
          <w:rStyle w:val="CharDefText"/>
        </w:rPr>
        <w:t>the Deputy Master</w:t>
      </w:r>
      <w:r>
        <w:t xml:space="preserve"> means the person who, immediately prior to the day on which the </w:t>
      </w:r>
      <w:r>
        <w:rPr>
          <w:i/>
        </w:rPr>
        <w:t>Perth Mint Act 1970</w:t>
      </w:r>
      <w:r>
        <w:rPr>
          <w:vertAlign w:val="superscript"/>
        </w:rPr>
        <w:t> 1</w:t>
      </w:r>
      <w:r>
        <w:t xml:space="preserve"> came into operation, held the office of Deputy Master of the Royal Mint;</w:t>
      </w:r>
    </w:p>
    <w:p>
      <w:pPr>
        <w:pStyle w:val="yDefstart"/>
      </w:pPr>
      <w:r>
        <w:rPr>
          <w:b/>
        </w:rPr>
        <w:tab/>
      </w:r>
      <w:r>
        <w:rPr>
          <w:rStyle w:val="CharDefText"/>
        </w:rPr>
        <w:t>The Director of The Perth Mint</w:t>
      </w:r>
      <w:r>
        <w:t xml:space="preserve"> means the body corporate established pursuant to section 9 of the </w:t>
      </w:r>
      <w:r>
        <w:rPr>
          <w:i/>
        </w:rPr>
        <w:t>Perth Mint Act 1970</w:t>
      </w:r>
      <w:r>
        <w:rPr>
          <w:vertAlign w:val="superscript"/>
        </w:rPr>
        <w:t> 1</w:t>
      </w:r>
      <w:r>
        <w:t xml:space="preserve"> as enacted prior to the coming into operation of the </w:t>
      </w:r>
      <w:r>
        <w:rPr>
          <w:i/>
        </w:rPr>
        <w:t>Perth Mint Amendment Act 1986</w:t>
      </w:r>
      <w:r>
        <w:t>;</w:t>
      </w:r>
    </w:p>
    <w:p>
      <w:pPr>
        <w:pStyle w:val="yDefstart"/>
      </w:pPr>
      <w:r>
        <w:rPr>
          <w:b/>
        </w:rPr>
        <w:tab/>
      </w:r>
      <w:r>
        <w:rPr>
          <w:rStyle w:val="CharDefText"/>
        </w:rPr>
        <w:t>the Royal Mint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r>
      <w:r>
        <w:rPr>
          <w:rStyle w:val="CharDefText"/>
        </w:rPr>
        <w:t>unestablished person</w:t>
      </w:r>
      <w:r>
        <w:t xml:space="preserve"> means a Royal Mint employee to whom, immediately prior to the day on which the </w:t>
      </w:r>
      <w:r>
        <w:rPr>
          <w:i/>
        </w:rPr>
        <w:t>Perth Mint Act 1970</w:t>
      </w:r>
      <w:r>
        <w:rPr>
          <w:vertAlign w:val="superscript"/>
        </w:rPr>
        <w:t> 1</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143" w:name="_Toc179455278"/>
      <w:r>
        <w:rPr>
          <w:rStyle w:val="CharSClsNo"/>
        </w:rPr>
        <w:t>2</w:t>
      </w:r>
      <w:r>
        <w:rPr>
          <w:snapToGrid w:val="0"/>
        </w:rPr>
        <w:t>.</w:t>
      </w:r>
      <w:r>
        <w:rPr>
          <w:snapToGrid w:val="0"/>
        </w:rPr>
        <w:tab/>
        <w:t>Transitional arrangements as to employment</w:t>
      </w:r>
      <w:bookmarkEnd w:id="143"/>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 xml:space="preserve">Notwithstanding the repeal by this Act of the repealed Act, a person who was employed by the Mint immediately before the coming into operation of Part VI and this Schedule shall not by reason of that repeal cease to be eligible for any benefit (whether a benefit under the </w:t>
      </w:r>
      <w:r>
        <w:rPr>
          <w:snapToGrid w:val="0"/>
        </w:rPr>
        <w:lastRenderedPageBreak/>
        <w:t>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144" w:name="_Toc179455279"/>
      <w:r>
        <w:rPr>
          <w:rStyle w:val="CharSClsNo"/>
        </w:rPr>
        <w:t>3</w:t>
      </w:r>
      <w:r>
        <w:rPr>
          <w:snapToGrid w:val="0"/>
        </w:rPr>
        <w:t>.</w:t>
      </w:r>
      <w:r>
        <w:rPr>
          <w:snapToGrid w:val="0"/>
        </w:rPr>
        <w:tab/>
        <w:t>Transitional termination and re</w:t>
      </w:r>
      <w:r>
        <w:rPr>
          <w:snapToGrid w:val="0"/>
        </w:rPr>
        <w:noBreakHyphen/>
        <w:t>employment scheme</w:t>
      </w:r>
      <w:bookmarkEnd w:id="144"/>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lastRenderedPageBreak/>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4</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r>
        <w:tab/>
        <w:t>[Clause 3 amended: No. 32 of 1994 s. 3(2); No. 43 of 2000 s. 46(1).]</w:t>
      </w:r>
    </w:p>
    <w:p>
      <w:pPr>
        <w:pStyle w:val="yHeading5"/>
        <w:rPr>
          <w:snapToGrid w:val="0"/>
        </w:rPr>
      </w:pPr>
      <w:bookmarkStart w:id="145" w:name="_Toc179455280"/>
      <w:r>
        <w:rPr>
          <w:rStyle w:val="CharSClsNo"/>
        </w:rPr>
        <w:lastRenderedPageBreak/>
        <w:t>4</w:t>
      </w:r>
      <w:r>
        <w:rPr>
          <w:snapToGrid w:val="0"/>
        </w:rPr>
        <w:t>.</w:t>
      </w:r>
      <w:r>
        <w:rPr>
          <w:snapToGrid w:val="0"/>
        </w:rPr>
        <w:tab/>
        <w:t>Continuity of service and superannuation</w:t>
      </w:r>
      <w:bookmarkEnd w:id="14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4</w:t>
      </w:r>
      <w:r>
        <w:rPr>
          <w:snapToGrid w:val="0"/>
        </w:rPr>
        <w:t xml:space="preserve"> that person shall for the purposes of retaining any leave entitlement under the </w:t>
      </w:r>
      <w:r>
        <w:rPr>
          <w:i/>
          <w:snapToGrid w:val="0"/>
        </w:rPr>
        <w:t>Public Service Act 1978</w:t>
      </w:r>
      <w:r>
        <w:rPr>
          <w:snapToGrid w:val="0"/>
          <w:vertAlign w:val="superscript"/>
        </w:rPr>
        <w:t> 5</w:t>
      </w:r>
      <w:r>
        <w:rPr>
          <w:snapToGrid w:val="0"/>
        </w:rPr>
        <w:t xml:space="preserve"> or any existing accruing rights under the </w:t>
      </w:r>
      <w:r>
        <w:rPr>
          <w:i/>
          <w:snapToGrid w:val="0"/>
        </w:rPr>
        <w:t>Superannuation and Family Benefits Act 1938</w:t>
      </w:r>
      <w:r>
        <w:rPr>
          <w:iCs/>
          <w:snapToGrid w:val="0"/>
          <w:vertAlign w:val="superscript"/>
        </w:rPr>
        <w:t> 4</w:t>
      </w:r>
      <w:r>
        <w:rPr>
          <w:snapToGrid w:val="0"/>
        </w:rPr>
        <w:t xml:space="preserve"> be taken to be, and to have been, in continuous service, but the </w:t>
      </w:r>
      <w:r>
        <w:rPr>
          <w:i/>
          <w:snapToGrid w:val="0"/>
        </w:rPr>
        <w:t>Public Service Act 1978</w:t>
      </w:r>
      <w:r>
        <w:rPr>
          <w:snapToGrid w:val="0"/>
          <w:vertAlign w:val="superscript"/>
        </w:rPr>
        <w:t> 5</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4</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4</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r>
        <w:tab/>
        <w:t>[Clause 4 amended: No. 6 of 1993 s. 11; No. 32 of 1994 s. 3(2); No. 49 of 1996 s. 64; No. 77 of 2006 s. 4.]</w:t>
      </w:r>
    </w:p>
    <w:p>
      <w:pPr>
        <w:pStyle w:val="yHeading5"/>
        <w:rPr>
          <w:snapToGrid w:val="0"/>
        </w:rPr>
      </w:pPr>
      <w:bookmarkStart w:id="146" w:name="_Toc179455281"/>
      <w:r>
        <w:rPr>
          <w:rStyle w:val="CharSClsNo"/>
        </w:rPr>
        <w:t>5</w:t>
      </w:r>
      <w:r>
        <w:rPr>
          <w:snapToGrid w:val="0"/>
        </w:rPr>
        <w:t>.</w:t>
      </w:r>
      <w:r>
        <w:rPr>
          <w:snapToGrid w:val="0"/>
        </w:rPr>
        <w:tab/>
        <w:t>Managing Director of the Mint</w:t>
      </w:r>
      <w:bookmarkEnd w:id="146"/>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147" w:name="_Toc179455282"/>
      <w:r>
        <w:rPr>
          <w:rStyle w:val="CharSClsNo"/>
        </w:rPr>
        <w:t>6</w:t>
      </w:r>
      <w:r>
        <w:rPr>
          <w:snapToGrid w:val="0"/>
        </w:rPr>
        <w:t>.</w:t>
      </w:r>
      <w:r>
        <w:rPr>
          <w:snapToGrid w:val="0"/>
        </w:rPr>
        <w:tab/>
        <w:t>Transfer of certain functions of directors of the Mint</w:t>
      </w:r>
      <w:bookmarkEnd w:id="147"/>
      <w:r>
        <w:rPr>
          <w:snapToGrid w:val="0"/>
        </w:rPr>
        <w:t xml:space="preserve"> </w:t>
      </w:r>
    </w:p>
    <w:p>
      <w:pPr>
        <w:pStyle w:val="ySubsection"/>
        <w:rPr>
          <w:snapToGrid w:val="0"/>
        </w:rPr>
      </w:pPr>
      <w:r>
        <w:rPr>
          <w:snapToGrid w:val="0"/>
        </w:rPr>
        <w:tab/>
        <w:t>(1)</w:t>
      </w:r>
      <w:r>
        <w:rPr>
          <w:snapToGrid w:val="0"/>
        </w:rPr>
        <w:tab/>
        <w:t xml:space="preserve">Any function required to be performed by the Board of directors of the Mint under the repealed Act, or under or in respect of any other law of the Commonwealth or the State, concerning the operations of the Mint during the period ending when the repeal of the repealed Act </w:t>
      </w:r>
      <w:r>
        <w:rPr>
          <w:snapToGrid w:val="0"/>
        </w:rPr>
        <w:lastRenderedPageBreak/>
        <w:t>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r>
        <w:tab/>
        <w:t>[Clause 6 amended: No. 10 of 1990 s. 6.]</w:t>
      </w:r>
    </w:p>
    <w:p>
      <w:pPr>
        <w:pStyle w:val="yHeading5"/>
        <w:rPr>
          <w:snapToGrid w:val="0"/>
        </w:rPr>
      </w:pPr>
      <w:bookmarkStart w:id="148" w:name="_Toc179455283"/>
      <w:r>
        <w:rPr>
          <w:rStyle w:val="CharSClsNo"/>
        </w:rPr>
        <w:t>7</w:t>
      </w:r>
      <w:r>
        <w:rPr>
          <w:snapToGrid w:val="0"/>
        </w:rPr>
        <w:t>.</w:t>
      </w:r>
      <w:r>
        <w:rPr>
          <w:snapToGrid w:val="0"/>
        </w:rPr>
        <w:tab/>
        <w:t>Appropriation for employment benefits</w:t>
      </w:r>
      <w:bookmarkEnd w:id="148"/>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r>
        <w:tab/>
        <w:t>[Clause 7 amended: No. 6 of 1993 s. 11; No. 49 of 1996 s. 64; No. 77 of 2006 s. 4.]</w:t>
      </w:r>
    </w:p>
    <w:p>
      <w:pPr>
        <w:pStyle w:val="yHeading5"/>
        <w:rPr>
          <w:snapToGrid w:val="0"/>
        </w:rPr>
      </w:pPr>
      <w:bookmarkStart w:id="149" w:name="_Toc179455284"/>
      <w:r>
        <w:rPr>
          <w:rStyle w:val="CharSClsNo"/>
        </w:rPr>
        <w:t>8</w:t>
      </w:r>
      <w:r>
        <w:rPr>
          <w:snapToGrid w:val="0"/>
        </w:rPr>
        <w:t>.</w:t>
      </w:r>
      <w:r>
        <w:rPr>
          <w:snapToGrid w:val="0"/>
        </w:rPr>
        <w:tab/>
        <w:t>Amounts payable to the Consolidated Account</w:t>
      </w:r>
      <w:bookmarkEnd w:id="149"/>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keepNext/>
        <w:rPr>
          <w:snapToGrid w:val="0"/>
        </w:rPr>
      </w:pPr>
      <w:r>
        <w:rPr>
          <w:snapToGrid w:val="0"/>
        </w:rPr>
        <w:lastRenderedPageBreak/>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r>
        <w:tab/>
        <w:t>[Clause 8 amended: No. 6 of 1993 s. 11; No. 49 of 1996 s. 64; No. 77 of 2006 s. 4.]</w:t>
      </w:r>
    </w:p>
    <w:p>
      <w:pPr>
        <w:pStyle w:val="yHeading5"/>
        <w:rPr>
          <w:snapToGrid w:val="0"/>
        </w:rPr>
      </w:pPr>
      <w:bookmarkStart w:id="150" w:name="_Toc179455285"/>
      <w:r>
        <w:rPr>
          <w:rStyle w:val="CharSClsNo"/>
        </w:rPr>
        <w:t>9</w:t>
      </w:r>
      <w:r>
        <w:rPr>
          <w:snapToGrid w:val="0"/>
        </w:rPr>
        <w:t>.</w:t>
      </w:r>
      <w:r>
        <w:rPr>
          <w:snapToGrid w:val="0"/>
        </w:rPr>
        <w:tab/>
        <w:t>Construction of references</w:t>
      </w:r>
      <w:bookmarkEnd w:id="15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deleted: No. 10 of 1990 s. 34.]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52" w:name="_Toc169939194"/>
      <w:bookmarkStart w:id="153" w:name="_Toc170119907"/>
      <w:bookmarkStart w:id="154" w:name="_Toc178839941"/>
      <w:bookmarkStart w:id="155" w:name="_Toc179210226"/>
      <w:bookmarkStart w:id="156" w:name="_Toc179455286"/>
      <w:r>
        <w:lastRenderedPageBreak/>
        <w:t>Notes</w:t>
      </w:r>
      <w:bookmarkEnd w:id="152"/>
      <w:bookmarkEnd w:id="153"/>
      <w:bookmarkEnd w:id="154"/>
      <w:bookmarkEnd w:id="155"/>
      <w:bookmarkEnd w:id="156"/>
    </w:p>
    <w:p>
      <w:pPr>
        <w:pStyle w:val="nStatement"/>
      </w:pPr>
      <w:r>
        <w:t xml:space="preserve">This is a compilation of the </w:t>
      </w:r>
      <w:r>
        <w:rPr>
          <w:i/>
          <w:noProof/>
        </w:rPr>
        <w:t>Gold Corporation Act 1987</w:t>
      </w:r>
      <w:r>
        <w:t xml:space="preserve"> and includes amendments made by other written laws </w:t>
      </w:r>
      <w:r>
        <w:rPr>
          <w:vertAlign w:val="superscript"/>
        </w:rPr>
        <w:t>6</w:t>
      </w:r>
      <w:r>
        <w:t xml:space="preserve">.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For provisions that have not yet come into operation see the uncommenced provisions table.</w:t>
      </w:r>
    </w:p>
    <w:p>
      <w:pPr>
        <w:pStyle w:val="nHeading3"/>
      </w:pPr>
      <w:bookmarkStart w:id="157" w:name="_Toc179455287"/>
      <w:r>
        <w:t>Compilation table</w:t>
      </w:r>
      <w:bookmarkEnd w:id="157"/>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6"/>
        <w:gridCol w:w="2432"/>
        <w:gridCol w:w="965"/>
        <w:gridCol w:w="1134"/>
        <w:gridCol w:w="2556"/>
      </w:tblGrid>
      <w:tr>
        <w:trPr>
          <w:tblHeader/>
        </w:trPr>
        <w:tc>
          <w:tcPr>
            <w:tcW w:w="2438" w:type="dxa"/>
            <w:gridSpan w:val="2"/>
          </w:tcPr>
          <w:p>
            <w:pPr>
              <w:pStyle w:val="nTable"/>
              <w:spacing w:after="40"/>
              <w:rPr>
                <w:b/>
              </w:rPr>
            </w:pPr>
            <w:r>
              <w:rPr>
                <w:b/>
              </w:rPr>
              <w:t>Short title</w:t>
            </w:r>
          </w:p>
        </w:tc>
        <w:tc>
          <w:tcPr>
            <w:tcW w:w="965"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Act 1987</w:t>
            </w:r>
            <w:r>
              <w:rPr>
                <w:snapToGrid w:val="0"/>
                <w:vertAlign w:val="superscript"/>
              </w:rPr>
              <w:t> 7</w:t>
            </w:r>
          </w:p>
        </w:tc>
        <w:tc>
          <w:tcPr>
            <w:tcW w:w="965" w:type="dxa"/>
          </w:tcPr>
          <w:p>
            <w:pPr>
              <w:pStyle w:val="nTable"/>
              <w:spacing w:after="40"/>
            </w:pPr>
            <w:r>
              <w:t>99 of 1987</w:t>
            </w:r>
          </w:p>
        </w:tc>
        <w:tc>
          <w:tcPr>
            <w:tcW w:w="1134" w:type="dxa"/>
          </w:tcPr>
          <w:p>
            <w:pPr>
              <w:pStyle w:val="nTable"/>
              <w:spacing w:after="40"/>
            </w:pPr>
            <w:r>
              <w:t>18 Dec 1987</w:t>
            </w:r>
          </w:p>
        </w:tc>
        <w:tc>
          <w:tcPr>
            <w:tcW w:w="2556" w:type="dxa"/>
          </w:tcPr>
          <w:p>
            <w:pPr>
              <w:pStyle w:val="nTable"/>
              <w:spacing w:after="40"/>
            </w:pPr>
            <w:r>
              <w:t>s. 1 and 2: 18 Dec 1987;</w:t>
            </w:r>
            <w:r>
              <w:br/>
              <w:t xml:space="preserve">Sch. 3 cl. 1(1): 1 Jul 1987 (see Sch. 3 cl. 1(2)); </w:t>
            </w:r>
            <w:r>
              <w:br/>
              <w:t xml:space="preserve">Act other than s. 1 and  2 and Sch. 3 cl. 1(1): 30 Jun 1988 (see s. 2 and </w:t>
            </w:r>
            <w:r>
              <w:rPr>
                <w:i/>
              </w:rPr>
              <w:t>Gazette</w:t>
            </w:r>
            <w:r>
              <w:t xml:space="preserve"> 30 Jun 1988 p. 2133)</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Gold Banking Corporation Amendment Act 1988</w:t>
            </w:r>
          </w:p>
        </w:tc>
        <w:tc>
          <w:tcPr>
            <w:tcW w:w="965" w:type="dxa"/>
          </w:tcPr>
          <w:p>
            <w:pPr>
              <w:pStyle w:val="nTable"/>
              <w:spacing w:after="40"/>
            </w:pPr>
            <w:r>
              <w:t>5 of 1988</w:t>
            </w:r>
          </w:p>
        </w:tc>
        <w:tc>
          <w:tcPr>
            <w:tcW w:w="1134" w:type="dxa"/>
          </w:tcPr>
          <w:p>
            <w:pPr>
              <w:pStyle w:val="nTable"/>
              <w:spacing w:after="40"/>
            </w:pPr>
            <w:r>
              <w:t>29 Jun 1988</w:t>
            </w:r>
          </w:p>
        </w:tc>
        <w:tc>
          <w:tcPr>
            <w:tcW w:w="2556" w:type="dxa"/>
          </w:tcPr>
          <w:p>
            <w:pPr>
              <w:pStyle w:val="nTable"/>
              <w:spacing w:after="40"/>
            </w:pPr>
            <w:r>
              <w:t>29 Jun 1988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(Gold Banking Corporation) Act 1990</w:t>
            </w:r>
            <w:r>
              <w:t xml:space="preserve"> Pt. 2</w:t>
            </w:r>
          </w:p>
        </w:tc>
        <w:tc>
          <w:tcPr>
            <w:tcW w:w="965" w:type="dxa"/>
          </w:tcPr>
          <w:p>
            <w:pPr>
              <w:pStyle w:val="nTable"/>
              <w:spacing w:after="40"/>
            </w:pPr>
            <w:r>
              <w:t>10 of 1990</w:t>
            </w:r>
          </w:p>
        </w:tc>
        <w:tc>
          <w:tcPr>
            <w:tcW w:w="1134" w:type="dxa"/>
          </w:tcPr>
          <w:p>
            <w:pPr>
              <w:pStyle w:val="nTable"/>
              <w:spacing w:after="40"/>
            </w:pPr>
            <w:r>
              <w:t>31 Jul 1990</w:t>
            </w:r>
          </w:p>
        </w:tc>
        <w:tc>
          <w:tcPr>
            <w:tcW w:w="2556" w:type="dxa"/>
          </w:tcPr>
          <w:p>
            <w:pPr>
              <w:pStyle w:val="nTable"/>
              <w:spacing w:after="40"/>
            </w:pPr>
            <w:r>
              <w:t xml:space="preserve">28 Sep 1990 (see s. 2 and </w:t>
            </w:r>
            <w:r>
              <w:rPr>
                <w:i/>
              </w:rPr>
              <w:t>Gazette</w:t>
            </w:r>
            <w:r>
              <w:t xml:space="preserve"> 28 Sep 1990 p. 4981)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Financial Administration Legislation Amendment Act 1993</w:t>
            </w:r>
            <w:r>
              <w:t xml:space="preserve"> s. 11</w:t>
            </w:r>
          </w:p>
        </w:tc>
        <w:tc>
          <w:tcPr>
            <w:tcW w:w="965" w:type="dxa"/>
          </w:tcPr>
          <w:p>
            <w:pPr>
              <w:pStyle w:val="nTable"/>
              <w:spacing w:after="40"/>
            </w:pPr>
            <w:r>
              <w:t>6 of 1993</w:t>
            </w:r>
          </w:p>
        </w:tc>
        <w:tc>
          <w:tcPr>
            <w:tcW w:w="1134" w:type="dxa"/>
          </w:tcPr>
          <w:p>
            <w:pPr>
              <w:pStyle w:val="nTable"/>
              <w:spacing w:after="40"/>
            </w:pPr>
            <w:r>
              <w:t>27 Aug 1993</w:t>
            </w:r>
          </w:p>
        </w:tc>
        <w:tc>
          <w:tcPr>
            <w:tcW w:w="2556"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(Public Sector Management) Act 1994</w:t>
            </w:r>
            <w:r>
              <w:t xml:space="preserve"> s. 3(2)</w:t>
            </w:r>
          </w:p>
        </w:tc>
        <w:tc>
          <w:tcPr>
            <w:tcW w:w="965" w:type="dxa"/>
          </w:tcPr>
          <w:p>
            <w:pPr>
              <w:pStyle w:val="nTable"/>
              <w:spacing w:after="40"/>
            </w:pPr>
            <w:r>
              <w:t>32 of 1994</w:t>
            </w:r>
          </w:p>
        </w:tc>
        <w:tc>
          <w:tcPr>
            <w:tcW w:w="1134" w:type="dxa"/>
          </w:tcPr>
          <w:p>
            <w:pPr>
              <w:pStyle w:val="nTable"/>
              <w:spacing w:after="40"/>
            </w:pPr>
            <w:r>
              <w:t>29 Jun 1994</w:t>
            </w:r>
          </w:p>
        </w:tc>
        <w:tc>
          <w:tcPr>
            <w:tcW w:w="2556"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24 Aug 1994</w:t>
            </w:r>
            <w:r>
              <w:rPr>
                <w:iCs/>
              </w:rPr>
              <w:t xml:space="preserve"> (includes amendments listed above except those in the </w:t>
            </w:r>
            <w:r>
              <w:rPr>
                <w:i/>
              </w:rPr>
              <w:t>Acts Amendment (Public Sector Management) Act 1994</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Statutes (Repeals and Minor Amendments) Act 1994</w:t>
            </w:r>
            <w:r>
              <w:t xml:space="preserve"> s. 4</w:t>
            </w:r>
          </w:p>
        </w:tc>
        <w:tc>
          <w:tcPr>
            <w:tcW w:w="965" w:type="dxa"/>
          </w:tcPr>
          <w:p>
            <w:pPr>
              <w:pStyle w:val="nTable"/>
              <w:spacing w:after="40"/>
            </w:pPr>
            <w:r>
              <w:t>73 of 1994</w:t>
            </w:r>
          </w:p>
        </w:tc>
        <w:tc>
          <w:tcPr>
            <w:tcW w:w="1134" w:type="dxa"/>
          </w:tcPr>
          <w:p>
            <w:pPr>
              <w:pStyle w:val="nTable"/>
              <w:spacing w:after="40"/>
            </w:pPr>
            <w:r>
              <w:t>9 Dec 1994</w:t>
            </w:r>
          </w:p>
        </w:tc>
        <w:tc>
          <w:tcPr>
            <w:tcW w:w="2556"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Industrial Legislation Amendment Act 1995</w:t>
            </w:r>
            <w:r>
              <w:t xml:space="preserve"> s. 35</w:t>
            </w:r>
          </w:p>
        </w:tc>
        <w:tc>
          <w:tcPr>
            <w:tcW w:w="965" w:type="dxa"/>
          </w:tcPr>
          <w:p>
            <w:pPr>
              <w:pStyle w:val="nTable"/>
              <w:keepNext/>
              <w:keepLines/>
              <w:spacing w:after="40"/>
            </w:pPr>
            <w:r>
              <w:t>1 of 1995</w:t>
            </w:r>
          </w:p>
        </w:tc>
        <w:tc>
          <w:tcPr>
            <w:tcW w:w="1134" w:type="dxa"/>
          </w:tcPr>
          <w:p>
            <w:pPr>
              <w:pStyle w:val="nTable"/>
              <w:keepNext/>
              <w:keepLines/>
              <w:spacing w:after="40"/>
            </w:pPr>
            <w:r>
              <w:t>9 May 1995</w:t>
            </w:r>
          </w:p>
        </w:tc>
        <w:tc>
          <w:tcPr>
            <w:tcW w:w="2556" w:type="dxa"/>
          </w:tcPr>
          <w:p>
            <w:pPr>
              <w:pStyle w:val="nTable"/>
              <w:keepNext/>
              <w:keepLines/>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Statutory Corporations (Liability of Directors) Act 1996</w:t>
            </w:r>
            <w:r>
              <w:t xml:space="preserve"> s. 3</w:t>
            </w:r>
          </w:p>
        </w:tc>
        <w:tc>
          <w:tcPr>
            <w:tcW w:w="965" w:type="dxa"/>
          </w:tcPr>
          <w:p>
            <w:pPr>
              <w:pStyle w:val="nTable"/>
              <w:spacing w:after="40"/>
            </w:pPr>
            <w:r>
              <w:t>41 of 1996</w:t>
            </w:r>
          </w:p>
        </w:tc>
        <w:tc>
          <w:tcPr>
            <w:tcW w:w="1134" w:type="dxa"/>
          </w:tcPr>
          <w:p>
            <w:pPr>
              <w:pStyle w:val="nTable"/>
              <w:spacing w:after="40"/>
            </w:pPr>
            <w:r>
              <w:t>10 Oct 1996</w:t>
            </w:r>
          </w:p>
        </w:tc>
        <w:tc>
          <w:tcPr>
            <w:tcW w:w="2556" w:type="dxa"/>
          </w:tcPr>
          <w:p>
            <w:pPr>
              <w:pStyle w:val="nTable"/>
              <w:spacing w:after="40"/>
            </w:pPr>
            <w:r>
              <w:t xml:space="preserve">1 Dec 1996 (see s. 2 and </w:t>
            </w:r>
            <w:r>
              <w:rPr>
                <w:i/>
              </w:rPr>
              <w:t>Gazette</w:t>
            </w:r>
            <w:r>
              <w:t xml:space="preserve"> 12 Nov 1996 p. 6301)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keepLines/>
              <w:spacing w:after="40"/>
              <w:ind w:right="113"/>
            </w:pPr>
            <w:r>
              <w:rPr>
                <w:i/>
              </w:rPr>
              <w:lastRenderedPageBreak/>
              <w:t>Financial Legislation Amendment Act 1996</w:t>
            </w:r>
            <w:r>
              <w:t xml:space="preserve"> s. 64</w:t>
            </w:r>
          </w:p>
        </w:tc>
        <w:tc>
          <w:tcPr>
            <w:tcW w:w="965" w:type="dxa"/>
          </w:tcPr>
          <w:p>
            <w:pPr>
              <w:pStyle w:val="nTable"/>
              <w:keepNext/>
              <w:keepLines/>
              <w:spacing w:after="40"/>
            </w:pPr>
            <w:r>
              <w:t>49 of 1996</w:t>
            </w:r>
          </w:p>
        </w:tc>
        <w:tc>
          <w:tcPr>
            <w:tcW w:w="1134" w:type="dxa"/>
          </w:tcPr>
          <w:p>
            <w:pPr>
              <w:pStyle w:val="nTable"/>
              <w:keepNext/>
              <w:keepLines/>
              <w:spacing w:after="40"/>
            </w:pPr>
            <w:r>
              <w:t>25 Oct 1996</w:t>
            </w:r>
          </w:p>
        </w:tc>
        <w:tc>
          <w:tcPr>
            <w:tcW w:w="2556" w:type="dxa"/>
          </w:tcPr>
          <w:p>
            <w:pPr>
              <w:pStyle w:val="nTable"/>
              <w:keepNext/>
              <w:keepLines/>
              <w:spacing w:after="40"/>
            </w:pPr>
            <w:r>
              <w:t>25 Oct 1996 (see s. 2(1))</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 xml:space="preserve">State Superannuation (Transitional and Consequential Provisions) Act 2000 </w:t>
            </w:r>
            <w:r>
              <w:t>s. 46(1)</w:t>
            </w:r>
          </w:p>
        </w:tc>
        <w:tc>
          <w:tcPr>
            <w:tcW w:w="965" w:type="dxa"/>
          </w:tcPr>
          <w:p>
            <w:pPr>
              <w:pStyle w:val="nTable"/>
              <w:spacing w:after="40"/>
            </w:pPr>
            <w:r>
              <w:t>43 of 2000</w:t>
            </w:r>
          </w:p>
        </w:tc>
        <w:tc>
          <w:tcPr>
            <w:tcW w:w="1134" w:type="dxa"/>
          </w:tcPr>
          <w:p>
            <w:pPr>
              <w:pStyle w:val="nTable"/>
              <w:spacing w:after="40"/>
            </w:pPr>
            <w:r>
              <w:t>2 Nov 2000</w:t>
            </w:r>
          </w:p>
        </w:tc>
        <w:tc>
          <w:tcPr>
            <w:tcW w:w="2556"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rPr>
                <w:iCs/>
              </w:rPr>
            </w:pPr>
            <w:r>
              <w:rPr>
                <w:b/>
                <w:bCs/>
              </w:rPr>
              <w:t xml:space="preserve">Reprint of the </w:t>
            </w:r>
            <w:r>
              <w:rPr>
                <w:b/>
                <w:bCs/>
                <w:i/>
              </w:rPr>
              <w:t>Gold Corporation Act 1987</w:t>
            </w:r>
            <w:r>
              <w:rPr>
                <w:b/>
                <w:bCs/>
                <w:iCs/>
              </w:rPr>
              <w:t xml:space="preserve"> as at 2 Jan 2001</w:t>
            </w:r>
            <w:r>
              <w:rPr>
                <w:iCs/>
              </w:rPr>
              <w:t xml:space="preserve"> (includes amendments listed above except those in the </w:t>
            </w:r>
            <w:r>
              <w:rPr>
                <w:i/>
              </w:rPr>
              <w:t>State Superannuation (Transitional and Consequential Provisions) Act 2000</w:t>
            </w:r>
            <w:r>
              <w:rPr>
                <w:iCs/>
              </w:rPr>
              <w:t>)</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Corporations (Consequential Amendments) Act</w:t>
            </w:r>
            <w:r>
              <w:rPr>
                <w:i/>
              </w:rPr>
              <w:br/>
              <w:t>(No. 2) 2003</w:t>
            </w:r>
            <w:r>
              <w:t xml:space="preserve"> Pt. 9</w:t>
            </w:r>
          </w:p>
        </w:tc>
        <w:tc>
          <w:tcPr>
            <w:tcW w:w="965" w:type="dxa"/>
          </w:tcPr>
          <w:p>
            <w:pPr>
              <w:pStyle w:val="nTable"/>
              <w:spacing w:after="40"/>
            </w:pPr>
            <w:r>
              <w:t>20 of 2003</w:t>
            </w:r>
          </w:p>
        </w:tc>
        <w:tc>
          <w:tcPr>
            <w:tcW w:w="1134"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pPr>
            <w:r>
              <w:rPr>
                <w:i/>
              </w:rPr>
              <w:t>Acts Amendment (Equality of Status) Act 2003</w:t>
            </w:r>
            <w:r>
              <w:t xml:space="preserve"> Pt. 24</w:t>
            </w:r>
          </w:p>
        </w:tc>
        <w:tc>
          <w:tcPr>
            <w:tcW w:w="965" w:type="dxa"/>
          </w:tcPr>
          <w:p>
            <w:pPr>
              <w:pStyle w:val="nTable"/>
              <w:spacing w:after="40"/>
            </w:pPr>
            <w:r>
              <w:t>28 of 2003</w:t>
            </w:r>
          </w:p>
        </w:tc>
        <w:tc>
          <w:tcPr>
            <w:tcW w:w="1134"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rPr>
              <w:t>Acts Amendment and Repeal (Competition Policy) Act 2003</w:t>
            </w:r>
            <w:r>
              <w:t xml:space="preserve"> Pt. 8</w:t>
            </w:r>
          </w:p>
        </w:tc>
        <w:tc>
          <w:tcPr>
            <w:tcW w:w="965" w:type="dxa"/>
          </w:tcPr>
          <w:p>
            <w:pPr>
              <w:pStyle w:val="nTable"/>
              <w:spacing w:after="40"/>
            </w:pPr>
            <w:r>
              <w:t>70 of 2003</w:t>
            </w:r>
          </w:p>
        </w:tc>
        <w:tc>
          <w:tcPr>
            <w:tcW w:w="1134" w:type="dxa"/>
          </w:tcPr>
          <w:p>
            <w:pPr>
              <w:pStyle w:val="nTable"/>
              <w:spacing w:after="40"/>
            </w:pPr>
            <w:r>
              <w:t>15 Dec 2003</w:t>
            </w:r>
          </w:p>
        </w:tc>
        <w:tc>
          <w:tcPr>
            <w:tcW w:w="2556" w:type="dxa"/>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ind w:right="113"/>
              <w:rPr>
                <w:i/>
              </w:rPr>
            </w:pPr>
            <w:r>
              <w:rPr>
                <w:i/>
                <w:snapToGrid w:val="0"/>
              </w:rPr>
              <w:t>Criminal Code Amendment Act 2004</w:t>
            </w:r>
            <w:r>
              <w:rPr>
                <w:snapToGrid w:val="0"/>
              </w:rPr>
              <w:t xml:space="preserve"> s. 58</w:t>
            </w:r>
          </w:p>
        </w:tc>
        <w:tc>
          <w:tcPr>
            <w:tcW w:w="965" w:type="dxa"/>
          </w:tcPr>
          <w:p>
            <w:pPr>
              <w:pStyle w:val="nTable"/>
              <w:spacing w:after="40"/>
            </w:pPr>
            <w:r>
              <w:t>4 of 2004</w:t>
            </w:r>
          </w:p>
        </w:tc>
        <w:tc>
          <w:tcPr>
            <w:tcW w:w="1134" w:type="dxa"/>
          </w:tcPr>
          <w:p>
            <w:pPr>
              <w:pStyle w:val="nTable"/>
              <w:spacing w:after="40"/>
            </w:pPr>
            <w:r>
              <w:t>23 Apr 2004</w:t>
            </w:r>
          </w:p>
        </w:tc>
        <w:tc>
          <w:tcPr>
            <w:tcW w:w="2556"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82</w:t>
            </w:r>
          </w:p>
        </w:tc>
        <w:tc>
          <w:tcPr>
            <w:tcW w:w="965"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3: The </w:t>
            </w:r>
            <w:r>
              <w:rPr>
                <w:b/>
                <w:bCs/>
                <w:i/>
              </w:rPr>
              <w:t>Gold Corporation Act 1987</w:t>
            </w:r>
            <w:r>
              <w:rPr>
                <w:b/>
                <w:bCs/>
                <w:iCs/>
              </w:rPr>
              <w:t xml:space="preserve"> as at 10 Jun 2005</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snapToGrid w:val="0"/>
              </w:rPr>
            </w:pPr>
            <w:r>
              <w:rPr>
                <w:i/>
                <w:iCs/>
                <w:snapToGrid w:val="0"/>
              </w:rPr>
              <w:t xml:space="preserve">Machinery of Government (Miscellaneous Amendments) Act 2006 </w:t>
            </w:r>
            <w:r>
              <w:rPr>
                <w:snapToGrid w:val="0"/>
              </w:rPr>
              <w:t>Pt. 17 Div. 4</w:t>
            </w:r>
            <w:r>
              <w:rPr>
                <w:snapToGrid w:val="0"/>
                <w:vertAlign w:val="superscript"/>
              </w:rPr>
              <w:t> 8</w:t>
            </w:r>
          </w:p>
        </w:tc>
        <w:tc>
          <w:tcPr>
            <w:tcW w:w="965"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6"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
                <w:iCs/>
                <w:snapToGrid w:val="0"/>
              </w:rPr>
            </w:pPr>
            <w:r>
              <w:rPr>
                <w:i/>
                <w:snapToGrid w:val="0"/>
              </w:rPr>
              <w:t xml:space="preserve">Financial Legislation Amendment and Repeal Act 2006 </w:t>
            </w:r>
            <w:r>
              <w:rPr>
                <w:iCs/>
                <w:snapToGrid w:val="0"/>
              </w:rPr>
              <w:t>s. 4 and 17</w:t>
            </w:r>
          </w:p>
        </w:tc>
        <w:tc>
          <w:tcPr>
            <w:tcW w:w="965"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spacing w:after="40"/>
              <w:rPr>
                <w:iCs/>
                <w:vertAlign w:val="superscript"/>
              </w:rPr>
            </w:pPr>
            <w:r>
              <w:rPr>
                <w:i/>
              </w:rPr>
              <w:t>Duties Legislation Amendment Act 2008</w:t>
            </w:r>
            <w:r>
              <w:rPr>
                <w:iCs/>
              </w:rPr>
              <w:t xml:space="preserve"> s. 52 </w:t>
            </w:r>
          </w:p>
        </w:tc>
        <w:tc>
          <w:tcPr>
            <w:tcW w:w="965" w:type="dxa"/>
          </w:tcPr>
          <w:p>
            <w:pPr>
              <w:pStyle w:val="nTable"/>
              <w:spacing w:after="40"/>
            </w:pPr>
            <w:r>
              <w:t>12 of 2008</w:t>
            </w:r>
          </w:p>
        </w:tc>
        <w:tc>
          <w:tcPr>
            <w:tcW w:w="1134" w:type="dxa"/>
          </w:tcPr>
          <w:p>
            <w:pPr>
              <w:pStyle w:val="nTable"/>
              <w:spacing w:after="40"/>
            </w:pPr>
            <w:r>
              <w:t>14 Apr 2008</w:t>
            </w:r>
          </w:p>
        </w:tc>
        <w:tc>
          <w:tcPr>
            <w:tcW w:w="2556"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gridBefore w:val="1"/>
          <w:wBefore w:w="6" w:type="dxa"/>
          <w:cantSplit/>
        </w:trPr>
        <w:tc>
          <w:tcPr>
            <w:tcW w:w="7087" w:type="dxa"/>
            <w:gridSpan w:val="4"/>
          </w:tcPr>
          <w:p>
            <w:pPr>
              <w:pStyle w:val="nTable"/>
              <w:spacing w:after="40"/>
            </w:pPr>
            <w:r>
              <w:rPr>
                <w:b/>
                <w:bCs/>
              </w:rPr>
              <w:t xml:space="preserve">Reprint 4: The </w:t>
            </w:r>
            <w:r>
              <w:rPr>
                <w:b/>
                <w:bCs/>
                <w:i/>
              </w:rPr>
              <w:t>Gold Corporation Act 1987</w:t>
            </w:r>
            <w:r>
              <w:rPr>
                <w:b/>
                <w:bCs/>
                <w:iCs/>
              </w:rPr>
              <w:t xml:space="preserve"> as at 1 Aug 2008</w:t>
            </w:r>
            <w:r>
              <w:rPr>
                <w:iCs/>
              </w:rPr>
              <w:t xml:space="preserve"> (includes amendments listed above)</w:t>
            </w:r>
          </w:p>
        </w:tc>
      </w:tr>
      <w:tr>
        <w:tblPrEx>
          <w:tblBorders>
            <w:top w:val="none" w:sz="0" w:space="0" w:color="auto"/>
            <w:bottom w:val="none" w:sz="0" w:space="0" w:color="auto"/>
            <w:insideH w:val="none" w:sz="0" w:space="0" w:color="auto"/>
          </w:tblBorders>
        </w:tblPrEx>
        <w:trPr>
          <w:gridBefore w:val="1"/>
          <w:wBefore w:w="6" w:type="dxa"/>
          <w:cantSplit/>
        </w:trPr>
        <w:tc>
          <w:tcPr>
            <w:tcW w:w="2432" w:type="dxa"/>
          </w:tcPr>
          <w:p>
            <w:pPr>
              <w:pStyle w:val="nTable"/>
              <w:keepNext/>
              <w:spacing w:after="40"/>
              <w:ind w:right="113"/>
              <w:rPr>
                <w:iCs/>
              </w:rPr>
            </w:pPr>
            <w:r>
              <w:rPr>
                <w:i/>
              </w:rPr>
              <w:lastRenderedPageBreak/>
              <w:t>Statutes (Repeals and Miscellaneous Amendments) Act 2009</w:t>
            </w:r>
            <w:r>
              <w:rPr>
                <w:iCs/>
              </w:rPr>
              <w:t xml:space="preserve"> s. 65</w:t>
            </w:r>
          </w:p>
        </w:tc>
        <w:tc>
          <w:tcPr>
            <w:tcW w:w="965" w:type="dxa"/>
          </w:tcPr>
          <w:p>
            <w:pPr>
              <w:pStyle w:val="nTable"/>
              <w:keepNext/>
              <w:spacing w:after="40"/>
            </w:pPr>
            <w:r>
              <w:t xml:space="preserve">8 of 2009 </w:t>
            </w:r>
          </w:p>
        </w:tc>
        <w:tc>
          <w:tcPr>
            <w:tcW w:w="1134" w:type="dxa"/>
          </w:tcPr>
          <w:p>
            <w:pPr>
              <w:pStyle w:val="nTable"/>
              <w:keepNext/>
              <w:spacing w:after="40"/>
            </w:pPr>
            <w:r>
              <w:t>21 May 2009</w:t>
            </w:r>
          </w:p>
        </w:tc>
        <w:tc>
          <w:tcPr>
            <w:tcW w:w="2556" w:type="dxa"/>
          </w:tcPr>
          <w:p>
            <w:pPr>
              <w:pStyle w:val="nTable"/>
              <w:keepNext/>
              <w:spacing w:after="40"/>
            </w:pPr>
            <w:r>
              <w:t>22 May 2009 (see s. 2(b))</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65"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10 Div. 1</w:t>
            </w:r>
          </w:p>
        </w:tc>
        <w:tc>
          <w:tcPr>
            <w:tcW w:w="965"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6"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438" w:type="dxa"/>
            <w:gridSpan w:val="2"/>
            <w:tcBorders>
              <w:top w:val="nil"/>
              <w:bottom w:val="nil"/>
            </w:tcBorders>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3</w:t>
            </w:r>
          </w:p>
        </w:tc>
        <w:tc>
          <w:tcPr>
            <w:tcW w:w="965" w:type="dxa"/>
            <w:tcBorders>
              <w:top w:val="nil"/>
              <w:bottom w:val="nil"/>
            </w:tcBorders>
          </w:tcPr>
          <w:p>
            <w:pPr>
              <w:pStyle w:val="nTable"/>
              <w:spacing w:after="40"/>
              <w:rPr>
                <w:snapToGrid w:val="0"/>
              </w:rPr>
            </w:pPr>
            <w:r>
              <w:rPr>
                <w:snapToGrid w:val="0"/>
              </w:rPr>
              <w:t>46 of 2016</w:t>
            </w:r>
          </w:p>
        </w:tc>
        <w:tc>
          <w:tcPr>
            <w:tcW w:w="1134" w:type="dxa"/>
            <w:tcBorders>
              <w:top w:val="nil"/>
              <w:bottom w:val="nil"/>
            </w:tcBorders>
          </w:tcPr>
          <w:p>
            <w:pPr>
              <w:pStyle w:val="nTable"/>
              <w:spacing w:after="40"/>
            </w:pPr>
            <w:r>
              <w:t>7 Dec 2016</w:t>
            </w:r>
          </w:p>
        </w:tc>
        <w:tc>
          <w:tcPr>
            <w:tcW w:w="2556" w:type="dxa"/>
            <w:tcBorders>
              <w:top w:val="nil"/>
              <w:bottom w:val="nil"/>
            </w:tcBorders>
          </w:tcPr>
          <w:p>
            <w:pPr>
              <w:pStyle w:val="nTable"/>
              <w:spacing w:after="40"/>
              <w:rPr>
                <w:snapToGrid w:val="0"/>
              </w:rPr>
            </w:pPr>
            <w:r>
              <w:rPr>
                <w:snapToGrid w:val="0"/>
              </w:rPr>
              <w:t>8 Dec 2016 (see s. 2(b))</w:t>
            </w:r>
          </w:p>
        </w:tc>
      </w:tr>
      <w:tr>
        <w:trPr>
          <w:cantSplit/>
        </w:trPr>
        <w:tc>
          <w:tcPr>
            <w:tcW w:w="2438" w:type="dxa"/>
            <w:gridSpan w:val="2"/>
            <w:tcBorders>
              <w:top w:val="nil"/>
              <w:bottom w:val="nil"/>
            </w:tcBorders>
          </w:tcPr>
          <w:p>
            <w:pPr>
              <w:pStyle w:val="nTable"/>
              <w:spacing w:after="40"/>
              <w:ind w:right="113"/>
              <w:rPr>
                <w:snapToGrid w:val="0"/>
              </w:rPr>
            </w:pPr>
            <w:r>
              <w:rPr>
                <w:i/>
                <w:snapToGrid w:val="0"/>
              </w:rPr>
              <w:t>Directors’ Liability Reform Act 2023</w:t>
            </w:r>
            <w:r>
              <w:rPr>
                <w:snapToGrid w:val="0"/>
              </w:rPr>
              <w:t xml:space="preserve"> Pt. 3 Div. 32</w:t>
            </w:r>
          </w:p>
        </w:tc>
        <w:tc>
          <w:tcPr>
            <w:tcW w:w="965" w:type="dxa"/>
            <w:tcBorders>
              <w:top w:val="nil"/>
              <w:bottom w:val="nil"/>
            </w:tcBorders>
          </w:tcPr>
          <w:p>
            <w:pPr>
              <w:pStyle w:val="nTable"/>
              <w:spacing w:after="40"/>
              <w:rPr>
                <w:snapToGrid w:val="0"/>
              </w:rPr>
            </w:pPr>
            <w:r>
              <w:rPr>
                <w:snapToGrid w:val="0"/>
              </w:rPr>
              <w:t>9 of 2023</w:t>
            </w:r>
          </w:p>
        </w:tc>
        <w:tc>
          <w:tcPr>
            <w:tcW w:w="1134" w:type="dxa"/>
            <w:tcBorders>
              <w:top w:val="nil"/>
              <w:bottom w:val="nil"/>
            </w:tcBorders>
          </w:tcPr>
          <w:p>
            <w:pPr>
              <w:pStyle w:val="nTable"/>
              <w:spacing w:after="40"/>
            </w:pPr>
            <w:r>
              <w:t>4 Apr 2023</w:t>
            </w:r>
          </w:p>
        </w:tc>
        <w:tc>
          <w:tcPr>
            <w:tcW w:w="2556" w:type="dxa"/>
            <w:tcBorders>
              <w:top w:val="nil"/>
              <w:bottom w:val="nil"/>
            </w:tcBorders>
          </w:tcPr>
          <w:p>
            <w:pPr>
              <w:pStyle w:val="nTable"/>
              <w:spacing w:after="40"/>
              <w:rPr>
                <w:snapToGrid w:val="0"/>
              </w:rPr>
            </w:pPr>
            <w:r>
              <w:rPr>
                <w:snapToGrid w:val="0"/>
              </w:rPr>
              <w:t>5 Apr 2023 (see s. 2(j))</w:t>
            </w:r>
          </w:p>
        </w:tc>
      </w:tr>
      <w:tr>
        <w:tblPrEx>
          <w:tblBorders>
            <w:top w:val="none" w:sz="0" w:space="0" w:color="auto"/>
            <w:bottom w:val="none" w:sz="0" w:space="0" w:color="auto"/>
            <w:insideH w:val="none" w:sz="0" w:space="0" w:color="auto"/>
          </w:tblBorders>
        </w:tblPrEx>
        <w:trPr>
          <w:cantSplit/>
        </w:trPr>
        <w:tc>
          <w:tcPr>
            <w:tcW w:w="2438" w:type="dxa"/>
            <w:gridSpan w:val="2"/>
          </w:tcPr>
          <w:p>
            <w:pPr>
              <w:pStyle w:val="nTable"/>
              <w:spacing w:after="40"/>
              <w:ind w:right="113"/>
              <w:rPr>
                <w:i/>
                <w:snapToGrid w:val="0"/>
              </w:rPr>
            </w:pPr>
            <w:r>
              <w:rPr>
                <w:i/>
                <w:snapToGrid w:val="0"/>
              </w:rPr>
              <w:t>Government Trading Enterprises Act 2023</w:t>
            </w:r>
            <w:r>
              <w:rPr>
                <w:snapToGrid w:val="0"/>
              </w:rPr>
              <w:t xml:space="preserve"> Pt. 12 Div. 2</w:t>
            </w:r>
          </w:p>
        </w:tc>
        <w:tc>
          <w:tcPr>
            <w:tcW w:w="965" w:type="dxa"/>
          </w:tcPr>
          <w:p>
            <w:pPr>
              <w:pStyle w:val="nTable"/>
              <w:spacing w:after="40"/>
              <w:rPr>
                <w:snapToGrid w:val="0"/>
              </w:rPr>
            </w:pPr>
            <w:r>
              <w:t>13 of 2023</w:t>
            </w:r>
          </w:p>
        </w:tc>
        <w:tc>
          <w:tcPr>
            <w:tcW w:w="1134" w:type="dxa"/>
          </w:tcPr>
          <w:p>
            <w:pPr>
              <w:pStyle w:val="nTable"/>
              <w:spacing w:after="40"/>
            </w:pPr>
            <w:r>
              <w:t>22 Jun 2023</w:t>
            </w:r>
          </w:p>
        </w:tc>
        <w:tc>
          <w:tcPr>
            <w:tcW w:w="2556" w:type="dxa"/>
          </w:tcPr>
          <w:p>
            <w:pPr>
              <w:pStyle w:val="nTable"/>
              <w:spacing w:after="40"/>
              <w:rPr>
                <w:snapToGrid w:val="0"/>
              </w:rPr>
            </w:pPr>
            <w:r>
              <w:t>1 Jul 2023 (see s. 2(b) and SL 2023/89 cl. 2)</w:t>
            </w:r>
          </w:p>
        </w:tc>
      </w:tr>
      <w:tr>
        <w:tblPrEx>
          <w:tblBorders>
            <w:top w:val="none" w:sz="0" w:space="0" w:color="auto"/>
            <w:bottom w:val="none" w:sz="0" w:space="0" w:color="auto"/>
            <w:insideH w:val="none" w:sz="0" w:space="0" w:color="auto"/>
          </w:tblBorders>
        </w:tblPrEx>
        <w:trPr>
          <w:cantSplit/>
        </w:trPr>
        <w:tc>
          <w:tcPr>
            <w:tcW w:w="7093" w:type="dxa"/>
            <w:gridSpan w:val="5"/>
            <w:tcBorders>
              <w:bottom w:val="single" w:sz="4" w:space="0" w:color="auto"/>
            </w:tcBorders>
          </w:tcPr>
          <w:p>
            <w:pPr>
              <w:pStyle w:val="nTable"/>
              <w:spacing w:after="40"/>
            </w:pPr>
            <w:r>
              <w:rPr>
                <w:b/>
                <w:i/>
                <w:noProof/>
              </w:rPr>
              <w:t>Gold Corporation Act 1987</w:t>
            </w:r>
            <w:r>
              <w:rPr>
                <w:b/>
              </w:rPr>
              <w:t xml:space="preserve"> with editorial changes as at 11 Oct 2024</w:t>
            </w:r>
          </w:p>
        </w:tc>
      </w:tr>
    </w:tbl>
    <w:p>
      <w:pPr>
        <w:pStyle w:val="nHeading3"/>
        <w:keepLines/>
      </w:pPr>
      <w:bookmarkStart w:id="158" w:name="_Toc179455288"/>
      <w:r>
        <w:t>Editorial changes table</w:t>
      </w:r>
      <w:bookmarkEnd w:id="158"/>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 xml:space="preserve">s. 8B(4), 41B(3) and (4), </w:t>
            </w:r>
            <w:r>
              <w:br/>
              <w:t>52B(3) and (4)</w:t>
            </w:r>
          </w:p>
        </w:tc>
        <w:tc>
          <w:tcPr>
            <w:tcW w:w="2694" w:type="dxa"/>
          </w:tcPr>
          <w:p>
            <w:pPr>
              <w:pStyle w:val="nTable"/>
              <w:spacing w:after="40"/>
            </w:pPr>
            <w:r>
              <w:t>s. 34(2)</w:t>
            </w:r>
            <w:r>
              <w:br/>
              <w:t>[s. 34(1) def. (i)]</w:t>
            </w:r>
          </w:p>
        </w:tc>
        <w:tc>
          <w:tcPr>
            <w:tcW w:w="1559" w:type="dxa"/>
          </w:tcPr>
          <w:p>
            <w:pPr>
              <w:pStyle w:val="nTable"/>
              <w:spacing w:after="40"/>
            </w:pPr>
            <w:r>
              <w:t>11 Oct 2024</w:t>
            </w:r>
          </w:p>
        </w:tc>
      </w:tr>
    </w:tbl>
    <w:p>
      <w:pPr>
        <w:pStyle w:val="nHeading3"/>
      </w:pPr>
      <w:bookmarkStart w:id="159" w:name="_Toc179455289"/>
      <w:r>
        <w:lastRenderedPageBreak/>
        <w:t>Uncommenced provisions table</w:t>
      </w:r>
      <w:bookmarkEnd w:id="1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snapToGrid w:val="0"/>
              </w:rPr>
              <w:t>s. 46(2)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bl>
    <w:p>
      <w:pPr>
        <w:pStyle w:val="nHeading3"/>
      </w:pPr>
      <w:bookmarkStart w:id="160" w:name="_Toc179455290"/>
      <w:r>
        <w:t>Other notes</w:t>
      </w:r>
      <w:bookmarkEnd w:id="160"/>
    </w:p>
    <w:p>
      <w:pPr>
        <w:pStyle w:val="nNote"/>
        <w:spacing w:before="160"/>
        <w:rPr>
          <w:snapToGrid w:val="0"/>
        </w:rPr>
      </w:pPr>
      <w:r>
        <w:rPr>
          <w:snapToGrid w:val="0"/>
          <w:vertAlign w:val="superscript"/>
        </w:rPr>
        <w:t>1</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Note"/>
      </w:pPr>
      <w:r>
        <w:rPr>
          <w:vertAlign w:val="superscript"/>
        </w:rPr>
        <w:t>2</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Note"/>
      </w:pPr>
      <w:r>
        <w:rPr>
          <w:snapToGrid w:val="0"/>
          <w:vertAlign w:val="superscript"/>
        </w:rPr>
        <w:t>3</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Note"/>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Note"/>
        <w:rPr>
          <w:snapToGrid w:val="0"/>
        </w:rPr>
      </w:pPr>
      <w:r>
        <w:rPr>
          <w:snapToGrid w:val="0"/>
          <w:vertAlign w:val="superscript"/>
        </w:rPr>
        <w:t>6</w:t>
      </w:r>
      <w:r>
        <w:rPr>
          <w:snapToGrid w:val="0"/>
        </w:rPr>
        <w:tab/>
        <w:t xml:space="preserve">The </w:t>
      </w:r>
      <w:r>
        <w:rPr>
          <w:i/>
          <w:iCs/>
          <w:snapToGrid w:val="0"/>
        </w:rPr>
        <w:t>Courts Legislation Amendment and Repeal Act 2004</w:t>
      </w:r>
      <w:r>
        <w:rPr>
          <w:snapToGrid w:val="0"/>
        </w:rPr>
        <w:t xml:space="preserve"> Sch. 1 cl. 69 was repealed by the </w:t>
      </w:r>
      <w:r>
        <w:rPr>
          <w:i/>
          <w:iCs/>
          <w:snapToGrid w:val="0"/>
        </w:rPr>
        <w:t>Criminal Law and Evidence Amendment Act 2008</w:t>
      </w:r>
      <w:r>
        <w:rPr>
          <w:snapToGrid w:val="0"/>
        </w:rPr>
        <w:t xml:space="preserve"> s. 77(8).</w:t>
      </w:r>
    </w:p>
    <w:p>
      <w:pPr>
        <w:pStyle w:val="nNote"/>
      </w:pPr>
      <w:r>
        <w:rPr>
          <w:vertAlign w:val="superscript"/>
        </w:rPr>
        <w:t>7</w:t>
      </w:r>
      <w:r>
        <w:rPr>
          <w:vertAlign w:val="superscript"/>
        </w:rPr>
        <w:tab/>
      </w:r>
      <w:r>
        <w:t xml:space="preserve">Now known as the </w:t>
      </w:r>
      <w:r>
        <w:rPr>
          <w:i/>
          <w:iCs/>
        </w:rPr>
        <w:t>Gold Corporation Act 1987</w:t>
      </w:r>
      <w:r>
        <w:t>; short title changed (see note under s. 1).</w:t>
      </w:r>
    </w:p>
    <w:p>
      <w:pPr>
        <w:pStyle w:val="nNote"/>
        <w:keepNext/>
        <w:rPr>
          <w:snapToGrid w:val="0"/>
        </w:rPr>
      </w:pPr>
      <w:r>
        <w:rPr>
          <w:snapToGrid w:val="0"/>
          <w:vertAlign w:val="superscript"/>
        </w:rPr>
        <w:lastRenderedPageBreak/>
        <w:t>8</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r>
        <w:t>Division 12 — Transitional provisions</w:t>
      </w:r>
    </w:p>
    <w:p>
      <w:pPr>
        <w:pStyle w:val="nzHeading5"/>
        <w:rPr>
          <w:i/>
          <w:iCs/>
        </w:rPr>
      </w:pPr>
      <w:r>
        <w:t>451.</w:t>
      </w:r>
      <w:r>
        <w:tab/>
      </w:r>
      <w:r>
        <w:rPr>
          <w:i/>
          <w:iCs/>
        </w:rPr>
        <w:t xml:space="preserve">Western Australian Treasury Corporation Act 1986 </w:t>
      </w:r>
      <w:r>
        <w:t>and</w:t>
      </w:r>
      <w:r>
        <w:rPr>
          <w:i/>
          <w:iCs/>
        </w:rPr>
        <w:t xml:space="preserve"> Gold Corporation Act 1987</w:t>
      </w:r>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keepNext/>
      </w:pPr>
      <w:r>
        <w:tab/>
        <w:t>(3)</w:t>
      </w:r>
      <w:r>
        <w:tab/>
        <w:t xml:space="preserve">In this section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MiscClose"/>
        <w:keepLines w:val="0"/>
      </w:pPr>
      <w:r>
        <w:t>”.</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2" w:name="_Toc169939199"/>
      <w:bookmarkStart w:id="163" w:name="_Toc170119912"/>
      <w:bookmarkStart w:id="164" w:name="_Toc178839946"/>
      <w:bookmarkStart w:id="165" w:name="_Toc179210231"/>
      <w:bookmarkStart w:id="166" w:name="_Toc179455291"/>
      <w:r>
        <w:rPr>
          <w:sz w:val="28"/>
        </w:rPr>
        <w:lastRenderedPageBreak/>
        <w:t>Defined terms</w:t>
      </w:r>
      <w:bookmarkEnd w:id="162"/>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currency</w:t>
      </w:r>
      <w:r>
        <w:tab/>
        <w:t>3(1)</w:t>
      </w:r>
    </w:p>
    <w:p>
      <w:pPr>
        <w:pStyle w:val="DefinedTerms"/>
      </w:pPr>
      <w:r>
        <w:t>benefit</w:t>
      </w:r>
      <w:r>
        <w:tab/>
        <w:t>Sch. 2 cl. 1</w:t>
      </w:r>
    </w:p>
    <w:p>
      <w:pPr>
        <w:pStyle w:val="DefinedTerms"/>
      </w:pPr>
      <w:r>
        <w:t>Board</w:t>
      </w:r>
      <w:r>
        <w:tab/>
        <w:t>3(1)</w:t>
      </w:r>
    </w:p>
    <w:p>
      <w:pPr>
        <w:pStyle w:val="DefinedTerms"/>
      </w:pPr>
      <w:r>
        <w:t>business undertaking</w:t>
      </w:r>
      <w:r>
        <w:tab/>
        <w:t>3(1)</w:t>
      </w:r>
    </w:p>
    <w:p>
      <w:pPr>
        <w:pStyle w:val="DefinedTerms"/>
      </w:pPr>
      <w:r>
        <w:t>cash equivalent</w:t>
      </w:r>
      <w:r>
        <w:tab/>
        <w:t>22(2)</w:t>
      </w:r>
    </w:p>
    <w:p>
      <w:pPr>
        <w:pStyle w:val="DefinedTerms"/>
      </w:pPr>
      <w:r>
        <w:t>chief executive officer</w:t>
      </w:r>
      <w:r>
        <w:tab/>
        <w:t>3(1)</w:t>
      </w:r>
    </w:p>
    <w:p>
      <w:pPr>
        <w:pStyle w:val="DefinedTerms"/>
      </w:pPr>
      <w:r>
        <w:t>contributor</w:t>
      </w:r>
      <w:r>
        <w:tab/>
        <w:t>Sch. 2 cl. 1</w:t>
      </w:r>
    </w:p>
    <w:p>
      <w:pPr>
        <w:pStyle w:val="DefinedTerms"/>
      </w:pPr>
      <w:r>
        <w:t>Corporations Act</w:t>
      </w:r>
      <w:r>
        <w:tab/>
        <w:t>3(1)</w:t>
      </w:r>
    </w:p>
    <w:p>
      <w:pPr>
        <w:pStyle w:val="DefinedTerms"/>
      </w:pPr>
      <w:r>
        <w:t>deputy chief executive officer</w:t>
      </w:r>
      <w:r>
        <w:tab/>
        <w:t>3(1)</w:t>
      </w:r>
    </w:p>
    <w:p>
      <w:pPr>
        <w:pStyle w:val="DefinedTerms"/>
      </w:pPr>
      <w:r>
        <w:t>director</w:t>
      </w:r>
      <w:r>
        <w:tab/>
        <w:t>3(1)</w:t>
      </w:r>
    </w:p>
    <w:p>
      <w:pPr>
        <w:pStyle w:val="DefinedTerms"/>
      </w:pPr>
      <w:r>
        <w:t>document</w:t>
      </w:r>
      <w:r>
        <w:tab/>
        <w:t>6(11)</w:t>
      </w:r>
    </w:p>
    <w:p>
      <w:pPr>
        <w:pStyle w:val="DefinedTerms"/>
      </w:pPr>
      <w:r>
        <w:t>employee</w:t>
      </w:r>
      <w:r>
        <w:tab/>
        <w:t>Sch. 2 cl. 1</w:t>
      </w:r>
    </w:p>
    <w:p>
      <w:pPr>
        <w:pStyle w:val="DefinedTerms"/>
      </w:pPr>
      <w:r>
        <w:t>employees</w:t>
      </w:r>
      <w:r>
        <w:tab/>
        <w:t>70(3)</w:t>
      </w:r>
    </w:p>
    <w:p>
      <w:pPr>
        <w:pStyle w:val="DefinedTerms"/>
      </w:pPr>
      <w:r>
        <w:t>established person</w:t>
      </w:r>
      <w:r>
        <w:tab/>
        <w:t>Sch. 2 cl. 1</w:t>
      </w:r>
    </w:p>
    <w:p>
      <w:pPr>
        <w:pStyle w:val="DefinedTerms"/>
      </w:pPr>
      <w:r>
        <w:t>foreign currency</w:t>
      </w:r>
      <w:r>
        <w:tab/>
        <w:t>3(1)</w:t>
      </w:r>
    </w:p>
    <w:p>
      <w:pPr>
        <w:pStyle w:val="DefinedTerms"/>
      </w:pPr>
      <w:r>
        <w:t>Gold Bank</w:t>
      </w:r>
      <w:r>
        <w:tab/>
        <w:t>3(1)</w:t>
      </w:r>
    </w:p>
    <w:p>
      <w:pPr>
        <w:pStyle w:val="DefinedTerms"/>
      </w:pPr>
      <w:r>
        <w:t>Gold Corporation</w:t>
      </w:r>
      <w:r>
        <w:tab/>
        <w:t>3(1)</w:t>
      </w:r>
    </w:p>
    <w:p>
      <w:pPr>
        <w:pStyle w:val="DefinedTerms"/>
      </w:pPr>
      <w:r>
        <w:t>GoldCorp</w:t>
      </w:r>
      <w:r>
        <w:tab/>
        <w:t>3(1)</w:t>
      </w:r>
    </w:p>
    <w:p>
      <w:pPr>
        <w:pStyle w:val="DefinedTerms"/>
      </w:pPr>
      <w:r>
        <w:t>Imperial conditions</w:t>
      </w:r>
      <w:r>
        <w:tab/>
        <w:t>Sch. 2 cl. 1</w:t>
      </w:r>
    </w:p>
    <w:p>
      <w:pPr>
        <w:pStyle w:val="DefinedTerms"/>
      </w:pPr>
      <w:r>
        <w:t>Imperial scheme</w:t>
      </w:r>
      <w:r>
        <w:tab/>
        <w:t>Sch. 2 cl. 1</w:t>
      </w:r>
    </w:p>
    <w:p>
      <w:pPr>
        <w:pStyle w:val="DefinedTerms"/>
      </w:pPr>
      <w:r>
        <w:t>industry</w:t>
      </w:r>
      <w:r>
        <w:tab/>
        <w:t>3(1)</w:t>
      </w:r>
    </w:p>
    <w:p>
      <w:pPr>
        <w:pStyle w:val="DefinedTerms"/>
      </w:pPr>
      <w:r>
        <w:t>information</w:t>
      </w:r>
      <w:r>
        <w:tab/>
        <w:t>6(11), 74(6)</w:t>
      </w:r>
    </w:p>
    <w:p>
      <w:pPr>
        <w:pStyle w:val="DefinedTerms"/>
      </w:pPr>
      <w:r>
        <w:t>leave</w:t>
      </w:r>
      <w:r>
        <w:tab/>
        <w:t>Sch. 2 cl. 1</w:t>
      </w:r>
    </w:p>
    <w:p>
      <w:pPr>
        <w:pStyle w:val="DefinedTerms"/>
      </w:pPr>
      <w:r>
        <w:t>minerals</w:t>
      </w:r>
      <w:r>
        <w:tab/>
        <w:t>3(1)</w:t>
      </w:r>
    </w:p>
    <w:p>
      <w:pPr>
        <w:pStyle w:val="DefinedTerms"/>
      </w:pPr>
      <w:r>
        <w:t>Mint</w:t>
      </w:r>
      <w:r>
        <w:tab/>
        <w:t>3(1)</w:t>
      </w:r>
    </w:p>
    <w:p>
      <w:pPr>
        <w:pStyle w:val="DefinedTerms"/>
      </w:pPr>
      <w:r>
        <w:t>money</w:t>
      </w:r>
      <w:r>
        <w:tab/>
        <w:t>3(1)</w:t>
      </w:r>
    </w:p>
    <w:p>
      <w:pPr>
        <w:pStyle w:val="DefinedTerms"/>
      </w:pPr>
      <w:r>
        <w:t>officer</w:t>
      </w:r>
      <w:r>
        <w:tab/>
        <w:t>72(3)</w:t>
      </w:r>
    </w:p>
    <w:p>
      <w:pPr>
        <w:pStyle w:val="DefinedTerms"/>
      </w:pPr>
      <w:r>
        <w:t>parliamentary purposes</w:t>
      </w:r>
      <w:r>
        <w:tab/>
        <w:t>6(11)</w:t>
      </w:r>
    </w:p>
    <w:p>
      <w:pPr>
        <w:pStyle w:val="DefinedTerms"/>
      </w:pPr>
      <w:r>
        <w:t>qualified contributor</w:t>
      </w:r>
      <w:r>
        <w:tab/>
        <w:t>Sch. 2 cl. 1</w:t>
      </w:r>
    </w:p>
    <w:p>
      <w:pPr>
        <w:pStyle w:val="DefinedTerms"/>
      </w:pPr>
      <w:r>
        <w:t>record</w:t>
      </w:r>
      <w:r>
        <w:tab/>
        <w:t>74(6)</w:t>
      </w:r>
    </w:p>
    <w:p>
      <w:pPr>
        <w:pStyle w:val="DefinedTerms"/>
      </w:pPr>
      <w:r>
        <w:t>repealed Act</w:t>
      </w:r>
      <w:r>
        <w:tab/>
        <w:t>3(1)</w:t>
      </w:r>
    </w:p>
    <w:p>
      <w:pPr>
        <w:pStyle w:val="DefinedTerms"/>
      </w:pPr>
      <w:r>
        <w:t>Royal Mint employee</w:t>
      </w:r>
      <w:r>
        <w:tab/>
        <w:t>Sch. 2 cl. 1</w:t>
      </w:r>
    </w:p>
    <w:p>
      <w:pPr>
        <w:pStyle w:val="DefinedTerms"/>
      </w:pPr>
      <w:r>
        <w:t>service</w:t>
      </w:r>
      <w:r>
        <w:tab/>
        <w:t>Sch. 2 cl. 1</w:t>
      </w:r>
    </w:p>
    <w:p>
      <w:pPr>
        <w:pStyle w:val="DefinedTerms"/>
      </w:pPr>
      <w:r>
        <w:t>specified</w:t>
      </w:r>
      <w:r>
        <w:tab/>
        <w:t>75(4)</w:t>
      </w:r>
    </w:p>
    <w:p>
      <w:pPr>
        <w:pStyle w:val="DefinedTerms"/>
      </w:pPr>
      <w:r>
        <w:t>statutory authority</w:t>
      </w:r>
      <w:r>
        <w:tab/>
        <w:t>3(1)</w:t>
      </w:r>
    </w:p>
    <w:p>
      <w:pPr>
        <w:pStyle w:val="DefinedTerms"/>
      </w:pPr>
      <w:r>
        <w:t>subsidiary</w:t>
      </w:r>
      <w:r>
        <w:tab/>
        <w:t>3(1)</w:t>
      </w:r>
    </w:p>
    <w:p>
      <w:pPr>
        <w:pStyle w:val="DefinedTerms"/>
      </w:pPr>
      <w:r>
        <w:t>the Account</w:t>
      </w:r>
      <w:r>
        <w:tab/>
        <w:t>3(1)</w:t>
      </w:r>
    </w:p>
    <w:p>
      <w:pPr>
        <w:pStyle w:val="DefinedTerms"/>
      </w:pPr>
      <w:r>
        <w:t>the Deputy Master</w:t>
      </w:r>
      <w:r>
        <w:tab/>
        <w:t>Sch. 2 cl. 1</w:t>
      </w:r>
    </w:p>
    <w:p>
      <w:pPr>
        <w:pStyle w:val="DefinedTerms"/>
      </w:pPr>
      <w:r>
        <w:t>The Director of The Perth Mint</w:t>
      </w:r>
      <w:r>
        <w:tab/>
        <w:t>3(1), Sch. 2 cl. 1</w:t>
      </w:r>
    </w:p>
    <w:p>
      <w:pPr>
        <w:pStyle w:val="DefinedTerms"/>
      </w:pPr>
      <w:r>
        <w:lastRenderedPageBreak/>
        <w:t>the Mint</w:t>
      </w:r>
      <w:r>
        <w:tab/>
        <w:t>47(5)</w:t>
      </w:r>
    </w:p>
    <w:p>
      <w:pPr>
        <w:pStyle w:val="DefinedTerms"/>
      </w:pPr>
      <w:r>
        <w:t>the Royal Mint</w:t>
      </w:r>
      <w:r>
        <w:tab/>
        <w:t>3(1), Sch. 2 cl. 1</w:t>
      </w:r>
    </w:p>
    <w:p>
      <w:pPr>
        <w:pStyle w:val="DefinedTerms"/>
      </w:pPr>
      <w:r>
        <w:t>to divulge</w:t>
      </w:r>
      <w:r>
        <w:tab/>
        <w:t>74(6)</w:t>
      </w:r>
    </w:p>
    <w:p>
      <w:pPr>
        <w:pStyle w:val="DefinedTerms"/>
      </w:pPr>
      <w:r>
        <w:t>to produce</w:t>
      </w:r>
      <w:r>
        <w:tab/>
        <w:t>74(6)</w:t>
      </w:r>
    </w:p>
    <w:p>
      <w:pPr>
        <w:pStyle w:val="DefinedTerms"/>
      </w:pPr>
      <w:r>
        <w:t>Treasurer</w:t>
      </w:r>
      <w:r>
        <w:tab/>
        <w:t>3(1)</w:t>
      </w:r>
    </w:p>
    <w:p>
      <w:pPr>
        <w:pStyle w:val="DefinedTerms"/>
      </w:pPr>
      <w:r>
        <w:t>Treasury</w:t>
      </w:r>
      <w:r>
        <w:tab/>
        <w:t>3(1)</w:t>
      </w:r>
    </w:p>
    <w:p>
      <w:pPr>
        <w:pStyle w:val="DefinedTerms"/>
      </w:pPr>
      <w:r>
        <w:t>unestablished person</w:t>
      </w:r>
      <w:r>
        <w:tab/>
        <w:t>Sch. 2 cl. 1</w:t>
      </w:r>
    </w:p>
    <w:p>
      <w:pPr>
        <w:pStyle w:val="DefinedTerms"/>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Gold Corporation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Gold Corporation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8457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5905C7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3AA8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B6C2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E67FC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5C1B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0ED7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3A9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45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3481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BDA1F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2084715"/>
    <w:docVar w:name="WAFER_20140123163828" w:val="RemoveTocBookmarks,RemoveUnusedBookmarks,RemoveLanguageTags,UsedStyles,ResetPageSize,UpdateArrangement"/>
    <w:docVar w:name="WAFER_20140123163828_GUID" w:val="dc752b73-898c-4e99-a4d0-a5afbba45597"/>
    <w:docVar w:name="WAFER_20140123163836" w:val="RemoveTocBookmarks,RunningHeaders"/>
    <w:docVar w:name="WAFER_20140123163836_GUID" w:val="ea68915b-2f18-4eda-a4bb-6a610ed4453d"/>
    <w:docVar w:name="WAFER_20140123163846" w:val="RemoveTocBookmarks,RunningHeaders"/>
    <w:docVar w:name="WAFER_20140123163846_GUID" w:val="4df73b9b-d191-4a72-a0b5-390104970533"/>
    <w:docVar w:name="WAFER_20150508162718" w:val="ResetPageSize,UpdateArrangement,UpdateNTable"/>
    <w:docVar w:name="WAFER_20150508162718_GUID" w:val="e198ec36-6c60-49ce-a43c-4447b25fd0d3"/>
    <w:docVar w:name="WAFER_20150508162943" w:val="ResetPageSize,UpdateArrangement,UpdateNTable"/>
    <w:docVar w:name="WAFER_20150508162943_GUID" w:val="f75a9cdf-56fd-44a1-9865-5e22d60dde9d"/>
    <w:docVar w:name="WAFER_20151105101032" w:val="UpdateStyles,UsedStyles"/>
    <w:docVar w:name="WAFER_20151105101032_GUID" w:val="b0eabbf3-231a-493b-bd85-427bd5a86395"/>
    <w:docVar w:name="WAFER_202002131439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916_GUID" w:val="86db5b3e-ed4f-459f-86dc-70a95adf31c3"/>
    <w:docVar w:name="WAFER_20230623093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093047_GUID" w:val="b3a138f6-9a4a-4c1a-9a17-865e4dfed2aa"/>
    <w:docVar w:name="WAFER_20230628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243_GUID" w:val="07283a51-a9d4-4bc8-bf63-b281d9eb2077"/>
    <w:docVar w:name="WAFER_20231222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36_GUID" w:val="9fd3a0fa-30bf-4871-8526-29e693d766d5"/>
    <w:docVar w:name="WAFER_20240622084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2084715_GUID" w:val="bef04644-24b0-4fb7-91b2-b1f36c5a59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AB0C731E-2989-47D7-9D0C-90A00804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20724</Words>
  <Characters>98444</Characters>
  <Application>Microsoft Office Word</Application>
  <DocSecurity>0</DocSecurity>
  <Lines>2590</Lines>
  <Paragraphs>1385</Paragraphs>
  <ScaleCrop>false</ScaleCrop>
  <HeadingPairs>
    <vt:vector size="2" baseType="variant">
      <vt:variant>
        <vt:lpstr>Title</vt:lpstr>
      </vt:variant>
      <vt:variant>
        <vt:i4>1</vt:i4>
      </vt:variant>
    </vt:vector>
  </HeadingPairs>
  <TitlesOfParts>
    <vt:vector size="1" baseType="lpstr">
      <vt:lpstr>Gold Corporation Act 1987</vt:lpstr>
    </vt:vector>
  </TitlesOfParts>
  <Manager/>
  <Company/>
  <LinksUpToDate>false</LinksUpToDate>
  <CharactersWithSpaces>117783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1987 - 05-a0-00</dc:title>
  <dc:subject/>
  <dc:creator/>
  <cp:keywords/>
  <dc:description/>
  <cp:lastModifiedBy>Master Repository Process</cp:lastModifiedBy>
  <cp:revision>4</cp:revision>
  <cp:lastPrinted>2024-10-07T01:45:00Z</cp:lastPrinted>
  <dcterms:created xsi:type="dcterms:W3CDTF">2025-07-02T05:13:00Z</dcterms:created>
  <dcterms:modified xsi:type="dcterms:W3CDTF">2025-07-02T05:13:00Z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DocumentType">
    <vt:lpwstr>Act</vt:lpwstr>
  </property>
  <property fmtid="{D5CDD505-2E9C-101B-9397-08002B2CF9AE}" pid="4" name="OwlsUID">
    <vt:i4>322</vt:i4>
  </property>
  <property fmtid="{D5CDD505-2E9C-101B-9397-08002B2CF9AE}" pid="5" name="ThisVersion">
    <vt:lpwstr>04-d0-00</vt:lpwstr>
  </property>
  <property fmtid="{D5CDD505-2E9C-101B-9397-08002B2CF9AE}" pid="6" name="AsAtDate">
    <vt:lpwstr>11 Oct 2024</vt:lpwstr>
  </property>
  <property fmtid="{D5CDD505-2E9C-101B-9397-08002B2CF9AE}" pid="7" name="Suffix">
    <vt:lpwstr>05-a0-00</vt:lpwstr>
  </property>
  <property fmtid="{D5CDD505-2E9C-101B-9397-08002B2CF9AE}" pid="8" name="Official">
    <vt:lpwstr/>
  </property>
  <property fmtid="{D5CDD505-2E9C-101B-9397-08002B2CF9AE}" pid="9" name="ReprintNo">
    <vt:lpwstr>5</vt:lpwstr>
  </property>
  <property fmtid="{D5CDD505-2E9C-101B-9397-08002B2CF9AE}" pid="10" name="ReprintedAsAt">
    <vt:filetime>2024-10-10T16:00:00Z</vt:filetime>
  </property>
  <property fmtid="{D5CDD505-2E9C-101B-9397-08002B2CF9AE}" pid="11" name="CommencementDate">
    <vt:lpwstr>20241011</vt:lpwstr>
  </property>
  <property fmtid="{D5CDD505-2E9C-101B-9397-08002B2CF9AE}" pid="12" name="CommencementAsAt">
    <vt:filetime>2024-10-10T16:00:00Z</vt:filetime>
  </property>
  <property fmtid="{D5CDD505-2E9C-101B-9397-08002B2CF9AE}" pid="13" name="CommencementYear">
    <vt:lpwstr>2024</vt:lpwstr>
  </property>
</Properties>
</file>