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National Regulations (Fees)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National Regulations (Fees) Amendment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_Toc179555323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_Toc179555324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Amendment provisions</w:t>
      </w:r>
      <w:r>
        <w:tab/>
      </w:r>
      <w:r>
        <w:fldChar w:fldCharType="begin"/>
      </w:r>
      <w:r>
        <w:instrText xml:space="preserve"> PAGEREF _Toc179555325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Amendment of </w:t>
      </w:r>
      <w:r>
        <w:rPr>
          <w:i/>
          <w:iCs/>
        </w:rPr>
        <w:t>Rail Safety National Law National Regulations 2012</w:t>
      </w:r>
    </w:p>
    <w:p>
      <w:pPr>
        <w:pStyle w:val="TOC8"/>
        <w:rPr>
          <w:rFonts w:asciiTheme="minorHAnsi" w:eastAsiaTheme="minorEastAsia" w:hAnsiTheme="minorHAnsi" w:cstheme="minorBidi"/>
          <w:szCs w:val="22"/>
        </w:rPr>
      </w:pPr>
      <w:r>
        <w:t>4</w:t>
      </w:r>
      <w:r>
        <w:rPr>
          <w:snapToGrid w:val="0"/>
        </w:rPr>
        <w:t>.</w:t>
      </w:r>
      <w:r>
        <w:rPr>
          <w:snapToGrid w:val="0"/>
        </w:rPr>
        <w:tab/>
        <w:t>Amendment of Schedule 3 — Fees</w:t>
      </w:r>
      <w:r>
        <w:tab/>
      </w:r>
      <w:r>
        <w:fldChar w:fldCharType="begin"/>
      </w:r>
      <w:r>
        <w:instrText xml:space="preserve"> PAGEREF _Toc179555327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Law National Regulations (Fees) Amendment Regulations 2024</w:t>
      </w:r>
    </w:p>
    <w:p>
      <w:pPr>
        <w:pStyle w:val="MadeBy"/>
        <w:rPr>
          <w:strike/>
        </w:rPr>
      </w:pPr>
      <w:r>
        <w:t>Made by the Governor of South Australia on the unanimous recommendation of the responsible Ministers and with the advice and consent of the Executive Council of that State on 27 June 2024.</w:t>
      </w:r>
    </w:p>
    <w:p>
      <w:pPr>
        <w:pStyle w:val="PermNoteHeading"/>
      </w:pPr>
      <w:r>
        <w:t xml:space="preserve">[Editorial note: </w:t>
      </w:r>
    </w:p>
    <w:p>
      <w:pPr>
        <w:pStyle w:val="PermNoteText"/>
        <w:tabs>
          <w:tab w:val="clear" w:pos="879"/>
          <w:tab w:val="left" w:pos="567"/>
        </w:tabs>
        <w:ind w:left="567" w:hanging="567"/>
      </w:pPr>
      <w:r>
        <w:tab/>
        <w:t xml:space="preserve">Regulations made under the </w:t>
      </w:r>
      <w:r>
        <w:rPr>
          <w:i/>
          <w:iCs/>
        </w:rPr>
        <w:t>Rail Safety National Law Act </w:t>
      </w:r>
      <w:r>
        <w:t xml:space="preserve">(WA) s. 264 are made by the Governor of South Australia (see SL 2024-61 published in SA </w:t>
      </w:r>
      <w:r>
        <w:rPr>
          <w:i/>
          <w:iCs/>
        </w:rPr>
        <w:t>Gazette</w:t>
      </w:r>
      <w:r>
        <w:t xml:space="preserve"> 27 June 2024 p. 1959).]</w:t>
      </w:r>
    </w:p>
    <w:p>
      <w:pPr>
        <w:pStyle w:val="Heading2"/>
        <w:pageBreakBefore w:val="0"/>
        <w:spacing w:before="360"/>
      </w:pPr>
      <w:bookmarkStart w:id="2" w:name="_Toc179555044"/>
      <w:bookmarkStart w:id="3" w:name="_Toc179555102"/>
      <w:bookmarkStart w:id="4" w:name="_Toc17955532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9555045"/>
      <w:bookmarkStart w:id="6" w:name="_Toc179555323"/>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Rail Safety National Law National Regulations (Fees) Amendment Regulations 2024</w:t>
      </w:r>
      <w:r>
        <w:t>.</w:t>
      </w:r>
    </w:p>
    <w:p>
      <w:pPr>
        <w:pStyle w:val="Heading5"/>
        <w:rPr>
          <w:spacing w:val="-2"/>
        </w:rPr>
      </w:pPr>
      <w:bookmarkStart w:id="8" w:name="_Toc179555046"/>
      <w:bookmarkStart w:id="9" w:name="_Toc179555324"/>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r>
      <w:r>
        <w:t xml:space="preserve">These </w:t>
      </w:r>
      <w:r>
        <w:rPr>
          <w:spacing w:val="-2"/>
        </w:rPr>
        <w:t>regulations come into operation on 1 July 2024.</w:t>
      </w:r>
    </w:p>
    <w:p>
      <w:pPr>
        <w:pStyle w:val="PermNoteHeading"/>
      </w:pPr>
      <w:r>
        <w:tab/>
        <w:t xml:space="preserve">[Editorial note: </w:t>
      </w:r>
    </w:p>
    <w:p>
      <w:pPr>
        <w:pStyle w:val="PermNoteText"/>
      </w:pPr>
      <w:r>
        <w:tab/>
      </w:r>
      <w:r>
        <w:tab/>
        <w:t xml:space="preserve">This Law is published as though it were made on the commencement day of the </w:t>
      </w:r>
      <w:r>
        <w:rPr>
          <w:i/>
          <w:iCs/>
        </w:rPr>
        <w:t>Rail Safety National Law (WA)</w:t>
      </w:r>
      <w:r>
        <w:t xml:space="preserve"> on 1 October 2024 (see </w:t>
      </w:r>
      <w:r>
        <w:rPr>
          <w:i/>
          <w:iCs/>
        </w:rPr>
        <w:t>Rail Safety National Law Application Act 2024</w:t>
      </w:r>
      <w:r>
        <w:t xml:space="preserve"> (WA) s. 2(b), 15(3) and SL 2024/193 cl. 2).]</w:t>
      </w:r>
    </w:p>
    <w:p>
      <w:pPr>
        <w:pStyle w:val="Heading5"/>
        <w:rPr>
          <w:snapToGrid w:val="0"/>
        </w:rPr>
      </w:pPr>
      <w:bookmarkStart w:id="10" w:name="_Toc179555047"/>
      <w:bookmarkStart w:id="11" w:name="_Toc179555325"/>
      <w:r>
        <w:rPr>
          <w:rStyle w:val="CharSectno"/>
        </w:rPr>
        <w:t>3</w:t>
      </w:r>
      <w:r>
        <w:rPr>
          <w:snapToGrid w:val="0"/>
        </w:rPr>
        <w:t>.</w:t>
      </w:r>
      <w:r>
        <w:rPr>
          <w:snapToGrid w:val="0"/>
        </w:rPr>
        <w:tab/>
        <w:t>Amendment provisions</w:t>
      </w:r>
      <w:bookmarkEnd w:id="10"/>
      <w:bookmarkEnd w:id="11"/>
    </w:p>
    <w:p>
      <w:pPr>
        <w:pStyle w:val="Subsection"/>
      </w:pPr>
      <w:r>
        <w:tab/>
      </w:r>
      <w:r>
        <w:tab/>
        <w:t>In these regulations, a provision under a heading referring to the amendment of specified regulations amends the regulations so specified.</w:t>
      </w:r>
    </w:p>
    <w:p>
      <w:pPr>
        <w:pStyle w:val="Heading2"/>
        <w:pageBreakBefore w:val="0"/>
        <w:spacing w:before="360"/>
      </w:pPr>
      <w:bookmarkStart w:id="12" w:name="_Toc179555048"/>
      <w:bookmarkStart w:id="13" w:name="_Toc179555106"/>
      <w:bookmarkStart w:id="14" w:name="_Toc179555326"/>
      <w:r>
        <w:rPr>
          <w:rStyle w:val="CharPartNo"/>
        </w:rPr>
        <w:lastRenderedPageBreak/>
        <w:t>Part 2</w:t>
      </w:r>
      <w:r>
        <w:rPr>
          <w:rStyle w:val="CharDivNo"/>
        </w:rPr>
        <w:t> </w:t>
      </w:r>
      <w:r>
        <w:t>—</w:t>
      </w:r>
      <w:r>
        <w:rPr>
          <w:rStyle w:val="CharDivText"/>
        </w:rPr>
        <w:t> </w:t>
      </w:r>
      <w:r>
        <w:rPr>
          <w:rStyle w:val="CharPartText"/>
        </w:rPr>
        <w:t xml:space="preserve">Amendment of </w:t>
      </w:r>
      <w:r>
        <w:rPr>
          <w:rStyle w:val="CharPartText"/>
          <w:i/>
          <w:iCs/>
        </w:rPr>
        <w:t>Rail Safety National Law National Regulations 2012</w:t>
      </w:r>
      <w:bookmarkEnd w:id="12"/>
      <w:bookmarkEnd w:id="13"/>
      <w:bookmarkEnd w:id="14"/>
    </w:p>
    <w:p>
      <w:pPr>
        <w:pStyle w:val="Heading5"/>
        <w:rPr>
          <w:snapToGrid w:val="0"/>
        </w:rPr>
      </w:pPr>
      <w:bookmarkStart w:id="15" w:name="_Toc179555049"/>
      <w:bookmarkStart w:id="16" w:name="_Toc179555327"/>
      <w:r>
        <w:rPr>
          <w:rStyle w:val="CharSectno"/>
        </w:rPr>
        <w:t>4</w:t>
      </w:r>
      <w:r>
        <w:rPr>
          <w:snapToGrid w:val="0"/>
        </w:rPr>
        <w:t>.</w:t>
      </w:r>
      <w:r>
        <w:rPr>
          <w:snapToGrid w:val="0"/>
        </w:rPr>
        <w:tab/>
        <w:t>Amendment of Schedule 3 — Fees</w:t>
      </w:r>
      <w:bookmarkEnd w:id="15"/>
      <w:bookmarkEnd w:id="16"/>
    </w:p>
    <w:p>
      <w:pPr>
        <w:pStyle w:val="Subsection"/>
        <w:rPr>
          <w:color w:val="000000"/>
          <w:sz w:val="23"/>
          <w:szCs w:val="23"/>
        </w:rPr>
      </w:pPr>
      <w:r>
        <w:tab/>
        <w:t>(1)</w:t>
      </w:r>
      <w:r>
        <w:tab/>
      </w:r>
      <w:r>
        <w:rPr>
          <w:color w:val="000000"/>
          <w:sz w:val="23"/>
          <w:szCs w:val="23"/>
        </w:rPr>
        <w:t>Schedule 3, Part 1, table, item 1A—delete “$84 555” and substitute:</w:t>
      </w:r>
    </w:p>
    <w:p>
      <w:pPr>
        <w:pStyle w:val="BlankOpen"/>
        <w:rPr>
          <w:sz w:val="22"/>
          <w:szCs w:val="22"/>
        </w:rPr>
      </w:pPr>
    </w:p>
    <w:p>
      <w:pPr>
        <w:pStyle w:val="Subsection"/>
      </w:pPr>
      <w:r>
        <w:tab/>
      </w:r>
      <w:r>
        <w:tab/>
      </w:r>
      <w:r>
        <w:rPr>
          <w:color w:val="000000"/>
          <w:sz w:val="23"/>
          <w:szCs w:val="23"/>
        </w:rPr>
        <w:t>$93 755</w:t>
      </w:r>
    </w:p>
    <w:p>
      <w:pPr>
        <w:pStyle w:val="BlankClose"/>
        <w:rPr>
          <w:sz w:val="22"/>
          <w:szCs w:val="22"/>
        </w:rPr>
      </w:pPr>
    </w:p>
    <w:p>
      <w:pPr>
        <w:pStyle w:val="Subsection"/>
      </w:pPr>
      <w:r>
        <w:tab/>
        <w:t>(2)</w:t>
      </w:r>
      <w:r>
        <w:tab/>
        <w:t>Schedule 3, Part 2, clause 1(1), table — delete the table in clause 1(1) and substitute:</w:t>
      </w:r>
    </w:p>
    <w:p>
      <w:pPr>
        <w:pStyle w:val="BlankOpen"/>
        <w:rPr>
          <w:sz w:val="22"/>
          <w:szCs w:val="22"/>
        </w:rPr>
      </w:pPr>
    </w:p>
    <w:tbl>
      <w:tblPr>
        <w:tblW w:w="6941" w:type="dxa"/>
        <w:tblInd w:w="137" w:type="dxa"/>
        <w:tblLayout w:type="fixed"/>
        <w:tblCellMar>
          <w:left w:w="60" w:type="dxa"/>
          <w:right w:w="60" w:type="dxa"/>
        </w:tblCellMar>
        <w:tblLook w:val="0000" w:firstRow="0" w:lastRow="0" w:firstColumn="0" w:lastColumn="0" w:noHBand="0" w:noVBand="0"/>
      </w:tblPr>
      <w:tblGrid>
        <w:gridCol w:w="1559"/>
        <w:gridCol w:w="705"/>
        <w:gridCol w:w="647"/>
        <w:gridCol w:w="615"/>
        <w:gridCol w:w="705"/>
        <w:gridCol w:w="665"/>
        <w:gridCol w:w="665"/>
        <w:gridCol w:w="702"/>
        <w:gridCol w:w="678"/>
      </w:tblGrid>
      <w:tr>
        <w:trPr>
          <w:cantSplit/>
          <w:tblHeader/>
        </w:trPr>
        <w:tc>
          <w:tcPr>
            <w:tcW w:w="1559" w:type="dxa"/>
            <w:tcBorders>
              <w:top w:val="single" w:sz="4" w:space="0" w:color="auto"/>
              <w:left w:val="single" w:sz="4" w:space="0" w:color="auto"/>
              <w:bottom w:val="single" w:sz="4" w:space="0" w:color="auto"/>
              <w:right w:val="single" w:sz="4" w:space="0" w:color="auto"/>
            </w:tcBorders>
            <w:vAlign w:val="center"/>
          </w:tcPr>
          <w:p>
            <w:pPr>
              <w:pStyle w:val="TableAm"/>
              <w:rPr>
                <w:sz w:val="20"/>
              </w:rPr>
            </w:pPr>
          </w:p>
        </w:tc>
        <w:tc>
          <w:tcPr>
            <w:tcW w:w="705" w:type="dxa"/>
            <w:tcBorders>
              <w:top w:val="single" w:sz="4" w:space="0" w:color="auto"/>
              <w:left w:val="nil"/>
              <w:bottom w:val="single" w:sz="4" w:space="0" w:color="auto"/>
              <w:right w:val="single" w:sz="4" w:space="0" w:color="auto"/>
            </w:tcBorders>
            <w:vAlign w:val="center"/>
          </w:tcPr>
          <w:p>
            <w:pPr>
              <w:pStyle w:val="TableAm"/>
              <w:rPr>
                <w:sz w:val="20"/>
              </w:rPr>
            </w:pPr>
            <w:r>
              <w:rPr>
                <w:sz w:val="20"/>
              </w:rPr>
              <w:t>ACT</w:t>
            </w:r>
          </w:p>
        </w:tc>
        <w:tc>
          <w:tcPr>
            <w:tcW w:w="647" w:type="dxa"/>
            <w:tcBorders>
              <w:top w:val="single" w:sz="4" w:space="0" w:color="auto"/>
              <w:left w:val="nil"/>
              <w:bottom w:val="single" w:sz="4" w:space="0" w:color="auto"/>
              <w:right w:val="single" w:sz="4" w:space="0" w:color="auto"/>
            </w:tcBorders>
            <w:vAlign w:val="center"/>
          </w:tcPr>
          <w:p>
            <w:pPr>
              <w:pStyle w:val="TableAm"/>
              <w:rPr>
                <w:sz w:val="20"/>
              </w:rPr>
            </w:pPr>
            <w:r>
              <w:rPr>
                <w:sz w:val="20"/>
              </w:rPr>
              <w:t>NSW</w:t>
            </w:r>
          </w:p>
        </w:tc>
        <w:tc>
          <w:tcPr>
            <w:tcW w:w="615" w:type="dxa"/>
            <w:tcBorders>
              <w:top w:val="single" w:sz="4" w:space="0" w:color="auto"/>
              <w:left w:val="nil"/>
              <w:bottom w:val="single" w:sz="4" w:space="0" w:color="auto"/>
              <w:right w:val="single" w:sz="4" w:space="0" w:color="auto"/>
            </w:tcBorders>
            <w:vAlign w:val="center"/>
          </w:tcPr>
          <w:p>
            <w:pPr>
              <w:pStyle w:val="TableAm"/>
              <w:rPr>
                <w:sz w:val="20"/>
              </w:rPr>
            </w:pPr>
            <w:r>
              <w:rPr>
                <w:sz w:val="20"/>
              </w:rPr>
              <w:t>NT</w:t>
            </w:r>
          </w:p>
        </w:tc>
        <w:tc>
          <w:tcPr>
            <w:tcW w:w="705" w:type="dxa"/>
            <w:tcBorders>
              <w:top w:val="single" w:sz="4" w:space="0" w:color="auto"/>
              <w:left w:val="nil"/>
              <w:bottom w:val="single" w:sz="4" w:space="0" w:color="auto"/>
              <w:right w:val="single" w:sz="4" w:space="0" w:color="auto"/>
            </w:tcBorders>
            <w:vAlign w:val="center"/>
          </w:tcPr>
          <w:p>
            <w:pPr>
              <w:pStyle w:val="TableAm"/>
              <w:rPr>
                <w:sz w:val="20"/>
              </w:rPr>
            </w:pPr>
            <w:r>
              <w:rPr>
                <w:sz w:val="20"/>
              </w:rPr>
              <w:t>QLD</w:t>
            </w:r>
          </w:p>
        </w:tc>
        <w:tc>
          <w:tcPr>
            <w:tcW w:w="665" w:type="dxa"/>
            <w:tcBorders>
              <w:top w:val="single" w:sz="4" w:space="0" w:color="auto"/>
              <w:left w:val="nil"/>
              <w:bottom w:val="single" w:sz="4" w:space="0" w:color="auto"/>
              <w:right w:val="single" w:sz="4" w:space="0" w:color="auto"/>
            </w:tcBorders>
            <w:vAlign w:val="center"/>
          </w:tcPr>
          <w:p>
            <w:pPr>
              <w:pStyle w:val="TableAm"/>
              <w:rPr>
                <w:sz w:val="20"/>
              </w:rPr>
            </w:pPr>
            <w:r>
              <w:rPr>
                <w:sz w:val="20"/>
              </w:rPr>
              <w:t>SA</w:t>
            </w:r>
          </w:p>
        </w:tc>
        <w:tc>
          <w:tcPr>
            <w:tcW w:w="665" w:type="dxa"/>
            <w:tcBorders>
              <w:top w:val="single" w:sz="4" w:space="0" w:color="auto"/>
              <w:left w:val="nil"/>
              <w:bottom w:val="single" w:sz="4" w:space="0" w:color="auto"/>
              <w:right w:val="single" w:sz="4" w:space="0" w:color="auto"/>
            </w:tcBorders>
            <w:vAlign w:val="center"/>
          </w:tcPr>
          <w:p>
            <w:pPr>
              <w:pStyle w:val="TableAm"/>
              <w:rPr>
                <w:sz w:val="20"/>
              </w:rPr>
            </w:pPr>
            <w:r>
              <w:rPr>
                <w:sz w:val="20"/>
              </w:rPr>
              <w:t>TAS</w:t>
            </w:r>
          </w:p>
        </w:tc>
        <w:tc>
          <w:tcPr>
            <w:tcW w:w="702" w:type="dxa"/>
            <w:tcBorders>
              <w:top w:val="single" w:sz="4" w:space="0" w:color="auto"/>
              <w:left w:val="nil"/>
              <w:bottom w:val="single" w:sz="4" w:space="0" w:color="auto"/>
              <w:right w:val="single" w:sz="4" w:space="0" w:color="auto"/>
            </w:tcBorders>
            <w:vAlign w:val="center"/>
          </w:tcPr>
          <w:p>
            <w:pPr>
              <w:pStyle w:val="TableAm"/>
              <w:rPr>
                <w:sz w:val="20"/>
              </w:rPr>
            </w:pPr>
            <w:r>
              <w:rPr>
                <w:sz w:val="20"/>
              </w:rPr>
              <w:t>VIC</w:t>
            </w:r>
          </w:p>
        </w:tc>
        <w:tc>
          <w:tcPr>
            <w:tcW w:w="678" w:type="dxa"/>
            <w:tcBorders>
              <w:top w:val="single" w:sz="4" w:space="0" w:color="auto"/>
              <w:left w:val="nil"/>
              <w:bottom w:val="single" w:sz="4" w:space="0" w:color="auto"/>
              <w:right w:val="single" w:sz="4" w:space="0" w:color="auto"/>
            </w:tcBorders>
            <w:vAlign w:val="center"/>
          </w:tcPr>
          <w:p>
            <w:pPr>
              <w:pStyle w:val="TableAm"/>
              <w:rPr>
                <w:sz w:val="20"/>
              </w:rPr>
            </w:pPr>
            <w:r>
              <w:rPr>
                <w:sz w:val="20"/>
              </w:rPr>
              <w:t>WA</w:t>
            </w:r>
          </w:p>
        </w:tc>
      </w:tr>
      <w:tr>
        <w:tc>
          <w:tcPr>
            <w:tcW w:w="1559" w:type="dxa"/>
            <w:tcBorders>
              <w:top w:val="single" w:sz="4" w:space="0" w:color="auto"/>
              <w:left w:val="single" w:sz="4" w:space="0" w:color="auto"/>
              <w:bottom w:val="single" w:sz="4" w:space="0" w:color="auto"/>
              <w:right w:val="single" w:sz="4" w:space="0" w:color="auto"/>
            </w:tcBorders>
            <w:vAlign w:val="center"/>
          </w:tcPr>
          <w:p>
            <w:pPr>
              <w:pStyle w:val="TableAm"/>
              <w:rPr>
                <w:sz w:val="18"/>
                <w:szCs w:val="18"/>
              </w:rPr>
            </w:pPr>
            <w:r>
              <w:rPr>
                <w:sz w:val="18"/>
                <w:szCs w:val="18"/>
              </w:rPr>
              <w:t>Rate per kilometre of track managed by a rail infrastructure manager ($/km) </w:t>
            </w:r>
            <w:r>
              <w:rPr>
                <w:sz w:val="18"/>
                <w:szCs w:val="18"/>
              </w:rPr>
              <w:br/>
              <w:t>(</w:t>
            </w:r>
            <w:r>
              <w:rPr>
                <w:b/>
                <w:bCs/>
                <w:i/>
                <w:iCs/>
                <w:sz w:val="18"/>
                <w:szCs w:val="18"/>
              </w:rPr>
              <w:t>R</w:t>
            </w:r>
            <w:r>
              <w:rPr>
                <w:i/>
                <w:iCs/>
                <w:position w:val="-8"/>
                <w:sz w:val="18"/>
                <w:szCs w:val="18"/>
                <w:vertAlign w:val="superscript"/>
              </w:rPr>
              <w:t>T</w:t>
            </w:r>
            <w:r>
              <w:rPr>
                <w:sz w:val="18"/>
                <w:szCs w:val="18"/>
              </w:rPr>
              <w:t>)</w:t>
            </w:r>
          </w:p>
        </w:tc>
        <w:tc>
          <w:tcPr>
            <w:tcW w:w="70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289.08</w:t>
            </w:r>
          </w:p>
        </w:tc>
        <w:tc>
          <w:tcPr>
            <w:tcW w:w="647"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289.08</w:t>
            </w:r>
          </w:p>
        </w:tc>
        <w:tc>
          <w:tcPr>
            <w:tcW w:w="61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80.73</w:t>
            </w:r>
          </w:p>
        </w:tc>
        <w:tc>
          <w:tcPr>
            <w:tcW w:w="70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152.31</w:t>
            </w:r>
          </w:p>
        </w:tc>
        <w:tc>
          <w:tcPr>
            <w:tcW w:w="66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141.24</w:t>
            </w:r>
          </w:p>
        </w:tc>
        <w:tc>
          <w:tcPr>
            <w:tcW w:w="66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141.61</w:t>
            </w:r>
          </w:p>
        </w:tc>
        <w:tc>
          <w:tcPr>
            <w:tcW w:w="702"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272.23</w:t>
            </w:r>
          </w:p>
        </w:tc>
        <w:tc>
          <w:tcPr>
            <w:tcW w:w="678"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100.03</w:t>
            </w:r>
          </w:p>
        </w:tc>
      </w:tr>
      <w:tr>
        <w:trPr>
          <w:cantSplit/>
        </w:trPr>
        <w:tc>
          <w:tcPr>
            <w:tcW w:w="1559" w:type="dxa"/>
            <w:tcBorders>
              <w:top w:val="single" w:sz="4" w:space="0" w:color="auto"/>
              <w:left w:val="single" w:sz="4" w:space="0" w:color="auto"/>
              <w:bottom w:val="single" w:sz="4" w:space="0" w:color="auto"/>
              <w:right w:val="single" w:sz="4" w:space="0" w:color="auto"/>
            </w:tcBorders>
            <w:vAlign w:val="center"/>
          </w:tcPr>
          <w:p>
            <w:pPr>
              <w:pStyle w:val="TableAm"/>
              <w:rPr>
                <w:sz w:val="18"/>
                <w:szCs w:val="18"/>
              </w:rPr>
            </w:pPr>
            <w:r>
              <w:rPr>
                <w:sz w:val="18"/>
                <w:szCs w:val="18"/>
              </w:rPr>
              <w:t>Rate per kilometre travelled by trains of a rolling stock operator ($/km) (</w:t>
            </w:r>
            <w:r>
              <w:rPr>
                <w:b/>
                <w:bCs/>
                <w:i/>
                <w:iCs/>
                <w:sz w:val="18"/>
                <w:szCs w:val="18"/>
              </w:rPr>
              <w:t>R</w:t>
            </w:r>
            <w:r>
              <w:rPr>
                <w:i/>
                <w:iCs/>
                <w:position w:val="-8"/>
                <w:sz w:val="18"/>
                <w:szCs w:val="18"/>
                <w:vertAlign w:val="superscript"/>
              </w:rPr>
              <w:t>t</w:t>
            </w:r>
            <w:r>
              <w:rPr>
                <w:sz w:val="18"/>
                <w:szCs w:val="18"/>
              </w:rPr>
              <w:t>)</w:t>
            </w:r>
          </w:p>
        </w:tc>
        <w:tc>
          <w:tcPr>
            <w:tcW w:w="70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0.120</w:t>
            </w:r>
          </w:p>
        </w:tc>
        <w:tc>
          <w:tcPr>
            <w:tcW w:w="647"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0.120</w:t>
            </w:r>
          </w:p>
        </w:tc>
        <w:tc>
          <w:tcPr>
            <w:tcW w:w="61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0.259</w:t>
            </w:r>
          </w:p>
        </w:tc>
        <w:tc>
          <w:tcPr>
            <w:tcW w:w="70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0.092</w:t>
            </w:r>
          </w:p>
        </w:tc>
        <w:tc>
          <w:tcPr>
            <w:tcW w:w="66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0.111</w:t>
            </w:r>
          </w:p>
        </w:tc>
        <w:tc>
          <w:tcPr>
            <w:tcW w:w="665"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0.376</w:t>
            </w:r>
          </w:p>
        </w:tc>
        <w:tc>
          <w:tcPr>
            <w:tcW w:w="702"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0.062</w:t>
            </w:r>
          </w:p>
        </w:tc>
        <w:tc>
          <w:tcPr>
            <w:tcW w:w="678" w:type="dxa"/>
            <w:tcBorders>
              <w:top w:val="single" w:sz="4" w:space="0" w:color="auto"/>
              <w:left w:val="nil"/>
              <w:bottom w:val="single" w:sz="4" w:space="0" w:color="auto"/>
              <w:right w:val="single" w:sz="4" w:space="0" w:color="auto"/>
            </w:tcBorders>
            <w:vAlign w:val="center"/>
          </w:tcPr>
          <w:p>
            <w:pPr>
              <w:pStyle w:val="TableAm"/>
              <w:rPr>
                <w:sz w:val="18"/>
                <w:szCs w:val="18"/>
              </w:rPr>
            </w:pPr>
            <w:r>
              <w:rPr>
                <w:sz w:val="18"/>
                <w:szCs w:val="18"/>
              </w:rPr>
              <w:t>0.062</w:t>
            </w:r>
          </w:p>
        </w:tc>
      </w:tr>
    </w:tbl>
    <w:p>
      <w:pPr>
        <w:pStyle w:val="BlankClose"/>
        <w:rPr>
          <w:sz w:val="20"/>
          <w:szCs w:val="20"/>
        </w:rPr>
      </w:pPr>
    </w:p>
    <w:p>
      <w:pPr>
        <w:pStyle w:val="Subsection"/>
        <w:keepNext/>
        <w:rPr>
          <w:color w:val="000000"/>
          <w:sz w:val="23"/>
          <w:szCs w:val="23"/>
        </w:rPr>
      </w:pPr>
      <w:r>
        <w:tab/>
        <w:t>(3)</w:t>
      </w:r>
      <w:r>
        <w:tab/>
      </w:r>
      <w:r>
        <w:rPr>
          <w:color w:val="000000"/>
          <w:sz w:val="23"/>
          <w:szCs w:val="23"/>
        </w:rPr>
        <w:t>Schedule 3, Part 2, clause 1(1a)(a) to (c) — delete paragraphs (a) to (c) (inclusive) and substitute:</w:t>
      </w:r>
    </w:p>
    <w:p>
      <w:pPr>
        <w:pStyle w:val="BlankOpen"/>
        <w:rPr>
          <w:sz w:val="20"/>
          <w:szCs w:val="20"/>
        </w:rPr>
      </w:pPr>
    </w:p>
    <w:p>
      <w:pPr>
        <w:pStyle w:val="zIndenta"/>
        <w:keepNext/>
      </w:pPr>
      <w:r>
        <w:tab/>
        <w:t>(a)</w:t>
      </w:r>
      <w:r>
        <w:tab/>
      </w:r>
      <w:r>
        <w:rPr>
          <w:color w:val="000000"/>
          <w:sz w:val="23"/>
          <w:szCs w:val="23"/>
        </w:rPr>
        <w:t>$232 043;</w:t>
      </w:r>
    </w:p>
    <w:p>
      <w:pPr>
        <w:pStyle w:val="zIndenta"/>
        <w:keepNext/>
        <w:rPr>
          <w:color w:val="000000"/>
          <w:sz w:val="23"/>
          <w:szCs w:val="23"/>
        </w:rPr>
      </w:pPr>
      <w:r>
        <w:tab/>
        <w:t>(b)</w:t>
      </w:r>
      <w:r>
        <w:tab/>
      </w:r>
      <w:r>
        <w:rPr>
          <w:color w:val="000000"/>
          <w:sz w:val="23"/>
          <w:szCs w:val="23"/>
        </w:rPr>
        <w:t>$164 070;</w:t>
      </w:r>
    </w:p>
    <w:p>
      <w:pPr>
        <w:pStyle w:val="zIndenta"/>
        <w:keepNext/>
      </w:pPr>
      <w:r>
        <w:rPr>
          <w:color w:val="000000"/>
          <w:sz w:val="23"/>
          <w:szCs w:val="23"/>
        </w:rPr>
        <w:tab/>
        <w:t>(c)</w:t>
      </w:r>
      <w:r>
        <w:rPr>
          <w:color w:val="000000"/>
          <w:sz w:val="23"/>
          <w:szCs w:val="23"/>
        </w:rPr>
        <w:tab/>
        <w:t>$108 989.</w:t>
      </w:r>
    </w:p>
    <w:p>
      <w:pPr>
        <w:pStyle w:val="BlankClose"/>
        <w:keepNext/>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353D6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003372" w14:textId="52175476" w:rsidR="00AB4070" w:rsidRDefault="00AB40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3FB2">
                        <w:rPr>
                          <w:sz w:val="16"/>
                        </w:rPr>
                        <w:t>2024</w:t>
                      </w:r>
                      <w:r>
                        <w:rPr>
                          <w:sz w:val="16"/>
                        </w:rPr>
                        <w:fldChar w:fldCharType="end"/>
                      </w:r>
                      <w:r>
                        <w:rPr>
                          <w:sz w:val="16"/>
                        </w:rPr>
                        <w:t>.</w:t>
                      </w:r>
                    </w:p>
                    <w:p w14:paraId="75C28FE0" w14:textId="77777777" w:rsidR="00AB4070" w:rsidRDefault="00AB40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168121" w14:textId="588D58DD" w:rsidR="00AB4070" w:rsidRDefault="00AB40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3FB2">
                        <w:rPr>
                          <w:sz w:val="16"/>
                        </w:rPr>
                        <w:t>2024</w:t>
                      </w:r>
                      <w:r>
                        <w:rPr>
                          <w:sz w:val="16"/>
                        </w:rPr>
                        <w:fldChar w:fldCharType="end"/>
                      </w:r>
                      <w:r>
                        <w:rPr>
                          <w:sz w:val="16"/>
                        </w:rPr>
                        <w:t>.</w:t>
                      </w:r>
                    </w:p>
                    <w:p w14:paraId="2E64B976" w14:textId="77777777" w:rsidR="00AB4070" w:rsidRDefault="00AB407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2024/207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Oct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Oct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Oct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2024/207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Oct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Oct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14 Oct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cantSplit/>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2024</w:t>
          </w:r>
          <w:r>
            <w:rPr>
              <w:b/>
              <w:i/>
            </w:rPr>
            <w:fldChar w:fldCharType="end"/>
          </w:r>
        </w:p>
      </w:tc>
    </w:tr>
    <w:tr>
      <w:trPr>
        <w:gridAfter w:val="1"/>
        <w:wAfter w:w="175"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540"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National Regulations (Fees)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116032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011160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11160320_GUID" w:val="8def00b0-f5b8-41fb-bed7-cf9537e7b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1F89A4C5-CC1E-476B-97F6-F777B433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2444</Characters>
  <Application>Microsoft Office Word</Application>
  <DocSecurity>0</DocSecurity>
  <Lines>135</Lines>
  <Paragraphs>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National Regulations (Fees) Amendment Regulations 2024 - 00-00-00</dc:title>
  <dc:subject/>
  <dc:creator/>
  <cp:keywords/>
  <dc:description/>
  <cp:lastModifiedBy>Master Repository Process</cp:lastModifiedBy>
  <cp:revision>4</cp:revision>
  <cp:lastPrinted>2021-03-14T07:59:00Z</cp:lastPrinted>
  <dcterms:created xsi:type="dcterms:W3CDTF">2025-05-29T03:58:00Z</dcterms:created>
  <dcterms:modified xsi:type="dcterms:W3CDTF">2025-05-29T03:58:00Z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55137</vt:lpwstr>
  </property>
  <property fmtid="{D5CDD505-2E9C-101B-9397-08002B2CF9AE}" pid="3" name="DocumentType">
    <vt:lpwstr>Reg</vt:lpwstr>
  </property>
  <property fmtid="{D5CDD505-2E9C-101B-9397-08002B2CF9AE}" pid="4" name="AsAtDate">
    <vt:lpwstr>14 Oct 2024</vt:lpwstr>
  </property>
  <property fmtid="{D5CDD505-2E9C-101B-9397-08002B2CF9AE}" pid="5" name="Suffix">
    <vt:lpwstr>00-00-00</vt:lpwstr>
  </property>
  <property fmtid="{D5CDD505-2E9C-101B-9397-08002B2CF9AE}" pid="6" name="Official">
    <vt:lpwstr/>
  </property>
  <property fmtid="{D5CDD505-2E9C-101B-9397-08002B2CF9AE}" pid="7" name="SLAPId">
    <vt:lpwstr>2024/207</vt:lpwstr>
  </property>
  <property fmtid="{D5CDD505-2E9C-101B-9397-08002B2CF9AE}" pid="8" name="PublishDate">
    <vt:lpwstr>14 Oct 2024</vt:lpwstr>
  </property>
  <property fmtid="{D5CDD505-2E9C-101B-9397-08002B2CF9AE}" pid="9" name="CommencementDate">
    <vt:lpwstr>20241014</vt:lpwstr>
  </property>
  <property fmtid="{D5CDD505-2E9C-101B-9397-08002B2CF9AE}" pid="10" name="CommencementAsAt">
    <vt:filetime>2024-10-13T16:00:00Z</vt:filetime>
  </property>
  <property fmtid="{D5CDD505-2E9C-101B-9397-08002B2CF9AE}" pid="11" name="CommencementYear">
    <vt:lpwstr>2024</vt:lpwstr>
  </property>
</Properties>
</file>