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Betting Control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Betting Control Regulations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_Toc179460498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_Toc179460499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_Toc179460500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_Toc179460502 \h </w:instrText>
      </w:r>
      <w:r>
        <w:fldChar w:fldCharType="separate"/>
      </w:r>
      <w:r>
        <w:t>6</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_Toc179460503 \h </w:instrText>
      </w:r>
      <w:r>
        <w:fldChar w:fldCharType="separate"/>
      </w:r>
      <w:r>
        <w:t>6</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_Toc179460504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_Toc179460505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_Toc179460506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_Toc179460507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_Toc179460508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_Toc179460509 \h </w:instrText>
      </w:r>
      <w:r>
        <w:fldChar w:fldCharType="separate"/>
      </w:r>
      <w:r>
        <w:t>10</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_Toc179460510 \h </w:instrText>
      </w:r>
      <w:r>
        <w:fldChar w:fldCharType="separate"/>
      </w:r>
      <w:r>
        <w:t>12</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_Toc179460511 \h </w:instrText>
      </w:r>
      <w:r>
        <w:fldChar w:fldCharType="separate"/>
      </w:r>
      <w:r>
        <w:t>13</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_Toc179460512 \h </w:instrText>
      </w:r>
      <w:r>
        <w:fldChar w:fldCharType="separate"/>
      </w:r>
      <w:r>
        <w:t>14</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_Toc179460513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_Toc179460515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_Toc179460516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_Toc179460517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_Toc179460518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licence</w:t>
      </w:r>
      <w:r>
        <w:tab/>
      </w:r>
      <w:r>
        <w:fldChar w:fldCharType="begin"/>
      </w:r>
      <w:r>
        <w:instrText xml:space="preserve"> PAGEREF _Toc179460519 \h </w:instrText>
      </w:r>
      <w:r>
        <w:fldChar w:fldCharType="separate"/>
      </w:r>
      <w:r>
        <w:t>19</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Advertising</w:t>
      </w:r>
      <w:r>
        <w:tab/>
      </w:r>
      <w:r>
        <w:fldChar w:fldCharType="begin"/>
      </w:r>
      <w:r>
        <w:instrText xml:space="preserve"> PAGEREF _Toc179460520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_Toc179460521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_Toc179460522 \h </w:instrText>
      </w:r>
      <w:r>
        <w:fldChar w:fldCharType="separate"/>
      </w:r>
      <w:r>
        <w:t>21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_Toc179460523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_Toc179460524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_Toc179460525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_Toc179460526 \h </w:instrText>
      </w:r>
      <w:r>
        <w:fldChar w:fldCharType="separate"/>
      </w:r>
      <w:r>
        <w:t>25</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_Toc179460527 \h </w:instrText>
      </w:r>
      <w:r>
        <w:fldChar w:fldCharType="separate"/>
      </w:r>
      <w:r>
        <w:t>25</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_Toc179460528 \h </w:instrText>
      </w:r>
      <w:r>
        <w:fldChar w:fldCharType="separate"/>
      </w:r>
      <w:r>
        <w:t>25</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_Toc179460529 \h </w:instrText>
      </w:r>
      <w:r>
        <w:fldChar w:fldCharType="separate"/>
      </w:r>
      <w:r>
        <w:t>26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_Toc179460530 \h </w:instrText>
      </w:r>
      <w:r>
        <w:fldChar w:fldCharType="separate"/>
      </w:r>
      <w:r>
        <w:t>26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_Toc179460531 \h </w:instrText>
      </w:r>
      <w:r>
        <w:fldChar w:fldCharType="separate"/>
      </w:r>
      <w:r>
        <w:t>27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_Toc179460532 \h </w:instrText>
      </w:r>
      <w:r>
        <w:fldChar w:fldCharType="separate"/>
      </w:r>
      <w:r>
        <w:t>27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_Toc179460533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_Toc179460534 \h </w:instrText>
      </w:r>
      <w:r>
        <w:fldChar w:fldCharType="separate"/>
      </w:r>
      <w:r>
        <w:t>28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_Toc179460535 \h </w:instrText>
      </w:r>
      <w:r>
        <w:fldChar w:fldCharType="separate"/>
      </w:r>
      <w:r>
        <w:t>28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_Toc179460536 \h </w:instrText>
      </w:r>
      <w:r>
        <w:fldChar w:fldCharType="separate"/>
      </w:r>
      <w:r>
        <w:t>28</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_Toc179460537 \h </w:instrText>
      </w:r>
      <w:r>
        <w:fldChar w:fldCharType="separate"/>
      </w:r>
      <w:r>
        <w:t>29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_Toc179460538 \h </w:instrText>
      </w:r>
      <w:r>
        <w:fldChar w:fldCharType="separate"/>
      </w:r>
      <w:r>
        <w:t>29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_Toc179460539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_Toc179460540 \h </w:instrText>
      </w:r>
      <w:r>
        <w:fldChar w:fldCharType="separate"/>
      </w:r>
      <w:r>
        <w:t>31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_Toc179460541 \h </w:instrText>
      </w:r>
      <w:r>
        <w:fldChar w:fldCharType="separate"/>
      </w:r>
      <w:r>
        <w:t>31</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_Toc179460542 \h </w:instrText>
      </w:r>
      <w:r>
        <w:fldChar w:fldCharType="separate"/>
      </w:r>
      <w:r>
        <w:t>33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_Toc179460543 \h </w:instrText>
      </w:r>
      <w:r>
        <w:fldChar w:fldCharType="separate"/>
      </w:r>
      <w:r>
        <w:t>33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approved events</w:t>
      </w:r>
      <w:r>
        <w:tab/>
      </w:r>
      <w:r>
        <w:fldChar w:fldCharType="begin"/>
      </w:r>
      <w:r>
        <w:instrText xml:space="preserve"> PAGEREF _Toc179460544 \h </w:instrText>
      </w:r>
      <w:r>
        <w:fldChar w:fldCharType="separate"/>
      </w:r>
      <w:r>
        <w:t>34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_Toc179460545 \h </w:instrText>
      </w:r>
      <w:r>
        <w:fldChar w:fldCharType="separate"/>
      </w:r>
      <w:r>
        <w:t>35</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_Toc179460546 \h </w:instrText>
      </w:r>
      <w:r>
        <w:fldChar w:fldCharType="separate"/>
      </w:r>
      <w:r>
        <w:t>37</w:t>
      </w:r>
      <w:r>
        <w:fldChar w:fldCharType="end"/>
      </w:r>
    </w:p>
    <w:p>
      <w:pPr>
        <w:pStyle w:val="TOC8"/>
        <w:rPr>
          <w:rFonts w:asciiTheme="minorHAnsi" w:eastAsiaTheme="minorEastAsia" w:hAnsiTheme="minorHAnsi" w:cstheme="minorBidi"/>
          <w:szCs w:val="22"/>
        </w:rPr>
      </w:pPr>
      <w:r>
        <w:t>74.</w:t>
      </w:r>
      <w:r>
        <w:tab/>
        <w:t>Internet betting (approved events)</w:t>
      </w:r>
      <w:r>
        <w:tab/>
      </w:r>
      <w:r>
        <w:fldChar w:fldCharType="begin"/>
      </w:r>
      <w:r>
        <w:instrText xml:space="preserve"> PAGEREF _Toc179460547 \h </w:instrText>
      </w:r>
      <w:r>
        <w:fldChar w:fldCharType="separate"/>
      </w:r>
      <w:r>
        <w:t>37</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_Toc179460548 \h </w:instrText>
      </w:r>
      <w:r>
        <w:fldChar w:fldCharType="separate"/>
      </w:r>
      <w:r>
        <w:t>38</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_Toc179460549 \h </w:instrText>
      </w:r>
      <w:r>
        <w:fldChar w:fldCharType="separate"/>
      </w:r>
      <w:r>
        <w:t>38</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_Toc179460550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General conditions relating to bets made at or through </w:t>
      </w:r>
      <w:r>
        <w:lastRenderedPageBreak/>
        <w:t>on</w:t>
      </w:r>
      <w:r>
        <w:noBreakHyphen/>
        <w:t>course totalisators and local on</w:t>
      </w:r>
      <w:r>
        <w:noBreakHyphen/>
        <w:t>course totalisators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_Toc179460553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_Toc179460555 \h </w:instrText>
      </w:r>
      <w:r>
        <w:fldChar w:fldCharType="separate"/>
      </w:r>
      <w:r>
        <w:t>41</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_Toc179460556 \h </w:instrText>
      </w:r>
      <w:r>
        <w:fldChar w:fldCharType="separate"/>
      </w:r>
      <w:r>
        <w:t>42</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_Toc179460557 \h </w:instrText>
      </w:r>
      <w:r>
        <w:fldChar w:fldCharType="separate"/>
      </w:r>
      <w:r>
        <w:t>42</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_Toc179460558 \h </w:instrText>
      </w:r>
      <w:r>
        <w:fldChar w:fldCharType="separate"/>
      </w:r>
      <w:r>
        <w:t>43</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_Toc179460559 \h </w:instrText>
      </w:r>
      <w:r>
        <w:fldChar w:fldCharType="separate"/>
      </w:r>
      <w:r>
        <w:t>44</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_Toc179460560 \h </w:instrText>
      </w:r>
      <w:r>
        <w:fldChar w:fldCharType="separate"/>
      </w:r>
      <w:r>
        <w:t>44</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_Toc179460561 \h </w:instrText>
      </w:r>
      <w:r>
        <w:fldChar w:fldCharType="separate"/>
      </w:r>
      <w:r>
        <w:t>45</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_Toc179460562 \h </w:instrText>
      </w:r>
      <w:r>
        <w:fldChar w:fldCharType="separate"/>
      </w:r>
      <w:r>
        <w:t>45</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_Toc179460563 \h </w:instrText>
      </w:r>
      <w:r>
        <w:fldChar w:fldCharType="separate"/>
      </w:r>
      <w:r>
        <w:t>46</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_Toc179460564 \h </w:instrText>
      </w:r>
      <w:r>
        <w:fldChar w:fldCharType="separate"/>
      </w:r>
      <w:r>
        <w:t>46</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_Toc179460565 \h </w:instrText>
      </w:r>
      <w:r>
        <w:fldChar w:fldCharType="separate"/>
      </w:r>
      <w:r>
        <w:t>47</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_Toc179460566 \h </w:instrText>
      </w:r>
      <w:r>
        <w:fldChar w:fldCharType="separate"/>
      </w:r>
      <w:r>
        <w:t>47</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_Toc179460567 \h </w:instrText>
      </w:r>
      <w:r>
        <w:fldChar w:fldCharType="separate"/>
      </w:r>
      <w:r>
        <w:t>48</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_Toc179460568 \h </w:instrText>
      </w:r>
      <w:r>
        <w:fldChar w:fldCharType="separate"/>
      </w:r>
      <w:r>
        <w:t>49</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_Toc179460569 \h </w:instrText>
      </w:r>
      <w:r>
        <w:fldChar w:fldCharType="separate"/>
      </w:r>
      <w:r>
        <w:t>51</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_Toc179460570 \h </w:instrText>
      </w:r>
      <w:r>
        <w:fldChar w:fldCharType="separate"/>
      </w:r>
      <w:r>
        <w:t>51</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_Toc179460571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_Toc179460573 \h </w:instrText>
      </w:r>
      <w:r>
        <w:fldChar w:fldCharType="separate"/>
      </w:r>
      <w:r>
        <w:t>54</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_Toc179460574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_Toc179460576 \h </w:instrText>
      </w:r>
      <w:r>
        <w:fldChar w:fldCharType="separate"/>
      </w:r>
      <w:r>
        <w:t>56</w:t>
      </w:r>
      <w:r>
        <w:fldChar w:fldCharType="end"/>
      </w:r>
    </w:p>
    <w:p>
      <w:pPr>
        <w:pStyle w:val="TOC8"/>
        <w:rPr>
          <w:rFonts w:asciiTheme="minorHAnsi" w:eastAsiaTheme="minorEastAsia" w:hAnsiTheme="minorHAnsi" w:cstheme="minorBidi"/>
          <w:szCs w:val="22"/>
        </w:rPr>
      </w:pPr>
      <w:r>
        <w:lastRenderedPageBreak/>
        <w:t>99.</w:t>
      </w:r>
      <w:r>
        <w:tab/>
        <w:t>Prescribed criteria: section 27D(5)</w:t>
      </w:r>
      <w:r>
        <w:tab/>
      </w:r>
      <w:r>
        <w:fldChar w:fldCharType="begin"/>
      </w:r>
      <w:r>
        <w:instrText xml:space="preserve"> PAGEREF _Toc179460577 \h </w:instrText>
      </w:r>
      <w:r>
        <w:fldChar w:fldCharType="separate"/>
      </w:r>
      <w:r>
        <w:t>56</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_Toc179460578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_Toc179460580 \h </w:instrText>
      </w:r>
      <w:r>
        <w:fldChar w:fldCharType="separate"/>
      </w:r>
      <w:r>
        <w:t>59</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_Toc179460581 \h </w:instrText>
      </w:r>
      <w:r>
        <w:fldChar w:fldCharType="separate"/>
      </w:r>
      <w:r>
        <w:t>59</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_Toc179460582 \h </w:instrText>
      </w:r>
      <w:r>
        <w:fldChar w:fldCharType="separate"/>
      </w:r>
      <w:r>
        <w:t>59</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_Toc179460583 \h </w:instrText>
      </w:r>
      <w:r>
        <w:fldChar w:fldCharType="separate"/>
      </w:r>
      <w:r>
        <w:t>59</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_Toc179460584 \h </w:instrText>
      </w:r>
      <w:r>
        <w:fldChar w:fldCharType="separate"/>
      </w:r>
      <w:r>
        <w:t>60</w:t>
      </w:r>
      <w:r>
        <w:fldChar w:fldCharType="end"/>
      </w:r>
    </w:p>
    <w:p>
      <w:pPr>
        <w:pStyle w:val="TOC8"/>
        <w:rPr>
          <w:rFonts w:asciiTheme="minorHAnsi" w:eastAsiaTheme="minorEastAsia" w:hAnsiTheme="minorHAnsi" w:cstheme="minorBidi"/>
          <w:szCs w:val="22"/>
        </w:rPr>
      </w:pPr>
      <w:r>
        <w:t>105A.</w:t>
      </w:r>
      <w:r>
        <w:tab/>
        <w:t>Prescribed conditions for greyhound and harness races: section 27F(1)</w:t>
      </w:r>
      <w:r>
        <w:tab/>
      </w:r>
      <w:r>
        <w:fldChar w:fldCharType="begin"/>
      </w:r>
      <w:r>
        <w:instrText xml:space="preserve"> PAGEREF _Toc179460585 \h </w:instrText>
      </w:r>
      <w:r>
        <w:fldChar w:fldCharType="separate"/>
      </w:r>
      <w:r>
        <w:t>62</w:t>
      </w:r>
      <w:r>
        <w:fldChar w:fldCharType="end"/>
      </w:r>
    </w:p>
    <w:p>
      <w:pPr>
        <w:pStyle w:val="TOC8"/>
        <w:rPr>
          <w:rFonts w:asciiTheme="minorHAnsi" w:eastAsiaTheme="minorEastAsia" w:hAnsiTheme="minorHAnsi" w:cstheme="minorBidi"/>
          <w:szCs w:val="22"/>
        </w:rPr>
      </w:pPr>
      <w:r>
        <w:t>105B.</w:t>
      </w:r>
      <w:r>
        <w:tab/>
        <w:t>Prescribed conditions for thoroughbred races: section 27F(1)</w:t>
      </w:r>
      <w:r>
        <w:tab/>
      </w:r>
      <w:r>
        <w:fldChar w:fldCharType="begin"/>
      </w:r>
      <w:r>
        <w:instrText xml:space="preserve"> PAGEREF _Toc179460586 \h </w:instrText>
      </w:r>
      <w:r>
        <w:fldChar w:fldCharType="separate"/>
      </w:r>
      <w:r>
        <w:t>64</w:t>
      </w:r>
      <w:r>
        <w:fldChar w:fldCharType="end"/>
      </w:r>
    </w:p>
    <w:p>
      <w:pPr>
        <w:pStyle w:val="TOC8"/>
        <w:rPr>
          <w:rFonts w:asciiTheme="minorHAnsi" w:eastAsiaTheme="minorEastAsia" w:hAnsiTheme="minorHAnsi" w:cstheme="minorBidi"/>
          <w:szCs w:val="22"/>
        </w:rPr>
      </w:pPr>
      <w:r>
        <w:t>105C.</w:t>
      </w:r>
      <w:r>
        <w:tab/>
        <w:t>Prescribed conditions under regulations 105A and 105B do not apply to certain bets</w:t>
      </w:r>
      <w:r>
        <w:tab/>
      </w:r>
      <w:r>
        <w:fldChar w:fldCharType="begin"/>
      </w:r>
      <w:r>
        <w:instrText xml:space="preserve"> PAGEREF _Toc179460587 \h </w:instrText>
      </w:r>
      <w:r>
        <w:fldChar w:fldCharType="separate"/>
      </w:r>
      <w:r>
        <w:t>67</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_Toc179460588 \h </w:instrText>
      </w:r>
      <w:r>
        <w:fldChar w:fldCharType="separate"/>
      </w:r>
      <w:r>
        <w:t>69</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_Toc179460589 \h </w:instrText>
      </w:r>
      <w:r>
        <w:fldChar w:fldCharType="separate"/>
      </w:r>
      <w:r>
        <w:t>69</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_Toc179460590 \h </w:instrText>
      </w:r>
      <w:r>
        <w:fldChar w:fldCharType="separate"/>
      </w:r>
      <w:r>
        <w:t>70</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_Toc179460591 \h </w:instrText>
      </w:r>
      <w:r>
        <w:fldChar w:fldCharType="separate"/>
      </w:r>
      <w:r>
        <w:t>72</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_Toc179460592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Rules of Betting</w:t>
      </w:r>
    </w:p>
    <w:p>
      <w:pPr>
        <w:pStyle w:val="TOC4"/>
        <w:tabs>
          <w:tab w:val="right" w:leader="dot" w:pos="7077"/>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_Toc179460596 \h </w:instrText>
      </w:r>
      <w:r>
        <w:fldChar w:fldCharType="separate"/>
      </w:r>
      <w:r>
        <w:t>74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_Toc179460597 \h </w:instrText>
      </w:r>
      <w:r>
        <w:fldChar w:fldCharType="separate"/>
      </w:r>
      <w:r>
        <w:t>75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_Toc179460598 \h </w:instrText>
      </w:r>
      <w:r>
        <w:fldChar w:fldCharType="separate"/>
      </w:r>
      <w:r>
        <w:t>75</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_Toc179460599 \h </w:instrText>
      </w:r>
      <w:r>
        <w:fldChar w:fldCharType="separate"/>
      </w:r>
      <w:r>
        <w:t>76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_Toc179460600 \h </w:instrText>
      </w:r>
      <w:r>
        <w:fldChar w:fldCharType="separate"/>
      </w:r>
      <w:r>
        <w:t>79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_Toc179460601 \h </w:instrText>
      </w:r>
      <w:r>
        <w:fldChar w:fldCharType="separate"/>
      </w:r>
      <w:r>
        <w:t>80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_Toc179460602 \h </w:instrText>
      </w:r>
      <w:r>
        <w:fldChar w:fldCharType="separate"/>
      </w:r>
      <w:r>
        <w:t>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_Toc179460603 \h </w:instrText>
      </w:r>
      <w:r>
        <w:fldChar w:fldCharType="separate"/>
      </w:r>
      <w:r>
        <w:t>80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as to settlement of bets following dead heat</w:t>
      </w:r>
      <w:r>
        <w:tab/>
      </w:r>
      <w:r>
        <w:fldChar w:fldCharType="begin"/>
      </w:r>
      <w:r>
        <w:instrText xml:space="preserve"> PAGEREF _Toc179460604 \h </w:instrText>
      </w:r>
      <w:r>
        <w:fldChar w:fldCharType="separate"/>
      </w:r>
      <w:r>
        <w:t>81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_Toc179460605 \h </w:instrText>
      </w:r>
      <w:r>
        <w:fldChar w:fldCharType="separate"/>
      </w:r>
      <w:r>
        <w:t>82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_Toc179460606 \h </w:instrText>
      </w:r>
      <w:r>
        <w:fldChar w:fldCharType="separate"/>
      </w:r>
      <w:r>
        <w:t>84</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“All up” bets</w:t>
      </w:r>
      <w:r>
        <w:tab/>
      </w:r>
      <w:r>
        <w:fldChar w:fldCharType="begin"/>
      </w:r>
      <w:r>
        <w:instrText xml:space="preserve"> PAGEREF _Toc179460607 \h </w:instrText>
      </w:r>
      <w:r>
        <w:fldChar w:fldCharType="separate"/>
      </w:r>
      <w:r>
        <w:t>84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_Toc179460608 \h </w:instrText>
      </w:r>
      <w:r>
        <w:fldChar w:fldCharType="separate"/>
      </w:r>
      <w:r>
        <w:t>84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_Toc179460609 \h </w:instrText>
      </w:r>
      <w:r>
        <w:fldChar w:fldCharType="separate"/>
      </w:r>
      <w:r>
        <w:t>85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_Toc179460610 \h </w:instrText>
      </w:r>
      <w:r>
        <w:fldChar w:fldCharType="separate"/>
      </w:r>
      <w:r>
        <w:t>85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_Toc179460611 \h </w:instrText>
      </w:r>
      <w:r>
        <w:fldChar w:fldCharType="separate"/>
      </w:r>
      <w:r>
        <w:t>86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_Toc179460612 \h </w:instrText>
      </w:r>
      <w:r>
        <w:fldChar w:fldCharType="separate"/>
      </w:r>
      <w:r>
        <w:t>86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_Toc179460613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Part 2 — Betting on approved events</w:t>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_Toc179460617 \h </w:instrText>
      </w:r>
      <w:r>
        <w:fldChar w:fldCharType="separate"/>
      </w:r>
      <w:r>
        <w:t>95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_Toc179460618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Betting Control Act 1954</w:t>
      </w:r>
    </w:p>
    <w:p>
      <w:pPr>
        <w:pStyle w:val="NameofActReg"/>
        <w:spacing w:before="720"/>
      </w:pPr>
      <w:r>
        <w:t>Betting Control Regulations 1978</w:t>
      </w:r>
    </w:p>
    <w:p>
      <w:pPr>
        <w:pStyle w:val="Heading2"/>
        <w:pageBreakBefore w:val="0"/>
      </w:pPr>
      <w:bookmarkStart w:id="2" w:name="_Toc179457441"/>
      <w:bookmarkStart w:id="3" w:name="_Toc179458296"/>
      <w:bookmarkStart w:id="4" w:name="_Toc179460497"/>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Footnoteheading"/>
      </w:pPr>
      <w:r>
        <w:tab/>
        <w:t>[Heading inserted: Gazette 21 Jul 2006 p. 2671.]</w:t>
      </w:r>
    </w:p>
    <w:p>
      <w:pPr>
        <w:pStyle w:val="Heading5"/>
        <w:rPr>
          <w:snapToGrid w:val="0"/>
        </w:rPr>
      </w:pPr>
      <w:bookmarkStart w:id="5" w:name="_Toc179460498"/>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w:t>
      </w:r>
    </w:p>
    <w:p>
      <w:pPr>
        <w:pStyle w:val="Heading5"/>
        <w:rPr>
          <w:snapToGrid w:val="0"/>
        </w:rPr>
      </w:pPr>
      <w:bookmarkStart w:id="6" w:name="_Toc179460499"/>
      <w:r>
        <w:rPr>
          <w:rStyle w:val="CharSectno"/>
        </w:rPr>
        <w:t>2</w:t>
      </w:r>
      <w:r>
        <w:rPr>
          <w:snapToGrid w:val="0"/>
        </w:rPr>
        <w:t>.</w:t>
      </w:r>
      <w:r>
        <w:rPr>
          <w:snapToGrid w:val="0"/>
        </w:rPr>
        <w:tab/>
        <w:t>Transitional provision</w:t>
      </w:r>
      <w:bookmarkEnd w:id="6"/>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7" w:name="_Toc179460500"/>
      <w:r>
        <w:rPr>
          <w:rStyle w:val="CharSectno"/>
        </w:rPr>
        <w:t>3</w:t>
      </w:r>
      <w:r>
        <w:rPr>
          <w:snapToGrid w:val="0"/>
        </w:rPr>
        <w:t>.</w:t>
      </w:r>
      <w:r>
        <w:rPr>
          <w:snapToGrid w:val="0"/>
        </w:rPr>
        <w:tab/>
        <w:t>Terms used</w:t>
      </w:r>
      <w:bookmarkEnd w:id="7"/>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approved event</w:t>
      </w:r>
      <w:r>
        <w:t xml:space="preserve"> means an event, or a contingency, on or in relation to which bookmaking has been approved under section 4B(2) of the Act;</w:t>
      </w:r>
    </w:p>
    <w:p>
      <w:pPr>
        <w:pStyle w:val="Defstart"/>
        <w:keepNext/>
      </w:pPr>
      <w:r>
        <w:lastRenderedPageBreak/>
        <w:tab/>
      </w:r>
      <w:r>
        <w:rPr>
          <w:rStyle w:val="CharDefText"/>
        </w:rPr>
        <w:t>bet back</w:t>
      </w:r>
      <w:r>
        <w:t xml:space="preserve"> means a bet made by, or on behalf of, a bookmaker — </w:t>
      </w:r>
    </w:p>
    <w:p>
      <w:pPr>
        <w:pStyle w:val="Defpara"/>
        <w:keepNext/>
      </w:pPr>
      <w:r>
        <w:tab/>
        <w:t>(a)</w:t>
      </w:r>
      <w:r>
        <w:tab/>
        <w:t>on a runner or, in the context of an approved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pPr>
      <w:r>
        <w:tab/>
      </w:r>
      <w:r>
        <w:rPr>
          <w:rStyle w:val="CharDefText"/>
        </w:rPr>
        <w:t>betting account</w:t>
      </w:r>
      <w:r>
        <w:t xml:space="preserve"> means an account established with a domestic betting operator for the purposes of betting;</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greyhound race</w:t>
      </w:r>
      <w:r>
        <w:t xml:space="preserve"> has the meaning given in the RWWA Act section 3(1);</w:t>
      </w:r>
    </w:p>
    <w:p>
      <w:pPr>
        <w:pStyle w:val="Defstart"/>
      </w:pPr>
      <w:r>
        <w:tab/>
      </w:r>
      <w:r>
        <w:rPr>
          <w:rStyle w:val="CharDefText"/>
        </w:rPr>
        <w:t>harness race</w:t>
      </w:r>
      <w:r>
        <w:t xml:space="preserve"> has the meaning given in the RWWA Act section 3(1);</w:t>
      </w:r>
    </w:p>
    <w:p>
      <w:pPr>
        <w:pStyle w:val="Defstart"/>
        <w:spacing w:before="100"/>
      </w:pPr>
      <w:r>
        <w:tab/>
      </w:r>
      <w:r>
        <w:rPr>
          <w:rStyle w:val="CharDefText"/>
        </w:rPr>
        <w:t>internet betting</w:t>
      </w:r>
      <w:r>
        <w:t xml:space="preserve"> means a method of making and accepting bets by means of an on</w:t>
      </w:r>
      <w:r>
        <w:noBreakHyphen/>
        <w:t xml:space="preserve">line telecommunications system (commonly </w:t>
      </w:r>
      <w:r>
        <w:lastRenderedPageBreak/>
        <w:t>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tab/>
      </w:r>
      <w:r>
        <w:rPr>
          <w:rStyle w:val="CharDefText"/>
        </w:rPr>
        <w:t>place bet</w:t>
      </w:r>
      <w:r>
        <w:t xml:space="preserve"> means a bet where the person placing the bet selects a runner or other competitor to achieve a place in a particular race in accordance with the following — </w:t>
      </w:r>
    </w:p>
    <w:p>
      <w:pPr>
        <w:pStyle w:val="Defpara"/>
      </w:pPr>
      <w:r>
        <w:tab/>
        <w:t>(a)</w:t>
      </w:r>
      <w:r>
        <w:tab/>
        <w:t>if at the time the bet is made there are 8 or more starters listed to start in the race, a runner or other competitor achieves a place if it finishes 1</w:t>
      </w:r>
      <w:r>
        <w:rPr>
          <w:vertAlign w:val="superscript"/>
        </w:rPr>
        <w:t>st</w:t>
      </w:r>
      <w:r>
        <w:t>, 2</w:t>
      </w:r>
      <w:r>
        <w:rPr>
          <w:vertAlign w:val="superscript"/>
        </w:rPr>
        <w:t>nd</w:t>
      </w:r>
      <w:r>
        <w:t xml:space="preserve"> or 3</w:t>
      </w:r>
      <w:r>
        <w:rPr>
          <w:vertAlign w:val="superscript"/>
        </w:rPr>
        <w:t>rd</w:t>
      </w:r>
      <w:r>
        <w:t>;</w:t>
      </w:r>
    </w:p>
    <w:p>
      <w:pPr>
        <w:pStyle w:val="Defpara"/>
      </w:pPr>
      <w:r>
        <w:tab/>
        <w:t>(b)</w:t>
      </w:r>
      <w:r>
        <w:tab/>
        <w:t>if at the time the bet is made, there are 5, 6 or 7 starters listed to start in the race, a runner or other competitor achieves a place if it finishes 1</w:t>
      </w:r>
      <w:r>
        <w:rPr>
          <w:vertAlign w:val="superscript"/>
        </w:rPr>
        <w:t>st</w:t>
      </w:r>
      <w:r>
        <w:t xml:space="preserve"> or 2</w:t>
      </w:r>
      <w:r>
        <w:rPr>
          <w:vertAlign w:val="superscript"/>
        </w:rPr>
        <w:t>nd</w:t>
      </w:r>
      <w:r>
        <w:t>;</w:t>
      </w:r>
    </w:p>
    <w:p>
      <w:pPr>
        <w:pStyle w:val="Defstart"/>
      </w:pPr>
      <w:r>
        <w:tab/>
      </w:r>
      <w:r>
        <w:rPr>
          <w:rStyle w:val="CharDefText"/>
        </w:rPr>
        <w:t>racing year</w:t>
      </w:r>
      <w:r>
        <w:t xml:space="preserve"> has the meaning given in the RWWA Act section 3(1);</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scheduled starting time</w:t>
      </w:r>
      <w:r>
        <w:t xml:space="preserve"> has the meaning given in the </w:t>
      </w:r>
      <w:r>
        <w:rPr>
          <w:i/>
        </w:rPr>
        <w:t>Racing and Wagering Western Australia Regulations 2003</w:t>
      </w:r>
      <w:r>
        <w:t xml:space="preserve"> regulation 3(1);</w:t>
      </w:r>
    </w:p>
    <w:p>
      <w:pPr>
        <w:pStyle w:val="Defstart"/>
      </w:pPr>
      <w:r>
        <w:tab/>
      </w:r>
      <w:r>
        <w:rPr>
          <w:rStyle w:val="CharDefText"/>
        </w:rPr>
        <w:t>sporting event</w:t>
      </w:r>
      <w:r>
        <w:t xml:space="preserve"> does not include a designated sporting event;</w:t>
      </w:r>
    </w:p>
    <w:p>
      <w:pPr>
        <w:pStyle w:val="Defstart"/>
      </w:pPr>
      <w:r>
        <w:tab/>
      </w:r>
      <w:r>
        <w:rPr>
          <w:rStyle w:val="CharDefText"/>
        </w:rPr>
        <w:t>thoroughbred race</w:t>
      </w:r>
      <w:r>
        <w:t xml:space="preserve"> has the meaning given in the RWWA Act section 3(1);</w:t>
      </w:r>
    </w:p>
    <w:p>
      <w:pPr>
        <w:pStyle w:val="Defstart"/>
        <w:keepLines/>
      </w:pPr>
      <w:r>
        <w:lastRenderedPageBreak/>
        <w:tab/>
      </w:r>
      <w:r>
        <w:rPr>
          <w:rStyle w:val="CharDefText"/>
        </w:rPr>
        <w:t>Western Australian Greyhound Racing Association</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Western Australian Trotting Association</w:t>
      </w:r>
      <w:r>
        <w:t xml:space="preserve"> means the Western Australian Trotting Association constituted under the </w:t>
      </w:r>
      <w:r>
        <w:rPr>
          <w:i/>
        </w:rPr>
        <w:t>Western Australian Trotting Association Act 1946</w:t>
      </w:r>
      <w:r>
        <w:t>;</w:t>
      </w:r>
    </w:p>
    <w:p>
      <w:pPr>
        <w:pStyle w:val="Defstart"/>
        <w:rPr>
          <w:rStyle w:val="DraftersNotes"/>
          <w:b w:val="0"/>
          <w:i w:val="0"/>
        </w:rPr>
      </w:pPr>
      <w:r>
        <w:tab/>
      </w:r>
      <w:r>
        <w:rPr>
          <w:rStyle w:val="CharDefText"/>
        </w:rPr>
        <w:t>win bet</w:t>
      </w:r>
      <w:r>
        <w:t xml:space="preserve"> means a bet where the person placing the bet selects the winner of a particular race.</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 xml:space="preserve">in the context of </w:t>
      </w:r>
      <w:r>
        <w:t>an approved event</w:t>
      </w:r>
      <w:r>
        <w:rPr>
          <w:snapToGrid w:val="0"/>
        </w:rPr>
        <w:t>, an approval under section 4B,</w:t>
      </w:r>
    </w:p>
    <w:p>
      <w:pPr>
        <w:pStyle w:val="Subsection"/>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keepNext/>
      </w:pPr>
      <w:r>
        <w:tab/>
        <w:t>(4)</w:t>
      </w:r>
      <w:r>
        <w:tab/>
        <w:t>For the purpose of these regulations, a bet is an on</w:t>
      </w:r>
      <w:r>
        <w:noBreakHyphen/>
        <w:t>course totalisator bet if —</w:t>
      </w:r>
    </w:p>
    <w:p>
      <w:pPr>
        <w:pStyle w:val="Indenta"/>
        <w:keepNext/>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lastRenderedPageBreak/>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1427; 25 Jan 2019 p. 199 and 201-2; SL 2021/193 r. 4.]</w:t>
      </w:r>
    </w:p>
    <w:p>
      <w:pPr>
        <w:pStyle w:val="Heading2"/>
      </w:pPr>
      <w:bookmarkStart w:id="8" w:name="_Toc179457445"/>
      <w:bookmarkStart w:id="9" w:name="_Toc179458300"/>
      <w:bookmarkStart w:id="10" w:name="_Toc179460501"/>
      <w:r>
        <w:rPr>
          <w:rStyle w:val="CharPartNo"/>
        </w:rPr>
        <w:lastRenderedPageBreak/>
        <w:t>Part 2</w:t>
      </w:r>
      <w:r>
        <w:rPr>
          <w:b w:val="0"/>
        </w:rPr>
        <w:t> </w:t>
      </w:r>
      <w:r>
        <w:t>—</w:t>
      </w:r>
      <w:r>
        <w:rPr>
          <w:b w:val="0"/>
        </w:rPr>
        <w:t> </w:t>
      </w:r>
      <w:r>
        <w:rPr>
          <w:rStyle w:val="CharPartText"/>
        </w:rPr>
        <w:t>Licences, fees and commissions</w:t>
      </w:r>
      <w:bookmarkEnd w:id="8"/>
      <w:bookmarkEnd w:id="9"/>
      <w:bookmarkEnd w:id="10"/>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11" w:name="_Toc179460502"/>
      <w:r>
        <w:rPr>
          <w:rStyle w:val="CharSectno"/>
        </w:rPr>
        <w:t>9</w:t>
      </w:r>
      <w:r>
        <w:rPr>
          <w:snapToGrid w:val="0"/>
        </w:rPr>
        <w:t>.</w:t>
      </w:r>
      <w:r>
        <w:rPr>
          <w:snapToGrid w:val="0"/>
        </w:rPr>
        <w:tab/>
        <w:t>Application for licence</w:t>
      </w:r>
      <w:bookmarkEnd w:id="11"/>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12" w:name="_Toc179460503"/>
      <w:r>
        <w:rPr>
          <w:rStyle w:val="CharSectno"/>
        </w:rPr>
        <w:t>9A</w:t>
      </w:r>
      <w:r>
        <w:t>.</w:t>
      </w:r>
      <w:r>
        <w:tab/>
        <w:t>Application to conduct a designated sporting event</w:t>
      </w:r>
      <w:bookmarkEnd w:id="12"/>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lastRenderedPageBreak/>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13" w:name="_Toc179460504"/>
      <w:r>
        <w:rPr>
          <w:rStyle w:val="CharSectno"/>
        </w:rPr>
        <w:t>10</w:t>
      </w:r>
      <w:r>
        <w:t>.</w:t>
      </w:r>
      <w:r>
        <w:tab/>
        <w:t>Application for approval</w:t>
      </w:r>
      <w:bookmarkEnd w:id="13"/>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14" w:name="_Toc179460505"/>
      <w:r>
        <w:rPr>
          <w:rStyle w:val="CharSectno"/>
        </w:rPr>
        <w:t>11</w:t>
      </w:r>
      <w:r>
        <w:rPr>
          <w:snapToGrid w:val="0"/>
        </w:rPr>
        <w:t>.</w:t>
      </w:r>
      <w:r>
        <w:rPr>
          <w:snapToGrid w:val="0"/>
        </w:rPr>
        <w:tab/>
        <w:t>When licence may be renewed</w:t>
      </w:r>
      <w:bookmarkEnd w:id="14"/>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15" w:name="_Toc179460506"/>
      <w:r>
        <w:rPr>
          <w:rStyle w:val="CharSectno"/>
        </w:rPr>
        <w:t>12</w:t>
      </w:r>
      <w:r>
        <w:rPr>
          <w:snapToGrid w:val="0"/>
        </w:rPr>
        <w:t>.</w:t>
      </w:r>
      <w:r>
        <w:rPr>
          <w:snapToGrid w:val="0"/>
        </w:rPr>
        <w:tab/>
        <w:t>Grant of licence</w:t>
      </w:r>
      <w:bookmarkEnd w:id="15"/>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w:t>
      </w:r>
      <w:r>
        <w:rPr>
          <w:snapToGrid w:val="0"/>
        </w:rPr>
        <w:lastRenderedPageBreak/>
        <w:t>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16" w:name="_Toc179460507"/>
      <w:r>
        <w:rPr>
          <w:rStyle w:val="CharSectno"/>
        </w:rPr>
        <w:t>14</w:t>
      </w:r>
      <w:r>
        <w:rPr>
          <w:snapToGrid w:val="0"/>
        </w:rPr>
        <w:t>.</w:t>
      </w:r>
      <w:r>
        <w:rPr>
          <w:snapToGrid w:val="0"/>
        </w:rPr>
        <w:tab/>
        <w:t>Effect of licence</w:t>
      </w:r>
      <w:bookmarkEnd w:id="16"/>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Next/>
        <w:keepLines/>
      </w:pPr>
      <w:r>
        <w:lastRenderedPageBreak/>
        <w:tab/>
        <w:t>(7)</w:t>
      </w:r>
      <w:r>
        <w:tab/>
        <w:t>A bookmaker’s licence which is endorsed to that effect authorises the licensee to carry on the business of a bookmaker, in relation to an approved event,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 25 Jan 2019 p. 200.]</w:t>
      </w:r>
    </w:p>
    <w:p>
      <w:pPr>
        <w:pStyle w:val="Ednotesection"/>
      </w:pPr>
      <w:r>
        <w:t>[</w:t>
      </w:r>
      <w:r>
        <w:rPr>
          <w:b/>
        </w:rPr>
        <w:t>15.</w:t>
      </w:r>
      <w:r>
        <w:tab/>
        <w:t>Deleted: Gazette 10 Jul 1992 p. 3288.]</w:t>
      </w:r>
    </w:p>
    <w:p>
      <w:pPr>
        <w:pStyle w:val="Heading5"/>
        <w:rPr>
          <w:snapToGrid w:val="0"/>
        </w:rPr>
      </w:pPr>
      <w:bookmarkStart w:id="17" w:name="_Toc179460508"/>
      <w:r>
        <w:rPr>
          <w:rStyle w:val="CharSectno"/>
        </w:rPr>
        <w:t>16</w:t>
      </w:r>
      <w:r>
        <w:rPr>
          <w:snapToGrid w:val="0"/>
        </w:rPr>
        <w:t>.</w:t>
      </w:r>
      <w:r>
        <w:rPr>
          <w:snapToGrid w:val="0"/>
        </w:rPr>
        <w:tab/>
        <w:t>Duplicate licences</w:t>
      </w:r>
      <w:bookmarkEnd w:id="17"/>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keepNext/>
        <w:rPr>
          <w:snapToGrid w:val="0"/>
        </w:rPr>
      </w:pPr>
      <w:r>
        <w:rPr>
          <w:snapToGrid w:val="0"/>
        </w:rPr>
        <w:lastRenderedPageBreak/>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18" w:name="_Toc179460509"/>
      <w:r>
        <w:rPr>
          <w:rStyle w:val="CharSectno"/>
        </w:rPr>
        <w:t>17</w:t>
      </w:r>
      <w:r>
        <w:rPr>
          <w:snapToGrid w:val="0"/>
        </w:rPr>
        <w:t>.</w:t>
      </w:r>
      <w:r>
        <w:rPr>
          <w:snapToGrid w:val="0"/>
        </w:rPr>
        <w:tab/>
        <w:t>Fees and charges</w:t>
      </w:r>
      <w:bookmarkEnd w:id="18"/>
    </w:p>
    <w:p>
      <w:pPr>
        <w:pStyle w:val="Subsection"/>
        <w:rPr>
          <w:snapToGrid w:val="0"/>
        </w:rPr>
      </w:pPr>
      <w:r>
        <w:rPr>
          <w:snapToGrid w:val="0"/>
        </w:rPr>
        <w:tab/>
        <w:t>(1)</w:t>
      </w:r>
      <w:r>
        <w:rPr>
          <w:snapToGrid w:val="0"/>
        </w:rPr>
        <w:tab/>
        <w:t>The Commission shall charge the following fees —</w:t>
      </w:r>
    </w:p>
    <w:p>
      <w:pPr>
        <w:pStyle w:val="Indenta"/>
        <w:tabs>
          <w:tab w:val="right" w:leader="dot" w:pos="7088"/>
        </w:tabs>
        <w:rPr>
          <w:snapToGrid w:val="0"/>
        </w:rPr>
      </w:pPr>
      <w:r>
        <w:rPr>
          <w:snapToGrid w:val="0"/>
        </w:rPr>
        <w:tab/>
        <w:t>(aa)</w:t>
      </w:r>
      <w:r>
        <w:rPr>
          <w:snapToGrid w:val="0"/>
        </w:rPr>
        <w:tab/>
        <w:t>On the grant of a permit under section 4A</w:t>
      </w:r>
      <w:r>
        <w:rPr>
          <w:snapToGrid w:val="0"/>
        </w:rPr>
        <w:br/>
        <w:t xml:space="preserve">for a designated sporting event </w:t>
      </w:r>
      <w:r>
        <w:rPr>
          <w:snapToGrid w:val="0"/>
        </w:rPr>
        <w:tab/>
      </w:r>
      <w:r>
        <w:t>$55</w:t>
      </w:r>
      <w:r>
        <w:rPr>
          <w:snapToGrid w:val="0"/>
        </w:rPr>
        <w:t>;</w:t>
      </w:r>
    </w:p>
    <w:p>
      <w:pPr>
        <w:pStyle w:val="Indenta"/>
        <w:tabs>
          <w:tab w:val="right" w:leader="dot" w:pos="7088"/>
        </w:tabs>
        <w:rPr>
          <w:snapToGrid w:val="0"/>
        </w:rPr>
      </w:pPr>
      <w:r>
        <w:rPr>
          <w:snapToGrid w:val="0"/>
        </w:rPr>
        <w:tab/>
        <w:t>(ab)</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 xml:space="preserve">course  telephone betting </w:t>
      </w:r>
      <w:r>
        <w:rPr>
          <w:snapToGrid w:val="0"/>
        </w:rPr>
        <w:tab/>
      </w:r>
      <w:r>
        <w:t>$77</w:t>
      </w:r>
      <w:r>
        <w:rPr>
          <w:snapToGrid w:val="0"/>
        </w:rPr>
        <w:t>;</w:t>
      </w:r>
    </w:p>
    <w:p>
      <w:pPr>
        <w:pStyle w:val="Indenta"/>
        <w:tabs>
          <w:tab w:val="right" w:leader="dot" w:pos="7088"/>
        </w:tabs>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course internet betting</w:t>
      </w:r>
      <w:r>
        <w:rPr>
          <w:snapToGrid w:val="0"/>
        </w:rPr>
        <w:tab/>
      </w:r>
      <w:r>
        <w:t>$355</w:t>
      </w:r>
      <w:r>
        <w:rPr>
          <w:snapToGrid w:val="0"/>
        </w:rPr>
        <w:t>;</w:t>
      </w:r>
    </w:p>
    <w:p>
      <w:pPr>
        <w:pStyle w:val="Indenta"/>
        <w:tabs>
          <w:tab w:val="right" w:leader="dot" w:pos="7088"/>
        </w:tabs>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w:t>
      </w:r>
      <w:r>
        <w:rPr>
          <w:snapToGrid w:val="0"/>
        </w:rPr>
        <w:tab/>
      </w:r>
      <w:r>
        <w:t>$83</w:t>
      </w:r>
      <w:r>
        <w:rPr>
          <w:snapToGrid w:val="0"/>
        </w:rPr>
        <w:t>;</w:t>
      </w:r>
    </w:p>
    <w:p>
      <w:pPr>
        <w:pStyle w:val="Indenta"/>
        <w:tabs>
          <w:tab w:val="right" w:leader="dot" w:pos="7088"/>
        </w:tabs>
        <w:spacing w:before="100"/>
        <w:rPr>
          <w:snapToGrid w:val="0"/>
        </w:rPr>
      </w:pPr>
      <w:r>
        <w:rPr>
          <w:snapToGrid w:val="0"/>
        </w:rPr>
        <w:tab/>
        <w:t>(a)</w:t>
      </w:r>
      <w:r>
        <w:rPr>
          <w:snapToGrid w:val="0"/>
        </w:rPr>
        <w:tab/>
        <w:t>On an application for a bookmaker’s</w:t>
      </w:r>
      <w:r>
        <w:rPr>
          <w:snapToGrid w:val="0"/>
        </w:rPr>
        <w:br/>
        <w:t>licence</w:t>
      </w:r>
      <w:r>
        <w:rPr>
          <w:snapToGrid w:val="0"/>
        </w:rPr>
        <w:tab/>
      </w:r>
      <w:r>
        <w:t>$712</w:t>
      </w:r>
      <w:r>
        <w:rPr>
          <w:snapToGrid w:val="0"/>
        </w:rPr>
        <w:t>;</w:t>
      </w:r>
    </w:p>
    <w:p>
      <w:pPr>
        <w:pStyle w:val="Indenta"/>
        <w:tabs>
          <w:tab w:val="right" w:leader="dot" w:pos="7088"/>
        </w:tabs>
        <w:spacing w:before="100"/>
        <w:rPr>
          <w:snapToGrid w:val="0"/>
        </w:rPr>
      </w:pPr>
      <w:r>
        <w:rPr>
          <w:snapToGrid w:val="0"/>
        </w:rPr>
        <w:tab/>
        <w:t>(b)</w:t>
      </w:r>
      <w:r>
        <w:rPr>
          <w:snapToGrid w:val="0"/>
        </w:rPr>
        <w:tab/>
        <w:t>On an application for, or for the renewal</w:t>
      </w:r>
      <w:r>
        <w:rPr>
          <w:snapToGrid w:val="0"/>
        </w:rPr>
        <w:br/>
        <w:t>of, a bookmaker’s employee licence</w:t>
      </w:r>
      <w:r>
        <w:rPr>
          <w:snapToGrid w:val="0"/>
        </w:rPr>
        <w:tab/>
      </w:r>
      <w:r>
        <w:t>$38</w:t>
      </w:r>
      <w:r>
        <w:rPr>
          <w:snapToGrid w:val="0"/>
        </w:rPr>
        <w:t>;</w:t>
      </w:r>
    </w:p>
    <w:p>
      <w:pPr>
        <w:pStyle w:val="Indenta"/>
        <w:tabs>
          <w:tab w:val="right" w:leader="dot" w:pos="7088"/>
        </w:tabs>
        <w:spacing w:before="100"/>
        <w:rPr>
          <w:snapToGrid w:val="0"/>
        </w:rPr>
      </w:pPr>
      <w:r>
        <w:rPr>
          <w:snapToGrid w:val="0"/>
        </w:rPr>
        <w:tab/>
        <w:t>(ba)</w:t>
      </w:r>
      <w:r>
        <w:rPr>
          <w:snapToGrid w:val="0"/>
        </w:rPr>
        <w:tab/>
        <w:t>On an application for a bookmaker’s</w:t>
      </w:r>
      <w:r>
        <w:rPr>
          <w:snapToGrid w:val="0"/>
        </w:rPr>
        <w:br/>
        <w:t>manager licence</w:t>
      </w:r>
      <w:r>
        <w:rPr>
          <w:snapToGrid w:val="0"/>
        </w:rPr>
        <w:tab/>
      </w:r>
      <w:r>
        <w:t>$192.50</w:t>
      </w:r>
      <w:r>
        <w:rPr>
          <w:snapToGrid w:val="0"/>
        </w:rPr>
        <w:t>;</w:t>
      </w:r>
    </w:p>
    <w:p>
      <w:pPr>
        <w:pStyle w:val="Indenta"/>
        <w:tabs>
          <w:tab w:val="right" w:leader="dot" w:pos="7088"/>
        </w:tabs>
        <w:spacing w:before="100"/>
        <w:rPr>
          <w:snapToGrid w:val="0"/>
        </w:rPr>
      </w:pPr>
      <w:r>
        <w:rPr>
          <w:snapToGrid w:val="0"/>
        </w:rPr>
        <w:tab/>
        <w:t>(bb)</w:t>
      </w:r>
      <w:r>
        <w:rPr>
          <w:snapToGrid w:val="0"/>
        </w:rPr>
        <w:tab/>
        <w:t>On an application for the renewal of a</w:t>
      </w:r>
      <w:r>
        <w:rPr>
          <w:snapToGrid w:val="0"/>
        </w:rPr>
        <w:br/>
        <w:t>bookmaker’s manager licence</w:t>
      </w:r>
      <w:r>
        <w:rPr>
          <w:snapToGrid w:val="0"/>
        </w:rPr>
        <w:tab/>
      </w:r>
      <w:r>
        <w:t>$102</w:t>
      </w:r>
      <w:r>
        <w:rPr>
          <w:snapToGrid w:val="0"/>
        </w:rPr>
        <w:t>;</w:t>
      </w:r>
    </w:p>
    <w:p>
      <w:pPr>
        <w:pStyle w:val="Indenta"/>
        <w:keepNext/>
        <w:tabs>
          <w:tab w:val="right" w:leader="dot" w:pos="7088"/>
        </w:tabs>
        <w:spacing w:before="100"/>
        <w:rPr>
          <w:snapToGrid w:val="0"/>
        </w:rPr>
      </w:pPr>
      <w:r>
        <w:rPr>
          <w:snapToGrid w:val="0"/>
        </w:rPr>
        <w:lastRenderedPageBreak/>
        <w:tab/>
        <w:t>(c)</w:t>
      </w:r>
      <w:r>
        <w:rPr>
          <w:snapToGrid w:val="0"/>
        </w:rPr>
        <w:tab/>
        <w:t>For an appeal to the Commission in</w:t>
      </w:r>
      <w:r>
        <w:rPr>
          <w:snapToGrid w:val="0"/>
        </w:rPr>
        <w:br/>
        <w:t>connection with a betting dispute</w:t>
      </w:r>
      <w:r>
        <w:rPr>
          <w:snapToGrid w:val="0"/>
        </w:rPr>
        <w:tab/>
      </w:r>
      <w:r>
        <w:t>$187</w:t>
      </w:r>
      <w:r>
        <w:rPr>
          <w:snapToGrid w:val="0"/>
        </w:rPr>
        <w:t>;</w:t>
      </w:r>
    </w:p>
    <w:p>
      <w:pPr>
        <w:pStyle w:val="Indenta"/>
        <w:tabs>
          <w:tab w:val="right" w:leader="dot" w:pos="7088"/>
        </w:tabs>
        <w:spacing w:before="100"/>
        <w:rPr>
          <w:snapToGrid w:val="0"/>
        </w:rPr>
      </w:pPr>
      <w:r>
        <w:rPr>
          <w:snapToGrid w:val="0"/>
        </w:rPr>
        <w:tab/>
        <w:t>(d)</w:t>
      </w:r>
      <w:r>
        <w:rPr>
          <w:snapToGrid w:val="0"/>
        </w:rPr>
        <w:tab/>
        <w:t>On provision of a copy of a transcript of</w:t>
      </w:r>
      <w:r>
        <w:rPr>
          <w:snapToGrid w:val="0"/>
        </w:rPr>
        <w:br/>
        <w:t xml:space="preserve">an appeal hearing, for each page </w:t>
      </w:r>
      <w:r>
        <w:rPr>
          <w:snapToGrid w:val="0"/>
        </w:rPr>
        <w:tab/>
        <w:t>$4;</w:t>
      </w:r>
    </w:p>
    <w:p>
      <w:pPr>
        <w:pStyle w:val="Indenta"/>
        <w:tabs>
          <w:tab w:val="right" w:leader="dot" w:pos="7088"/>
        </w:tabs>
        <w:spacing w:before="100"/>
        <w:rPr>
          <w:snapToGrid w:val="0"/>
        </w:rPr>
      </w:pPr>
      <w:r>
        <w:rPr>
          <w:snapToGrid w:val="0"/>
        </w:rPr>
        <w:tab/>
        <w:t>(e)</w:t>
      </w:r>
      <w:r>
        <w:rPr>
          <w:snapToGrid w:val="0"/>
        </w:rPr>
        <w:tab/>
        <w:t>On applying for the issue of a duplicate</w:t>
      </w:r>
      <w:r>
        <w:rPr>
          <w:snapToGrid w:val="0"/>
        </w:rPr>
        <w:br/>
        <w:t>licence</w:t>
      </w:r>
      <w:r>
        <w:rPr>
          <w:snapToGrid w:val="0"/>
        </w:rPr>
        <w:tab/>
      </w:r>
      <w:r>
        <w:t>$38</w:t>
      </w:r>
      <w:r>
        <w:rPr>
          <w:snapToGrid w:val="0"/>
        </w:rPr>
        <w:t>;</w:t>
      </w:r>
    </w:p>
    <w:p>
      <w:pPr>
        <w:pStyle w:val="Indenta"/>
        <w:tabs>
          <w:tab w:val="right" w:leader="dot" w:pos="7088"/>
        </w:tabs>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 xml:space="preserve">section 27A of the Act </w:t>
      </w:r>
      <w:r>
        <w:rPr>
          <w:snapToGrid w:val="0"/>
        </w:rPr>
        <w:tab/>
      </w:r>
      <w:r>
        <w:t>$712</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$122</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$122</w:t>
      </w:r>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 25 Jan 2019 p. 200; 22 Oct 2019 p. 3720</w:t>
      </w:r>
      <w:r>
        <w:noBreakHyphen/>
        <w:t>1; SL 2022/144 r. 4; SL 2023/156 r. 4.]</w:t>
      </w:r>
    </w:p>
    <w:p>
      <w:pPr>
        <w:pStyle w:val="Heading5"/>
        <w:rPr>
          <w:snapToGrid w:val="0"/>
        </w:rPr>
      </w:pPr>
      <w:bookmarkStart w:id="19" w:name="_Toc179460510"/>
      <w:r>
        <w:rPr>
          <w:rStyle w:val="CharSectno"/>
        </w:rPr>
        <w:lastRenderedPageBreak/>
        <w:t>17A</w:t>
      </w:r>
      <w:r>
        <w:rPr>
          <w:snapToGrid w:val="0"/>
        </w:rPr>
        <w:t>.</w:t>
      </w:r>
      <w:r>
        <w:rPr>
          <w:snapToGrid w:val="0"/>
        </w:rPr>
        <w:tab/>
        <w:t>Bookmakers’ annual licence fee</w:t>
      </w:r>
      <w:bookmarkEnd w:id="19"/>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tabs>
          <w:tab w:val="right" w:leader="dot" w:pos="7088"/>
        </w:tabs>
      </w:pPr>
      <w:r>
        <w:tab/>
        <w:t>(i)</w:t>
      </w:r>
      <w:r>
        <w:tab/>
        <w:t>on total turnover not exceeding</w:t>
      </w:r>
      <w:r>
        <w:br/>
        <w:t xml:space="preserve">$250 000 </w:t>
      </w:r>
      <w:r>
        <w:tab/>
        <w:t>$443.50;</w:t>
      </w:r>
    </w:p>
    <w:p>
      <w:pPr>
        <w:pStyle w:val="Indenti"/>
        <w:tabs>
          <w:tab w:val="right" w:leader="dot" w:pos="7088"/>
        </w:tabs>
      </w:pPr>
      <w:r>
        <w:tab/>
        <w:t>(ii)</w:t>
      </w:r>
      <w:r>
        <w:tab/>
        <w:t xml:space="preserve">on total turnover greater than </w:t>
      </w:r>
      <w:r>
        <w:br/>
        <w:t>$250 000 but not exceeding</w:t>
      </w:r>
      <w:r>
        <w:br/>
        <w:t xml:space="preserve">$1 000 000 </w:t>
      </w:r>
      <w:r>
        <w:tab/>
        <w:t>$906.50;</w:t>
      </w:r>
    </w:p>
    <w:p>
      <w:pPr>
        <w:pStyle w:val="Indenti"/>
        <w:tabs>
          <w:tab w:val="right" w:leader="dot" w:pos="7088"/>
        </w:tabs>
      </w:pPr>
      <w:r>
        <w:tab/>
        <w:t>(iii)</w:t>
      </w:r>
      <w:r>
        <w:tab/>
        <w:t>on total turnover greater than</w:t>
      </w:r>
      <w:r>
        <w:br/>
        <w:t xml:space="preserve">$1 000 000 </w:t>
      </w:r>
      <w:r>
        <w:tab/>
        <w:t>$1 361.50;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keepNext/>
        <w:rPr>
          <w:snapToGrid w:val="0"/>
        </w:rPr>
      </w:pPr>
      <w:r>
        <w:rPr>
          <w:snapToGrid w:val="0"/>
        </w:rPr>
        <w:tab/>
        <w:t>(3)</w:t>
      </w:r>
      <w:r>
        <w:rPr>
          <w:snapToGrid w:val="0"/>
        </w:rPr>
        <w:tab/>
        <w:t xml:space="preserve">The holder of the licence shall supply or make available to the Commission such other information as the Commission may </w:t>
      </w:r>
      <w:r>
        <w:rPr>
          <w:snapToGrid w:val="0"/>
        </w:rPr>
        <w:lastRenderedPageBreak/>
        <w:t>consider to be relevant to the assessment of any bookmakers’ annual licence fee at such time and in such manner as the Commission may, in writing, request.</w:t>
      </w:r>
    </w:p>
    <w:p>
      <w:pPr>
        <w:pStyle w:val="Footnotesection"/>
      </w:pPr>
      <w:r>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 22 Oct 2019 p. 3721; SL 2022/144 r. 4; SL 2023/156 r. 4.]</w:t>
      </w:r>
    </w:p>
    <w:p>
      <w:pPr>
        <w:pStyle w:val="Heading5"/>
        <w:rPr>
          <w:snapToGrid w:val="0"/>
        </w:rPr>
      </w:pPr>
      <w:bookmarkStart w:id="20" w:name="_Toc179460511"/>
      <w:r>
        <w:rPr>
          <w:rStyle w:val="CharSectno"/>
        </w:rPr>
        <w:t>17B</w:t>
      </w:r>
      <w:r>
        <w:rPr>
          <w:snapToGrid w:val="0"/>
        </w:rPr>
        <w:t>.</w:t>
      </w:r>
      <w:r>
        <w:rPr>
          <w:snapToGrid w:val="0"/>
        </w:rPr>
        <w:tab/>
        <w:t>On</w:t>
      </w:r>
      <w:r>
        <w:rPr>
          <w:snapToGrid w:val="0"/>
        </w:rPr>
        <w:noBreakHyphen/>
        <w:t>course totalisator annual licence fee</w:t>
      </w:r>
      <w:bookmarkEnd w:id="20"/>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$181 677 — $55;</w:t>
      </w:r>
    </w:p>
    <w:p>
      <w:pPr>
        <w:pStyle w:val="Indenti"/>
      </w:pPr>
      <w:r>
        <w:tab/>
        <w:t>(iii)</w:t>
      </w:r>
      <w:r>
        <w:tab/>
        <w:t>on total turnover greater than $181 677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lastRenderedPageBreak/>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 22 Oct 2019 p. 3721; SL 2022/144 r. 4; SL 2023/156 r. 4.]</w:t>
      </w:r>
    </w:p>
    <w:p>
      <w:pPr>
        <w:pStyle w:val="Heading5"/>
      </w:pPr>
      <w:bookmarkStart w:id="21" w:name="_Toc179460512"/>
      <w:r>
        <w:rPr>
          <w:rStyle w:val="CharSectno"/>
        </w:rPr>
        <w:t>17C</w:t>
      </w:r>
      <w:r>
        <w:rPr>
          <w:spacing w:val="-2"/>
        </w:rPr>
        <w:t>.</w:t>
      </w:r>
      <w:r>
        <w:rPr>
          <w:spacing w:val="-2"/>
        </w:rPr>
        <w:tab/>
      </w:r>
      <w:r>
        <w:t>Percentage of bets to belong to RWWA</w:t>
      </w:r>
      <w:bookmarkEnd w:id="21"/>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lastRenderedPageBreak/>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22" w:name="_Toc179460513"/>
      <w:r>
        <w:rPr>
          <w:rStyle w:val="CharSectno"/>
        </w:rPr>
        <w:t>17D</w:t>
      </w:r>
      <w:r>
        <w:t>.</w:t>
      </w:r>
      <w:r>
        <w:tab/>
        <w:t>Percentage of bets to belong to racing club</w:t>
      </w:r>
      <w:bookmarkEnd w:id="22"/>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23" w:name="_Toc179457458"/>
      <w:bookmarkStart w:id="24" w:name="_Toc179458313"/>
      <w:bookmarkStart w:id="25" w:name="_Toc179460514"/>
      <w:r>
        <w:rPr>
          <w:rStyle w:val="CharPartNo"/>
        </w:rPr>
        <w:lastRenderedPageBreak/>
        <w:t>Part 3</w:t>
      </w:r>
      <w:r>
        <w:rPr>
          <w:b w:val="0"/>
        </w:rPr>
        <w:t> </w:t>
      </w:r>
      <w:r>
        <w:t>—</w:t>
      </w:r>
      <w:r>
        <w:rPr>
          <w:b w:val="0"/>
        </w:rPr>
        <w:t> </w:t>
      </w:r>
      <w:r>
        <w:rPr>
          <w:rStyle w:val="CharPartText"/>
        </w:rPr>
        <w:t>Provisions relating to bookmakers</w:t>
      </w:r>
      <w:bookmarkEnd w:id="23"/>
      <w:bookmarkEnd w:id="24"/>
      <w:bookmarkEnd w:id="25"/>
    </w:p>
    <w:p>
      <w:pPr>
        <w:pStyle w:val="Footnoteheading"/>
      </w:pPr>
      <w:r>
        <w:tab/>
        <w:t>[Heading inserted: Gazette 21 Jul 2006 p. 2672.]</w:t>
      </w:r>
    </w:p>
    <w:p>
      <w:pPr>
        <w:pStyle w:val="Ednotesection"/>
      </w:pPr>
      <w:r>
        <w:t>[</w:t>
      </w:r>
      <w:r>
        <w:rPr>
          <w:b/>
        </w:rPr>
        <w:t>17E.</w:t>
      </w:r>
      <w:r>
        <w:tab/>
        <w:t>Deleted: Gazette 25 Jan 2019 p. 203.]</w:t>
      </w:r>
    </w:p>
    <w:p>
      <w:pPr>
        <w:pStyle w:val="Heading5"/>
      </w:pPr>
      <w:bookmarkStart w:id="26" w:name="_Toc179460515"/>
      <w:r>
        <w:rPr>
          <w:rStyle w:val="CharSectno"/>
        </w:rPr>
        <w:t>18</w:t>
      </w:r>
      <w:r>
        <w:t>.</w:t>
      </w:r>
      <w:r>
        <w:tab/>
        <w:t>Security to be given</w:t>
      </w:r>
      <w:bookmarkEnd w:id="26"/>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betting on approved events or double event betting, or both.............................................</w:t>
            </w:r>
          </w:p>
        </w:tc>
        <w:tc>
          <w:tcPr>
            <w:tcW w:w="1200" w:type="dxa"/>
          </w:tcPr>
          <w:p>
            <w:pPr>
              <w:pStyle w:val="TableNAm"/>
              <w:ind w:right="57"/>
              <w:jc w:val="right"/>
            </w:pPr>
            <w:r>
              <w:br/>
            </w:r>
            <w:r>
              <w:br/>
              <w:t>$100 000.</w:t>
            </w:r>
          </w:p>
        </w:tc>
      </w:tr>
    </w:tbl>
    <w:p>
      <w:pPr>
        <w:pStyle w:val="Subsection"/>
        <w:keepNext/>
        <w:keepLines/>
      </w:pPr>
      <w:r>
        <w:lastRenderedPageBreak/>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 25 Jan 2019 p. 201-2.]</w:t>
      </w:r>
    </w:p>
    <w:p>
      <w:pPr>
        <w:pStyle w:val="Ednotesection"/>
      </w:pPr>
      <w:r>
        <w:t>[</w:t>
      </w:r>
      <w:r>
        <w:rPr>
          <w:b/>
        </w:rPr>
        <w:t>19</w:t>
      </w:r>
      <w:r>
        <w:rPr>
          <w:b/>
        </w:rPr>
        <w:noBreakHyphen/>
        <w:t>24.</w:t>
      </w:r>
      <w:r>
        <w:tab/>
        <w:t>Deleted: Gazette 10 Jul 1992 p. 3289.]</w:t>
      </w:r>
    </w:p>
    <w:p>
      <w:pPr>
        <w:pStyle w:val="Heading5"/>
        <w:rPr>
          <w:snapToGrid w:val="0"/>
        </w:rPr>
      </w:pPr>
      <w:bookmarkStart w:id="27" w:name="_Toc179460516"/>
      <w:r>
        <w:rPr>
          <w:rStyle w:val="CharSectno"/>
        </w:rPr>
        <w:t>25</w:t>
      </w:r>
      <w:r>
        <w:rPr>
          <w:snapToGrid w:val="0"/>
        </w:rPr>
        <w:t>.</w:t>
      </w:r>
      <w:r>
        <w:rPr>
          <w:snapToGrid w:val="0"/>
        </w:rPr>
        <w:tab/>
        <w:t>Register</w:t>
      </w:r>
      <w:bookmarkEnd w:id="27"/>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28" w:name="_Toc179460517"/>
      <w:r>
        <w:rPr>
          <w:rStyle w:val="CharSectno"/>
        </w:rPr>
        <w:t>27</w:t>
      </w:r>
      <w:r>
        <w:rPr>
          <w:snapToGrid w:val="0"/>
        </w:rPr>
        <w:t>.</w:t>
      </w:r>
      <w:r>
        <w:rPr>
          <w:snapToGrid w:val="0"/>
        </w:rPr>
        <w:tab/>
        <w:t>Change of address</w:t>
      </w:r>
      <w:bookmarkEnd w:id="28"/>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w:t>
      </w:r>
      <w:r>
        <w:lastRenderedPageBreak/>
        <w:t xml:space="preserve">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Gazette 24 Jun 1988 p. 2004; 10 Jul 1992 p. 3286 and 3289; 25 Jun 1996 p. 2977; 20 Sep 2002 p. 4700; 30 Jan 2004 p. 412.]</w:t>
      </w:r>
    </w:p>
    <w:p>
      <w:pPr>
        <w:pStyle w:val="Heading5"/>
        <w:rPr>
          <w:snapToGrid w:val="0"/>
        </w:rPr>
      </w:pPr>
      <w:bookmarkStart w:id="29" w:name="_Toc179460518"/>
      <w:r>
        <w:rPr>
          <w:rStyle w:val="CharSectno"/>
        </w:rPr>
        <w:t>28</w:t>
      </w:r>
      <w:r>
        <w:rPr>
          <w:snapToGrid w:val="0"/>
        </w:rPr>
        <w:t>.</w:t>
      </w:r>
      <w:r>
        <w:rPr>
          <w:snapToGrid w:val="0"/>
        </w:rPr>
        <w:tab/>
        <w:t>Return of licence</w:t>
      </w:r>
      <w:bookmarkEnd w:id="29"/>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Gazette 24 Jun 1988 p. 2004; 10 Jul 1992 p. 3286 and 3289; 20 Sep 2002 p. 4700</w:t>
      </w:r>
      <w:r>
        <w:noBreakHyphen/>
        <w:t>1; 30 Jan 2004 p. 404 and 412.]</w:t>
      </w:r>
    </w:p>
    <w:p>
      <w:pPr>
        <w:pStyle w:val="Heading5"/>
        <w:spacing w:before="180"/>
        <w:rPr>
          <w:snapToGrid w:val="0"/>
        </w:rPr>
      </w:pPr>
      <w:bookmarkStart w:id="30" w:name="_Toc179460519"/>
      <w:r>
        <w:rPr>
          <w:rStyle w:val="CharSectno"/>
        </w:rPr>
        <w:lastRenderedPageBreak/>
        <w:t>29</w:t>
      </w:r>
      <w:r>
        <w:rPr>
          <w:snapToGrid w:val="0"/>
        </w:rPr>
        <w:t>.</w:t>
      </w:r>
      <w:r>
        <w:rPr>
          <w:snapToGrid w:val="0"/>
        </w:rPr>
        <w:tab/>
        <w:t>Production of licence</w:t>
      </w:r>
      <w:bookmarkEnd w:id="30"/>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Gazette 24 Jun 1988 p. 2004; 10 Jul 1992 p. 3286 and 3289; 20 Sep 2002 p. 4701; 30 Jan 2004 p. 405 and 412.]</w:t>
      </w:r>
    </w:p>
    <w:p>
      <w:pPr>
        <w:pStyle w:val="Heading5"/>
        <w:spacing w:before="180"/>
        <w:rPr>
          <w:snapToGrid w:val="0"/>
        </w:rPr>
      </w:pPr>
      <w:bookmarkStart w:id="31" w:name="_Toc179460520"/>
      <w:r>
        <w:rPr>
          <w:rStyle w:val="CharSectno"/>
        </w:rPr>
        <w:t>30</w:t>
      </w:r>
      <w:r>
        <w:rPr>
          <w:snapToGrid w:val="0"/>
        </w:rPr>
        <w:t>.</w:t>
      </w:r>
      <w:r>
        <w:rPr>
          <w:snapToGrid w:val="0"/>
        </w:rPr>
        <w:tab/>
        <w:t>Advertising</w:t>
      </w:r>
      <w:bookmarkEnd w:id="31"/>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32" w:name="_Toc179460521"/>
      <w:r>
        <w:rPr>
          <w:rStyle w:val="CharSectno"/>
        </w:rPr>
        <w:t>36</w:t>
      </w:r>
      <w:r>
        <w:rPr>
          <w:snapToGrid w:val="0"/>
        </w:rPr>
        <w:t>.</w:t>
      </w:r>
      <w:r>
        <w:rPr>
          <w:snapToGrid w:val="0"/>
        </w:rPr>
        <w:tab/>
        <w:t>Betting tickets</w:t>
      </w:r>
      <w:bookmarkEnd w:id="32"/>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lastRenderedPageBreak/>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keepNext/>
      </w:pPr>
      <w:r>
        <w:lastRenderedPageBreak/>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33" w:name="_Toc179460522"/>
      <w:r>
        <w:rPr>
          <w:rStyle w:val="CharSectno"/>
        </w:rPr>
        <w:t>37</w:t>
      </w:r>
      <w:r>
        <w:rPr>
          <w:snapToGrid w:val="0"/>
        </w:rPr>
        <w:t>.</w:t>
      </w:r>
      <w:r>
        <w:rPr>
          <w:snapToGrid w:val="0"/>
        </w:rPr>
        <w:tab/>
        <w:t>Written record of betting transactions</w:t>
      </w:r>
      <w:bookmarkEnd w:id="33"/>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lastRenderedPageBreak/>
        <w:tab/>
        <w:t>(k)</w:t>
      </w:r>
      <w:r>
        <w:rPr>
          <w:snapToGrid w:val="0"/>
        </w:rPr>
        <w:tab/>
        <w:t xml:space="preserve">where the bet is on </w:t>
      </w:r>
      <w:r>
        <w:t>an approved event</w:t>
      </w:r>
      <w:r>
        <w:rPr>
          <w:snapToGrid w:val="0"/>
        </w:rPr>
        <w:t xml:space="preserve">,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lastRenderedPageBreak/>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keepNext/>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lastRenderedPageBreak/>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Gazette 14 Feb 1992 p. 860</w:t>
      </w:r>
      <w:r>
        <w:noBreakHyphen/>
        <w:t>1; amended: Gazette 25 Jun 1996 p. 2977; 21 Jul 1998 p. 3853 and 3855; 2 Oct 2001 p. 5455; 30 Jan 2004 p. 412; 25 Sep 2009 p. 3752; 29 Nov 2013 p. 5467; 25 Jan 2019 p. 201-2.]</w:t>
      </w:r>
    </w:p>
    <w:p>
      <w:pPr>
        <w:pStyle w:val="Heading5"/>
        <w:rPr>
          <w:snapToGrid w:val="0"/>
        </w:rPr>
      </w:pPr>
      <w:bookmarkStart w:id="34" w:name="_Toc179460523"/>
      <w:r>
        <w:rPr>
          <w:rStyle w:val="CharSectno"/>
        </w:rPr>
        <w:t>38</w:t>
      </w:r>
      <w:r>
        <w:rPr>
          <w:snapToGrid w:val="0"/>
        </w:rPr>
        <w:t>.</w:t>
      </w:r>
      <w:r>
        <w:rPr>
          <w:snapToGrid w:val="0"/>
        </w:rPr>
        <w:tab/>
        <w:t>Supply of books</w:t>
      </w:r>
      <w:bookmarkEnd w:id="34"/>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35" w:name="_Toc179460524"/>
      <w:r>
        <w:rPr>
          <w:rStyle w:val="CharSectno"/>
        </w:rPr>
        <w:t>39</w:t>
      </w:r>
      <w:r>
        <w:rPr>
          <w:snapToGrid w:val="0"/>
        </w:rPr>
        <w:t>.</w:t>
      </w:r>
      <w:r>
        <w:rPr>
          <w:snapToGrid w:val="0"/>
        </w:rPr>
        <w:tab/>
        <w:t>Loss of books etc.</w:t>
      </w:r>
      <w:bookmarkEnd w:id="35"/>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36" w:name="_Toc179460525"/>
      <w:r>
        <w:rPr>
          <w:rStyle w:val="CharSectno"/>
        </w:rPr>
        <w:t>43</w:t>
      </w:r>
      <w:r>
        <w:rPr>
          <w:snapToGrid w:val="0"/>
        </w:rPr>
        <w:t>.</w:t>
      </w:r>
      <w:r>
        <w:rPr>
          <w:snapToGrid w:val="0"/>
        </w:rPr>
        <w:tab/>
        <w:t>Betting material</w:t>
      </w:r>
      <w:bookmarkEnd w:id="36"/>
    </w:p>
    <w:p>
      <w:pPr>
        <w:pStyle w:val="Ednotesubsection"/>
        <w:spacing w:before="140"/>
      </w:pPr>
      <w:r>
        <w:tab/>
        <w:t>[(1)</w:t>
      </w:r>
      <w:r>
        <w:tab/>
        <w:t>deleted]</w:t>
      </w:r>
    </w:p>
    <w:p>
      <w:pPr>
        <w:pStyle w:val="Subsection"/>
        <w:rPr>
          <w:snapToGrid w:val="0"/>
        </w:rPr>
      </w:pPr>
      <w:r>
        <w:rPr>
          <w:snapToGrid w:val="0"/>
        </w:rPr>
        <w:lastRenderedPageBreak/>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37" w:name="_Toc179460526"/>
      <w:r>
        <w:rPr>
          <w:rStyle w:val="CharSectno"/>
        </w:rPr>
        <w:t>48</w:t>
      </w:r>
      <w:r>
        <w:rPr>
          <w:snapToGrid w:val="0"/>
        </w:rPr>
        <w:t>.</w:t>
      </w:r>
      <w:r>
        <w:rPr>
          <w:snapToGrid w:val="0"/>
        </w:rPr>
        <w:tab/>
        <w:t>Rules of Betting</w:t>
      </w:r>
      <w:bookmarkEnd w:id="37"/>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38" w:name="_Toc179460527"/>
      <w:r>
        <w:rPr>
          <w:rStyle w:val="CharSectno"/>
        </w:rPr>
        <w:t>48A</w:t>
      </w:r>
      <w:r>
        <w:t>.</w:t>
      </w:r>
      <w:r>
        <w:tab/>
        <w:t>Minimum bet obligations</w:t>
      </w:r>
      <w:bookmarkEnd w:id="38"/>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39" w:name="_Toc179460528"/>
      <w:r>
        <w:rPr>
          <w:rStyle w:val="CharSectno"/>
        </w:rPr>
        <w:t>49</w:t>
      </w:r>
      <w:r>
        <w:t>.</w:t>
      </w:r>
      <w:r>
        <w:tab/>
        <w:t>Bets on more than one result</w:t>
      </w:r>
      <w:bookmarkEnd w:id="39"/>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lastRenderedPageBreak/>
        <w:tab/>
        <w:t>(b)</w:t>
      </w:r>
      <w:r>
        <w:tab/>
        <w:t>in the context of an approved event an approval under section 4B provides otherwise.</w:t>
      </w:r>
    </w:p>
    <w:p>
      <w:pPr>
        <w:pStyle w:val="Footnotesection"/>
      </w:pPr>
      <w:r>
        <w:tab/>
        <w:t>[Regulation 49 inserted: Gazette 21 Jul 1998 p. 3853; amended: 25 Jan 2019 p. 201-2.]</w:t>
      </w:r>
    </w:p>
    <w:p>
      <w:pPr>
        <w:pStyle w:val="Heading5"/>
      </w:pPr>
      <w:bookmarkStart w:id="40" w:name="_Toc179460529"/>
      <w:r>
        <w:rPr>
          <w:rStyle w:val="CharSectno"/>
        </w:rPr>
        <w:t>50</w:t>
      </w:r>
      <w:r>
        <w:t>.</w:t>
      </w:r>
      <w:r>
        <w:tab/>
        <w:t>Permitted bets</w:t>
      </w:r>
      <w:bookmarkEnd w:id="40"/>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 25 Jan 2019 p. 201-2.]</w:t>
      </w:r>
    </w:p>
    <w:p>
      <w:pPr>
        <w:pStyle w:val="Heading5"/>
        <w:rPr>
          <w:snapToGrid w:val="0"/>
        </w:rPr>
      </w:pPr>
      <w:bookmarkStart w:id="41" w:name="_Toc179460530"/>
      <w:r>
        <w:rPr>
          <w:rStyle w:val="CharSectno"/>
        </w:rPr>
        <w:t>51</w:t>
      </w:r>
      <w:r>
        <w:rPr>
          <w:snapToGrid w:val="0"/>
        </w:rPr>
        <w:t>.</w:t>
      </w:r>
      <w:r>
        <w:rPr>
          <w:snapToGrid w:val="0"/>
        </w:rPr>
        <w:tab/>
        <w:t>Place betting</w:t>
      </w:r>
      <w:bookmarkEnd w:id="41"/>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 xml:space="preserve">in the context of </w:t>
      </w:r>
      <w:r>
        <w:t>an approved event</w:t>
      </w:r>
      <w:r>
        <w:rPr>
          <w:snapToGrid w:val="0"/>
        </w:rPr>
        <w:t xml:space="preserve">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lastRenderedPageBreak/>
        <w:tab/>
        <w:t>(3)</w:t>
      </w:r>
      <w:r>
        <w:rPr>
          <w:snapToGrid w:val="0"/>
        </w:rPr>
        <w:tab/>
        <w:t xml:space="preserve">Where place betting is permitted a bookmaker who offers odds against a runner, or competitor or contingency in the context of </w:t>
      </w:r>
      <w:r>
        <w:t>an approved event</w:t>
      </w:r>
      <w:r>
        <w:rPr>
          <w:snapToGrid w:val="0"/>
        </w:rPr>
        <w:t xml:space="preserve">, shall, unless the favourite is at “odds on” at the time the bet is laid, accept a win and place bet on that runner, or competitor or contingency in the context of </w:t>
      </w:r>
      <w:r>
        <w:t>an approved event</w:t>
      </w:r>
      <w:r>
        <w:rPr>
          <w:snapToGrid w:val="0"/>
        </w:rPr>
        <w:t>, if that bet is demanded by the backer.</w:t>
      </w:r>
    </w:p>
    <w:p>
      <w:pPr>
        <w:pStyle w:val="Penstart"/>
        <w:rPr>
          <w:snapToGrid w:val="0"/>
        </w:rPr>
      </w:pPr>
      <w:r>
        <w:rPr>
          <w:snapToGrid w:val="0"/>
        </w:rPr>
        <w:tab/>
        <w:t>Penalty: $200.</w:t>
      </w:r>
    </w:p>
    <w:p>
      <w:pPr>
        <w:pStyle w:val="Footnotesection"/>
      </w:pPr>
      <w:r>
        <w:tab/>
        <w:t>[Regulation 51 amended: Gazette 24 Jun 1988 p. 2005; 14 Sep 1990 p. 4863; 10 Jul 1992 p. 3291; 21 Jul 1998 p. 3854 and 3855; 20 Sep 2002 p. 4702; 25 Jan 2019 p. 201</w:t>
      </w:r>
      <w:r>
        <w:noBreakHyphen/>
        <w:t>2.]</w:t>
      </w:r>
    </w:p>
    <w:p>
      <w:pPr>
        <w:pStyle w:val="Heading5"/>
        <w:spacing w:before="260"/>
        <w:rPr>
          <w:snapToGrid w:val="0"/>
        </w:rPr>
      </w:pPr>
      <w:bookmarkStart w:id="42" w:name="_Toc179460531"/>
      <w:r>
        <w:rPr>
          <w:rStyle w:val="CharSectno"/>
        </w:rPr>
        <w:t>52</w:t>
      </w:r>
      <w:r>
        <w:rPr>
          <w:snapToGrid w:val="0"/>
        </w:rPr>
        <w:t>.</w:t>
      </w:r>
      <w:r>
        <w:rPr>
          <w:snapToGrid w:val="0"/>
        </w:rPr>
        <w:tab/>
        <w:t>Concession betting</w:t>
      </w:r>
      <w:bookmarkEnd w:id="42"/>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Gazette 24 Jun 1988 p. 2005; 10 Jul 1992 p. 3291.]</w:t>
      </w:r>
    </w:p>
    <w:p>
      <w:pPr>
        <w:pStyle w:val="Heading5"/>
        <w:rPr>
          <w:snapToGrid w:val="0"/>
        </w:rPr>
      </w:pPr>
      <w:bookmarkStart w:id="43" w:name="_Toc179460532"/>
      <w:r>
        <w:rPr>
          <w:rStyle w:val="CharSectno"/>
        </w:rPr>
        <w:t>53</w:t>
      </w:r>
      <w:r>
        <w:rPr>
          <w:snapToGrid w:val="0"/>
        </w:rPr>
        <w:t>.</w:t>
      </w:r>
      <w:r>
        <w:rPr>
          <w:snapToGrid w:val="0"/>
        </w:rPr>
        <w:tab/>
        <w:t>Doubles other than multiple doubles</w:t>
      </w:r>
      <w:bookmarkEnd w:id="43"/>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Gazette 24 Jun 1988 p. 2005; 30 Jan 2004 p. 412.]</w:t>
      </w:r>
    </w:p>
    <w:p>
      <w:pPr>
        <w:pStyle w:val="Heading5"/>
        <w:rPr>
          <w:snapToGrid w:val="0"/>
        </w:rPr>
      </w:pPr>
      <w:bookmarkStart w:id="44" w:name="_Toc179460533"/>
      <w:r>
        <w:rPr>
          <w:rStyle w:val="CharSectno"/>
        </w:rPr>
        <w:t>54</w:t>
      </w:r>
      <w:r>
        <w:rPr>
          <w:snapToGrid w:val="0"/>
        </w:rPr>
        <w:t>.</w:t>
      </w:r>
      <w:r>
        <w:rPr>
          <w:snapToGrid w:val="0"/>
        </w:rPr>
        <w:tab/>
        <w:t>Trebles</w:t>
      </w:r>
      <w:bookmarkEnd w:id="44"/>
    </w:p>
    <w:p>
      <w:pPr>
        <w:pStyle w:val="Subsection"/>
        <w:spacing w:before="180"/>
        <w:rPr>
          <w:snapToGrid w:val="0"/>
        </w:rPr>
      </w:pPr>
      <w:r>
        <w:rPr>
          <w:snapToGrid w:val="0"/>
        </w:rPr>
        <w:tab/>
      </w:r>
      <w:r>
        <w:rPr>
          <w:snapToGrid w:val="0"/>
        </w:rPr>
        <w:tab/>
        <w:t xml:space="preserve">No bookmaker shall make a treble event bet, except in respect of such events or subject to such conditions and the chart being </w:t>
      </w:r>
      <w:r>
        <w:rPr>
          <w:snapToGrid w:val="0"/>
        </w:rPr>
        <w:lastRenderedPageBreak/>
        <w:t>in such form as the Commission may from time to time approve.</w:t>
      </w:r>
    </w:p>
    <w:p>
      <w:pPr>
        <w:pStyle w:val="Penstart"/>
        <w:rPr>
          <w:snapToGrid w:val="0"/>
        </w:rPr>
      </w:pPr>
      <w:r>
        <w:rPr>
          <w:snapToGrid w:val="0"/>
        </w:rPr>
        <w:tab/>
        <w:t>Penalty: $200.</w:t>
      </w:r>
    </w:p>
    <w:p>
      <w:pPr>
        <w:pStyle w:val="Footnotesection"/>
      </w:pPr>
      <w:r>
        <w:tab/>
        <w:t>[Regulation 54 amended: Gazette 24 Jun 1988 p. 2005; 30 Jan 2004 p. 412.]</w:t>
      </w:r>
    </w:p>
    <w:p>
      <w:pPr>
        <w:pStyle w:val="Heading5"/>
        <w:spacing w:before="260"/>
        <w:rPr>
          <w:snapToGrid w:val="0"/>
        </w:rPr>
      </w:pPr>
      <w:bookmarkStart w:id="45" w:name="_Toc179460534"/>
      <w:r>
        <w:rPr>
          <w:rStyle w:val="CharSectno"/>
        </w:rPr>
        <w:t>55</w:t>
      </w:r>
      <w:r>
        <w:rPr>
          <w:snapToGrid w:val="0"/>
        </w:rPr>
        <w:t>.</w:t>
      </w:r>
      <w:r>
        <w:rPr>
          <w:snapToGrid w:val="0"/>
        </w:rPr>
        <w:tab/>
        <w:t>All</w:t>
      </w:r>
      <w:r>
        <w:rPr>
          <w:snapToGrid w:val="0"/>
        </w:rPr>
        <w:noBreakHyphen/>
        <w:t>up</w:t>
      </w:r>
      <w:bookmarkEnd w:id="45"/>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Gazette 24 Jun 1988 p. 2005.]</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46" w:name="_Toc179460535"/>
      <w:r>
        <w:rPr>
          <w:rStyle w:val="CharSectno"/>
        </w:rPr>
        <w:t>57</w:t>
      </w:r>
      <w:r>
        <w:rPr>
          <w:snapToGrid w:val="0"/>
        </w:rPr>
        <w:t>.</w:t>
      </w:r>
      <w:r>
        <w:rPr>
          <w:snapToGrid w:val="0"/>
        </w:rPr>
        <w:tab/>
        <w:t>Stand</w:t>
      </w:r>
      <w:bookmarkEnd w:id="46"/>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Gazette 24 Jun 1988 p. 2005; 10 Jul 1992 p. 3291; 21 Jul 1998 p. 3854.]</w:t>
      </w:r>
    </w:p>
    <w:p>
      <w:pPr>
        <w:pStyle w:val="Heading5"/>
        <w:spacing w:before="260"/>
        <w:rPr>
          <w:snapToGrid w:val="0"/>
        </w:rPr>
      </w:pPr>
      <w:bookmarkStart w:id="47" w:name="_Toc179460536"/>
      <w:r>
        <w:rPr>
          <w:rStyle w:val="CharSectno"/>
        </w:rPr>
        <w:t>58</w:t>
      </w:r>
      <w:r>
        <w:rPr>
          <w:snapToGrid w:val="0"/>
        </w:rPr>
        <w:t>.</w:t>
      </w:r>
      <w:r>
        <w:rPr>
          <w:snapToGrid w:val="0"/>
        </w:rPr>
        <w:tab/>
        <w:t>Use of stand</w:t>
      </w:r>
      <w:bookmarkEnd w:id="47"/>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w:t>
      </w:r>
      <w:r>
        <w:rPr>
          <w:snapToGrid w:val="0"/>
        </w:rPr>
        <w:lastRenderedPageBreak/>
        <w:t>race on the programme at any meeting on which the bookmaker is operating.</w:t>
      </w:r>
    </w:p>
    <w:p>
      <w:pPr>
        <w:pStyle w:val="Footnotesection"/>
      </w:pPr>
      <w:r>
        <w:tab/>
        <w:t>[Regulation 58 amended: Gazette 24 Jun 1988 p. 2005; 10 Jul 1992 p. 3291; 20 Sep 2002 p. 4702.]</w:t>
      </w:r>
    </w:p>
    <w:p>
      <w:pPr>
        <w:pStyle w:val="Heading5"/>
        <w:keepLines w:val="0"/>
      </w:pPr>
      <w:bookmarkStart w:id="48" w:name="_Toc179460537"/>
      <w:r>
        <w:rPr>
          <w:rStyle w:val="CharSectno"/>
        </w:rPr>
        <w:t>59</w:t>
      </w:r>
      <w:r>
        <w:t>.</w:t>
      </w:r>
      <w:r>
        <w:tab/>
        <w:t>Name of bookmaker to be shown</w:t>
      </w:r>
      <w:bookmarkEnd w:id="48"/>
    </w:p>
    <w:p>
      <w:pPr>
        <w:pStyle w:val="Subsection"/>
        <w:keepNext/>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w:t>
      </w:r>
    </w:p>
    <w:p>
      <w:pPr>
        <w:pStyle w:val="Heading5"/>
        <w:spacing w:before="240"/>
        <w:rPr>
          <w:snapToGrid w:val="0"/>
        </w:rPr>
      </w:pPr>
      <w:bookmarkStart w:id="49" w:name="_Toc179460538"/>
      <w:r>
        <w:rPr>
          <w:rStyle w:val="CharSectno"/>
        </w:rPr>
        <w:t>60</w:t>
      </w:r>
      <w:r>
        <w:rPr>
          <w:snapToGrid w:val="0"/>
        </w:rPr>
        <w:t>.</w:t>
      </w:r>
      <w:r>
        <w:rPr>
          <w:snapToGrid w:val="0"/>
        </w:rPr>
        <w:tab/>
        <w:t>Betting boards etc. to be approved</w:t>
      </w:r>
      <w:bookmarkEnd w:id="49"/>
    </w:p>
    <w:p>
      <w:pPr>
        <w:pStyle w:val="Subsection"/>
        <w:spacing w:before="180"/>
        <w:rPr>
          <w:snapToGrid w:val="0"/>
        </w:rPr>
      </w:pPr>
      <w:r>
        <w:rPr>
          <w:snapToGrid w:val="0"/>
        </w:rPr>
        <w:tab/>
      </w:r>
      <w:r>
        <w:rPr>
          <w:snapToGrid w:val="0"/>
        </w:rPr>
        <w:tab/>
        <w:t xml:space="preserve">No bookmaker carrying on business as a bookmaker at a race meeting shall use or display any betting board, tablet or sign, or display the name of that bookmaker or the names of runners, or in the context of </w:t>
      </w:r>
      <w:r>
        <w:t>an approved event</w:t>
      </w:r>
      <w:r>
        <w:rPr>
          <w:snapToGrid w:val="0"/>
        </w:rPr>
        <w:t xml:space="preserve"> the name of every competitor and a description of each contingency on which betting is approved, or the odds the bookmaker is prepared to bet, unless such betting board, tablet or sign, and the manner in which names and odds are displayed is in accordance with the </w:t>
      </w:r>
      <w:r>
        <w:rPr>
          <w:snapToGrid w:val="0"/>
        </w:rPr>
        <w:lastRenderedPageBreak/>
        <w:t>requirements of, or has the approval of, the committee or other authority controlling the race meeting.</w:t>
      </w:r>
    </w:p>
    <w:p>
      <w:pPr>
        <w:pStyle w:val="Footnotesection"/>
      </w:pPr>
      <w:r>
        <w:tab/>
        <w:t>[Regulation 60 amended: Gazette 24 Jun 1988 p. 2005; 10 Jul 1992 p. 3291; 21 Jul 1998 p. 3856; 25 Jan 2019 p. 201</w:t>
      </w:r>
      <w:r>
        <w:noBreakHyphen/>
        <w:t>2.]</w:t>
      </w:r>
    </w:p>
    <w:p>
      <w:pPr>
        <w:pStyle w:val="Heading5"/>
        <w:spacing w:before="240"/>
        <w:rPr>
          <w:snapToGrid w:val="0"/>
        </w:rPr>
      </w:pPr>
      <w:bookmarkStart w:id="50" w:name="_Toc179460539"/>
      <w:r>
        <w:rPr>
          <w:rStyle w:val="CharSectno"/>
        </w:rPr>
        <w:t>61</w:t>
      </w:r>
      <w:r>
        <w:rPr>
          <w:snapToGrid w:val="0"/>
        </w:rPr>
        <w:t>.</w:t>
      </w:r>
      <w:r>
        <w:rPr>
          <w:snapToGrid w:val="0"/>
        </w:rPr>
        <w:tab/>
        <w:t>Betting boards</w:t>
      </w:r>
      <w:bookmarkEnd w:id="50"/>
    </w:p>
    <w:p>
      <w:pPr>
        <w:pStyle w:val="Subsection"/>
        <w:rPr>
          <w:snapToGrid w:val="0"/>
        </w:rPr>
      </w:pPr>
      <w:r>
        <w:rPr>
          <w:snapToGrid w:val="0"/>
        </w:rPr>
        <w:tab/>
        <w:t>(1)</w:t>
      </w:r>
      <w:r>
        <w:rPr>
          <w:snapToGrid w:val="0"/>
        </w:rPr>
        <w:tab/>
        <w:t xml:space="preserve">A licensed bookmaker who carries on business as a bookmaker at a race meeting shall display a betting board on which is listed the names of the runners in each race in the same order as they appear in the official race book published for that race meeting or in the context of </w:t>
      </w:r>
      <w:r>
        <w:t>an approved event</w:t>
      </w:r>
      <w:r>
        <w:rPr>
          <w:snapToGrid w:val="0"/>
        </w:rPr>
        <w:t xml:space="preserve">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 25 Jan 2019 p. 201</w:t>
      </w:r>
      <w:r>
        <w:noBreakHyphen/>
        <w:t>2.]</w:t>
      </w:r>
    </w:p>
    <w:p>
      <w:pPr>
        <w:pStyle w:val="Heading5"/>
        <w:rPr>
          <w:snapToGrid w:val="0"/>
        </w:rPr>
      </w:pPr>
      <w:bookmarkStart w:id="51" w:name="_Toc179460540"/>
      <w:r>
        <w:rPr>
          <w:rStyle w:val="CharSectno"/>
        </w:rPr>
        <w:lastRenderedPageBreak/>
        <w:t>62</w:t>
      </w:r>
      <w:r>
        <w:rPr>
          <w:snapToGrid w:val="0"/>
        </w:rPr>
        <w:t>.</w:t>
      </w:r>
      <w:r>
        <w:rPr>
          <w:snapToGrid w:val="0"/>
        </w:rPr>
        <w:tab/>
        <w:t>Omissions from betting board etc.</w:t>
      </w:r>
      <w:bookmarkEnd w:id="51"/>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No bookmaker shall bet or offer to bet on any runner, or in the context of </w:t>
      </w:r>
      <w:r>
        <w:t xml:space="preserve">an approved event </w:t>
      </w:r>
      <w:r>
        <w:rPr>
          <w:snapToGrid w:val="0"/>
        </w:rPr>
        <w:t>any competitor or contingency, which is not at that time included in the official list.</w:t>
      </w:r>
    </w:p>
    <w:p>
      <w:pPr>
        <w:pStyle w:val="Footnotesection"/>
      </w:pPr>
      <w:r>
        <w:tab/>
        <w:t>[Regulation 62 amended: Gazette 10 Jul 1992 p. 3292; 21 Jul 1998 p. 3855; 20 Sep 2002 p. 4703; 25 Jan 2019 p. 201</w:t>
      </w:r>
      <w:r>
        <w:noBreakHyphen/>
        <w:t>2.]</w:t>
      </w:r>
    </w:p>
    <w:p>
      <w:pPr>
        <w:pStyle w:val="Heading5"/>
        <w:rPr>
          <w:snapToGrid w:val="0"/>
        </w:rPr>
      </w:pPr>
      <w:bookmarkStart w:id="52" w:name="_Toc179460541"/>
      <w:r>
        <w:rPr>
          <w:rStyle w:val="CharSectno"/>
        </w:rPr>
        <w:t>63</w:t>
      </w:r>
      <w:r>
        <w:rPr>
          <w:snapToGrid w:val="0"/>
        </w:rPr>
        <w:t>.</w:t>
      </w:r>
      <w:r>
        <w:rPr>
          <w:snapToGrid w:val="0"/>
        </w:rPr>
        <w:tab/>
        <w:t>Bets with domestic betting operators and totalisators</w:t>
      </w:r>
      <w:bookmarkEnd w:id="52"/>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keepNext/>
        <w:spacing w:before="180"/>
        <w:rPr>
          <w:snapToGrid w:val="0"/>
        </w:rPr>
      </w:pPr>
      <w:r>
        <w:rPr>
          <w:snapToGrid w:val="0"/>
        </w:rPr>
        <w:lastRenderedPageBreak/>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approved event to which the bet relates; or</w:t>
      </w:r>
    </w:p>
    <w:p>
      <w:pPr>
        <w:pStyle w:val="Indenta"/>
      </w:pPr>
      <w:r>
        <w:tab/>
        <w:t>(b)</w:t>
      </w:r>
      <w:r>
        <w:tab/>
        <w:t>for any other races, race meetings or approved events in relation to which the bookmaker has accepted bets.</w:t>
      </w:r>
    </w:p>
    <w:p>
      <w:pPr>
        <w:pStyle w:val="Footnotesection"/>
      </w:pPr>
      <w:r>
        <w:tab/>
        <w:t>[Regulation 63 amended: Gazette 24 Jun 1988 p. 2005; 10 Jul 1992 p. 3293; 21 Jul 1998 p. 3855 and 3856; 17 Dec 2002 p. 5924; 14 Jun 2013 p. 2241-2; 25 Jan 2019 p. 201-2.]</w:t>
      </w:r>
    </w:p>
    <w:p>
      <w:pPr>
        <w:pStyle w:val="Heading5"/>
      </w:pPr>
      <w:bookmarkStart w:id="53" w:name="_Toc179460542"/>
      <w:r>
        <w:rPr>
          <w:rStyle w:val="CharSectno"/>
        </w:rPr>
        <w:lastRenderedPageBreak/>
        <w:t>64</w:t>
      </w:r>
      <w:r>
        <w:t>.</w:t>
      </w:r>
      <w:r>
        <w:tab/>
        <w:t>Bet back by means of a betting exchange</w:t>
      </w:r>
      <w:bookmarkEnd w:id="53"/>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keepNext/>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approved event to which the bet relates; or</w:t>
      </w:r>
    </w:p>
    <w:p>
      <w:pPr>
        <w:pStyle w:val="Indenta"/>
        <w:spacing w:before="60"/>
      </w:pPr>
      <w:r>
        <w:tab/>
        <w:t>(b)</w:t>
      </w:r>
      <w:r>
        <w:tab/>
        <w:t>for any other races, race meetings or approved events in relation to which the bookmaker has accepted bets.</w:t>
      </w:r>
    </w:p>
    <w:p>
      <w:pPr>
        <w:pStyle w:val="Footnotesection"/>
        <w:spacing w:before="100"/>
      </w:pPr>
      <w:r>
        <w:tab/>
        <w:t>[Regulation 64 inserted: Gazette 14 Jun 2013 p. 2242-3; amended: 25 Jan 2019 p. 201-2.]</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54" w:name="_Toc179460543"/>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54"/>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w:t>
      </w:r>
      <w:r>
        <w:rPr>
          <w:snapToGrid w:val="0"/>
        </w:rPr>
        <w:lastRenderedPageBreak/>
        <w:t>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55" w:name="_Toc179460544"/>
      <w:r>
        <w:rPr>
          <w:rStyle w:val="CharSectno"/>
        </w:rPr>
        <w:t>71</w:t>
      </w:r>
      <w:r>
        <w:rPr>
          <w:snapToGrid w:val="0"/>
        </w:rPr>
        <w:t>.</w:t>
      </w:r>
      <w:r>
        <w:rPr>
          <w:snapToGrid w:val="0"/>
        </w:rPr>
        <w:tab/>
        <w:t>Telephone betting on approved events</w:t>
      </w:r>
      <w:bookmarkEnd w:id="55"/>
    </w:p>
    <w:p>
      <w:pPr>
        <w:pStyle w:val="Subsection"/>
        <w:spacing w:before="140"/>
        <w:rPr>
          <w:snapToGrid w:val="0"/>
        </w:rPr>
      </w:pPr>
      <w:r>
        <w:rPr>
          <w:snapToGrid w:val="0"/>
        </w:rPr>
        <w:tab/>
        <w:t>(1)</w:t>
      </w:r>
      <w:r>
        <w:rPr>
          <w:snapToGrid w:val="0"/>
        </w:rPr>
        <w:tab/>
        <w:t xml:space="preserve">When betting on </w:t>
      </w:r>
      <w:r>
        <w:t xml:space="preserve">an event, </w:t>
      </w:r>
      <w:r>
        <w:rPr>
          <w:snapToGrid w:val="0"/>
        </w:rPr>
        <w:t>or a contingency, is approved under section 4B a licensee who is so authorised by endorsement on the licence may carry on business as a bookmaker by means of on</w:t>
      </w:r>
      <w:r>
        <w:rPr>
          <w:snapToGrid w:val="0"/>
        </w:rPr>
        <w:noBreakHyphen/>
        <w:t xml:space="preserve">course telephone betting in relation to </w:t>
      </w:r>
      <w:r>
        <w:t>that event</w:t>
      </w:r>
      <w:r>
        <w:rPr>
          <w:snapToGrid w:val="0"/>
        </w:rPr>
        <w:t xml:space="preserve">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w:t>
      </w:r>
      <w:r>
        <w:rPr>
          <w:snapToGrid w:val="0"/>
        </w:rPr>
        <w:lastRenderedPageBreak/>
        <w:t>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412; 25 Jan 2019 p. 200 and 203.]</w:t>
      </w:r>
    </w:p>
    <w:p>
      <w:pPr>
        <w:pStyle w:val="Heading5"/>
        <w:rPr>
          <w:snapToGrid w:val="0"/>
        </w:rPr>
      </w:pPr>
      <w:bookmarkStart w:id="56" w:name="_Toc179460545"/>
      <w:r>
        <w:rPr>
          <w:rStyle w:val="CharSectno"/>
        </w:rPr>
        <w:t>72</w:t>
      </w:r>
      <w:r>
        <w:rPr>
          <w:snapToGrid w:val="0"/>
        </w:rPr>
        <w:t>.</w:t>
      </w:r>
      <w:r>
        <w:rPr>
          <w:snapToGrid w:val="0"/>
        </w:rPr>
        <w:tab/>
        <w:t>Telephone betting on racing</w:t>
      </w:r>
      <w:bookmarkEnd w:id="56"/>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lastRenderedPageBreak/>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pPr>
      <w:r>
        <w:lastRenderedPageBreak/>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 25 Jan 2019 p. 203.]</w:t>
      </w:r>
    </w:p>
    <w:p>
      <w:pPr>
        <w:pStyle w:val="Heading5"/>
      </w:pPr>
      <w:bookmarkStart w:id="57" w:name="_Toc179460546"/>
      <w:r>
        <w:rPr>
          <w:rStyle w:val="CharSectno"/>
        </w:rPr>
        <w:t>73</w:t>
      </w:r>
      <w:r>
        <w:t>.</w:t>
      </w:r>
      <w:r>
        <w:tab/>
        <w:t>Credit betting other than by telephone</w:t>
      </w:r>
      <w:bookmarkEnd w:id="57"/>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58" w:name="_Toc179460547"/>
      <w:r>
        <w:rPr>
          <w:rStyle w:val="CharSectno"/>
        </w:rPr>
        <w:t>74</w:t>
      </w:r>
      <w:r>
        <w:t>.</w:t>
      </w:r>
      <w:r>
        <w:tab/>
        <w:t>Internet betting (approved events)</w:t>
      </w:r>
      <w:bookmarkEnd w:id="58"/>
    </w:p>
    <w:p>
      <w:pPr>
        <w:pStyle w:val="Subsection"/>
      </w:pPr>
      <w:r>
        <w:tab/>
      </w:r>
      <w:r>
        <w:tab/>
        <w:t>When betting on an event, or a contingency, is approved under section 4B a licensee who is so authorised by endorsement on the licence may carry on business as a bookmaker by means of on</w:t>
      </w:r>
      <w:r>
        <w:noBreakHyphen/>
        <w:t>course internet betting, in relation to that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keepNext/>
      </w:pPr>
      <w:r>
        <w:lastRenderedPageBreak/>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 25 Jan 2019 p. 200.]</w:t>
      </w:r>
    </w:p>
    <w:p>
      <w:pPr>
        <w:pStyle w:val="Heading5"/>
      </w:pPr>
      <w:bookmarkStart w:id="59" w:name="_Toc179460548"/>
      <w:r>
        <w:rPr>
          <w:rStyle w:val="CharSectno"/>
        </w:rPr>
        <w:t>75</w:t>
      </w:r>
      <w:r>
        <w:t>.</w:t>
      </w:r>
      <w:r>
        <w:tab/>
        <w:t>Internet betting (racing)</w:t>
      </w:r>
      <w:bookmarkEnd w:id="59"/>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60" w:name="_Toc179460549"/>
      <w:r>
        <w:rPr>
          <w:rStyle w:val="CharSectno"/>
        </w:rPr>
        <w:t>76</w:t>
      </w:r>
      <w:r>
        <w:t>.</w:t>
      </w:r>
      <w:r>
        <w:tab/>
        <w:t>Procedures for internet betting</w:t>
      </w:r>
      <w:bookmarkEnd w:id="60"/>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lastRenderedPageBreak/>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w:t>
      </w:r>
    </w:p>
    <w:p>
      <w:pPr>
        <w:pStyle w:val="Footnotesection"/>
      </w:pPr>
      <w:r>
        <w:tab/>
        <w:t>[Regulation 76 inserted: Gazette 26 Nov 1999 p. 5910; amended: Gazette 30 Jan 2004 p. 406 and 412; 25 Jan 2019 p. 203.]</w:t>
      </w:r>
    </w:p>
    <w:p>
      <w:pPr>
        <w:pStyle w:val="Heading5"/>
      </w:pPr>
      <w:bookmarkStart w:id="61" w:name="_Toc179460550"/>
      <w:r>
        <w:rPr>
          <w:rStyle w:val="CharSectno"/>
        </w:rPr>
        <w:t>77</w:t>
      </w:r>
      <w:r>
        <w:t>.</w:t>
      </w:r>
      <w:r>
        <w:tab/>
        <w:t>Form of search warrant</w:t>
      </w:r>
      <w:bookmarkEnd w:id="61"/>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pPr>
      <w:bookmarkStart w:id="62" w:name="_Toc179457495"/>
      <w:bookmarkStart w:id="63" w:name="_Toc179458350"/>
      <w:bookmarkStart w:id="64" w:name="_Toc179460551"/>
      <w:r>
        <w:rPr>
          <w:rStyle w:val="CharPartNo"/>
        </w:rPr>
        <w:lastRenderedPageBreak/>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62"/>
      <w:bookmarkEnd w:id="63"/>
      <w:bookmarkEnd w:id="64"/>
    </w:p>
    <w:p>
      <w:pPr>
        <w:pStyle w:val="Footnoteheading"/>
      </w:pPr>
      <w:r>
        <w:tab/>
        <w:t>[Heading inserted: Gazette 21 Jul 2006 p. 2673.]</w:t>
      </w:r>
    </w:p>
    <w:p>
      <w:pPr>
        <w:pStyle w:val="Heading3"/>
      </w:pPr>
      <w:bookmarkStart w:id="65" w:name="_Toc179457496"/>
      <w:bookmarkStart w:id="66" w:name="_Toc179458351"/>
      <w:bookmarkStart w:id="67" w:name="_Toc179460552"/>
      <w:r>
        <w:rPr>
          <w:rStyle w:val="CharDivNo"/>
        </w:rPr>
        <w:t>Division 1</w:t>
      </w:r>
      <w:r>
        <w:t> — </w:t>
      </w:r>
      <w:r>
        <w:rPr>
          <w:rStyle w:val="CharDivText"/>
        </w:rPr>
        <w:t>Preliminary</w:t>
      </w:r>
      <w:bookmarkEnd w:id="65"/>
      <w:bookmarkEnd w:id="66"/>
      <w:bookmarkEnd w:id="67"/>
    </w:p>
    <w:p>
      <w:pPr>
        <w:pStyle w:val="Footnoteheading"/>
      </w:pPr>
      <w:r>
        <w:tab/>
        <w:t>[Heading inserted: Gazette 21 Jul 2006 p. 2673.]</w:t>
      </w:r>
    </w:p>
    <w:p>
      <w:pPr>
        <w:pStyle w:val="Heading5"/>
      </w:pPr>
      <w:bookmarkStart w:id="68" w:name="_Toc179460553"/>
      <w:r>
        <w:rPr>
          <w:rStyle w:val="CharSectno"/>
        </w:rPr>
        <w:t>78</w:t>
      </w:r>
      <w:r>
        <w:t>.</w:t>
      </w:r>
      <w:r>
        <w:tab/>
        <w:t>Terms used</w:t>
      </w:r>
      <w:bookmarkEnd w:id="68"/>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69" w:name="_Toc179457498"/>
      <w:bookmarkStart w:id="70" w:name="_Toc179458353"/>
      <w:bookmarkStart w:id="71" w:name="_Toc179460554"/>
      <w:r>
        <w:rPr>
          <w:rStyle w:val="CharDivNo"/>
        </w:rPr>
        <w:lastRenderedPageBreak/>
        <w:t>Division 2</w:t>
      </w:r>
      <w:r>
        <w:t> — </w:t>
      </w:r>
      <w:r>
        <w:rPr>
          <w:rStyle w:val="CharDivText"/>
        </w:rPr>
        <w:t>Betting with on</w:t>
      </w:r>
      <w:r>
        <w:rPr>
          <w:rStyle w:val="CharDivText"/>
        </w:rPr>
        <w:noBreakHyphen/>
        <w:t>course and local on</w:t>
      </w:r>
      <w:r>
        <w:rPr>
          <w:rStyle w:val="CharDivText"/>
        </w:rPr>
        <w:noBreakHyphen/>
        <w:t>course totalisators</w:t>
      </w:r>
      <w:bookmarkEnd w:id="69"/>
      <w:bookmarkEnd w:id="70"/>
      <w:bookmarkEnd w:id="71"/>
    </w:p>
    <w:p>
      <w:pPr>
        <w:pStyle w:val="Footnoteheading"/>
      </w:pPr>
      <w:r>
        <w:tab/>
        <w:t>[Heading inserted: Gazette 21 Jul 2006 p. 2674.]</w:t>
      </w:r>
    </w:p>
    <w:p>
      <w:pPr>
        <w:pStyle w:val="Heading5"/>
      </w:pPr>
      <w:bookmarkStart w:id="72" w:name="_Toc179460555"/>
      <w:r>
        <w:rPr>
          <w:rStyle w:val="CharSectno"/>
        </w:rPr>
        <w:t>79</w:t>
      </w:r>
      <w:r>
        <w:t>.</w:t>
      </w:r>
      <w:r>
        <w:tab/>
        <w:t>On</w:t>
      </w:r>
      <w:r>
        <w:noBreakHyphen/>
        <w:t>course totalisator bets accepted subject to the rules and these regulations</w:t>
      </w:r>
      <w:bookmarkEnd w:id="72"/>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lastRenderedPageBreak/>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73" w:name="_Toc179460556"/>
      <w:r>
        <w:rPr>
          <w:rStyle w:val="CharSectno"/>
        </w:rPr>
        <w:t>80</w:t>
      </w:r>
      <w:r>
        <w:t>.</w:t>
      </w:r>
      <w:r>
        <w:tab/>
        <w:t>Local on</w:t>
      </w:r>
      <w:r>
        <w:noBreakHyphen/>
        <w:t>course totalisator bets accepted subject to the rules and these regulations</w:t>
      </w:r>
      <w:bookmarkEnd w:id="73"/>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74" w:name="_Toc179460557"/>
      <w:r>
        <w:rPr>
          <w:rStyle w:val="CharSectno"/>
        </w:rPr>
        <w:t>81</w:t>
      </w:r>
      <w:r>
        <w:t>.</w:t>
      </w:r>
      <w:r>
        <w:tab/>
        <w:t>All bets to be 50 cents or multiples of 50 cents</w:t>
      </w:r>
      <w:bookmarkEnd w:id="74"/>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75" w:name="_Toc179460558"/>
      <w:r>
        <w:rPr>
          <w:rStyle w:val="CharSectno"/>
        </w:rPr>
        <w:lastRenderedPageBreak/>
        <w:t>82</w:t>
      </w:r>
      <w:r>
        <w:t>.</w:t>
      </w:r>
      <w:r>
        <w:tab/>
        <w:t>On</w:t>
      </w:r>
      <w:r>
        <w:noBreakHyphen/>
        <w:t>course totalisator dividend as declared</w:t>
      </w:r>
      <w:bookmarkEnd w:id="75"/>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76" w:name="_Toc179460559"/>
      <w:r>
        <w:rPr>
          <w:rStyle w:val="CharSectno"/>
        </w:rPr>
        <w:lastRenderedPageBreak/>
        <w:t>83</w:t>
      </w:r>
      <w:r>
        <w:t>.</w:t>
      </w:r>
      <w:r>
        <w:tab/>
        <w:t>Local on</w:t>
      </w:r>
      <w:r>
        <w:noBreakHyphen/>
        <w:t>course totalisator dividend as declared</w:t>
      </w:r>
      <w:bookmarkEnd w:id="76"/>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77" w:name="_Toc179460560"/>
      <w:r>
        <w:rPr>
          <w:rStyle w:val="CharSectno"/>
        </w:rPr>
        <w:t>84</w:t>
      </w:r>
      <w:r>
        <w:t>.</w:t>
      </w:r>
      <w:r>
        <w:tab/>
        <w:t>Bets may be refused</w:t>
      </w:r>
      <w:bookmarkEnd w:id="77"/>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lastRenderedPageBreak/>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spacing w:before="100"/>
      </w:pPr>
      <w:r>
        <w:tab/>
        <w:t>[Regulation 84 inserted: Gazette 21 Jul 2006 p. 2678.]</w:t>
      </w:r>
    </w:p>
    <w:p>
      <w:pPr>
        <w:pStyle w:val="Heading5"/>
      </w:pPr>
      <w:bookmarkStart w:id="78" w:name="_Toc179460561"/>
      <w:r>
        <w:rPr>
          <w:rStyle w:val="CharSectno"/>
        </w:rPr>
        <w:t>85</w:t>
      </w:r>
      <w:r>
        <w:t>.</w:t>
      </w:r>
      <w:r>
        <w:tab/>
        <w:t>Only authorised bets to be accepted</w:t>
      </w:r>
      <w:bookmarkEnd w:id="78"/>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79" w:name="_Toc179460562"/>
      <w:r>
        <w:rPr>
          <w:rStyle w:val="CharSectno"/>
        </w:rPr>
        <w:t>86</w:t>
      </w:r>
      <w:r>
        <w:t>.</w:t>
      </w:r>
      <w:r>
        <w:tab/>
        <w:t>Hours for opening</w:t>
      </w:r>
      <w:bookmarkEnd w:id="79"/>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80" w:name="_Toc179460563"/>
      <w:r>
        <w:rPr>
          <w:rStyle w:val="CharSectno"/>
        </w:rPr>
        <w:lastRenderedPageBreak/>
        <w:t>87</w:t>
      </w:r>
      <w:r>
        <w:t>.</w:t>
      </w:r>
      <w:r>
        <w:tab/>
        <w:t>Bets may be made by various methods</w:t>
      </w:r>
      <w:bookmarkEnd w:id="80"/>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81" w:name="_Toc179460564"/>
      <w:r>
        <w:rPr>
          <w:rStyle w:val="CharSectno"/>
        </w:rPr>
        <w:t>88</w:t>
      </w:r>
      <w:r>
        <w:t>.</w:t>
      </w:r>
      <w:r>
        <w:tab/>
        <w:t>On</w:t>
      </w:r>
      <w:r>
        <w:noBreakHyphen/>
        <w:t>course totalisator bets to be properly marked</w:t>
      </w:r>
      <w:bookmarkEnd w:id="81"/>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lastRenderedPageBreak/>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82" w:name="_Toc179460565"/>
      <w:r>
        <w:rPr>
          <w:rStyle w:val="CharSectno"/>
        </w:rPr>
        <w:t>89</w:t>
      </w:r>
      <w:r>
        <w:t>.</w:t>
      </w:r>
      <w:r>
        <w:tab/>
        <w:t>Local on</w:t>
      </w:r>
      <w:r>
        <w:noBreakHyphen/>
        <w:t>course totalisator bets to be properly marked</w:t>
      </w:r>
      <w:bookmarkEnd w:id="82"/>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83" w:name="_Toc179460566"/>
      <w:r>
        <w:rPr>
          <w:rStyle w:val="CharSectno"/>
        </w:rPr>
        <w:t>90</w:t>
      </w:r>
      <w:r>
        <w:t>.</w:t>
      </w:r>
      <w:r>
        <w:tab/>
        <w:t>Tickets to be properly marked</w:t>
      </w:r>
      <w:bookmarkEnd w:id="83"/>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lastRenderedPageBreak/>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84" w:name="_Toc179460567"/>
      <w:r>
        <w:rPr>
          <w:rStyle w:val="CharSectno"/>
        </w:rPr>
        <w:t>91</w:t>
      </w:r>
      <w:r>
        <w:t>.</w:t>
      </w:r>
      <w:r>
        <w:tab/>
        <w:t>Host racing club to exhibit notices at on</w:t>
      </w:r>
      <w:r>
        <w:noBreakHyphen/>
        <w:t>course totalisator and local on</w:t>
      </w:r>
      <w:r>
        <w:noBreakHyphen/>
        <w:t>course totalisator</w:t>
      </w:r>
      <w:bookmarkEnd w:id="84"/>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lastRenderedPageBreak/>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85" w:name="_Toc179460568"/>
      <w:r>
        <w:rPr>
          <w:rStyle w:val="CharSectno"/>
        </w:rPr>
        <w:t>92</w:t>
      </w:r>
      <w:r>
        <w:t>.</w:t>
      </w:r>
      <w:r>
        <w:tab/>
        <w:t>Correction of errors and omissions and the giving of certain refunds</w:t>
      </w:r>
      <w:bookmarkEnd w:id="85"/>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lastRenderedPageBreak/>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 xml:space="preserve">When a ticket is presented for the payment of a dividend or refund or for the purpose of correcting an alleged error, if the ticket has been altered, mutilated or defaced, the relevant </w:t>
      </w:r>
      <w:r>
        <w:lastRenderedPageBreak/>
        <w:t>totalisator may reject the ticket and the person to whom the 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86" w:name="_Toc179460569"/>
      <w:r>
        <w:rPr>
          <w:rStyle w:val="CharSectno"/>
        </w:rPr>
        <w:t>93</w:t>
      </w:r>
      <w:r>
        <w:t>.</w:t>
      </w:r>
      <w:r>
        <w:tab/>
        <w:t>Time for payment of dividends or refunds for cash bets</w:t>
      </w:r>
      <w:bookmarkEnd w:id="86"/>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87" w:name="_Toc179460570"/>
      <w:r>
        <w:rPr>
          <w:rStyle w:val="CharSectno"/>
        </w:rPr>
        <w:t>94</w:t>
      </w:r>
      <w:r>
        <w:t>.</w:t>
      </w:r>
      <w:r>
        <w:tab/>
        <w:t>Presentation of tickets or claims</w:t>
      </w:r>
      <w:bookmarkEnd w:id="87"/>
    </w:p>
    <w:p>
      <w:pPr>
        <w:pStyle w:val="Subsection"/>
      </w:pPr>
      <w:r>
        <w:tab/>
        <w:t>(1)</w:t>
      </w:r>
      <w:r>
        <w:tab/>
        <w:t>Subject to subregulations (2) and (6), a dividend or refund in respect of a bet, other than a bet against a RWWA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lastRenderedPageBreak/>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 amended: SL 2021/193 r. 5.]</w:t>
      </w:r>
    </w:p>
    <w:p>
      <w:pPr>
        <w:pStyle w:val="Heading5"/>
      </w:pPr>
      <w:bookmarkStart w:id="88" w:name="_Toc179460571"/>
      <w:r>
        <w:rPr>
          <w:rStyle w:val="CharSectno"/>
        </w:rPr>
        <w:t>95</w:t>
      </w:r>
      <w:r>
        <w:t>.</w:t>
      </w:r>
      <w:r>
        <w:tab/>
        <w:t>When refunds of bets are payable</w:t>
      </w:r>
      <w:bookmarkEnd w:id="88"/>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 xml:space="preserve">starter, a person </w:t>
      </w:r>
      <w:r>
        <w:lastRenderedPageBreak/>
        <w:t>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 xml:space="preserve">course totalisator in other circumstances </w:t>
      </w:r>
      <w:r>
        <w:lastRenderedPageBreak/>
        <w:t>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89" w:name="_Toc179457516"/>
      <w:bookmarkStart w:id="90" w:name="_Toc179458371"/>
      <w:bookmarkStart w:id="91" w:name="_Toc179460572"/>
      <w:r>
        <w:rPr>
          <w:rStyle w:val="CharDivNo"/>
        </w:rPr>
        <w:t>Division 3</w:t>
      </w:r>
      <w:r>
        <w:t> — </w:t>
      </w:r>
      <w:r>
        <w:rPr>
          <w:rStyle w:val="CharDivText"/>
        </w:rPr>
        <w:t>Miscellaneous discipline and offence provisions</w:t>
      </w:r>
      <w:bookmarkEnd w:id="89"/>
      <w:bookmarkEnd w:id="90"/>
      <w:bookmarkEnd w:id="91"/>
    </w:p>
    <w:p>
      <w:pPr>
        <w:pStyle w:val="Footnoteheading"/>
        <w:spacing w:before="100"/>
      </w:pPr>
      <w:r>
        <w:tab/>
        <w:t>[Heading inserted: Gazette 21 Jul 2006 p. 2688.]</w:t>
      </w:r>
    </w:p>
    <w:p>
      <w:pPr>
        <w:pStyle w:val="Heading5"/>
      </w:pPr>
      <w:bookmarkStart w:id="92" w:name="_Toc179460573"/>
      <w:r>
        <w:rPr>
          <w:rStyle w:val="CharSectno"/>
        </w:rPr>
        <w:t>96</w:t>
      </w:r>
      <w:r>
        <w:t>.</w:t>
      </w:r>
      <w:r>
        <w:tab/>
        <w:t>Person making bet bound by these regulations, the rules of wagering and instructions</w:t>
      </w:r>
      <w:bookmarkEnd w:id="92"/>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93" w:name="_Toc179460574"/>
      <w:r>
        <w:rPr>
          <w:rStyle w:val="CharSectno"/>
        </w:rPr>
        <w:t>97</w:t>
      </w:r>
      <w:r>
        <w:t>.</w:t>
      </w:r>
      <w:r>
        <w:tab/>
        <w:t>Offences relating to making and accepting wagers</w:t>
      </w:r>
      <w:bookmarkEnd w:id="93"/>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lastRenderedPageBreak/>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Gazette 21 Jul 2006 p. 2688</w:t>
      </w:r>
      <w:r>
        <w:noBreakHyphen/>
        <w:t>9.]</w:t>
      </w:r>
    </w:p>
    <w:p>
      <w:pPr>
        <w:pStyle w:val="Heading2"/>
      </w:pPr>
      <w:bookmarkStart w:id="94" w:name="_Toc179457519"/>
      <w:bookmarkStart w:id="95" w:name="_Toc179458374"/>
      <w:bookmarkStart w:id="96" w:name="_Toc179460575"/>
      <w:r>
        <w:rPr>
          <w:rStyle w:val="CharPartNo"/>
        </w:rPr>
        <w:lastRenderedPageBreak/>
        <w:t>Part 5</w:t>
      </w:r>
      <w:r>
        <w:rPr>
          <w:rStyle w:val="CharDivNo"/>
        </w:rPr>
        <w:t> </w:t>
      </w:r>
      <w:r>
        <w:t>—</w:t>
      </w:r>
      <w:r>
        <w:rPr>
          <w:rStyle w:val="CharDivText"/>
        </w:rPr>
        <w:t> </w:t>
      </w:r>
      <w:r>
        <w:rPr>
          <w:rStyle w:val="CharPartText"/>
        </w:rPr>
        <w:t>Approval to publish or make available WA race fields</w:t>
      </w:r>
      <w:bookmarkEnd w:id="94"/>
      <w:bookmarkEnd w:id="95"/>
      <w:bookmarkEnd w:id="96"/>
    </w:p>
    <w:p>
      <w:pPr>
        <w:pStyle w:val="Footnoteheading"/>
      </w:pPr>
      <w:r>
        <w:tab/>
        <w:t>[Heading inserted: Gazette 22 Jun 2007 p. 2863.]</w:t>
      </w:r>
    </w:p>
    <w:p>
      <w:pPr>
        <w:pStyle w:val="Heading5"/>
      </w:pPr>
      <w:bookmarkStart w:id="97" w:name="_Toc179460576"/>
      <w:r>
        <w:rPr>
          <w:rStyle w:val="CharSectno"/>
        </w:rPr>
        <w:t>98</w:t>
      </w:r>
      <w:r>
        <w:t>.</w:t>
      </w:r>
      <w:r>
        <w:tab/>
        <w:t>Terms used</w:t>
      </w:r>
      <w:bookmarkEnd w:id="97"/>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Australia;</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98" w:name="_Toc179460577"/>
      <w:r>
        <w:rPr>
          <w:rStyle w:val="CharSectno"/>
        </w:rPr>
        <w:t>99</w:t>
      </w:r>
      <w:r>
        <w:t>.</w:t>
      </w:r>
      <w:r>
        <w:tab/>
        <w:t>Prescribed criteria: section 27D(5)</w:t>
      </w:r>
      <w:bookmarkEnd w:id="98"/>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lastRenderedPageBreak/>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99" w:name="_Toc179460578"/>
      <w:r>
        <w:rPr>
          <w:rStyle w:val="CharSectno"/>
        </w:rPr>
        <w:lastRenderedPageBreak/>
        <w:t>100</w:t>
      </w:r>
      <w:r>
        <w:t>.</w:t>
      </w:r>
      <w:r>
        <w:tab/>
        <w:t>Application for approval</w:t>
      </w:r>
      <w:bookmarkEnd w:id="99"/>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100" w:name="_Toc179457523"/>
      <w:bookmarkStart w:id="101" w:name="_Toc179458378"/>
      <w:bookmarkStart w:id="102" w:name="_Toc179460579"/>
      <w:r>
        <w:rPr>
          <w:rStyle w:val="CharPartNo"/>
        </w:rPr>
        <w:lastRenderedPageBreak/>
        <w:t>Part 6</w:t>
      </w:r>
      <w:r>
        <w:rPr>
          <w:b w:val="0"/>
        </w:rPr>
        <w:t> </w:t>
      </w:r>
      <w:r>
        <w:t>—</w:t>
      </w:r>
      <w:r>
        <w:rPr>
          <w:b w:val="0"/>
        </w:rPr>
        <w:t> </w:t>
      </w:r>
      <w:r>
        <w:rPr>
          <w:rStyle w:val="CharPartText"/>
        </w:rPr>
        <w:t>Racing bets levy</w:t>
      </w:r>
      <w:bookmarkEnd w:id="100"/>
      <w:bookmarkEnd w:id="101"/>
      <w:bookmarkEnd w:id="102"/>
    </w:p>
    <w:p>
      <w:pPr>
        <w:pStyle w:val="Footnoteheading"/>
        <w:spacing w:before="100"/>
      </w:pPr>
      <w:r>
        <w:tab/>
        <w:t>[Heading inserted: Gazette 8 Jan 2010 p. 22.]</w:t>
      </w:r>
    </w:p>
    <w:p>
      <w:pPr>
        <w:pStyle w:val="Heading5"/>
        <w:spacing w:before="200"/>
      </w:pPr>
      <w:bookmarkStart w:id="103" w:name="_Toc179460580"/>
      <w:r>
        <w:rPr>
          <w:rStyle w:val="CharSectno"/>
        </w:rPr>
        <w:t>101</w:t>
      </w:r>
      <w:r>
        <w:t>.</w:t>
      </w:r>
      <w:r>
        <w:tab/>
        <w:t>Term used: approved offshore betting operator</w:t>
      </w:r>
      <w:bookmarkEnd w:id="103"/>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spacing w:before="200"/>
      </w:pPr>
      <w:bookmarkStart w:id="104" w:name="_Toc179460581"/>
      <w:r>
        <w:rPr>
          <w:rStyle w:val="CharSectno"/>
        </w:rPr>
        <w:t>102</w:t>
      </w:r>
      <w:r>
        <w:t>.</w:t>
      </w:r>
      <w:r>
        <w:tab/>
        <w:t>Prescribed period: section 14A(2)(a)</w:t>
      </w:r>
      <w:bookmarkEnd w:id="104"/>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Gazette 8 Jan 2010 p. 22.]</w:t>
      </w:r>
    </w:p>
    <w:p>
      <w:pPr>
        <w:pStyle w:val="Heading5"/>
        <w:spacing w:before="200"/>
      </w:pPr>
      <w:bookmarkStart w:id="105" w:name="_Toc179460582"/>
      <w:r>
        <w:rPr>
          <w:rStyle w:val="CharSectno"/>
        </w:rPr>
        <w:t>103</w:t>
      </w:r>
      <w:r>
        <w:t>.</w:t>
      </w:r>
      <w:r>
        <w:tab/>
        <w:t>Information prescribed: section 27D(4A)(a)</w:t>
      </w:r>
      <w:bookmarkEnd w:id="105"/>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Gazette 8 Jan 2010 p. 22.]</w:t>
      </w:r>
    </w:p>
    <w:p>
      <w:pPr>
        <w:pStyle w:val="Heading5"/>
        <w:spacing w:before="200"/>
      </w:pPr>
      <w:bookmarkStart w:id="106" w:name="_Toc179460583"/>
      <w:r>
        <w:rPr>
          <w:rStyle w:val="CharSectno"/>
        </w:rPr>
        <w:t>104</w:t>
      </w:r>
      <w:r>
        <w:t>.</w:t>
      </w:r>
      <w:r>
        <w:tab/>
        <w:t>Manner of access to prescribed information: section 27D(4A)(a)</w:t>
      </w:r>
      <w:bookmarkEnd w:id="106"/>
    </w:p>
    <w:p>
      <w:pPr>
        <w:pStyle w:val="Subsection"/>
        <w:spacing w:before="140"/>
      </w:pPr>
      <w:r>
        <w:tab/>
        <w:t>(1)</w:t>
      </w:r>
      <w:r>
        <w:tab/>
        <w:t xml:space="preserve">For the purposes of section 27D(4A)(a) of the Act, this regulation sets out the prescribed manner of access to </w:t>
      </w:r>
      <w:r>
        <w:lastRenderedPageBreak/>
        <w:t>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107" w:name="_Toc179460584"/>
      <w:r>
        <w:rPr>
          <w:rStyle w:val="CharSectno"/>
        </w:rPr>
        <w:t>105</w:t>
      </w:r>
      <w:r>
        <w:t>.</w:t>
      </w:r>
      <w:r>
        <w:tab/>
        <w:t>Prescribed conditions: section 27D(4A)(b)</w:t>
      </w:r>
      <w:bookmarkEnd w:id="107"/>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 xml:space="preserve">An approved offshore betting operator must give authorised officers of the Commission or the Chief Steward of RWWA, at such times or locations as requested by an authorised officer or the Chief Steward, access to any document or information in the </w:t>
      </w:r>
      <w:r>
        <w:lastRenderedPageBreak/>
        <w:t>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lastRenderedPageBreak/>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pPr>
      <w:bookmarkStart w:id="108" w:name="_Toc179460585"/>
      <w:r>
        <w:rPr>
          <w:rStyle w:val="CharSectno"/>
        </w:rPr>
        <w:t>105A</w:t>
      </w:r>
      <w:r>
        <w:t>.</w:t>
      </w:r>
      <w:r>
        <w:tab/>
        <w:t>Prescribed conditions for greyhound and harness races: section 27F(1)</w:t>
      </w:r>
      <w:bookmarkEnd w:id="108"/>
    </w:p>
    <w:p>
      <w:pPr>
        <w:pStyle w:val="Subsection"/>
      </w:pPr>
      <w:r>
        <w:tab/>
        <w:t>(1)</w:t>
      </w:r>
      <w:r>
        <w:tab/>
        <w:t xml:space="preserve">In this regulation — </w:t>
      </w:r>
    </w:p>
    <w:p>
      <w:pPr>
        <w:pStyle w:val="Defstart"/>
      </w:pPr>
      <w:r>
        <w:tab/>
      </w:r>
      <w:r>
        <w:rPr>
          <w:rStyle w:val="CharDefText"/>
        </w:rPr>
        <w:t>WAGRA greyhound race</w:t>
      </w:r>
      <w:r>
        <w:t xml:space="preserve"> means a greyhound race conducted on a Saturday by the Western Australian Greyhound Racing Association;</w:t>
      </w:r>
    </w:p>
    <w:p>
      <w:pPr>
        <w:pStyle w:val="Defstart"/>
      </w:pPr>
      <w:r>
        <w:tab/>
      </w:r>
      <w:r>
        <w:rPr>
          <w:rStyle w:val="CharDefText"/>
        </w:rPr>
        <w:t>WATA harness race</w:t>
      </w:r>
      <w:r>
        <w:t xml:space="preserve"> means —</w:t>
      </w:r>
    </w:p>
    <w:p>
      <w:pPr>
        <w:pStyle w:val="Defpara"/>
      </w:pPr>
      <w:r>
        <w:tab/>
        <w:t>(a)</w:t>
      </w:r>
      <w:r>
        <w:tab/>
        <w:t xml:space="preserve">a harness race conducted on a Friday by the Western Australian Trotting Association; or </w:t>
      </w:r>
    </w:p>
    <w:p>
      <w:pPr>
        <w:pStyle w:val="Defpara"/>
      </w:pPr>
      <w:r>
        <w:tab/>
        <w:t>(b)</w:t>
      </w:r>
      <w:r>
        <w:tab/>
        <w:t>a harness race conducted on a Saturday by the Western Australian Trotting Association, but only if a harness race was not conducted by the Western Australian Trotting Association on the day before that Saturday.</w:t>
      </w:r>
    </w:p>
    <w:p>
      <w:pPr>
        <w:pStyle w:val="Subsection"/>
      </w:pPr>
      <w:r>
        <w:tab/>
        <w:t>(2)</w:t>
      </w:r>
      <w:r>
        <w:tab/>
        <w:t xml:space="preserve">For the purposes of section 27F(1) of the Act, the prescribed conditions that a domestic betting operator must comply with in relation to a greyhound race or a harness race are — </w:t>
      </w:r>
    </w:p>
    <w:p>
      <w:pPr>
        <w:pStyle w:val="Indenta"/>
      </w:pPr>
      <w:r>
        <w:tab/>
        <w:t>(a)</w:t>
      </w:r>
      <w:r>
        <w:tab/>
        <w:t>set out in this regulation; and</w:t>
      </w:r>
    </w:p>
    <w:p>
      <w:pPr>
        <w:pStyle w:val="Indenta"/>
      </w:pPr>
      <w:r>
        <w:tab/>
        <w:t>(b)</w:t>
      </w:r>
      <w:r>
        <w:tab/>
        <w:t>subject to regulation 105C.</w:t>
      </w:r>
    </w:p>
    <w:p>
      <w:pPr>
        <w:pStyle w:val="Subsection"/>
      </w:pPr>
      <w:r>
        <w:lastRenderedPageBreak/>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keepNext/>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4841"/>
        <w:gridCol w:w="1223"/>
      </w:tblGrid>
      <w:tr>
        <w:trPr>
          <w:tblHeader/>
        </w:trPr>
        <w:tc>
          <w:tcPr>
            <w:tcW w:w="0" w:type="auto"/>
          </w:tcPr>
          <w:p>
            <w:pPr>
              <w:pStyle w:val="TableNAm"/>
              <w:jc w:val="center"/>
              <w:rPr>
                <w:b/>
                <w:bCs/>
              </w:rPr>
            </w:pPr>
            <w:r>
              <w:rPr>
                <w:b/>
                <w:bCs/>
              </w:rPr>
              <w:t>Column 1</w:t>
            </w:r>
          </w:p>
          <w:p>
            <w:pPr>
              <w:pStyle w:val="TableNAm"/>
              <w:jc w:val="center"/>
              <w:rPr>
                <w:b/>
                <w:bCs/>
              </w:rPr>
            </w:pPr>
            <w:r>
              <w:rPr>
                <w:b/>
                <w:bCs/>
              </w:rPr>
              <w:t>Type of race</w:t>
            </w:r>
          </w:p>
        </w:tc>
        <w:tc>
          <w:tcPr>
            <w:tcW w:w="0" w:type="auto"/>
          </w:tcPr>
          <w:p>
            <w:pPr>
              <w:pStyle w:val="TableNAm"/>
              <w:jc w:val="center"/>
              <w:rPr>
                <w:b/>
                <w:bCs/>
              </w:rPr>
            </w:pPr>
            <w:r>
              <w:rPr>
                <w:b/>
                <w:bCs/>
              </w:rPr>
              <w:t>Column 2</w:t>
            </w:r>
          </w:p>
          <w:p>
            <w:pPr>
              <w:pStyle w:val="TableNAm"/>
              <w:jc w:val="center"/>
              <w:rPr>
                <w:b/>
                <w:bCs/>
              </w:rPr>
            </w:pPr>
            <w:r>
              <w:rPr>
                <w:b/>
                <w:bCs/>
              </w:rPr>
              <w:t>Amount</w:t>
            </w:r>
          </w:p>
        </w:tc>
      </w:tr>
      <w:tr>
        <w:tc>
          <w:tcPr>
            <w:tcW w:w="0" w:type="auto"/>
          </w:tcPr>
          <w:p>
            <w:pPr>
              <w:pStyle w:val="TableNAm"/>
            </w:pPr>
            <w:r>
              <w:t>A WATA harness race</w:t>
            </w:r>
          </w:p>
        </w:tc>
        <w:tc>
          <w:tcPr>
            <w:tcW w:w="0" w:type="auto"/>
          </w:tcPr>
          <w:p>
            <w:pPr>
              <w:pStyle w:val="TableNAm"/>
              <w:jc w:val="right"/>
            </w:pPr>
            <w:r>
              <w:t>$500</w:t>
            </w:r>
          </w:p>
        </w:tc>
      </w:tr>
      <w:tr>
        <w:tc>
          <w:tcPr>
            <w:tcW w:w="0" w:type="auto"/>
          </w:tcPr>
          <w:p>
            <w:pPr>
              <w:pStyle w:val="TableNAm"/>
            </w:pPr>
            <w:r>
              <w:t xml:space="preserve">A harness race other than a WATA harness race </w:t>
            </w:r>
          </w:p>
        </w:tc>
        <w:tc>
          <w:tcPr>
            <w:tcW w:w="0" w:type="auto"/>
          </w:tcPr>
          <w:p>
            <w:pPr>
              <w:pStyle w:val="TableNAm"/>
              <w:jc w:val="right"/>
            </w:pPr>
            <w:r>
              <w:t>$300</w:t>
            </w:r>
          </w:p>
        </w:tc>
      </w:tr>
      <w:tr>
        <w:tc>
          <w:tcPr>
            <w:tcW w:w="0" w:type="auto"/>
          </w:tcPr>
          <w:p>
            <w:pPr>
              <w:pStyle w:val="TableNAm"/>
            </w:pPr>
            <w:r>
              <w:t>A greyhound race</w:t>
            </w:r>
          </w:p>
        </w:tc>
        <w:tc>
          <w:tcPr>
            <w:tcW w:w="0" w:type="auto"/>
          </w:tcPr>
          <w:p>
            <w:pPr>
              <w:pStyle w:val="TableNAm"/>
              <w:jc w:val="right"/>
            </w:pPr>
            <w:r>
              <w:t>$300</w:t>
            </w:r>
          </w:p>
        </w:tc>
      </w:tr>
    </w:tbl>
    <w:p>
      <w:pPr>
        <w:pStyle w:val="Subsection"/>
      </w:pPr>
      <w:r>
        <w:tab/>
        <w:t>(4)</w:t>
      </w:r>
      <w:r>
        <w:tab/>
        <w:t>If in a racing year turnover of a domestic betting operator reaches $3 000 000, the domestic betting operator must comply with subregulation (5) for each fixed odds bet received during the racing year after turnover reaches $3 000 000.</w:t>
      </w:r>
    </w:p>
    <w:p>
      <w:pPr>
        <w:pStyle w:val="Subsection"/>
      </w:pPr>
      <w:r>
        <w:tab/>
        <w:t>(5)</w:t>
      </w:r>
      <w:r>
        <w:tab/>
        <w:t xml:space="preserve">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lastRenderedPageBreak/>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820"/>
        <w:gridCol w:w="1276"/>
      </w:tblGrid>
      <w:tr>
        <w:trPr>
          <w:tblHeader/>
        </w:trPr>
        <w:tc>
          <w:tcPr>
            <w:tcW w:w="4820" w:type="dxa"/>
          </w:tcPr>
          <w:p>
            <w:pPr>
              <w:pStyle w:val="TableNAm"/>
              <w:jc w:val="center"/>
              <w:rPr>
                <w:b/>
                <w:bCs/>
              </w:rPr>
            </w:pPr>
            <w:r>
              <w:rPr>
                <w:b/>
                <w:bCs/>
              </w:rPr>
              <w:t>Column 1</w:t>
            </w:r>
          </w:p>
          <w:p>
            <w:pPr>
              <w:pStyle w:val="TableNAm"/>
              <w:jc w:val="center"/>
              <w:rPr>
                <w:b/>
                <w:bCs/>
              </w:rPr>
            </w:pPr>
            <w:r>
              <w:rPr>
                <w:b/>
                <w:bCs/>
              </w:rPr>
              <w:t>Type of race</w:t>
            </w:r>
          </w:p>
        </w:tc>
        <w:tc>
          <w:tcPr>
            <w:tcW w:w="1276" w:type="dxa"/>
          </w:tcPr>
          <w:p>
            <w:pPr>
              <w:pStyle w:val="TableNAm"/>
              <w:jc w:val="center"/>
              <w:rPr>
                <w:b/>
                <w:bCs/>
              </w:rPr>
            </w:pPr>
            <w:r>
              <w:rPr>
                <w:b/>
                <w:bCs/>
              </w:rPr>
              <w:t>Column 2</w:t>
            </w:r>
          </w:p>
          <w:p>
            <w:pPr>
              <w:pStyle w:val="TableNAm"/>
              <w:jc w:val="center"/>
              <w:rPr>
                <w:b/>
                <w:bCs/>
              </w:rPr>
            </w:pPr>
            <w:r>
              <w:rPr>
                <w:b/>
                <w:bCs/>
              </w:rPr>
              <w:t>Amount</w:t>
            </w:r>
          </w:p>
        </w:tc>
      </w:tr>
      <w:tr>
        <w:tc>
          <w:tcPr>
            <w:tcW w:w="4820" w:type="dxa"/>
          </w:tcPr>
          <w:p>
            <w:pPr>
              <w:pStyle w:val="TableNAm"/>
            </w:pPr>
            <w:r>
              <w:t>A WATA harness race</w:t>
            </w:r>
          </w:p>
        </w:tc>
        <w:tc>
          <w:tcPr>
            <w:tcW w:w="1276" w:type="dxa"/>
          </w:tcPr>
          <w:p>
            <w:pPr>
              <w:pStyle w:val="TableNAm"/>
              <w:jc w:val="right"/>
            </w:pPr>
            <w:r>
              <w:t>$1 000</w:t>
            </w:r>
          </w:p>
        </w:tc>
      </w:tr>
      <w:tr>
        <w:tc>
          <w:tcPr>
            <w:tcW w:w="4820" w:type="dxa"/>
          </w:tcPr>
          <w:p>
            <w:pPr>
              <w:pStyle w:val="TableNAm"/>
            </w:pPr>
            <w:r>
              <w:t>A harness race other than a WATA harness race</w:t>
            </w:r>
          </w:p>
        </w:tc>
        <w:tc>
          <w:tcPr>
            <w:tcW w:w="1276" w:type="dxa"/>
            <w:vAlign w:val="bottom"/>
          </w:tcPr>
          <w:p>
            <w:pPr>
              <w:pStyle w:val="TableNAm"/>
              <w:jc w:val="right"/>
            </w:pPr>
            <w:r>
              <w:t>$500</w:t>
            </w:r>
          </w:p>
        </w:tc>
      </w:tr>
      <w:tr>
        <w:tc>
          <w:tcPr>
            <w:tcW w:w="4820" w:type="dxa"/>
          </w:tcPr>
          <w:p>
            <w:pPr>
              <w:pStyle w:val="TableNAm"/>
            </w:pPr>
            <w:r>
              <w:t>A WAGRA greyhound race</w:t>
            </w:r>
          </w:p>
        </w:tc>
        <w:tc>
          <w:tcPr>
            <w:tcW w:w="1276" w:type="dxa"/>
          </w:tcPr>
          <w:p>
            <w:pPr>
              <w:pStyle w:val="TableNAm"/>
              <w:jc w:val="right"/>
            </w:pPr>
            <w:r>
              <w:t>$750</w:t>
            </w:r>
          </w:p>
        </w:tc>
      </w:tr>
      <w:tr>
        <w:tc>
          <w:tcPr>
            <w:tcW w:w="4820" w:type="dxa"/>
          </w:tcPr>
          <w:p>
            <w:pPr>
              <w:pStyle w:val="TableNAm"/>
            </w:pPr>
            <w:r>
              <w:t>A greyhound race other than a WAGRA greyhound race</w:t>
            </w:r>
          </w:p>
        </w:tc>
        <w:tc>
          <w:tcPr>
            <w:tcW w:w="1276" w:type="dxa"/>
            <w:vAlign w:val="bottom"/>
          </w:tcPr>
          <w:p>
            <w:pPr>
              <w:pStyle w:val="TableNAm"/>
              <w:jc w:val="right"/>
            </w:pPr>
            <w:r>
              <w:t>$500</w:t>
            </w:r>
          </w:p>
        </w:tc>
      </w:tr>
    </w:tbl>
    <w:p>
      <w:pPr>
        <w:pStyle w:val="Footnotesection"/>
      </w:pPr>
      <w:r>
        <w:tab/>
        <w:t>[Regulation 105A inserted: SL 2021/193 r. 6.]</w:t>
      </w:r>
    </w:p>
    <w:p>
      <w:pPr>
        <w:pStyle w:val="Heading5"/>
      </w:pPr>
      <w:bookmarkStart w:id="109" w:name="_Toc179460586"/>
      <w:r>
        <w:rPr>
          <w:rStyle w:val="CharSectno"/>
        </w:rPr>
        <w:t>105B</w:t>
      </w:r>
      <w:r>
        <w:t>.</w:t>
      </w:r>
      <w:r>
        <w:tab/>
        <w:t>Prescribed conditions for thoroughbred races: section 27F(1)</w:t>
      </w:r>
      <w:bookmarkEnd w:id="109"/>
    </w:p>
    <w:p>
      <w:pPr>
        <w:pStyle w:val="Subsection"/>
      </w:pPr>
      <w:r>
        <w:tab/>
        <w:t>(1)</w:t>
      </w:r>
      <w:r>
        <w:tab/>
        <w:t xml:space="preserve">In this regulation — </w:t>
      </w:r>
    </w:p>
    <w:p>
      <w:pPr>
        <w:pStyle w:val="Defstart"/>
      </w:pPr>
      <w:r>
        <w:tab/>
      </w:r>
      <w:r>
        <w:rPr>
          <w:rStyle w:val="CharDefText"/>
        </w:rPr>
        <w:t>combined win/place bet</w:t>
      </w:r>
      <w:r>
        <w:t xml:space="preserve"> means a bet comprising 2 unequal amounts, 1 amount being for a win and 1 amount being for a place and both amounts being bet on the same runner at the same time, at stated odds for a win and place;</w:t>
      </w:r>
    </w:p>
    <w:p>
      <w:pPr>
        <w:pStyle w:val="Defstart"/>
      </w:pPr>
      <w:r>
        <w:tab/>
      </w:r>
      <w:r>
        <w:rPr>
          <w:rStyle w:val="CharDefText"/>
        </w:rPr>
        <w:t>place component</w:t>
      </w:r>
      <w:r>
        <w:t xml:space="preserve"> means the component of a combined win/place bet or an each way bet in which the person placing the bet selects a runner to achieve a place in a particular race;</w:t>
      </w:r>
    </w:p>
    <w:p>
      <w:pPr>
        <w:pStyle w:val="Defstart"/>
      </w:pPr>
      <w:r>
        <w:tab/>
      </w:r>
      <w:r>
        <w:rPr>
          <w:rStyle w:val="CharDefText"/>
        </w:rPr>
        <w:t>type 1 thoroughbred race</w:t>
      </w:r>
      <w:r>
        <w:t xml:space="preserve"> means a thoroughbred race conducted by The Western Australian Turf Club;</w:t>
      </w:r>
    </w:p>
    <w:p>
      <w:pPr>
        <w:pStyle w:val="Defstart"/>
      </w:pPr>
      <w:r>
        <w:tab/>
      </w:r>
      <w:r>
        <w:rPr>
          <w:rStyle w:val="CharDefText"/>
        </w:rPr>
        <w:t>type 2 thoroughbred race</w:t>
      </w:r>
      <w:r>
        <w:t xml:space="preserve"> means a thoroughbred race conducted on a Saturday by any of the following, but only if a thoroughbred race is not conducted on that Saturday by The Western Australian Turf Club — </w:t>
      </w:r>
    </w:p>
    <w:p>
      <w:pPr>
        <w:pStyle w:val="Defpara"/>
      </w:pPr>
      <w:r>
        <w:tab/>
        <w:t>(a)</w:t>
      </w:r>
      <w:r>
        <w:tab/>
        <w:t>the Bunbury Turf Club Inc;</w:t>
      </w:r>
    </w:p>
    <w:p>
      <w:pPr>
        <w:pStyle w:val="Defpara"/>
      </w:pPr>
      <w:r>
        <w:tab/>
        <w:t>(b)</w:t>
      </w:r>
      <w:r>
        <w:tab/>
        <w:t>the Kalgoorlie</w:t>
      </w:r>
      <w:r>
        <w:noBreakHyphen/>
        <w:t xml:space="preserve">Boulder Racing Club Incorporated; </w:t>
      </w:r>
    </w:p>
    <w:p>
      <w:pPr>
        <w:pStyle w:val="Defpara"/>
      </w:pPr>
      <w:r>
        <w:lastRenderedPageBreak/>
        <w:tab/>
        <w:t>(c)</w:t>
      </w:r>
      <w:r>
        <w:tab/>
        <w:t xml:space="preserve">the Northam Race Club; </w:t>
      </w:r>
    </w:p>
    <w:p>
      <w:pPr>
        <w:pStyle w:val="Defpara"/>
      </w:pPr>
      <w:r>
        <w:tab/>
        <w:t>(d)</w:t>
      </w:r>
      <w:r>
        <w:tab/>
        <w:t>the Pinjarra Race Club;</w:t>
      </w:r>
    </w:p>
    <w:p>
      <w:pPr>
        <w:pStyle w:val="Defstart"/>
      </w:pPr>
      <w:r>
        <w:tab/>
      </w:r>
      <w:r>
        <w:rPr>
          <w:rStyle w:val="CharDefText"/>
        </w:rPr>
        <w:t>type 3 thoroughbred race</w:t>
      </w:r>
      <w:r>
        <w:t xml:space="preserve"> means a thoroughbred race other than a type 1 thoroughbred race or a type 2 thoroughbred race.</w:t>
      </w:r>
    </w:p>
    <w:p>
      <w:pPr>
        <w:pStyle w:val="Subsection"/>
      </w:pPr>
      <w:r>
        <w:tab/>
        <w:t>(2)</w:t>
      </w:r>
      <w:r>
        <w:tab/>
        <w:t xml:space="preserve">For the purposes of section 27F(1) of the Act, the prescribed conditions that a domestic betting operator must comply with in relation to a thoroughbred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3828"/>
        <w:gridCol w:w="1843"/>
      </w:tblGrid>
      <w:tr>
        <w:trPr>
          <w:tblHeader/>
        </w:trPr>
        <w:tc>
          <w:tcPr>
            <w:tcW w:w="3828" w:type="dxa"/>
          </w:tcPr>
          <w:p>
            <w:pPr>
              <w:pStyle w:val="TableNAm"/>
              <w:jc w:val="center"/>
              <w:rPr>
                <w:b/>
                <w:bCs/>
              </w:rPr>
            </w:pPr>
            <w:r>
              <w:rPr>
                <w:b/>
                <w:bCs/>
              </w:rPr>
              <w:t>Column 1</w:t>
            </w:r>
          </w:p>
          <w:p>
            <w:pPr>
              <w:pStyle w:val="TableNAm"/>
              <w:jc w:val="center"/>
              <w:rPr>
                <w:b/>
                <w:bCs/>
              </w:rPr>
            </w:pPr>
            <w:r>
              <w:rPr>
                <w:b/>
                <w:bCs/>
              </w:rPr>
              <w:t>Type of race</w:t>
            </w:r>
          </w:p>
        </w:tc>
        <w:tc>
          <w:tcPr>
            <w:tcW w:w="1843" w:type="dxa"/>
          </w:tcPr>
          <w:p>
            <w:pPr>
              <w:pStyle w:val="TableNAm"/>
              <w:jc w:val="center"/>
              <w:rPr>
                <w:b/>
                <w:bCs/>
              </w:rPr>
            </w:pPr>
            <w:r>
              <w:rPr>
                <w:b/>
                <w:bCs/>
              </w:rPr>
              <w:t>Column 2</w:t>
            </w:r>
          </w:p>
          <w:p>
            <w:pPr>
              <w:pStyle w:val="TableNAm"/>
              <w:jc w:val="center"/>
              <w:rPr>
                <w:b/>
                <w:bCs/>
              </w:rPr>
            </w:pPr>
            <w:r>
              <w:rPr>
                <w:b/>
                <w:bCs/>
              </w:rPr>
              <w:t>Amount</w:t>
            </w:r>
          </w:p>
        </w:tc>
      </w:tr>
      <w:tr>
        <w:tc>
          <w:tcPr>
            <w:tcW w:w="3828" w:type="dxa"/>
          </w:tcPr>
          <w:p>
            <w:pPr>
              <w:pStyle w:val="TableNAm"/>
            </w:pPr>
            <w:r>
              <w:t>A type 1 thoroughbred race</w:t>
            </w:r>
          </w:p>
        </w:tc>
        <w:tc>
          <w:tcPr>
            <w:tcW w:w="1843" w:type="dxa"/>
          </w:tcPr>
          <w:p>
            <w:pPr>
              <w:pStyle w:val="TableNAm"/>
              <w:jc w:val="right"/>
            </w:pPr>
            <w:r>
              <w:t>$1 000</w:t>
            </w:r>
          </w:p>
        </w:tc>
      </w:tr>
      <w:tr>
        <w:tc>
          <w:tcPr>
            <w:tcW w:w="3828" w:type="dxa"/>
          </w:tcPr>
          <w:p>
            <w:pPr>
              <w:pStyle w:val="TableNAm"/>
            </w:pPr>
            <w:r>
              <w:t>A type 2 thoroughbred race</w:t>
            </w:r>
          </w:p>
        </w:tc>
        <w:tc>
          <w:tcPr>
            <w:tcW w:w="1843" w:type="dxa"/>
          </w:tcPr>
          <w:p>
            <w:pPr>
              <w:pStyle w:val="TableNAm"/>
              <w:jc w:val="right"/>
            </w:pPr>
            <w:r>
              <w:t>$1 000</w:t>
            </w:r>
          </w:p>
        </w:tc>
      </w:tr>
      <w:tr>
        <w:tc>
          <w:tcPr>
            <w:tcW w:w="3828" w:type="dxa"/>
          </w:tcPr>
          <w:p>
            <w:pPr>
              <w:pStyle w:val="TableNAm"/>
            </w:pPr>
            <w:r>
              <w:t>A type 3 thoroughbred race</w:t>
            </w:r>
          </w:p>
        </w:tc>
        <w:tc>
          <w:tcPr>
            <w:tcW w:w="1843" w:type="dxa"/>
          </w:tcPr>
          <w:p>
            <w:pPr>
              <w:pStyle w:val="TableNAm"/>
              <w:jc w:val="right"/>
            </w:pPr>
            <w:r>
              <w:t>$500</w:t>
            </w:r>
          </w:p>
        </w:tc>
      </w:tr>
    </w:tbl>
    <w:p>
      <w:pPr>
        <w:pStyle w:val="Subsection"/>
      </w:pPr>
      <w:r>
        <w:tab/>
        <w:t>(4)</w:t>
      </w:r>
      <w:r>
        <w:tab/>
        <w:t>If in a racing year turnover of a domestic betting operator reaches $3 000 000, the domestic betting operator must comply with subregulations (5) to (8) for each fixed odds bet received during the racing year after turnover reaches $3 000 000.</w:t>
      </w:r>
    </w:p>
    <w:p>
      <w:pPr>
        <w:pStyle w:val="Subsection"/>
      </w:pPr>
      <w:r>
        <w:lastRenderedPageBreak/>
        <w:tab/>
        <w:t>(5)</w:t>
      </w:r>
      <w:r>
        <w:tab/>
        <w:t xml:space="preserve">The domestic betting operator must accept a fixed odds bet on a type 1 thoroughbred race or a type 2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$2 000; and</w:t>
      </w:r>
    </w:p>
    <w:p>
      <w:pPr>
        <w:pStyle w:val="Indenta"/>
      </w:pPr>
      <w:r>
        <w:tab/>
        <w:t>(c)</w:t>
      </w:r>
      <w:r>
        <w:tab/>
        <w:t>if the bet has a place component — the amount the domestic betting operator may lose as a result of the place component does not exceed $800.</w:t>
      </w:r>
    </w:p>
    <w:p>
      <w:pPr>
        <w:pStyle w:val="Subsection"/>
      </w:pPr>
      <w:r>
        <w:tab/>
        <w:t>(6)</w:t>
      </w:r>
      <w:r>
        <w:tab/>
        <w:t>The domestic betting operator must accept a fixed odds bet on a type 1 thoroughbred race or a type 2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$800.</w:t>
      </w:r>
    </w:p>
    <w:p>
      <w:pPr>
        <w:pStyle w:val="Subsection"/>
      </w:pPr>
      <w:r>
        <w:tab/>
        <w:t>(7)</w:t>
      </w:r>
      <w:r>
        <w:tab/>
        <w:t xml:space="preserve">The domestic betting operator must accept a fixed odds bet on a type 3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$1 000; and</w:t>
      </w:r>
    </w:p>
    <w:p>
      <w:pPr>
        <w:pStyle w:val="Indenta"/>
      </w:pPr>
      <w:r>
        <w:tab/>
        <w:t>(c)</w:t>
      </w:r>
      <w:r>
        <w:tab/>
        <w:t>if the bet has a place component — the amount the domestic betting operator may lose as a result of the place component does not exceed $400.</w:t>
      </w:r>
    </w:p>
    <w:p>
      <w:pPr>
        <w:pStyle w:val="Subsection"/>
      </w:pPr>
      <w:r>
        <w:tab/>
        <w:t>(8)</w:t>
      </w:r>
      <w:r>
        <w:tab/>
        <w:t>The domestic betting operator must accept a fixed odds bet on a type 3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$400.</w:t>
      </w:r>
    </w:p>
    <w:p>
      <w:pPr>
        <w:pStyle w:val="Footnotesection"/>
      </w:pPr>
      <w:r>
        <w:tab/>
        <w:t>[Regulation 105B inserted: SL 2021/193 r. 6.]</w:t>
      </w:r>
    </w:p>
    <w:p>
      <w:pPr>
        <w:pStyle w:val="Heading5"/>
      </w:pPr>
      <w:bookmarkStart w:id="110" w:name="_Toc179460587"/>
      <w:r>
        <w:rPr>
          <w:rStyle w:val="CharSectno"/>
        </w:rPr>
        <w:lastRenderedPageBreak/>
        <w:t>105C</w:t>
      </w:r>
      <w:r>
        <w:t>.</w:t>
      </w:r>
      <w:r>
        <w:tab/>
        <w:t>Prescribed conditions under regulations 105A and 105B do not apply to certain bets</w:t>
      </w:r>
      <w:bookmarkEnd w:id="110"/>
    </w:p>
    <w:p>
      <w:pPr>
        <w:pStyle w:val="Subsection"/>
        <w:keepNext/>
      </w:pPr>
      <w:r>
        <w:tab/>
        <w:t>(1)</w:t>
      </w:r>
      <w:r>
        <w:tab/>
        <w:t xml:space="preserve">In this regulation — </w:t>
      </w:r>
    </w:p>
    <w:p>
      <w:pPr>
        <w:pStyle w:val="Defstart"/>
        <w:keepNext/>
      </w:pPr>
      <w:r>
        <w:tab/>
      </w:r>
      <w:r>
        <w:rPr>
          <w:rStyle w:val="CharDefText"/>
        </w:rPr>
        <w:t>fraudulent behaviour</w:t>
      </w:r>
      <w:r>
        <w:t xml:space="preserve"> includes the following — </w:t>
      </w:r>
    </w:p>
    <w:p>
      <w:pPr>
        <w:pStyle w:val="Defpara"/>
      </w:pPr>
      <w:r>
        <w:tab/>
        <w:t>(a)</w:t>
      </w:r>
      <w:r>
        <w:tab/>
        <w:t xml:space="preserve">cheating or otherwise employing any wrongful practice, trick, scheme or device; </w:t>
      </w:r>
    </w:p>
    <w:p>
      <w:pPr>
        <w:pStyle w:val="Defpara"/>
      </w:pPr>
      <w:r>
        <w:tab/>
        <w:t>(b)</w:t>
      </w:r>
      <w:r>
        <w:tab/>
        <w:t>making a statement that the person knows, or ought reasonably to know, is false or misleading in a material particular;</w:t>
      </w:r>
    </w:p>
    <w:p>
      <w:pPr>
        <w:pStyle w:val="Defpara"/>
      </w:pPr>
      <w:r>
        <w:tab/>
        <w:t>(c)</w:t>
      </w:r>
      <w:r>
        <w:tab/>
        <w:t>using a forged document;</w:t>
      </w:r>
    </w:p>
    <w:p>
      <w:pPr>
        <w:pStyle w:val="Defpara"/>
      </w:pPr>
      <w:r>
        <w:tab/>
        <w:t>(d)</w:t>
      </w:r>
      <w:r>
        <w:tab/>
        <w:t>using a false pretence.</w:t>
      </w:r>
    </w:p>
    <w:p>
      <w:pPr>
        <w:pStyle w:val="Subsection"/>
      </w:pPr>
      <w:r>
        <w:tab/>
        <w:t>(2)</w:t>
      </w:r>
      <w:r>
        <w:tab/>
        <w:t xml:space="preserve">A domestic betting operator is not required to accept a bet, on a race charged against a betting account, under regulation 105A or 105B, if any of the following apply — </w:t>
      </w:r>
    </w:p>
    <w:p>
      <w:pPr>
        <w:pStyle w:val="Indenta"/>
      </w:pPr>
      <w:r>
        <w:tab/>
        <w:t>(a)</w:t>
      </w:r>
      <w:r>
        <w:tab/>
        <w:t>the usual residential address of the person who established the betting account is outside Australia;</w:t>
      </w:r>
    </w:p>
    <w:p>
      <w:pPr>
        <w:pStyle w:val="Indenta"/>
      </w:pPr>
      <w:r>
        <w:tab/>
        <w:t>(b)</w:t>
      </w:r>
      <w:r>
        <w:tab/>
        <w:t xml:space="preserve">the person who established the betting account is — </w:t>
      </w:r>
    </w:p>
    <w:p>
      <w:pPr>
        <w:pStyle w:val="Indenti"/>
      </w:pPr>
      <w:r>
        <w:tab/>
        <w:t>(i)</w:t>
      </w:r>
      <w:r>
        <w:tab/>
        <w:t>not the beneficial owner of the bet; or</w:t>
      </w:r>
    </w:p>
    <w:p>
      <w:pPr>
        <w:pStyle w:val="Indenti"/>
      </w:pPr>
      <w:r>
        <w:tab/>
        <w:t>(ii)</w:t>
      </w:r>
      <w:r>
        <w:tab/>
        <w:t>another domestic betting operator; or</w:t>
      </w:r>
    </w:p>
    <w:p>
      <w:pPr>
        <w:pStyle w:val="Indenti"/>
      </w:pPr>
      <w:r>
        <w:tab/>
        <w:t>(iii)</w:t>
      </w:r>
      <w:r>
        <w:tab/>
        <w:t>an employee of another domestic betting operator; or</w:t>
      </w:r>
    </w:p>
    <w:p>
      <w:pPr>
        <w:pStyle w:val="Indenti"/>
      </w:pPr>
      <w:r>
        <w:tab/>
        <w:t>(iv)</w:t>
      </w:r>
      <w:r>
        <w:tab/>
        <w:t>a relative (as defined in section 7(1) of the Act) of an employee of another domestic betting operator; or</w:t>
      </w:r>
    </w:p>
    <w:p>
      <w:pPr>
        <w:pStyle w:val="Indenti"/>
      </w:pPr>
      <w:r>
        <w:tab/>
        <w:t>(v)</w:t>
      </w:r>
      <w:r>
        <w:tab/>
        <w:t>in breach of a term or condition of the betting account;</w:t>
      </w:r>
    </w:p>
    <w:p>
      <w:pPr>
        <w:pStyle w:val="Indenta"/>
      </w:pPr>
      <w:r>
        <w:tab/>
        <w:t>(c)</w:t>
      </w:r>
      <w:r>
        <w:tab/>
        <w:t>the person who established the betting account has notified the domestic betting operator that the person has voluntarily excluded themselves from betting with the domestic betting operator;</w:t>
      </w:r>
    </w:p>
    <w:p>
      <w:pPr>
        <w:pStyle w:val="Indenta"/>
      </w:pPr>
      <w:r>
        <w:tab/>
        <w:t>(d)</w:t>
      </w:r>
      <w:r>
        <w:tab/>
        <w:t xml:space="preserve">the betting account does not have a balance sufficient to pay the amount of the bet; </w:t>
      </w:r>
    </w:p>
    <w:p>
      <w:pPr>
        <w:pStyle w:val="Indenta"/>
      </w:pPr>
      <w:r>
        <w:lastRenderedPageBreak/>
        <w:tab/>
        <w:t>(e)</w:t>
      </w:r>
      <w:r>
        <w:tab/>
        <w:t xml:space="preserve">the domestic betting operator has closed another betting account of the person who established the betting account because — </w:t>
      </w:r>
    </w:p>
    <w:p>
      <w:pPr>
        <w:pStyle w:val="Indenti"/>
      </w:pPr>
      <w:r>
        <w:tab/>
        <w:t>(i)</w:t>
      </w:r>
      <w:r>
        <w:tab/>
        <w:t>the person was warned off or disqualified under the RWWA Act; or</w:t>
      </w:r>
    </w:p>
    <w:p>
      <w:pPr>
        <w:pStyle w:val="Indenti"/>
      </w:pPr>
      <w:r>
        <w:tab/>
        <w:t>(ii)</w:t>
      </w:r>
      <w:r>
        <w:tab/>
        <w:t>the person engaged in fraudulent behaviour;</w:t>
      </w:r>
    </w:p>
    <w:p>
      <w:pPr>
        <w:pStyle w:val="Indenta"/>
      </w:pPr>
      <w:r>
        <w:tab/>
        <w:t>(f)</w:t>
      </w:r>
      <w:r>
        <w:tab/>
        <w:t xml:space="preserve">the bet is — </w:t>
      </w:r>
    </w:p>
    <w:p>
      <w:pPr>
        <w:pStyle w:val="Indenti"/>
      </w:pPr>
      <w:r>
        <w:tab/>
        <w:t>(i)</w:t>
      </w:r>
      <w:r>
        <w:tab/>
        <w:t>made by means of a betting exchange; or</w:t>
      </w:r>
    </w:p>
    <w:p>
      <w:pPr>
        <w:pStyle w:val="Indenti"/>
      </w:pPr>
      <w:r>
        <w:tab/>
        <w:t>(ii)</w:t>
      </w:r>
      <w:r>
        <w:tab/>
        <w:t>a bet back as defined in section 14A(1) of the Act; or</w:t>
      </w:r>
    </w:p>
    <w:p>
      <w:pPr>
        <w:pStyle w:val="Indenti"/>
      </w:pPr>
      <w:r>
        <w:tab/>
        <w:t>(iii)</w:t>
      </w:r>
      <w:r>
        <w:tab/>
        <w:t>an internet bet placed using a proxy server;</w:t>
      </w:r>
    </w:p>
    <w:p>
      <w:pPr>
        <w:pStyle w:val="Indenta"/>
      </w:pPr>
      <w:r>
        <w:tab/>
        <w:t>(g)</w:t>
      </w:r>
      <w:r>
        <w:tab/>
        <w:t>the scheduled starting time of the 1</w:t>
      </w:r>
      <w:r>
        <w:rPr>
          <w:vertAlign w:val="superscript"/>
        </w:rPr>
        <w:t>st</w:t>
      </w:r>
      <w:r>
        <w:t xml:space="preserve"> race of the race meeting at which the race is run is before 4 pm and the bet is placed — </w:t>
      </w:r>
    </w:p>
    <w:p>
      <w:pPr>
        <w:pStyle w:val="Indenti"/>
      </w:pPr>
      <w:r>
        <w:tab/>
        <w:t>(i)</w:t>
      </w:r>
      <w:r>
        <w:tab/>
        <w:t>before 9 am on the day of the race; or</w:t>
      </w:r>
    </w:p>
    <w:p>
      <w:pPr>
        <w:pStyle w:val="Indenti"/>
      </w:pPr>
      <w:r>
        <w:tab/>
        <w:t>(ii)</w:t>
      </w:r>
      <w:r>
        <w:tab/>
        <w:t xml:space="preserve">on any day before the day of the race; </w:t>
      </w:r>
    </w:p>
    <w:p>
      <w:pPr>
        <w:pStyle w:val="Indenta"/>
      </w:pPr>
      <w:r>
        <w:tab/>
        <w:t>(h)</w:t>
      </w:r>
      <w:r>
        <w:tab/>
        <w:t>the scheduled starting time of the 1</w:t>
      </w:r>
      <w:r>
        <w:rPr>
          <w:vertAlign w:val="superscript"/>
        </w:rPr>
        <w:t>st</w:t>
      </w:r>
      <w:r>
        <w:t xml:space="preserve"> race of the race meeting at which the race is run is at or after 4 pm and the bet is placed — </w:t>
      </w:r>
    </w:p>
    <w:p>
      <w:pPr>
        <w:pStyle w:val="Indenti"/>
      </w:pPr>
      <w:r>
        <w:tab/>
        <w:t>(i)</w:t>
      </w:r>
      <w:r>
        <w:tab/>
        <w:t>before 2 pm on the day of the race; or</w:t>
      </w:r>
    </w:p>
    <w:p>
      <w:pPr>
        <w:pStyle w:val="Indenti"/>
      </w:pPr>
      <w:r>
        <w:tab/>
        <w:t>(ii)</w:t>
      </w:r>
      <w:r>
        <w:tab/>
        <w:t xml:space="preserve">on any day before the day of the race; </w:t>
      </w:r>
    </w:p>
    <w:p>
      <w:pPr>
        <w:pStyle w:val="Indenta"/>
      </w:pPr>
      <w:r>
        <w:tab/>
        <w:t>(i)</w:t>
      </w:r>
      <w:r>
        <w:tab/>
        <w:t xml:space="preserve">the bet involves the selection of a series of propositions in relation to races and the final dividend is — </w:t>
      </w:r>
    </w:p>
    <w:p>
      <w:pPr>
        <w:pStyle w:val="Indenti"/>
      </w:pPr>
      <w:r>
        <w:tab/>
        <w:t>(i)</w:t>
      </w:r>
      <w:r>
        <w:tab/>
        <w:t>reliant on all propositions being correctly selected; and</w:t>
      </w:r>
    </w:p>
    <w:p>
      <w:pPr>
        <w:pStyle w:val="Indenti"/>
      </w:pPr>
      <w:r>
        <w:tab/>
        <w:t>(ii)</w:t>
      </w:r>
      <w:r>
        <w:tab/>
        <w:t>determined by multiplying together the odds of each selection;</w:t>
      </w:r>
    </w:p>
    <w:p>
      <w:pPr>
        <w:pStyle w:val="Indenta"/>
      </w:pPr>
      <w:r>
        <w:tab/>
        <w:t>(j)</w:t>
      </w:r>
      <w:r>
        <w:tab/>
        <w:t xml:space="preserve">the bet is 1 of a number of bets that are all identical or similar and the bets have been placed in a systematic manner from the same internet protocol address; </w:t>
      </w:r>
    </w:p>
    <w:p>
      <w:pPr>
        <w:pStyle w:val="Indenta"/>
      </w:pPr>
      <w:r>
        <w:lastRenderedPageBreak/>
        <w:tab/>
        <w:t>(k)</w:t>
      </w:r>
      <w:r>
        <w:tab/>
        <w:t xml:space="preserve">a free component (as defined in the </w:t>
      </w:r>
      <w:r>
        <w:rPr>
          <w:i/>
        </w:rPr>
        <w:t>Betting Tax Assessment Act 2018</w:t>
      </w:r>
      <w:r>
        <w:t xml:space="preserve"> section 4) is used to place all or part of the bet;</w:t>
      </w:r>
    </w:p>
    <w:p>
      <w:pPr>
        <w:pStyle w:val="Indenta"/>
      </w:pPr>
      <w:r>
        <w:tab/>
        <w:t>(l)</w:t>
      </w:r>
      <w:r>
        <w:tab/>
        <w:t>the domestic betting operator has accepted another bet on the race in respect of the same runner that the bet was placed on and if the other bet and the bet had formed 1 bet the domestic betting operator would not have been required, under regulation 105A or 105B, to accept the bet.</w:t>
      </w:r>
    </w:p>
    <w:p>
      <w:pPr>
        <w:pStyle w:val="Footnotesection"/>
      </w:pPr>
      <w:r>
        <w:tab/>
        <w:t>[Regulation 105C inserted: SL 2021/193 r. 6.]</w:t>
      </w:r>
    </w:p>
    <w:p>
      <w:pPr>
        <w:pStyle w:val="Heading5"/>
      </w:pPr>
      <w:bookmarkStart w:id="111" w:name="_Toc179460588"/>
      <w:r>
        <w:rPr>
          <w:rStyle w:val="CharSectno"/>
        </w:rPr>
        <w:t>106</w:t>
      </w:r>
      <w:r>
        <w:t>.</w:t>
      </w:r>
      <w:r>
        <w:tab/>
        <w:t>Information prescribed: section 27F(2)(a)</w:t>
      </w:r>
      <w:bookmarkEnd w:id="111"/>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Gazette 8 Jan 2010 p. 24.]</w:t>
      </w:r>
    </w:p>
    <w:p>
      <w:pPr>
        <w:pStyle w:val="Heading5"/>
      </w:pPr>
      <w:bookmarkStart w:id="112" w:name="_Toc179460589"/>
      <w:r>
        <w:rPr>
          <w:rStyle w:val="CharSectno"/>
        </w:rPr>
        <w:t>107</w:t>
      </w:r>
      <w:r>
        <w:t>.</w:t>
      </w:r>
      <w:r>
        <w:tab/>
        <w:t>Manner of access to prescribed information: section 27F(2)(a)</w:t>
      </w:r>
      <w:bookmarkEnd w:id="112"/>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lastRenderedPageBreak/>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113" w:name="_Toc179460590"/>
      <w:r>
        <w:rPr>
          <w:rStyle w:val="CharSectno"/>
        </w:rPr>
        <w:t>108</w:t>
      </w:r>
      <w:r>
        <w:t>.</w:t>
      </w:r>
      <w:r>
        <w:tab/>
        <w:t>Prescribed conditions: section 27F(2)(b)</w:t>
      </w:r>
      <w:bookmarkEnd w:id="113"/>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keepNext/>
        <w:spacing w:before="150"/>
      </w:pPr>
      <w:r>
        <w:lastRenderedPageBreak/>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114" w:name="_Toc179460591"/>
      <w:r>
        <w:rPr>
          <w:rStyle w:val="CharSectno"/>
        </w:rPr>
        <w:lastRenderedPageBreak/>
        <w:t>109</w:t>
      </w:r>
      <w:r>
        <w:t>.</w:t>
      </w:r>
      <w:r>
        <w:tab/>
        <w:t>Prescribed criteria: section 27F(4)</w:t>
      </w:r>
      <w:bookmarkEnd w:id="114"/>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115" w:name="_Toc179460592"/>
      <w:r>
        <w:rPr>
          <w:rStyle w:val="CharSectno"/>
        </w:rPr>
        <w:t>110</w:t>
      </w:r>
      <w:r>
        <w:t>.</w:t>
      </w:r>
      <w:r>
        <w:tab/>
        <w:t>Audited return</w:t>
      </w:r>
      <w:bookmarkEnd w:id="115"/>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lastRenderedPageBreak/>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Gazette 8 Jan 2010 p. 27.]</w:t>
      </w:r>
    </w:p>
    <w:p>
      <w:pPr>
        <w:ind w:left="49" w:right="-20"/>
        <w:jc w:val="center"/>
        <w:rPr>
          <w:rStyle w:val="CharDivText"/>
        </w:rPr>
        <w:sectPr>
          <w:headerReference w:type="even" r:id="rId21"/>
          <w:headerReference w:type="default" r:id="rId22"/>
          <w:headerReference w:type="first" r:id="rId23"/>
          <w:pgSz w:w="11907" w:h="16840" w:code="9"/>
          <w:pgMar w:top="2269" w:right="2409" w:bottom="3543" w:left="2409" w:header="720" w:footer="3544" w:gutter="0"/>
          <w:pgNumType w:start="1"/>
          <w:cols w:space="720"/>
          <w:noEndnote/>
          <w:titlePg/>
          <w:docGrid w:linePitch="326"/>
        </w:sectPr>
      </w:pPr>
    </w:p>
    <w:p>
      <w:pPr>
        <w:pStyle w:val="yScheduleHeading"/>
        <w:pageBreakBefore w:val="0"/>
      </w:pPr>
      <w:bookmarkStart w:id="116" w:name="_Toc179457537"/>
      <w:bookmarkStart w:id="117" w:name="_Toc179458392"/>
      <w:bookmarkStart w:id="118" w:name="_Toc179460593"/>
      <w:r>
        <w:rPr>
          <w:rStyle w:val="CharSchNo"/>
        </w:rPr>
        <w:lastRenderedPageBreak/>
        <w:t>Appendix</w:t>
      </w:r>
      <w:bookmarkEnd w:id="116"/>
      <w:bookmarkEnd w:id="117"/>
      <w:bookmarkEnd w:id="118"/>
    </w:p>
    <w:p>
      <w:pPr>
        <w:pStyle w:val="yHeading2"/>
        <w:spacing w:before="120"/>
      </w:pPr>
      <w:bookmarkStart w:id="119" w:name="_Toc179457538"/>
      <w:bookmarkStart w:id="120" w:name="_Toc179458393"/>
      <w:bookmarkStart w:id="121" w:name="_Toc179460594"/>
      <w:r>
        <w:rPr>
          <w:rStyle w:val="CharSchText"/>
        </w:rPr>
        <w:t>Rules of Betting</w:t>
      </w:r>
      <w:bookmarkEnd w:id="119"/>
      <w:bookmarkEnd w:id="120"/>
      <w:bookmarkEnd w:id="121"/>
    </w:p>
    <w:p>
      <w:pPr>
        <w:pStyle w:val="yFootnoteheading"/>
      </w:pPr>
      <w:r>
        <w:tab/>
        <w:t>[Heading inserted: Gazette 14 Sep 1990 p. 4864.]</w:t>
      </w:r>
    </w:p>
    <w:p>
      <w:pPr>
        <w:pStyle w:val="yHeading3"/>
        <w:rPr>
          <w:sz w:val="22"/>
        </w:rPr>
      </w:pPr>
      <w:bookmarkStart w:id="122" w:name="_Toc179457539"/>
      <w:bookmarkStart w:id="123" w:name="_Toc179458394"/>
      <w:bookmarkStart w:id="124" w:name="_Toc179460595"/>
      <w:r>
        <w:rPr>
          <w:rStyle w:val="CharSDivNo"/>
        </w:rPr>
        <w:t>Part 1</w:t>
      </w:r>
      <w:r>
        <w:rPr>
          <w:sz w:val="22"/>
        </w:rPr>
        <w:t> — </w:t>
      </w:r>
      <w:r>
        <w:rPr>
          <w:rStyle w:val="CharSDivText"/>
        </w:rPr>
        <w:t>Betting under the rules of racing</w:t>
      </w:r>
      <w:bookmarkEnd w:id="122"/>
      <w:bookmarkEnd w:id="123"/>
      <w:bookmarkEnd w:id="124"/>
    </w:p>
    <w:p>
      <w:pPr>
        <w:pStyle w:val="yFootnoteheading"/>
        <w:rPr>
          <w:snapToGrid w:val="0"/>
        </w:rPr>
      </w:pPr>
      <w:r>
        <w:rPr>
          <w:snapToGrid w:val="0"/>
        </w:rPr>
        <w:tab/>
        <w:t>[Heading inserted: Gazette 21 Jul 1998 p. 3856.]</w:t>
      </w:r>
    </w:p>
    <w:p>
      <w:pPr>
        <w:pStyle w:val="yHeading5"/>
        <w:spacing w:before="260"/>
        <w:rPr>
          <w:snapToGrid w:val="0"/>
        </w:rPr>
      </w:pPr>
      <w:bookmarkStart w:id="125" w:name="_Toc179460596"/>
      <w:r>
        <w:rPr>
          <w:rStyle w:val="CharSClsNo"/>
        </w:rPr>
        <w:t>1</w:t>
      </w:r>
      <w:r>
        <w:rPr>
          <w:snapToGrid w:val="0"/>
        </w:rPr>
        <w:t>.</w:t>
      </w:r>
      <w:r>
        <w:rPr>
          <w:snapToGrid w:val="0"/>
        </w:rPr>
        <w:tab/>
        <w:t>Terms used</w:t>
      </w:r>
      <w:bookmarkEnd w:id="125"/>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126" w:name="_Toc179460597"/>
      <w:r>
        <w:rPr>
          <w:rStyle w:val="CharSClsNo"/>
        </w:rPr>
        <w:lastRenderedPageBreak/>
        <w:t>2</w:t>
      </w:r>
      <w:r>
        <w:rPr>
          <w:snapToGrid w:val="0"/>
        </w:rPr>
        <w:t>.</w:t>
      </w:r>
      <w:r>
        <w:rPr>
          <w:snapToGrid w:val="0"/>
        </w:rPr>
        <w:tab/>
        <w:t>Bets void in certain circumstances</w:t>
      </w:r>
      <w:bookmarkEnd w:id="126"/>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127" w:name="_Toc179460598"/>
      <w:r>
        <w:rPr>
          <w:rStyle w:val="CharSClsNo"/>
        </w:rPr>
        <w:t>3</w:t>
      </w:r>
      <w:r>
        <w:rPr>
          <w:snapToGrid w:val="0"/>
        </w:rPr>
        <w:t>.</w:t>
      </w:r>
      <w:r>
        <w:rPr>
          <w:snapToGrid w:val="0"/>
        </w:rPr>
        <w:tab/>
        <w:t>When bets are off</w:t>
      </w:r>
      <w:bookmarkEnd w:id="127"/>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 xml:space="preserve">either the backer or the bookmaker may demand bets to be confirmed before the race is run, upon proving to the committee or the stewards that he or she has just cause for so doing; if and when ordered by the committee or the stewards </w:t>
      </w:r>
      <w:r>
        <w:rPr>
          <w:snapToGrid w:val="0"/>
        </w:rPr>
        <w:lastRenderedPageBreak/>
        <w:t>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128" w:name="_Toc179460599"/>
      <w:r>
        <w:rPr>
          <w:rStyle w:val="CharSClsNo"/>
        </w:rPr>
        <w:t>4A</w:t>
      </w:r>
      <w:r>
        <w:t>.</w:t>
      </w:r>
      <w:r>
        <w:tab/>
        <w:t>Determination of bets where runner withdrawn</w:t>
      </w:r>
      <w:bookmarkEnd w:id="128"/>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lastRenderedPageBreak/>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lastRenderedPageBreak/>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lastRenderedPageBreak/>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129" w:name="_Toc179460600"/>
      <w:r>
        <w:rPr>
          <w:rStyle w:val="CharSClsNo"/>
        </w:rPr>
        <w:t>4</w:t>
      </w:r>
      <w:r>
        <w:rPr>
          <w:snapToGrid w:val="0"/>
        </w:rPr>
        <w:t>.</w:t>
      </w:r>
      <w:r>
        <w:rPr>
          <w:snapToGrid w:val="0"/>
        </w:rPr>
        <w:tab/>
        <w:t>Determination and settlement of bets</w:t>
      </w:r>
      <w:bookmarkEnd w:id="129"/>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130" w:name="_Toc179460601"/>
      <w:r>
        <w:rPr>
          <w:rStyle w:val="CharSClsNo"/>
        </w:rPr>
        <w:lastRenderedPageBreak/>
        <w:t>5</w:t>
      </w:r>
      <w:r>
        <w:rPr>
          <w:snapToGrid w:val="0"/>
        </w:rPr>
        <w:t>.</w:t>
      </w:r>
      <w:r>
        <w:rPr>
          <w:snapToGrid w:val="0"/>
        </w:rPr>
        <w:tab/>
        <w:t>Bets in respect of postponed race or race meeting</w:t>
      </w:r>
      <w:bookmarkEnd w:id="130"/>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131" w:name="_Toc179460602"/>
      <w:r>
        <w:rPr>
          <w:rStyle w:val="CharSClsNo"/>
        </w:rPr>
        <w:t>6</w:t>
      </w:r>
      <w:r>
        <w:rPr>
          <w:snapToGrid w:val="0"/>
        </w:rPr>
        <w:t>.</w:t>
      </w:r>
      <w:r>
        <w:rPr>
          <w:snapToGrid w:val="0"/>
        </w:rPr>
        <w:tab/>
        <w:t>Each way bets</w:t>
      </w:r>
      <w:bookmarkEnd w:id="131"/>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132" w:name="_Toc179460603"/>
      <w:r>
        <w:rPr>
          <w:rStyle w:val="CharSClsNo"/>
        </w:rPr>
        <w:t>7</w:t>
      </w:r>
      <w:r>
        <w:rPr>
          <w:snapToGrid w:val="0"/>
        </w:rPr>
        <w:t>.</w:t>
      </w:r>
      <w:r>
        <w:rPr>
          <w:snapToGrid w:val="0"/>
        </w:rPr>
        <w:tab/>
        <w:t>All bets to be “play or pay” except in certain circumstances</w:t>
      </w:r>
      <w:bookmarkEnd w:id="132"/>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lastRenderedPageBreak/>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133" w:name="_Toc179460604"/>
      <w:r>
        <w:rPr>
          <w:rStyle w:val="CharSClsNo"/>
        </w:rPr>
        <w:t>8</w:t>
      </w:r>
      <w:r>
        <w:rPr>
          <w:snapToGrid w:val="0"/>
        </w:rPr>
        <w:t>.</w:t>
      </w:r>
      <w:r>
        <w:rPr>
          <w:snapToGrid w:val="0"/>
        </w:rPr>
        <w:tab/>
        <w:t>Provisions as to settlement of bets following dead heat</w:t>
      </w:r>
      <w:bookmarkEnd w:id="133"/>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lastRenderedPageBreak/>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134" w:name="_Toc179460605"/>
      <w:r>
        <w:rPr>
          <w:rStyle w:val="CharSClsNo"/>
        </w:rPr>
        <w:t>9</w:t>
      </w:r>
      <w:r>
        <w:rPr>
          <w:snapToGrid w:val="0"/>
        </w:rPr>
        <w:t>.</w:t>
      </w:r>
      <w:r>
        <w:rPr>
          <w:snapToGrid w:val="0"/>
        </w:rPr>
        <w:tab/>
        <w:t>Doubles</w:t>
      </w:r>
      <w:bookmarkEnd w:id="134"/>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lastRenderedPageBreak/>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135" w:name="_Toc179460606"/>
      <w:r>
        <w:rPr>
          <w:rStyle w:val="CharSClsNo"/>
        </w:rPr>
        <w:lastRenderedPageBreak/>
        <w:t>10</w:t>
      </w:r>
      <w:r>
        <w:rPr>
          <w:snapToGrid w:val="0"/>
        </w:rPr>
        <w:t>.</w:t>
      </w:r>
      <w:r>
        <w:rPr>
          <w:snapToGrid w:val="0"/>
        </w:rPr>
        <w:tab/>
        <w:t>Multiple doubles</w:t>
      </w:r>
      <w:bookmarkEnd w:id="135"/>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136" w:name="_Toc179460607"/>
      <w:r>
        <w:rPr>
          <w:rStyle w:val="CharSClsNo"/>
        </w:rPr>
        <w:t>11</w:t>
      </w:r>
      <w:r>
        <w:rPr>
          <w:snapToGrid w:val="0"/>
        </w:rPr>
        <w:t>.</w:t>
      </w:r>
      <w:r>
        <w:rPr>
          <w:snapToGrid w:val="0"/>
        </w:rPr>
        <w:tab/>
        <w:t>“All up” bets</w:t>
      </w:r>
      <w:bookmarkEnd w:id="136"/>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37" w:name="_Toc179460608"/>
      <w:r>
        <w:rPr>
          <w:rStyle w:val="CharSClsNo"/>
        </w:rPr>
        <w:t>12</w:t>
      </w:r>
      <w:r>
        <w:rPr>
          <w:snapToGrid w:val="0"/>
        </w:rPr>
        <w:t>.</w:t>
      </w:r>
      <w:r>
        <w:rPr>
          <w:snapToGrid w:val="0"/>
        </w:rPr>
        <w:tab/>
        <w:t>Provisions as to races that are re</w:t>
      </w:r>
      <w:r>
        <w:rPr>
          <w:snapToGrid w:val="0"/>
        </w:rPr>
        <w:noBreakHyphen/>
        <w:t>run</w:t>
      </w:r>
      <w:bookmarkEnd w:id="137"/>
    </w:p>
    <w:p>
      <w:pPr>
        <w:pStyle w:val="ySubsection"/>
        <w:keepNext/>
        <w:rPr>
          <w:snapToGrid w:val="0"/>
        </w:rPr>
      </w:pPr>
      <w:r>
        <w:rPr>
          <w:snapToGrid w:val="0"/>
        </w:rPr>
        <w:tab/>
      </w:r>
      <w:r>
        <w:rPr>
          <w:snapToGrid w:val="0"/>
        </w:rPr>
        <w:tab/>
        <w:t>In the event of a race being ordered to be re</w:t>
      </w:r>
      <w:r>
        <w:rPr>
          <w:snapToGrid w:val="0"/>
        </w:rPr>
        <w:noBreakHyphen/>
        <w:t xml:space="preserve">run the same day, all bets in favour of any runner which started on the first run shall stand, </w:t>
      </w:r>
      <w:r>
        <w:rPr>
          <w:snapToGrid w:val="0"/>
        </w:rPr>
        <w:lastRenderedPageBreak/>
        <w:t>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138" w:name="_Toc179460609"/>
      <w:r>
        <w:rPr>
          <w:rStyle w:val="CharSClsNo"/>
        </w:rPr>
        <w:t>13</w:t>
      </w:r>
      <w:r>
        <w:rPr>
          <w:snapToGrid w:val="0"/>
        </w:rPr>
        <w:t>.</w:t>
      </w:r>
      <w:r>
        <w:rPr>
          <w:snapToGrid w:val="0"/>
        </w:rPr>
        <w:tab/>
        <w:t>Provisions as to bets on runners that are entered for 2 or more races on same day</w:t>
      </w:r>
      <w:bookmarkEnd w:id="138"/>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139" w:name="_Toc179460610"/>
      <w:r>
        <w:rPr>
          <w:rStyle w:val="CharSClsNo"/>
        </w:rPr>
        <w:t>14</w:t>
      </w:r>
      <w:r>
        <w:rPr>
          <w:snapToGrid w:val="0"/>
        </w:rPr>
        <w:t>.</w:t>
      </w:r>
      <w:r>
        <w:rPr>
          <w:snapToGrid w:val="0"/>
        </w:rPr>
        <w:tab/>
        <w:t>Prohibition on betting after race</w:t>
      </w:r>
      <w:bookmarkEnd w:id="139"/>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140" w:name="_Toc179460611"/>
      <w:r>
        <w:rPr>
          <w:rStyle w:val="CharSClsNo"/>
        </w:rPr>
        <w:lastRenderedPageBreak/>
        <w:t>15</w:t>
      </w:r>
      <w:r>
        <w:rPr>
          <w:snapToGrid w:val="0"/>
        </w:rPr>
        <w:t>.</w:t>
      </w:r>
      <w:r>
        <w:rPr>
          <w:snapToGrid w:val="0"/>
        </w:rPr>
        <w:tab/>
        <w:t>Settlement of bets on deaths of parties thereto</w:t>
      </w:r>
      <w:bookmarkEnd w:id="140"/>
    </w:p>
    <w:p>
      <w:pPr>
        <w:pStyle w:val="ySubsection"/>
        <w:keepNext/>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41" w:name="_Toc179460612"/>
      <w:r>
        <w:rPr>
          <w:rStyle w:val="CharSClsNo"/>
        </w:rPr>
        <w:t>16</w:t>
      </w:r>
      <w:r>
        <w:rPr>
          <w:snapToGrid w:val="0"/>
        </w:rPr>
        <w:t>.</w:t>
      </w:r>
      <w:r>
        <w:rPr>
          <w:snapToGrid w:val="0"/>
        </w:rPr>
        <w:tab/>
        <w:t>Settlement of bets on suspension or cancellation of licence of bookmaker</w:t>
      </w:r>
      <w:bookmarkEnd w:id="141"/>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142" w:name="_Toc179460613"/>
      <w:r>
        <w:rPr>
          <w:rStyle w:val="CharSClsNo"/>
        </w:rPr>
        <w:t>17</w:t>
      </w:r>
      <w:r>
        <w:rPr>
          <w:snapToGrid w:val="0"/>
        </w:rPr>
        <w:t>.</w:t>
      </w:r>
      <w:r>
        <w:rPr>
          <w:snapToGrid w:val="0"/>
        </w:rPr>
        <w:tab/>
        <w:t>Settling</w:t>
      </w:r>
      <w:bookmarkEnd w:id="142"/>
    </w:p>
    <w:p>
      <w:pPr>
        <w:pStyle w:val="ySubsection"/>
      </w:pPr>
      <w:r>
        <w:rPr>
          <w:snapToGrid w:val="0"/>
        </w:rPr>
        <w:tab/>
      </w:r>
      <w:r>
        <w:rPr>
          <w:snapToGrid w:val="0"/>
        </w:rPr>
        <w:tab/>
        <w:t>Settling in terms of these rules shall not be disturbed except in cases of fraud.</w:t>
      </w:r>
    </w:p>
    <w:p>
      <w:pPr>
        <w:outlineLvl w:val="0"/>
        <w:sectPr>
          <w:headerReference w:type="even" r:id="rId28"/>
          <w:headerReference w:type="default" r:id="rId29"/>
          <w:pgSz w:w="11907" w:h="16840" w:code="9"/>
          <w:pgMar w:top="2381" w:right="2410" w:bottom="3544" w:left="2410" w:header="720" w:footer="3544" w:gutter="0"/>
          <w:cols w:space="720"/>
        </w:sectPr>
      </w:pPr>
    </w:p>
    <w:p>
      <w:pPr>
        <w:pStyle w:val="yHeading3"/>
        <w:rPr>
          <w:szCs w:val="24"/>
        </w:rPr>
      </w:pPr>
      <w:bookmarkStart w:id="144" w:name="_Toc179457558"/>
      <w:bookmarkStart w:id="145" w:name="_Toc179458413"/>
      <w:bookmarkStart w:id="146" w:name="_Toc179460614"/>
      <w:r>
        <w:rPr>
          <w:rStyle w:val="CharSDivNo"/>
          <w:szCs w:val="24"/>
        </w:rPr>
        <w:lastRenderedPageBreak/>
        <w:t>Part 2</w:t>
      </w:r>
      <w:r>
        <w:rPr>
          <w:szCs w:val="24"/>
        </w:rPr>
        <w:t> —</w:t>
      </w:r>
      <w:r>
        <w:rPr>
          <w:rStyle w:val="CharSClsNo"/>
          <w:sz w:val="24"/>
          <w:szCs w:val="24"/>
        </w:rPr>
        <w:t> </w:t>
      </w:r>
      <w:r>
        <w:rPr>
          <w:rStyle w:val="CharSDivText"/>
          <w:szCs w:val="24"/>
        </w:rPr>
        <w:t>Betting on approved events</w:t>
      </w:r>
      <w:bookmarkEnd w:id="144"/>
      <w:bookmarkEnd w:id="145"/>
      <w:bookmarkEnd w:id="146"/>
    </w:p>
    <w:p>
      <w:pPr>
        <w:pStyle w:val="yFootnoteheading"/>
        <w:tabs>
          <w:tab w:val="clear" w:pos="879"/>
          <w:tab w:val="left" w:pos="840"/>
        </w:tabs>
        <w:rPr>
          <w:snapToGrid w:val="0"/>
        </w:rPr>
      </w:pPr>
      <w:r>
        <w:rPr>
          <w:snapToGrid w:val="0"/>
        </w:rPr>
        <w:tab/>
        <w:t>[Heading inserted: Gazette 10 Jul 1992 p. 3294; amended: 25 Jan 2019 p. 200.]</w:t>
      </w:r>
    </w:p>
    <w:p>
      <w:pPr>
        <w:pStyle w:val="yNumberedItem"/>
        <w:rPr>
          <w:snapToGrid w:val="0"/>
        </w:rPr>
      </w:pPr>
      <w:r>
        <w:rPr>
          <w:b/>
        </w:rPr>
        <w:t>1</w:t>
      </w:r>
      <w:r>
        <w:rPr>
          <w:b/>
          <w:snapToGrid w:val="0"/>
        </w:rPr>
        <w:t>.</w:t>
      </w:r>
      <w:r>
        <w:rPr>
          <w:snapToGrid w:val="0"/>
        </w:rPr>
        <w:tab/>
        <w:t xml:space="preserve">Bets shall be determined on the official results as declared by the controlling authority responsible for conducting </w:t>
      </w:r>
      <w:r>
        <w:t>the approved event</w:t>
      </w:r>
      <w:r>
        <w:rPr>
          <w:snapToGrid w:val="0"/>
        </w:rPr>
        <w:t xml:space="preserve"> to which the bets relate.</w:t>
      </w:r>
    </w:p>
    <w:p>
      <w:pPr>
        <w:pStyle w:val="yFootnotesection"/>
      </w:pPr>
      <w:r>
        <w:tab/>
        <w:t>[Rule 1 inserted: Gazette 10 Jul 1992 p. 3294; amended: 25 Jan 2019 p. 201-2.]</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w:t>
      </w:r>
      <w:r>
        <w:t>an approved event</w:t>
      </w:r>
      <w:r>
        <w:rPr>
          <w:bCs/>
          <w:snapToGrid w:val="0"/>
        </w:rPr>
        <w:t xml:space="preserve"> results in a tie, draw or dead heat, and odds are offered for that tie, draw or dead heat, any bet for a win is lost.</w:t>
      </w:r>
    </w:p>
    <w:p>
      <w:pPr>
        <w:pStyle w:val="yFootnotesection"/>
      </w:pPr>
      <w:r>
        <w:tab/>
        <w:t>[Rule 4 inserted: Gazette 10 Jul 1992 p. 3294; amended: 25 Jan 2019 p. 201.]</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w:t>
      </w:r>
      <w:r>
        <w:t>same approved event</w:t>
      </w:r>
      <w:r>
        <w:rPr>
          <w:bCs/>
          <w:snapToGrid w:val="0"/>
        </w:rPr>
        <w: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 xml:space="preserve">where the bet covers 2 contingencies and either of those contingencies is decided in the backer’s favour and the other </w:t>
      </w:r>
      <w:r>
        <w:rPr>
          <w:snapToGrid w:val="0"/>
        </w:rPr>
        <w:lastRenderedPageBreak/>
        <w:t>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3294; amended: 25 Jan 2019 p. 201-2.]</w:t>
      </w:r>
    </w:p>
    <w:p>
      <w:pPr>
        <w:pStyle w:val="yNumberedItem"/>
        <w:rPr>
          <w:snapToGrid w:val="0"/>
        </w:rPr>
      </w:pPr>
      <w:r>
        <w:rPr>
          <w:b/>
          <w:bCs/>
        </w:rPr>
        <w:t>7.</w:t>
      </w:r>
      <w:r>
        <w:rPr>
          <w:snapToGrid w:val="0"/>
        </w:rPr>
        <w:tab/>
        <w:t xml:space="preserve">Where </w:t>
      </w:r>
      <w:r>
        <w:t>an approved event</w:t>
      </w:r>
      <w:r>
        <w:rPr>
          <w:snapToGrid w:val="0"/>
        </w:rPr>
        <w:t xml:space="preserve"> is abandoned, all bets are to be refunded except those laid in respect of contingencies that have been decided totally or in part.</w:t>
      </w:r>
    </w:p>
    <w:p>
      <w:pPr>
        <w:pStyle w:val="yFootnotesection"/>
        <w:spacing w:before="100"/>
      </w:pPr>
      <w:r>
        <w:tab/>
        <w:t>[Rule 7 inserted: Gazette 10 Jul 1992 p. 3295; amended: 25 Jan 2019 p. 201-2.]</w:t>
      </w:r>
    </w:p>
    <w:p>
      <w:pPr>
        <w:pStyle w:val="yNumberedItem"/>
        <w:rPr>
          <w:snapToGrid w:val="0"/>
        </w:rPr>
      </w:pPr>
      <w:r>
        <w:rPr>
          <w:b/>
          <w:bCs/>
        </w:rPr>
        <w:t>8.</w:t>
      </w:r>
      <w:r>
        <w:rPr>
          <w:snapToGrid w:val="0"/>
        </w:rPr>
        <w:tab/>
        <w:t xml:space="preserve">Where </w:t>
      </w:r>
      <w:r>
        <w:t>an approved event</w:t>
      </w:r>
      <w:r>
        <w:rPr>
          <w:snapToGrid w:val="0"/>
        </w:rPr>
        <w:t xml:space="preserve"> is postponed to a later date, all bets on the event or contingent on the event shall stand.</w:t>
      </w:r>
    </w:p>
    <w:p>
      <w:pPr>
        <w:pStyle w:val="yFootnotesection"/>
        <w:spacing w:before="100"/>
      </w:pPr>
      <w:r>
        <w:tab/>
        <w:t>[Rule 8 inserted: Gazette 10 Jul 1992 p. 3295; amended: 25 Jan 2019 p. 201-2.]</w:t>
      </w:r>
    </w:p>
    <w:p>
      <w:pPr>
        <w:pStyle w:val="yNumberedItem"/>
        <w:rPr>
          <w:snapToGrid w:val="0"/>
        </w:rPr>
      </w:pPr>
      <w:r>
        <w:rPr>
          <w:b/>
          <w:bCs/>
        </w:rPr>
        <w:t>9.</w:t>
      </w:r>
      <w:r>
        <w:rPr>
          <w:snapToGrid w:val="0"/>
        </w:rPr>
        <w:tab/>
        <w:t xml:space="preserve">All bets in relation to </w:t>
      </w:r>
      <w:r>
        <w:t>approved events</w:t>
      </w:r>
      <w:r>
        <w:rPr>
          <w:snapToGrid w:val="0"/>
        </w:rPr>
        <w:t xml:space="preserve"> shall be “play or pay”, unless the parties mutually agree to the contrary.</w:t>
      </w:r>
    </w:p>
    <w:p>
      <w:pPr>
        <w:pStyle w:val="yFootnotesection"/>
        <w:spacing w:before="100"/>
      </w:pPr>
      <w:r>
        <w:tab/>
        <w:t>[Rule 9 inserted: Gazette 10 Jul 1992 p. 3295; amended: Gazette 30 Jan 2004 p. 408</w:t>
      </w:r>
      <w:r>
        <w:noBreakHyphen/>
        <w:t>11; 25 Jan 2019 p. 201-2.]</w:t>
      </w:r>
    </w:p>
    <w:p>
      <w:pPr>
        <w:pStyle w:val="yMiscellaneousHeading"/>
        <w:rPr>
          <w:b/>
        </w:rPr>
      </w:pPr>
      <w:r>
        <w:rPr>
          <w:b/>
        </w:rPr>
        <w:lastRenderedPageBreak/>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lastRenderedPageBreak/>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lastRenderedPageBreak/>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lastRenderedPageBreak/>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lastRenderedPageBreak/>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147" w:name="_Toc179457559"/>
      <w:bookmarkStart w:id="148" w:name="_Toc179458414"/>
      <w:bookmarkStart w:id="149" w:name="_Toc179460615"/>
      <w:r>
        <w:rPr>
          <w:rStyle w:val="CharSchNo"/>
        </w:rPr>
        <w:lastRenderedPageBreak/>
        <w:t>Schedule 1</w:t>
      </w:r>
      <w:r>
        <w:rPr>
          <w:rStyle w:val="CharSDivNo"/>
        </w:rPr>
        <w:t> </w:t>
      </w:r>
      <w:r>
        <w:t>—</w:t>
      </w:r>
      <w:r>
        <w:rPr>
          <w:rStyle w:val="CharSDivText"/>
        </w:rPr>
        <w:t> </w:t>
      </w:r>
      <w:r>
        <w:rPr>
          <w:rStyle w:val="CharSchText"/>
        </w:rPr>
        <w:t>Forms</w:t>
      </w:r>
      <w:bookmarkEnd w:id="147"/>
      <w:bookmarkEnd w:id="148"/>
      <w:bookmarkEnd w:id="149"/>
    </w:p>
    <w:p>
      <w:pPr>
        <w:pStyle w:val="yShoulderClause"/>
      </w:pPr>
      <w:r>
        <w:t>[r. 77]</w:t>
      </w:r>
    </w:p>
    <w:p>
      <w:pPr>
        <w:pStyle w:val="yFootnoteheading"/>
        <w:rPr>
          <w:b/>
          <w:snapToGrid w:val="0"/>
        </w:rPr>
      </w:pPr>
      <w:r>
        <w:tab/>
        <w:t>[Heading inserted: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Gazette 30 Jan 2004 p. 411; amended: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default" r:id="rId33"/>
          <w:pgSz w:w="11907" w:h="16840" w:code="9"/>
          <w:pgMar w:top="2381" w:right="2410" w:bottom="3544" w:left="2410" w:header="720" w:footer="3544" w:gutter="0"/>
          <w:cols w:space="720"/>
        </w:sectPr>
      </w:pPr>
    </w:p>
    <w:p>
      <w:pPr>
        <w:pStyle w:val="nHeading2"/>
      </w:pPr>
      <w:bookmarkStart w:id="150" w:name="_Toc179457560"/>
      <w:bookmarkStart w:id="151" w:name="_Toc179458415"/>
      <w:bookmarkStart w:id="152" w:name="_Toc179460616"/>
      <w:r>
        <w:lastRenderedPageBreak/>
        <w:t>Notes</w:t>
      </w:r>
      <w:bookmarkEnd w:id="150"/>
      <w:bookmarkEnd w:id="151"/>
      <w:bookmarkEnd w:id="152"/>
    </w:p>
    <w:p>
      <w:pPr>
        <w:pStyle w:val="nStatement"/>
      </w:pPr>
      <w:r>
        <w:t xml:space="preserve">This is a compilation of the </w:t>
      </w:r>
      <w:r>
        <w:rPr>
          <w:i/>
          <w:noProof/>
        </w:rPr>
        <w:t>Betting Control Regulations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3" w:name="_Toc179460617"/>
      <w:r>
        <w:t>Compilation table</w:t>
      </w:r>
      <w:bookmarkEnd w:id="153"/>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Regulations 1978</w:t>
            </w:r>
          </w:p>
        </w:tc>
        <w:tc>
          <w:tcPr>
            <w:tcW w:w="1276" w:type="dxa"/>
            <w:gridSpan w:val="2"/>
          </w:tcPr>
          <w:p>
            <w:pPr>
              <w:pStyle w:val="nTable"/>
              <w:spacing w:after="40"/>
            </w:pPr>
            <w:r>
              <w:t>22 Jun 1978 p. 1991</w:t>
            </w:r>
            <w:r>
              <w:noBreakHyphen/>
              <w:t>2014</w:t>
            </w:r>
          </w:p>
        </w:tc>
        <w:tc>
          <w:tcPr>
            <w:tcW w:w="2693" w:type="dxa"/>
            <w:gridSpan w:val="2"/>
          </w:tcPr>
          <w:p>
            <w:pPr>
              <w:pStyle w:val="nTable"/>
              <w:spacing w:after="40"/>
            </w:pPr>
            <w:r>
              <w:t>22 Jun 1978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1983</w:t>
            </w:r>
          </w:p>
        </w:tc>
        <w:tc>
          <w:tcPr>
            <w:tcW w:w="1276" w:type="dxa"/>
            <w:gridSpan w:val="2"/>
          </w:tcPr>
          <w:p>
            <w:pPr>
              <w:pStyle w:val="nTable"/>
              <w:spacing w:after="40"/>
            </w:pPr>
            <w:r>
              <w:t>12 Aug 1983 p. 2918</w:t>
            </w:r>
          </w:p>
        </w:tc>
        <w:tc>
          <w:tcPr>
            <w:tcW w:w="2693" w:type="dxa"/>
            <w:gridSpan w:val="2"/>
          </w:tcPr>
          <w:p>
            <w:pPr>
              <w:pStyle w:val="nTable"/>
              <w:spacing w:after="40"/>
            </w:pPr>
            <w:r>
              <w:t>12 Aug 1983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1988</w:t>
            </w:r>
          </w:p>
        </w:tc>
        <w:tc>
          <w:tcPr>
            <w:tcW w:w="1276" w:type="dxa"/>
            <w:gridSpan w:val="2"/>
          </w:tcPr>
          <w:p>
            <w:pPr>
              <w:pStyle w:val="nTable"/>
              <w:spacing w:after="40"/>
            </w:pPr>
            <w:r>
              <w:t>4 Mar 1988 p. 667</w:t>
            </w:r>
            <w:r>
              <w:noBreakHyphen/>
              <w:t>8</w:t>
            </w:r>
          </w:p>
        </w:tc>
        <w:tc>
          <w:tcPr>
            <w:tcW w:w="2693" w:type="dxa"/>
            <w:gridSpan w:val="2"/>
          </w:tcPr>
          <w:p>
            <w:pPr>
              <w:pStyle w:val="nTable"/>
              <w:spacing w:after="40"/>
            </w:pPr>
            <w:r>
              <w:t>4 Mar 1988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1988</w:t>
            </w:r>
          </w:p>
        </w:tc>
        <w:tc>
          <w:tcPr>
            <w:tcW w:w="1276" w:type="dxa"/>
            <w:gridSpan w:val="2"/>
          </w:tcPr>
          <w:p>
            <w:pPr>
              <w:pStyle w:val="nTable"/>
              <w:spacing w:after="40"/>
            </w:pPr>
            <w:r>
              <w:t>24 Jun 1988 p. 2003</w:t>
            </w:r>
            <w:r>
              <w:noBreakHyphen/>
              <w:t>5</w:t>
            </w:r>
          </w:p>
        </w:tc>
        <w:tc>
          <w:tcPr>
            <w:tcW w:w="2693" w:type="dxa"/>
            <w:gridSpan w:val="2"/>
          </w:tcPr>
          <w:p>
            <w:pPr>
              <w:pStyle w:val="nTable"/>
              <w:spacing w:after="40"/>
            </w:pPr>
            <w:r>
              <w:t>24 Jun 1988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1989</w:t>
            </w:r>
          </w:p>
        </w:tc>
        <w:tc>
          <w:tcPr>
            <w:tcW w:w="1276" w:type="dxa"/>
            <w:gridSpan w:val="2"/>
          </w:tcPr>
          <w:p>
            <w:pPr>
              <w:pStyle w:val="nTable"/>
              <w:spacing w:after="40"/>
            </w:pPr>
            <w:r>
              <w:t>14 Jul 1989 p. 2133</w:t>
            </w:r>
          </w:p>
        </w:tc>
        <w:tc>
          <w:tcPr>
            <w:tcW w:w="2693" w:type="dxa"/>
            <w:gridSpan w:val="2"/>
          </w:tcPr>
          <w:p>
            <w:pPr>
              <w:pStyle w:val="nTable"/>
              <w:spacing w:after="40"/>
            </w:pPr>
            <w:r>
              <w:t>14 Jul 1989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1990</w:t>
            </w:r>
          </w:p>
        </w:tc>
        <w:tc>
          <w:tcPr>
            <w:tcW w:w="1276" w:type="dxa"/>
            <w:gridSpan w:val="2"/>
          </w:tcPr>
          <w:p>
            <w:pPr>
              <w:pStyle w:val="nTable"/>
              <w:spacing w:after="40"/>
            </w:pPr>
            <w:r>
              <w:t>14 Sep 1990 p. 4863</w:t>
            </w:r>
            <w:r>
              <w:noBreakHyphen/>
              <w:t>4</w:t>
            </w:r>
          </w:p>
        </w:tc>
        <w:tc>
          <w:tcPr>
            <w:tcW w:w="2693" w:type="dxa"/>
            <w:gridSpan w:val="2"/>
          </w:tcPr>
          <w:p>
            <w:pPr>
              <w:pStyle w:val="nTable"/>
              <w:spacing w:after="40"/>
            </w:pPr>
            <w:r>
              <w:t>14 Sep 1990</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1991</w:t>
            </w:r>
          </w:p>
        </w:tc>
        <w:tc>
          <w:tcPr>
            <w:tcW w:w="1276" w:type="dxa"/>
            <w:gridSpan w:val="2"/>
          </w:tcPr>
          <w:p>
            <w:pPr>
              <w:pStyle w:val="nTable"/>
              <w:spacing w:after="40"/>
            </w:pPr>
            <w:r>
              <w:t>14 Feb 1992 p. 857</w:t>
            </w:r>
            <w:r>
              <w:noBreakHyphen/>
              <w:t>62</w:t>
            </w:r>
          </w:p>
        </w:tc>
        <w:tc>
          <w:tcPr>
            <w:tcW w:w="2693" w:type="dxa"/>
            <w:gridSpan w:val="2"/>
          </w:tcPr>
          <w:p>
            <w:pPr>
              <w:pStyle w:val="nTable"/>
              <w:spacing w:after="40"/>
            </w:pPr>
            <w:r>
              <w:t>14 Feb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1992</w:t>
            </w:r>
          </w:p>
        </w:tc>
        <w:tc>
          <w:tcPr>
            <w:tcW w:w="1276" w:type="dxa"/>
            <w:gridSpan w:val="2"/>
          </w:tcPr>
          <w:p>
            <w:pPr>
              <w:pStyle w:val="nTable"/>
              <w:spacing w:after="40"/>
            </w:pPr>
            <w:r>
              <w:t>10 Jul 1992 p. 3286</w:t>
            </w:r>
            <w:r>
              <w:noBreakHyphen/>
              <w:t>95</w:t>
            </w:r>
          </w:p>
        </w:tc>
        <w:tc>
          <w:tcPr>
            <w:tcW w:w="2693" w:type="dxa"/>
            <w:gridSpan w:val="2"/>
          </w:tcPr>
          <w:p>
            <w:pPr>
              <w:pStyle w:val="nTable"/>
              <w:spacing w:after="40"/>
            </w:pPr>
            <w:r>
              <w:t>10 Jul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1992</w:t>
            </w:r>
          </w:p>
        </w:tc>
        <w:tc>
          <w:tcPr>
            <w:tcW w:w="1276" w:type="dxa"/>
            <w:gridSpan w:val="2"/>
          </w:tcPr>
          <w:p>
            <w:pPr>
              <w:pStyle w:val="nTable"/>
              <w:spacing w:after="40"/>
            </w:pPr>
            <w:r>
              <w:t>31 Jul 1992 p. 3796</w:t>
            </w:r>
          </w:p>
        </w:tc>
        <w:tc>
          <w:tcPr>
            <w:tcW w:w="2693" w:type="dxa"/>
            <w:gridSpan w:val="2"/>
          </w:tcPr>
          <w:p>
            <w:pPr>
              <w:pStyle w:val="nTable"/>
              <w:spacing w:after="40"/>
            </w:pPr>
            <w:r>
              <w:t>31 Jul 1992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1993</w:t>
            </w:r>
          </w:p>
        </w:tc>
        <w:tc>
          <w:tcPr>
            <w:tcW w:w="1276" w:type="dxa"/>
            <w:gridSpan w:val="2"/>
          </w:tcPr>
          <w:p>
            <w:pPr>
              <w:pStyle w:val="nTable"/>
              <w:spacing w:after="40"/>
            </w:pPr>
            <w:r>
              <w:t>31 Aug 1993 p. 4677 (correction 10 Sep 1993 p. 4975)</w:t>
            </w:r>
          </w:p>
        </w:tc>
        <w:tc>
          <w:tcPr>
            <w:tcW w:w="2693" w:type="dxa"/>
            <w:gridSpan w:val="2"/>
          </w:tcPr>
          <w:p>
            <w:pPr>
              <w:pStyle w:val="nTable"/>
              <w:spacing w:after="40"/>
            </w:pPr>
            <w:r>
              <w:t>31 Aug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1993</w:t>
            </w:r>
          </w:p>
        </w:tc>
        <w:tc>
          <w:tcPr>
            <w:tcW w:w="1276" w:type="dxa"/>
            <w:gridSpan w:val="2"/>
          </w:tcPr>
          <w:p>
            <w:pPr>
              <w:pStyle w:val="nTable"/>
              <w:spacing w:after="40"/>
            </w:pPr>
            <w:r>
              <w:t>24 Dec 1993 p. 6839</w:t>
            </w:r>
            <w:r>
              <w:noBreakHyphen/>
              <w:t>40</w:t>
            </w:r>
          </w:p>
        </w:tc>
        <w:tc>
          <w:tcPr>
            <w:tcW w:w="2693"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1994</w:t>
            </w:r>
          </w:p>
        </w:tc>
        <w:tc>
          <w:tcPr>
            <w:tcW w:w="1276" w:type="dxa"/>
            <w:gridSpan w:val="2"/>
          </w:tcPr>
          <w:p>
            <w:pPr>
              <w:pStyle w:val="nTable"/>
              <w:spacing w:after="40"/>
            </w:pPr>
            <w:r>
              <w:t>2 Dec 1994 p. 6383</w:t>
            </w:r>
          </w:p>
        </w:tc>
        <w:tc>
          <w:tcPr>
            <w:tcW w:w="2693" w:type="dxa"/>
            <w:gridSpan w:val="2"/>
          </w:tcPr>
          <w:p>
            <w:pPr>
              <w:pStyle w:val="nTable"/>
              <w:spacing w:after="40"/>
            </w:pPr>
            <w:r>
              <w:t>2 Dec 1994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lastRenderedPageBreak/>
              <w:t>Betting Control Amendment Regulations 1996</w:t>
            </w:r>
          </w:p>
        </w:tc>
        <w:tc>
          <w:tcPr>
            <w:tcW w:w="1276" w:type="dxa"/>
            <w:gridSpan w:val="2"/>
          </w:tcPr>
          <w:p>
            <w:pPr>
              <w:pStyle w:val="nTable"/>
              <w:spacing w:after="40"/>
            </w:pPr>
            <w:r>
              <w:t>25 Jun 1996 p. 2974</w:t>
            </w:r>
            <w:r>
              <w:noBreakHyphen/>
              <w:t>8</w:t>
            </w:r>
          </w:p>
        </w:tc>
        <w:tc>
          <w:tcPr>
            <w:tcW w:w="2693" w:type="dxa"/>
            <w:gridSpan w:val="2"/>
          </w:tcPr>
          <w:p>
            <w:pPr>
              <w:pStyle w:val="nTable"/>
              <w:spacing w:after="40"/>
            </w:pPr>
            <w:r>
              <w:t xml:space="preserve">28 Jun 1996 (see r. 2 and </w:t>
            </w:r>
            <w:r>
              <w:rPr>
                <w:i/>
              </w:rPr>
              <w:t>Gazette</w:t>
            </w:r>
            <w:r>
              <w:t xml:space="preserve"> 25 Jun 1996 p. 2901)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1996</w:t>
            </w:r>
          </w:p>
        </w:tc>
        <w:tc>
          <w:tcPr>
            <w:tcW w:w="1276" w:type="dxa"/>
            <w:gridSpan w:val="2"/>
          </w:tcPr>
          <w:p>
            <w:pPr>
              <w:pStyle w:val="nTable"/>
              <w:spacing w:after="40"/>
            </w:pPr>
            <w:r>
              <w:t>22 Oct 1996 p. 5619</w:t>
            </w:r>
          </w:p>
        </w:tc>
        <w:tc>
          <w:tcPr>
            <w:tcW w:w="2693" w:type="dxa"/>
            <w:gridSpan w:val="2"/>
          </w:tcPr>
          <w:p>
            <w:pPr>
              <w:pStyle w:val="nTable"/>
              <w:spacing w:after="40"/>
            </w:pPr>
            <w:r>
              <w:t>22 Oct 1996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1997</w:t>
            </w:r>
          </w:p>
        </w:tc>
        <w:tc>
          <w:tcPr>
            <w:tcW w:w="1276" w:type="dxa"/>
            <w:gridSpan w:val="2"/>
          </w:tcPr>
          <w:p>
            <w:pPr>
              <w:pStyle w:val="nTable"/>
              <w:spacing w:after="40"/>
            </w:pPr>
            <w:r>
              <w:t>4 Mar 1997</w:t>
            </w:r>
            <w:r>
              <w:br/>
              <w:t>p. 1395</w:t>
            </w:r>
          </w:p>
        </w:tc>
        <w:tc>
          <w:tcPr>
            <w:tcW w:w="2693" w:type="dxa"/>
            <w:gridSpan w:val="2"/>
          </w:tcPr>
          <w:p>
            <w:pPr>
              <w:pStyle w:val="nTable"/>
              <w:spacing w:after="40"/>
            </w:pPr>
            <w:r>
              <w:t>4 Mar 1997</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keepNext/>
              <w:spacing w:after="40"/>
              <w:ind w:right="113"/>
            </w:pPr>
            <w:r>
              <w:rPr>
                <w:i/>
              </w:rPr>
              <w:t>Betting Control Amendment Regulations (No. 2) 1997</w:t>
            </w:r>
          </w:p>
        </w:tc>
        <w:tc>
          <w:tcPr>
            <w:tcW w:w="1276" w:type="dxa"/>
            <w:gridSpan w:val="2"/>
          </w:tcPr>
          <w:p>
            <w:pPr>
              <w:pStyle w:val="nTable"/>
              <w:keepNext/>
              <w:spacing w:after="40"/>
            </w:pPr>
            <w:r>
              <w:t>4 Mar 1997 p. 1396 (as amended 24 Jun 1997 p. 3014)</w:t>
            </w:r>
          </w:p>
        </w:tc>
        <w:tc>
          <w:tcPr>
            <w:tcW w:w="2693" w:type="dxa"/>
            <w:gridSpan w:val="2"/>
          </w:tcPr>
          <w:p>
            <w:pPr>
              <w:pStyle w:val="nTable"/>
              <w:keepNext/>
              <w:spacing w:after="40"/>
            </w:pPr>
            <w:r>
              <w:t>1 Aug 1997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3) 1997</w:t>
            </w:r>
          </w:p>
        </w:tc>
        <w:tc>
          <w:tcPr>
            <w:tcW w:w="1276" w:type="dxa"/>
            <w:gridSpan w:val="2"/>
          </w:tcPr>
          <w:p>
            <w:pPr>
              <w:pStyle w:val="nTable"/>
              <w:spacing w:after="40"/>
            </w:pPr>
            <w:r>
              <w:t>24 Jun 1997 p. 3014</w:t>
            </w:r>
          </w:p>
        </w:tc>
        <w:tc>
          <w:tcPr>
            <w:tcW w:w="2693" w:type="dxa"/>
            <w:gridSpan w:val="2"/>
          </w:tcPr>
          <w:p>
            <w:pPr>
              <w:pStyle w:val="nTable"/>
              <w:spacing w:after="40"/>
            </w:pPr>
            <w:r>
              <w:t>24 Jun 1997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1998</w:t>
            </w:r>
          </w:p>
        </w:tc>
        <w:tc>
          <w:tcPr>
            <w:tcW w:w="1276" w:type="dxa"/>
            <w:gridSpan w:val="2"/>
          </w:tcPr>
          <w:p>
            <w:pPr>
              <w:pStyle w:val="nTable"/>
              <w:spacing w:after="40"/>
            </w:pPr>
            <w:r>
              <w:t>13 Mar 1998 p. 1394</w:t>
            </w:r>
          </w:p>
        </w:tc>
        <w:tc>
          <w:tcPr>
            <w:tcW w:w="2693" w:type="dxa"/>
            <w:gridSpan w:val="2"/>
          </w:tcPr>
          <w:p>
            <w:pPr>
              <w:pStyle w:val="nTable"/>
              <w:spacing w:after="40"/>
            </w:pPr>
            <w:r>
              <w:t>13 Mar 1998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1998</w:t>
            </w:r>
          </w:p>
        </w:tc>
        <w:tc>
          <w:tcPr>
            <w:tcW w:w="1276" w:type="dxa"/>
            <w:gridSpan w:val="2"/>
          </w:tcPr>
          <w:p>
            <w:pPr>
              <w:pStyle w:val="nTable"/>
              <w:spacing w:after="40"/>
            </w:pPr>
            <w:r>
              <w:t>10 Jul 1998 p. 3647</w:t>
            </w:r>
          </w:p>
        </w:tc>
        <w:tc>
          <w:tcPr>
            <w:tcW w:w="2693" w:type="dxa"/>
            <w:gridSpan w:val="2"/>
          </w:tcPr>
          <w:p>
            <w:pPr>
              <w:pStyle w:val="nTable"/>
              <w:spacing w:after="40"/>
            </w:pPr>
            <w:r>
              <w:t>1 Aug 1998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1998</w:t>
            </w:r>
          </w:p>
        </w:tc>
        <w:tc>
          <w:tcPr>
            <w:tcW w:w="1276" w:type="dxa"/>
            <w:gridSpan w:val="2"/>
          </w:tcPr>
          <w:p>
            <w:pPr>
              <w:pStyle w:val="nTable"/>
              <w:spacing w:after="40"/>
            </w:pPr>
            <w:r>
              <w:t>21 Jul 1998 p. 3850</w:t>
            </w:r>
            <w:r>
              <w:noBreakHyphen/>
              <w:t>60</w:t>
            </w:r>
          </w:p>
        </w:tc>
        <w:tc>
          <w:tcPr>
            <w:tcW w:w="2693" w:type="dxa"/>
            <w:gridSpan w:val="2"/>
          </w:tcPr>
          <w:p>
            <w:pPr>
              <w:pStyle w:val="nTable"/>
              <w:spacing w:after="40"/>
            </w:pPr>
            <w:r>
              <w:t xml:space="preserve">1 Aug 1998 (see r. 2 and </w:t>
            </w:r>
            <w:r>
              <w:rPr>
                <w:i/>
              </w:rPr>
              <w:t xml:space="preserve">Gazette </w:t>
            </w:r>
            <w:r>
              <w:t>21 Jul 1998 p. 3825)</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1999</w:t>
            </w:r>
          </w:p>
        </w:tc>
        <w:tc>
          <w:tcPr>
            <w:tcW w:w="1276" w:type="dxa"/>
            <w:gridSpan w:val="2"/>
          </w:tcPr>
          <w:p>
            <w:pPr>
              <w:pStyle w:val="nTable"/>
              <w:spacing w:after="40"/>
            </w:pPr>
            <w:r>
              <w:t>26 Nov 1999 p. 5908</w:t>
            </w:r>
            <w:r>
              <w:noBreakHyphen/>
              <w:t>10</w:t>
            </w:r>
          </w:p>
        </w:tc>
        <w:tc>
          <w:tcPr>
            <w:tcW w:w="2693" w:type="dxa"/>
            <w:gridSpan w:val="2"/>
          </w:tcPr>
          <w:p>
            <w:pPr>
              <w:pStyle w:val="nTable"/>
              <w:spacing w:after="40"/>
            </w:pPr>
            <w:r>
              <w:t>26 Nov 1999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2000 </w:t>
            </w:r>
          </w:p>
        </w:tc>
        <w:tc>
          <w:tcPr>
            <w:tcW w:w="1276" w:type="dxa"/>
            <w:gridSpan w:val="2"/>
          </w:tcPr>
          <w:p>
            <w:pPr>
              <w:pStyle w:val="nTable"/>
              <w:spacing w:after="40"/>
            </w:pPr>
            <w:r>
              <w:t>13 Oct 2000 p. 5726</w:t>
            </w:r>
            <w:r>
              <w:noBreakHyphen/>
              <w:t>7</w:t>
            </w:r>
          </w:p>
        </w:tc>
        <w:tc>
          <w:tcPr>
            <w:tcW w:w="2693" w:type="dxa"/>
            <w:gridSpan w:val="2"/>
          </w:tcPr>
          <w:p>
            <w:pPr>
              <w:pStyle w:val="nTable"/>
              <w:spacing w:after="40"/>
            </w:pPr>
            <w:r>
              <w:t xml:space="preserve">13 Oct 2000 </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2001</w:t>
            </w:r>
          </w:p>
        </w:tc>
        <w:tc>
          <w:tcPr>
            <w:tcW w:w="1276" w:type="dxa"/>
            <w:gridSpan w:val="2"/>
          </w:tcPr>
          <w:p>
            <w:pPr>
              <w:pStyle w:val="nTable"/>
              <w:spacing w:after="40"/>
            </w:pPr>
            <w:r>
              <w:t>11 Sep 2001 p. 5001</w:t>
            </w:r>
          </w:p>
        </w:tc>
        <w:tc>
          <w:tcPr>
            <w:tcW w:w="2693" w:type="dxa"/>
            <w:gridSpan w:val="2"/>
          </w:tcPr>
          <w:p>
            <w:pPr>
              <w:pStyle w:val="nTable"/>
              <w:spacing w:after="40"/>
            </w:pPr>
            <w:r>
              <w:t>11 Sep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2001</w:t>
            </w:r>
          </w:p>
        </w:tc>
        <w:tc>
          <w:tcPr>
            <w:tcW w:w="1276" w:type="dxa"/>
            <w:gridSpan w:val="2"/>
          </w:tcPr>
          <w:p>
            <w:pPr>
              <w:pStyle w:val="nTable"/>
              <w:spacing w:after="40"/>
            </w:pPr>
            <w:r>
              <w:t>2 Oct 2001 p. 5454</w:t>
            </w:r>
            <w:r>
              <w:noBreakHyphen/>
              <w:t>5</w:t>
            </w:r>
          </w:p>
        </w:tc>
        <w:tc>
          <w:tcPr>
            <w:tcW w:w="2693" w:type="dxa"/>
            <w:gridSpan w:val="2"/>
          </w:tcPr>
          <w:p>
            <w:pPr>
              <w:pStyle w:val="nTable"/>
              <w:spacing w:after="40"/>
            </w:pPr>
            <w:r>
              <w:t>2 Oct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2001</w:t>
            </w:r>
          </w:p>
        </w:tc>
        <w:tc>
          <w:tcPr>
            <w:tcW w:w="1276" w:type="dxa"/>
            <w:gridSpan w:val="2"/>
          </w:tcPr>
          <w:p>
            <w:pPr>
              <w:pStyle w:val="nTable"/>
              <w:spacing w:after="40"/>
            </w:pPr>
            <w:r>
              <w:t>18 Jan 2002 p. 284</w:t>
            </w:r>
          </w:p>
        </w:tc>
        <w:tc>
          <w:tcPr>
            <w:tcW w:w="2693" w:type="dxa"/>
            <w:gridSpan w:val="2"/>
          </w:tcPr>
          <w:p>
            <w:pPr>
              <w:pStyle w:val="nTable"/>
              <w:spacing w:after="40"/>
            </w:pPr>
            <w:r>
              <w:t>21 Jan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2002</w:t>
            </w:r>
          </w:p>
        </w:tc>
        <w:tc>
          <w:tcPr>
            <w:tcW w:w="1276" w:type="dxa"/>
            <w:gridSpan w:val="2"/>
          </w:tcPr>
          <w:p>
            <w:pPr>
              <w:pStyle w:val="nTable"/>
              <w:spacing w:after="40"/>
            </w:pPr>
            <w:r>
              <w:t>20 Sep 2002 p. 4697</w:t>
            </w:r>
            <w:r>
              <w:noBreakHyphen/>
              <w:t>704</w:t>
            </w:r>
          </w:p>
        </w:tc>
        <w:tc>
          <w:tcPr>
            <w:tcW w:w="2693" w:type="dxa"/>
            <w:gridSpan w:val="2"/>
          </w:tcPr>
          <w:p>
            <w:pPr>
              <w:pStyle w:val="nTable"/>
              <w:spacing w:after="40"/>
            </w:pPr>
            <w:r>
              <w:t xml:space="preserve">21 Sep 2002 (see r. 2 and </w:t>
            </w:r>
            <w:r>
              <w:rPr>
                <w:i/>
              </w:rPr>
              <w:t>Gazette</w:t>
            </w:r>
            <w:r>
              <w:t xml:space="preserve"> 20 Sep 2002 p. 4693)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2002</w:t>
            </w:r>
          </w:p>
        </w:tc>
        <w:tc>
          <w:tcPr>
            <w:tcW w:w="1276" w:type="dxa"/>
            <w:gridSpan w:val="2"/>
          </w:tcPr>
          <w:p>
            <w:pPr>
              <w:pStyle w:val="nTable"/>
              <w:spacing w:after="40"/>
            </w:pPr>
            <w:r>
              <w:t>17 Dec 2002 p. 5923</w:t>
            </w:r>
            <w:r>
              <w:noBreakHyphen/>
              <w:t>4</w:t>
            </w:r>
          </w:p>
        </w:tc>
        <w:tc>
          <w:tcPr>
            <w:tcW w:w="2693" w:type="dxa"/>
            <w:gridSpan w:val="2"/>
          </w:tcPr>
          <w:p>
            <w:pPr>
              <w:pStyle w:val="nTable"/>
              <w:spacing w:after="40"/>
            </w:pPr>
            <w:r>
              <w:t>17 Dec 2002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lastRenderedPageBreak/>
              <w:t>Betting Control Amendment Regulations 2003</w:t>
            </w:r>
          </w:p>
        </w:tc>
        <w:tc>
          <w:tcPr>
            <w:tcW w:w="1276" w:type="dxa"/>
            <w:gridSpan w:val="2"/>
          </w:tcPr>
          <w:p>
            <w:pPr>
              <w:pStyle w:val="nTable"/>
              <w:spacing w:after="40"/>
            </w:pPr>
            <w:r>
              <w:t>25 Mar 2003 p. 921</w:t>
            </w:r>
            <w:r>
              <w:noBreakHyphen/>
              <w:t>2</w:t>
            </w:r>
          </w:p>
        </w:tc>
        <w:tc>
          <w:tcPr>
            <w:tcW w:w="2693" w:type="dxa"/>
            <w:gridSpan w:val="2"/>
          </w:tcPr>
          <w:p>
            <w:pPr>
              <w:pStyle w:val="nTable"/>
              <w:spacing w:after="40"/>
            </w:pPr>
            <w:r>
              <w:t>1 Apr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2003</w:t>
            </w:r>
          </w:p>
        </w:tc>
        <w:tc>
          <w:tcPr>
            <w:tcW w:w="1276" w:type="dxa"/>
            <w:gridSpan w:val="2"/>
          </w:tcPr>
          <w:p>
            <w:pPr>
              <w:pStyle w:val="nTable"/>
              <w:spacing w:after="40"/>
            </w:pPr>
            <w:r>
              <w:t>20 Jun 2003 p. 2250</w:t>
            </w:r>
            <w:r>
              <w:noBreakHyphen/>
              <w:t>1</w:t>
            </w:r>
          </w:p>
        </w:tc>
        <w:tc>
          <w:tcPr>
            <w:tcW w:w="2693"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2003</w:t>
            </w:r>
          </w:p>
        </w:tc>
        <w:tc>
          <w:tcPr>
            <w:tcW w:w="1276" w:type="dxa"/>
            <w:gridSpan w:val="2"/>
          </w:tcPr>
          <w:p>
            <w:pPr>
              <w:pStyle w:val="nTable"/>
              <w:spacing w:after="40"/>
            </w:pPr>
            <w:r>
              <w:t>26 Sep 2003 p. 4225</w:t>
            </w:r>
            <w:r>
              <w:noBreakHyphen/>
              <w:t>6</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2003</w:t>
            </w:r>
          </w:p>
        </w:tc>
        <w:tc>
          <w:tcPr>
            <w:tcW w:w="1276" w:type="dxa"/>
            <w:gridSpan w:val="2"/>
          </w:tcPr>
          <w:p>
            <w:pPr>
              <w:pStyle w:val="nTable"/>
              <w:spacing w:after="40"/>
            </w:pPr>
            <w:r>
              <w:t>11 Nov 2003 p. 4673</w:t>
            </w:r>
            <w:r>
              <w:noBreakHyphen/>
              <w:t>4</w:t>
            </w:r>
          </w:p>
        </w:tc>
        <w:tc>
          <w:tcPr>
            <w:tcW w:w="2693" w:type="dxa"/>
            <w:gridSpan w:val="2"/>
          </w:tcPr>
          <w:p>
            <w:pPr>
              <w:pStyle w:val="nTable"/>
              <w:spacing w:after="40"/>
            </w:pPr>
            <w:r>
              <w:t>11 Nov 2003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2004</w:t>
            </w:r>
          </w:p>
        </w:tc>
        <w:tc>
          <w:tcPr>
            <w:tcW w:w="1276" w:type="dxa"/>
            <w:gridSpan w:val="2"/>
          </w:tcPr>
          <w:p>
            <w:pPr>
              <w:pStyle w:val="nTable"/>
              <w:spacing w:after="40"/>
            </w:pPr>
            <w:r>
              <w:t>30 Jan 2004 p. 403</w:t>
            </w:r>
            <w:r>
              <w:noBreakHyphen/>
              <w:t>12</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2004</w:t>
            </w:r>
          </w:p>
        </w:tc>
        <w:tc>
          <w:tcPr>
            <w:tcW w:w="1276" w:type="dxa"/>
            <w:gridSpan w:val="2"/>
          </w:tcPr>
          <w:p>
            <w:pPr>
              <w:pStyle w:val="nTable"/>
              <w:spacing w:after="40"/>
            </w:pPr>
            <w:r>
              <w:t>1 Jul 2004 p. 2625</w:t>
            </w:r>
            <w:r>
              <w:noBreakHyphen/>
              <w:t>6</w:t>
            </w:r>
          </w:p>
        </w:tc>
        <w:tc>
          <w:tcPr>
            <w:tcW w:w="2693" w:type="dxa"/>
            <w:gridSpan w:val="2"/>
          </w:tcPr>
          <w:p>
            <w:pPr>
              <w:pStyle w:val="nTable"/>
              <w:spacing w:after="40"/>
            </w:pPr>
            <w:r>
              <w:t>1 Jul 2004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2004</w:t>
            </w:r>
            <w:r>
              <w:t xml:space="preserve"> </w:t>
            </w:r>
          </w:p>
        </w:tc>
        <w:tc>
          <w:tcPr>
            <w:tcW w:w="1276" w:type="dxa"/>
            <w:gridSpan w:val="2"/>
          </w:tcPr>
          <w:p>
            <w:pPr>
              <w:pStyle w:val="nTable"/>
              <w:spacing w:after="40"/>
            </w:pPr>
            <w:r>
              <w:t>9 Jul 2004 p. 2780</w:t>
            </w:r>
            <w:r>
              <w:noBreakHyphen/>
              <w:t>1</w:t>
            </w:r>
          </w:p>
        </w:tc>
        <w:tc>
          <w:tcPr>
            <w:tcW w:w="2693" w:type="dxa"/>
            <w:gridSpan w:val="2"/>
          </w:tcPr>
          <w:p>
            <w:pPr>
              <w:pStyle w:val="nTable"/>
              <w:spacing w:after="40"/>
            </w:pPr>
            <w:r>
              <w:t>1 Jan 2005 (see r. 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2005</w:t>
            </w:r>
          </w:p>
        </w:tc>
        <w:tc>
          <w:tcPr>
            <w:tcW w:w="1276" w:type="dxa"/>
            <w:gridSpan w:val="2"/>
          </w:tcPr>
          <w:p>
            <w:pPr>
              <w:pStyle w:val="nTable"/>
              <w:spacing w:after="40"/>
            </w:pPr>
            <w:r>
              <w:t>14 Oct 2005 p. 4558</w:t>
            </w:r>
            <w:r>
              <w:noBreakHyphen/>
              <w:t>9</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2006</w:t>
            </w:r>
          </w:p>
        </w:tc>
        <w:tc>
          <w:tcPr>
            <w:tcW w:w="1276" w:type="dxa"/>
            <w:gridSpan w:val="2"/>
          </w:tcPr>
          <w:p>
            <w:pPr>
              <w:pStyle w:val="nTable"/>
              <w:spacing w:after="40"/>
            </w:pPr>
            <w:r>
              <w:t>28 Apr 2006 p. 1659</w:t>
            </w:r>
          </w:p>
        </w:tc>
        <w:tc>
          <w:tcPr>
            <w:tcW w:w="2693" w:type="dxa"/>
            <w:gridSpan w:val="2"/>
          </w:tcPr>
          <w:p>
            <w:pPr>
              <w:pStyle w:val="nTable"/>
              <w:spacing w:after="40"/>
            </w:pPr>
            <w:r>
              <w:t>28 Apr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2006</w:t>
            </w:r>
          </w:p>
        </w:tc>
        <w:tc>
          <w:tcPr>
            <w:tcW w:w="1276" w:type="dxa"/>
            <w:gridSpan w:val="2"/>
          </w:tcPr>
          <w:p>
            <w:pPr>
              <w:pStyle w:val="nTable"/>
              <w:spacing w:after="40"/>
            </w:pPr>
            <w:r>
              <w:t>21 Jul 2006 p. 2669</w:t>
            </w:r>
            <w:r>
              <w:noBreakHyphen/>
              <w:t>89</w:t>
            </w:r>
          </w:p>
        </w:tc>
        <w:tc>
          <w:tcPr>
            <w:tcW w:w="2693" w:type="dxa"/>
            <w:gridSpan w:val="2"/>
          </w:tcPr>
          <w:p>
            <w:pPr>
              <w:pStyle w:val="nTable"/>
              <w:spacing w:after="40"/>
            </w:pPr>
            <w:r>
              <w:t>21 Jul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2006</w:t>
            </w:r>
          </w:p>
        </w:tc>
        <w:tc>
          <w:tcPr>
            <w:tcW w:w="1276" w:type="dxa"/>
            <w:gridSpan w:val="2"/>
          </w:tcPr>
          <w:p>
            <w:pPr>
              <w:pStyle w:val="nTable"/>
              <w:spacing w:after="40"/>
            </w:pPr>
            <w:r>
              <w:t>10 Oct 2006 p. 4391</w:t>
            </w:r>
            <w:r>
              <w:noBreakHyphen/>
              <w:t>2</w:t>
            </w:r>
          </w:p>
        </w:tc>
        <w:tc>
          <w:tcPr>
            <w:tcW w:w="2693" w:type="dxa"/>
            <w:gridSpan w:val="2"/>
          </w:tcPr>
          <w:p>
            <w:pPr>
              <w:pStyle w:val="nTable"/>
              <w:spacing w:after="40"/>
            </w:pPr>
            <w:r>
              <w:t>10 Oct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2006</w:t>
            </w:r>
            <w:r>
              <w:rPr>
                <w:iCs/>
              </w:rPr>
              <w:t xml:space="preserve"> </w:t>
            </w:r>
          </w:p>
        </w:tc>
        <w:tc>
          <w:tcPr>
            <w:tcW w:w="1276" w:type="dxa"/>
            <w:gridSpan w:val="2"/>
          </w:tcPr>
          <w:p>
            <w:pPr>
              <w:pStyle w:val="nTable"/>
              <w:spacing w:after="40"/>
            </w:pPr>
            <w:r>
              <w:t>14 Nov 2006 p. 4729</w:t>
            </w:r>
            <w:r>
              <w:noBreakHyphen/>
              <w:t>30</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2007</w:t>
            </w:r>
          </w:p>
        </w:tc>
        <w:tc>
          <w:tcPr>
            <w:tcW w:w="1276" w:type="dxa"/>
            <w:gridSpan w:val="2"/>
          </w:tcPr>
          <w:p>
            <w:pPr>
              <w:pStyle w:val="nTable"/>
              <w:spacing w:after="40"/>
            </w:pPr>
            <w:r>
              <w:t>22 Jun 2007 p. 2863</w:t>
            </w:r>
            <w:r>
              <w:noBreakHyphen/>
              <w:t>5</w:t>
            </w:r>
          </w:p>
        </w:tc>
        <w:tc>
          <w:tcPr>
            <w:tcW w:w="2693" w:type="dxa"/>
            <w:gridSpan w:val="2"/>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2007</w:t>
            </w:r>
          </w:p>
        </w:tc>
        <w:tc>
          <w:tcPr>
            <w:tcW w:w="1276" w:type="dxa"/>
            <w:gridSpan w:val="2"/>
          </w:tcPr>
          <w:p>
            <w:pPr>
              <w:pStyle w:val="nTable"/>
              <w:spacing w:after="40"/>
            </w:pPr>
            <w:r>
              <w:t>18 Sep 2007 p. 4716</w:t>
            </w:r>
            <w:r>
              <w:noBreakHyphen/>
              <w:t>18</w:t>
            </w:r>
          </w:p>
        </w:tc>
        <w:tc>
          <w:tcPr>
            <w:tcW w:w="2693" w:type="dxa"/>
            <w:gridSpan w:val="2"/>
          </w:tcPr>
          <w:p>
            <w:pPr>
              <w:pStyle w:val="nTable"/>
              <w:spacing w:after="40"/>
              <w:rPr>
                <w:snapToGrid w:val="0"/>
              </w:rPr>
            </w:pPr>
            <w:r>
              <w:rPr>
                <w:snapToGrid w:val="0"/>
              </w:rPr>
              <w:t>r. 1 and 2: 18 Sep 2007 (see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rPr>
            </w:pPr>
            <w:r>
              <w:rPr>
                <w:i/>
              </w:rPr>
              <w:lastRenderedPageBreak/>
              <w:t>Betting Control Amendment Regulations (No. 4) 2007</w:t>
            </w:r>
            <w:r>
              <w:rPr>
                <w:iCs/>
              </w:rPr>
              <w:t xml:space="preserve"> </w:t>
            </w:r>
          </w:p>
        </w:tc>
        <w:tc>
          <w:tcPr>
            <w:tcW w:w="1276" w:type="dxa"/>
            <w:gridSpan w:val="2"/>
          </w:tcPr>
          <w:p>
            <w:pPr>
              <w:pStyle w:val="nTable"/>
              <w:spacing w:after="40"/>
            </w:pPr>
            <w:r>
              <w:t>9 Oct 2007 p. 5348-50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2008 </w:t>
            </w:r>
          </w:p>
        </w:tc>
        <w:tc>
          <w:tcPr>
            <w:tcW w:w="1276" w:type="dxa"/>
            <w:gridSpan w:val="2"/>
          </w:tcPr>
          <w:p>
            <w:pPr>
              <w:pStyle w:val="nTable"/>
              <w:spacing w:after="40"/>
            </w:pPr>
            <w:r>
              <w:t>28 Oct 2008 p. 4732</w:t>
            </w:r>
            <w:r>
              <w:noBreakHyphen/>
              <w:t>3</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2009</w:t>
            </w:r>
          </w:p>
        </w:tc>
        <w:tc>
          <w:tcPr>
            <w:tcW w:w="1276" w:type="dxa"/>
            <w:gridSpan w:val="2"/>
          </w:tcPr>
          <w:p>
            <w:pPr>
              <w:pStyle w:val="nTable"/>
              <w:spacing w:after="40"/>
            </w:pPr>
            <w:r>
              <w:t>25 Sep 2009 p. 3751-2</w:t>
            </w:r>
          </w:p>
        </w:tc>
        <w:tc>
          <w:tcPr>
            <w:tcW w:w="2693" w:type="dxa"/>
            <w:gridSpan w:val="2"/>
          </w:tcPr>
          <w:p>
            <w:pPr>
              <w:pStyle w:val="nTable"/>
              <w:spacing w:after="40"/>
              <w:rPr>
                <w:snapToGrid w:val="0"/>
              </w:rPr>
            </w:pPr>
            <w:r>
              <w:rPr>
                <w:snapToGrid w:val="0"/>
              </w:rPr>
              <w:t>r. 1 and 2: 25 Sep 2009 (see r. 2(a));</w:t>
            </w:r>
            <w:r>
              <w:rPr>
                <w:snapToGrid w:val="0"/>
              </w:rPr>
              <w:br/>
              <w:t>Regulations other than r. 1 and 2: 26 Sep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2009</w:t>
            </w:r>
          </w:p>
        </w:tc>
        <w:tc>
          <w:tcPr>
            <w:tcW w:w="1276" w:type="dxa"/>
            <w:gridSpan w:val="2"/>
          </w:tcPr>
          <w:p>
            <w:pPr>
              <w:pStyle w:val="nTable"/>
              <w:spacing w:after="40"/>
            </w:pPr>
            <w:r>
              <w:t>30 Oct 2009 p. 4312-13</w:t>
            </w:r>
          </w:p>
        </w:tc>
        <w:tc>
          <w:tcPr>
            <w:tcW w:w="2693" w:type="dxa"/>
            <w:gridSpan w:val="2"/>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5) 2009</w:t>
            </w:r>
          </w:p>
        </w:tc>
        <w:tc>
          <w:tcPr>
            <w:tcW w:w="1276" w:type="dxa"/>
            <w:gridSpan w:val="2"/>
          </w:tcPr>
          <w:p>
            <w:pPr>
              <w:pStyle w:val="nTable"/>
              <w:spacing w:after="40"/>
            </w:pPr>
            <w:r>
              <w:t>8 Jan 2010 p. 19-27</w:t>
            </w:r>
          </w:p>
        </w:tc>
        <w:tc>
          <w:tcPr>
            <w:tcW w:w="2693" w:type="dxa"/>
            <w:gridSpan w:val="2"/>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Betting Control Amendment Regulations (No. 3) 2010</w:t>
            </w:r>
            <w:r>
              <w:rPr>
                <w:iCs/>
              </w:rPr>
              <w:t xml:space="preserve"> </w:t>
            </w:r>
          </w:p>
        </w:tc>
        <w:tc>
          <w:tcPr>
            <w:tcW w:w="1276" w:type="dxa"/>
            <w:gridSpan w:val="2"/>
          </w:tcPr>
          <w:p>
            <w:pPr>
              <w:pStyle w:val="nTable"/>
              <w:spacing w:after="40"/>
            </w:pPr>
            <w:r>
              <w:t>19 Nov 2010 p. 5739</w:t>
            </w:r>
            <w:r>
              <w:noBreakHyphen/>
              <w:t>40</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2011</w:t>
            </w:r>
            <w:r>
              <w:t xml:space="preserve"> </w:t>
            </w:r>
          </w:p>
        </w:tc>
        <w:tc>
          <w:tcPr>
            <w:tcW w:w="1276" w:type="dxa"/>
            <w:gridSpan w:val="2"/>
          </w:tcPr>
          <w:p>
            <w:pPr>
              <w:pStyle w:val="nTable"/>
              <w:spacing w:after="40"/>
            </w:pPr>
            <w:r>
              <w:t>4 Nov 2011 p. 4635-6</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2012</w:t>
            </w:r>
          </w:p>
        </w:tc>
        <w:tc>
          <w:tcPr>
            <w:tcW w:w="1276" w:type="dxa"/>
            <w:gridSpan w:val="2"/>
          </w:tcPr>
          <w:p>
            <w:pPr>
              <w:pStyle w:val="nTable"/>
              <w:spacing w:after="40"/>
            </w:pPr>
            <w:r>
              <w:t>16 Nov 2012 p. 5646-7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2012</w:t>
            </w:r>
          </w:p>
        </w:tc>
        <w:tc>
          <w:tcPr>
            <w:tcW w:w="1276" w:type="dxa"/>
            <w:gridSpan w:val="2"/>
          </w:tcPr>
          <w:p>
            <w:pPr>
              <w:pStyle w:val="nTable"/>
              <w:spacing w:after="40"/>
            </w:pPr>
            <w:r>
              <w:t>4 Jan 2013 p. 11-15</w:t>
            </w:r>
          </w:p>
        </w:tc>
        <w:tc>
          <w:tcPr>
            <w:tcW w:w="2693" w:type="dxa"/>
            <w:gridSpan w:val="2"/>
          </w:tcPr>
          <w:p>
            <w:pPr>
              <w:pStyle w:val="nTable"/>
              <w:spacing w:after="40"/>
              <w:rPr>
                <w:snapToGrid w:val="0"/>
              </w:rPr>
            </w:pPr>
            <w:r>
              <w:rPr>
                <w:snapToGrid w:val="0"/>
              </w:rPr>
              <w:t>r. 1 and 2: 4 Jan 2013 (see r. 2(a));</w:t>
            </w:r>
            <w:r>
              <w:rPr>
                <w:snapToGrid w:val="0"/>
              </w:rPr>
              <w:br/>
              <w:t>Regulations other than r. 1 and 2: 5</w:t>
            </w:r>
            <w:r>
              <w:t>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lastRenderedPageBreak/>
              <w:t>Betting Control Amendment Regulations 2013</w:t>
            </w:r>
          </w:p>
        </w:tc>
        <w:tc>
          <w:tcPr>
            <w:tcW w:w="1276" w:type="dxa"/>
            <w:gridSpan w:val="2"/>
            <w:shd w:val="clear" w:color="auto" w:fill="auto"/>
          </w:tcPr>
          <w:p>
            <w:pPr>
              <w:pStyle w:val="nTable"/>
              <w:spacing w:after="40"/>
            </w:pPr>
            <w:r>
              <w:t>14 Jun 2013 p. 2240-3</w:t>
            </w:r>
          </w:p>
        </w:tc>
        <w:tc>
          <w:tcPr>
            <w:tcW w:w="2693" w:type="dxa"/>
            <w:gridSpan w:val="2"/>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3) 2013</w:t>
            </w:r>
          </w:p>
        </w:tc>
        <w:tc>
          <w:tcPr>
            <w:tcW w:w="1276" w:type="dxa"/>
            <w:gridSpan w:val="2"/>
            <w:shd w:val="clear" w:color="auto" w:fill="auto"/>
          </w:tcPr>
          <w:p>
            <w:pPr>
              <w:pStyle w:val="nTable"/>
              <w:spacing w:after="40"/>
            </w:pPr>
            <w:r>
              <w:t>8 Nov 2013 p. 4972</w:t>
            </w:r>
            <w:r>
              <w:noBreakHyphen/>
              <w:t>3</w:t>
            </w:r>
          </w:p>
        </w:tc>
        <w:tc>
          <w:tcPr>
            <w:tcW w:w="2693" w:type="dxa"/>
            <w:gridSpan w:val="2"/>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2013</w:t>
            </w:r>
          </w:p>
        </w:tc>
        <w:tc>
          <w:tcPr>
            <w:tcW w:w="1276" w:type="dxa"/>
            <w:gridSpan w:val="2"/>
            <w:shd w:val="clear" w:color="auto" w:fill="auto"/>
          </w:tcPr>
          <w:p>
            <w:pPr>
              <w:pStyle w:val="nTable"/>
              <w:spacing w:after="40"/>
            </w:pPr>
            <w:r>
              <w:t>29 Nov 2013 p. 5467</w:t>
            </w:r>
          </w:p>
        </w:tc>
        <w:tc>
          <w:tcPr>
            <w:tcW w:w="2693" w:type="dxa"/>
            <w:gridSpan w:val="2"/>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Betting Control Amendment Regulations (No. 2) 2014 </w:t>
            </w:r>
          </w:p>
        </w:tc>
        <w:tc>
          <w:tcPr>
            <w:tcW w:w="1276" w:type="dxa"/>
            <w:gridSpan w:val="2"/>
            <w:shd w:val="clear" w:color="auto" w:fill="auto"/>
          </w:tcPr>
          <w:p>
            <w:pPr>
              <w:pStyle w:val="nTable"/>
              <w:spacing w:after="40"/>
            </w:pPr>
            <w:r>
              <w:t>14 Nov 2014 p. 4279</w:t>
            </w:r>
            <w:r>
              <w:noBreakHyphen/>
              <w:t>80</w:t>
            </w:r>
          </w:p>
        </w:tc>
        <w:tc>
          <w:tcPr>
            <w:tcW w:w="2693" w:type="dxa"/>
            <w:gridSpan w:val="2"/>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gridSpan w:val="2"/>
            <w:shd w:val="clear" w:color="auto" w:fill="auto"/>
          </w:tcPr>
          <w:p>
            <w:pPr>
              <w:pStyle w:val="nTable"/>
              <w:spacing w:after="40"/>
            </w:pPr>
            <w:r>
              <w:t>6 Nov 2015 p. 4581-8</w:t>
            </w:r>
          </w:p>
        </w:tc>
        <w:tc>
          <w:tcPr>
            <w:tcW w:w="2693" w:type="dxa"/>
            <w:gridSpan w:val="2"/>
            <w:shd w:val="clear" w:color="auto" w:fill="auto"/>
          </w:tcPr>
          <w:p>
            <w:pPr>
              <w:pStyle w:val="nTable"/>
              <w:spacing w:after="40"/>
            </w:pPr>
            <w:r>
              <w:rPr>
                <w:bCs/>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2016</w:t>
            </w:r>
          </w:p>
        </w:tc>
        <w:tc>
          <w:tcPr>
            <w:tcW w:w="1276" w:type="dxa"/>
            <w:gridSpan w:val="2"/>
            <w:shd w:val="clear" w:color="auto" w:fill="auto"/>
          </w:tcPr>
          <w:p>
            <w:pPr>
              <w:pStyle w:val="nTable"/>
              <w:spacing w:after="40"/>
            </w:pPr>
            <w:r>
              <w:t>8 Mar 2016 p. 669</w:t>
            </w:r>
          </w:p>
        </w:tc>
        <w:tc>
          <w:tcPr>
            <w:tcW w:w="2693" w:type="dxa"/>
            <w:gridSpan w:val="2"/>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2016</w:t>
            </w:r>
          </w:p>
        </w:tc>
        <w:tc>
          <w:tcPr>
            <w:tcW w:w="1276" w:type="dxa"/>
            <w:gridSpan w:val="2"/>
            <w:shd w:val="clear" w:color="auto" w:fill="auto"/>
          </w:tcPr>
          <w:p>
            <w:pPr>
              <w:pStyle w:val="nTable"/>
              <w:spacing w:after="40"/>
            </w:pPr>
            <w:r>
              <w:t>13 May 2016 p. 1427</w:t>
            </w:r>
          </w:p>
        </w:tc>
        <w:tc>
          <w:tcPr>
            <w:tcW w:w="2693" w:type="dxa"/>
            <w:gridSpan w:val="2"/>
            <w:shd w:val="clear" w:color="auto" w:fill="auto"/>
          </w:tcPr>
          <w:p>
            <w:pPr>
              <w:pStyle w:val="nTable"/>
              <w:spacing w:after="40"/>
              <w:rPr>
                <w:bCs/>
                <w:snapToGrid w:val="0"/>
                <w:spacing w:val="-2"/>
              </w:rPr>
            </w:pPr>
            <w:r>
              <w:rPr>
                <w:bCs/>
                <w:snapToGrid w:val="0"/>
                <w:spacing w:val="-2"/>
              </w:rPr>
              <w:t>r. 1 and 2: 13 May 2016 (see r. 2(a));</w:t>
            </w:r>
            <w:r>
              <w:rPr>
                <w:bCs/>
                <w:snapToGrid w:val="0"/>
                <w:spacing w:val="-2"/>
              </w:rPr>
              <w:br/>
              <w:t>Regulations other than r. 1 and 2: 14 May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gridSpan w:val="2"/>
            <w:shd w:val="clear" w:color="auto" w:fill="auto"/>
          </w:tcPr>
          <w:p>
            <w:pPr>
              <w:pStyle w:val="nTable"/>
              <w:spacing w:after="40"/>
            </w:pPr>
            <w:r>
              <w:t>28 Oct 2016 p. 4910</w:t>
            </w:r>
            <w:r>
              <w:noBreakHyphen/>
              <w:t>16</w:t>
            </w:r>
          </w:p>
        </w:tc>
        <w:tc>
          <w:tcPr>
            <w:tcW w:w="2693" w:type="dxa"/>
            <w:gridSpan w:val="2"/>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gridSpan w:val="2"/>
            <w:shd w:val="clear" w:color="auto" w:fill="auto"/>
          </w:tcPr>
          <w:p>
            <w:pPr>
              <w:pStyle w:val="nTable"/>
              <w:spacing w:after="40"/>
            </w:pPr>
            <w:r>
              <w:t>10 Nov 2017 p. 5579</w:t>
            </w:r>
            <w:r>
              <w:noBreakHyphen/>
              <w:t>94</w:t>
            </w:r>
          </w:p>
        </w:tc>
        <w:tc>
          <w:tcPr>
            <w:tcW w:w="2693" w:type="dxa"/>
            <w:gridSpan w:val="2"/>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gridSpan w:val="2"/>
            <w:shd w:val="clear" w:color="auto" w:fill="auto"/>
          </w:tcPr>
          <w:p>
            <w:pPr>
              <w:pStyle w:val="nTable"/>
              <w:spacing w:after="40"/>
            </w:pPr>
            <w:r>
              <w:t>7 Sep 2018 p. 3192-200</w:t>
            </w:r>
          </w:p>
        </w:tc>
        <w:tc>
          <w:tcPr>
            <w:tcW w:w="2693" w:type="dxa"/>
            <w:gridSpan w:val="2"/>
            <w:shd w:val="clear" w:color="auto" w:fill="auto"/>
          </w:tcPr>
          <w:p>
            <w:pPr>
              <w:pStyle w:val="nTable"/>
              <w:spacing w:after="40"/>
            </w:pPr>
            <w:r>
              <w:t>1 Jan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lastRenderedPageBreak/>
              <w:t>Betting Control Amendment Regulations 2019</w:t>
            </w:r>
          </w:p>
        </w:tc>
        <w:tc>
          <w:tcPr>
            <w:tcW w:w="1276" w:type="dxa"/>
            <w:gridSpan w:val="2"/>
            <w:shd w:val="clear" w:color="auto" w:fill="auto"/>
          </w:tcPr>
          <w:p>
            <w:pPr>
              <w:pStyle w:val="nTable"/>
              <w:spacing w:after="40"/>
            </w:pPr>
            <w:r>
              <w:t>25 Jan 2019 p. 199-202</w:t>
            </w:r>
          </w:p>
        </w:tc>
        <w:tc>
          <w:tcPr>
            <w:tcW w:w="2693" w:type="dxa"/>
            <w:gridSpan w:val="2"/>
            <w:shd w:val="clear" w:color="auto" w:fill="auto"/>
          </w:tcPr>
          <w:p>
            <w:pPr>
              <w:pStyle w:val="nTable"/>
              <w:spacing w:after="40"/>
            </w:pPr>
            <w:r>
              <w:t>r. 1 and 2: 25 Jan 2019 (see r. 2(a));</w:t>
            </w:r>
            <w:r>
              <w:br/>
              <w:t xml:space="preserve">Regulations other than r. 1 and 2: 1 Feb 2019 (see r. 2(b) and </w:t>
            </w:r>
            <w:r>
              <w:rPr>
                <w:i/>
              </w:rPr>
              <w:t xml:space="preserve">Gazette </w:t>
            </w:r>
            <w:r>
              <w:t>25 Jan 2019 p. 193</w:t>
            </w:r>
            <w:r>
              <w:noBreakHyphen/>
              <w:t>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and Gaming Regulations Amendment Regulations 2019 </w:t>
            </w:r>
            <w:r>
              <w:t>Pt. 2</w:t>
            </w:r>
          </w:p>
        </w:tc>
        <w:tc>
          <w:tcPr>
            <w:tcW w:w="1276" w:type="dxa"/>
            <w:gridSpan w:val="2"/>
            <w:shd w:val="clear" w:color="auto" w:fill="auto"/>
          </w:tcPr>
          <w:p>
            <w:pPr>
              <w:pStyle w:val="nTable"/>
              <w:spacing w:after="40"/>
            </w:pPr>
            <w:r>
              <w:t>25 Jan 2019 p. 202-3</w:t>
            </w:r>
          </w:p>
        </w:tc>
        <w:tc>
          <w:tcPr>
            <w:tcW w:w="2693" w:type="dxa"/>
            <w:gridSpan w:val="2"/>
            <w:shd w:val="clear" w:color="auto" w:fill="auto"/>
          </w:tcPr>
          <w:p>
            <w:pPr>
              <w:pStyle w:val="nTable"/>
              <w:spacing w:after="40"/>
            </w:pPr>
            <w:r>
              <w:t xml:space="preserve">1 Feb 2019 (see r. 2(b) and </w:t>
            </w:r>
            <w:r>
              <w:rPr>
                <w:i/>
              </w:rPr>
              <w:t xml:space="preserve">Gazette </w:t>
            </w:r>
            <w:r>
              <w:t>25 Jan 2019 p. 193)</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Gaming and Liquor Regulations Amendment (Fees and Charges) Regulations 2019</w:t>
            </w:r>
            <w:r>
              <w:t xml:space="preserve"> Pt. 2</w:t>
            </w:r>
          </w:p>
        </w:tc>
        <w:tc>
          <w:tcPr>
            <w:tcW w:w="1276" w:type="dxa"/>
            <w:gridSpan w:val="2"/>
            <w:tcBorders>
              <w:top w:val="nil"/>
              <w:bottom w:val="nil"/>
            </w:tcBorders>
            <w:shd w:val="clear" w:color="auto" w:fill="auto"/>
          </w:tcPr>
          <w:p>
            <w:pPr>
              <w:pStyle w:val="nTable"/>
              <w:spacing w:after="40"/>
            </w:pPr>
            <w:r>
              <w:t>22 Oct 2019 p. 3720</w:t>
            </w:r>
            <w:r>
              <w:noBreakHyphen/>
              <w:t>9</w:t>
            </w:r>
          </w:p>
        </w:tc>
        <w:tc>
          <w:tcPr>
            <w:tcW w:w="2693" w:type="dxa"/>
            <w:gridSpan w:val="2"/>
            <w:tcBorders>
              <w:top w:val="nil"/>
              <w:bottom w:val="nil"/>
            </w:tcBorders>
            <w:shd w:val="clear" w:color="auto" w:fill="auto"/>
          </w:tcPr>
          <w:p>
            <w:pPr>
              <w:pStyle w:val="nTable"/>
              <w:spacing w:after="40"/>
            </w:pPr>
            <w:r>
              <w:t>1 Jan 2020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Betting Control Amendment Regulations 2021</w:t>
            </w:r>
          </w:p>
        </w:tc>
        <w:tc>
          <w:tcPr>
            <w:tcW w:w="1276" w:type="dxa"/>
            <w:gridSpan w:val="2"/>
            <w:tcBorders>
              <w:top w:val="nil"/>
              <w:bottom w:val="nil"/>
            </w:tcBorders>
            <w:shd w:val="clear" w:color="auto" w:fill="auto"/>
          </w:tcPr>
          <w:p>
            <w:pPr>
              <w:pStyle w:val="nTable"/>
              <w:spacing w:after="40"/>
            </w:pPr>
            <w:r>
              <w:t>SL 2021/193 19 Nov 2021</w:t>
            </w:r>
          </w:p>
        </w:tc>
        <w:tc>
          <w:tcPr>
            <w:tcW w:w="2693" w:type="dxa"/>
            <w:gridSpan w:val="2"/>
            <w:tcBorders>
              <w:top w:val="nil"/>
              <w:bottom w:val="nil"/>
            </w:tcBorders>
            <w:shd w:val="clear" w:color="auto" w:fill="auto"/>
          </w:tcPr>
          <w:p>
            <w:pPr>
              <w:pStyle w:val="nTable"/>
              <w:spacing w:after="40"/>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and Gaming Regulations Amendment (Fees and Charges) Regulations 2022</w:t>
            </w:r>
            <w:r>
              <w:t xml:space="preserve"> Pt. 2</w:t>
            </w:r>
          </w:p>
        </w:tc>
        <w:tc>
          <w:tcPr>
            <w:tcW w:w="1276" w:type="dxa"/>
            <w:gridSpan w:val="2"/>
            <w:tcBorders>
              <w:top w:val="nil"/>
              <w:bottom w:val="nil"/>
            </w:tcBorders>
            <w:shd w:val="clear" w:color="auto" w:fill="auto"/>
          </w:tcPr>
          <w:p>
            <w:pPr>
              <w:pStyle w:val="nTable"/>
              <w:spacing w:after="40"/>
            </w:pPr>
            <w:r>
              <w:t>SL 2022/144 12 Aug 2022</w:t>
            </w:r>
          </w:p>
        </w:tc>
        <w:tc>
          <w:tcPr>
            <w:tcW w:w="2693" w:type="dxa"/>
            <w:gridSpan w:val="2"/>
            <w:tcBorders>
              <w:top w:val="nil"/>
              <w:bottom w:val="nil"/>
            </w:tcBorders>
            <w:shd w:val="clear" w:color="auto" w:fill="auto"/>
          </w:tcPr>
          <w:p>
            <w:pPr>
              <w:pStyle w:val="nTable"/>
              <w:spacing w:after="40"/>
              <w:rPr>
                <w:snapToGrid w:val="0"/>
              </w:rPr>
            </w:pPr>
            <w:r>
              <w:t>1 Jan 2023 (see r. 2(b))</w:t>
            </w:r>
          </w:p>
        </w:tc>
      </w:tr>
      <w:tr>
        <w:trPr>
          <w:gridBefore w:val="1"/>
          <w:wBefore w:w="8" w:type="dxa"/>
          <w:cantSplit/>
        </w:trPr>
        <w:tc>
          <w:tcPr>
            <w:tcW w:w="3119" w:type="dxa"/>
            <w:gridSpan w:val="2"/>
            <w:tcBorders>
              <w:top w:val="nil"/>
              <w:bottom w:val="single" w:sz="4" w:space="0" w:color="auto"/>
            </w:tcBorders>
            <w:shd w:val="clear" w:color="auto" w:fill="auto"/>
          </w:tcPr>
          <w:p>
            <w:pPr>
              <w:pStyle w:val="nTable"/>
              <w:spacing w:after="40"/>
              <w:ind w:right="113"/>
              <w:rPr>
                <w:i/>
              </w:rPr>
            </w:pPr>
            <w:r>
              <w:rPr>
                <w:i/>
              </w:rPr>
              <w:t xml:space="preserve">Racing and Gaming Regulations Amendment (Fees and Charges) Regulations 2023 </w:t>
            </w:r>
            <w:r>
              <w:t>Pt. 2</w:t>
            </w:r>
          </w:p>
        </w:tc>
        <w:tc>
          <w:tcPr>
            <w:tcW w:w="1276" w:type="dxa"/>
            <w:gridSpan w:val="2"/>
            <w:tcBorders>
              <w:top w:val="nil"/>
              <w:bottom w:val="single" w:sz="4" w:space="0" w:color="auto"/>
            </w:tcBorders>
            <w:shd w:val="clear" w:color="auto" w:fill="auto"/>
          </w:tcPr>
          <w:p>
            <w:pPr>
              <w:pStyle w:val="nTable"/>
              <w:spacing w:after="40"/>
            </w:pPr>
            <w:r>
              <w:t>SL 2023/156 18 Oct 2023</w:t>
            </w:r>
          </w:p>
        </w:tc>
        <w:tc>
          <w:tcPr>
            <w:tcW w:w="2693" w:type="dxa"/>
            <w:gridSpan w:val="2"/>
            <w:tcBorders>
              <w:top w:val="nil"/>
              <w:bottom w:val="single" w:sz="4" w:space="0" w:color="auto"/>
            </w:tcBorders>
            <w:shd w:val="clear" w:color="auto" w:fill="auto"/>
          </w:tcPr>
          <w:p>
            <w:pPr>
              <w:pStyle w:val="nTable"/>
              <w:spacing w:after="40"/>
            </w:pPr>
            <w:r>
              <w:t>1 Jan 2024 (see r. 2(b))</w:t>
            </w:r>
          </w:p>
        </w:tc>
      </w:tr>
    </w:tbl>
    <w:p>
      <w:pPr>
        <w:pStyle w:val="nHeading3"/>
      </w:pPr>
      <w:bookmarkStart w:id="154" w:name="_Toc179460618"/>
      <w:r>
        <w:t>Uncommenced provisions table</w:t>
      </w:r>
      <w:bookmarkEnd w:id="15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Racing and Gaming Regulations Amendment (Fees and Charges) Regulations 2024</w:t>
            </w:r>
            <w:r>
              <w:rPr>
                <w:iCs/>
                <w:noProof/>
              </w:rPr>
              <w:t xml:space="preserve"> Pt. 2</w:t>
            </w:r>
          </w:p>
        </w:tc>
        <w:tc>
          <w:tcPr>
            <w:tcW w:w="1276" w:type="dxa"/>
          </w:tcPr>
          <w:p>
            <w:pPr>
              <w:pStyle w:val="nTable"/>
              <w:spacing w:after="40"/>
            </w:pPr>
            <w:r>
              <w:t>SL 2024/213 16 Oct 2024</w:t>
            </w:r>
          </w:p>
        </w:tc>
        <w:tc>
          <w:tcPr>
            <w:tcW w:w="2693" w:type="dxa"/>
          </w:tcPr>
          <w:p>
            <w:pPr>
              <w:pStyle w:val="nTable"/>
              <w:spacing w:after="40"/>
            </w:pPr>
            <w:r>
              <w:t>1 Jan 2025 (see r. 2(b))</w:t>
            </w:r>
          </w:p>
        </w:tc>
      </w:tr>
    </w:tbl>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156" w:name="_Toc179457562"/>
      <w:bookmarkStart w:id="157" w:name="_Toc179458418"/>
      <w:bookmarkStart w:id="158" w:name="_Toc179460619"/>
      <w:r>
        <w:rPr>
          <w:sz w:val="28"/>
        </w:rPr>
        <w:lastRenderedPageBreak/>
        <w:t>Defined terms</w:t>
      </w:r>
      <w:bookmarkEnd w:id="156"/>
      <w:bookmarkEnd w:id="157"/>
      <w:bookmarkEnd w:id="1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 up bet</w:t>
      </w:r>
      <w:r>
        <w:tab/>
        <w:t>App. cl. 1(1)</w:t>
      </w:r>
    </w:p>
    <w:p>
      <w:pPr>
        <w:pStyle w:val="DefinedTerms"/>
      </w:pPr>
      <w:r>
        <w:t>another jurisdiction</w:t>
      </w:r>
      <w:r>
        <w:tab/>
        <w:t>98</w:t>
      </w:r>
    </w:p>
    <w:p>
      <w:pPr>
        <w:pStyle w:val="DefinedTerms"/>
      </w:pPr>
      <w:r>
        <w:t>approval</w:t>
      </w:r>
      <w:r>
        <w:tab/>
        <w:t>98</w:t>
      </w:r>
    </w:p>
    <w:p>
      <w:pPr>
        <w:pStyle w:val="DefinedTerms"/>
      </w:pPr>
      <w:r>
        <w:t>approved event</w:t>
      </w:r>
      <w:r>
        <w:tab/>
        <w:t>3(1)</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 cl. 1(1)</w:t>
      </w:r>
    </w:p>
    <w:p>
      <w:pPr>
        <w:pStyle w:val="DefinedTerms"/>
      </w:pPr>
      <w:r>
        <w:t>bet</w:t>
      </w:r>
      <w:r>
        <w:tab/>
        <w:t>App. cl. 4A(1)</w:t>
      </w:r>
    </w:p>
    <w:p>
      <w:pPr>
        <w:pStyle w:val="DefinedTerms"/>
      </w:pPr>
      <w:r>
        <w:t>bet back</w:t>
      </w:r>
      <w:r>
        <w:tab/>
        <w:t>3(1)</w:t>
      </w:r>
    </w:p>
    <w:p>
      <w:pPr>
        <w:pStyle w:val="DefinedTerms"/>
      </w:pPr>
      <w:r>
        <w:t>betting</w:t>
      </w:r>
      <w:r>
        <w:tab/>
        <w:t>98</w:t>
      </w:r>
    </w:p>
    <w:p>
      <w:pPr>
        <w:pStyle w:val="DefinedTerms"/>
      </w:pPr>
      <w:r>
        <w:t>betting account</w:t>
      </w:r>
      <w:r>
        <w:tab/>
        <w:t>3(1)</w:t>
      </w:r>
    </w:p>
    <w:p>
      <w:pPr>
        <w:pStyle w:val="DefinedTerms"/>
      </w:pPr>
      <w:r>
        <w:t>betting sheet</w:t>
      </w:r>
      <w:r>
        <w:tab/>
        <w:t>App. cl. 1(1)</w:t>
      </w:r>
    </w:p>
    <w:p>
      <w:pPr>
        <w:pStyle w:val="DefinedTerms"/>
      </w:pPr>
      <w:r>
        <w:t>cash</w:t>
      </w:r>
      <w:r>
        <w:tab/>
        <w:t>3(1)</w:t>
      </w:r>
    </w:p>
    <w:p>
      <w:pPr>
        <w:pStyle w:val="DefinedTerms"/>
      </w:pPr>
      <w:r>
        <w:t>combined win/place bet</w:t>
      </w:r>
      <w:r>
        <w:tab/>
        <w:t>105B(1)</w:t>
      </w:r>
    </w:p>
    <w:p>
      <w:pPr>
        <w:pStyle w:val="DefinedTerms"/>
      </w:pPr>
      <w:r>
        <w:t>commencement day</w:t>
      </w:r>
      <w:r>
        <w:tab/>
        <w:t>102(1)</w:t>
      </w:r>
    </w:p>
    <w:p>
      <w:pPr>
        <w:pStyle w:val="DefinedTerms"/>
      </w:pPr>
      <w:r>
        <w:t>committee</w:t>
      </w:r>
      <w:r>
        <w:tab/>
        <w:t>App. cl. 1(1)</w:t>
      </w:r>
    </w:p>
    <w:p>
      <w:pPr>
        <w:pStyle w:val="DefinedTerms"/>
      </w:pPr>
      <w:r>
        <w:t>concession bet</w:t>
      </w:r>
      <w:r>
        <w:tab/>
        <w:t>3(1)</w:t>
      </w:r>
    </w:p>
    <w:p>
      <w:pPr>
        <w:pStyle w:val="DefinedTerms"/>
      </w:pPr>
      <w:r>
        <w:t>country</w:t>
      </w:r>
      <w:r>
        <w:tab/>
        <w:t>3(1)</w:t>
      </w:r>
    </w:p>
    <w:p>
      <w:pPr>
        <w:pStyle w:val="DefinedTerms"/>
      </w:pPr>
      <w:r>
        <w:t>double</w:t>
      </w:r>
      <w:r>
        <w:tab/>
        <w:t>App. cl. 1(1)</w:t>
      </w:r>
    </w:p>
    <w:p>
      <w:pPr>
        <w:pStyle w:val="DefinedTerms"/>
      </w:pPr>
      <w:r>
        <w:t>each way bet</w:t>
      </w:r>
      <w:r>
        <w:tab/>
        <w:t>3(1)</w:t>
      </w:r>
    </w:p>
    <w:p>
      <w:pPr>
        <w:pStyle w:val="DefinedTerms"/>
      </w:pPr>
      <w:r>
        <w:t>Flexi Bet</w:t>
      </w:r>
      <w:r>
        <w:tab/>
        <w:t>3(1)</w:t>
      </w:r>
    </w:p>
    <w:p>
      <w:pPr>
        <w:pStyle w:val="DefinedTerms"/>
      </w:pPr>
      <w:r>
        <w:t>fraudulent behaviour</w:t>
      </w:r>
      <w:r>
        <w:tab/>
        <w:t>105C(1)</w:t>
      </w:r>
    </w:p>
    <w:p>
      <w:pPr>
        <w:pStyle w:val="DefinedTerms"/>
      </w:pPr>
      <w:r>
        <w:t>grandstand enclosure</w:t>
      </w:r>
      <w:r>
        <w:tab/>
        <w:t>3(1)</w:t>
      </w:r>
    </w:p>
    <w:p>
      <w:pPr>
        <w:pStyle w:val="DefinedTerms"/>
      </w:pPr>
      <w:r>
        <w:t>greyhound race</w:t>
      </w:r>
      <w:r>
        <w:tab/>
        <w:t>3(1)</w:t>
      </w:r>
    </w:p>
    <w:p>
      <w:pPr>
        <w:pStyle w:val="DefinedTerms"/>
      </w:pPr>
      <w:r>
        <w:t>harness race</w:t>
      </w:r>
      <w:r>
        <w:tab/>
        <w:t>3(1)</w:t>
      </w:r>
    </w:p>
    <w:p>
      <w:pPr>
        <w:pStyle w:val="DefinedTerms"/>
      </w:pPr>
      <w:r>
        <w:t>host club</w:t>
      </w:r>
      <w:r>
        <w:tab/>
        <w:t>91(1)</w:t>
      </w:r>
    </w:p>
    <w:p>
      <w:pPr>
        <w:pStyle w:val="DefinedTerms"/>
      </w:pPr>
      <w:r>
        <w:t>internet betting</w:t>
      </w:r>
      <w:r>
        <w:tab/>
        <w:t>3(1)</w:t>
      </w:r>
    </w:p>
    <w:p>
      <w:pPr>
        <w:pStyle w:val="DefinedTerms"/>
      </w:pPr>
      <w:r>
        <w:t>late scratched runner</w:t>
      </w:r>
      <w:r>
        <w:tab/>
        <w:t>App. cl. 4A(1)</w:t>
      </w:r>
    </w:p>
    <w:p>
      <w:pPr>
        <w:pStyle w:val="DefinedTerms"/>
      </w:pPr>
      <w:r>
        <w:t>leger</w:t>
      </w:r>
      <w:r>
        <w:tab/>
        <w:t>3(1)</w:t>
      </w:r>
    </w:p>
    <w:p>
      <w:pPr>
        <w:pStyle w:val="DefinedTerms"/>
      </w:pPr>
      <w:r>
        <w:t>local on-course totalisator</w:t>
      </w:r>
      <w:r>
        <w:tab/>
        <w:t>78(1)</w:t>
      </w:r>
    </w:p>
    <w:p>
      <w:pPr>
        <w:pStyle w:val="DefinedTerms"/>
      </w:pPr>
      <w:r>
        <w:t>multiple double</w:t>
      </w:r>
      <w:r>
        <w:tab/>
        <w:t>App. cl. 10(2)</w:t>
      </w:r>
    </w:p>
    <w:p>
      <w:pPr>
        <w:pStyle w:val="DefinedTerms"/>
      </w:pPr>
      <w:r>
        <w:t>objection</w:t>
      </w:r>
      <w:r>
        <w:tab/>
        <w:t>App. cl. 1(1)</w:t>
      </w:r>
    </w:p>
    <w:p>
      <w:pPr>
        <w:pStyle w:val="DefinedTerms"/>
      </w:pPr>
      <w:r>
        <w:t>odds</w:t>
      </w:r>
      <w:r>
        <w:tab/>
        <w:t>App. cl. 4A(1)</w:t>
      </w:r>
    </w:p>
    <w:p>
      <w:pPr>
        <w:pStyle w:val="DefinedTerms"/>
      </w:pPr>
      <w:r>
        <w:t>on-course totalisator</w:t>
      </w:r>
      <w:r>
        <w:tab/>
        <w:t>78(1)</w:t>
      </w:r>
    </w:p>
    <w:p>
      <w:pPr>
        <w:pStyle w:val="DefinedTerms"/>
      </w:pPr>
      <w:r>
        <w:t>percentage</w:t>
      </w:r>
      <w:r>
        <w:tab/>
        <w:t>App. cl. 4A(1)</w:t>
      </w:r>
    </w:p>
    <w:p>
      <w:pPr>
        <w:pStyle w:val="DefinedTerms"/>
      </w:pPr>
      <w:r>
        <w:lastRenderedPageBreak/>
        <w:t>place bet</w:t>
      </w:r>
      <w:r>
        <w:tab/>
        <w:t>3(1)</w:t>
      </w:r>
    </w:p>
    <w:p>
      <w:pPr>
        <w:pStyle w:val="DefinedTerms"/>
      </w:pPr>
      <w:r>
        <w:t>place component</w:t>
      </w:r>
      <w:r>
        <w:tab/>
        <w:t>105B(1)</w:t>
      </w:r>
    </w:p>
    <w:p>
      <w:pPr>
        <w:pStyle w:val="DefinedTerms"/>
      </w:pPr>
      <w:r>
        <w:t>play or pay</w:t>
      </w:r>
      <w:r>
        <w:tab/>
        <w:t>App. cl. 1(1)</w:t>
      </w:r>
    </w:p>
    <w:p>
      <w:pPr>
        <w:pStyle w:val="DefinedTerms"/>
      </w:pPr>
      <w:r>
        <w:t>prescribed information</w:t>
      </w:r>
      <w:r>
        <w:tab/>
        <w:t>104(1), 107(1)</w:t>
      </w:r>
    </w:p>
    <w:p>
      <w:pPr>
        <w:pStyle w:val="DefinedTerms"/>
      </w:pPr>
      <w:r>
        <w:t>racing year</w:t>
      </w:r>
      <w:r>
        <w:tab/>
        <w:t>3(1)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 cl. 1(1)</w:t>
      </w:r>
    </w:p>
    <w:p>
      <w:pPr>
        <w:pStyle w:val="DefinedTerms"/>
      </w:pPr>
      <w:r>
        <w:t>scheduled starting time</w:t>
      </w:r>
      <w:r>
        <w:tab/>
        <w:t>3(1)</w:t>
      </w:r>
    </w:p>
    <w:p>
      <w:pPr>
        <w:pStyle w:val="DefinedTerms"/>
      </w:pPr>
      <w:r>
        <w:t>sporting event</w:t>
      </w:r>
      <w:r>
        <w:tab/>
        <w:t>3(1)</w:t>
      </w:r>
    </w:p>
    <w:p>
      <w:pPr>
        <w:pStyle w:val="DefinedTerms"/>
      </w:pPr>
      <w:r>
        <w:t>sum percentage</w:t>
      </w:r>
      <w:r>
        <w:tab/>
        <w:t>App. cl. 4A(1)</w:t>
      </w:r>
    </w:p>
    <w:p>
      <w:pPr>
        <w:pStyle w:val="DefinedTerms"/>
      </w:pPr>
      <w:r>
        <w:t>thoroughbred race</w:t>
      </w:r>
      <w:r>
        <w:tab/>
        <w:t>3(1)</w:t>
      </w:r>
    </w:p>
    <w:p>
      <w:pPr>
        <w:pStyle w:val="DefinedTerms"/>
      </w:pPr>
      <w:r>
        <w:t>totalisator</w:t>
      </w:r>
      <w:r>
        <w:tab/>
        <w:t>63(1A)</w:t>
      </w:r>
    </w:p>
    <w:p>
      <w:pPr>
        <w:pStyle w:val="DefinedTerms"/>
      </w:pPr>
      <w:r>
        <w:t>treble</w:t>
      </w:r>
      <w:r>
        <w:tab/>
        <w:t>App. cl. 1(1)</w:t>
      </w:r>
    </w:p>
    <w:p>
      <w:pPr>
        <w:pStyle w:val="DefinedTerms"/>
      </w:pPr>
      <w:r>
        <w:t>type 1 thoroughbred race</w:t>
      </w:r>
      <w:r>
        <w:tab/>
        <w:t>105B(1)</w:t>
      </w:r>
    </w:p>
    <w:p>
      <w:pPr>
        <w:pStyle w:val="DefinedTerms"/>
      </w:pPr>
      <w:r>
        <w:t>type 2 thoroughbred race</w:t>
      </w:r>
      <w:r>
        <w:tab/>
        <w:t>105B(1)</w:t>
      </w:r>
    </w:p>
    <w:p>
      <w:pPr>
        <w:pStyle w:val="DefinedTerms"/>
      </w:pPr>
      <w:r>
        <w:t>type 3 thoroughbred race</w:t>
      </w:r>
      <w:r>
        <w:tab/>
        <w:t>105B(1)</w:t>
      </w:r>
    </w:p>
    <w:p>
      <w:pPr>
        <w:pStyle w:val="DefinedTerms"/>
      </w:pPr>
      <w:r>
        <w:t>WAGRA greyhound race</w:t>
      </w:r>
      <w:r>
        <w:tab/>
        <w:t>105A(1)</w:t>
      </w:r>
    </w:p>
    <w:p>
      <w:pPr>
        <w:pStyle w:val="DefinedTerms"/>
      </w:pPr>
      <w:r>
        <w:t>walk-over</w:t>
      </w:r>
      <w:r>
        <w:tab/>
        <w:t>App. cl. 1(1)</w:t>
      </w:r>
    </w:p>
    <w:p>
      <w:pPr>
        <w:pStyle w:val="DefinedTerms"/>
      </w:pPr>
      <w:r>
        <w:t>WATA harness race</w:t>
      </w:r>
      <w:r>
        <w:tab/>
        <w:t>105A(1)</w:t>
      </w:r>
    </w:p>
    <w:p>
      <w:pPr>
        <w:pStyle w:val="DefinedTerms"/>
      </w:pPr>
      <w:r>
        <w:t>Western Australian Greyhound Racing Association</w:t>
      </w:r>
      <w:r>
        <w:tab/>
        <w:t>3(1)</w:t>
      </w:r>
    </w:p>
    <w:p>
      <w:pPr>
        <w:pStyle w:val="DefinedTerms"/>
      </w:pPr>
      <w:r>
        <w:t>Western Australian Trotting Association</w:t>
      </w:r>
      <w:r>
        <w:tab/>
        <w:t>3(1)</w:t>
      </w:r>
    </w:p>
    <w:p>
      <w:pPr>
        <w:pStyle w:val="DefinedTerms"/>
      </w:pPr>
      <w:r>
        <w:t>win bet</w:t>
      </w:r>
      <w:r>
        <w:tab/>
        <w:t>3(1)</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A246959"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N8udj0CAAB4BAAADgAAAAAA&#10;AAAAAAAAAAAuAgAAZHJzL2Uyb0RvYy54bWxQSwECLQAUAAYACAAAACEAY38uG9wAAAAJAQAADwAA&#10;AAAAAAAAAAAAAACXBAAAZHJzL2Rvd25yZXYueG1sUEsFBgAAAAAEAAQA8wAAAKAFAAAAAA==&#10;" stroked="f" strokeweight=".5pt">
                <v:textbox>
                  <w:txbxContent>
                    <w:p w14:paraId="144596CA" w14:textId="5D19EA16" w:rsidR="007E1962" w:rsidRDefault="0090749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F636F">
                        <w:rPr>
                          <w:sz w:val="16"/>
                        </w:rPr>
                        <w:t>2024</w:t>
                      </w:r>
                      <w:r>
                        <w:rPr>
                          <w:sz w:val="16"/>
                        </w:rPr>
                        <w:fldChar w:fldCharType="end"/>
                      </w:r>
                      <w:r>
                        <w:rPr>
                          <w:sz w:val="16"/>
                        </w:rPr>
                        <w:t>.</w:t>
                      </w:r>
                    </w:p>
                    <w:p w14:paraId="4CB68638" w14:textId="77777777" w:rsidR="007E1962" w:rsidRDefault="0090749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147ED16" w14:textId="261BCE22" w:rsidR="007E1962" w:rsidRDefault="0090749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F636F">
                        <w:rPr>
                          <w:sz w:val="16"/>
                        </w:rPr>
                        <w:t>2024</w:t>
                      </w:r>
                      <w:r>
                        <w:rPr>
                          <w:sz w:val="16"/>
                        </w:rPr>
                        <w:fldChar w:fldCharType="end"/>
                      </w:r>
                      <w:r>
                        <w:rPr>
                          <w:sz w:val="16"/>
                        </w:rPr>
                        <w:t>.</w:t>
                      </w:r>
                    </w:p>
                    <w:p w14:paraId="0F5F1733" w14:textId="77777777" w:rsidR="007E1962" w:rsidRDefault="0090749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92"/>
      <w:gridCol w:w="58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rPr>
        <w:jc w:val="center"/>
      </w:trP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952"/>
      <w:gridCol w:w="13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rPr>
        <w:jc w:val="center"/>
      </w:trP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43" w:name="Schedule"/>
    <w:bookmarkEnd w:id="1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rPr>
        <w:jc w:val="center"/>
      </w:trPr>
      <w:tc>
        <w:tcPr>
          <w:tcW w:w="7160" w:type="dxa"/>
          <w:gridSpan w:val="2"/>
        </w:tcPr>
        <w:p>
          <w:pPr>
            <w:pStyle w:val="Header"/>
            <w:spacing w:before="40"/>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on approved events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rPr>
        <w:jc w:val="center"/>
      </w:trP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5" w:name="Compilation"/>
    <w:bookmarkEnd w:id="15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9" w:name="DefinedTerms"/>
    <w:bookmarkEnd w:id="15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0" w:name="Coversheet"/>
    <w:bookmarkEnd w:id="1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6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0125532"/>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 w:name="WAFER_20190124152805" w:val="RemoveTocBookmarks,RemoveUnusedBookmarks,RemoveLanguageTags,UsedStyles,ResetPageSize"/>
    <w:docVar w:name="WAFER_20190124152805_GUID" w:val="9e7a7113-33f0-4213-8070-492dd3f5125d"/>
    <w:docVar w:name="WAFER_20191022142131" w:val="RemoveTocBookmarks,RemoveUnusedBookmarks,RemoveLanguageTags,ResetPageSize,RunningHeaders,UpdateStyles,UsedStyles"/>
    <w:docVar w:name="WAFER_20191022142131_GUID" w:val="e1f8be55-d1f3-4484-aeda-841ab570b697"/>
    <w:docVar w:name="WAFER_20191203144149" w:val="RemoveTocBookmarks,RemoveUnusedBookmarks,RemoveLanguageTags,ResetPageSize,RunningHeaders,UpdateStyles,UsedStyles"/>
    <w:docVar w:name="WAFER_20191203144149_GUID" w:val="a08238fe-9fa4-45cb-a08c-18f3333feda6"/>
    <w:docVar w:name="WAFER_2020021012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3229_GUID" w:val="8bf01268-a23b-43b6-8fc8-6fc5b151cd1a"/>
    <w:docVar w:name="WAFER_202111161433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43300_GUID" w:val="c6749c32-71a2-46b1-9dcb-71ce77cceb30"/>
    <w:docVar w:name="WAFER_2022080915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310_GUID" w:val="1b6a859d-e592-4d05-91ef-f178007cde59"/>
    <w:docVar w:name="WAFER_202212161021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2155_GUID" w:val="b5ad5b7c-d64c-470e-ad84-c29765423dbf"/>
    <w:docVar w:name="WAFER_20231013082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082805_GUID" w:val="f98d5609-d4b8-4fb4-9974-28a9e7d61087"/>
    <w:docVar w:name="WAFER_20231220154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143_GUID" w:val="85ffa73c-d6a6-4f4f-b5d5-6a66d524c674"/>
    <w:docVar w:name="WAFER_20241010125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25532_GUID" w:val="a57f5f18-b124-4944-993b-4831ee9d1b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shapelayout v:ext="edit">
      <o:idmap v:ext="edit" data="1"/>
    </o:shapelayout>
  </w:shapeDefaults>
  <w:decimalSymbol w:val="."/>
  <w:listSeparator w:val=","/>
  <w15:docId w15:val="{C4EA06E4-3B88-4B4C-948A-EEE24F4EE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4.xml"/><Relationship Id="rId38" Type="http://schemas.openxmlformats.org/officeDocument/2006/relationships/header" Target="header19.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41A37-E2EA-4193-BE64-1BD53E9D7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27461</Words>
  <Characters>126873</Characters>
  <Application>Microsoft Office Word</Application>
  <DocSecurity>0</DocSecurity>
  <Lines>4092</Lines>
  <Paragraphs>2489</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151845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1978 - 08-o0-00</dc:title>
  <dc:subject/>
  <dc:creator/>
  <cp:keywords/>
  <dc:description/>
  <cp:lastModifiedBy>Master Repository Process</cp:lastModifiedBy>
  <cp:revision>4</cp:revision>
  <cp:lastPrinted>2019-12-05T01:11:00Z</cp:lastPrinted>
  <dcterms:created xsi:type="dcterms:W3CDTF">2025-06-09T03:04:00Z</dcterms:created>
  <dcterms:modified xsi:type="dcterms:W3CDTF">2025-06-09T03:04:00Z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AsAtDate">
    <vt:lpwstr>16 Oct 2024</vt:lpwstr>
  </property>
  <property fmtid="{D5CDD505-2E9C-101B-9397-08002B2CF9AE}" pid="8" name="Suffix">
    <vt:lpwstr>08-o0-00</vt:lpwstr>
  </property>
  <property fmtid="{D5CDD505-2E9C-101B-9397-08002B2CF9AE}" pid="9" name="Official">
    <vt:lpwstr/>
  </property>
  <property fmtid="{D5CDD505-2E9C-101B-9397-08002B2CF9AE}" pid="10" name="CommencementDate">
    <vt:lpwstr>20241016</vt:lpwstr>
  </property>
  <property fmtid="{D5CDD505-2E9C-101B-9397-08002B2CF9AE}" pid="11" name="CommencementAsAt">
    <vt:filetime>2024-10-15T16:00:00Z</vt:filetime>
  </property>
  <property fmtid="{D5CDD505-2E9C-101B-9397-08002B2CF9AE}" pid="12" name="CommencementYear">
    <vt:lpwstr>2024</vt:lpwstr>
  </property>
</Properties>
</file>