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(Licensing)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_Toc179466532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_Toc179466533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_Toc179466534 \h </w:instrText>
      </w:r>
      <w:r>
        <w:fldChar w:fldCharType="separate"/>
      </w:r>
      <w:r>
        <w:t>1</w:t>
      </w:r>
      <w:r>
        <w:fldChar w:fldCharType="end"/>
      </w:r>
    </w:p>
    <w:p>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_Toc179466535 \h </w:instrText>
      </w:r>
      <w:r>
        <w:fldChar w:fldCharType="separate"/>
      </w:r>
      <w:r>
        <w:t>5</w:t>
      </w:r>
      <w:r>
        <w:fldChar w:fldCharType="end"/>
      </w:r>
    </w:p>
    <w:p>
      <w:pPr>
        <w:pStyle w:val="TOC8"/>
        <w:rPr>
          <w:rFonts w:asciiTheme="minorHAnsi" w:eastAsiaTheme="minorEastAsia" w:hAnsiTheme="minorHAnsi" w:cstheme="minorBidi"/>
          <w:szCs w:val="22"/>
        </w:rPr>
      </w:pPr>
      <w:r>
        <w:t>4AA.</w:t>
      </w:r>
      <w:r>
        <w:tab/>
        <w:t>Term used: private generating plant</w:t>
      </w:r>
      <w:r>
        <w:tab/>
      </w:r>
      <w:r>
        <w:fldChar w:fldCharType="begin"/>
      </w:r>
      <w:r>
        <w:instrText xml:space="preserve"> PAGEREF _Toc179466536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The Electrical Licensing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Board</w:t>
      </w:r>
    </w:p>
    <w:p>
      <w:pPr>
        <w:pStyle w:val="TOC8"/>
        <w:rPr>
          <w:rFonts w:asciiTheme="minorHAnsi" w:eastAsiaTheme="minorEastAsia" w:hAnsiTheme="minorHAnsi" w:cstheme="minorBidi"/>
          <w:szCs w:val="22"/>
        </w:rPr>
      </w:pPr>
      <w:r>
        <w:t>4</w:t>
      </w:r>
      <w:r>
        <w:rPr>
          <w:snapToGrid w:val="0"/>
        </w:rPr>
        <w:t>.</w:t>
      </w:r>
      <w:r>
        <w:rPr>
          <w:snapToGrid w:val="0"/>
        </w:rPr>
        <w:tab/>
        <w:t>Board established</w:t>
      </w:r>
      <w:r>
        <w:tab/>
      </w:r>
      <w:r>
        <w:fldChar w:fldCharType="begin"/>
      </w:r>
      <w:r>
        <w:instrText xml:space="preserve"> PAGEREF _Toc179466539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w:t>
      </w:r>
      <w:r>
        <w:tab/>
      </w:r>
      <w:r>
        <w:fldChar w:fldCharType="begin"/>
      </w:r>
      <w:r>
        <w:instrText xml:space="preserve"> PAGEREF _Toc179466540 \h </w:instrText>
      </w:r>
      <w:r>
        <w:fldChar w:fldCharType="separate"/>
      </w:r>
      <w:r>
        <w:t>8</w:t>
      </w:r>
      <w:r>
        <w:fldChar w:fldCharType="end"/>
      </w:r>
    </w:p>
    <w:p>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_Toc179466541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_Toc179466542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Resignations and removals from office</w:t>
      </w:r>
      <w:r>
        <w:tab/>
      </w:r>
      <w:r>
        <w:fldChar w:fldCharType="begin"/>
      </w:r>
      <w:r>
        <w:instrText xml:space="preserve"> PAGEREF _Toc179466543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members</w:t>
      </w:r>
      <w:r>
        <w:tab/>
      </w:r>
      <w:r>
        <w:fldChar w:fldCharType="begin"/>
      </w:r>
      <w:r>
        <w:instrText xml:space="preserve"> PAGEREF _Toc179466544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_Toc179466545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Procedures of Board</w:t>
      </w:r>
      <w:r>
        <w:tab/>
      </w:r>
      <w:r>
        <w:fldChar w:fldCharType="begin"/>
      </w:r>
      <w:r>
        <w:instrText xml:space="preserve"> PAGEREF _Toc179466546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_Toc179466547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Functions of Board</w:t>
      </w:r>
      <w:r>
        <w:tab/>
      </w:r>
      <w:r>
        <w:fldChar w:fldCharType="begin"/>
      </w:r>
      <w:r>
        <w:instrText xml:space="preserve"> PAGEREF _Toc179466548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Executive officer and other officers</w:t>
      </w:r>
      <w:r>
        <w:tab/>
      </w:r>
      <w:r>
        <w:fldChar w:fldCharType="begin"/>
      </w:r>
      <w:r>
        <w:instrText xml:space="preserve"> PAGEREF _Toc179466549 \h </w:instrText>
      </w:r>
      <w:r>
        <w:fldChar w:fldCharType="separate"/>
      </w:r>
      <w:r>
        <w:t>17</w:t>
      </w:r>
      <w:r>
        <w:fldChar w:fldCharType="end"/>
      </w:r>
    </w:p>
    <w:p>
      <w:pPr>
        <w:pStyle w:val="TOC8"/>
        <w:rPr>
          <w:rFonts w:asciiTheme="minorHAnsi" w:eastAsiaTheme="minorEastAsia" w:hAnsiTheme="minorHAnsi" w:cstheme="minorBidi"/>
          <w:szCs w:val="22"/>
        </w:rPr>
      </w:pPr>
      <w:r>
        <w:t>15</w:t>
      </w:r>
      <w:r>
        <w:rPr>
          <w:rFonts w:ascii="Times" w:hAnsi="Times"/>
        </w:rPr>
        <w:t>.</w:t>
      </w:r>
      <w:r>
        <w:rPr>
          <w:rFonts w:ascii="Times" w:hAnsi="Times"/>
        </w:rPr>
        <w:tab/>
        <w:t>Protection from liability</w:t>
      </w:r>
      <w:r>
        <w:tab/>
      </w:r>
      <w:r>
        <w:fldChar w:fldCharType="begin"/>
      </w:r>
      <w:r>
        <w:instrText xml:space="preserve"> PAGEREF _Toc179466550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Licensing of electrical workers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rPr>
          <w:snapToGrid w:val="0"/>
        </w:rPr>
        <w:t>.</w:t>
      </w:r>
      <w:r>
        <w:rPr>
          <w:snapToGrid w:val="0"/>
        </w:rPr>
        <w:tab/>
        <w:t>Electrical work prohibited unless authorised</w:t>
      </w:r>
      <w:r>
        <w:tab/>
      </w:r>
      <w:r>
        <w:fldChar w:fldCharType="begin"/>
      </w:r>
      <w:r>
        <w:instrText xml:space="preserve"> PAGEREF _Toc179466553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Electrical worker’s licence, types and effect of</w:t>
      </w:r>
      <w:r>
        <w:tab/>
      </w:r>
      <w:r>
        <w:fldChar w:fldCharType="begin"/>
      </w:r>
      <w:r>
        <w:instrText xml:space="preserve"> PAGEREF _Toc179466554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effect of</w:t>
      </w:r>
      <w:r>
        <w:tab/>
      </w:r>
      <w:r>
        <w:fldChar w:fldCharType="begin"/>
      </w:r>
      <w:r>
        <w:instrText xml:space="preserve"> PAGEREF _Toc179466555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Eligibility for electrical worker’s licence</w:t>
      </w:r>
      <w:r>
        <w:tab/>
      </w:r>
      <w:r>
        <w:fldChar w:fldCharType="begin"/>
      </w:r>
      <w:r>
        <w:instrText xml:space="preserve"> PAGEREF _Toc179466556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licence or permit</w:t>
      </w:r>
      <w:r>
        <w:tab/>
      </w:r>
      <w:r>
        <w:fldChar w:fldCharType="begin"/>
      </w:r>
      <w:r>
        <w:instrText xml:space="preserve"> PAGEREF _Toc179466557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licence or permit</w:t>
      </w:r>
      <w:r>
        <w:tab/>
      </w:r>
      <w:r>
        <w:fldChar w:fldCharType="begin"/>
      </w:r>
      <w:r>
        <w:instrText xml:space="preserve"> PAGEREF _Toc179466558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registration of licence or permit</w:t>
      </w:r>
      <w:r>
        <w:tab/>
      </w:r>
      <w:r>
        <w:fldChar w:fldCharType="begin"/>
      </w:r>
      <w:r>
        <w:instrText xml:space="preserve"> PAGEREF _Toc179466559 \h </w:instrText>
      </w:r>
      <w:r>
        <w:fldChar w:fldCharType="separate"/>
      </w:r>
      <w:r>
        <w:t>30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and renewal of registration of licences</w:t>
      </w:r>
      <w:r>
        <w:tab/>
      </w:r>
      <w:r>
        <w:fldChar w:fldCharType="begin"/>
      </w:r>
      <w:r>
        <w:instrText xml:space="preserve"> PAGEREF _Toc179466560 \h </w:instrText>
      </w:r>
      <w:r>
        <w:fldChar w:fldCharType="separate"/>
      </w:r>
      <w:r>
        <w:t>31</w:t>
      </w:r>
      <w:r>
        <w:fldChar w:fldCharType="end"/>
      </w:r>
    </w:p>
    <w:p>
      <w:pPr>
        <w:pStyle w:val="TOC8"/>
        <w:rPr>
          <w:rFonts w:asciiTheme="minorHAnsi" w:eastAsiaTheme="minorEastAsia" w:hAnsiTheme="minorHAnsi" w:cstheme="minorBidi"/>
          <w:szCs w:val="22"/>
        </w:rPr>
      </w:pPr>
      <w:r>
        <w:t>28.</w:t>
      </w:r>
      <w:r>
        <w:tab/>
        <w:t>Contact details</w:t>
      </w:r>
      <w:r>
        <w:tab/>
      </w:r>
      <w:r>
        <w:fldChar w:fldCharType="begin"/>
      </w:r>
      <w:r>
        <w:instrText xml:space="preserve"> PAGEREF _Toc179466561 \h </w:instrText>
      </w:r>
      <w:r>
        <w:fldChar w:fldCharType="separate"/>
      </w:r>
      <w:r>
        <w:t>32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Physical examinations and competency tests, Board may require</w:t>
      </w:r>
      <w:r>
        <w:tab/>
      </w:r>
      <w:r>
        <w:fldChar w:fldCharType="begin"/>
      </w:r>
      <w:r>
        <w:instrText xml:space="preserve"> PAGEREF _Toc179466562 \h </w:instrText>
      </w:r>
      <w:r>
        <w:fldChar w:fldCharType="separate"/>
      </w:r>
      <w:r>
        <w:t>32</w:t>
      </w:r>
      <w:r>
        <w:fldChar w:fldCharType="end"/>
      </w:r>
    </w:p>
    <w:p>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_Toc179466563 \h </w:instrText>
      </w:r>
      <w:r>
        <w:fldChar w:fldCharType="separate"/>
      </w:r>
      <w:r>
        <w:t>33</w:t>
      </w:r>
      <w:r>
        <w:fldChar w:fldCharType="end"/>
      </w:r>
    </w:p>
    <w:p>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_Toc179466564 \h </w:instrText>
      </w:r>
      <w:r>
        <w:fldChar w:fldCharType="separate"/>
      </w:r>
      <w:r>
        <w:t>35</w:t>
      </w:r>
      <w:r>
        <w:fldChar w:fldCharType="end"/>
      </w:r>
    </w:p>
    <w:p>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_Toc179466565 \h </w:instrText>
      </w:r>
      <w:r>
        <w:fldChar w:fldCharType="separate"/>
      </w:r>
      <w:r>
        <w:t>36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Suspension, effect and revocation of</w:t>
      </w:r>
      <w:r>
        <w:tab/>
      </w:r>
      <w:r>
        <w:fldChar w:fldCharType="begin"/>
      </w:r>
      <w:r>
        <w:instrText xml:space="preserve"> PAGEREF _Toc179466566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Approved CPR courses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_Toc179466568 \h </w:instrText>
      </w:r>
      <w:r>
        <w:fldChar w:fldCharType="separate"/>
      </w:r>
      <w:r>
        <w:t>38</w:t>
      </w:r>
      <w:r>
        <w:fldChar w:fldCharType="end"/>
      </w:r>
    </w:p>
    <w:p>
      <w:pPr>
        <w:pStyle w:val="TOC8"/>
        <w:rPr>
          <w:rFonts w:asciiTheme="minorHAnsi" w:eastAsiaTheme="minorEastAsia" w:hAnsiTheme="minorHAnsi" w:cstheme="minorBidi"/>
          <w:szCs w:val="22"/>
        </w:rPr>
      </w:pPr>
      <w:r>
        <w:t>32B.</w:t>
      </w:r>
      <w:r>
        <w:tab/>
        <w:t>Approved CPR courses</w:t>
      </w:r>
      <w:r>
        <w:tab/>
      </w:r>
      <w:r>
        <w:fldChar w:fldCharType="begin"/>
      </w:r>
      <w:r>
        <w:instrText xml:space="preserve"> PAGEREF _Toc179466569 \h </w:instrText>
      </w:r>
      <w:r>
        <w:fldChar w:fldCharType="separate"/>
      </w:r>
      <w:r>
        <w:t>39</w:t>
      </w:r>
      <w:r>
        <w:fldChar w:fldCharType="end"/>
      </w:r>
    </w:p>
    <w:p>
      <w:pPr>
        <w:pStyle w:val="TOC8"/>
        <w:rPr>
          <w:rFonts w:asciiTheme="minorHAnsi" w:eastAsiaTheme="minorEastAsia" w:hAnsiTheme="minorHAnsi" w:cstheme="minorBidi"/>
          <w:szCs w:val="22"/>
        </w:rPr>
      </w:pPr>
      <w:r>
        <w:t>32C.</w:t>
      </w:r>
      <w:r>
        <w:tab/>
        <w:t>Director may approve longer completion period for approved CPR courses</w:t>
      </w:r>
      <w:r>
        <w:tab/>
      </w:r>
      <w:r>
        <w:fldChar w:fldCharType="begin"/>
      </w:r>
      <w:r>
        <w:instrText xml:space="preserve"> PAGEREF _Toc179466570 \h </w:instrText>
      </w:r>
      <w:r>
        <w:fldChar w:fldCharType="separate"/>
      </w:r>
      <w:r>
        <w:t>39</w:t>
      </w:r>
      <w:r>
        <w:fldChar w:fldCharType="end"/>
      </w:r>
    </w:p>
    <w:p>
      <w:pPr>
        <w:pStyle w:val="TOC8"/>
        <w:rPr>
          <w:rFonts w:asciiTheme="minorHAnsi" w:eastAsiaTheme="minorEastAsia" w:hAnsiTheme="minorHAnsi" w:cstheme="minorBidi"/>
          <w:szCs w:val="22"/>
        </w:rPr>
      </w:pPr>
      <w:r>
        <w:t>32D.</w:t>
      </w:r>
      <w:r>
        <w:tab/>
        <w:t>Director may exempt licensed electricians from completing approved CPR courses</w:t>
      </w:r>
      <w:r>
        <w:tab/>
      </w:r>
      <w:r>
        <w:fldChar w:fldCharType="begin"/>
      </w:r>
      <w:r>
        <w:instrText xml:space="preserve"> PAGEREF _Toc179466571 \h </w:instrText>
      </w:r>
      <w:r>
        <w:fldChar w:fldCharType="separate"/>
      </w:r>
      <w:r>
        <w:t>40</w:t>
      </w:r>
      <w:r>
        <w:fldChar w:fldCharType="end"/>
      </w:r>
    </w:p>
    <w:p>
      <w:pPr>
        <w:pStyle w:val="TOC8"/>
        <w:rPr>
          <w:rFonts w:asciiTheme="minorHAnsi" w:eastAsiaTheme="minorEastAsia" w:hAnsiTheme="minorHAnsi" w:cstheme="minorBidi"/>
          <w:szCs w:val="22"/>
        </w:rPr>
      </w:pPr>
      <w:r>
        <w:t>32E.</w:t>
      </w:r>
      <w:r>
        <w:tab/>
        <w:t>Requirement to complete approved CPR courses for licensed electricians on commencement day</w:t>
      </w:r>
      <w:r>
        <w:tab/>
      </w:r>
      <w:r>
        <w:fldChar w:fldCharType="begin"/>
      </w:r>
      <w:r>
        <w:instrText xml:space="preserve"> PAGEREF _Toc179466572 \h </w:instrText>
      </w:r>
      <w:r>
        <w:fldChar w:fldCharType="separate"/>
      </w:r>
      <w:r>
        <w:t>41</w:t>
      </w:r>
      <w:r>
        <w:fldChar w:fldCharType="end"/>
      </w:r>
    </w:p>
    <w:p>
      <w:pPr>
        <w:pStyle w:val="TOC8"/>
        <w:rPr>
          <w:rFonts w:asciiTheme="minorHAnsi" w:eastAsiaTheme="minorEastAsia" w:hAnsiTheme="minorHAnsi" w:cstheme="minorBidi"/>
          <w:szCs w:val="22"/>
        </w:rPr>
      </w:pPr>
      <w:r>
        <w:t>32F.</w:t>
      </w:r>
      <w:r>
        <w:tab/>
        <w:t>Requirement to complete approved CPR courses on issue of first endorsed electrician’s licences after commencement day</w:t>
      </w:r>
      <w:r>
        <w:tab/>
      </w:r>
      <w:r>
        <w:fldChar w:fldCharType="begin"/>
      </w:r>
      <w:r>
        <w:instrText xml:space="preserve"> PAGEREF _Toc179466573 \h </w:instrText>
      </w:r>
      <w:r>
        <w:fldChar w:fldCharType="separate"/>
      </w:r>
      <w:r>
        <w:t>41</w:t>
      </w:r>
      <w:r>
        <w:fldChar w:fldCharType="end"/>
      </w:r>
    </w:p>
    <w:p>
      <w:pPr>
        <w:pStyle w:val="TOC8"/>
        <w:rPr>
          <w:rFonts w:asciiTheme="minorHAnsi" w:eastAsiaTheme="minorEastAsia" w:hAnsiTheme="minorHAnsi" w:cstheme="minorBidi"/>
          <w:szCs w:val="22"/>
        </w:rPr>
      </w:pPr>
      <w:r>
        <w:t>32G.</w:t>
      </w:r>
      <w:r>
        <w:tab/>
        <w:t>Continuing requirements: approved CPR courses</w:t>
      </w:r>
      <w:r>
        <w:tab/>
      </w:r>
      <w:r>
        <w:fldChar w:fldCharType="begin"/>
      </w:r>
      <w:r>
        <w:instrText xml:space="preserve"> PAGEREF _Toc179466574 \h </w:instrText>
      </w:r>
      <w:r>
        <w:fldChar w:fldCharType="separate"/>
      </w:r>
      <w:r>
        <w:t>42</w:t>
      </w:r>
      <w:r>
        <w:fldChar w:fldCharType="end"/>
      </w:r>
    </w:p>
    <w:p>
      <w:pPr>
        <w:pStyle w:val="TOC8"/>
        <w:rPr>
          <w:rFonts w:asciiTheme="minorHAnsi" w:eastAsiaTheme="minorEastAsia" w:hAnsiTheme="minorHAnsi" w:cstheme="minorBidi"/>
          <w:szCs w:val="22"/>
        </w:rPr>
      </w:pPr>
      <w:r>
        <w:t>32H.</w:t>
      </w:r>
      <w:r>
        <w:tab/>
        <w:t>When completion period begins for continuing requirements if previous approved CPR courses not completed</w:t>
      </w:r>
      <w:r>
        <w:tab/>
      </w:r>
      <w:r>
        <w:fldChar w:fldCharType="begin"/>
      </w:r>
      <w:r>
        <w:instrText xml:space="preserve"> PAGEREF _Toc179466575 \h </w:instrText>
      </w:r>
      <w:r>
        <w:fldChar w:fldCharType="separate"/>
      </w:r>
      <w:r>
        <w:t>42</w:t>
      </w:r>
      <w:r>
        <w:fldChar w:fldCharType="end"/>
      </w:r>
    </w:p>
    <w:p>
      <w:pPr>
        <w:pStyle w:val="TOC8"/>
        <w:rPr>
          <w:rFonts w:asciiTheme="minorHAnsi" w:eastAsiaTheme="minorEastAsia" w:hAnsiTheme="minorHAnsi" w:cstheme="minorBidi"/>
          <w:szCs w:val="22"/>
        </w:rPr>
      </w:pPr>
      <w:r>
        <w:t>32I.</w:t>
      </w:r>
      <w:r>
        <w:tab/>
        <w:t>Powers to require course completion records</w:t>
      </w:r>
      <w:r>
        <w:tab/>
      </w:r>
      <w:r>
        <w:fldChar w:fldCharType="begin"/>
      </w:r>
      <w:r>
        <w:instrText xml:space="preserve"> PAGEREF _Toc179466576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Licensing of electrical contractors and for in</w:t>
      </w:r>
      <w:r>
        <w:noBreakHyphen/>
        <w:t>house electrical installing work</w:t>
      </w:r>
    </w:p>
    <w:p>
      <w:pPr>
        <w:pStyle w:val="TOC8"/>
        <w:rPr>
          <w:rFonts w:asciiTheme="minorHAnsi" w:eastAsiaTheme="minorEastAsia" w:hAnsiTheme="minorHAnsi" w:cstheme="minorBidi"/>
          <w:szCs w:val="22"/>
        </w:rPr>
      </w:pPr>
      <w:r>
        <w:t>33</w:t>
      </w:r>
      <w:r>
        <w:rPr>
          <w:snapToGrid w:val="0"/>
        </w:rPr>
        <w:t>.</w:t>
      </w:r>
      <w:r>
        <w:rPr>
          <w:snapToGrid w:val="0"/>
        </w:rPr>
        <w:tab/>
        <w:t>Electrical contracting prohibited unless authorised</w:t>
      </w:r>
      <w:r>
        <w:tab/>
      </w:r>
      <w:r>
        <w:fldChar w:fldCharType="begin"/>
      </w:r>
      <w:r>
        <w:instrText xml:space="preserve"> PAGEREF _Toc179466578 \h </w:instrText>
      </w:r>
      <w:r>
        <w:fldChar w:fldCharType="separate"/>
      </w:r>
      <w:r>
        <w:t>45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Contracting with unlicensed person for electrical installing work, offence</w:t>
      </w:r>
      <w:r>
        <w:tab/>
      </w:r>
      <w:r>
        <w:fldChar w:fldCharType="begin"/>
      </w:r>
      <w:r>
        <w:instrText xml:space="preserve"> PAGEREF _Toc179466579 \h </w:instrText>
      </w:r>
      <w:r>
        <w:fldChar w:fldCharType="separate"/>
      </w:r>
      <w:r>
        <w:t>46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False representations as to completed electrical work</w:t>
      </w:r>
      <w:r>
        <w:tab/>
      </w:r>
      <w:r>
        <w:fldChar w:fldCharType="begin"/>
      </w:r>
      <w:r>
        <w:instrText xml:space="preserve"> PAGEREF _Toc179466580 \h </w:instrText>
      </w:r>
      <w:r>
        <w:fldChar w:fldCharType="separate"/>
      </w:r>
      <w:r>
        <w:t>46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Eligibility for electrical contractor’s licence</w:t>
      </w:r>
      <w:r>
        <w:tab/>
      </w:r>
      <w:r>
        <w:fldChar w:fldCharType="begin"/>
      </w:r>
      <w:r>
        <w:instrText xml:space="preserve"> PAGEREF _Toc179466581 \h </w:instrText>
      </w:r>
      <w:r>
        <w:fldChar w:fldCharType="separate"/>
      </w:r>
      <w:r>
        <w:t>46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_Toc179466582 \h </w:instrText>
      </w:r>
      <w:r>
        <w:fldChar w:fldCharType="separate"/>
      </w:r>
      <w:r>
        <w:t>48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Nominees under r. 36 and 37, cancelling etc.</w:t>
      </w:r>
      <w:r>
        <w:tab/>
      </w:r>
      <w:r>
        <w:fldChar w:fldCharType="begin"/>
      </w:r>
      <w:r>
        <w:instrText xml:space="preserve"> PAGEREF _Toc179466583 \h </w:instrText>
      </w:r>
      <w:r>
        <w:fldChar w:fldCharType="separate"/>
      </w:r>
      <w:r>
        <w:t>50</w:t>
      </w:r>
      <w:r>
        <w:fldChar w:fldCharType="end"/>
      </w:r>
    </w:p>
    <w:p>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_Toc179466584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Applications for licences and renewals of registration</w:t>
      </w:r>
      <w:r>
        <w:tab/>
      </w:r>
      <w:r>
        <w:fldChar w:fldCharType="begin"/>
      </w:r>
      <w:r>
        <w:instrText xml:space="preserve"> PAGEREF _Toc179466585 \h </w:instrText>
      </w:r>
      <w:r>
        <w:fldChar w:fldCharType="separate"/>
      </w:r>
      <w:r>
        <w:t>52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Issue and registration of licence</w:t>
      </w:r>
      <w:r>
        <w:tab/>
      </w:r>
      <w:r>
        <w:fldChar w:fldCharType="begin"/>
      </w:r>
      <w:r>
        <w:instrText xml:space="preserve"> PAGEREF _Toc179466586 \h </w:instrText>
      </w:r>
      <w:r>
        <w:fldChar w:fldCharType="separate"/>
      </w:r>
      <w:r>
        <w:t>52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Changes to firm, effect of on firm’s licence</w:t>
      </w:r>
      <w:r>
        <w:tab/>
      </w:r>
      <w:r>
        <w:fldChar w:fldCharType="begin"/>
      </w:r>
      <w:r>
        <w:instrText xml:space="preserve"> PAGEREF _Toc179466587 \h </w:instrText>
      </w:r>
      <w:r>
        <w:fldChar w:fldCharType="separate"/>
      </w:r>
      <w:r>
        <w:t>53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Changes to firm, Board to be notified of</w:t>
      </w:r>
      <w:r>
        <w:tab/>
      </w:r>
      <w:r>
        <w:fldChar w:fldCharType="begin"/>
      </w:r>
      <w:r>
        <w:instrText xml:space="preserve"> PAGEREF _Toc179466588 \h </w:instrText>
      </w:r>
      <w:r>
        <w:fldChar w:fldCharType="separate"/>
      </w:r>
      <w:r>
        <w:t>53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Duration of registration of licence</w:t>
      </w:r>
      <w:r>
        <w:tab/>
      </w:r>
      <w:r>
        <w:fldChar w:fldCharType="begin"/>
      </w:r>
      <w:r>
        <w:instrText xml:space="preserve"> PAGEREF _Toc179466589 \h </w:instrText>
      </w:r>
      <w:r>
        <w:fldChar w:fldCharType="separate"/>
      </w:r>
      <w:r>
        <w:t>53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Renewal of registration of licence</w:t>
      </w:r>
      <w:r>
        <w:tab/>
      </w:r>
      <w:r>
        <w:fldChar w:fldCharType="begin"/>
      </w:r>
      <w:r>
        <w:instrText xml:space="preserve"> PAGEREF _Toc179466590 \h </w:instrText>
      </w:r>
      <w:r>
        <w:fldChar w:fldCharType="separate"/>
      </w:r>
      <w:r>
        <w:t>54</w:t>
      </w:r>
      <w:r>
        <w:fldChar w:fldCharType="end"/>
      </w:r>
    </w:p>
    <w:p>
      <w:pPr>
        <w:pStyle w:val="TOC8"/>
        <w:rPr>
          <w:rFonts w:asciiTheme="minorHAnsi" w:eastAsiaTheme="minorEastAsia" w:hAnsiTheme="minorHAnsi" w:cstheme="minorBidi"/>
          <w:szCs w:val="22"/>
        </w:rPr>
      </w:pPr>
      <w:r>
        <w:t>44A.</w:t>
      </w:r>
      <w:r>
        <w:tab/>
        <w:t>Insurance of licensed electrical contractor, Board may require details of</w:t>
      </w:r>
      <w:r>
        <w:tab/>
      </w:r>
      <w:r>
        <w:fldChar w:fldCharType="begin"/>
      </w:r>
      <w:r>
        <w:instrText xml:space="preserve"> PAGEREF _Toc179466591 \h </w:instrText>
      </w:r>
      <w:r>
        <w:fldChar w:fldCharType="separate"/>
      </w:r>
      <w:r>
        <w:t>55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Place of business, display of licence at and change of etc.</w:t>
      </w:r>
      <w:r>
        <w:tab/>
      </w:r>
      <w:r>
        <w:fldChar w:fldCharType="begin"/>
      </w:r>
      <w:r>
        <w:instrText xml:space="preserve"> PAGEREF _Toc179466592 \h </w:instrText>
      </w:r>
      <w:r>
        <w:fldChar w:fldCharType="separate"/>
      </w:r>
      <w:r>
        <w:t>55</w:t>
      </w:r>
      <w:r>
        <w:fldChar w:fldCharType="end"/>
      </w:r>
    </w:p>
    <w:p>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_Toc179466593 \h </w:instrText>
      </w:r>
      <w:r>
        <w:fldChar w:fldCharType="separate"/>
      </w:r>
      <w:r>
        <w:t>56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Disciplinary action, proper causes for</w:t>
      </w:r>
      <w:r>
        <w:tab/>
      </w:r>
      <w:r>
        <w:fldChar w:fldCharType="begin"/>
      </w:r>
      <w:r>
        <w:instrText xml:space="preserve"> PAGEREF _Toc179466594 \h </w:instrText>
      </w:r>
      <w:r>
        <w:fldChar w:fldCharType="separate"/>
      </w:r>
      <w:r>
        <w:t>57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Disciplinary action by SAT</w:t>
      </w:r>
      <w:r>
        <w:tab/>
      </w:r>
      <w:r>
        <w:fldChar w:fldCharType="begin"/>
      </w:r>
      <w:r>
        <w:instrText xml:space="preserve"> PAGEREF _Toc179466595 \h </w:instrText>
      </w:r>
      <w:r>
        <w:fldChar w:fldCharType="separate"/>
      </w:r>
      <w:r>
        <w:t>58</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Alternative to seeking disciplinary action under r. 47</w:t>
      </w:r>
      <w:r>
        <w:tab/>
      </w:r>
      <w:r>
        <w:fldChar w:fldCharType="begin"/>
      </w:r>
      <w:r>
        <w:instrText xml:space="preserve"> PAGEREF _Toc179466596 \h </w:instrText>
      </w:r>
      <w:r>
        <w:fldChar w:fldCharType="separate"/>
      </w:r>
      <w:r>
        <w:t>60</w:t>
      </w:r>
      <w:r>
        <w:fldChar w:fldCharType="end"/>
      </w:r>
    </w:p>
    <w:p>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_Toc179466597 \h </w:instrText>
      </w:r>
      <w:r>
        <w:fldChar w:fldCharType="separate"/>
      </w:r>
      <w:r>
        <w:t>61</w:t>
      </w:r>
      <w:r>
        <w:fldChar w:fldCharType="end"/>
      </w:r>
    </w:p>
    <w:p>
      <w:pPr>
        <w:pStyle w:val="TOC8"/>
        <w:rPr>
          <w:rFonts w:asciiTheme="minorHAnsi" w:eastAsiaTheme="minorEastAsia" w:hAnsiTheme="minorHAnsi" w:cstheme="minorBidi"/>
          <w:szCs w:val="22"/>
        </w:rPr>
      </w:pPr>
      <w:r>
        <w:t>47C.</w:t>
      </w:r>
      <w:r>
        <w:tab/>
        <w:t>Nominees to be notified of cancellation or suspension of licence</w:t>
      </w:r>
      <w:r>
        <w:tab/>
      </w:r>
      <w:r>
        <w:fldChar w:fldCharType="begin"/>
      </w:r>
      <w:r>
        <w:instrText xml:space="preserve"> PAGEREF _Toc179466598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of electrical work</w:t>
      </w:r>
    </w:p>
    <w:p>
      <w:pPr>
        <w:pStyle w:val="TOC4"/>
        <w:tabs>
          <w:tab w:val="right" w:leader="dot" w:pos="7077"/>
        </w:tabs>
        <w:rPr>
          <w:rFonts w:asciiTheme="minorHAnsi" w:eastAsiaTheme="minorEastAsia" w:hAnsiTheme="minorHAnsi" w:cstheme="minorBidi"/>
          <w:b w:val="0"/>
          <w:szCs w:val="22"/>
        </w:rPr>
      </w:pPr>
      <w:r>
        <w:t>Division 1 — General regulation of electrical work</w:t>
      </w:r>
    </w:p>
    <w:p>
      <w:pPr>
        <w:pStyle w:val="TOC8"/>
        <w:rPr>
          <w:rFonts w:asciiTheme="minorHAnsi" w:eastAsiaTheme="minorEastAsia" w:hAnsiTheme="minorHAnsi" w:cstheme="minorBidi"/>
          <w:szCs w:val="22"/>
        </w:rPr>
      </w:pPr>
      <w:r>
        <w:t>49</w:t>
      </w:r>
      <w:r>
        <w:rPr>
          <w:snapToGrid w:val="0"/>
        </w:rPr>
        <w:t>.</w:t>
      </w:r>
      <w:r>
        <w:rPr>
          <w:snapToGrid w:val="0"/>
        </w:rPr>
        <w:tab/>
      </w:r>
      <w:r>
        <w:t>Requirements for electrical work</w:t>
      </w:r>
      <w:r>
        <w:tab/>
      </w:r>
      <w:r>
        <w:fldChar w:fldCharType="begin"/>
      </w:r>
      <w:r>
        <w:instrText xml:space="preserve"> PAGEREF _Toc179466601 \h </w:instrText>
      </w:r>
      <w:r>
        <w:fldChar w:fldCharType="separate"/>
      </w:r>
      <w:r>
        <w:t>63</w:t>
      </w:r>
      <w:r>
        <w:fldChar w:fldCharType="end"/>
      </w:r>
    </w:p>
    <w:p>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_Toc179466602 \h </w:instrText>
      </w:r>
      <w:r>
        <w:fldChar w:fldCharType="separate"/>
      </w:r>
      <w:r>
        <w:t>65</w:t>
      </w:r>
      <w:r>
        <w:fldChar w:fldCharType="end"/>
      </w:r>
    </w:p>
    <w:p>
      <w:pPr>
        <w:pStyle w:val="TOC8"/>
        <w:rPr>
          <w:rFonts w:asciiTheme="minorHAnsi" w:eastAsiaTheme="minorEastAsia" w:hAnsiTheme="minorHAnsi" w:cstheme="minorBidi"/>
          <w:szCs w:val="22"/>
        </w:rPr>
      </w:pPr>
      <w:r>
        <w:lastRenderedPageBreak/>
        <w:t>49B.</w:t>
      </w:r>
      <w:r>
        <w:tab/>
        <w:t>Electrical work to be carried out to safe standard and completed to trade finish</w:t>
      </w:r>
      <w:r>
        <w:tab/>
      </w:r>
      <w:r>
        <w:fldChar w:fldCharType="begin"/>
      </w:r>
      <w:r>
        <w:instrText xml:space="preserve"> PAGEREF _Toc179466603 \h </w:instrText>
      </w:r>
      <w:r>
        <w:fldChar w:fldCharType="separate"/>
      </w:r>
      <w:r>
        <w:t>65</w:t>
      </w:r>
      <w:r>
        <w:fldChar w:fldCharType="end"/>
      </w:r>
    </w:p>
    <w:p>
      <w:pPr>
        <w:pStyle w:val="TOC8"/>
        <w:rPr>
          <w:rFonts w:asciiTheme="minorHAnsi" w:eastAsiaTheme="minorEastAsia" w:hAnsiTheme="minorHAnsi" w:cstheme="minorBidi"/>
          <w:szCs w:val="22"/>
        </w:rPr>
      </w:pPr>
      <w:r>
        <w:t>49C.</w:t>
      </w:r>
      <w:r>
        <w:tab/>
        <w:t>Supervision of electrical work: interpretation</w:t>
      </w:r>
      <w:r>
        <w:tab/>
      </w:r>
      <w:r>
        <w:fldChar w:fldCharType="begin"/>
      </w:r>
      <w:r>
        <w:instrText xml:space="preserve"> PAGEREF _Toc179466604 \h </w:instrText>
      </w:r>
      <w:r>
        <w:fldChar w:fldCharType="separate"/>
      </w:r>
      <w:r>
        <w:t>65</w:t>
      </w:r>
      <w:r>
        <w:fldChar w:fldCharType="end"/>
      </w:r>
    </w:p>
    <w:p>
      <w:pPr>
        <w:pStyle w:val="TOC8"/>
        <w:rPr>
          <w:rFonts w:asciiTheme="minorHAnsi" w:eastAsiaTheme="minorEastAsia" w:hAnsiTheme="minorHAnsi" w:cstheme="minorBidi"/>
          <w:szCs w:val="22"/>
        </w:rPr>
      </w:pPr>
      <w:r>
        <w:t>49D.</w:t>
      </w:r>
      <w:r>
        <w:tab/>
        <w:t>Supervision of electrical work: levels of supervision</w:t>
      </w:r>
      <w:r>
        <w:tab/>
      </w:r>
      <w:r>
        <w:fldChar w:fldCharType="begin"/>
      </w:r>
      <w:r>
        <w:instrText xml:space="preserve"> PAGEREF _Toc179466605 \h </w:instrText>
      </w:r>
      <w:r>
        <w:fldChar w:fldCharType="separate"/>
      </w:r>
      <w:r>
        <w:t>66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Supervision of electrical work: requirements</w:t>
      </w:r>
      <w:r>
        <w:tab/>
      </w:r>
      <w:r>
        <w:fldChar w:fldCharType="begin"/>
      </w:r>
      <w:r>
        <w:instrText xml:space="preserve"> PAGEREF _Toc179466606 \h </w:instrText>
      </w:r>
      <w:r>
        <w:fldChar w:fldCharType="separate"/>
      </w:r>
      <w:r>
        <w:t>68</w:t>
      </w:r>
      <w:r>
        <w:fldChar w:fldCharType="end"/>
      </w:r>
    </w:p>
    <w:p>
      <w:pPr>
        <w:pStyle w:val="TOC8"/>
        <w:rPr>
          <w:rFonts w:asciiTheme="minorHAnsi" w:eastAsiaTheme="minorEastAsia" w:hAnsiTheme="minorHAnsi" w:cstheme="minorBidi"/>
          <w:szCs w:val="22"/>
        </w:rPr>
      </w:pPr>
      <w:r>
        <w:t>50AA.</w:t>
      </w:r>
      <w:r>
        <w:tab/>
        <w:t>Supervision of electrical work: informing employer and supervisor of experience of apprentice or trainee</w:t>
      </w:r>
      <w:r>
        <w:tab/>
      </w:r>
      <w:r>
        <w:fldChar w:fldCharType="begin"/>
      </w:r>
      <w:r>
        <w:instrText xml:space="preserve"> PAGEREF _Toc179466607 \h </w:instrText>
      </w:r>
      <w:r>
        <w:fldChar w:fldCharType="separate"/>
      </w:r>
      <w:r>
        <w:t>72</w:t>
      </w:r>
      <w:r>
        <w:fldChar w:fldCharType="end"/>
      </w:r>
    </w:p>
    <w:p>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_Toc179466608 \h </w:instrText>
      </w:r>
      <w:r>
        <w:fldChar w:fldCharType="separate"/>
      </w:r>
      <w:r>
        <w:t>73</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Licence holder not to cause or permit unsafe wiring or equipment to be connected to electrical installation</w:t>
      </w:r>
      <w:r>
        <w:tab/>
      </w:r>
      <w:r>
        <w:fldChar w:fldCharType="begin"/>
      </w:r>
      <w:r>
        <w:instrText xml:space="preserve"> PAGEREF _Toc179466609 \h </w:instrText>
      </w:r>
      <w:r>
        <w:fldChar w:fldCharType="separate"/>
      </w:r>
      <w:r>
        <w:t>73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Notifiable work, preliminary notice of to be given to network operator</w:t>
      </w:r>
      <w:r>
        <w:tab/>
      </w:r>
      <w:r>
        <w:fldChar w:fldCharType="begin"/>
      </w:r>
      <w:r>
        <w:instrText xml:space="preserve"> PAGEREF _Toc179466610 \h </w:instrText>
      </w:r>
      <w:r>
        <w:fldChar w:fldCharType="separate"/>
      </w:r>
      <w:r>
        <w:t>74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Notifiable work, notice of completion of to be given to network operator</w:t>
      </w:r>
      <w:r>
        <w:tab/>
      </w:r>
      <w:r>
        <w:fldChar w:fldCharType="begin"/>
      </w:r>
      <w:r>
        <w:instrText xml:space="preserve"> PAGEREF _Toc179466611 \h </w:instrText>
      </w:r>
      <w:r>
        <w:fldChar w:fldCharType="separate"/>
      </w:r>
      <w:r>
        <w:t>76</w:t>
      </w:r>
      <w:r>
        <w:fldChar w:fldCharType="end"/>
      </w:r>
    </w:p>
    <w:p>
      <w:pPr>
        <w:pStyle w:val="TOC8"/>
        <w:rPr>
          <w:rFonts w:asciiTheme="minorHAnsi" w:eastAsiaTheme="minorEastAsia" w:hAnsiTheme="minorHAnsi" w:cstheme="minorBidi"/>
          <w:szCs w:val="22"/>
        </w:rPr>
      </w:pPr>
      <w:r>
        <w:t>52A.</w:t>
      </w:r>
      <w:r>
        <w:tab/>
        <w:t>Notices under r. 51 and 52, delivery of</w:t>
      </w:r>
      <w:r>
        <w:tab/>
      </w:r>
      <w:r>
        <w:fldChar w:fldCharType="begin"/>
      </w:r>
      <w:r>
        <w:instrText xml:space="preserve"> PAGEREF _Toc179466612 \h </w:instrText>
      </w:r>
      <w:r>
        <w:fldChar w:fldCharType="separate"/>
      </w:r>
      <w:r>
        <w:t>79</w:t>
      </w:r>
      <w:r>
        <w:fldChar w:fldCharType="end"/>
      </w:r>
    </w:p>
    <w:p>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_Toc179466613 \h </w:instrText>
      </w:r>
      <w:r>
        <w:fldChar w:fldCharType="separate"/>
      </w:r>
      <w:r>
        <w:t>80</w:t>
      </w:r>
      <w:r>
        <w:fldChar w:fldCharType="end"/>
      </w:r>
    </w:p>
    <w:p>
      <w:pPr>
        <w:pStyle w:val="TOC8"/>
        <w:rPr>
          <w:rFonts w:asciiTheme="minorHAnsi" w:eastAsiaTheme="minorEastAsia" w:hAnsiTheme="minorHAnsi" w:cstheme="minorBidi"/>
          <w:szCs w:val="22"/>
        </w:rPr>
      </w:pPr>
      <w:r>
        <w:t>52BA.</w:t>
      </w:r>
      <w:r>
        <w:tab/>
        <w:t>Transportable structures: when compliance with regulations 51, 52 and 52B not required</w:t>
      </w:r>
      <w:r>
        <w:tab/>
      </w:r>
      <w:r>
        <w:fldChar w:fldCharType="begin"/>
      </w:r>
      <w:r>
        <w:instrText xml:space="preserve"> PAGEREF _Toc179466614 \h </w:instrText>
      </w:r>
      <w:r>
        <w:fldChar w:fldCharType="separate"/>
      </w:r>
      <w:r>
        <w:t>84</w:t>
      </w:r>
      <w:r>
        <w:fldChar w:fldCharType="end"/>
      </w:r>
    </w:p>
    <w:p>
      <w:pPr>
        <w:pStyle w:val="TOC8"/>
        <w:rPr>
          <w:rFonts w:asciiTheme="minorHAnsi" w:eastAsiaTheme="minorEastAsia" w:hAnsiTheme="minorHAnsi" w:cstheme="minorBidi"/>
          <w:szCs w:val="22"/>
        </w:rPr>
      </w:pPr>
      <w:r>
        <w:t>52BB.</w:t>
      </w:r>
      <w:r>
        <w:tab/>
        <w:t>Notifiable work: modified procedure available for certain construction projects</w:t>
      </w:r>
      <w:r>
        <w:tab/>
      </w:r>
      <w:r>
        <w:fldChar w:fldCharType="begin"/>
      </w:r>
      <w:r>
        <w:instrText xml:space="preserve"> PAGEREF _Toc179466615 \h </w:instrText>
      </w:r>
      <w:r>
        <w:fldChar w:fldCharType="separate"/>
      </w:r>
      <w:r>
        <w:t>85</w:t>
      </w:r>
      <w:r>
        <w:fldChar w:fldCharType="end"/>
      </w:r>
    </w:p>
    <w:p>
      <w:pPr>
        <w:pStyle w:val="TOC8"/>
        <w:rPr>
          <w:rFonts w:asciiTheme="minorHAnsi" w:eastAsiaTheme="minorEastAsia" w:hAnsiTheme="minorHAnsi" w:cstheme="minorBidi"/>
          <w:szCs w:val="22"/>
        </w:rPr>
      </w:pPr>
      <w:r>
        <w:t>52BC.</w:t>
      </w:r>
      <w:r>
        <w:tab/>
        <w:t>Modified procedure: record of electrical installing work</w:t>
      </w:r>
      <w:r>
        <w:tab/>
      </w:r>
      <w:r>
        <w:fldChar w:fldCharType="begin"/>
      </w:r>
      <w:r>
        <w:instrText xml:space="preserve"> PAGEREF _Toc179466616 \h </w:instrText>
      </w:r>
      <w:r>
        <w:fldChar w:fldCharType="separate"/>
      </w:r>
      <w:r>
        <w:t>88</w:t>
      </w:r>
      <w:r>
        <w:fldChar w:fldCharType="end"/>
      </w:r>
    </w:p>
    <w:p>
      <w:pPr>
        <w:pStyle w:val="TOC8"/>
        <w:rPr>
          <w:rFonts w:asciiTheme="minorHAnsi" w:eastAsiaTheme="minorEastAsia" w:hAnsiTheme="minorHAnsi" w:cstheme="minorBidi"/>
          <w:szCs w:val="22"/>
        </w:rPr>
      </w:pPr>
      <w:r>
        <w:t>52BD.</w:t>
      </w:r>
      <w:r>
        <w:tab/>
        <w:t>Modified procedure: notice requirements</w:t>
      </w:r>
      <w:r>
        <w:tab/>
      </w:r>
      <w:r>
        <w:fldChar w:fldCharType="begin"/>
      </w:r>
      <w:r>
        <w:instrText xml:space="preserve"> PAGEREF _Toc179466617 \h </w:instrText>
      </w:r>
      <w:r>
        <w:fldChar w:fldCharType="separate"/>
      </w:r>
      <w:r>
        <w:t>89</w:t>
      </w:r>
      <w:r>
        <w:fldChar w:fldCharType="end"/>
      </w:r>
    </w:p>
    <w:p>
      <w:pPr>
        <w:pStyle w:val="TOC8"/>
        <w:rPr>
          <w:rFonts w:asciiTheme="minorHAnsi" w:eastAsiaTheme="minorEastAsia" w:hAnsiTheme="minorHAnsi" w:cstheme="minorBidi"/>
          <w:szCs w:val="22"/>
        </w:rPr>
      </w:pPr>
      <w:r>
        <w:t>52BE.</w:t>
      </w:r>
      <w:r>
        <w:tab/>
        <w:t>Modified procedure: opting in and ceasing</w:t>
      </w:r>
      <w:r>
        <w:tab/>
      </w:r>
      <w:r>
        <w:fldChar w:fldCharType="begin"/>
      </w:r>
      <w:r>
        <w:instrText xml:space="preserve"> PAGEREF _Toc179466618 \h </w:instrText>
      </w:r>
      <w:r>
        <w:fldChar w:fldCharType="separate"/>
      </w:r>
      <w:r>
        <w:t>90</w:t>
      </w:r>
      <w:r>
        <w:fldChar w:fldCharType="end"/>
      </w:r>
    </w:p>
    <w:p>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_Toc179466619 \h </w:instrText>
      </w:r>
      <w:r>
        <w:fldChar w:fldCharType="separate"/>
      </w:r>
      <w:r>
        <w:t>91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Electrical installing work other than by electrical contractors etc., unlicensed persons not to be employed, engaged etc.</w:t>
      </w:r>
      <w:r>
        <w:tab/>
      </w:r>
      <w:r>
        <w:fldChar w:fldCharType="begin"/>
      </w:r>
      <w:r>
        <w:instrText xml:space="preserve"> PAGEREF _Toc179466620 \h </w:instrText>
      </w:r>
      <w:r>
        <w:fldChar w:fldCharType="separate"/>
      </w:r>
      <w:r>
        <w:t>91</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Further inspection fee, when payable</w:t>
      </w:r>
      <w:r>
        <w:tab/>
      </w:r>
      <w:r>
        <w:fldChar w:fldCharType="begin"/>
      </w:r>
      <w:r>
        <w:instrText xml:space="preserve"> PAGEREF _Toc179466621 \h </w:instrText>
      </w:r>
      <w:r>
        <w:fldChar w:fldCharType="separate"/>
      </w:r>
      <w:r>
        <w:t>92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Notices of completion and certain records, signing of</w:t>
      </w:r>
      <w:r>
        <w:tab/>
      </w:r>
      <w:r>
        <w:fldChar w:fldCharType="begin"/>
      </w:r>
      <w:r>
        <w:instrText xml:space="preserve"> PAGEREF _Toc179466622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Regulation of electrical work on energised electrical installations</w:t>
      </w:r>
    </w:p>
    <w:p>
      <w:pPr>
        <w:pStyle w:val="TOC8"/>
        <w:rPr>
          <w:rFonts w:asciiTheme="minorHAnsi" w:eastAsiaTheme="minorEastAsia" w:hAnsiTheme="minorHAnsi" w:cstheme="minorBidi"/>
          <w:szCs w:val="22"/>
        </w:rPr>
      </w:pPr>
      <w:r>
        <w:t>54A.</w:t>
      </w:r>
      <w:r>
        <w:tab/>
        <w:t>Interpretation</w:t>
      </w:r>
      <w:r>
        <w:tab/>
      </w:r>
      <w:r>
        <w:fldChar w:fldCharType="begin"/>
      </w:r>
      <w:r>
        <w:instrText xml:space="preserve"> PAGEREF _Toc179466624 \h </w:instrText>
      </w:r>
      <w:r>
        <w:fldChar w:fldCharType="separate"/>
      </w:r>
      <w:r>
        <w:t>94</w:t>
      </w:r>
      <w:r>
        <w:fldChar w:fldCharType="end"/>
      </w:r>
    </w:p>
    <w:p>
      <w:pPr>
        <w:pStyle w:val="TOC8"/>
        <w:rPr>
          <w:rFonts w:asciiTheme="minorHAnsi" w:eastAsiaTheme="minorEastAsia" w:hAnsiTheme="minorHAnsi" w:cstheme="minorBidi"/>
          <w:szCs w:val="22"/>
        </w:rPr>
      </w:pPr>
      <w:r>
        <w:lastRenderedPageBreak/>
        <w:t>54B.</w:t>
      </w:r>
      <w:r>
        <w:tab/>
        <w:t>Application of regulation 55 in relation to certain network operators</w:t>
      </w:r>
      <w:r>
        <w:tab/>
      </w:r>
      <w:r>
        <w:fldChar w:fldCharType="begin"/>
      </w:r>
      <w:r>
        <w:instrText xml:space="preserve"> PAGEREF _Toc179466625 \h </w:instrText>
      </w:r>
      <w:r>
        <w:fldChar w:fldCharType="separate"/>
      </w:r>
      <w:r>
        <w:t>95</w:t>
      </w:r>
      <w:r>
        <w:fldChar w:fldCharType="end"/>
      </w:r>
    </w:p>
    <w:p>
      <w:pPr>
        <w:pStyle w:val="TOC8"/>
        <w:rPr>
          <w:rFonts w:asciiTheme="minorHAnsi" w:eastAsiaTheme="minorEastAsia" w:hAnsiTheme="minorHAnsi" w:cstheme="minorBidi"/>
          <w:szCs w:val="22"/>
        </w:rPr>
      </w:pPr>
      <w:r>
        <w:t>55.</w:t>
      </w:r>
      <w:r>
        <w:tab/>
        <w:t>Electrical work on or near energised electrical installations</w:t>
      </w:r>
      <w:r>
        <w:tab/>
      </w:r>
      <w:r>
        <w:fldChar w:fldCharType="begin"/>
      </w:r>
      <w:r>
        <w:instrText xml:space="preserve"> PAGEREF _Toc179466626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56</w:t>
      </w:r>
      <w:r>
        <w:rPr>
          <w:snapToGrid w:val="0"/>
        </w:rPr>
        <w:t>.</w:t>
      </w:r>
      <w:r>
        <w:rPr>
          <w:snapToGrid w:val="0"/>
        </w:rPr>
        <w:tab/>
        <w:t>Register of licence holders</w:t>
      </w:r>
      <w:r>
        <w:tab/>
      </w:r>
      <w:r>
        <w:fldChar w:fldCharType="begin"/>
      </w:r>
      <w:r>
        <w:instrText xml:space="preserve"> PAGEREF _Toc179466628 \h </w:instrText>
      </w:r>
      <w:r>
        <w:fldChar w:fldCharType="separate"/>
      </w:r>
      <w:r>
        <w:t>98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Employers to keep record of licence holders employed</w:t>
      </w:r>
      <w:r>
        <w:tab/>
      </w:r>
      <w:r>
        <w:fldChar w:fldCharType="begin"/>
      </w:r>
      <w:r>
        <w:instrText xml:space="preserve"> PAGEREF _Toc179466629 \h </w:instrText>
      </w:r>
      <w:r>
        <w:fldChar w:fldCharType="separate"/>
      </w:r>
      <w:r>
        <w:t>98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require holder to produce licence etc. for inspection</w:t>
      </w:r>
      <w:r>
        <w:tab/>
      </w:r>
      <w:r>
        <w:fldChar w:fldCharType="begin"/>
      </w:r>
      <w:r>
        <w:instrText xml:space="preserve"> PAGEREF _Toc179466630 \h </w:instrText>
      </w:r>
      <w:r>
        <w:fldChar w:fldCharType="separate"/>
      </w:r>
      <w:r>
        <w:t>99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Offences related to licensing</w:t>
      </w:r>
      <w:r>
        <w:tab/>
      </w:r>
      <w:r>
        <w:fldChar w:fldCharType="begin"/>
      </w:r>
      <w:r>
        <w:instrText xml:space="preserve"> PAGEREF _Toc179466631 \h </w:instrText>
      </w:r>
      <w:r>
        <w:fldChar w:fldCharType="separate"/>
      </w:r>
      <w:r>
        <w:t>99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licence or permit document</w:t>
      </w:r>
      <w:r>
        <w:tab/>
      </w:r>
      <w:r>
        <w:fldChar w:fldCharType="begin"/>
      </w:r>
      <w:r>
        <w:instrText xml:space="preserve"> PAGEREF _Toc179466632 \h </w:instrText>
      </w:r>
      <w:r>
        <w:fldChar w:fldCharType="separate"/>
      </w:r>
      <w:r>
        <w:t>100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etc. to be returned to Board if suspended etc.</w:t>
      </w:r>
      <w:r>
        <w:tab/>
      </w:r>
      <w:r>
        <w:fldChar w:fldCharType="begin"/>
      </w:r>
      <w:r>
        <w:instrText xml:space="preserve"> PAGEREF _Toc179466633 \h </w:instrText>
      </w:r>
      <w:r>
        <w:fldChar w:fldCharType="separate"/>
      </w:r>
      <w:r>
        <w:t>101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Unsafe electrical installations, electrical workers to report</w:t>
      </w:r>
      <w:r>
        <w:tab/>
      </w:r>
      <w:r>
        <w:fldChar w:fldCharType="begin"/>
      </w:r>
      <w:r>
        <w:instrText xml:space="preserve"> PAGEREF _Toc179466634 \h </w:instrText>
      </w:r>
      <w:r>
        <w:fldChar w:fldCharType="separate"/>
      </w:r>
      <w:r>
        <w:t>101</w:t>
      </w:r>
      <w:r>
        <w:fldChar w:fldCharType="end"/>
      </w:r>
    </w:p>
    <w:p>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_Toc179466635 \h </w:instrText>
      </w:r>
      <w:r>
        <w:fldChar w:fldCharType="separate"/>
      </w:r>
      <w:r>
        <w:t>102</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Interfering with scene of electrical accident</w:t>
      </w:r>
      <w:r>
        <w:tab/>
      </w:r>
      <w:r>
        <w:fldChar w:fldCharType="begin"/>
      </w:r>
      <w:r>
        <w:instrText xml:space="preserve"> PAGEREF _Toc179466636 \h </w:instrText>
      </w:r>
      <w:r>
        <w:fldChar w:fldCharType="separate"/>
      </w:r>
      <w:r>
        <w:t>103</w:t>
      </w:r>
      <w:r>
        <w:fldChar w:fldCharType="end"/>
      </w:r>
    </w:p>
    <w:p>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_Toc179466637 \h </w:instrText>
      </w:r>
      <w:r>
        <w:fldChar w:fldCharType="separate"/>
      </w:r>
      <w:r>
        <w:t>104</w:t>
      </w:r>
      <w:r>
        <w:fldChar w:fldCharType="end"/>
      </w:r>
    </w:p>
    <w:p>
      <w:pPr>
        <w:pStyle w:val="TOC8"/>
        <w:rPr>
          <w:rFonts w:asciiTheme="minorHAnsi" w:eastAsiaTheme="minorEastAsia" w:hAnsiTheme="minorHAnsi" w:cstheme="minorBidi"/>
          <w:szCs w:val="22"/>
        </w:rPr>
      </w:pPr>
      <w:r>
        <w:t>64.</w:t>
      </w:r>
      <w:r>
        <w:tab/>
        <w:t>Fees</w:t>
      </w:r>
      <w:r>
        <w:tab/>
      </w:r>
      <w:r>
        <w:fldChar w:fldCharType="begin"/>
      </w:r>
      <w:r>
        <w:instrText xml:space="preserve"> PAGEREF _Toc179466638 \h </w:instrText>
      </w:r>
      <w:r>
        <w:fldChar w:fldCharType="separate"/>
      </w:r>
      <w:r>
        <w:t>104</w:t>
      </w:r>
      <w:r>
        <w:fldChar w:fldCharType="end"/>
      </w:r>
    </w:p>
    <w:p>
      <w:pPr>
        <w:pStyle w:val="TOC8"/>
        <w:rPr>
          <w:rFonts w:asciiTheme="minorHAnsi" w:eastAsiaTheme="minorEastAsia" w:hAnsiTheme="minorHAnsi" w:cstheme="minorBidi"/>
          <w:szCs w:val="22"/>
        </w:rPr>
      </w:pPr>
      <w:r>
        <w:t>64A.</w:t>
      </w:r>
      <w:r>
        <w:tab/>
        <w:t>Refund of registration fee</w:t>
      </w:r>
      <w:r>
        <w:tab/>
      </w:r>
      <w:r>
        <w:fldChar w:fldCharType="begin"/>
      </w:r>
      <w:r>
        <w:instrText xml:space="preserve"> PAGEREF _Toc179466639 \h </w:instrText>
      </w:r>
      <w:r>
        <w:fldChar w:fldCharType="separate"/>
      </w:r>
      <w:r>
        <w:t>104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General offence and penalty</w:t>
      </w:r>
      <w:r>
        <w:tab/>
      </w:r>
      <w:r>
        <w:fldChar w:fldCharType="begin"/>
      </w:r>
      <w:r>
        <w:instrText xml:space="preserve"> PAGEREF _Toc179466640 \h </w:instrText>
      </w:r>
      <w:r>
        <w:fldChar w:fldCharType="separate"/>
      </w:r>
      <w:r>
        <w:t>105</w:t>
      </w:r>
      <w:r>
        <w:fldChar w:fldCharType="end"/>
      </w:r>
    </w:p>
    <w:p>
      <w:pPr>
        <w:pStyle w:val="TOC8"/>
        <w:rPr>
          <w:rFonts w:asciiTheme="minorHAnsi" w:eastAsiaTheme="minorEastAsia" w:hAnsiTheme="minorHAnsi" w:cstheme="minorBidi"/>
          <w:szCs w:val="22"/>
        </w:rPr>
      </w:pPr>
      <w:r>
        <w:t>65A.</w:t>
      </w:r>
      <w:r>
        <w:tab/>
        <w:t>Offences by members of firms</w:t>
      </w:r>
      <w:r>
        <w:tab/>
      </w:r>
      <w:r>
        <w:fldChar w:fldCharType="begin"/>
      </w:r>
      <w:r>
        <w:instrText xml:space="preserve"> PAGEREF _Toc179466641 \h </w:instrText>
      </w:r>
      <w:r>
        <w:fldChar w:fldCharType="separate"/>
      </w:r>
      <w:r>
        <w:t>105</w:t>
      </w:r>
      <w:r>
        <w:fldChar w:fldCharType="end"/>
      </w:r>
    </w:p>
    <w:p>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_Toc179466642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Standards for electrical work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_Toc179466646 \h </w:instrText>
      </w:r>
      <w:r>
        <w:fldChar w:fldCharType="separate"/>
      </w:r>
      <w:r>
        <w:t>114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_Toc179466647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Electricity Act 1945</w:t>
      </w:r>
    </w:p>
    <w:p>
      <w:pPr>
        <w:pStyle w:val="NameofActReg"/>
        <w:spacing w:after="720"/>
      </w:pPr>
      <w:r>
        <w:t>Electricity (Licensing) Regulations 1991</w:t>
      </w:r>
    </w:p>
    <w:p>
      <w:pPr>
        <w:pStyle w:val="Heading2"/>
        <w:keepNext w:val="0"/>
        <w:pageBreakBefore w:val="0"/>
        <w:spacing w:before="240"/>
      </w:pPr>
      <w:bookmarkStart w:id="2" w:name="_Toc179464395"/>
      <w:bookmarkStart w:id="3" w:name="_Toc179465316"/>
      <w:bookmarkStart w:id="4" w:name="_Toc179466413"/>
      <w:bookmarkStart w:id="5" w:name="_Toc179466531"/>
      <w:r>
        <w:rPr>
          <w:rStyle w:val="CharPartNo"/>
        </w:rPr>
        <w:t>Part 1</w:t>
      </w:r>
      <w:r>
        <w:rPr>
          <w:rStyle w:val="CharDivNo"/>
        </w:rPr>
        <w:t> </w:t>
      </w:r>
      <w:r>
        <w:t>— </w:t>
      </w:r>
      <w:r>
        <w:rPr>
          <w:rStyle w:val="CharPartText"/>
        </w:rPr>
        <w:t>Preliminary</w:t>
      </w:r>
      <w:bookmarkEnd w:id="2"/>
      <w:bookmarkEnd w:id="3"/>
      <w:bookmarkEnd w:id="4"/>
      <w:bookmarkEnd w:id="5"/>
    </w:p>
    <w:p>
      <w:pPr>
        <w:pStyle w:val="Heading5"/>
        <w:spacing w:before="180"/>
        <w:rPr>
          <w:snapToGrid w:val="0"/>
        </w:rPr>
      </w:pPr>
      <w:bookmarkStart w:id="6" w:name="_Toc179466532"/>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pPr>
        <w:pStyle w:val="Heading5"/>
        <w:spacing w:before="180"/>
        <w:rPr>
          <w:snapToGrid w:val="0"/>
        </w:rPr>
      </w:pPr>
      <w:bookmarkStart w:id="7" w:name="_Toc179466533"/>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8" w:name="_Toc179466534"/>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apprentice</w:t>
      </w:r>
      <w:r>
        <w:t xml:space="preserve"> has the meaning given in the </w:t>
      </w:r>
      <w:r>
        <w:rPr>
          <w:i/>
          <w:iCs/>
        </w:rPr>
        <w:t>Vocational Education and Training Act 1996</w:t>
      </w:r>
      <w:r>
        <w:t xml:space="preserve"> section 60A;</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lastRenderedPageBreak/>
        <w:tab/>
      </w:r>
      <w:r>
        <w:rPr>
          <w:rStyle w:val="CharDefText"/>
        </w:rPr>
        <w:t>chairperson</w:t>
      </w:r>
      <w:r>
        <w:t xml:space="preserve"> means the person appointed under regulation 5(1)(a) to be chairperson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tab/>
      </w:r>
      <w:r>
        <w:rPr>
          <w:rStyle w:val="CharDefText"/>
        </w:rPr>
        <w:t>department</w:t>
      </w:r>
      <w:r>
        <w:t xml:space="preserve"> means the department of the Public Service principally assisting in the administration of the Act;</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keepNex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lastRenderedPageBreak/>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xml:space="preserve">, in relation to any wire or other object, means having, under normal conditions of operation, a potential difference between </w:t>
      </w:r>
      <w:r>
        <w:lastRenderedPageBreak/>
        <w:t>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tab/>
      </w:r>
      <w:r>
        <w:rPr>
          <w:rStyle w:val="CharDefText"/>
        </w:rPr>
        <w:t xml:space="preserve">mine </w:t>
      </w:r>
      <w:r>
        <w:t xml:space="preserve">has the meaning given in the </w:t>
      </w:r>
      <w:r>
        <w:rPr>
          <w:i/>
        </w:rPr>
        <w:t>Work Health and Safety (Mines) Regulations 2022</w:t>
      </w:r>
      <w:r>
        <w:t xml:space="preserve"> regulation 5A;</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keepLines/>
      </w:pPr>
      <w:r>
        <w:tab/>
      </w:r>
      <w:r>
        <w:rPr>
          <w:rStyle w:val="CharDefText"/>
        </w:rPr>
        <w:t>prescribed policy of insurance</w:t>
      </w:r>
      <w:r>
        <w:t xml:space="preserve"> means the policy of insurance required to be held under regulation 36(1)(c), (2)(c) and (3)(c);</w:t>
      </w:r>
    </w:p>
    <w:p>
      <w:pPr>
        <w:pStyle w:val="Defstart"/>
      </w:pPr>
      <w:r>
        <w:rPr>
          <w:b/>
        </w:rPr>
        <w:lastRenderedPageBreak/>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2 Oct 2018 p. 3793; SL 2020/196 r. 22; SL 2021/86 r. 28; SL 2022/26 r. 9; SL 2022/36 r. 4; SL 2022/115 r. 8.] </w:t>
      </w:r>
    </w:p>
    <w:p>
      <w:pPr>
        <w:pStyle w:val="Heading5"/>
        <w:spacing w:before="180"/>
      </w:pPr>
      <w:bookmarkStart w:id="9" w:name="_Toc179466535"/>
      <w:r>
        <w:rPr>
          <w:rStyle w:val="CharSectno"/>
        </w:rPr>
        <w:t>4A</w:t>
      </w:r>
      <w:r>
        <w:t>.</w:t>
      </w:r>
      <w:r>
        <w:tab/>
        <w:t>Term used: electrical work</w:t>
      </w:r>
      <w:bookmarkEnd w:id="9"/>
    </w:p>
    <w:p>
      <w:pPr>
        <w:pStyle w:val="Subsection"/>
        <w:keepNext/>
      </w:pPr>
      <w:r>
        <w:tab/>
        <w:t>(1)</w:t>
      </w:r>
      <w:r>
        <w:tab/>
        <w:t xml:space="preserve">In these regulations — </w:t>
      </w:r>
    </w:p>
    <w:p>
      <w:pPr>
        <w:pStyle w:val="Defstart"/>
        <w:keepNext/>
      </w:pPr>
      <w:r>
        <w:tab/>
      </w:r>
      <w:r>
        <w:rPr>
          <w:rStyle w:val="CharDefText"/>
        </w:rPr>
        <w:t>electrical work</w:t>
      </w:r>
      <w:r>
        <w:t xml:space="preserve"> means —</w:t>
      </w:r>
    </w:p>
    <w:p>
      <w:pPr>
        <w:pStyle w:val="Defpara"/>
        <w:keepNext/>
      </w:pPr>
      <w:r>
        <w:tab/>
        <w:t>(a)</w:t>
      </w:r>
      <w:r>
        <w:tab/>
        <w:t xml:space="preserve">work — </w:t>
      </w:r>
    </w:p>
    <w:p>
      <w:pPr>
        <w:pStyle w:val="Defsubpara"/>
      </w:pPr>
      <w:r>
        <w:tab/>
        <w:t>(i)</w:t>
      </w:r>
      <w:r>
        <w:tab/>
        <w:t>on electrical machines or instruments; or</w:t>
      </w:r>
    </w:p>
    <w:p>
      <w:pPr>
        <w:pStyle w:val="Defsubpara"/>
      </w:pPr>
      <w:r>
        <w:lastRenderedPageBreak/>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10" w:name="_Toc179466536"/>
      <w:r>
        <w:rPr>
          <w:rStyle w:val="CharSectno"/>
        </w:rPr>
        <w:t>4AA</w:t>
      </w:r>
      <w:r>
        <w:t>.</w:t>
      </w:r>
      <w:r>
        <w:tab/>
        <w:t>Term used: private generating plant</w:t>
      </w:r>
      <w:bookmarkEnd w:id="10"/>
    </w:p>
    <w:p>
      <w:pPr>
        <w:pStyle w:val="Subsection"/>
      </w:pPr>
      <w:r>
        <w:rPr>
          <w:b/>
        </w:rPr>
        <w:tab/>
      </w:r>
      <w:r>
        <w:t>(1)</w:t>
      </w:r>
      <w:r>
        <w:rPr>
          <w:b/>
        </w:rPr>
        <w:tab/>
      </w:r>
      <w:r>
        <w:t xml:space="preserve">In these regulations — </w:t>
      </w:r>
    </w:p>
    <w:p>
      <w:pPr>
        <w:pStyle w:val="Defstart"/>
        <w:keepNext/>
      </w:pPr>
      <w:r>
        <w:tab/>
      </w:r>
      <w:r>
        <w:rPr>
          <w:rStyle w:val="CharDefText"/>
        </w:rPr>
        <w:t>private generating plant</w:t>
      </w:r>
      <w:r>
        <w:t xml:space="preserve"> means generating works that are for the generation of electricity at a nominal pressure exceeding </w:t>
      </w:r>
      <w:r>
        <w:lastRenderedPageBreak/>
        <w:t xml:space="preserve">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11" w:name="_Toc179464401"/>
      <w:bookmarkStart w:id="12" w:name="_Toc179465322"/>
      <w:bookmarkStart w:id="13" w:name="_Toc179466419"/>
      <w:bookmarkStart w:id="14" w:name="_Toc179466537"/>
      <w:r>
        <w:rPr>
          <w:rStyle w:val="CharPartNo"/>
        </w:rPr>
        <w:lastRenderedPageBreak/>
        <w:t>Part 2</w:t>
      </w:r>
      <w:r>
        <w:t> — </w:t>
      </w:r>
      <w:r>
        <w:rPr>
          <w:rStyle w:val="CharPartText"/>
        </w:rPr>
        <w:t>The Electrical Licensing Board</w:t>
      </w:r>
      <w:bookmarkEnd w:id="11"/>
      <w:bookmarkEnd w:id="12"/>
      <w:bookmarkEnd w:id="13"/>
      <w:bookmarkEnd w:id="14"/>
      <w:r>
        <w:rPr>
          <w:rStyle w:val="CharPartText"/>
        </w:rPr>
        <w:t xml:space="preserve"> </w:t>
      </w:r>
    </w:p>
    <w:p>
      <w:pPr>
        <w:pStyle w:val="Heading3"/>
        <w:rPr>
          <w:snapToGrid w:val="0"/>
        </w:rPr>
      </w:pPr>
      <w:bookmarkStart w:id="15" w:name="_Toc179464402"/>
      <w:bookmarkStart w:id="16" w:name="_Toc179465323"/>
      <w:bookmarkStart w:id="17" w:name="_Toc179466420"/>
      <w:bookmarkStart w:id="18" w:name="_Toc179466538"/>
      <w:r>
        <w:rPr>
          <w:rStyle w:val="CharDivNo"/>
        </w:rPr>
        <w:t>Division 1</w:t>
      </w:r>
      <w:r>
        <w:rPr>
          <w:snapToGrid w:val="0"/>
        </w:rPr>
        <w:t> — </w:t>
      </w:r>
      <w:r>
        <w:rPr>
          <w:rStyle w:val="CharDivText"/>
        </w:rPr>
        <w:t>The Board</w:t>
      </w:r>
      <w:bookmarkEnd w:id="15"/>
      <w:bookmarkEnd w:id="16"/>
      <w:bookmarkEnd w:id="17"/>
      <w:bookmarkEnd w:id="18"/>
      <w:r>
        <w:rPr>
          <w:rStyle w:val="CharDivText"/>
        </w:rPr>
        <w:t xml:space="preserve"> </w:t>
      </w:r>
    </w:p>
    <w:p>
      <w:pPr>
        <w:pStyle w:val="Heading5"/>
        <w:rPr>
          <w:snapToGrid w:val="0"/>
        </w:rPr>
      </w:pPr>
      <w:bookmarkStart w:id="19" w:name="_Toc179466539"/>
      <w:r>
        <w:rPr>
          <w:rStyle w:val="CharSectno"/>
        </w:rPr>
        <w:t>4</w:t>
      </w:r>
      <w:r>
        <w:rPr>
          <w:snapToGrid w:val="0"/>
        </w:rPr>
        <w:t>.</w:t>
      </w:r>
      <w:r>
        <w:rPr>
          <w:snapToGrid w:val="0"/>
        </w:rPr>
        <w:tab/>
        <w:t>Board established</w:t>
      </w:r>
      <w:bookmarkEnd w:id="19"/>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20" w:name="_Toc179466540"/>
      <w:r>
        <w:rPr>
          <w:rStyle w:val="CharSectno"/>
        </w:rPr>
        <w:t>5</w:t>
      </w:r>
      <w:r>
        <w:rPr>
          <w:snapToGrid w:val="0"/>
        </w:rPr>
        <w:t>.</w:t>
      </w:r>
      <w:r>
        <w:rPr>
          <w:snapToGrid w:val="0"/>
        </w:rPr>
        <w:tab/>
        <w:t>Membership</w:t>
      </w:r>
      <w:bookmarkEnd w:id="20"/>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 xml:space="preserve">one shall be a person appointed to be </w:t>
      </w:r>
      <w:r>
        <w:t>chairperson;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keepNext/>
      </w:pPr>
      <w:r>
        <w:lastRenderedPageBreak/>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tab/>
        <w:t>(d)</w:t>
      </w:r>
      <w:r>
        <w:tab/>
      </w:r>
      <w:r>
        <w:rPr>
          <w:snapToGrid w:val="0"/>
        </w:rPr>
        <w:t>a person shall not be appointed under subregulation (1)(d) unless that person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keepNext/>
        <w:spacing w:before="60"/>
      </w:pPr>
      <w:r>
        <w:lastRenderedPageBreak/>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Subsection"/>
        <w:keepNext/>
      </w:pPr>
      <w:r>
        <w:tab/>
        <w:t>(3)</w:t>
      </w:r>
      <w:r>
        <w:tab/>
        <w:t>For the purposes of subregulation (2)(d)(ii) —</w:t>
      </w:r>
    </w:p>
    <w:p>
      <w:pPr>
        <w:pStyle w:val="Indenta"/>
      </w:pPr>
      <w:r>
        <w:tab/>
        <w:t>(a)</w:t>
      </w:r>
      <w:r>
        <w:tab/>
        <w:t>a person is taken to be the holder of a licence issued under Part 4 if the person is a partner in a firm, or an officer of a body corporate, that holds a licence issued under Part 4; and</w:t>
      </w:r>
    </w:p>
    <w:p>
      <w:pPr>
        <w:pStyle w:val="Indenta"/>
        <w:keepNext/>
      </w:pPr>
      <w:r>
        <w:tab/>
        <w:t>(b)</w:t>
      </w:r>
      <w:r>
        <w:tab/>
        <w:t>a person is taken to have been the holder of a licence issued under Part 4 if the person was a partner in a firm, or an officer of a body corporate, at a time when the firm or body corporate held a licence under Part 4.</w:t>
      </w:r>
    </w:p>
    <w:p>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SL 2022/36 r. 5.] </w:t>
      </w:r>
    </w:p>
    <w:p>
      <w:pPr>
        <w:pStyle w:val="Heading5"/>
        <w:spacing w:before="180"/>
      </w:pPr>
      <w:bookmarkStart w:id="21" w:name="_Toc179466541"/>
      <w:r>
        <w:rPr>
          <w:rStyle w:val="CharSectno"/>
        </w:rPr>
        <w:t>6</w:t>
      </w:r>
      <w:r>
        <w:t>.</w:t>
      </w:r>
      <w:r>
        <w:tab/>
        <w:t>Appointments under r. 5(1)(b) to (fa), procedure for making</w:t>
      </w:r>
      <w:bookmarkEnd w:id="21"/>
    </w:p>
    <w:p>
      <w:pPr>
        <w:pStyle w:val="Subsection"/>
        <w:keepNext/>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pPr>
      <w:r>
        <w:tab/>
        <w:t>(b)</w:t>
      </w:r>
      <w:r>
        <w:tab/>
        <w:t xml:space="preserve">either — </w:t>
      </w:r>
    </w:p>
    <w:p>
      <w:pPr>
        <w:pStyle w:val="Indenti"/>
      </w:pPr>
      <w:r>
        <w:tab/>
        <w:t>(i)</w:t>
      </w:r>
      <w:r>
        <w:tab/>
        <w:t>each body has submitted those names; or</w:t>
      </w:r>
    </w:p>
    <w:p>
      <w:pPr>
        <w:pStyle w:val="Indenti"/>
        <w:keepNext/>
        <w:spacing w:before="40"/>
      </w:pPr>
      <w:r>
        <w:lastRenderedPageBreak/>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keepNext/>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keepNext/>
        <w:spacing w:before="140"/>
      </w:pPr>
      <w:r>
        <w:tab/>
        <w:t>(5)</w:t>
      </w:r>
      <w:r>
        <w:tab/>
        <w:t xml:space="preserve">If, in response to an invitation published under subregulation (2) — </w:t>
      </w:r>
    </w:p>
    <w:p>
      <w:pPr>
        <w:pStyle w:val="Indenta"/>
      </w:pPr>
      <w:r>
        <w:tab/>
        <w:t>(a)</w:t>
      </w:r>
      <w:r>
        <w:tab/>
        <w:t>no person applies; or</w:t>
      </w:r>
    </w:p>
    <w:p>
      <w:pPr>
        <w:pStyle w:val="Indenta"/>
        <w:keepNext/>
      </w:pPr>
      <w:r>
        <w:lastRenderedPageBreak/>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Gazette 24 Oct 2003 p. 4497</w:t>
      </w:r>
      <w:r>
        <w:noBreakHyphen/>
        <w:t>8.]</w:t>
      </w:r>
    </w:p>
    <w:p>
      <w:pPr>
        <w:pStyle w:val="Heading5"/>
        <w:rPr>
          <w:snapToGrid w:val="0"/>
        </w:rPr>
      </w:pPr>
      <w:bookmarkStart w:id="22" w:name="_Toc179466542"/>
      <w:r>
        <w:rPr>
          <w:rStyle w:val="CharSectno"/>
        </w:rPr>
        <w:t>7</w:t>
      </w:r>
      <w:r>
        <w:rPr>
          <w:snapToGrid w:val="0"/>
        </w:rPr>
        <w:t>.</w:t>
      </w:r>
      <w:r>
        <w:rPr>
          <w:snapToGrid w:val="0"/>
        </w:rPr>
        <w:tab/>
        <w:t>Term of office</w:t>
      </w:r>
      <w:bookmarkEnd w:id="22"/>
      <w:r>
        <w:rPr>
          <w:snapToGrid w:val="0"/>
        </w:rPr>
        <w:t xml:space="preserve"> </w:t>
      </w:r>
    </w:p>
    <w:p>
      <w:pPr>
        <w:pStyle w:val="Subsection"/>
        <w:spacing w:before="120"/>
        <w:rPr>
          <w:snapToGrid w:val="0"/>
        </w:rPr>
      </w:pPr>
      <w:r>
        <w:rPr>
          <w:snapToGrid w:val="0"/>
        </w:rPr>
        <w:tab/>
      </w:r>
      <w:r>
        <w:t>(1)</w:t>
      </w:r>
      <w:r>
        <w:tab/>
        <w:t xml:space="preserve">Subject </w:t>
      </w:r>
      <w:r>
        <w:rPr>
          <w:snapToGrid w:val="0"/>
        </w:rPr>
        <w:t xml:space="preserve">to these regulations a member of the Board holds office for such period not exceeding 3 years as is specified in the instrument of </w:t>
      </w:r>
      <w:r>
        <w:t xml:space="preserve">their </w:t>
      </w:r>
      <w:r>
        <w:rPr>
          <w:snapToGrid w:val="0"/>
        </w:rPr>
        <w:t xml:space="preserve">appointment and is eligible for </w:t>
      </w:r>
      <w:r>
        <w:t>reappointment.</w:t>
      </w:r>
    </w:p>
    <w:p>
      <w:pPr>
        <w:pStyle w:val="Subsection"/>
        <w:keepNext/>
        <w:rPr>
          <w:snapToGrid w:val="0"/>
        </w:rPr>
      </w:pPr>
      <w:r>
        <w:rPr>
          <w:snapToGrid w:val="0"/>
        </w:rPr>
        <w:tab/>
        <w:t>(2)</w:t>
      </w:r>
      <w:r>
        <w:rPr>
          <w:snapToGrid w:val="0"/>
        </w:rPr>
        <w:tab/>
        <w:t>If the term of office of a member of the Board expires by effluxion of time without a person having been appointed to fill the vacancy, the member continues in office until the earlier of the following —</w:t>
      </w:r>
    </w:p>
    <w:p>
      <w:pPr>
        <w:pStyle w:val="Indenta"/>
        <w:rPr>
          <w:snapToGrid w:val="0"/>
        </w:rPr>
      </w:pPr>
      <w:r>
        <w:rPr>
          <w:snapToGrid w:val="0"/>
        </w:rPr>
        <w:tab/>
        <w:t>(a)</w:t>
      </w:r>
      <w:r>
        <w:rPr>
          <w:snapToGrid w:val="0"/>
        </w:rPr>
        <w:tab/>
        <w:t>the end of the period of 6 months immediately following the expiry of the term of office;</w:t>
      </w:r>
    </w:p>
    <w:p>
      <w:pPr>
        <w:pStyle w:val="Indenta"/>
        <w:rPr>
          <w:snapToGrid w:val="0"/>
        </w:rPr>
      </w:pPr>
      <w:r>
        <w:rPr>
          <w:snapToGrid w:val="0"/>
        </w:rPr>
        <w:tab/>
        <w:t>(b)</w:t>
      </w:r>
      <w:r>
        <w:rPr>
          <w:snapToGrid w:val="0"/>
        </w:rPr>
        <w:tab/>
        <w:t>the vacancy being filled (whether by the reappointment of the member or the appointment of a new member);</w:t>
      </w:r>
    </w:p>
    <w:p>
      <w:pPr>
        <w:pStyle w:val="Indenta"/>
      </w:pPr>
      <w:r>
        <w:tab/>
        <w:t>(c)</w:t>
      </w:r>
      <w:r>
        <w:tab/>
        <w:t>an acting member being appointed by the Minister under regulation 9(1)(b)(i);</w:t>
      </w:r>
    </w:p>
    <w:p>
      <w:pPr>
        <w:pStyle w:val="Indenta"/>
        <w:rPr>
          <w:snapToGrid w:val="0"/>
        </w:rPr>
      </w:pPr>
      <w:r>
        <w:rPr>
          <w:snapToGrid w:val="0"/>
        </w:rPr>
        <w:tab/>
        <w:t>(d)</w:t>
      </w:r>
      <w:r>
        <w:rPr>
          <w:snapToGrid w:val="0"/>
        </w:rPr>
        <w:tab/>
        <w:t>the member resigning under regulation 8(1);</w:t>
      </w:r>
    </w:p>
    <w:p>
      <w:pPr>
        <w:pStyle w:val="Indenta"/>
        <w:rPr>
          <w:snapToGrid w:val="0"/>
        </w:rPr>
      </w:pPr>
      <w:r>
        <w:rPr>
          <w:snapToGrid w:val="0"/>
        </w:rPr>
        <w:tab/>
        <w:t>(e)</w:t>
      </w:r>
      <w:r>
        <w:rPr>
          <w:snapToGrid w:val="0"/>
        </w:rPr>
        <w:tab/>
        <w:t>the member being removed from office under regulation 8(2) or (3);</w:t>
      </w:r>
    </w:p>
    <w:p>
      <w:pPr>
        <w:pStyle w:val="Indenta"/>
        <w:keepNext/>
        <w:rPr>
          <w:snapToGrid w:val="0"/>
        </w:rPr>
      </w:pPr>
      <w:r>
        <w:tab/>
        <w:t>(f)</w:t>
      </w:r>
      <w:r>
        <w:tab/>
        <w:t>the member dying</w:t>
      </w:r>
      <w:r>
        <w:rPr>
          <w:snapToGrid w:val="0"/>
        </w:rPr>
        <w:t>.</w:t>
      </w:r>
    </w:p>
    <w:p>
      <w:pPr>
        <w:pStyle w:val="Footnotesection"/>
      </w:pPr>
      <w:r>
        <w:tab/>
        <w:t>[Regulation 7 amended: SL 2022/36 r. 6.]</w:t>
      </w:r>
    </w:p>
    <w:p>
      <w:pPr>
        <w:pStyle w:val="Heading5"/>
        <w:spacing w:before="180"/>
        <w:rPr>
          <w:snapToGrid w:val="0"/>
        </w:rPr>
      </w:pPr>
      <w:bookmarkStart w:id="23" w:name="_Toc179466543"/>
      <w:r>
        <w:rPr>
          <w:rStyle w:val="CharSectno"/>
        </w:rPr>
        <w:t>8</w:t>
      </w:r>
      <w:r>
        <w:rPr>
          <w:snapToGrid w:val="0"/>
        </w:rPr>
        <w:t>.</w:t>
      </w:r>
      <w:r>
        <w:rPr>
          <w:snapToGrid w:val="0"/>
        </w:rPr>
        <w:tab/>
        <w:t>Resignations and removals from office</w:t>
      </w:r>
      <w:bookmarkEnd w:id="23"/>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keepNext/>
        <w:spacing w:before="120"/>
        <w:rPr>
          <w:snapToGrid w:val="0"/>
        </w:rPr>
      </w:pPr>
      <w:r>
        <w:rPr>
          <w:snapToGrid w:val="0"/>
        </w:rPr>
        <w:lastRenderedPageBreak/>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keepNext/>
      </w:pPr>
      <w:r>
        <w:tab/>
        <w:t>(ab)</w:t>
      </w:r>
      <w:r>
        <w:tab/>
        <w:t xml:space="preserve">the member is — </w:t>
      </w:r>
    </w:p>
    <w:p>
      <w:pPr>
        <w:pStyle w:val="Indenti"/>
      </w:pPr>
      <w:r>
        <w:tab/>
        <w:t>(i)</w:t>
      </w:r>
      <w:r>
        <w:tab/>
        <w:t>a member of a firm, or otherwise concerned in the management of a firm; or</w:t>
      </w:r>
    </w:p>
    <w:p>
      <w:pPr>
        <w:pStyle w:val="Indenti"/>
        <w:keepNext/>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keepNext/>
        <w:rPr>
          <w:snapToGrid w:val="0"/>
        </w:rPr>
      </w:pPr>
      <w:r>
        <w:rPr>
          <w:snapToGrid w:val="0"/>
        </w:rPr>
        <w:tab/>
        <w:t>(4)</w:t>
      </w:r>
      <w:r>
        <w:rPr>
          <w:snapToGrid w:val="0"/>
        </w:rPr>
        <w:tab/>
        <w:t xml:space="preserve">Where a member of the Board dies or is removed from or resigns from office under this regulation the office becomes vacant </w:t>
      </w:r>
      <w:r>
        <w:t xml:space="preserve">(a </w:t>
      </w:r>
      <w:r>
        <w:rPr>
          <w:rStyle w:val="CharDefText"/>
        </w:rPr>
        <w:t>casual vacancy</w:t>
      </w:r>
      <w:r>
        <w:t xml:space="preserve">) </w:t>
      </w:r>
      <w:r>
        <w:rPr>
          <w:snapToGrid w:val="0"/>
        </w:rPr>
        <w:t xml:space="preserve">and the person appointed to fill the </w:t>
      </w:r>
      <w:r>
        <w:rPr>
          <w:snapToGrid w:val="0"/>
        </w:rPr>
        <w:lastRenderedPageBreak/>
        <w:t xml:space="preserve">vacancy </w:t>
      </w:r>
      <w:r>
        <w:t xml:space="preserve">must </w:t>
      </w:r>
      <w:r>
        <w:rPr>
          <w:snapToGrid w:val="0"/>
        </w:rPr>
        <w:t>be appointed to hold office only for the balance of the term of the member’s predecessor.</w:t>
      </w:r>
    </w:p>
    <w:p>
      <w:pPr>
        <w:pStyle w:val="Footnotesection"/>
      </w:pPr>
      <w:r>
        <w:tab/>
        <w:t>[Regulation 8 amended: Gazette 31 Dec 2007 p. 6494</w:t>
      </w:r>
      <w:r>
        <w:noBreakHyphen/>
        <w:t>5; SL 2022/36 r. 7.]</w:t>
      </w:r>
    </w:p>
    <w:p>
      <w:pPr>
        <w:pStyle w:val="Heading5"/>
        <w:rPr>
          <w:snapToGrid w:val="0"/>
        </w:rPr>
      </w:pPr>
      <w:bookmarkStart w:id="24" w:name="_Toc179466544"/>
      <w:r>
        <w:rPr>
          <w:rStyle w:val="CharSectno"/>
        </w:rPr>
        <w:t>9</w:t>
      </w:r>
      <w:r>
        <w:rPr>
          <w:snapToGrid w:val="0"/>
        </w:rPr>
        <w:t>.</w:t>
      </w:r>
      <w:r>
        <w:rPr>
          <w:snapToGrid w:val="0"/>
        </w:rPr>
        <w:tab/>
        <w:t>Acting members</w:t>
      </w:r>
      <w:bookmarkEnd w:id="24"/>
      <w:r>
        <w:rPr>
          <w:snapToGrid w:val="0"/>
        </w:rPr>
        <w:t xml:space="preserve"> </w:t>
      </w:r>
    </w:p>
    <w:p>
      <w:pPr>
        <w:pStyle w:val="Subsection"/>
        <w:keepNext/>
        <w:rPr>
          <w:snapToGrid w:val="0"/>
        </w:rPr>
      </w:pPr>
      <w:r>
        <w:rPr>
          <w:snapToGrid w:val="0"/>
        </w:rPr>
        <w:tab/>
        <w:t>(1)</w:t>
      </w:r>
      <w:r>
        <w:rPr>
          <w:snapToGrid w:val="0"/>
        </w:rPr>
        <w:tab/>
        <w:t xml:space="preserve">The Minister may appoint an eligible person to act in the place of a member of the Board (other than the chairperson) if — </w:t>
      </w:r>
    </w:p>
    <w:p>
      <w:pPr>
        <w:pStyle w:val="Indenta"/>
      </w:pPr>
      <w:r>
        <w:tab/>
        <w:t>(a)</w:t>
      </w:r>
      <w:r>
        <w:tab/>
        <w:t>the member is absent or temporarily incapable of fulfilling the duties of the member; or</w:t>
      </w:r>
    </w:p>
    <w:p>
      <w:pPr>
        <w:pStyle w:val="Indenta"/>
        <w:keepNext/>
        <w:rPr>
          <w:snapToGrid w:val="0"/>
        </w:rPr>
      </w:pPr>
      <w:r>
        <w:tab/>
        <w:t>(b)</w:t>
      </w:r>
      <w:r>
        <w:tab/>
      </w:r>
      <w:r>
        <w:rPr>
          <w:snapToGrid w:val="0"/>
        </w:rPr>
        <w:t>the office of the member is vacant due to —</w:t>
      </w:r>
    </w:p>
    <w:p>
      <w:pPr>
        <w:pStyle w:val="Indenti"/>
        <w:rPr>
          <w:snapToGrid w:val="0"/>
        </w:rPr>
      </w:pPr>
      <w:r>
        <w:rPr>
          <w:snapToGrid w:val="0"/>
        </w:rPr>
        <w:tab/>
      </w:r>
      <w:r>
        <w:t>(i)</w:t>
      </w:r>
      <w:r>
        <w:tab/>
      </w:r>
      <w:r>
        <w:rPr>
          <w:snapToGrid w:val="0"/>
        </w:rPr>
        <w:t>the expiry of the member’s term of office by effluxion of time; or</w:t>
      </w:r>
    </w:p>
    <w:p>
      <w:pPr>
        <w:pStyle w:val="Indenti"/>
        <w:rPr>
          <w:snapToGrid w:val="0"/>
        </w:rPr>
      </w:pPr>
      <w:r>
        <w:tab/>
        <w:t>(ii)</w:t>
      </w:r>
      <w:r>
        <w:tab/>
      </w:r>
      <w:r>
        <w:rPr>
          <w:snapToGrid w:val="0"/>
        </w:rPr>
        <w:t>a casual vacancy (as defined in regulation 8(4)).</w:t>
      </w:r>
    </w:p>
    <w:p>
      <w:pPr>
        <w:pStyle w:val="Subsection"/>
      </w:pPr>
      <w:r>
        <w:tab/>
        <w:t>(1A)</w:t>
      </w:r>
      <w:r>
        <w:tab/>
        <w:t xml:space="preserve">A person appointed under subregulation (1) to act in the place of a member of the Board is appointed to act during the member’s absence or incapacity, or until the vacancy in the office of the member is filled, as the case requires. </w:t>
      </w:r>
    </w:p>
    <w:p>
      <w:pPr>
        <w:pStyle w:val="Subsection"/>
        <w:rPr>
          <w:snapToGrid w:val="0"/>
        </w:rPr>
      </w:pPr>
      <w:r>
        <w:tab/>
        <w:t>(1B)</w:t>
      </w:r>
      <w:r>
        <w:tab/>
        <w:t xml:space="preserve">A person appointed under subregulation (1) to act in the place of a member of the Board has </w:t>
      </w:r>
      <w:r>
        <w:rPr>
          <w:snapToGrid w:val="0"/>
        </w:rPr>
        <w:t xml:space="preserve">all the powers, functions and duties of the member. </w:t>
      </w:r>
    </w:p>
    <w:p>
      <w:pPr>
        <w:pStyle w:val="Subsection"/>
        <w:rPr>
          <w:snapToGrid w:val="0"/>
        </w:rPr>
      </w:pPr>
      <w:r>
        <w:rPr>
          <w:snapToGrid w:val="0"/>
        </w:rPr>
        <w:tab/>
        <w:t>(2)</w:t>
      </w:r>
      <w:r>
        <w:rPr>
          <w:snapToGrid w:val="0"/>
        </w:rPr>
        <w:tab/>
        <w:t xml:space="preserve">Any reference in these regulations to a member other than the </w:t>
      </w:r>
      <w:r>
        <w:t xml:space="preserve">chairperson is to </w:t>
      </w:r>
      <w:r>
        <w:rPr>
          <w:snapToGrid w:val="0"/>
        </w:rPr>
        <w:t>be construed as including a reference to a person appointed by the Minister to act in the place of a member during any absence, temporary incapacity or vacancy.</w:t>
      </w:r>
    </w:p>
    <w:p>
      <w:pPr>
        <w:pStyle w:val="Subsection"/>
        <w:rPr>
          <w:snapToGrid w:val="0"/>
        </w:rPr>
      </w:pPr>
      <w:r>
        <w:rPr>
          <w:snapToGrid w:val="0"/>
        </w:rPr>
        <w:tab/>
        <w:t>(3)</w:t>
      </w:r>
      <w:r>
        <w:rPr>
          <w:snapToGrid w:val="0"/>
        </w:rPr>
        <w:tab/>
        <w:t xml:space="preserve">The Minister may appoint an eligible person as deputy to act in the place of the </w:t>
      </w:r>
      <w:r>
        <w:t xml:space="preserve">chairperson </w:t>
      </w:r>
      <w:r>
        <w:rPr>
          <w:snapToGrid w:val="0"/>
        </w:rPr>
        <w:t>and any such appointment has effect for such period as is specified therein and may be terminated at any time by the Minister.</w:t>
      </w:r>
    </w:p>
    <w:p>
      <w:pPr>
        <w:pStyle w:val="Subsection"/>
        <w:keepNext/>
        <w:spacing w:before="140"/>
        <w:rPr>
          <w:snapToGrid w:val="0"/>
        </w:rPr>
      </w:pPr>
      <w:r>
        <w:rPr>
          <w:snapToGrid w:val="0"/>
        </w:rPr>
        <w:tab/>
        <w:t>(4)</w:t>
      </w:r>
      <w:r>
        <w:rPr>
          <w:snapToGrid w:val="0"/>
        </w:rPr>
        <w:tab/>
        <w:t xml:space="preserve">A person appointed under subregulation (3) as deputy of the </w:t>
      </w:r>
      <w:r>
        <w:t xml:space="preserve">chairperson </w:t>
      </w:r>
      <w:r>
        <w:rPr>
          <w:snapToGrid w:val="0"/>
        </w:rPr>
        <w:t xml:space="preserve">is, in the event of the absence from a meeting of the Board of the </w:t>
      </w:r>
      <w:r>
        <w:t xml:space="preserve">chairperson, </w:t>
      </w:r>
      <w:r>
        <w:rPr>
          <w:snapToGrid w:val="0"/>
        </w:rPr>
        <w:t xml:space="preserve">entitled to attend that meeting and, </w:t>
      </w:r>
      <w:r>
        <w:rPr>
          <w:snapToGrid w:val="0"/>
        </w:rPr>
        <w:lastRenderedPageBreak/>
        <w:t xml:space="preserve">when so attending, has all the functions, entitlements and protection of the </w:t>
      </w:r>
      <w:r>
        <w:t>chairperson.</w:t>
      </w:r>
    </w:p>
    <w:p>
      <w:pPr>
        <w:pStyle w:val="Footnotesection"/>
      </w:pPr>
      <w:r>
        <w:tab/>
        <w:t>[Regulation 9 amended: SL 2022/36 r. 8.]</w:t>
      </w:r>
    </w:p>
    <w:p>
      <w:pPr>
        <w:pStyle w:val="Heading5"/>
        <w:rPr>
          <w:snapToGrid w:val="0"/>
        </w:rPr>
      </w:pPr>
      <w:bookmarkStart w:id="25" w:name="_Toc179466545"/>
      <w:r>
        <w:rPr>
          <w:rStyle w:val="CharSectno"/>
        </w:rPr>
        <w:t>10</w:t>
      </w:r>
      <w:r>
        <w:rPr>
          <w:snapToGrid w:val="0"/>
        </w:rPr>
        <w:t>.</w:t>
      </w:r>
      <w:r>
        <w:rPr>
          <w:snapToGrid w:val="0"/>
        </w:rPr>
        <w:tab/>
        <w:t>Meetings</w:t>
      </w:r>
      <w:bookmarkEnd w:id="25"/>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keepNext/>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 xml:space="preserve">the </w:t>
      </w:r>
      <w:r>
        <w:t xml:space="preserve">chairperson </w:t>
      </w:r>
      <w:r>
        <w:rPr>
          <w:snapToGrid w:val="0"/>
        </w:rPr>
        <w:t xml:space="preserve">or, where neither the </w:t>
      </w:r>
      <w:r>
        <w:t xml:space="preserve">chairperson </w:t>
      </w:r>
      <w:r>
        <w:rPr>
          <w:snapToGrid w:val="0"/>
        </w:rPr>
        <w:t xml:space="preserve">nor the deputy of the </w:t>
      </w:r>
      <w:r>
        <w:t xml:space="preserve">chairperson </w:t>
      </w:r>
      <w:r>
        <w:rPr>
          <w:snapToGrid w:val="0"/>
        </w:rPr>
        <w:t>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keepNext/>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t>9; SL 2022/36 r. 9.]</w:t>
      </w:r>
    </w:p>
    <w:p>
      <w:pPr>
        <w:pStyle w:val="Heading5"/>
        <w:rPr>
          <w:snapToGrid w:val="0"/>
        </w:rPr>
      </w:pPr>
      <w:bookmarkStart w:id="26" w:name="_Toc179466546"/>
      <w:r>
        <w:rPr>
          <w:rStyle w:val="CharSectno"/>
        </w:rPr>
        <w:t>11</w:t>
      </w:r>
      <w:r>
        <w:rPr>
          <w:snapToGrid w:val="0"/>
        </w:rPr>
        <w:t>.</w:t>
      </w:r>
      <w:r>
        <w:rPr>
          <w:snapToGrid w:val="0"/>
        </w:rPr>
        <w:tab/>
        <w:t>Procedures of Board</w:t>
      </w:r>
      <w:bookmarkEnd w:id="26"/>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27" w:name="_Toc179466547"/>
      <w:r>
        <w:rPr>
          <w:rStyle w:val="CharSectno"/>
        </w:rPr>
        <w:lastRenderedPageBreak/>
        <w:t>12</w:t>
      </w:r>
      <w:r>
        <w:rPr>
          <w:snapToGrid w:val="0"/>
        </w:rPr>
        <w:t>.</w:t>
      </w:r>
      <w:r>
        <w:rPr>
          <w:snapToGrid w:val="0"/>
        </w:rPr>
        <w:tab/>
        <w:t>Remuneration and allowances</w:t>
      </w:r>
      <w:bookmarkEnd w:id="27"/>
      <w:r>
        <w:rPr>
          <w:snapToGrid w:val="0"/>
        </w:rPr>
        <w:t xml:space="preserve"> </w:t>
      </w:r>
    </w:p>
    <w:p>
      <w:pPr>
        <w:pStyle w:val="Subsection"/>
        <w:keepNext/>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28" w:name="_Toc179466548"/>
      <w:r>
        <w:rPr>
          <w:rStyle w:val="CharSectno"/>
        </w:rPr>
        <w:t>13</w:t>
      </w:r>
      <w:r>
        <w:rPr>
          <w:snapToGrid w:val="0"/>
        </w:rPr>
        <w:t>.</w:t>
      </w:r>
      <w:r>
        <w:rPr>
          <w:snapToGrid w:val="0"/>
        </w:rPr>
        <w:tab/>
      </w:r>
      <w:r>
        <w:t>Functions of Board</w:t>
      </w:r>
      <w:bookmarkEnd w:id="28"/>
    </w:p>
    <w:p>
      <w:pPr>
        <w:pStyle w:val="Subsection"/>
        <w:keepNext/>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keepNext/>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w:t>
      </w:r>
    </w:p>
    <w:p>
      <w:pPr>
        <w:pStyle w:val="Indenta"/>
      </w:pPr>
      <w:r>
        <w:tab/>
        <w:t>(aa)</w:t>
      </w:r>
      <w:r>
        <w:tab/>
        <w:t>to advise any person, including the Minister and the Director, on the matters referred to in paragraph (a);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lastRenderedPageBreak/>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Ednotesubsection"/>
        <w:keepNext/>
      </w:pPr>
      <w:r>
        <w:tab/>
        <w:t>[(5)</w:t>
      </w:r>
      <w:r>
        <w:tab/>
        <w:t>deleted]</w:t>
      </w:r>
    </w:p>
    <w:p>
      <w:pPr>
        <w:pStyle w:val="Footnotesection"/>
      </w:pPr>
      <w:r>
        <w:tab/>
        <w:t>[Regulation 13 amended: Gazette 23 Dec 1994 p. 7134; 6 Sep 1996 p. 4411; 30 Dec 2004 p. 6990; 31 Dec 2007 p. 6495</w:t>
      </w:r>
      <w:r>
        <w:noBreakHyphen/>
        <w:t xml:space="preserve">6; SL 2022/36 r. 10.] </w:t>
      </w:r>
    </w:p>
    <w:p>
      <w:pPr>
        <w:pStyle w:val="Heading5"/>
        <w:rPr>
          <w:snapToGrid w:val="0"/>
        </w:rPr>
      </w:pPr>
      <w:bookmarkStart w:id="29" w:name="_Toc179466549"/>
      <w:r>
        <w:rPr>
          <w:rStyle w:val="CharSectno"/>
        </w:rPr>
        <w:t>14</w:t>
      </w:r>
      <w:r>
        <w:rPr>
          <w:snapToGrid w:val="0"/>
        </w:rPr>
        <w:t>.</w:t>
      </w:r>
      <w:r>
        <w:rPr>
          <w:snapToGrid w:val="0"/>
        </w:rPr>
        <w:tab/>
        <w:t>Executive officer and other officers</w:t>
      </w:r>
      <w:bookmarkEnd w:id="29"/>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keepNext/>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30" w:name="_Toc179466550"/>
      <w:r>
        <w:rPr>
          <w:rStyle w:val="CharSectno"/>
        </w:rPr>
        <w:lastRenderedPageBreak/>
        <w:t>15</w:t>
      </w:r>
      <w:r>
        <w:rPr>
          <w:rFonts w:ascii="Times" w:hAnsi="Times"/>
        </w:rPr>
        <w:t>.</w:t>
      </w:r>
      <w:r>
        <w:rPr>
          <w:rFonts w:ascii="Times" w:hAnsi="Times"/>
        </w:rPr>
        <w:tab/>
        <w:t>Protection from liability</w:t>
      </w:r>
      <w:bookmarkEnd w:id="30"/>
    </w:p>
    <w:p>
      <w:pPr>
        <w:pStyle w:val="Subsection"/>
        <w:keepNext/>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keepNext/>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31" w:name="_Toc179464415"/>
      <w:bookmarkStart w:id="32" w:name="_Toc179465336"/>
      <w:bookmarkStart w:id="33" w:name="_Toc179466433"/>
      <w:bookmarkStart w:id="34" w:name="_Toc179466551"/>
      <w:r>
        <w:rPr>
          <w:rStyle w:val="CharPartNo"/>
        </w:rPr>
        <w:lastRenderedPageBreak/>
        <w:t>Part 3</w:t>
      </w:r>
      <w:r>
        <w:t> — </w:t>
      </w:r>
      <w:r>
        <w:rPr>
          <w:rStyle w:val="CharPartText"/>
        </w:rPr>
        <w:t>Licensing of electrical workers</w:t>
      </w:r>
      <w:bookmarkEnd w:id="31"/>
      <w:bookmarkEnd w:id="32"/>
      <w:bookmarkEnd w:id="33"/>
      <w:bookmarkEnd w:id="34"/>
      <w:r>
        <w:rPr>
          <w:rStyle w:val="CharPartText"/>
        </w:rPr>
        <w:t xml:space="preserve"> </w:t>
      </w:r>
    </w:p>
    <w:p>
      <w:pPr>
        <w:pStyle w:val="Heading3"/>
      </w:pPr>
      <w:bookmarkStart w:id="35" w:name="_Toc179455527"/>
      <w:bookmarkStart w:id="36" w:name="_Toc179455606"/>
      <w:bookmarkStart w:id="37" w:name="_Toc179455767"/>
      <w:bookmarkStart w:id="38" w:name="_Toc179465337"/>
      <w:bookmarkStart w:id="39" w:name="_Toc179466434"/>
      <w:bookmarkStart w:id="40" w:name="_Toc179466552"/>
      <w:r>
        <w:rPr>
          <w:rStyle w:val="CharDivNo"/>
        </w:rPr>
        <w:t>Division 1</w:t>
      </w:r>
      <w:r>
        <w:t> — </w:t>
      </w:r>
      <w:r>
        <w:rPr>
          <w:rStyle w:val="CharDivText"/>
        </w:rPr>
        <w:t>General</w:t>
      </w:r>
      <w:bookmarkEnd w:id="35"/>
      <w:bookmarkEnd w:id="36"/>
      <w:bookmarkEnd w:id="37"/>
      <w:bookmarkEnd w:id="38"/>
      <w:bookmarkEnd w:id="39"/>
      <w:bookmarkEnd w:id="40"/>
    </w:p>
    <w:p>
      <w:pPr>
        <w:pStyle w:val="Footnoteheading"/>
      </w:pPr>
      <w:r>
        <w:tab/>
        <w:t>[Heading inserted: SL 2024/211 r. 4.]</w:t>
      </w:r>
    </w:p>
    <w:p>
      <w:pPr>
        <w:pStyle w:val="Heading5"/>
        <w:rPr>
          <w:snapToGrid w:val="0"/>
        </w:rPr>
      </w:pPr>
      <w:bookmarkStart w:id="41" w:name="_Toc179466553"/>
      <w:r>
        <w:rPr>
          <w:rStyle w:val="CharSectno"/>
        </w:rPr>
        <w:t>19</w:t>
      </w:r>
      <w:r>
        <w:rPr>
          <w:snapToGrid w:val="0"/>
        </w:rPr>
        <w:t>.</w:t>
      </w:r>
      <w:r>
        <w:rPr>
          <w:snapToGrid w:val="0"/>
        </w:rPr>
        <w:tab/>
        <w:t>Electrical work prohibited unless authorised</w:t>
      </w:r>
      <w:bookmarkEnd w:id="41"/>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relevant training contract</w:t>
      </w:r>
      <w:r>
        <w:t xml:space="preserve">, in relation to an apprentice, means a training contract, as defined in the </w:t>
      </w:r>
      <w:r>
        <w:rPr>
          <w:i/>
        </w:rPr>
        <w:t xml:space="preserve">Vocational Education and Training Act 1996 </w:t>
      </w:r>
      <w:r>
        <w:t>section 60A —</w:t>
      </w:r>
    </w:p>
    <w:p>
      <w:pPr>
        <w:pStyle w:val="Defpara"/>
      </w:pPr>
      <w:r>
        <w:tab/>
        <w:t>(a)</w:t>
      </w:r>
      <w:r>
        <w:tab/>
        <w:t>that is registered under section 60F of that Act; and</w:t>
      </w:r>
    </w:p>
    <w:p>
      <w:pPr>
        <w:pStyle w:val="Defpara"/>
      </w:pPr>
      <w:r>
        <w:tab/>
        <w:t>(b)</w:t>
      </w:r>
      <w:r>
        <w:tab/>
        <w:t>the completion of which by the apprentice would fulfil the requirements of regulation 22(1);</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keepNext/>
        <w:rPr>
          <w:snapToGrid w:val="0"/>
        </w:rPr>
      </w:pPr>
      <w:r>
        <w:rPr>
          <w:snapToGrid w:val="0"/>
        </w:rPr>
        <w:lastRenderedPageBreak/>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pPr>
      <w:r>
        <w:tab/>
        <w:t>(e)</w:t>
      </w:r>
      <w:r>
        <w:tab/>
        <w:t>to work carried out by a person authorised by the relevant network operator on —</w:t>
      </w:r>
    </w:p>
    <w:p>
      <w:pPr>
        <w:pStyle w:val="Indenti"/>
      </w:pPr>
      <w:r>
        <w:tab/>
        <w:t>(i)</w:t>
      </w:r>
      <w:r>
        <w:tab/>
      </w:r>
      <w:r>
        <w:rPr>
          <w:snapToGrid w:val="0"/>
        </w:rPr>
        <w:t xml:space="preserve">any </w:t>
      </w:r>
      <w:r>
        <w:t xml:space="preserve">service apparatus the property of a major network operator; or </w:t>
      </w:r>
    </w:p>
    <w:p>
      <w:pPr>
        <w:pStyle w:val="Indenti"/>
      </w:pPr>
      <w:r>
        <w:tab/>
        <w:t>(ii)</w:t>
      </w:r>
      <w:r>
        <w:tab/>
        <w:t xml:space="preserve">any service apparatus the property of a consumer and connected to the network of a major network operator; </w:t>
      </w:r>
    </w:p>
    <w:p>
      <w:pPr>
        <w:pStyle w:val="Indenta"/>
      </w:pPr>
      <w:r>
        <w:tab/>
      </w:r>
      <w:r>
        <w:tab/>
        <w:t>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lastRenderedPageBreak/>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keepNext/>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keepNext/>
        <w:rPr>
          <w:snapToGrid w:val="0"/>
        </w:rPr>
      </w:pPr>
      <w:r>
        <w:rPr>
          <w:snapToGrid w:val="0"/>
        </w:rPr>
        <w:lastRenderedPageBreak/>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keepNext/>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keepNext/>
      </w:pPr>
      <w:r>
        <w:tab/>
        <w:t>(o)</w:t>
      </w:r>
      <w:r>
        <w:tab/>
        <w:t xml:space="preserve">to the installation of a modular wiring system to be attached to, or included in, office furniture or partitioning if — </w:t>
      </w:r>
    </w:p>
    <w:p>
      <w:pPr>
        <w:pStyle w:val="Indenti"/>
        <w:keepNext/>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keepNext/>
        <w:keepLines/>
      </w:pPr>
      <w:r>
        <w:lastRenderedPageBreak/>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keepNext/>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keepNext/>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Indenta"/>
        <w:keepNext/>
      </w:pPr>
      <w:r>
        <w:tab/>
      </w:r>
      <w:r>
        <w:tab/>
        <w:t>or</w:t>
      </w:r>
    </w:p>
    <w:p>
      <w:pPr>
        <w:pStyle w:val="Indenta"/>
        <w:keepNext/>
        <w:rPr>
          <w:rStyle w:val="DraftersNotes"/>
        </w:rPr>
      </w:pPr>
      <w:r>
        <w:tab/>
        <w:t>(q)</w:t>
      </w:r>
      <w:r>
        <w:tab/>
        <w:t>to electrical work performed by an apprentice who is under a relevant training contract if —</w:t>
      </w:r>
    </w:p>
    <w:p>
      <w:pPr>
        <w:pStyle w:val="Indenti"/>
      </w:pPr>
      <w:r>
        <w:tab/>
        <w:t>(i)</w:t>
      </w:r>
      <w:r>
        <w:tab/>
        <w:t>the electrical work being performed by the apprentice is being supervised by a person who holds an electrician’s licence that authorises the supervisor to carry out the electrical work unsupervised; and</w:t>
      </w:r>
    </w:p>
    <w:p>
      <w:pPr>
        <w:pStyle w:val="Indenti"/>
      </w:pPr>
      <w:r>
        <w:tab/>
        <w:t>(ii)</w:t>
      </w:r>
      <w:r>
        <w:tab/>
        <w:t>the Board has not issued an electrician’s training licence to the apprentice; and</w:t>
      </w:r>
    </w:p>
    <w:p>
      <w:pPr>
        <w:pStyle w:val="Indenti"/>
      </w:pPr>
      <w:r>
        <w:tab/>
        <w:t>(iii)</w:t>
      </w:r>
      <w:r>
        <w:tab/>
        <w:t>the Board has not notified the apprentice that their application for an electrician’s training licence has been refused; and</w:t>
      </w:r>
    </w:p>
    <w:p>
      <w:pPr>
        <w:pStyle w:val="Indenti"/>
      </w:pPr>
      <w:r>
        <w:lastRenderedPageBreak/>
        <w:tab/>
        <w:t>(iv)</w:t>
      </w:r>
      <w:r>
        <w:tab/>
        <w:t xml:space="preserve">less than 60 days has passed since the relevant training contract was registered under the </w:t>
      </w:r>
      <w:r>
        <w:rPr>
          <w:i/>
        </w:rPr>
        <w:t>Vocational Education and Training Act 1996</w:t>
      </w:r>
      <w:r>
        <w:t xml:space="preserve"> section 60F.</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keepNext/>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keepNext/>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SL 2022/36 r. 11.] </w:t>
      </w:r>
    </w:p>
    <w:p>
      <w:pPr>
        <w:pStyle w:val="Heading5"/>
        <w:rPr>
          <w:snapToGrid w:val="0"/>
        </w:rPr>
      </w:pPr>
      <w:bookmarkStart w:id="42" w:name="_Toc179466554"/>
      <w:r>
        <w:rPr>
          <w:rStyle w:val="CharSectno"/>
        </w:rPr>
        <w:t>20</w:t>
      </w:r>
      <w:r>
        <w:rPr>
          <w:snapToGrid w:val="0"/>
        </w:rPr>
        <w:t>.</w:t>
      </w:r>
      <w:r>
        <w:rPr>
          <w:snapToGrid w:val="0"/>
        </w:rPr>
        <w:tab/>
        <w:t>Electrical worker’s licence, types and effect of</w:t>
      </w:r>
      <w:bookmarkEnd w:id="42"/>
    </w:p>
    <w:p>
      <w:pPr>
        <w:pStyle w:val="Subsection"/>
        <w:keepNext/>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lastRenderedPageBreak/>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keepNext/>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43" w:name="_Toc179466555"/>
      <w:r>
        <w:rPr>
          <w:rStyle w:val="CharSectno"/>
        </w:rPr>
        <w:t>21</w:t>
      </w:r>
      <w:r>
        <w:rPr>
          <w:snapToGrid w:val="0"/>
        </w:rPr>
        <w:t>.</w:t>
      </w:r>
      <w:r>
        <w:rPr>
          <w:snapToGrid w:val="0"/>
        </w:rPr>
        <w:tab/>
        <w:t>Permit, effect of</w:t>
      </w:r>
      <w:bookmarkEnd w:id="43"/>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44" w:name="_Toc179466556"/>
      <w:r>
        <w:rPr>
          <w:rStyle w:val="CharSectno"/>
        </w:rPr>
        <w:lastRenderedPageBreak/>
        <w:t>22</w:t>
      </w:r>
      <w:r>
        <w:rPr>
          <w:snapToGrid w:val="0"/>
        </w:rPr>
        <w:t>.</w:t>
      </w:r>
      <w:r>
        <w:rPr>
          <w:snapToGrid w:val="0"/>
        </w:rPr>
        <w:tab/>
        <w:t>Eligibility for electrical worker’s licence</w:t>
      </w:r>
      <w:bookmarkEnd w:id="44"/>
      <w:r>
        <w:rPr>
          <w:snapToGrid w:val="0"/>
        </w:rPr>
        <w:t xml:space="preserve"> </w:t>
      </w:r>
    </w:p>
    <w:p>
      <w:pPr>
        <w:pStyle w:val="Subsection"/>
        <w:keepNext/>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keepNext/>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w:t>
      </w:r>
      <w:r>
        <w:rPr>
          <w:snapToGrid w:val="0"/>
        </w:rPr>
        <w:lastRenderedPageBreak/>
        <w:t>out or has been exempted by the Board from the requirement to pass such examination</w:t>
      </w:r>
      <w:r>
        <w:t xml:space="preserve"> or assessment</w:t>
      </w:r>
      <w:r>
        <w:rPr>
          <w:snapToGrid w:val="0"/>
        </w:rPr>
        <w:t>.</w:t>
      </w:r>
    </w:p>
    <w:p>
      <w:pPr>
        <w:pStyle w:val="Subsection"/>
        <w:keepNext/>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keepNext/>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keepNext/>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keepNext/>
        <w:rPr>
          <w:snapToGrid w:val="0"/>
        </w:rPr>
      </w:pPr>
      <w:r>
        <w:rPr>
          <w:snapToGrid w:val="0"/>
        </w:rPr>
        <w:lastRenderedPageBreak/>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45" w:name="_Toc179466557"/>
      <w:r>
        <w:rPr>
          <w:rStyle w:val="CharSectno"/>
        </w:rPr>
        <w:t>23</w:t>
      </w:r>
      <w:r>
        <w:rPr>
          <w:snapToGrid w:val="0"/>
        </w:rPr>
        <w:t>.</w:t>
      </w:r>
      <w:r>
        <w:rPr>
          <w:snapToGrid w:val="0"/>
        </w:rPr>
        <w:tab/>
        <w:t>Application for licence or permit</w:t>
      </w:r>
      <w:bookmarkEnd w:id="45"/>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w:t>
      </w:r>
      <w:r>
        <w:t xml:space="preserve">fee, </w:t>
      </w:r>
      <w:r>
        <w:rPr>
          <w:snapToGrid w:val="0"/>
        </w:rPr>
        <w:t>such form, duly completed, as the Director makes available for the purpose.</w:t>
      </w:r>
    </w:p>
    <w:p>
      <w:pPr>
        <w:pStyle w:val="Ednotesubsection"/>
      </w:pPr>
      <w:r>
        <w:tab/>
        <w:t>[(1a)</w:t>
      </w:r>
      <w:r>
        <w:tab/>
        <w:t>deleted]</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keepNext/>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Gazette 23 Dec 1994 p. 7134; 31 Dec 2007 p. 6503; 27 Jun 2013 p. 2707; SL 2020/196 r. 23; SL 2024/96 r. 17.] </w:t>
      </w:r>
    </w:p>
    <w:p>
      <w:pPr>
        <w:pStyle w:val="Heading5"/>
        <w:spacing w:before="180"/>
        <w:rPr>
          <w:snapToGrid w:val="0"/>
        </w:rPr>
      </w:pPr>
      <w:bookmarkStart w:id="46" w:name="_Toc179466558"/>
      <w:r>
        <w:rPr>
          <w:rStyle w:val="CharSectno"/>
        </w:rPr>
        <w:lastRenderedPageBreak/>
        <w:t>24</w:t>
      </w:r>
      <w:r>
        <w:rPr>
          <w:snapToGrid w:val="0"/>
        </w:rPr>
        <w:t>.</w:t>
      </w:r>
      <w:r>
        <w:rPr>
          <w:snapToGrid w:val="0"/>
        </w:rPr>
        <w:tab/>
        <w:t>Issue of licence or permit</w:t>
      </w:r>
      <w:bookmarkEnd w:id="46"/>
      <w:r>
        <w:rPr>
          <w:snapToGrid w:val="0"/>
        </w:rPr>
        <w:t xml:space="preserve"> </w:t>
      </w:r>
    </w:p>
    <w:p>
      <w:pPr>
        <w:pStyle w:val="Subsection"/>
        <w:keepNext/>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keepNext/>
        <w:spacing w:before="180"/>
      </w:pPr>
      <w:r>
        <w:tab/>
        <w:t>(5)</w:t>
      </w:r>
      <w:r>
        <w:tab/>
        <w:t xml:space="preserve">If the Board decides — </w:t>
      </w:r>
    </w:p>
    <w:p>
      <w:pPr>
        <w:pStyle w:val="Indenta"/>
      </w:pPr>
      <w:r>
        <w:tab/>
        <w:t>(a)</w:t>
      </w:r>
      <w:r>
        <w:tab/>
        <w:t>to refuse to issue a licence or permit; or</w:t>
      </w:r>
    </w:p>
    <w:p>
      <w:pPr>
        <w:pStyle w:val="Indenta"/>
        <w:keepNext/>
      </w:pPr>
      <w:r>
        <w:tab/>
        <w:t>(b)</w:t>
      </w:r>
      <w:r>
        <w:tab/>
        <w:t>to issue a licence or permit subject to any restriction or condition,</w:t>
      </w:r>
    </w:p>
    <w:p>
      <w:pPr>
        <w:pStyle w:val="Subsection"/>
        <w:keepNext/>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Ednotesection"/>
      </w:pPr>
      <w:r>
        <w:lastRenderedPageBreak/>
        <w:t>[</w:t>
      </w:r>
      <w:r>
        <w:rPr>
          <w:b/>
        </w:rPr>
        <w:t>25.</w:t>
      </w:r>
      <w:r>
        <w:tab/>
        <w:t>Deleted: SL 2022/36 r. 12.]</w:t>
      </w:r>
    </w:p>
    <w:p>
      <w:pPr>
        <w:pStyle w:val="Heading5"/>
        <w:spacing w:before="240"/>
        <w:rPr>
          <w:snapToGrid w:val="0"/>
        </w:rPr>
      </w:pPr>
      <w:bookmarkStart w:id="47" w:name="_Toc179466559"/>
      <w:r>
        <w:rPr>
          <w:rStyle w:val="CharSectno"/>
        </w:rPr>
        <w:t>26</w:t>
      </w:r>
      <w:r>
        <w:rPr>
          <w:snapToGrid w:val="0"/>
        </w:rPr>
        <w:t>.</w:t>
      </w:r>
      <w:r>
        <w:rPr>
          <w:snapToGrid w:val="0"/>
        </w:rPr>
        <w:tab/>
        <w:t>Duration of registration of licence or permit</w:t>
      </w:r>
      <w:bookmarkEnd w:id="47"/>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keepNext/>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keepNext/>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48" w:name="_Toc179466560"/>
      <w:r>
        <w:rPr>
          <w:rStyle w:val="CharSectno"/>
        </w:rPr>
        <w:lastRenderedPageBreak/>
        <w:t>27</w:t>
      </w:r>
      <w:r>
        <w:rPr>
          <w:snapToGrid w:val="0"/>
        </w:rPr>
        <w:t>.</w:t>
      </w:r>
      <w:r>
        <w:rPr>
          <w:snapToGrid w:val="0"/>
        </w:rPr>
        <w:tab/>
        <w:t>Registration and renewal of registration of licences</w:t>
      </w:r>
      <w:bookmarkEnd w:id="48"/>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keepNext/>
        <w:rPr>
          <w:snapToGrid w:val="0"/>
        </w:rPr>
      </w:pPr>
      <w:r>
        <w:tab/>
        <w:t>(5A)</w:t>
      </w:r>
      <w:r>
        <w:tab/>
        <w:t xml:space="preserve">In subregulation (5), the reference to the period specified in the licence includes the period specified in a certificate of registration of a licence that was in effect immediately before </w:t>
      </w:r>
      <w:r>
        <w:lastRenderedPageBreak/>
        <w:t xml:space="preserve">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 xml:space="preserve">6; 27 Jun 2013 p. 2708; 2 May 2017 p. 2295; SL 2024/96 r. 18.] </w:t>
      </w:r>
    </w:p>
    <w:p>
      <w:pPr>
        <w:pStyle w:val="Heading5"/>
      </w:pPr>
      <w:bookmarkStart w:id="49" w:name="_Toc179466561"/>
      <w:r>
        <w:rPr>
          <w:rStyle w:val="CharSectno"/>
        </w:rPr>
        <w:t>28</w:t>
      </w:r>
      <w:r>
        <w:t>.</w:t>
      </w:r>
      <w:r>
        <w:tab/>
        <w:t>Contact details</w:t>
      </w:r>
      <w:bookmarkEnd w:id="49"/>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keepNext/>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keepNext/>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50" w:name="_Toc179466562"/>
      <w:r>
        <w:rPr>
          <w:rStyle w:val="CharSectno"/>
        </w:rPr>
        <w:t>29</w:t>
      </w:r>
      <w:r>
        <w:rPr>
          <w:snapToGrid w:val="0"/>
        </w:rPr>
        <w:t>.</w:t>
      </w:r>
      <w:r>
        <w:rPr>
          <w:snapToGrid w:val="0"/>
        </w:rPr>
        <w:tab/>
        <w:t>Physical examinations and competency tests, Board may require</w:t>
      </w:r>
      <w:bookmarkEnd w:id="50"/>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 xml:space="preserve">Where the Board is not satisfied as to the ability of a person who holds a licence or permit, or has applied under these </w:t>
      </w:r>
      <w:r>
        <w:rPr>
          <w:snapToGrid w:val="0"/>
        </w:rPr>
        <w:lastRenderedPageBreak/>
        <w:t>regulations for a licence or permit, to carry out electrical work in a safe and satisfactory manner, the Board may require him or her to undergo such theoretical or practical assessment, examination or trade test as the Board specifies.</w:t>
      </w:r>
    </w:p>
    <w:p>
      <w:pPr>
        <w:pStyle w:val="Subsection"/>
        <w:keepNext/>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keepNext/>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keepNext/>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keepNext/>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keepNext/>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51" w:name="_Toc179466563"/>
      <w:r>
        <w:rPr>
          <w:rStyle w:val="CharSectno"/>
        </w:rPr>
        <w:t>30</w:t>
      </w:r>
      <w:r>
        <w:t>.</w:t>
      </w:r>
      <w:r>
        <w:tab/>
        <w:t>Disciplinary action, proper causes for</w:t>
      </w:r>
      <w:bookmarkEnd w:id="51"/>
      <w:r>
        <w:t xml:space="preserve"> </w:t>
      </w:r>
    </w:p>
    <w:p>
      <w:pPr>
        <w:pStyle w:val="Subsection"/>
        <w:keepNext/>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lastRenderedPageBreak/>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keepNext/>
      </w:pPr>
      <w:r>
        <w:tab/>
        <w:t>(d)</w:t>
      </w:r>
      <w:r>
        <w:tab/>
        <w:t xml:space="preserve">has carried out electrical work in a manner that — </w:t>
      </w:r>
    </w:p>
    <w:p>
      <w:pPr>
        <w:pStyle w:val="Indenti"/>
      </w:pPr>
      <w:r>
        <w:tab/>
        <w:t>(i)</w:t>
      </w:r>
      <w:r>
        <w:tab/>
        <w:t>endangers, or is likely to endanger, any person or property; or</w:t>
      </w:r>
    </w:p>
    <w:p>
      <w:pPr>
        <w:pStyle w:val="Indenti"/>
        <w:keepNext/>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keepNext/>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keepNext/>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keepNext/>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52" w:name="_Toc179466564"/>
      <w:r>
        <w:rPr>
          <w:rStyle w:val="CharSectno"/>
        </w:rPr>
        <w:lastRenderedPageBreak/>
        <w:t>31</w:t>
      </w:r>
      <w:r>
        <w:t>.</w:t>
      </w:r>
      <w:r>
        <w:tab/>
        <w:t>Disciplinary action by SAT</w:t>
      </w:r>
      <w:bookmarkEnd w:id="52"/>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keepNext/>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keepNext/>
      </w:pPr>
      <w:r>
        <w:tab/>
        <w:t>(3)</w:t>
      </w:r>
      <w:r>
        <w:tab/>
        <w:t xml:space="preserve">Where any restriction or condition on the authority conferred by a licence or permit is imposed or varied under subregulation (2)(d), the Board may order the return of the </w:t>
      </w:r>
      <w:r>
        <w:lastRenderedPageBreak/>
        <w:t>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53" w:name="_Toc179466565"/>
      <w:r>
        <w:rPr>
          <w:rStyle w:val="CharSectno"/>
        </w:rPr>
        <w:t>31A</w:t>
      </w:r>
      <w:r>
        <w:t>.</w:t>
      </w:r>
      <w:r>
        <w:tab/>
        <w:t>Alternative to seeking disciplinary action under r. 31</w:t>
      </w:r>
      <w:bookmarkEnd w:id="53"/>
    </w:p>
    <w:p>
      <w:pPr>
        <w:pStyle w:val="Subsection"/>
        <w:keepNext/>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keepNext/>
      </w:pPr>
      <w:r>
        <w:tab/>
        <w:t>(c)</w:t>
      </w:r>
      <w:r>
        <w:tab/>
        <w:t>has afforded to the person concerned the option of the matter proceeding before the Tribunal and that option has not been taken up,</w:t>
      </w:r>
    </w:p>
    <w:p>
      <w:pPr>
        <w:pStyle w:val="Subsection"/>
        <w:keepNext/>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lastRenderedPageBreak/>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keepNext/>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54" w:name="_Toc179466566"/>
      <w:r>
        <w:rPr>
          <w:rStyle w:val="CharSectno"/>
        </w:rPr>
        <w:t>32</w:t>
      </w:r>
      <w:r>
        <w:rPr>
          <w:snapToGrid w:val="0"/>
        </w:rPr>
        <w:t>.</w:t>
      </w:r>
      <w:r>
        <w:rPr>
          <w:snapToGrid w:val="0"/>
        </w:rPr>
        <w:tab/>
        <w:t>Suspension, effect and revocation of</w:t>
      </w:r>
      <w:bookmarkEnd w:id="54"/>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w:t>
      </w:r>
      <w:r>
        <w:rPr>
          <w:snapToGrid w:val="0"/>
        </w:rPr>
        <w:lastRenderedPageBreak/>
        <w:t>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3"/>
      </w:pPr>
      <w:bookmarkStart w:id="55" w:name="_Toc179455529"/>
      <w:bookmarkStart w:id="56" w:name="_Toc179455608"/>
      <w:bookmarkStart w:id="57" w:name="_Toc179455769"/>
      <w:bookmarkStart w:id="58" w:name="_Toc179465352"/>
      <w:bookmarkStart w:id="59" w:name="_Toc179466449"/>
      <w:bookmarkStart w:id="60" w:name="_Toc179466567"/>
      <w:r>
        <w:rPr>
          <w:rStyle w:val="CharDivNo"/>
        </w:rPr>
        <w:t>Division 2</w:t>
      </w:r>
      <w:r>
        <w:t> — </w:t>
      </w:r>
      <w:r>
        <w:rPr>
          <w:rStyle w:val="CharDivText"/>
        </w:rPr>
        <w:t>Approved CPR courses</w:t>
      </w:r>
      <w:bookmarkEnd w:id="55"/>
      <w:bookmarkEnd w:id="56"/>
      <w:bookmarkEnd w:id="57"/>
      <w:bookmarkEnd w:id="58"/>
      <w:bookmarkEnd w:id="59"/>
      <w:bookmarkEnd w:id="60"/>
      <w:r>
        <w:t xml:space="preserve"> </w:t>
      </w:r>
    </w:p>
    <w:p>
      <w:pPr>
        <w:pStyle w:val="Footnoteheading"/>
      </w:pPr>
      <w:r>
        <w:tab/>
        <w:t>[Heading inserted: SL 2024/211 r. 5.]</w:t>
      </w:r>
    </w:p>
    <w:p>
      <w:pPr>
        <w:pStyle w:val="Heading5"/>
      </w:pPr>
      <w:bookmarkStart w:id="61" w:name="_Toc179455530"/>
      <w:bookmarkStart w:id="62" w:name="_Toc179455770"/>
      <w:bookmarkStart w:id="63" w:name="_Toc179466568"/>
      <w:r>
        <w:rPr>
          <w:rStyle w:val="CharSectno"/>
        </w:rPr>
        <w:t>32A</w:t>
      </w:r>
      <w:r>
        <w:t>.</w:t>
      </w:r>
      <w:r>
        <w:tab/>
        <w:t>Terms used</w:t>
      </w:r>
      <w:bookmarkEnd w:id="61"/>
      <w:bookmarkEnd w:id="62"/>
      <w:bookmarkEnd w:id="63"/>
    </w:p>
    <w:p>
      <w:pPr>
        <w:pStyle w:val="Subsection"/>
      </w:pPr>
      <w:r>
        <w:rPr>
          <w:b/>
        </w:rPr>
        <w:tab/>
      </w:r>
      <w:r>
        <w:rPr>
          <w:b/>
        </w:rPr>
        <w:tab/>
      </w:r>
      <w:r>
        <w:t xml:space="preserve">In this Division — </w:t>
      </w:r>
    </w:p>
    <w:p>
      <w:pPr>
        <w:pStyle w:val="Defstart"/>
      </w:pPr>
      <w:r>
        <w:tab/>
      </w:r>
      <w:r>
        <w:rPr>
          <w:rStyle w:val="CharDefText"/>
        </w:rPr>
        <w:t>approved CPR course</w:t>
      </w:r>
      <w:r>
        <w:t xml:space="preserve"> means a course approved by the Director under regulation 32B; </w:t>
      </w:r>
    </w:p>
    <w:p>
      <w:pPr>
        <w:pStyle w:val="Defstart"/>
      </w:pPr>
      <w:r>
        <w:tab/>
      </w:r>
      <w:r>
        <w:rPr>
          <w:rStyle w:val="CharDefText"/>
        </w:rPr>
        <w:t>commencement day</w:t>
      </w:r>
      <w:r>
        <w:t xml:space="preserve"> means the day on which the </w:t>
      </w:r>
      <w:r>
        <w:rPr>
          <w:i/>
        </w:rPr>
        <w:t>Electricity Regulations Amendment (Licensing) Regulations 2024</w:t>
      </w:r>
      <w:r>
        <w:t xml:space="preserve"> regulation 3 comes into operation;</w:t>
      </w:r>
    </w:p>
    <w:p>
      <w:pPr>
        <w:pStyle w:val="Defstart"/>
      </w:pPr>
      <w:r>
        <w:tab/>
      </w:r>
      <w:r>
        <w:rPr>
          <w:rStyle w:val="CharDefText"/>
        </w:rPr>
        <w:t>completion period</w:t>
      </w:r>
      <w:r>
        <w:t xml:space="preserve">, in relation to an electrician, means — </w:t>
      </w:r>
    </w:p>
    <w:p>
      <w:pPr>
        <w:pStyle w:val="Defpara"/>
      </w:pPr>
      <w:r>
        <w:tab/>
        <w:t>(a)</w:t>
      </w:r>
      <w:r>
        <w:tab/>
        <w:t xml:space="preserve">if the electrician ceases to hold an endorsed electrician’s licence after the day on which the period began — a period — </w:t>
      </w:r>
    </w:p>
    <w:p>
      <w:pPr>
        <w:pStyle w:val="Defsubpara"/>
      </w:pPr>
      <w:r>
        <w:tab/>
        <w:t>(i)</w:t>
      </w:r>
      <w:r>
        <w:tab/>
        <w:t xml:space="preserve">of 3 years plus any period greater than 30 consecutive days during which the electrician was unlicensed; or </w:t>
      </w:r>
    </w:p>
    <w:p>
      <w:pPr>
        <w:pStyle w:val="Defsubpara"/>
      </w:pPr>
      <w:r>
        <w:tab/>
        <w:t>(ii)</w:t>
      </w:r>
      <w:r>
        <w:tab/>
        <w:t>that is approved under regulation 32C;</w:t>
      </w:r>
    </w:p>
    <w:p>
      <w:pPr>
        <w:pStyle w:val="Defpara"/>
      </w:pPr>
      <w:r>
        <w:tab/>
      </w:r>
      <w:r>
        <w:tab/>
        <w:t>or</w:t>
      </w:r>
    </w:p>
    <w:p>
      <w:pPr>
        <w:pStyle w:val="Defpara"/>
      </w:pPr>
      <w:r>
        <w:tab/>
        <w:t>(b)</w:t>
      </w:r>
      <w:r>
        <w:tab/>
        <w:t>in any other case — a period of 3 years or a longer period approved under regulation 32C;</w:t>
      </w:r>
    </w:p>
    <w:p>
      <w:pPr>
        <w:pStyle w:val="Defstart"/>
      </w:pPr>
      <w:r>
        <w:lastRenderedPageBreak/>
        <w:tab/>
      </w:r>
      <w:r>
        <w:rPr>
          <w:rStyle w:val="CharDefText"/>
        </w:rPr>
        <w:t>continuing CPR course</w:t>
      </w:r>
      <w:r>
        <w:t xml:space="preserve"> means an approved CPR course referred to in regulation 32G(2);</w:t>
      </w:r>
    </w:p>
    <w:p>
      <w:pPr>
        <w:pStyle w:val="Defstart"/>
      </w:pPr>
      <w:r>
        <w:tab/>
      </w:r>
      <w:r>
        <w:rPr>
          <w:rStyle w:val="CharDefText"/>
        </w:rPr>
        <w:t>endorsed electrician’s licence</w:t>
      </w:r>
      <w:r>
        <w:t xml:space="preserve"> means an electrical worker’s licence endorsed as an electrician’s licence;</w:t>
      </w:r>
    </w:p>
    <w:p>
      <w:pPr>
        <w:pStyle w:val="Defstart"/>
      </w:pPr>
      <w:r>
        <w:tab/>
      </w:r>
      <w:r>
        <w:rPr>
          <w:rStyle w:val="CharDefText"/>
        </w:rPr>
        <w:t>initial CPR course</w:t>
      </w:r>
      <w:r>
        <w:t xml:space="preserve"> means an approved CPR course referred to in regulation 32E(2) or 32F(2);</w:t>
      </w:r>
    </w:p>
    <w:p>
      <w:pPr>
        <w:pStyle w:val="Defstart"/>
      </w:pPr>
      <w:r>
        <w:rPr>
          <w:bCs/>
          <w:iCs/>
        </w:rPr>
        <w:tab/>
      </w:r>
      <w:r>
        <w:rPr>
          <w:rStyle w:val="CharDefText"/>
        </w:rPr>
        <w:t>licensed electrician</w:t>
      </w:r>
      <w:r>
        <w:t xml:space="preserve"> means an individual who holds an endorsed electrician’s licence.</w:t>
      </w:r>
    </w:p>
    <w:p>
      <w:pPr>
        <w:pStyle w:val="Footnotesection"/>
        <w:rPr>
          <w:rStyle w:val="DraftersNotes"/>
          <w:b w:val="0"/>
          <w:i/>
        </w:rPr>
      </w:pPr>
      <w:r>
        <w:tab/>
        <w:t>[Regulation 32A inserted: SL 2024/211 r. 5.]</w:t>
      </w:r>
    </w:p>
    <w:p>
      <w:pPr>
        <w:pStyle w:val="Heading5"/>
      </w:pPr>
      <w:bookmarkStart w:id="64" w:name="_Toc179455531"/>
      <w:bookmarkStart w:id="65" w:name="_Toc179455771"/>
      <w:bookmarkStart w:id="66" w:name="_Toc179466569"/>
      <w:r>
        <w:rPr>
          <w:rStyle w:val="CharSectno"/>
        </w:rPr>
        <w:t>32B</w:t>
      </w:r>
      <w:r>
        <w:t>.</w:t>
      </w:r>
      <w:r>
        <w:tab/>
        <w:t>Approved CPR courses</w:t>
      </w:r>
      <w:bookmarkEnd w:id="64"/>
      <w:bookmarkEnd w:id="65"/>
      <w:bookmarkEnd w:id="66"/>
      <w:r>
        <w:t xml:space="preserve"> </w:t>
      </w:r>
    </w:p>
    <w:p>
      <w:pPr>
        <w:pStyle w:val="Subsection"/>
      </w:pPr>
      <w:r>
        <w:tab/>
        <w:t>(1)</w:t>
      </w:r>
      <w:r>
        <w:tab/>
        <w:t>The Director may approve, in writing, a course if the Director considers that the course is suitable for training licensed electricians in providing cardiopulmonary resuscitation.</w:t>
      </w:r>
    </w:p>
    <w:p>
      <w:pPr>
        <w:pStyle w:val="Subsection"/>
      </w:pPr>
      <w:r>
        <w:tab/>
        <w:t>(2)</w:t>
      </w:r>
      <w:r>
        <w:tab/>
        <w:t>The Director must publish the approval on the department’s website or on a website maintained by or on behalf of the State.</w:t>
      </w:r>
    </w:p>
    <w:p>
      <w:pPr>
        <w:pStyle w:val="Subsection"/>
      </w:pPr>
      <w:r>
        <w:tab/>
        <w:t>(3)</w:t>
      </w:r>
      <w:r>
        <w:tab/>
        <w:t xml:space="preserve">The approval commences at the beginning of — </w:t>
      </w:r>
    </w:p>
    <w:p>
      <w:pPr>
        <w:pStyle w:val="Indenta"/>
      </w:pPr>
      <w:r>
        <w:tab/>
        <w:t>(a)</w:t>
      </w:r>
      <w:r>
        <w:tab/>
        <w:t xml:space="preserve">the day after the day on which the approval is published under subregulation (2); or </w:t>
      </w:r>
    </w:p>
    <w:p>
      <w:pPr>
        <w:pStyle w:val="Indenta"/>
      </w:pPr>
      <w:r>
        <w:tab/>
        <w:t>(b)</w:t>
      </w:r>
      <w:r>
        <w:tab/>
        <w:t>a later day specified in the approval.</w:t>
      </w:r>
    </w:p>
    <w:p>
      <w:pPr>
        <w:pStyle w:val="Subsection"/>
      </w:pPr>
      <w:r>
        <w:tab/>
        <w:t>(4)</w:t>
      </w:r>
      <w:r>
        <w:tab/>
        <w:t xml:space="preserve">The approval is not subsidiary legislation for the purposes of the </w:t>
      </w:r>
      <w:r>
        <w:rPr>
          <w:i/>
        </w:rPr>
        <w:t>Interpretation Act 1984</w:t>
      </w:r>
      <w:r>
        <w:t>.</w:t>
      </w:r>
    </w:p>
    <w:p>
      <w:pPr>
        <w:pStyle w:val="Subsection"/>
      </w:pPr>
      <w:r>
        <w:tab/>
        <w:t>(5)</w:t>
      </w:r>
      <w:r>
        <w:tab/>
        <w:t xml:space="preserve">The </w:t>
      </w:r>
      <w:r>
        <w:rPr>
          <w:i/>
          <w:iCs/>
        </w:rPr>
        <w:t>Interpretation Act 1984</w:t>
      </w:r>
      <w:r>
        <w:t xml:space="preserve"> sections 43 (other than subsection (6)) and 44 and Part VIII apply to the approval as if it were subsidiary legislation.</w:t>
      </w:r>
    </w:p>
    <w:p>
      <w:pPr>
        <w:pStyle w:val="Footnotesection"/>
        <w:rPr>
          <w:sz w:val="20"/>
        </w:rPr>
      </w:pPr>
      <w:r>
        <w:tab/>
        <w:t>[Regulation 32B inserted: SL 2024/211 r. 5.]</w:t>
      </w:r>
    </w:p>
    <w:p>
      <w:pPr>
        <w:pStyle w:val="Heading5"/>
      </w:pPr>
      <w:bookmarkStart w:id="67" w:name="_Toc179455532"/>
      <w:bookmarkStart w:id="68" w:name="_Toc179455772"/>
      <w:bookmarkStart w:id="69" w:name="_Toc179466570"/>
      <w:r>
        <w:rPr>
          <w:rStyle w:val="CharSectno"/>
        </w:rPr>
        <w:t>32C</w:t>
      </w:r>
      <w:r>
        <w:t>.</w:t>
      </w:r>
      <w:r>
        <w:tab/>
        <w:t>Director may approve longer completion period for approved CPR courses</w:t>
      </w:r>
      <w:bookmarkEnd w:id="67"/>
      <w:bookmarkEnd w:id="68"/>
      <w:bookmarkEnd w:id="69"/>
      <w:r>
        <w:t xml:space="preserve"> </w:t>
      </w:r>
    </w:p>
    <w:p>
      <w:pPr>
        <w:pStyle w:val="Subsection"/>
      </w:pPr>
      <w:r>
        <w:tab/>
      </w:r>
      <w:r>
        <w:tab/>
        <w:t xml:space="preserve">The Director may approve, in writing, a period longer than 3 years for the completion of an approved CPR course by a </w:t>
      </w:r>
      <w:r>
        <w:lastRenderedPageBreak/>
        <w:t>licensed electrician, or a class of licensed electricians, if the Director considers it appropriate in the circumstances.</w:t>
      </w:r>
    </w:p>
    <w:p>
      <w:pPr>
        <w:pStyle w:val="Footnotesection"/>
        <w:rPr>
          <w:sz w:val="20"/>
        </w:rPr>
      </w:pPr>
      <w:r>
        <w:tab/>
        <w:t>[Regulation 32C inserted: SL 2024/211 r. 5.]</w:t>
      </w:r>
    </w:p>
    <w:p>
      <w:pPr>
        <w:pStyle w:val="Heading5"/>
      </w:pPr>
      <w:bookmarkStart w:id="70" w:name="_Toc179455533"/>
      <w:bookmarkStart w:id="71" w:name="_Toc179455773"/>
      <w:bookmarkStart w:id="72" w:name="_Toc179466571"/>
      <w:r>
        <w:rPr>
          <w:rStyle w:val="CharSectno"/>
        </w:rPr>
        <w:t>32D</w:t>
      </w:r>
      <w:r>
        <w:t>.</w:t>
      </w:r>
      <w:r>
        <w:tab/>
        <w:t>Director may exempt licensed electricians from completing approved CPR courses</w:t>
      </w:r>
      <w:bookmarkEnd w:id="70"/>
      <w:bookmarkEnd w:id="71"/>
      <w:bookmarkEnd w:id="72"/>
      <w:r>
        <w:t xml:space="preserve"> </w:t>
      </w:r>
    </w:p>
    <w:p>
      <w:pPr>
        <w:pStyle w:val="Subsection"/>
      </w:pPr>
      <w:r>
        <w:tab/>
        <w:t>(1)</w:t>
      </w:r>
      <w:r>
        <w:tab/>
        <w:t>The Director may exempt, in writing, a licensed electrician, or a class of licensed electricians, from 1 or more of the following requirements if the Director considers it appropriate in the circumstances —</w:t>
      </w:r>
    </w:p>
    <w:p>
      <w:pPr>
        <w:pStyle w:val="Indenta"/>
      </w:pPr>
      <w:r>
        <w:tab/>
        <w:t>(a)</w:t>
      </w:r>
      <w:r>
        <w:tab/>
        <w:t>a requirement to complete an initial CPR course;</w:t>
      </w:r>
    </w:p>
    <w:p>
      <w:pPr>
        <w:pStyle w:val="Indenta"/>
      </w:pPr>
      <w:r>
        <w:tab/>
        <w:t>(b)</w:t>
      </w:r>
      <w:r>
        <w:tab/>
        <w:t>a requirement to complete a continuing CPR course;</w:t>
      </w:r>
    </w:p>
    <w:p>
      <w:pPr>
        <w:pStyle w:val="Subsection"/>
      </w:pPr>
      <w:r>
        <w:tab/>
        <w:t>(2)</w:t>
      </w:r>
      <w:r>
        <w:tab/>
        <w:t xml:space="preserve">The exemption — </w:t>
      </w:r>
    </w:p>
    <w:p>
      <w:pPr>
        <w:pStyle w:val="Indenta"/>
      </w:pPr>
      <w:r>
        <w:tab/>
        <w:t>(a)</w:t>
      </w:r>
      <w:r>
        <w:tab/>
        <w:t xml:space="preserve">may be subject to any conditions stated in the exemption; and </w:t>
      </w:r>
    </w:p>
    <w:p>
      <w:pPr>
        <w:pStyle w:val="Indenta"/>
      </w:pPr>
      <w:r>
        <w:tab/>
        <w:t>(b)</w:t>
      </w:r>
      <w:r>
        <w:tab/>
        <w:t>must state the period for which it applies.</w:t>
      </w:r>
    </w:p>
    <w:p>
      <w:pPr>
        <w:pStyle w:val="Subsection"/>
      </w:pPr>
      <w:r>
        <w:tab/>
        <w:t>(3)</w:t>
      </w:r>
      <w:r>
        <w:tab/>
        <w:t>The Director must not make an exemption under subregulation (1) unless the electrician, or class of electricians, is expected to hold an endorsed electrician’s licence —</w:t>
      </w:r>
    </w:p>
    <w:p>
      <w:pPr>
        <w:pStyle w:val="Indenta"/>
      </w:pPr>
      <w:r>
        <w:tab/>
        <w:t>(a)</w:t>
      </w:r>
      <w:r>
        <w:tab/>
        <w:t xml:space="preserve">during a public health state of emergency under the </w:t>
      </w:r>
      <w:r>
        <w:rPr>
          <w:i/>
        </w:rPr>
        <w:t>Public Health Act 2016</w:t>
      </w:r>
      <w:r>
        <w:t xml:space="preserve">, an emergency situation or a state of emergency under the </w:t>
      </w:r>
      <w:r>
        <w:rPr>
          <w:i/>
        </w:rPr>
        <w:t>Emergency Management Act 2005</w:t>
      </w:r>
      <w:r>
        <w:t xml:space="preserve"> or during another emergency; or </w:t>
      </w:r>
    </w:p>
    <w:p>
      <w:pPr>
        <w:pStyle w:val="Indenta"/>
      </w:pPr>
      <w:r>
        <w:tab/>
        <w:t>(b)</w:t>
      </w:r>
      <w:r>
        <w:tab/>
        <w:t>when an approved CPR course is not available or not available in certain locations; or</w:t>
      </w:r>
    </w:p>
    <w:p>
      <w:pPr>
        <w:pStyle w:val="Indenta"/>
      </w:pPr>
      <w:r>
        <w:tab/>
        <w:t>(c)</w:t>
      </w:r>
      <w:r>
        <w:tab/>
        <w:t>when personal circumstances of the electrician or the class of electricians may prevent their completion of an approved CPR course.</w:t>
      </w:r>
    </w:p>
    <w:p>
      <w:pPr>
        <w:pStyle w:val="Subsection"/>
      </w:pPr>
      <w:r>
        <w:tab/>
        <w:t>(4)</w:t>
      </w:r>
      <w:r>
        <w:tab/>
        <w:t xml:space="preserve">An exemption under subregulation (1) expires in relation to an electrician subject to the exemption at the earlier of — </w:t>
      </w:r>
    </w:p>
    <w:p>
      <w:pPr>
        <w:pStyle w:val="Indenta"/>
      </w:pPr>
      <w:r>
        <w:tab/>
        <w:t>(a)</w:t>
      </w:r>
      <w:r>
        <w:tab/>
        <w:t>the end of the period stated in the notice of the exemption referred to in subregulation (2)(b); or</w:t>
      </w:r>
    </w:p>
    <w:p>
      <w:pPr>
        <w:pStyle w:val="Indenta"/>
      </w:pPr>
      <w:r>
        <w:lastRenderedPageBreak/>
        <w:tab/>
        <w:t>(b)</w:t>
      </w:r>
      <w:r>
        <w:tab/>
        <w:t>the time the electrician fails to comply with 1 or more conditions to which the exemption is subject.</w:t>
      </w:r>
    </w:p>
    <w:p>
      <w:pPr>
        <w:pStyle w:val="Footnotesection"/>
        <w:rPr>
          <w:sz w:val="20"/>
        </w:rPr>
      </w:pPr>
      <w:r>
        <w:tab/>
        <w:t>[Regulation 32D inserted: SL 2024/211 r. 5.]</w:t>
      </w:r>
    </w:p>
    <w:p>
      <w:pPr>
        <w:pStyle w:val="Heading5"/>
      </w:pPr>
      <w:bookmarkStart w:id="73" w:name="_Toc179455534"/>
      <w:bookmarkStart w:id="74" w:name="_Toc179455774"/>
      <w:bookmarkStart w:id="75" w:name="_Toc179466572"/>
      <w:r>
        <w:rPr>
          <w:rStyle w:val="CharSectno"/>
        </w:rPr>
        <w:t>32E</w:t>
      </w:r>
      <w:r>
        <w:t>.</w:t>
      </w:r>
      <w:r>
        <w:tab/>
        <w:t>Requirement to complete approved CPR courses for licensed electricians on commencement day</w:t>
      </w:r>
      <w:bookmarkEnd w:id="73"/>
      <w:bookmarkEnd w:id="74"/>
      <w:bookmarkEnd w:id="75"/>
    </w:p>
    <w:p>
      <w:pPr>
        <w:pStyle w:val="Subsection"/>
      </w:pPr>
      <w:r>
        <w:tab/>
        <w:t>(1)</w:t>
      </w:r>
      <w:r>
        <w:tab/>
        <w:t>This regulation applies to a person who is a licensed electrician on commencement day.</w:t>
      </w:r>
    </w:p>
    <w:p>
      <w:pPr>
        <w:pStyle w:val="Subsection"/>
      </w:pPr>
      <w:r>
        <w:tab/>
        <w:t>(2)</w:t>
      </w:r>
      <w:r>
        <w:rPr>
          <w:bCs/>
          <w:iCs/>
        </w:rPr>
        <w:tab/>
      </w:r>
      <w:r>
        <w:t xml:space="preserve">A licensed electrician must complete an approved CPR course within the completion period beginning on commencement day. </w:t>
      </w:r>
    </w:p>
    <w:p>
      <w:pPr>
        <w:pStyle w:val="Penstart"/>
      </w:pPr>
      <w:r>
        <w:tab/>
        <w:t>Penalty for this subregulation: a fine of $10 000.</w:t>
      </w:r>
    </w:p>
    <w:p>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pPr>
        <w:pStyle w:val="Subsection"/>
      </w:pPr>
      <w:r>
        <w:tab/>
        <w:t>(4)</w:t>
      </w:r>
      <w:r>
        <w:tab/>
        <w:t>Subregulation (2) does not apply to a licensed electrician exempted under regulation 32D(1) from the requirement to complete the approved CPR course.</w:t>
      </w:r>
    </w:p>
    <w:p>
      <w:pPr>
        <w:pStyle w:val="Footnotesection"/>
        <w:rPr>
          <w:sz w:val="20"/>
        </w:rPr>
      </w:pPr>
      <w:r>
        <w:tab/>
        <w:t>[Regulation 32E inserted: SL 2024/211 r. 5.]</w:t>
      </w:r>
    </w:p>
    <w:p>
      <w:pPr>
        <w:pStyle w:val="Heading5"/>
      </w:pPr>
      <w:bookmarkStart w:id="76" w:name="_Toc179455535"/>
      <w:bookmarkStart w:id="77" w:name="_Toc179455775"/>
      <w:bookmarkStart w:id="78" w:name="_Toc179466573"/>
      <w:r>
        <w:rPr>
          <w:rStyle w:val="CharSectno"/>
        </w:rPr>
        <w:t>32F</w:t>
      </w:r>
      <w:r>
        <w:t>.</w:t>
      </w:r>
      <w:r>
        <w:tab/>
        <w:t>Requirement to complete approved CPR courses on issue of first endorsed electrician’s licences after commencement day</w:t>
      </w:r>
      <w:bookmarkEnd w:id="76"/>
      <w:bookmarkEnd w:id="77"/>
      <w:bookmarkEnd w:id="78"/>
      <w:r>
        <w:t xml:space="preserve"> </w:t>
      </w:r>
    </w:p>
    <w:p>
      <w:pPr>
        <w:pStyle w:val="Subsection"/>
      </w:pPr>
      <w:r>
        <w:tab/>
        <w:t>(1)</w:t>
      </w:r>
      <w:r>
        <w:tab/>
        <w:t xml:space="preserve">This regulation applies to a licensed electrician who — </w:t>
      </w:r>
    </w:p>
    <w:p>
      <w:pPr>
        <w:pStyle w:val="Indenta"/>
      </w:pPr>
      <w:r>
        <w:tab/>
        <w:t>(a)</w:t>
      </w:r>
      <w:r>
        <w:tab/>
        <w:t xml:space="preserve">is issued an endorsed electrician’s licence after commencement day; and </w:t>
      </w:r>
    </w:p>
    <w:p>
      <w:pPr>
        <w:pStyle w:val="Indenta"/>
      </w:pPr>
      <w:r>
        <w:tab/>
        <w:t>(b)</w:t>
      </w:r>
      <w:r>
        <w:tab/>
        <w:t>did not hold an endorsed electrician’s licence on commencement day.</w:t>
      </w:r>
    </w:p>
    <w:p>
      <w:pPr>
        <w:pStyle w:val="Subsection"/>
      </w:pPr>
      <w:r>
        <w:tab/>
        <w:t>(2)</w:t>
      </w:r>
      <w:r>
        <w:rPr>
          <w:bCs/>
          <w:iCs/>
        </w:rPr>
        <w:tab/>
      </w:r>
      <w:r>
        <w:t xml:space="preserve">A licensed electrician must complete an approved CPR course within the completion period beginning on the day on which an endorsed electrician’s licence is first issued to the electrician after commencement day. </w:t>
      </w:r>
    </w:p>
    <w:p>
      <w:pPr>
        <w:pStyle w:val="Penstart"/>
      </w:pPr>
      <w:r>
        <w:tab/>
        <w:t>Penalty for this subregulation: a fine of $10 000.</w:t>
      </w:r>
    </w:p>
    <w:p>
      <w:pPr>
        <w:pStyle w:val="Subsection"/>
      </w:pPr>
      <w:r>
        <w:lastRenderedPageBreak/>
        <w:tab/>
        <w:t>(3)</w:t>
      </w:r>
      <w:r>
        <w:tab/>
        <w:t>It is a defence to a charge of an offence under subregulation (2) for the person charged to prove that they had a reasonable excuse for failing to comply with the requirement to complete the approved CPR course.</w:t>
      </w:r>
    </w:p>
    <w:p>
      <w:pPr>
        <w:pStyle w:val="Subsection"/>
      </w:pPr>
      <w:r>
        <w:tab/>
        <w:t>(4)</w:t>
      </w:r>
      <w:r>
        <w:tab/>
        <w:t xml:space="preserve">Subregulation (2) does not apply to a licensed electrician exempted under regulation 32D(1) from the requirement to complete the approved CPR course. </w:t>
      </w:r>
    </w:p>
    <w:p>
      <w:pPr>
        <w:pStyle w:val="Footnotesection"/>
        <w:rPr>
          <w:sz w:val="20"/>
        </w:rPr>
      </w:pPr>
      <w:r>
        <w:tab/>
        <w:t>[Regulation 32F inserted: SL 2024/211 r. 5.]</w:t>
      </w:r>
    </w:p>
    <w:p>
      <w:pPr>
        <w:pStyle w:val="Heading5"/>
      </w:pPr>
      <w:bookmarkStart w:id="79" w:name="_Toc179455536"/>
      <w:bookmarkStart w:id="80" w:name="_Toc179455776"/>
      <w:bookmarkStart w:id="81" w:name="_Toc179466574"/>
      <w:r>
        <w:rPr>
          <w:rStyle w:val="CharSectno"/>
        </w:rPr>
        <w:t>32G</w:t>
      </w:r>
      <w:r>
        <w:t>.</w:t>
      </w:r>
      <w:r>
        <w:tab/>
        <w:t>Continuing requirements: approved CPR courses</w:t>
      </w:r>
      <w:bookmarkEnd w:id="79"/>
      <w:bookmarkEnd w:id="80"/>
      <w:bookmarkEnd w:id="81"/>
    </w:p>
    <w:p>
      <w:pPr>
        <w:pStyle w:val="Subsection"/>
      </w:pPr>
      <w:r>
        <w:tab/>
        <w:t>(1)</w:t>
      </w:r>
      <w:r>
        <w:tab/>
        <w:t>This regulation applies to a licensed electrician who was required to complete, or exempted from the requirement to complete, an initial CPR course.</w:t>
      </w:r>
    </w:p>
    <w:p>
      <w:pPr>
        <w:pStyle w:val="Subsection"/>
      </w:pPr>
      <w:r>
        <w:tab/>
        <w:t>(2)</w:t>
      </w:r>
      <w:r>
        <w:tab/>
        <w:t xml:space="preserve">A licensed electrician must complete an approved CPR course within each completion period beginning on the day after the day on which the electrician completed their last approved CPR course. </w:t>
      </w:r>
    </w:p>
    <w:p>
      <w:pPr>
        <w:pStyle w:val="Penstart"/>
      </w:pPr>
      <w:r>
        <w:tab/>
        <w:t>Penalty for this subregulation: a fine of $10 000.</w:t>
      </w:r>
    </w:p>
    <w:p>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pPr>
        <w:pStyle w:val="Subsection"/>
      </w:pPr>
      <w:r>
        <w:tab/>
        <w:t>(4)</w:t>
      </w:r>
      <w:r>
        <w:tab/>
        <w:t xml:space="preserve">Subregulation (2) does not apply to a licensed electrician exempted under regulation 32D(1) from the requirement to complete the approved CPR course. </w:t>
      </w:r>
    </w:p>
    <w:p>
      <w:pPr>
        <w:pStyle w:val="Footnotesection"/>
        <w:rPr>
          <w:sz w:val="20"/>
        </w:rPr>
      </w:pPr>
      <w:r>
        <w:tab/>
        <w:t>[Regulation 32G inserted: SL 2024/211 r. 5.]</w:t>
      </w:r>
    </w:p>
    <w:p>
      <w:pPr>
        <w:pStyle w:val="Heading5"/>
      </w:pPr>
      <w:bookmarkStart w:id="82" w:name="_Toc179455537"/>
      <w:bookmarkStart w:id="83" w:name="_Toc179455777"/>
      <w:bookmarkStart w:id="84" w:name="_Toc179466575"/>
      <w:r>
        <w:rPr>
          <w:rStyle w:val="CharSectno"/>
        </w:rPr>
        <w:t>32H</w:t>
      </w:r>
      <w:r>
        <w:t>.</w:t>
      </w:r>
      <w:r>
        <w:tab/>
        <w:t>When completion period begins for continuing requirements if previous approved CPR courses not completed</w:t>
      </w:r>
      <w:bookmarkEnd w:id="82"/>
      <w:bookmarkEnd w:id="83"/>
      <w:bookmarkEnd w:id="84"/>
    </w:p>
    <w:p>
      <w:pPr>
        <w:pStyle w:val="Subsection"/>
      </w:pPr>
      <w:r>
        <w:tab/>
        <w:t>(1)</w:t>
      </w:r>
      <w:r>
        <w:tab/>
        <w:t xml:space="preserve">For the purposes of regulation 32G(2), if an electrician has not completed an initial CPR course, the day on which the completion period begins is taken to be the day after the day on </w:t>
      </w:r>
      <w:r>
        <w:lastRenderedPageBreak/>
        <w:t>which the completion period referred to in regulation 32E(2) or 32F(2) ends, or would have ended had the electrician not been exempted from the requirement, as the case requires.</w:t>
      </w:r>
    </w:p>
    <w:p>
      <w:pPr>
        <w:pStyle w:val="Subsection"/>
        <w:rPr>
          <w:rStyle w:val="DraftersNotes"/>
          <w:b w:val="0"/>
          <w:i w:val="0"/>
        </w:rPr>
      </w:pPr>
      <w:r>
        <w:tab/>
        <w:t>(2)</w:t>
      </w:r>
      <w:r>
        <w:tab/>
        <w:t>For the purposes of regulation 32G(2), if an electrician has previously been required to complete, but has not completed, a continuing CPR course, the day on which the completion period begins for the next requirement is taken to be the day after the day on which the completion period referred to in regulation 32G(2) ends in relation to the previous requirement.</w:t>
      </w:r>
    </w:p>
    <w:p>
      <w:pPr>
        <w:pStyle w:val="Subsection"/>
      </w:pPr>
      <w:r>
        <w:tab/>
        <w:t>(3)</w:t>
      </w:r>
      <w:r>
        <w:tab/>
        <w:t>For the purposes of regulation 32G(2), if an electrician has been exempted from a requirement to complete a continuing CPR course, the day on which the completion period begins for the next requirement is taken to be the day after the day on which the completion period referred to in regulation 32G(2) would have ended had the electrician not been exempted from the requirement.</w:t>
      </w:r>
    </w:p>
    <w:p>
      <w:pPr>
        <w:pStyle w:val="Footnotesection"/>
        <w:rPr>
          <w:sz w:val="20"/>
        </w:rPr>
      </w:pPr>
      <w:r>
        <w:tab/>
        <w:t>[Regulation 32H inserted: SL 2024/211 r. 5.]</w:t>
      </w:r>
    </w:p>
    <w:p>
      <w:pPr>
        <w:pStyle w:val="Heading5"/>
      </w:pPr>
      <w:bookmarkStart w:id="85" w:name="_Toc179455538"/>
      <w:bookmarkStart w:id="86" w:name="_Toc179455778"/>
      <w:bookmarkStart w:id="87" w:name="_Toc179466576"/>
      <w:r>
        <w:rPr>
          <w:rStyle w:val="CharSectno"/>
        </w:rPr>
        <w:t>32I</w:t>
      </w:r>
      <w:r>
        <w:t>.</w:t>
      </w:r>
      <w:r>
        <w:tab/>
        <w:t>Powers to require course completion records</w:t>
      </w:r>
      <w:bookmarkEnd w:id="85"/>
      <w:bookmarkEnd w:id="86"/>
      <w:bookmarkEnd w:id="87"/>
      <w:r>
        <w:t xml:space="preserve"> </w:t>
      </w:r>
    </w:p>
    <w:p>
      <w:pPr>
        <w:pStyle w:val="Subsection"/>
      </w:pPr>
      <w:r>
        <w:tab/>
        <w:t>(1)</w:t>
      </w:r>
      <w:r>
        <w:tab/>
        <w:t xml:space="preserve">In this regulation — </w:t>
      </w:r>
    </w:p>
    <w:p>
      <w:pPr>
        <w:pStyle w:val="Defstart"/>
      </w:pPr>
      <w:r>
        <w:tab/>
      </w:r>
      <w:r>
        <w:rPr>
          <w:rStyle w:val="CharDefText"/>
        </w:rPr>
        <w:t>course completion record</w:t>
      </w:r>
      <w:r>
        <w:t>, in relation to a written direction, means an official certificate of completion or official transcript from a course provider for each course that a person was required to complete under this Division.</w:t>
      </w:r>
    </w:p>
    <w:p>
      <w:pPr>
        <w:pStyle w:val="Subsection"/>
      </w:pPr>
      <w:r>
        <w:tab/>
        <w:t>(2)</w:t>
      </w:r>
      <w:r>
        <w:tab/>
        <w:t>The Director may give a written direction to a person who was required under this Division to complete an approved CPR course within the period of 5 years before the day on which the direction is given.</w:t>
      </w:r>
    </w:p>
    <w:p>
      <w:pPr>
        <w:pStyle w:val="Subsection"/>
      </w:pPr>
      <w:r>
        <w:tab/>
        <w:t>(3)</w:t>
      </w:r>
      <w:r>
        <w:tab/>
        <w:t xml:space="preserve">The direction must include the following — </w:t>
      </w:r>
    </w:p>
    <w:p>
      <w:pPr>
        <w:pStyle w:val="Indenta"/>
      </w:pPr>
      <w:r>
        <w:tab/>
        <w:t>(a)</w:t>
      </w:r>
      <w:r>
        <w:tab/>
        <w:t xml:space="preserve">that the person must give a copy of the person’s course completion record to the Director within 10 working days from the day on which the direction is given; </w:t>
      </w:r>
    </w:p>
    <w:p>
      <w:pPr>
        <w:pStyle w:val="Indenta"/>
      </w:pPr>
      <w:r>
        <w:lastRenderedPageBreak/>
        <w:tab/>
        <w:t>(b)</w:t>
      </w:r>
      <w:r>
        <w:tab/>
        <w:t xml:space="preserve">the period of time that the course completion record must cover; </w:t>
      </w:r>
    </w:p>
    <w:p>
      <w:pPr>
        <w:pStyle w:val="Indenta"/>
      </w:pPr>
      <w:r>
        <w:tab/>
        <w:t>(c)</w:t>
      </w:r>
      <w:r>
        <w:tab/>
        <w:t>how the person must give a copy of the person’s course completion record to the Director.</w:t>
      </w:r>
    </w:p>
    <w:p>
      <w:pPr>
        <w:pStyle w:val="PermNoteHeading"/>
      </w:pPr>
      <w:r>
        <w:tab/>
        <w:t>Example for this subregulation:</w:t>
      </w:r>
    </w:p>
    <w:p>
      <w:pPr>
        <w:pStyle w:val="PermNoteText"/>
      </w:pPr>
      <w:r>
        <w:tab/>
      </w:r>
      <w:r>
        <w:tab/>
        <w:t>For the purposes of paragraph (c) — email, uploading to file transfer site.</w:t>
      </w:r>
    </w:p>
    <w:p>
      <w:pPr>
        <w:pStyle w:val="Subsection"/>
      </w:pPr>
      <w:r>
        <w:tab/>
        <w:t>(4)</w:t>
      </w:r>
      <w:r>
        <w:tab/>
        <w:t>The period of time referred to in subregulation (3)(b) must not be more than 5 years before the day on which the direction is given.</w:t>
      </w:r>
    </w:p>
    <w:p>
      <w:pPr>
        <w:pStyle w:val="Subsection"/>
      </w:pPr>
      <w:r>
        <w:tab/>
        <w:t>(5)</w:t>
      </w:r>
      <w:r>
        <w:tab/>
        <w:t xml:space="preserve">The direction is taken to be given to a licensed electrician if it is sent electronically to the electrician’s email address provided to the Board as referred to in regulation 28(3). </w:t>
      </w:r>
    </w:p>
    <w:p>
      <w:pPr>
        <w:pStyle w:val="Subsection"/>
      </w:pPr>
      <w:r>
        <w:tab/>
        <w:t>(6)</w:t>
      </w:r>
      <w:r>
        <w:tab/>
        <w:t xml:space="preserve">A person who fails to comply with a direction given to the person under this regulation commits an offence. </w:t>
      </w:r>
    </w:p>
    <w:p>
      <w:pPr>
        <w:pStyle w:val="Penstart"/>
      </w:pPr>
      <w:r>
        <w:tab/>
        <w:t>Penalty for this subregulation: a fine of $10 000.</w:t>
      </w:r>
    </w:p>
    <w:p>
      <w:pPr>
        <w:pStyle w:val="Subsection"/>
      </w:pPr>
      <w:r>
        <w:tab/>
        <w:t>(7)</w:t>
      </w:r>
      <w:r>
        <w:tab/>
        <w:t>It is a defence to a charge of an offence under subregulation (6) for the person charged to prove that they had a reasonable excuse for failing to comply with the direction.</w:t>
      </w:r>
    </w:p>
    <w:p>
      <w:pPr>
        <w:pStyle w:val="Footnotesection"/>
        <w:rPr>
          <w:sz w:val="20"/>
        </w:rPr>
      </w:pPr>
      <w:r>
        <w:tab/>
        <w:t>[Regulation 32I inserted: SL 2024/211 r. 5.]</w:t>
      </w:r>
    </w:p>
    <w:p>
      <w:pPr>
        <w:pStyle w:val="Heading2"/>
      </w:pPr>
      <w:bookmarkStart w:id="88" w:name="_Toc179464430"/>
      <w:bookmarkStart w:id="89" w:name="_Toc179465362"/>
      <w:bookmarkStart w:id="90" w:name="_Toc179466459"/>
      <w:bookmarkStart w:id="91" w:name="_Toc179466577"/>
      <w:r>
        <w:rPr>
          <w:rStyle w:val="CharPartNo"/>
        </w:rPr>
        <w:lastRenderedPageBreak/>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88"/>
      <w:bookmarkEnd w:id="89"/>
      <w:bookmarkEnd w:id="90"/>
      <w:bookmarkEnd w:id="91"/>
      <w:r>
        <w:rPr>
          <w:rStyle w:val="CharPartText"/>
        </w:rPr>
        <w:t xml:space="preserve"> </w:t>
      </w:r>
    </w:p>
    <w:p>
      <w:pPr>
        <w:pStyle w:val="Heading5"/>
        <w:spacing w:before="240"/>
        <w:rPr>
          <w:snapToGrid w:val="0"/>
        </w:rPr>
      </w:pPr>
      <w:bookmarkStart w:id="92" w:name="_Toc179466578"/>
      <w:r>
        <w:rPr>
          <w:rStyle w:val="CharSectno"/>
        </w:rPr>
        <w:t>33</w:t>
      </w:r>
      <w:r>
        <w:rPr>
          <w:snapToGrid w:val="0"/>
        </w:rPr>
        <w:t>.</w:t>
      </w:r>
      <w:r>
        <w:rPr>
          <w:snapToGrid w:val="0"/>
        </w:rPr>
        <w:tab/>
        <w:t>Electrical contracting prohibited unless authorised</w:t>
      </w:r>
      <w:bookmarkEnd w:id="92"/>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Lines w:val="0"/>
        <w:spacing w:before="180"/>
        <w:rPr>
          <w:snapToGrid w:val="0"/>
        </w:rPr>
      </w:pPr>
      <w:bookmarkStart w:id="93" w:name="_Toc179466579"/>
      <w:r>
        <w:rPr>
          <w:rStyle w:val="CharSectno"/>
        </w:rPr>
        <w:lastRenderedPageBreak/>
        <w:t>34</w:t>
      </w:r>
      <w:r>
        <w:rPr>
          <w:snapToGrid w:val="0"/>
        </w:rPr>
        <w:t>.</w:t>
      </w:r>
      <w:r>
        <w:rPr>
          <w:snapToGrid w:val="0"/>
        </w:rPr>
        <w:tab/>
        <w:t>Contracting with unlicensed person for electrical installing work, offence</w:t>
      </w:r>
      <w:bookmarkEnd w:id="93"/>
      <w:r>
        <w:rPr>
          <w:snapToGrid w:val="0"/>
        </w:rPr>
        <w:t xml:space="preserve"> </w:t>
      </w:r>
    </w:p>
    <w:p>
      <w:pPr>
        <w:pStyle w:val="Subsection"/>
        <w:keepLines/>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94" w:name="_Toc179466580"/>
      <w:r>
        <w:rPr>
          <w:rStyle w:val="CharSectno"/>
        </w:rPr>
        <w:t>35</w:t>
      </w:r>
      <w:r>
        <w:rPr>
          <w:snapToGrid w:val="0"/>
        </w:rPr>
        <w:t>.</w:t>
      </w:r>
      <w:r>
        <w:rPr>
          <w:snapToGrid w:val="0"/>
        </w:rPr>
        <w:tab/>
        <w:t>False representations as to completed electrical work</w:t>
      </w:r>
      <w:bookmarkEnd w:id="94"/>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95" w:name="_Toc179466581"/>
      <w:r>
        <w:rPr>
          <w:rStyle w:val="CharSectno"/>
        </w:rPr>
        <w:t>36</w:t>
      </w:r>
      <w:r>
        <w:rPr>
          <w:snapToGrid w:val="0"/>
        </w:rPr>
        <w:t>.</w:t>
      </w:r>
      <w:r>
        <w:rPr>
          <w:snapToGrid w:val="0"/>
        </w:rPr>
        <w:tab/>
        <w:t>Eligibility for electrical contractor’s licence</w:t>
      </w:r>
      <w:bookmarkEnd w:id="95"/>
      <w:r>
        <w:rPr>
          <w:snapToGrid w:val="0"/>
        </w:rPr>
        <w:t xml:space="preserve"> </w:t>
      </w:r>
    </w:p>
    <w:p>
      <w:pPr>
        <w:pStyle w:val="Subsection"/>
        <w:keepNext/>
        <w:rPr>
          <w:snapToGrid w:val="0"/>
        </w:rPr>
      </w:pPr>
      <w:r>
        <w:rPr>
          <w:snapToGrid w:val="0"/>
        </w:rPr>
        <w:tab/>
        <w:t>(1)</w:t>
      </w:r>
      <w:r>
        <w:rPr>
          <w:snapToGrid w:val="0"/>
        </w:rPr>
        <w:tab/>
        <w:t>Subject to these regulations, an electrical contractor’s licence may be issued under this Part to an individual if — </w:t>
      </w:r>
    </w:p>
    <w:p>
      <w:pPr>
        <w:pStyle w:val="Indenta"/>
        <w:keepNext/>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Next/>
        <w:rPr>
          <w:snapToGrid w:val="0"/>
        </w:rPr>
      </w:pPr>
      <w:r>
        <w:rPr>
          <w:snapToGrid w:val="0"/>
        </w:rPr>
        <w:tab/>
        <w:t>(iii)</w:t>
      </w:r>
      <w:r>
        <w:rPr>
          <w:snapToGrid w:val="0"/>
        </w:rPr>
        <w:tab/>
        <w:t xml:space="preserve">has, to the satisfaction of the Board, completed any training that is specified by the Board and </w:t>
      </w:r>
      <w:r>
        <w:rPr>
          <w:snapToGrid w:val="0"/>
        </w:rPr>
        <w:lastRenderedPageBreak/>
        <w:t xml:space="preserve">provided by a training institution approved by the </w:t>
      </w:r>
      <w:r>
        <w:t>Board;</w:t>
      </w:r>
    </w:p>
    <w:p>
      <w:pPr>
        <w:pStyle w:val="Ednotesubpara"/>
        <w:keepNext/>
      </w:pPr>
      <w:r>
        <w:tab/>
        <w:t>[(iv)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and</w:t>
      </w:r>
    </w:p>
    <w:p>
      <w:pPr>
        <w:pStyle w:val="Indenta"/>
      </w:pPr>
      <w:r>
        <w:tab/>
        <w:t>(c)</w:t>
      </w:r>
      <w:r>
        <w:tab/>
        <w:t>the individual holds a current policy of insurance against civil liability, in respect of the individual’s work as an electrical contractor, that complies with the requirements specified by the Board.</w:t>
      </w:r>
    </w:p>
    <w:p>
      <w:pPr>
        <w:pStyle w:val="Subsection"/>
        <w:keepNext/>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 xml:space="preserve">at least one member of the firm, or a person in its employ nominated by it, meets the requirements specified in </w:t>
      </w:r>
      <w:r>
        <w:t>subregulation (1)(a) and (b);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 and </w:t>
      </w:r>
    </w:p>
    <w:p>
      <w:pPr>
        <w:pStyle w:val="Indenta"/>
      </w:pPr>
      <w:r>
        <w:tab/>
        <w:t>(c)</w:t>
      </w:r>
      <w:r>
        <w:tab/>
        <w:t>the firm holds a current policy of insurance against civil liability, in respect of the firm’s work as an electrical contractor, that complies with the requirements specified by the Board.</w:t>
      </w:r>
    </w:p>
    <w:p>
      <w:pPr>
        <w:pStyle w:val="Subsection"/>
        <w:keepNext/>
        <w:spacing w:before="180"/>
        <w:rPr>
          <w:snapToGrid w:val="0"/>
        </w:rPr>
      </w:pPr>
      <w:r>
        <w:rPr>
          <w:snapToGrid w:val="0"/>
        </w:rPr>
        <w:lastRenderedPageBreak/>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(1)(a) and (b); and</w:t>
      </w:r>
    </w:p>
    <w:p>
      <w:pPr>
        <w:pStyle w:val="Indenta"/>
        <w:keepNext/>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 and </w:t>
      </w:r>
    </w:p>
    <w:p>
      <w:pPr>
        <w:pStyle w:val="Indenta"/>
      </w:pPr>
      <w:r>
        <w:tab/>
        <w:t>(c)</w:t>
      </w:r>
      <w:r>
        <w:tab/>
        <w:t>the body corporate holds a current policy of insurance against civil liability, in respect of the body corporate’s work as an electrical contractor, that complies with the requirements specified by the Board.</w:t>
      </w:r>
    </w:p>
    <w:p>
      <w:pPr>
        <w:pStyle w:val="Footnotesection"/>
        <w:ind w:left="890" w:hanging="890"/>
      </w:pPr>
      <w:r>
        <w:tab/>
        <w:t>[Regulation 36 amended: Gazette 23 Dec 1994 p. 7135; 6 Sep 1996 p. 4414</w:t>
      </w:r>
      <w:r>
        <w:noBreakHyphen/>
        <w:t>15; 31 Dec 2007 p. 6509</w:t>
      </w:r>
      <w:r>
        <w:noBreakHyphen/>
        <w:t xml:space="preserve">10; SL 2022/36 r. 13.] </w:t>
      </w:r>
    </w:p>
    <w:p>
      <w:pPr>
        <w:pStyle w:val="Heading5"/>
        <w:keepNext w:val="0"/>
        <w:keepLines w:val="0"/>
        <w:rPr>
          <w:snapToGrid w:val="0"/>
        </w:rPr>
      </w:pPr>
      <w:bookmarkStart w:id="96" w:name="_Toc179466582"/>
      <w:r>
        <w:rPr>
          <w:rStyle w:val="CharSectno"/>
        </w:rPr>
        <w:t>37</w:t>
      </w:r>
      <w:r>
        <w:rPr>
          <w:snapToGrid w:val="0"/>
        </w:rPr>
        <w:t>.</w:t>
      </w:r>
      <w:r>
        <w:rPr>
          <w:snapToGrid w:val="0"/>
        </w:rPr>
        <w:tab/>
        <w:t>In</w:t>
      </w:r>
      <w:r>
        <w:rPr>
          <w:snapToGrid w:val="0"/>
        </w:rPr>
        <w:noBreakHyphen/>
        <w:t>house electrical installing work, when permitted</w:t>
      </w:r>
      <w:bookmarkEnd w:id="96"/>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keepNext/>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Lines/>
        <w:rPr>
          <w:snapToGrid w:val="0"/>
        </w:rPr>
      </w:pPr>
      <w:r>
        <w:rPr>
          <w:snapToGrid w:val="0"/>
        </w:rPr>
        <w:lastRenderedPageBreak/>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keepNext/>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keepNext/>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lastRenderedPageBreak/>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97" w:name="_Toc179466583"/>
      <w:r>
        <w:rPr>
          <w:rStyle w:val="CharSectno"/>
        </w:rPr>
        <w:t>38</w:t>
      </w:r>
      <w:r>
        <w:rPr>
          <w:snapToGrid w:val="0"/>
        </w:rPr>
        <w:t>.</w:t>
      </w:r>
      <w:r>
        <w:rPr>
          <w:snapToGrid w:val="0"/>
        </w:rPr>
        <w:tab/>
        <w:t>Nominees under r. 36 and 37, cancelling etc.</w:t>
      </w:r>
      <w:bookmarkEnd w:id="97"/>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keepNext/>
      </w:pPr>
      <w:r>
        <w:tab/>
        <w:t>(2a)</w:t>
      </w:r>
      <w:r>
        <w:tab/>
        <w:t xml:space="preserve">The holder of a licence may nominate a person — </w:t>
      </w:r>
    </w:p>
    <w:p>
      <w:pPr>
        <w:pStyle w:val="Indenta"/>
      </w:pPr>
      <w:r>
        <w:tab/>
        <w:t>(a)</w:t>
      </w:r>
      <w:r>
        <w:tab/>
        <w:t>as a replacement for a nominee; or</w:t>
      </w:r>
    </w:p>
    <w:p>
      <w:pPr>
        <w:pStyle w:val="Indenta"/>
        <w:keepNext/>
      </w:pPr>
      <w:r>
        <w:tab/>
        <w:t>(b)</w:t>
      </w:r>
      <w:r>
        <w:tab/>
        <w:t>as an additional nominee,</w:t>
      </w:r>
    </w:p>
    <w:p>
      <w:pPr>
        <w:pStyle w:val="Subsection"/>
        <w:spacing w:before="180"/>
      </w:pPr>
      <w:r>
        <w:tab/>
      </w:r>
      <w:r>
        <w:tab/>
        <w:t>by giving notice in writing to the Board together with the appropriate fee.</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w:t>
      </w:r>
      <w:r>
        <w:rPr>
          <w:snapToGrid w:val="0"/>
        </w:rPr>
        <w:lastRenderedPageBreak/>
        <w:t>person who is so ineligible to continue to be his or her</w:t>
      </w:r>
      <w:r>
        <w:t xml:space="preserve"> nominee</w:t>
      </w:r>
      <w:r>
        <w:rPr>
          <w:snapToGrid w:val="0"/>
        </w:rPr>
        <w:t>, the holder of the licence commits an offence.</w:t>
      </w:r>
    </w:p>
    <w:p>
      <w:pPr>
        <w:pStyle w:val="Subsection"/>
        <w:keepNext/>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keepNext/>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keepNext/>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keepNext/>
        <w:rPr>
          <w:snapToGrid w:val="0"/>
        </w:rPr>
      </w:pPr>
      <w:r>
        <w:rPr>
          <w:snapToGrid w:val="0"/>
        </w:rPr>
        <w:tab/>
      </w:r>
      <w:r>
        <w:rPr>
          <w:snapToGrid w:val="0"/>
        </w:rPr>
        <w:tab/>
        <w:t>meets the requirements specified in regulation 37.</w:t>
      </w:r>
    </w:p>
    <w:p>
      <w:pPr>
        <w:pStyle w:val="Footnotesection"/>
      </w:pPr>
      <w:r>
        <w:tab/>
        <w:t xml:space="preserve">[Regulation 38 amended: Gazette 31 Dec 2007 p. 6511 and 6538; SL 2024/96 r. 19.] </w:t>
      </w:r>
    </w:p>
    <w:p>
      <w:pPr>
        <w:pStyle w:val="Heading5"/>
      </w:pPr>
      <w:bookmarkStart w:id="98" w:name="_Toc179466584"/>
      <w:r>
        <w:rPr>
          <w:rStyle w:val="CharSectno"/>
        </w:rPr>
        <w:t>38A</w:t>
      </w:r>
      <w:r>
        <w:t>.</w:t>
      </w:r>
      <w:r>
        <w:tab/>
        <w:t>Nominee not required to comply with certain directions</w:t>
      </w:r>
      <w:bookmarkEnd w:id="98"/>
    </w:p>
    <w:p>
      <w:pPr>
        <w:pStyle w:val="Subsection"/>
        <w:keepNext/>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99" w:name="_Toc179466585"/>
      <w:r>
        <w:rPr>
          <w:rStyle w:val="CharSectno"/>
        </w:rPr>
        <w:lastRenderedPageBreak/>
        <w:t>39</w:t>
      </w:r>
      <w:r>
        <w:rPr>
          <w:snapToGrid w:val="0"/>
        </w:rPr>
        <w:t>.</w:t>
      </w:r>
      <w:r>
        <w:rPr>
          <w:snapToGrid w:val="0"/>
        </w:rPr>
        <w:tab/>
        <w:t>Applications for licences and renewals of registration</w:t>
      </w:r>
      <w:bookmarkEnd w:id="99"/>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w:t>
      </w:r>
      <w:r>
        <w:t xml:space="preserve">fee,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keepNext/>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Gazette 23 Dec 1994 p. 7134; 6 Sep 1996 p. 4415; 31 Dec 2007 p. 6511; 27 Jun 2013 p. 2708; SL 2024/96 r. 20.] </w:t>
      </w:r>
    </w:p>
    <w:p>
      <w:pPr>
        <w:pStyle w:val="Heading5"/>
        <w:rPr>
          <w:snapToGrid w:val="0"/>
        </w:rPr>
      </w:pPr>
      <w:bookmarkStart w:id="100" w:name="_Toc179466586"/>
      <w:r>
        <w:rPr>
          <w:rStyle w:val="CharSectno"/>
        </w:rPr>
        <w:t>40</w:t>
      </w:r>
      <w:r>
        <w:rPr>
          <w:snapToGrid w:val="0"/>
        </w:rPr>
        <w:t>.</w:t>
      </w:r>
      <w:r>
        <w:rPr>
          <w:snapToGrid w:val="0"/>
        </w:rPr>
        <w:tab/>
        <w:t>Issue and registration of licence</w:t>
      </w:r>
      <w:bookmarkEnd w:id="100"/>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keepNext/>
      </w:pPr>
      <w:r>
        <w:lastRenderedPageBreak/>
        <w:tab/>
        <w:t>(4)</w:t>
      </w:r>
      <w:r>
        <w:tab/>
        <w:t xml:space="preserve">If the Board decides — </w:t>
      </w:r>
    </w:p>
    <w:p>
      <w:pPr>
        <w:pStyle w:val="Indenta"/>
      </w:pPr>
      <w:r>
        <w:tab/>
        <w:t>(a)</w:t>
      </w:r>
      <w:r>
        <w:tab/>
        <w:t>to refuse to issue a licence; or</w:t>
      </w:r>
    </w:p>
    <w:p>
      <w:pPr>
        <w:pStyle w:val="Indenta"/>
        <w:keepNext/>
      </w:pPr>
      <w:r>
        <w:tab/>
        <w:t>(b)</w:t>
      </w:r>
      <w:r>
        <w:tab/>
        <w:t>to issue a licence subject to any restriction or condition,</w:t>
      </w:r>
    </w:p>
    <w:p>
      <w:pPr>
        <w:pStyle w:val="Subsection"/>
        <w:keepNext/>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101" w:name="_Toc179466587"/>
      <w:r>
        <w:rPr>
          <w:rStyle w:val="CharSectno"/>
        </w:rPr>
        <w:t>41</w:t>
      </w:r>
      <w:r>
        <w:rPr>
          <w:snapToGrid w:val="0"/>
        </w:rPr>
        <w:t>.</w:t>
      </w:r>
      <w:r>
        <w:rPr>
          <w:snapToGrid w:val="0"/>
        </w:rPr>
        <w:tab/>
        <w:t>Changes to firm, effect of on firm’s licence</w:t>
      </w:r>
      <w:bookmarkEnd w:id="101"/>
    </w:p>
    <w:p>
      <w:pPr>
        <w:pStyle w:val="Subsection"/>
        <w:keepNext/>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keepNext/>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102" w:name="_Toc179466588"/>
      <w:r>
        <w:rPr>
          <w:rStyle w:val="CharSectno"/>
        </w:rPr>
        <w:t>42</w:t>
      </w:r>
      <w:r>
        <w:rPr>
          <w:snapToGrid w:val="0"/>
        </w:rPr>
        <w:t>.</w:t>
      </w:r>
      <w:r>
        <w:rPr>
          <w:snapToGrid w:val="0"/>
        </w:rPr>
        <w:tab/>
        <w:t>Changes to firm, Board to be notified of</w:t>
      </w:r>
      <w:bookmarkEnd w:id="102"/>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103" w:name="_Toc179466589"/>
      <w:r>
        <w:rPr>
          <w:rStyle w:val="CharSectno"/>
        </w:rPr>
        <w:t>43</w:t>
      </w:r>
      <w:r>
        <w:rPr>
          <w:snapToGrid w:val="0"/>
        </w:rPr>
        <w:t>.</w:t>
      </w:r>
      <w:r>
        <w:rPr>
          <w:snapToGrid w:val="0"/>
        </w:rPr>
        <w:tab/>
        <w:t>Duration of registration of licence</w:t>
      </w:r>
      <w:bookmarkEnd w:id="103"/>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keepNext/>
      </w:pPr>
      <w:r>
        <w:lastRenderedPageBreak/>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104" w:name="_Toc179466590"/>
      <w:r>
        <w:rPr>
          <w:rStyle w:val="CharSectno"/>
        </w:rPr>
        <w:t>44</w:t>
      </w:r>
      <w:r>
        <w:rPr>
          <w:snapToGrid w:val="0"/>
        </w:rPr>
        <w:t>.</w:t>
      </w:r>
      <w:r>
        <w:rPr>
          <w:snapToGrid w:val="0"/>
        </w:rPr>
        <w:tab/>
        <w:t>Renewal of registration of licence</w:t>
      </w:r>
      <w:bookmarkEnd w:id="104"/>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105" w:name="_Toc179466591"/>
      <w:r>
        <w:rPr>
          <w:rStyle w:val="CharSectno"/>
        </w:rPr>
        <w:lastRenderedPageBreak/>
        <w:t>44A</w:t>
      </w:r>
      <w:r>
        <w:t>.</w:t>
      </w:r>
      <w:r>
        <w:tab/>
        <w:t>Insurance of licensed electrical contractor, Board may require details of</w:t>
      </w:r>
      <w:bookmarkEnd w:id="105"/>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keepNext/>
      </w:pPr>
      <w:r>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106" w:name="_Toc179466592"/>
      <w:r>
        <w:rPr>
          <w:rStyle w:val="CharSectno"/>
        </w:rPr>
        <w:t>45</w:t>
      </w:r>
      <w:r>
        <w:rPr>
          <w:snapToGrid w:val="0"/>
        </w:rPr>
        <w:t>.</w:t>
      </w:r>
      <w:r>
        <w:rPr>
          <w:snapToGrid w:val="0"/>
        </w:rPr>
        <w:tab/>
        <w:t>Place of business, display of licence at and change of etc.</w:t>
      </w:r>
      <w:bookmarkEnd w:id="106"/>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keepNext/>
        <w:rPr>
          <w:snapToGrid w:val="0"/>
        </w:rPr>
      </w:pPr>
      <w:r>
        <w:rPr>
          <w:snapToGrid w:val="0"/>
        </w:rPr>
        <w:tab/>
        <w:t>(4)</w:t>
      </w:r>
      <w:r>
        <w:rPr>
          <w:snapToGrid w:val="0"/>
        </w:rPr>
        <w:tab/>
        <w:t xml:space="preserve">The holder of a licence shall ensure that he or she or a responsible person employed by him or her is informed of any </w:t>
      </w:r>
      <w:r>
        <w:rPr>
          <w:snapToGrid w:val="0"/>
        </w:rPr>
        <w:lastRenderedPageBreak/>
        <w:t>electrical work being undertaken at any time under the authority of his or her licence.</w:t>
      </w:r>
    </w:p>
    <w:p>
      <w:pPr>
        <w:pStyle w:val="Footnotesection"/>
      </w:pPr>
      <w:r>
        <w:tab/>
        <w:t>[Regulation 45 amended: Gazette 31 Dec 2007 p. 6514.]</w:t>
      </w:r>
    </w:p>
    <w:p>
      <w:pPr>
        <w:pStyle w:val="Heading5"/>
        <w:spacing w:before="180"/>
      </w:pPr>
      <w:bookmarkStart w:id="107" w:name="_Toc179466593"/>
      <w:r>
        <w:rPr>
          <w:rStyle w:val="CharSectno"/>
        </w:rPr>
        <w:t>45A</w:t>
      </w:r>
      <w:r>
        <w:t>.</w:t>
      </w:r>
      <w:r>
        <w:tab/>
        <w:t>Physical examinations, Board may require</w:t>
      </w:r>
      <w:bookmarkEnd w:id="107"/>
    </w:p>
    <w:p>
      <w:pPr>
        <w:pStyle w:val="Subsection"/>
        <w:keepNext/>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keepNext/>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keepNext/>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keepNext/>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lastRenderedPageBreak/>
        <w:tab/>
        <w:t>(c)</w:t>
      </w:r>
      <w:r>
        <w:tab/>
        <w:t>fails in that examination to meet the standards considered by the Board to be appropriate.</w:t>
      </w:r>
    </w:p>
    <w:p>
      <w:pPr>
        <w:pStyle w:val="Subsection"/>
        <w:keepNext/>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keepNext/>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108" w:name="_Toc179466594"/>
      <w:r>
        <w:rPr>
          <w:rStyle w:val="CharSectno"/>
        </w:rPr>
        <w:t>46</w:t>
      </w:r>
      <w:r>
        <w:rPr>
          <w:snapToGrid w:val="0"/>
        </w:rPr>
        <w:t>.</w:t>
      </w:r>
      <w:r>
        <w:rPr>
          <w:snapToGrid w:val="0"/>
        </w:rPr>
        <w:tab/>
        <w:t>Disciplinary action, proper causes for</w:t>
      </w:r>
      <w:bookmarkEnd w:id="108"/>
    </w:p>
    <w:p>
      <w:pPr>
        <w:pStyle w:val="Subsection"/>
        <w:keepNext/>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keepNext/>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keepNext/>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keepLines/>
        <w:rPr>
          <w:snapToGrid w:val="0"/>
        </w:rPr>
      </w:pPr>
      <w:r>
        <w:rPr>
          <w:snapToGrid w:val="0"/>
        </w:rPr>
        <w:lastRenderedPageBreak/>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keepNext/>
      </w:pPr>
      <w:r>
        <w:tab/>
        <w:t>(1a)</w:t>
      </w:r>
      <w:r>
        <w:tab/>
        <w:t xml:space="preserve">In subregulation (1) — </w:t>
      </w:r>
    </w:p>
    <w:p>
      <w:pPr>
        <w:pStyle w:val="Defstart"/>
        <w:keepNex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keepNext/>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109" w:name="_Toc179466595"/>
      <w:r>
        <w:rPr>
          <w:rStyle w:val="CharSectno"/>
        </w:rPr>
        <w:t>47</w:t>
      </w:r>
      <w:r>
        <w:rPr>
          <w:snapToGrid w:val="0"/>
        </w:rPr>
        <w:t>.</w:t>
      </w:r>
      <w:r>
        <w:rPr>
          <w:snapToGrid w:val="0"/>
        </w:rPr>
        <w:tab/>
        <w:t>Disciplinary action by SAT</w:t>
      </w:r>
      <w:bookmarkEnd w:id="109"/>
    </w:p>
    <w:p>
      <w:pPr>
        <w:pStyle w:val="Subsection"/>
        <w:keepNext/>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keepNext/>
      </w:pPr>
      <w:r>
        <w:tab/>
        <w:t>(1ab)</w:t>
      </w:r>
      <w:r>
        <w:tab/>
        <w:t xml:space="preserve">In subregulation (2)(a), (b), (c), (f) and (g)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lastRenderedPageBreak/>
        <w:tab/>
        <w:t>(1)</w:t>
      </w:r>
      <w:r>
        <w:rPr>
          <w:snapToGrid w:val="0"/>
        </w:rPr>
        <w:tab/>
        <w:t>The Director may allege to the State Administrative Tribunal that there is proper cause for disciplinary action, as mentioned in regulation 46(1), against the holder of a licence.</w:t>
      </w:r>
    </w:p>
    <w:p>
      <w:pPr>
        <w:pStyle w:val="Subsection"/>
        <w:keepNext/>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keepNext/>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110" w:name="_Toc179466596"/>
      <w:r>
        <w:rPr>
          <w:rStyle w:val="CharSectno"/>
        </w:rPr>
        <w:lastRenderedPageBreak/>
        <w:t>47A</w:t>
      </w:r>
      <w:r>
        <w:rPr>
          <w:snapToGrid w:val="0"/>
        </w:rPr>
        <w:t>.</w:t>
      </w:r>
      <w:r>
        <w:rPr>
          <w:snapToGrid w:val="0"/>
        </w:rPr>
        <w:tab/>
        <w:t>Alternative to seeking disciplinary action under r. 47</w:t>
      </w:r>
      <w:bookmarkEnd w:id="110"/>
    </w:p>
    <w:p>
      <w:pPr>
        <w:pStyle w:val="Subsection"/>
        <w:keepNext/>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keepNext/>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keepNext/>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lastRenderedPageBreak/>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keepNext/>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111" w:name="_Toc179466597"/>
      <w:r>
        <w:rPr>
          <w:rStyle w:val="CharSectno"/>
        </w:rPr>
        <w:t>47B</w:t>
      </w:r>
      <w:r>
        <w:t>.</w:t>
      </w:r>
      <w:r>
        <w:tab/>
        <w:t>Suspension, effect and revocation of</w:t>
      </w:r>
      <w:bookmarkEnd w:id="111"/>
    </w:p>
    <w:p>
      <w:pPr>
        <w:pStyle w:val="Subsection"/>
      </w:pPr>
      <w:r>
        <w:tab/>
        <w:t>(1)</w:t>
      </w:r>
      <w:r>
        <w:tab/>
        <w:t xml:space="preserve">During any period for which an electrical contractor’s licence is suspended under these regulations, the holder is not authorised to carry on business as an electrical contractor under the licence except that, where a suspension is expressed to be of a limited </w:t>
      </w:r>
      <w:r>
        <w:lastRenderedPageBreak/>
        <w:t>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keepNext/>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112" w:name="_Toc179466598"/>
      <w:r>
        <w:rPr>
          <w:rStyle w:val="CharSectno"/>
        </w:rPr>
        <w:t>47C</w:t>
      </w:r>
      <w:r>
        <w:t>.</w:t>
      </w:r>
      <w:r>
        <w:tab/>
        <w:t>Nominees to be notified of cancellation or suspension of licence</w:t>
      </w:r>
      <w:bookmarkEnd w:id="112"/>
    </w:p>
    <w:p>
      <w:pPr>
        <w:pStyle w:val="Subsection"/>
        <w:keepNext/>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113" w:name="_Toc179464452"/>
      <w:bookmarkStart w:id="114" w:name="_Toc179465384"/>
      <w:bookmarkStart w:id="115" w:name="_Toc179466481"/>
      <w:bookmarkStart w:id="116" w:name="_Toc179466599"/>
      <w:r>
        <w:rPr>
          <w:rStyle w:val="CharPartNo"/>
        </w:rPr>
        <w:lastRenderedPageBreak/>
        <w:t>Part 5</w:t>
      </w:r>
      <w:r>
        <w:t> — </w:t>
      </w:r>
      <w:r>
        <w:rPr>
          <w:rStyle w:val="CharPartText"/>
        </w:rPr>
        <w:t>Regulation of electrical work</w:t>
      </w:r>
      <w:bookmarkEnd w:id="113"/>
      <w:bookmarkEnd w:id="114"/>
      <w:bookmarkEnd w:id="115"/>
      <w:bookmarkEnd w:id="116"/>
      <w:r>
        <w:rPr>
          <w:rStyle w:val="CharPartText"/>
        </w:rPr>
        <w:t xml:space="preserve"> </w:t>
      </w:r>
    </w:p>
    <w:p>
      <w:pPr>
        <w:pStyle w:val="Heading3"/>
      </w:pPr>
      <w:bookmarkStart w:id="117" w:name="_Toc179464453"/>
      <w:bookmarkStart w:id="118" w:name="_Toc179465385"/>
      <w:bookmarkStart w:id="119" w:name="_Toc179466482"/>
      <w:bookmarkStart w:id="120" w:name="_Toc179466600"/>
      <w:r>
        <w:rPr>
          <w:rStyle w:val="CharDivNo"/>
        </w:rPr>
        <w:t>Division 1</w:t>
      </w:r>
      <w:r>
        <w:t> — </w:t>
      </w:r>
      <w:r>
        <w:rPr>
          <w:rStyle w:val="CharDivText"/>
        </w:rPr>
        <w:t>General regulation of electrical work</w:t>
      </w:r>
      <w:bookmarkEnd w:id="117"/>
      <w:bookmarkEnd w:id="118"/>
      <w:bookmarkEnd w:id="119"/>
      <w:bookmarkEnd w:id="120"/>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121" w:name="_Toc179466601"/>
      <w:r>
        <w:rPr>
          <w:rStyle w:val="CharSectno"/>
        </w:rPr>
        <w:t>49</w:t>
      </w:r>
      <w:r>
        <w:rPr>
          <w:snapToGrid w:val="0"/>
        </w:rPr>
        <w:t>.</w:t>
      </w:r>
      <w:r>
        <w:rPr>
          <w:snapToGrid w:val="0"/>
        </w:rPr>
        <w:tab/>
      </w:r>
      <w:r>
        <w:t>Requirements for electrical work</w:t>
      </w:r>
      <w:bookmarkEnd w:id="121"/>
    </w:p>
    <w:p>
      <w:pPr>
        <w:pStyle w:val="Subsection"/>
        <w:keepNext/>
        <w:rPr>
          <w:snapToGrid w:val="0"/>
        </w:rPr>
      </w:pPr>
      <w:r>
        <w:rPr>
          <w:snapToGrid w:val="0"/>
        </w:rPr>
        <w:tab/>
        <w:t>(1)</w:t>
      </w:r>
      <w:r>
        <w:rPr>
          <w:snapToGrid w:val="0"/>
        </w:rPr>
        <w:tab/>
      </w:r>
      <w:r>
        <w:t>Subject to subregulations (2a) and (2B),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w:t>
      </w:r>
      <w:r>
        <w:t>Rules; and</w:t>
      </w:r>
    </w:p>
    <w:p>
      <w:pPr>
        <w:pStyle w:val="Indenta"/>
      </w:pPr>
      <w:r>
        <w:tab/>
        <w:t>(b)</w:t>
      </w:r>
      <w:r>
        <w:tab/>
        <w:t xml:space="preserve">the WA Electrical Requirements issued by the Director in August 2021 and published in the </w:t>
      </w:r>
      <w:r>
        <w:rPr>
          <w:i/>
        </w:rPr>
        <w:t>Gazette</w:t>
      </w:r>
      <w:r>
        <w:t xml:space="preserve"> on 6 April 2022 at page 2541; and</w:t>
      </w:r>
    </w:p>
    <w:p>
      <w:pPr>
        <w:pStyle w:val="Indenta"/>
      </w:pPr>
      <w:r>
        <w:tab/>
        <w:t>(c)</w:t>
      </w:r>
      <w:r>
        <w:tab/>
        <w:t>the standards specified in Schedule 2;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keepNext/>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keepNext/>
      </w:pPr>
      <w:r>
        <w:lastRenderedPageBreak/>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keepNext/>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keepNext/>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SL 2022/36 r. 14; SL 2023/30 r. 4.] </w:t>
      </w:r>
    </w:p>
    <w:p>
      <w:pPr>
        <w:pStyle w:val="Heading5"/>
      </w:pPr>
      <w:bookmarkStart w:id="122" w:name="_Toc179466602"/>
      <w:r>
        <w:rPr>
          <w:rStyle w:val="CharSectno"/>
        </w:rPr>
        <w:lastRenderedPageBreak/>
        <w:t>49A</w:t>
      </w:r>
      <w:r>
        <w:t>.</w:t>
      </w:r>
      <w:r>
        <w:tab/>
        <w:t>Electrical installation designers, duties of</w:t>
      </w:r>
      <w:bookmarkEnd w:id="122"/>
    </w:p>
    <w:p>
      <w:pPr>
        <w:pStyle w:val="Subsection"/>
        <w:keepNext/>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keepNext/>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123" w:name="_Toc179466603"/>
      <w:r>
        <w:rPr>
          <w:rStyle w:val="CharSectno"/>
        </w:rPr>
        <w:t>49B</w:t>
      </w:r>
      <w:r>
        <w:t>.</w:t>
      </w:r>
      <w:r>
        <w:tab/>
        <w:t>Electrical work to be carried out to safe standard and completed to trade finish</w:t>
      </w:r>
      <w:bookmarkEnd w:id="123"/>
    </w:p>
    <w:p>
      <w:pPr>
        <w:pStyle w:val="Subsection"/>
        <w:keepNext/>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keepNext/>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124" w:name="_Toc179466604"/>
      <w:r>
        <w:rPr>
          <w:rStyle w:val="CharSectno"/>
        </w:rPr>
        <w:t>49C</w:t>
      </w:r>
      <w:r>
        <w:t>.</w:t>
      </w:r>
      <w:r>
        <w:tab/>
        <w:t>Supervision of electrical work: interpretation</w:t>
      </w:r>
      <w:bookmarkEnd w:id="124"/>
    </w:p>
    <w:p>
      <w:pPr>
        <w:pStyle w:val="Subsection"/>
        <w:keepNext/>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 xml:space="preserve">For the purposes of regulations 49D and 50, a person carries out electrical work near a part of an electrical installation if, in carrying out the work, the person may make contact, directly or </w:t>
      </w:r>
      <w:r>
        <w:lastRenderedPageBreak/>
        <w:t>indirectly (including with a thing used or controlled by the person), with a part of the electrical installation.</w:t>
      </w:r>
    </w:p>
    <w:p>
      <w:pPr>
        <w:pStyle w:val="Subsection"/>
        <w:keepNext/>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125" w:name="_Toc179466605"/>
      <w:r>
        <w:rPr>
          <w:rStyle w:val="CharSectno"/>
        </w:rPr>
        <w:t>49D</w:t>
      </w:r>
      <w:r>
        <w:t>.</w:t>
      </w:r>
      <w:r>
        <w:tab/>
        <w:t>Supervision of electrical work: levels of supervision</w:t>
      </w:r>
      <w:bookmarkEnd w:id="125"/>
    </w:p>
    <w:p>
      <w:pPr>
        <w:pStyle w:val="Subsection"/>
        <w:keepNext/>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keepNext/>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keepNext/>
      </w:pPr>
      <w:r>
        <w:tab/>
        <w:t>(c)</w:t>
      </w:r>
      <w:r>
        <w:tab/>
        <w:t xml:space="preserve">while the electrical work is being carried out — </w:t>
      </w:r>
    </w:p>
    <w:p>
      <w:pPr>
        <w:pStyle w:val="Indenti"/>
      </w:pPr>
      <w:r>
        <w:tab/>
        <w:t>(i)</w:t>
      </w:r>
      <w:r>
        <w:tab/>
        <w:t>is readily available or contactable to provide advice and guidance; and</w:t>
      </w:r>
    </w:p>
    <w:p>
      <w:pPr>
        <w:pStyle w:val="Indenti"/>
        <w:keepNext/>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keepNext/>
      </w:pPr>
      <w:r>
        <w:lastRenderedPageBreak/>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keepNext/>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keepNext/>
      </w:pPr>
      <w:r>
        <w:lastRenderedPageBreak/>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keepNext/>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126" w:name="_Toc179466606"/>
      <w:r>
        <w:rPr>
          <w:rStyle w:val="CharSectno"/>
        </w:rPr>
        <w:t>50</w:t>
      </w:r>
      <w:r>
        <w:rPr>
          <w:snapToGrid w:val="0"/>
        </w:rPr>
        <w:t>.</w:t>
      </w:r>
      <w:r>
        <w:rPr>
          <w:snapToGrid w:val="0"/>
        </w:rPr>
        <w:tab/>
        <w:t>Supervision of electrical work: requirements</w:t>
      </w:r>
      <w:bookmarkEnd w:id="126"/>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keepNext/>
        <w:keepLines/>
      </w:pPr>
      <w:r>
        <w:tab/>
        <w:t>(3)</w:t>
      </w:r>
      <w:r>
        <w:tab/>
        <w:t xml:space="preserve">For the purposes of subregulation (1), a person employing an electrical worker must — </w:t>
      </w:r>
    </w:p>
    <w:p>
      <w:pPr>
        <w:pStyle w:val="Indenta"/>
        <w:keepNext/>
        <w:keepLines/>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keepNext/>
      </w:pPr>
      <w:r>
        <w:lastRenderedPageBreak/>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keepNext/>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keepNext/>
      </w:pPr>
      <w:r>
        <w:tab/>
        <w:t>(ii)</w:t>
      </w:r>
      <w:r>
        <w:tab/>
        <w:t>does not, in any case, supervise the electrical work of more than 4 electrical workers whose electrical work requires supervision;</w:t>
      </w:r>
    </w:p>
    <w:p>
      <w:pPr>
        <w:pStyle w:val="Indenta"/>
      </w:pPr>
      <w:r>
        <w:tab/>
      </w:r>
      <w:r>
        <w:tab/>
        <w:t>and</w:t>
      </w:r>
    </w:p>
    <w:p>
      <w:pPr>
        <w:pStyle w:val="Indenta"/>
        <w:keepNext/>
      </w:pPr>
      <w:r>
        <w:lastRenderedPageBreak/>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keepNext/>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lastRenderedPageBreak/>
        <w:tab/>
        <w:t>(iii)</w:t>
      </w:r>
      <w:r>
        <w:tab/>
        <w:t>understands that, in relation to carrying out electrical work, they are not to take instructions from anyone other than their supervising electrical worker.</w:t>
      </w:r>
    </w:p>
    <w:p>
      <w:pPr>
        <w:pStyle w:val="Subsection"/>
        <w:keepNext/>
        <w:keepLines/>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keepNext/>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keepNext/>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127" w:name="_Toc179466607"/>
      <w:r>
        <w:rPr>
          <w:rStyle w:val="CharSectno"/>
        </w:rPr>
        <w:lastRenderedPageBreak/>
        <w:t>50AA</w:t>
      </w:r>
      <w:r>
        <w:t>.</w:t>
      </w:r>
      <w:r>
        <w:tab/>
        <w:t>Supervision of electrical work: informing employer and supervisor of experience of apprentice or trainee</w:t>
      </w:r>
      <w:bookmarkEnd w:id="127"/>
    </w:p>
    <w:p>
      <w:pPr>
        <w:pStyle w:val="Subsection"/>
        <w:keepNext/>
      </w:pPr>
      <w:r>
        <w:tab/>
        <w:t>(1)</w:t>
      </w:r>
      <w:r>
        <w:tab/>
        <w:t xml:space="preserve">In this regulation — </w:t>
      </w:r>
    </w:p>
    <w:p>
      <w:pPr>
        <w:pStyle w:val="Defstart"/>
      </w:pPr>
      <w: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the </w:t>
      </w:r>
      <w:r>
        <w:rPr>
          <w:i/>
        </w:rPr>
        <w:t>Industrial Relations Act 1979</w:t>
      </w:r>
      <w:r>
        <w:t xml:space="preserve"> section 7(1);</w:t>
      </w:r>
    </w:p>
    <w:p>
      <w:pPr>
        <w:pStyle w:val="Defstart"/>
        <w:keepNex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meaning given in subregulation (1A);</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(1A)</w:t>
      </w:r>
      <w:r>
        <w:tab/>
        <w:t xml:space="preserve">A </w:t>
      </w:r>
      <w:r>
        <w:rPr>
          <w:rStyle w:val="CharDefText"/>
        </w:rPr>
        <w:t>labour hire arrangement</w:t>
      </w:r>
      <w:r>
        <w:t xml:space="preserve"> exists if — </w:t>
      </w:r>
    </w:p>
    <w:p>
      <w:pPr>
        <w:pStyle w:val="Indenta"/>
      </w:pPr>
      <w:r>
        <w:tab/>
        <w:t>(a)</w:t>
      </w:r>
      <w:r>
        <w:tab/>
        <w:t>an agent has for remuneration agreed with a client to provide an electrical worker to carry out electrical work for the client; and</w:t>
      </w:r>
    </w:p>
    <w:p>
      <w:pPr>
        <w:pStyle w:val="Indenta"/>
      </w:pPr>
      <w:r>
        <w:tab/>
        <w:t>(b)</w:t>
      </w:r>
      <w:r>
        <w:tab/>
        <w:t>there is no contract of employment between the electrical worker and the client in relation to the electrical work; and</w:t>
      </w:r>
    </w:p>
    <w:p>
      <w:pPr>
        <w:pStyle w:val="Indenta"/>
      </w:pPr>
      <w:r>
        <w:tab/>
        <w:t>(c)</w:t>
      </w:r>
      <w:r>
        <w:tab/>
        <w:t>there is an agreement (which may be a contract of employment) between the electrical worker and the agent as to the carrying out of electrical work including in respect of remuneration and other entitlements; and</w:t>
      </w:r>
    </w:p>
    <w:p>
      <w:pPr>
        <w:pStyle w:val="Indenta"/>
      </w:pPr>
      <w:r>
        <w:lastRenderedPageBreak/>
        <w:tab/>
        <w:t>(d)</w:t>
      </w:r>
      <w:r>
        <w:tab/>
        <w:t>that agreement applies to the carrying out of the electrical work by the electrical worker for the client.</w:t>
      </w:r>
    </w:p>
    <w:p>
      <w:pPr>
        <w:pStyle w:val="Subsection"/>
      </w:pPr>
      <w:r>
        <w:tab/>
        <w:t>(2)</w:t>
      </w:r>
      <w:r>
        <w:tab/>
        <w:t>A person employing an electrical worker in training must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keepNext/>
      </w:pPr>
      <w:r>
        <w:tab/>
        <w:t>(3)</w:t>
      </w:r>
      <w:r>
        <w:tab/>
        <w:t>A supervising electrical worker must ensure that, before an electrical worker in training carries out any electrical work under their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 SL 2022/26 r. 10.]</w:t>
      </w:r>
    </w:p>
    <w:p>
      <w:pPr>
        <w:pStyle w:val="Heading5"/>
      </w:pPr>
      <w:bookmarkStart w:id="128" w:name="_Toc179466608"/>
      <w:r>
        <w:rPr>
          <w:rStyle w:val="CharSectno"/>
        </w:rPr>
        <w:t>50AB</w:t>
      </w:r>
      <w:r>
        <w:t>.</w:t>
      </w:r>
      <w:r>
        <w:tab/>
        <w:t>Employer to be satisfied former apprentice has successfully completed training</w:t>
      </w:r>
      <w:bookmarkEnd w:id="128"/>
    </w:p>
    <w:p>
      <w:pPr>
        <w:pStyle w:val="Subsection"/>
        <w:keepNext/>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keepNext/>
      </w:pPr>
      <w:r>
        <w:tab/>
        <w:t>(b)</w:t>
      </w:r>
      <w:r>
        <w:tab/>
        <w:t>who purports to have completed the apprenticeship or course of training relevant to that licence,</w:t>
      </w:r>
    </w:p>
    <w:p>
      <w:pPr>
        <w:pStyle w:val="Subsection"/>
        <w:keepNext/>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129" w:name="_Toc179466609"/>
      <w:r>
        <w:rPr>
          <w:rStyle w:val="CharSectno"/>
        </w:rPr>
        <w:t>50A</w:t>
      </w:r>
      <w:r>
        <w:rPr>
          <w:snapToGrid w:val="0"/>
        </w:rPr>
        <w:t>.</w:t>
      </w:r>
      <w:r>
        <w:rPr>
          <w:snapToGrid w:val="0"/>
        </w:rPr>
        <w:tab/>
        <w:t>Licence holder not to cause or permit unsafe wiring or equipment to be connected to electrical installation</w:t>
      </w:r>
      <w:bookmarkEnd w:id="129"/>
      <w:r>
        <w:rPr>
          <w:snapToGrid w:val="0"/>
        </w:rPr>
        <w:t xml:space="preserve"> </w:t>
      </w:r>
    </w:p>
    <w:p>
      <w:pPr>
        <w:pStyle w:val="Subsection"/>
        <w:rPr>
          <w:snapToGrid w:val="0"/>
        </w:rPr>
      </w:pPr>
      <w:r>
        <w:rPr>
          <w:snapToGrid w:val="0"/>
        </w:rPr>
        <w:tab/>
        <w:t>(1)</w:t>
      </w:r>
      <w:r>
        <w:rPr>
          <w:snapToGrid w:val="0"/>
        </w:rPr>
        <w:tab/>
        <w:t xml:space="preserve">A person who holds a licence who causes or permits any wiring or equipment that is in an unsafe condition to be connected, or </w:t>
      </w:r>
      <w:r>
        <w:rPr>
          <w:snapToGrid w:val="0"/>
        </w:rPr>
        <w:lastRenderedPageBreak/>
        <w:t>to remain connected, to an electrical installation or a supply of electricity commits an offence.</w:t>
      </w:r>
    </w:p>
    <w:p>
      <w:pPr>
        <w:pStyle w:val="Subsection"/>
        <w:keepNext/>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keepNext/>
      </w:pPr>
      <w:r>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130" w:name="_Toc179466610"/>
      <w:r>
        <w:rPr>
          <w:rStyle w:val="CharSectno"/>
        </w:rPr>
        <w:t>51</w:t>
      </w:r>
      <w:r>
        <w:rPr>
          <w:snapToGrid w:val="0"/>
        </w:rPr>
        <w:t>.</w:t>
      </w:r>
      <w:r>
        <w:rPr>
          <w:snapToGrid w:val="0"/>
        </w:rPr>
        <w:tab/>
        <w:t>Notifiable work, preliminary notice of to be given to network operator</w:t>
      </w:r>
      <w:bookmarkEnd w:id="130"/>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keepNext/>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w:t>
      </w:r>
      <w:r>
        <w:rPr>
          <w:snapToGrid w:val="0"/>
        </w:rPr>
        <w:lastRenderedPageBreak/>
        <w:t xml:space="preserve">requirement to deliver a preliminary notice, subject to any conditions that are imposed in respect of the </w:t>
      </w:r>
      <w:r>
        <w:t>exemption; or</w:t>
      </w:r>
    </w:p>
    <w:p>
      <w:pPr>
        <w:pStyle w:val="Indenta"/>
        <w:keepNext/>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keepNext/>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keepNext/>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lastRenderedPageBreak/>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131" w:name="_Toc179466611"/>
      <w:r>
        <w:rPr>
          <w:rStyle w:val="CharSectno"/>
        </w:rPr>
        <w:t>52</w:t>
      </w:r>
      <w:r>
        <w:rPr>
          <w:snapToGrid w:val="0"/>
        </w:rPr>
        <w:t>.</w:t>
      </w:r>
      <w:r>
        <w:rPr>
          <w:snapToGrid w:val="0"/>
        </w:rPr>
        <w:tab/>
        <w:t>Notifiable work, notice of completion of to be given to network operator</w:t>
      </w:r>
      <w:bookmarkEnd w:id="131"/>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keepNext/>
      </w:pPr>
      <w:r>
        <w:tab/>
        <w:t>(b)</w:t>
      </w:r>
      <w:r>
        <w:tab/>
        <w:t xml:space="preserve">the work does not — </w:t>
      </w:r>
    </w:p>
    <w:p>
      <w:pPr>
        <w:pStyle w:val="Indenti"/>
      </w:pPr>
      <w:r>
        <w:tab/>
        <w:t>(i)</w:t>
      </w:r>
      <w:r>
        <w:tab/>
        <w:t>require an alteration to a main switchboard; or</w:t>
      </w:r>
    </w:p>
    <w:p>
      <w:pPr>
        <w:pStyle w:val="Indenti"/>
      </w:pPr>
      <w:r>
        <w:lastRenderedPageBreak/>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keepNext/>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keepNext/>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lastRenderedPageBreak/>
        <w:tab/>
        <w:t>(b)</w:t>
      </w:r>
      <w:r>
        <w:tab/>
        <w:t>if subregulation (2C) applies — that the whole of the electrical installation has been checked and tested and is safe and complies with these regulations.</w:t>
      </w:r>
    </w:p>
    <w:p>
      <w:pPr>
        <w:pStyle w:val="Subsection"/>
        <w:keepNext/>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keepNext/>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keepNext/>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lastRenderedPageBreak/>
        <w:tab/>
        <w:t>(c)</w:t>
      </w:r>
      <w:r>
        <w:tab/>
        <w:t>is ready for connection to transmission or distribution works or a private generating plant.</w:t>
      </w:r>
    </w:p>
    <w:p>
      <w:pPr>
        <w:pStyle w:val="Subsection"/>
        <w:keepNext/>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keepNext/>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keepNext/>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132" w:name="_Toc179466612"/>
      <w:r>
        <w:rPr>
          <w:rStyle w:val="CharSectno"/>
        </w:rPr>
        <w:t>52A</w:t>
      </w:r>
      <w:r>
        <w:t>.</w:t>
      </w:r>
      <w:r>
        <w:tab/>
        <w:t>Notices under r. 51 and 52, delivery of</w:t>
      </w:r>
      <w:bookmarkEnd w:id="132"/>
    </w:p>
    <w:p>
      <w:pPr>
        <w:pStyle w:val="Subsection"/>
        <w:keepNext/>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lastRenderedPageBreak/>
        <w:tab/>
      </w:r>
      <w:r>
        <w:rPr>
          <w:rStyle w:val="CharDefText"/>
        </w:rPr>
        <w:t>preliminary notice</w:t>
      </w:r>
      <w:r>
        <w:t xml:space="preserve"> means a preliminary notice under regulation 51.</w:t>
      </w:r>
    </w:p>
    <w:p>
      <w:pPr>
        <w:pStyle w:val="Subsection"/>
        <w:keepNext/>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keepNext/>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133" w:name="_Toc179466613"/>
      <w:r>
        <w:rPr>
          <w:rStyle w:val="CharSectno"/>
        </w:rPr>
        <w:t>52B</w:t>
      </w:r>
      <w:r>
        <w:t>.</w:t>
      </w:r>
      <w:r>
        <w:tab/>
        <w:t>Electrical safety certificates, issue of for electrical installing work</w:t>
      </w:r>
      <w:bookmarkEnd w:id="133"/>
    </w:p>
    <w:p>
      <w:pPr>
        <w:pStyle w:val="Subsection"/>
        <w:spacing w:before="120"/>
      </w:pPr>
      <w:r>
        <w:tab/>
        <w:t>(1)</w:t>
      </w:r>
      <w:r>
        <w:tab/>
        <w:t xml:space="preserve">Subject to subregulations (3) and (5) and regulations 52BA and 52BB, an electrical contractor who carries out any electrical installing work, or causes any electrical installing work to be carried out, commits an offence unless, within the period of </w:t>
      </w:r>
      <w:r>
        <w:lastRenderedPageBreak/>
        <w:t>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 xml:space="preserve">electrical installing work carried out, or caused to be carried out, by an electrical contractor exempted in writing by the Director from the requirement to prepare </w:t>
      </w:r>
      <w:r>
        <w:lastRenderedPageBreak/>
        <w:t>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keepNex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keepNext/>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lastRenderedPageBreak/>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keepNext/>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keepNext/>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lastRenderedPageBreak/>
        <w:tab/>
        <w:t>(b)</w:t>
      </w:r>
      <w:r>
        <w:tab/>
        <w:t>is unsafe or does not comply with these regulations.</w:t>
      </w:r>
    </w:p>
    <w:p>
      <w:pPr>
        <w:pStyle w:val="Subsection"/>
        <w:keepNext/>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keepNext/>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keepNext/>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134" w:name="_Toc179466614"/>
      <w:r>
        <w:rPr>
          <w:rStyle w:val="CharSectno"/>
        </w:rPr>
        <w:t>52BA</w:t>
      </w:r>
      <w:r>
        <w:t>.</w:t>
      </w:r>
      <w:r>
        <w:tab/>
        <w:t>Transportable structures: when compliance with regulations 51, 52 and 52B not required</w:t>
      </w:r>
      <w:bookmarkEnd w:id="134"/>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lastRenderedPageBreak/>
        <w:tab/>
        <w:t>(2)</w:t>
      </w:r>
      <w:r>
        <w:tab/>
        <w:t>If this subregulation applies, the electrical contractor is not required to comply with regulation 51, 52 or 52B in respect of the electrical installing work.</w:t>
      </w:r>
    </w:p>
    <w:p>
      <w:pPr>
        <w:pStyle w:val="Subsection"/>
        <w:keepNext/>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135" w:name="_Toc179466615"/>
      <w:r>
        <w:rPr>
          <w:rStyle w:val="CharSectno"/>
        </w:rPr>
        <w:t>52BB</w:t>
      </w:r>
      <w:r>
        <w:t>.</w:t>
      </w:r>
      <w:r>
        <w:tab/>
        <w:t>Notifiable work: modified procedure available for certain construction projects</w:t>
      </w:r>
      <w:bookmarkEnd w:id="135"/>
    </w:p>
    <w:p>
      <w:pPr>
        <w:pStyle w:val="Subsection"/>
        <w:keepNext/>
      </w:pPr>
      <w:r>
        <w:tab/>
        <w:t>(1)</w:t>
      </w:r>
      <w:r>
        <w:tab/>
        <w:t xml:space="preserve">In this regulation, and regulations 52BC to 52BE — </w:t>
      </w:r>
    </w:p>
    <w:p>
      <w:pPr>
        <w:pStyle w:val="Defstart"/>
        <w:keepNex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keepNext/>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lastRenderedPageBreak/>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keepNext/>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keepNext/>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 xml:space="preserve">for each revenue meter installed as part of the notifiable work, must, in accordance with regulation 52, deliver to </w:t>
      </w:r>
      <w:r>
        <w:lastRenderedPageBreak/>
        <w:t>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keepNext/>
      </w:pPr>
      <w:r>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keepNext/>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lastRenderedPageBreak/>
        <w:tab/>
        <w:t>(c)</w:t>
      </w:r>
      <w:r>
        <w:tab/>
        <w:t>need not deliver the notice referred to in subregulation (4)(a); and</w:t>
      </w:r>
    </w:p>
    <w:p>
      <w:pPr>
        <w:pStyle w:val="Indenta"/>
      </w:pPr>
      <w:r>
        <w:tab/>
        <w:t>(d)</w:t>
      </w:r>
      <w:r>
        <w:tab/>
        <w:t>to the extent to which paragraph (b) has been complied with for all of the stages of the project, need not deliver the notice referred to in subregulation (4)(e).</w:t>
      </w:r>
    </w:p>
    <w:p>
      <w:pPr>
        <w:pStyle w:val="Subsection"/>
        <w:keepNext/>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136" w:name="_Toc179466616"/>
      <w:r>
        <w:rPr>
          <w:rStyle w:val="CharSectno"/>
        </w:rPr>
        <w:t>52BC</w:t>
      </w:r>
      <w:r>
        <w:t>.</w:t>
      </w:r>
      <w:r>
        <w:tab/>
        <w:t>Modified procedure: record of electrical installing work</w:t>
      </w:r>
      <w:bookmarkEnd w:id="136"/>
    </w:p>
    <w:p>
      <w:pPr>
        <w:pStyle w:val="Subsection"/>
        <w:keepNext/>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keepNext/>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keepNext/>
      </w:pPr>
      <w:r>
        <w:lastRenderedPageBreak/>
        <w:tab/>
        <w:t>(3)</w:t>
      </w:r>
      <w:r>
        <w:tab/>
        <w:t xml:space="preserve">Subregulation (4) applies to an electrical contractor if the Director is satisfied that — </w:t>
      </w:r>
    </w:p>
    <w:p>
      <w:pPr>
        <w:pStyle w:val="Indenta"/>
        <w:keepNext/>
      </w:pPr>
      <w:r>
        <w:tab/>
        <w:t>(a)</w:t>
      </w:r>
      <w:r>
        <w:tab/>
        <w:t xml:space="preserve">the electrical contractor — </w:t>
      </w:r>
    </w:p>
    <w:p>
      <w:pPr>
        <w:pStyle w:val="Indenti"/>
      </w:pPr>
      <w:r>
        <w:tab/>
        <w:t>(i)</w:t>
      </w:r>
      <w:r>
        <w:tab/>
        <w:t>has failed to comply with an obligation under regulation 52BB(4) to (6); or</w:t>
      </w:r>
    </w:p>
    <w:p>
      <w:pPr>
        <w:pStyle w:val="Indenti"/>
        <w:keepNext/>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keepNext/>
      </w:pPr>
      <w:r>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keepNext/>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137" w:name="_Toc179466617"/>
      <w:r>
        <w:rPr>
          <w:rStyle w:val="CharSectno"/>
        </w:rPr>
        <w:t>52BD</w:t>
      </w:r>
      <w:r>
        <w:t>.</w:t>
      </w:r>
      <w:r>
        <w:tab/>
        <w:t>Modified procedure: notice requirements</w:t>
      </w:r>
      <w:bookmarkEnd w:id="137"/>
    </w:p>
    <w:p>
      <w:pPr>
        <w:pStyle w:val="Subsection"/>
        <w:keepNext/>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lastRenderedPageBreak/>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keepNext/>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138" w:name="_Toc179466618"/>
      <w:r>
        <w:rPr>
          <w:rStyle w:val="CharSectno"/>
        </w:rPr>
        <w:t>52BE</w:t>
      </w:r>
      <w:r>
        <w:t>.</w:t>
      </w:r>
      <w:r>
        <w:tab/>
        <w:t>Modified procedure: opting in and ceasing</w:t>
      </w:r>
      <w:bookmarkEnd w:id="138"/>
    </w:p>
    <w:p>
      <w:pPr>
        <w:pStyle w:val="Subsection"/>
        <w:keepNext/>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keepNext/>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139" w:name="_Toc179466619"/>
      <w:r>
        <w:rPr>
          <w:rStyle w:val="CharSectno"/>
        </w:rPr>
        <w:lastRenderedPageBreak/>
        <w:t>52C</w:t>
      </w:r>
      <w:r>
        <w:t>.</w:t>
      </w:r>
      <w:r>
        <w:tab/>
        <w:t>Electrical contractor’s duties as to electrical installing work</w:t>
      </w:r>
      <w:bookmarkEnd w:id="139"/>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keepNext/>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keepNext/>
      </w:pPr>
      <w:r>
        <w:tab/>
        <w:t>(iii)</w:t>
      </w:r>
      <w:r>
        <w:tab/>
        <w:t>is competent to carry out the work;</w:t>
      </w:r>
    </w:p>
    <w:p>
      <w:pPr>
        <w:pStyle w:val="Indenta"/>
      </w:pPr>
      <w:r>
        <w:tab/>
      </w:r>
      <w:r>
        <w:tab/>
        <w:t>and</w:t>
      </w:r>
    </w:p>
    <w:p>
      <w:pPr>
        <w:pStyle w:val="Indenta"/>
        <w:keepNext/>
      </w:pPr>
      <w:r>
        <w:tab/>
        <w:t>(b)</w:t>
      </w:r>
      <w:r>
        <w:tab/>
        <w:t xml:space="preserve">when the electrical installing work is completed — </w:t>
      </w:r>
    </w:p>
    <w:p>
      <w:pPr>
        <w:pStyle w:val="Indenti"/>
      </w:pPr>
      <w:r>
        <w:tab/>
        <w:t>(i)</w:t>
      </w:r>
      <w:r>
        <w:tab/>
        <w:t>it is checked and tested; and</w:t>
      </w:r>
    </w:p>
    <w:p>
      <w:pPr>
        <w:pStyle w:val="Indenti"/>
        <w:keepNext/>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140" w:name="_Toc179466620"/>
      <w:r>
        <w:rPr>
          <w:rStyle w:val="CharSectno"/>
        </w:rPr>
        <w:t>53</w:t>
      </w:r>
      <w:r>
        <w:rPr>
          <w:snapToGrid w:val="0"/>
        </w:rPr>
        <w:t>.</w:t>
      </w:r>
      <w:r>
        <w:rPr>
          <w:snapToGrid w:val="0"/>
        </w:rPr>
        <w:tab/>
        <w:t>Electrical installing work other than by electrical contractors etc., unlicensed persons not to be employed, engaged etc.</w:t>
      </w:r>
      <w:bookmarkEnd w:id="140"/>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w:t>
      </w:r>
      <w:r>
        <w:rPr>
          <w:snapToGrid w:val="0"/>
        </w:rPr>
        <w:lastRenderedPageBreak/>
        <w:t>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Ednotesubsection"/>
        <w:keepNext/>
      </w:pPr>
      <w:r>
        <w:tab/>
        <w:t>[(3), (4)</w:t>
      </w:r>
      <w:r>
        <w:tab/>
        <w:t>deleted]</w:t>
      </w:r>
    </w:p>
    <w:p>
      <w:pPr>
        <w:pStyle w:val="Footnotesection"/>
        <w:spacing w:before="100"/>
        <w:ind w:left="890" w:hanging="890"/>
      </w:pPr>
      <w:r>
        <w:tab/>
        <w:t xml:space="preserve">[Regulation 53 amended: Gazette 23 Dec 1994 p. 7134; 31 Dec 2007 p. 6529; 2 May 2017 p. 2300; SL 2022/36 r. 15.] </w:t>
      </w:r>
    </w:p>
    <w:p>
      <w:pPr>
        <w:pStyle w:val="Heading5"/>
      </w:pPr>
      <w:bookmarkStart w:id="141" w:name="_Toc179466621"/>
      <w:r>
        <w:rPr>
          <w:rStyle w:val="CharSectno"/>
        </w:rPr>
        <w:t>53A</w:t>
      </w:r>
      <w:r>
        <w:rPr>
          <w:snapToGrid w:val="0"/>
        </w:rPr>
        <w:t>.</w:t>
      </w:r>
      <w:r>
        <w:rPr>
          <w:snapToGrid w:val="0"/>
        </w:rPr>
        <w:tab/>
        <w:t>Further inspection fee, when payable</w:t>
      </w:r>
      <w:bookmarkEnd w:id="141"/>
    </w:p>
    <w:p>
      <w:pPr>
        <w:pStyle w:val="Subsection"/>
        <w:keepNext/>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keepNext/>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w:t>
      </w:r>
      <w:r>
        <w:t>item 8</w:t>
      </w:r>
      <w:r>
        <w:rPr>
          <w:snapToGrid w:val="0"/>
        </w:rPr>
        <w:t xml:space="preserve">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Gazette 24 Apr 1992 p. 1729; amended: Gazette 31 Dec 2007 p. 6539; SL 2024/96 r. 21.] </w:t>
      </w:r>
    </w:p>
    <w:p>
      <w:pPr>
        <w:pStyle w:val="Heading5"/>
        <w:rPr>
          <w:snapToGrid w:val="0"/>
        </w:rPr>
      </w:pPr>
      <w:bookmarkStart w:id="142" w:name="_Toc179466622"/>
      <w:r>
        <w:rPr>
          <w:rStyle w:val="CharSectno"/>
        </w:rPr>
        <w:lastRenderedPageBreak/>
        <w:t>54</w:t>
      </w:r>
      <w:r>
        <w:rPr>
          <w:snapToGrid w:val="0"/>
        </w:rPr>
        <w:t>.</w:t>
      </w:r>
      <w:r>
        <w:rPr>
          <w:snapToGrid w:val="0"/>
        </w:rPr>
        <w:tab/>
        <w:t>Notices of completion and certain records, signing of</w:t>
      </w:r>
      <w:bookmarkEnd w:id="142"/>
      <w:r>
        <w:rPr>
          <w:snapToGrid w:val="0"/>
        </w:rPr>
        <w:t xml:space="preserve"> </w:t>
      </w:r>
    </w:p>
    <w:p>
      <w:pPr>
        <w:pStyle w:val="Subsection"/>
        <w:keepNext/>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keepNext/>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lastRenderedPageBreak/>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keepNext/>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143" w:name="_Toc179464476"/>
      <w:bookmarkStart w:id="144" w:name="_Toc179465408"/>
      <w:bookmarkStart w:id="145" w:name="_Toc179466505"/>
      <w:bookmarkStart w:id="146" w:name="_Toc179466623"/>
      <w:r>
        <w:rPr>
          <w:rStyle w:val="CharDivNo"/>
        </w:rPr>
        <w:t>Division 2</w:t>
      </w:r>
      <w:r>
        <w:t> — </w:t>
      </w:r>
      <w:r>
        <w:rPr>
          <w:rStyle w:val="CharDivText"/>
        </w:rPr>
        <w:t>Regulation of electrical work on energised electrical installations</w:t>
      </w:r>
      <w:bookmarkEnd w:id="143"/>
      <w:bookmarkEnd w:id="144"/>
      <w:bookmarkEnd w:id="145"/>
      <w:bookmarkEnd w:id="146"/>
    </w:p>
    <w:p>
      <w:pPr>
        <w:pStyle w:val="Footnoteheading"/>
      </w:pPr>
      <w:r>
        <w:tab/>
        <w:t>[Heading inserted: Gazette 14 Nov 2017 p. 5599.]</w:t>
      </w:r>
    </w:p>
    <w:p>
      <w:pPr>
        <w:pStyle w:val="Heading5"/>
      </w:pPr>
      <w:bookmarkStart w:id="147" w:name="_Toc179466624"/>
      <w:r>
        <w:rPr>
          <w:rStyle w:val="CharSectno"/>
        </w:rPr>
        <w:t>54A</w:t>
      </w:r>
      <w:r>
        <w:t>.</w:t>
      </w:r>
      <w:r>
        <w:tab/>
        <w:t>Interpretation</w:t>
      </w:r>
      <w:bookmarkEnd w:id="147"/>
    </w:p>
    <w:p>
      <w:pPr>
        <w:pStyle w:val="Subsection"/>
        <w:keepNext/>
      </w:pPr>
      <w:r>
        <w:tab/>
        <w:t>(1)</w:t>
      </w:r>
      <w:r>
        <w:tab/>
        <w:t xml:space="preserve">In this Division — </w:t>
      </w:r>
    </w:p>
    <w:p>
      <w:pPr>
        <w:pStyle w:val="Defstart"/>
      </w:pPr>
      <w:r>
        <w:rPr>
          <w:b/>
        </w:rPr>
        <w:tab/>
      </w:r>
      <w:r>
        <w:rPr>
          <w:rStyle w:val="CharDefText"/>
        </w:rPr>
        <w:t>competent person</w:t>
      </w:r>
      <w:r>
        <w:t xml:space="preserve"> has the meaning given in the </w:t>
      </w:r>
      <w:r>
        <w:rPr>
          <w:i/>
        </w:rPr>
        <w:t>Work Health and Safety (General) Regulations 2022</w:t>
      </w:r>
      <w:r>
        <w:t xml:space="preserve"> regulation 5;</w:t>
      </w:r>
    </w:p>
    <w:p>
      <w:pPr>
        <w:pStyle w:val="Defstart"/>
        <w:keepNex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lastRenderedPageBreak/>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keepNext/>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keepNext/>
      </w:pPr>
      <w:r>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 xml:space="preserve">600; amended: Gazette 7 Jun 2018 p. 1824; SL 2022/26 r. 11.] </w:t>
      </w:r>
    </w:p>
    <w:p>
      <w:pPr>
        <w:pStyle w:val="Heading5"/>
      </w:pPr>
      <w:bookmarkStart w:id="148" w:name="_Toc179466625"/>
      <w:r>
        <w:rPr>
          <w:rStyle w:val="CharSectno"/>
        </w:rPr>
        <w:t>54B</w:t>
      </w:r>
      <w:r>
        <w:t>.</w:t>
      </w:r>
      <w:r>
        <w:tab/>
        <w:t>Application of regulation 55 in relation to certain network operators</w:t>
      </w:r>
      <w:bookmarkEnd w:id="148"/>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keepNext/>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keepNext/>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149" w:name="_Toc179466626"/>
      <w:r>
        <w:rPr>
          <w:rStyle w:val="CharSectno"/>
        </w:rPr>
        <w:lastRenderedPageBreak/>
        <w:t>55</w:t>
      </w:r>
      <w:r>
        <w:t>.</w:t>
      </w:r>
      <w:r>
        <w:tab/>
        <w:t>Electrical work on or near energised electrical installations</w:t>
      </w:r>
      <w:bookmarkEnd w:id="149"/>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keepNext/>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keepNext/>
      </w:pPr>
      <w:r>
        <w:tab/>
        <w:t>(iii)</w:t>
      </w:r>
      <w:r>
        <w:tab/>
        <w:t>the work can be carried out safely;</w:t>
      </w:r>
    </w:p>
    <w:p>
      <w:pPr>
        <w:pStyle w:val="Indenta"/>
      </w:pPr>
      <w:r>
        <w:tab/>
      </w:r>
      <w:r>
        <w:tab/>
        <w:t>and</w:t>
      </w:r>
    </w:p>
    <w:p>
      <w:pPr>
        <w:pStyle w:val="Indenta"/>
      </w:pPr>
      <w:r>
        <w:tab/>
        <w:t>(c)</w:t>
      </w:r>
      <w:r>
        <w:tab/>
        <w:t xml:space="preserve">if the </w:t>
      </w:r>
      <w:r>
        <w:rPr>
          <w:i/>
        </w:rPr>
        <w:t>Work Health and Safety (General) Regulations 2022</w:t>
      </w:r>
      <w:r>
        <w:t xml:space="preserve"> regulation 299 does not apply to the work —  a safe work method statement for the work has been prepared in accordance with regulation 299(2) and (3)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keepNext/>
      </w:pPr>
      <w:r>
        <w:tab/>
        <w:t>(3)</w:t>
      </w:r>
      <w:r>
        <w:tab/>
        <w:t xml:space="preserve">For the purposes of subregulation (2)(b)(i), there is no reasonable alternative to carrying out the work while the part of </w:t>
      </w:r>
      <w:r>
        <w:lastRenderedPageBreak/>
        <w:t xml:space="preserve">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keepNext/>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keepNext/>
      </w:pPr>
      <w:r>
        <w:tab/>
        <w:t>(a)</w:t>
      </w:r>
      <w:r>
        <w:tab/>
        <w:t xml:space="preserve">if the </w:t>
      </w:r>
      <w:r>
        <w:rPr>
          <w:i/>
        </w:rPr>
        <w:t>Work Health and Safety (General) Regulations 2022</w:t>
      </w:r>
      <w:r>
        <w:t xml:space="preserve"> regulation 299 does not apply to the work — </w:t>
      </w:r>
    </w:p>
    <w:p>
      <w:pPr>
        <w:pStyle w:val="Indenti"/>
      </w:pPr>
      <w:r>
        <w:tab/>
        <w:t>(i)</w:t>
      </w:r>
      <w:r>
        <w:tab/>
        <w:t>the work is carried out in accordance with the safe work method statement referred to in subregulation (2)(c); and</w:t>
      </w:r>
    </w:p>
    <w:p>
      <w:pPr>
        <w:pStyle w:val="Indenti"/>
        <w:keepNext/>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keepNext/>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 amended: SL 2022/26 r. 12.]</w:t>
      </w:r>
    </w:p>
    <w:p>
      <w:pPr>
        <w:pStyle w:val="Heading2"/>
      </w:pPr>
      <w:bookmarkStart w:id="150" w:name="_Toc179464480"/>
      <w:bookmarkStart w:id="151" w:name="_Toc179465412"/>
      <w:bookmarkStart w:id="152" w:name="_Toc179466509"/>
      <w:bookmarkStart w:id="153" w:name="_Toc179466627"/>
      <w:r>
        <w:rPr>
          <w:rStyle w:val="CharPartNo"/>
        </w:rPr>
        <w:lastRenderedPageBreak/>
        <w:t>Part 6</w:t>
      </w:r>
      <w:r>
        <w:rPr>
          <w:rStyle w:val="CharDivNo"/>
        </w:rPr>
        <w:t> </w:t>
      </w:r>
      <w:r>
        <w:t>—</w:t>
      </w:r>
      <w:r>
        <w:rPr>
          <w:rStyle w:val="CharDivText"/>
        </w:rPr>
        <w:t> </w:t>
      </w:r>
      <w:r>
        <w:rPr>
          <w:rStyle w:val="CharPartText"/>
        </w:rPr>
        <w:t>Miscellaneous</w:t>
      </w:r>
      <w:bookmarkEnd w:id="150"/>
      <w:bookmarkEnd w:id="151"/>
      <w:bookmarkEnd w:id="152"/>
      <w:bookmarkEnd w:id="153"/>
      <w:r>
        <w:rPr>
          <w:rStyle w:val="CharPartText"/>
        </w:rPr>
        <w:t xml:space="preserve"> </w:t>
      </w:r>
    </w:p>
    <w:p>
      <w:pPr>
        <w:pStyle w:val="Heading5"/>
        <w:rPr>
          <w:snapToGrid w:val="0"/>
        </w:rPr>
      </w:pPr>
      <w:bookmarkStart w:id="154" w:name="_Toc179466628"/>
      <w:r>
        <w:rPr>
          <w:rStyle w:val="CharSectno"/>
        </w:rPr>
        <w:t>56</w:t>
      </w:r>
      <w:r>
        <w:rPr>
          <w:snapToGrid w:val="0"/>
        </w:rPr>
        <w:t>.</w:t>
      </w:r>
      <w:r>
        <w:rPr>
          <w:snapToGrid w:val="0"/>
        </w:rPr>
        <w:tab/>
        <w:t>Register of licence holders</w:t>
      </w:r>
      <w:bookmarkEnd w:id="154"/>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155" w:name="_Toc179466629"/>
      <w:r>
        <w:rPr>
          <w:rStyle w:val="CharSectno"/>
        </w:rPr>
        <w:t>57</w:t>
      </w:r>
      <w:r>
        <w:rPr>
          <w:snapToGrid w:val="0"/>
        </w:rPr>
        <w:t>.</w:t>
      </w:r>
      <w:r>
        <w:rPr>
          <w:snapToGrid w:val="0"/>
        </w:rPr>
        <w:tab/>
        <w:t>Employers to keep record of licence holders employed</w:t>
      </w:r>
      <w:bookmarkEnd w:id="155"/>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keepNext/>
        <w:rPr>
          <w:snapToGrid w:val="0"/>
        </w:rPr>
      </w:pPr>
      <w:r>
        <w:rPr>
          <w:snapToGrid w:val="0"/>
        </w:rPr>
        <w:lastRenderedPageBreak/>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156" w:name="_Toc179466630"/>
      <w:r>
        <w:rPr>
          <w:rStyle w:val="CharSectno"/>
        </w:rPr>
        <w:t>58</w:t>
      </w:r>
      <w:r>
        <w:rPr>
          <w:snapToGrid w:val="0"/>
        </w:rPr>
        <w:t>.</w:t>
      </w:r>
      <w:r>
        <w:rPr>
          <w:snapToGrid w:val="0"/>
        </w:rPr>
        <w:tab/>
        <w:t>Board may require holder to produce licence etc. for inspection</w:t>
      </w:r>
      <w:bookmarkEnd w:id="156"/>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157" w:name="_Toc179466631"/>
      <w:r>
        <w:rPr>
          <w:rStyle w:val="CharSectno"/>
        </w:rPr>
        <w:t>59</w:t>
      </w:r>
      <w:r>
        <w:rPr>
          <w:snapToGrid w:val="0"/>
        </w:rPr>
        <w:t>.</w:t>
      </w:r>
      <w:r>
        <w:rPr>
          <w:snapToGrid w:val="0"/>
        </w:rPr>
        <w:tab/>
        <w:t>Offences related to licensing</w:t>
      </w:r>
      <w:bookmarkEnd w:id="15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keepLines/>
        <w:rPr>
          <w:snapToGrid w:val="0"/>
        </w:rPr>
      </w:pPr>
      <w:r>
        <w:rPr>
          <w:snapToGrid w:val="0"/>
        </w:rPr>
        <w:lastRenderedPageBreak/>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158" w:name="_Toc179466632"/>
      <w:r>
        <w:rPr>
          <w:rStyle w:val="CharSectno"/>
        </w:rPr>
        <w:t>60</w:t>
      </w:r>
      <w:r>
        <w:rPr>
          <w:snapToGrid w:val="0"/>
        </w:rPr>
        <w:t>.</w:t>
      </w:r>
      <w:r>
        <w:rPr>
          <w:snapToGrid w:val="0"/>
        </w:rPr>
        <w:tab/>
        <w:t>Replacement licence or permit document</w:t>
      </w:r>
      <w:bookmarkEnd w:id="158"/>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w:t>
      </w:r>
      <w:r>
        <w:t>fee,</w:t>
      </w:r>
      <w:r>
        <w:rPr>
          <w:snapToGrid w:val="0"/>
        </w:rPr>
        <w:t xml:space="preserve">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 SL 2024/96 r. 22.]</w:t>
      </w:r>
    </w:p>
    <w:p>
      <w:pPr>
        <w:pStyle w:val="Heading5"/>
        <w:rPr>
          <w:snapToGrid w:val="0"/>
        </w:rPr>
      </w:pPr>
      <w:bookmarkStart w:id="159" w:name="_Toc179466633"/>
      <w:r>
        <w:rPr>
          <w:rStyle w:val="CharSectno"/>
        </w:rPr>
        <w:lastRenderedPageBreak/>
        <w:t>61</w:t>
      </w:r>
      <w:r>
        <w:rPr>
          <w:snapToGrid w:val="0"/>
        </w:rPr>
        <w:t>.</w:t>
      </w:r>
      <w:r>
        <w:rPr>
          <w:snapToGrid w:val="0"/>
        </w:rPr>
        <w:tab/>
        <w:t>Licence etc. to be returned to Board if suspended etc.</w:t>
      </w:r>
      <w:bookmarkEnd w:id="159"/>
    </w:p>
    <w:p>
      <w:pPr>
        <w:pStyle w:val="Subsection"/>
        <w:keepNext/>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160" w:name="_Toc179466634"/>
      <w:r>
        <w:rPr>
          <w:rStyle w:val="CharSectno"/>
        </w:rPr>
        <w:t>62</w:t>
      </w:r>
      <w:r>
        <w:rPr>
          <w:snapToGrid w:val="0"/>
        </w:rPr>
        <w:t>.</w:t>
      </w:r>
      <w:r>
        <w:rPr>
          <w:snapToGrid w:val="0"/>
        </w:rPr>
        <w:tab/>
        <w:t>Unsafe electrical installations, electrical workers to report</w:t>
      </w:r>
      <w:bookmarkEnd w:id="160"/>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lastRenderedPageBreak/>
        <w:tab/>
        <w:t>(b)</w:t>
      </w:r>
      <w:r>
        <w:rPr>
          <w:snapToGrid w:val="0"/>
        </w:rPr>
        <w:tab/>
        <w:t>the employer holds an electrical contractor’s licence or in</w:t>
      </w:r>
      <w:r>
        <w:rPr>
          <w:snapToGrid w:val="0"/>
        </w:rPr>
        <w:noBreakHyphen/>
        <w:t>house electrical installing work licence,</w:t>
      </w:r>
    </w:p>
    <w:p>
      <w:pPr>
        <w:pStyle w:val="Subsection"/>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Gazette 23 Dec 1994 p. 7134; 6 Sep 1996 p. 4418; 31 Dec 2007 p. 6531.] </w:t>
      </w:r>
    </w:p>
    <w:p>
      <w:pPr>
        <w:pStyle w:val="Heading5"/>
      </w:pPr>
      <w:bookmarkStart w:id="161" w:name="_Toc179466635"/>
      <w:r>
        <w:rPr>
          <w:rStyle w:val="CharSectno"/>
        </w:rPr>
        <w:t>63</w:t>
      </w:r>
      <w:r>
        <w:t>.</w:t>
      </w:r>
      <w:r>
        <w:tab/>
        <w:t>Electrical accidents to be reported</w:t>
      </w:r>
      <w:bookmarkEnd w:id="161"/>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lastRenderedPageBreak/>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162" w:name="_Toc179466636"/>
      <w:r>
        <w:rPr>
          <w:rStyle w:val="CharSectno"/>
        </w:rPr>
        <w:t>63A</w:t>
      </w:r>
      <w:r>
        <w:rPr>
          <w:snapToGrid w:val="0"/>
        </w:rPr>
        <w:t>.</w:t>
      </w:r>
      <w:r>
        <w:rPr>
          <w:snapToGrid w:val="0"/>
        </w:rPr>
        <w:tab/>
        <w:t>Interfering with scene of electrical accident</w:t>
      </w:r>
      <w:bookmarkEnd w:id="162"/>
      <w:r>
        <w:rPr>
          <w:snapToGrid w:val="0"/>
        </w:rPr>
        <w:t xml:space="preserve"> </w:t>
      </w:r>
    </w:p>
    <w:p>
      <w:pPr>
        <w:pStyle w:val="Subsection"/>
        <w:keepNext/>
        <w:rPr>
          <w:snapToGrid w:val="0"/>
        </w:rPr>
      </w:pPr>
      <w:r>
        <w:rPr>
          <w:snapToGrid w:val="0"/>
        </w:rPr>
        <w:tab/>
      </w:r>
      <w:r>
        <w:rPr>
          <w:snapToGrid w:val="0"/>
        </w:rPr>
        <w:tab/>
        <w:t xml:space="preserve">A person shall not do anything at the place at which an electrical accident referred to in regulation 63 occurs with the intention of </w:t>
      </w:r>
      <w:r>
        <w:rPr>
          <w:snapToGrid w:val="0"/>
        </w:rPr>
        <w:lastRenderedPageBreak/>
        <w:t>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163" w:name="_Toc179466637"/>
      <w:r>
        <w:rPr>
          <w:rStyle w:val="CharSectno"/>
        </w:rPr>
        <w:t>63B</w:t>
      </w:r>
      <w:r>
        <w:t>.</w:t>
      </w:r>
      <w:r>
        <w:tab/>
        <w:t>Delegation by Director to Board</w:t>
      </w:r>
      <w:bookmarkEnd w:id="163"/>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Ednotesection"/>
      </w:pPr>
      <w:r>
        <w:t>[</w:t>
      </w:r>
      <w:r>
        <w:rPr>
          <w:b/>
        </w:rPr>
        <w:t>63C.</w:t>
      </w:r>
      <w:r>
        <w:tab/>
        <w:t>Deleted: SL 2023/30 r. 5.]</w:t>
      </w:r>
    </w:p>
    <w:p>
      <w:pPr>
        <w:pStyle w:val="Heading5"/>
      </w:pPr>
      <w:bookmarkStart w:id="164" w:name="_Toc179466638"/>
      <w:r>
        <w:rPr>
          <w:rStyle w:val="CharSectno"/>
        </w:rPr>
        <w:t>64</w:t>
      </w:r>
      <w:r>
        <w:t>.</w:t>
      </w:r>
      <w:r>
        <w:tab/>
        <w:t>Fees</w:t>
      </w:r>
      <w:bookmarkEnd w:id="164"/>
    </w:p>
    <w:p>
      <w:pPr>
        <w:pStyle w:val="Subsection"/>
      </w:pPr>
      <w:r>
        <w:tab/>
        <w:t>(1)</w:t>
      </w:r>
      <w:r>
        <w:tab/>
        <w:t>The fees set out in Schedule 1 are payable in respect of the matters referred to in the Schedule.</w:t>
      </w:r>
    </w:p>
    <w:p>
      <w:pPr>
        <w:pStyle w:val="Subsection"/>
      </w:pPr>
      <w:r>
        <w:tab/>
        <w:t>(2)</w:t>
      </w:r>
      <w:r>
        <w:tab/>
        <w:t>The fees are payable to the Director, other than the fee specified in item 8 of Schedule 1.</w:t>
      </w:r>
    </w:p>
    <w:p>
      <w:pPr>
        <w:pStyle w:val="PermNoteHeading"/>
      </w:pPr>
      <w:r>
        <w:tab/>
        <w:t>Note for this regulation:</w:t>
      </w:r>
    </w:p>
    <w:p>
      <w:pPr>
        <w:pStyle w:val="PermNoteText"/>
      </w:pPr>
      <w:r>
        <w:tab/>
      </w:r>
      <w:r>
        <w:tab/>
        <w:t>The fee specified in item 8 of Schedule 1 is payable to the relevant network operator. See regulation 53A(1).</w:t>
      </w:r>
    </w:p>
    <w:p>
      <w:pPr>
        <w:pStyle w:val="Footnotesection"/>
      </w:pPr>
      <w:r>
        <w:tab/>
        <w:t>[Regulation 64 inserted: SL 2024/96 r. 23.]</w:t>
      </w:r>
    </w:p>
    <w:p>
      <w:pPr>
        <w:pStyle w:val="Heading5"/>
      </w:pPr>
      <w:bookmarkStart w:id="165" w:name="_Toc179466639"/>
      <w:r>
        <w:rPr>
          <w:rStyle w:val="CharSectno"/>
        </w:rPr>
        <w:t>64A</w:t>
      </w:r>
      <w:r>
        <w:t>.</w:t>
      </w:r>
      <w:r>
        <w:tab/>
        <w:t>Refund of registration fee</w:t>
      </w:r>
      <w:bookmarkEnd w:id="165"/>
    </w:p>
    <w:p>
      <w:pPr>
        <w:pStyle w:val="Subsection"/>
        <w:keepNext/>
      </w:pPr>
      <w:r>
        <w:tab/>
        <w:t>(1)</w:t>
      </w:r>
      <w:r>
        <w:tab/>
        <w:t xml:space="preserve">This regulation applies if — </w:t>
      </w:r>
    </w:p>
    <w:p>
      <w:pPr>
        <w:pStyle w:val="Indenta"/>
      </w:pPr>
      <w:r>
        <w:tab/>
        <w:t>(a)</w:t>
      </w:r>
      <w:r>
        <w:tab/>
        <w:t>the Board refuses, or a person withdraws, an application made by the person under regulation 23(1), 27(2) or 39(1) for the issue of a licence or permit or the renewal of the registration of a licence; and</w:t>
      </w:r>
    </w:p>
    <w:p>
      <w:pPr>
        <w:pStyle w:val="Indenta"/>
      </w:pPr>
      <w:r>
        <w:lastRenderedPageBreak/>
        <w:tab/>
        <w:t>(b)</w:t>
      </w:r>
      <w:r>
        <w:tab/>
        <w:t>the person has paid a registration fee in respect of the application.</w:t>
      </w:r>
    </w:p>
    <w:p>
      <w:pPr>
        <w:pStyle w:val="Subsection"/>
        <w:keepNext/>
      </w:pPr>
      <w:r>
        <w:tab/>
        <w:t>(2)</w:t>
      </w:r>
      <w:r>
        <w:tab/>
        <w:t>The Director must refund the registration fee to the person.</w:t>
      </w:r>
    </w:p>
    <w:p>
      <w:pPr>
        <w:pStyle w:val="Footnotesection"/>
      </w:pPr>
      <w:r>
        <w:tab/>
        <w:t>[Regulation 64A inserted: SL 2022/36 r. 17.]</w:t>
      </w:r>
    </w:p>
    <w:p>
      <w:pPr>
        <w:pStyle w:val="Heading5"/>
        <w:rPr>
          <w:snapToGrid w:val="0"/>
        </w:rPr>
      </w:pPr>
      <w:bookmarkStart w:id="166" w:name="_Toc179466640"/>
      <w:r>
        <w:rPr>
          <w:rStyle w:val="CharSectno"/>
        </w:rPr>
        <w:t>65</w:t>
      </w:r>
      <w:r>
        <w:rPr>
          <w:snapToGrid w:val="0"/>
        </w:rPr>
        <w:t>.</w:t>
      </w:r>
      <w:r>
        <w:rPr>
          <w:snapToGrid w:val="0"/>
        </w:rPr>
        <w:tab/>
        <w:t>General offence and penalty</w:t>
      </w:r>
      <w:bookmarkEnd w:id="166"/>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keepNext/>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keepNext/>
      </w:pPr>
      <w:r>
        <w:tab/>
        <w:t>(b)</w:t>
      </w:r>
      <w:r>
        <w:tab/>
        <w:t>for a body corporate, a fine of $250 000.</w:t>
      </w:r>
    </w:p>
    <w:p>
      <w:pPr>
        <w:pStyle w:val="Footnotesection"/>
      </w:pPr>
      <w:r>
        <w:tab/>
        <w:t xml:space="preserve">[Regulation 65 amended: Gazette 31 Dec 2007 p. 6534.] </w:t>
      </w:r>
    </w:p>
    <w:p>
      <w:pPr>
        <w:pStyle w:val="Heading5"/>
      </w:pPr>
      <w:bookmarkStart w:id="167" w:name="_Toc179466641"/>
      <w:r>
        <w:rPr>
          <w:rStyle w:val="CharSectno"/>
        </w:rPr>
        <w:t>65A</w:t>
      </w:r>
      <w:r>
        <w:t>.</w:t>
      </w:r>
      <w:r>
        <w:tab/>
        <w:t>Offences by members of firms</w:t>
      </w:r>
      <w:bookmarkEnd w:id="167"/>
    </w:p>
    <w:p>
      <w:pPr>
        <w:pStyle w:val="Subsection"/>
        <w:keepNext/>
      </w:pPr>
      <w:r>
        <w:tab/>
        <w:t>(1)</w:t>
      </w:r>
      <w:r>
        <w:tab/>
        <w:t xml:space="preserve">If — </w:t>
      </w:r>
    </w:p>
    <w:p>
      <w:pPr>
        <w:pStyle w:val="Indenta"/>
      </w:pPr>
      <w:r>
        <w:tab/>
        <w:t>(a)</w:t>
      </w:r>
      <w:r>
        <w:tab/>
        <w:t>a firm that holds an electrical contractor’s licence does or omits to do anything; and</w:t>
      </w:r>
    </w:p>
    <w:p>
      <w:pPr>
        <w:pStyle w:val="Indenta"/>
        <w:keepNext/>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keepNext/>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keepNext/>
      </w:pPr>
      <w:r>
        <w:tab/>
        <w:t>(b)</w:t>
      </w:r>
      <w:r>
        <w:tab/>
        <w:t xml:space="preserve">that the member took all the measures to prevent the commission of the offence that he or she could </w:t>
      </w:r>
      <w:r>
        <w:lastRenderedPageBreak/>
        <w:t>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168" w:name="_Toc179466642"/>
      <w:r>
        <w:rPr>
          <w:rStyle w:val="CharSectno"/>
        </w:rPr>
        <w:t>67</w:t>
      </w:r>
      <w:r>
        <w:t>.</w:t>
      </w:r>
      <w:r>
        <w:tab/>
        <w:t>Saving and transitional provisions</w:t>
      </w:r>
      <w:bookmarkEnd w:id="168"/>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keepNext/>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keepNext/>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lastRenderedPageBreak/>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keepNext/>
              <w:spacing w:before="20" w:line="240" w:lineRule="auto"/>
            </w:pPr>
            <w:r>
              <w:t>restricted licence</w:t>
            </w:r>
          </w:p>
        </w:tc>
        <w:tc>
          <w:tcPr>
            <w:tcW w:w="2977" w:type="dxa"/>
            <w:tcBorders>
              <w:bottom w:val="single" w:sz="4" w:space="0" w:color="auto"/>
            </w:tcBorders>
          </w:tcPr>
          <w:p>
            <w:pPr>
              <w:pStyle w:val="Table"/>
              <w:keepNext/>
              <w:spacing w:before="20" w:line="240" w:lineRule="auto"/>
            </w:pPr>
            <w:r>
              <w:t xml:space="preserve">restricted licence </w:t>
            </w:r>
          </w:p>
        </w:tc>
      </w:tr>
    </w:tbl>
    <w:p>
      <w:pPr>
        <w:pStyle w:val="Footnotesection"/>
      </w:pPr>
      <w:r>
        <w:tab/>
        <w:t>[Regulation 67 inserted: Gazette 31 Dec 2007 p. 6535</w:t>
      </w:r>
      <w:r>
        <w:noBreakHyphen/>
        <w:t>6.]</w:t>
      </w:r>
    </w:p>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69" w:name="AautoSch"/>
      <w:bookmarkStart w:id="170" w:name="_Toc179464496"/>
      <w:bookmarkStart w:id="171" w:name="_Toc179465428"/>
      <w:bookmarkStart w:id="172" w:name="_Toc179466525"/>
      <w:bookmarkStart w:id="173" w:name="_Toc179466643"/>
      <w:bookmarkEnd w:id="169"/>
      <w:r>
        <w:rPr>
          <w:rStyle w:val="CharSchNo"/>
        </w:rPr>
        <w:lastRenderedPageBreak/>
        <w:t>Schedule 1</w:t>
      </w:r>
      <w:r>
        <w:t> — </w:t>
      </w:r>
      <w:r>
        <w:rPr>
          <w:rStyle w:val="CharSchText"/>
        </w:rPr>
        <w:t>Fees</w:t>
      </w:r>
      <w:bookmarkEnd w:id="170"/>
      <w:bookmarkEnd w:id="171"/>
      <w:bookmarkEnd w:id="172"/>
      <w:bookmarkEnd w:id="173"/>
    </w:p>
    <w:p>
      <w:pPr>
        <w:pStyle w:val="yShoulderClause"/>
      </w:pPr>
      <w:r>
        <w:t>[r. 53A(1) and 64(1)]</w:t>
      </w:r>
    </w:p>
    <w:p>
      <w:pPr>
        <w:pStyle w:val="yFootnoteheading"/>
        <w:spacing w:after="60"/>
      </w:pPr>
      <w:r>
        <w:tab/>
        <w:t>[Heading inserted: SL 2024/96 r. 24.]</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left w:val="nil"/>
              <w:bottom w:val="single" w:sz="4" w:space="0" w:color="auto"/>
              <w:right w:val="nil"/>
            </w:tcBorders>
            <w:noWrap/>
          </w:tcPr>
          <w:p>
            <w:pPr>
              <w:pStyle w:val="yTableNAm"/>
              <w:jc w:val="center"/>
              <w:rPr>
                <w:b/>
                <w:bCs/>
              </w:rPr>
            </w:pPr>
            <w:r>
              <w:rPr>
                <w:b/>
                <w:bCs/>
              </w:rPr>
              <w:t>Item</w:t>
            </w:r>
          </w:p>
        </w:tc>
        <w:tc>
          <w:tcPr>
            <w:tcW w:w="3260" w:type="dxa"/>
            <w:tcBorders>
              <w:left w:val="nil"/>
              <w:bottom w:val="single" w:sz="4" w:space="0" w:color="auto"/>
              <w:right w:val="nil"/>
            </w:tcBorders>
            <w:noWrap/>
          </w:tcPr>
          <w:p>
            <w:pPr>
              <w:pStyle w:val="yTableNAm"/>
              <w:jc w:val="center"/>
              <w:rPr>
                <w:b/>
                <w:bCs/>
              </w:rPr>
            </w:pPr>
            <w:r>
              <w:rPr>
                <w:b/>
                <w:bCs/>
              </w:rPr>
              <w:t>Column 1</w:t>
            </w:r>
          </w:p>
          <w:p>
            <w:pPr>
              <w:pStyle w:val="yTableNAm"/>
              <w:jc w:val="center"/>
              <w:rPr>
                <w:b/>
                <w:bCs/>
              </w:rPr>
            </w:pPr>
            <w:r>
              <w:rPr>
                <w:b/>
                <w:bCs/>
              </w:rPr>
              <w:t>Matter</w:t>
            </w:r>
          </w:p>
        </w:tc>
        <w:tc>
          <w:tcPr>
            <w:tcW w:w="1418" w:type="dxa"/>
            <w:tcBorders>
              <w:left w:val="nil"/>
              <w:bottom w:val="single" w:sz="4" w:space="0" w:color="auto"/>
              <w:right w:val="nil"/>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top w:val="nil"/>
              <w:left w:val="nil"/>
              <w:bottom w:val="nil"/>
              <w:right w:val="nil"/>
            </w:tcBorders>
            <w:noWrap/>
          </w:tcPr>
          <w:p>
            <w:pPr>
              <w:pStyle w:val="yTableNAm"/>
            </w:pPr>
            <w:r>
              <w:t>1.</w:t>
            </w:r>
          </w:p>
        </w:tc>
        <w:tc>
          <w:tcPr>
            <w:tcW w:w="3260" w:type="dxa"/>
            <w:tcBorders>
              <w:top w:val="nil"/>
              <w:left w:val="nil"/>
              <w:bottom w:val="nil"/>
              <w:right w:val="nil"/>
            </w:tcBorders>
            <w:noWrap/>
          </w:tcPr>
          <w:p>
            <w:pPr>
              <w:pStyle w:val="yTableNAm"/>
            </w:pPr>
            <w:r>
              <w:t xml:space="preserve">Application for electrical worker’s licence or permit (r. 23(1)) — the total of the following —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application fee</w:t>
            </w:r>
          </w:p>
        </w:tc>
        <w:tc>
          <w:tcPr>
            <w:tcW w:w="1418" w:type="dxa"/>
            <w:tcBorders>
              <w:top w:val="nil"/>
              <w:left w:val="nil"/>
              <w:bottom w:val="nil"/>
              <w:right w:val="nil"/>
            </w:tcBorders>
            <w:noWrap/>
            <w:vAlign w:val="bottom"/>
          </w:tcPr>
          <w:p>
            <w:pPr>
              <w:pStyle w:val="yTableNAm"/>
              <w:tabs>
                <w:tab w:val="clear" w:pos="567"/>
              </w:tabs>
              <w:ind w:right="318"/>
              <w:jc w:val="right"/>
            </w:pPr>
            <w:r>
              <w:t>88.00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fee, for each year of registration</w:t>
            </w:r>
          </w:p>
        </w:tc>
        <w:tc>
          <w:tcPr>
            <w:tcW w:w="1418" w:type="dxa"/>
            <w:tcBorders>
              <w:top w:val="nil"/>
              <w:left w:val="nil"/>
              <w:bottom w:val="nil"/>
              <w:right w:val="nil"/>
            </w:tcBorders>
            <w:noWrap/>
            <w:vAlign w:val="bottom"/>
          </w:tcPr>
          <w:p>
            <w:pPr>
              <w:pStyle w:val="yTableNAm"/>
              <w:tabs>
                <w:tab w:val="clear" w:pos="567"/>
              </w:tabs>
              <w:ind w:right="318"/>
              <w:jc w:val="right"/>
            </w:pPr>
            <w:r>
              <w:t>117.00</w:t>
            </w:r>
          </w:p>
        </w:tc>
      </w:tr>
      <w:tr>
        <w:trPr>
          <w:cantSplit/>
          <w:jc w:val="center"/>
        </w:trPr>
        <w:tc>
          <w:tcPr>
            <w:tcW w:w="709" w:type="dxa"/>
            <w:tcBorders>
              <w:top w:val="nil"/>
              <w:left w:val="nil"/>
              <w:bottom w:val="nil"/>
              <w:right w:val="nil"/>
            </w:tcBorders>
            <w:noWrap/>
          </w:tcPr>
          <w:p>
            <w:pPr>
              <w:pStyle w:val="yTableNAm"/>
            </w:pPr>
            <w:r>
              <w:t>2.</w:t>
            </w:r>
          </w:p>
        </w:tc>
        <w:tc>
          <w:tcPr>
            <w:tcW w:w="3260" w:type="dxa"/>
            <w:tcBorders>
              <w:top w:val="nil"/>
              <w:left w:val="nil"/>
              <w:bottom w:val="nil"/>
              <w:right w:val="nil"/>
            </w:tcBorders>
            <w:noWrap/>
          </w:tcPr>
          <w:p>
            <w:pPr>
              <w:pStyle w:val="yTableNAm"/>
            </w:pPr>
            <w:r>
              <w:t>Registration fee for renewal of registration of electrical worker’s licence (r. 27(3)), for each year of registration</w:t>
            </w:r>
          </w:p>
        </w:tc>
        <w:tc>
          <w:tcPr>
            <w:tcW w:w="1418" w:type="dxa"/>
            <w:tcBorders>
              <w:top w:val="nil"/>
              <w:left w:val="nil"/>
              <w:bottom w:val="nil"/>
              <w:right w:val="nil"/>
            </w:tcBorders>
            <w:noWrap/>
            <w:vAlign w:val="bottom"/>
          </w:tcPr>
          <w:p>
            <w:pPr>
              <w:pStyle w:val="yTableNAm"/>
              <w:tabs>
                <w:tab w:val="clear" w:pos="567"/>
              </w:tabs>
              <w:ind w:right="318"/>
              <w:jc w:val="right"/>
            </w:pPr>
            <w:r>
              <w:t>117.00</w:t>
            </w:r>
          </w:p>
        </w:tc>
      </w:tr>
      <w:tr>
        <w:trPr>
          <w:cantSplit/>
          <w:jc w:val="center"/>
        </w:trPr>
        <w:tc>
          <w:tcPr>
            <w:tcW w:w="709" w:type="dxa"/>
            <w:tcBorders>
              <w:top w:val="nil"/>
              <w:left w:val="nil"/>
              <w:bottom w:val="nil"/>
              <w:right w:val="nil"/>
            </w:tcBorders>
            <w:noWrap/>
          </w:tcPr>
          <w:p>
            <w:pPr>
              <w:pStyle w:val="yTableNAm"/>
            </w:pPr>
            <w:r>
              <w:t>3.</w:t>
            </w:r>
          </w:p>
        </w:tc>
        <w:tc>
          <w:tcPr>
            <w:tcW w:w="3260" w:type="dxa"/>
            <w:tcBorders>
              <w:top w:val="nil"/>
              <w:left w:val="nil"/>
              <w:bottom w:val="nil"/>
              <w:right w:val="nil"/>
            </w:tcBorders>
            <w:noWrap/>
          </w:tcPr>
          <w:p>
            <w:pPr>
              <w:pStyle w:val="yTableNAm"/>
            </w:pPr>
            <w:r>
              <w:t xml:space="preserve">Application for electrical contractor’s licence (r. 39(1)) — the total of the following —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application fee</w:t>
            </w:r>
          </w:p>
        </w:tc>
        <w:tc>
          <w:tcPr>
            <w:tcW w:w="1418" w:type="dxa"/>
            <w:tcBorders>
              <w:top w:val="nil"/>
              <w:left w:val="nil"/>
              <w:bottom w:val="nil"/>
              <w:right w:val="nil"/>
            </w:tcBorders>
            <w:noWrap/>
            <w:vAlign w:val="bottom"/>
          </w:tcPr>
          <w:p>
            <w:pPr>
              <w:pStyle w:val="yTableNAm"/>
              <w:tabs>
                <w:tab w:val="clear" w:pos="567"/>
              </w:tabs>
              <w:ind w:right="318"/>
              <w:jc w:val="right"/>
            </w:pPr>
            <w:r>
              <w:t>133.00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fee</w:t>
            </w:r>
          </w:p>
        </w:tc>
        <w:tc>
          <w:tcPr>
            <w:tcW w:w="1418" w:type="dxa"/>
            <w:tcBorders>
              <w:top w:val="nil"/>
              <w:left w:val="nil"/>
              <w:bottom w:val="nil"/>
              <w:right w:val="nil"/>
            </w:tcBorders>
            <w:noWrap/>
            <w:vAlign w:val="bottom"/>
          </w:tcPr>
          <w:p>
            <w:pPr>
              <w:pStyle w:val="yTableNAm"/>
              <w:tabs>
                <w:tab w:val="clear" w:pos="567"/>
              </w:tabs>
              <w:ind w:right="318"/>
              <w:jc w:val="right"/>
            </w:pPr>
            <w:r>
              <w:t>607.00</w:t>
            </w:r>
          </w:p>
        </w:tc>
      </w:tr>
      <w:tr>
        <w:trPr>
          <w:cantSplit/>
          <w:jc w:val="center"/>
        </w:trPr>
        <w:tc>
          <w:tcPr>
            <w:tcW w:w="709" w:type="dxa"/>
            <w:tcBorders>
              <w:top w:val="nil"/>
              <w:left w:val="nil"/>
              <w:bottom w:val="nil"/>
              <w:right w:val="nil"/>
            </w:tcBorders>
            <w:noWrap/>
          </w:tcPr>
          <w:p>
            <w:pPr>
              <w:pStyle w:val="yTableNAm"/>
            </w:pPr>
            <w:r>
              <w:t>4.</w:t>
            </w:r>
          </w:p>
        </w:tc>
        <w:tc>
          <w:tcPr>
            <w:tcW w:w="3260" w:type="dxa"/>
            <w:tcBorders>
              <w:top w:val="nil"/>
              <w:left w:val="nil"/>
              <w:bottom w:val="nil"/>
              <w:right w:val="nil"/>
            </w:tcBorders>
            <w:noWrap/>
          </w:tcPr>
          <w:p>
            <w:pPr>
              <w:pStyle w:val="yTableNAm"/>
            </w:pPr>
            <w:r>
              <w:t>Application for in</w:t>
            </w:r>
            <w:r>
              <w:noBreakHyphen/>
              <w:t>house electrical installing work licence (r. 39(1)) — the total of the following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application fee</w:t>
            </w:r>
          </w:p>
        </w:tc>
        <w:tc>
          <w:tcPr>
            <w:tcW w:w="1418" w:type="dxa"/>
            <w:tcBorders>
              <w:top w:val="nil"/>
              <w:left w:val="nil"/>
              <w:bottom w:val="nil"/>
              <w:right w:val="nil"/>
            </w:tcBorders>
            <w:noWrap/>
            <w:vAlign w:val="bottom"/>
          </w:tcPr>
          <w:p>
            <w:pPr>
              <w:pStyle w:val="yTableNAm"/>
              <w:tabs>
                <w:tab w:val="clear" w:pos="567"/>
              </w:tabs>
              <w:ind w:right="318"/>
              <w:jc w:val="right"/>
            </w:pPr>
            <w:r>
              <w:t>133.00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fee</w:t>
            </w:r>
          </w:p>
        </w:tc>
        <w:tc>
          <w:tcPr>
            <w:tcW w:w="1418" w:type="dxa"/>
            <w:tcBorders>
              <w:top w:val="nil"/>
              <w:left w:val="nil"/>
              <w:bottom w:val="nil"/>
              <w:right w:val="nil"/>
            </w:tcBorders>
            <w:noWrap/>
            <w:vAlign w:val="bottom"/>
          </w:tcPr>
          <w:p>
            <w:pPr>
              <w:pStyle w:val="yTableNAm"/>
              <w:tabs>
                <w:tab w:val="clear" w:pos="567"/>
              </w:tabs>
              <w:ind w:right="318"/>
              <w:jc w:val="right"/>
            </w:pPr>
            <w:r>
              <w:t>320.00</w:t>
            </w:r>
          </w:p>
        </w:tc>
      </w:tr>
      <w:tr>
        <w:trPr>
          <w:cantSplit/>
          <w:jc w:val="center"/>
        </w:trPr>
        <w:tc>
          <w:tcPr>
            <w:tcW w:w="709" w:type="dxa"/>
            <w:tcBorders>
              <w:top w:val="nil"/>
              <w:left w:val="nil"/>
              <w:bottom w:val="nil"/>
              <w:right w:val="nil"/>
            </w:tcBorders>
            <w:noWrap/>
          </w:tcPr>
          <w:p>
            <w:pPr>
              <w:pStyle w:val="yTableNAm"/>
            </w:pPr>
            <w:r>
              <w:lastRenderedPageBreak/>
              <w:t>5.</w:t>
            </w:r>
          </w:p>
        </w:tc>
        <w:tc>
          <w:tcPr>
            <w:tcW w:w="3260" w:type="dxa"/>
            <w:tcBorders>
              <w:top w:val="nil"/>
              <w:left w:val="nil"/>
              <w:bottom w:val="nil"/>
              <w:right w:val="nil"/>
            </w:tcBorders>
            <w:noWrap/>
          </w:tcPr>
          <w:p>
            <w:pPr>
              <w:pStyle w:val="yTableNAm"/>
            </w:pPr>
            <w:r>
              <w:t>Registration fee for renewal of registration of electrical contractor’s licence (r. 39(1))</w:t>
            </w:r>
          </w:p>
        </w:tc>
        <w:tc>
          <w:tcPr>
            <w:tcW w:w="1418" w:type="dxa"/>
            <w:tcBorders>
              <w:top w:val="nil"/>
              <w:left w:val="nil"/>
              <w:bottom w:val="nil"/>
              <w:right w:val="nil"/>
            </w:tcBorders>
            <w:noWrap/>
            <w:vAlign w:val="bottom"/>
          </w:tcPr>
          <w:p>
            <w:pPr>
              <w:pStyle w:val="yTableNAm"/>
              <w:tabs>
                <w:tab w:val="clear" w:pos="567"/>
              </w:tabs>
              <w:ind w:right="318"/>
              <w:jc w:val="right"/>
            </w:pPr>
            <w:r>
              <w:t>607.00</w:t>
            </w:r>
          </w:p>
        </w:tc>
      </w:tr>
      <w:tr>
        <w:trPr>
          <w:cantSplit/>
          <w:jc w:val="center"/>
        </w:trPr>
        <w:tc>
          <w:tcPr>
            <w:tcW w:w="709" w:type="dxa"/>
            <w:tcBorders>
              <w:top w:val="nil"/>
              <w:left w:val="nil"/>
              <w:bottom w:val="nil"/>
              <w:right w:val="nil"/>
            </w:tcBorders>
            <w:noWrap/>
          </w:tcPr>
          <w:p>
            <w:pPr>
              <w:pStyle w:val="yTableNAm"/>
            </w:pPr>
            <w:r>
              <w:t>6.</w:t>
            </w:r>
          </w:p>
        </w:tc>
        <w:tc>
          <w:tcPr>
            <w:tcW w:w="3260" w:type="dxa"/>
            <w:tcBorders>
              <w:top w:val="nil"/>
              <w:left w:val="nil"/>
              <w:bottom w:val="nil"/>
              <w:right w:val="nil"/>
            </w:tcBorders>
            <w:noWrap/>
          </w:tcPr>
          <w:p>
            <w:pPr>
              <w:pStyle w:val="yTableNAm"/>
            </w:pPr>
            <w:r>
              <w:t>Registration fee for renewal of registration of in</w:t>
            </w:r>
            <w:r>
              <w:noBreakHyphen/>
              <w:t>house electrical installing work licence (r. 39(1))</w:t>
            </w:r>
          </w:p>
        </w:tc>
        <w:tc>
          <w:tcPr>
            <w:tcW w:w="1418" w:type="dxa"/>
            <w:tcBorders>
              <w:top w:val="nil"/>
              <w:left w:val="nil"/>
              <w:bottom w:val="nil"/>
              <w:right w:val="nil"/>
            </w:tcBorders>
            <w:noWrap/>
            <w:vAlign w:val="bottom"/>
          </w:tcPr>
          <w:p>
            <w:pPr>
              <w:pStyle w:val="yTableNAm"/>
              <w:tabs>
                <w:tab w:val="clear" w:pos="567"/>
              </w:tabs>
              <w:ind w:right="318"/>
              <w:jc w:val="right"/>
            </w:pPr>
            <w:r>
              <w:t>320.00</w:t>
            </w:r>
          </w:p>
        </w:tc>
      </w:tr>
      <w:tr>
        <w:trPr>
          <w:cantSplit/>
          <w:jc w:val="center"/>
        </w:trPr>
        <w:tc>
          <w:tcPr>
            <w:tcW w:w="709" w:type="dxa"/>
            <w:tcBorders>
              <w:top w:val="nil"/>
              <w:left w:val="nil"/>
              <w:bottom w:val="nil"/>
              <w:right w:val="nil"/>
            </w:tcBorders>
            <w:noWrap/>
          </w:tcPr>
          <w:p>
            <w:pPr>
              <w:pStyle w:val="yTableNAm"/>
            </w:pPr>
            <w:r>
              <w:t>7.</w:t>
            </w:r>
          </w:p>
        </w:tc>
        <w:tc>
          <w:tcPr>
            <w:tcW w:w="3260" w:type="dxa"/>
            <w:tcBorders>
              <w:top w:val="nil"/>
              <w:left w:val="nil"/>
              <w:bottom w:val="nil"/>
              <w:right w:val="nil"/>
            </w:tcBorders>
            <w:noWrap/>
          </w:tcPr>
          <w:p>
            <w:pPr>
              <w:pStyle w:val="yTableNAm"/>
            </w:pPr>
            <w:r>
              <w:t xml:space="preserve">Replacing or adding nominee (r. 38(2a)) —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electrical contractor’s licence</w:t>
            </w:r>
          </w:p>
        </w:tc>
        <w:tc>
          <w:tcPr>
            <w:tcW w:w="1418" w:type="dxa"/>
            <w:tcBorders>
              <w:top w:val="nil"/>
              <w:left w:val="nil"/>
              <w:bottom w:val="nil"/>
              <w:right w:val="nil"/>
            </w:tcBorders>
            <w:noWrap/>
            <w:vAlign w:val="bottom"/>
          </w:tcPr>
          <w:p>
            <w:pPr>
              <w:pStyle w:val="yTableNAm"/>
              <w:tabs>
                <w:tab w:val="clear" w:pos="567"/>
              </w:tabs>
              <w:ind w:right="318"/>
              <w:jc w:val="right"/>
            </w:pPr>
            <w:r>
              <w:t>458.00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in</w:t>
            </w:r>
            <w:r>
              <w:noBreakHyphen/>
              <w:t>house electrical installing work licence</w:t>
            </w:r>
          </w:p>
        </w:tc>
        <w:tc>
          <w:tcPr>
            <w:tcW w:w="1418" w:type="dxa"/>
            <w:tcBorders>
              <w:top w:val="nil"/>
              <w:left w:val="nil"/>
              <w:bottom w:val="nil"/>
              <w:right w:val="nil"/>
            </w:tcBorders>
            <w:noWrap/>
            <w:vAlign w:val="bottom"/>
          </w:tcPr>
          <w:p>
            <w:pPr>
              <w:pStyle w:val="yTableNAm"/>
              <w:tabs>
                <w:tab w:val="clear" w:pos="567"/>
              </w:tabs>
              <w:ind w:right="318"/>
              <w:jc w:val="right"/>
            </w:pPr>
            <w:r>
              <w:t>301.00</w:t>
            </w:r>
          </w:p>
        </w:tc>
      </w:tr>
      <w:tr>
        <w:trPr>
          <w:cantSplit/>
          <w:jc w:val="center"/>
        </w:trPr>
        <w:tc>
          <w:tcPr>
            <w:tcW w:w="709" w:type="dxa"/>
            <w:tcBorders>
              <w:top w:val="nil"/>
              <w:left w:val="nil"/>
              <w:bottom w:val="nil"/>
              <w:right w:val="nil"/>
            </w:tcBorders>
            <w:noWrap/>
          </w:tcPr>
          <w:p>
            <w:pPr>
              <w:pStyle w:val="yTableNAm"/>
            </w:pPr>
            <w:r>
              <w:t>8.</w:t>
            </w:r>
          </w:p>
        </w:tc>
        <w:tc>
          <w:tcPr>
            <w:tcW w:w="3260" w:type="dxa"/>
            <w:tcBorders>
              <w:top w:val="nil"/>
              <w:left w:val="nil"/>
              <w:bottom w:val="nil"/>
              <w:right w:val="nil"/>
            </w:tcBorders>
            <w:noWrap/>
          </w:tcPr>
          <w:p>
            <w:pPr>
              <w:pStyle w:val="yTableNAm"/>
            </w:pPr>
            <w:r>
              <w:t xml:space="preserve">Further inspection (r. 53A(1)) —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if relevant network operator is the Regional Power Corporation</w:t>
            </w:r>
          </w:p>
        </w:tc>
        <w:tc>
          <w:tcPr>
            <w:tcW w:w="1418" w:type="dxa"/>
            <w:tcBorders>
              <w:top w:val="nil"/>
              <w:left w:val="nil"/>
              <w:bottom w:val="nil"/>
              <w:right w:val="nil"/>
            </w:tcBorders>
            <w:noWrap/>
            <w:vAlign w:val="bottom"/>
          </w:tcPr>
          <w:p>
            <w:pPr>
              <w:pStyle w:val="yTableNAm"/>
              <w:tabs>
                <w:tab w:val="clear" w:pos="567"/>
              </w:tabs>
              <w:ind w:right="318"/>
              <w:jc w:val="right"/>
            </w:pPr>
            <w:r>
              <w:t>498.25</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otherwise</w:t>
            </w:r>
          </w:p>
        </w:tc>
        <w:tc>
          <w:tcPr>
            <w:tcW w:w="1418" w:type="dxa"/>
            <w:tcBorders>
              <w:top w:val="nil"/>
              <w:left w:val="nil"/>
              <w:bottom w:val="nil"/>
              <w:right w:val="nil"/>
            </w:tcBorders>
            <w:noWrap/>
            <w:vAlign w:val="bottom"/>
          </w:tcPr>
          <w:p>
            <w:pPr>
              <w:pStyle w:val="yTableNAm"/>
              <w:tabs>
                <w:tab w:val="clear" w:pos="567"/>
              </w:tabs>
              <w:ind w:right="318"/>
              <w:jc w:val="right"/>
            </w:pPr>
            <w:r>
              <w:t>182.00</w:t>
            </w:r>
          </w:p>
        </w:tc>
      </w:tr>
      <w:tr>
        <w:trPr>
          <w:cantSplit/>
          <w:jc w:val="center"/>
        </w:trPr>
        <w:tc>
          <w:tcPr>
            <w:tcW w:w="709" w:type="dxa"/>
            <w:tcBorders>
              <w:top w:val="nil"/>
              <w:left w:val="nil"/>
              <w:bottom w:val="nil"/>
              <w:right w:val="nil"/>
            </w:tcBorders>
            <w:noWrap/>
          </w:tcPr>
          <w:p>
            <w:pPr>
              <w:pStyle w:val="yTableNAm"/>
              <w:keepNext/>
            </w:pPr>
            <w:r>
              <w:t>9.</w:t>
            </w:r>
          </w:p>
        </w:tc>
        <w:tc>
          <w:tcPr>
            <w:tcW w:w="3260" w:type="dxa"/>
            <w:tcBorders>
              <w:top w:val="nil"/>
              <w:left w:val="nil"/>
              <w:bottom w:val="nil"/>
              <w:right w:val="nil"/>
            </w:tcBorders>
            <w:noWrap/>
          </w:tcPr>
          <w:p>
            <w:pPr>
              <w:pStyle w:val="yTableNAm"/>
              <w:keepNext/>
            </w:pPr>
            <w:r>
              <w:t xml:space="preserve">Application for restoration of name to register (r. 56(3)) — </w:t>
            </w:r>
          </w:p>
        </w:tc>
        <w:tc>
          <w:tcPr>
            <w:tcW w:w="1418" w:type="dxa"/>
            <w:tcBorders>
              <w:top w:val="nil"/>
              <w:left w:val="nil"/>
              <w:bottom w:val="nil"/>
              <w:right w:val="nil"/>
            </w:tcBorders>
            <w:noWrap/>
            <w:vAlign w:val="bottom"/>
          </w:tcPr>
          <w:p>
            <w:pPr>
              <w:pStyle w:val="yTableNAm"/>
              <w:keepNext/>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for holder of electrical worker’s licence</w:t>
            </w:r>
          </w:p>
        </w:tc>
        <w:tc>
          <w:tcPr>
            <w:tcW w:w="1418" w:type="dxa"/>
            <w:tcBorders>
              <w:top w:val="nil"/>
              <w:left w:val="nil"/>
              <w:bottom w:val="nil"/>
              <w:right w:val="nil"/>
            </w:tcBorders>
            <w:noWrap/>
            <w:vAlign w:val="bottom"/>
          </w:tcPr>
          <w:p>
            <w:pPr>
              <w:pStyle w:val="yTableNAm"/>
              <w:tabs>
                <w:tab w:val="clear" w:pos="567"/>
              </w:tabs>
              <w:ind w:right="318"/>
              <w:jc w:val="right"/>
            </w:pPr>
            <w:r>
              <w:t>91.00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for holder of electrical contractor’s licence or in</w:t>
            </w:r>
            <w:r>
              <w:noBreakHyphen/>
              <w:t>house electrical installing work licence</w:t>
            </w:r>
          </w:p>
        </w:tc>
        <w:tc>
          <w:tcPr>
            <w:tcW w:w="1418" w:type="dxa"/>
            <w:tcBorders>
              <w:top w:val="nil"/>
              <w:left w:val="nil"/>
              <w:bottom w:val="nil"/>
              <w:right w:val="nil"/>
            </w:tcBorders>
            <w:noWrap/>
            <w:vAlign w:val="bottom"/>
          </w:tcPr>
          <w:p>
            <w:pPr>
              <w:pStyle w:val="yTableNAm"/>
              <w:tabs>
                <w:tab w:val="clear" w:pos="567"/>
              </w:tabs>
              <w:ind w:right="318"/>
              <w:jc w:val="right"/>
            </w:pPr>
            <w:r>
              <w:t>170.00</w:t>
            </w:r>
          </w:p>
        </w:tc>
      </w:tr>
      <w:tr>
        <w:trPr>
          <w:cantSplit/>
          <w:jc w:val="center"/>
        </w:trPr>
        <w:tc>
          <w:tcPr>
            <w:tcW w:w="709" w:type="dxa"/>
            <w:tcBorders>
              <w:top w:val="nil"/>
              <w:left w:val="nil"/>
              <w:bottom w:val="nil"/>
              <w:right w:val="nil"/>
            </w:tcBorders>
            <w:noWrap/>
          </w:tcPr>
          <w:p>
            <w:pPr>
              <w:pStyle w:val="yTableNAm"/>
              <w:keepNext/>
            </w:pPr>
            <w:r>
              <w:lastRenderedPageBreak/>
              <w:t>10.</w:t>
            </w:r>
          </w:p>
        </w:tc>
        <w:tc>
          <w:tcPr>
            <w:tcW w:w="3260" w:type="dxa"/>
            <w:tcBorders>
              <w:top w:val="nil"/>
              <w:left w:val="nil"/>
              <w:bottom w:val="nil"/>
              <w:right w:val="nil"/>
            </w:tcBorders>
            <w:noWrap/>
          </w:tcPr>
          <w:p>
            <w:pPr>
              <w:pStyle w:val="yTableNAm"/>
              <w:keepNext/>
            </w:pPr>
            <w:r>
              <w:t xml:space="preserve">Replacement document (r. 60(1)) —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electrical worker’s licence or permit</w:t>
            </w:r>
          </w:p>
        </w:tc>
        <w:tc>
          <w:tcPr>
            <w:tcW w:w="1418" w:type="dxa"/>
            <w:tcBorders>
              <w:top w:val="nil"/>
              <w:left w:val="nil"/>
              <w:bottom w:val="nil"/>
              <w:right w:val="nil"/>
            </w:tcBorders>
            <w:noWrap/>
            <w:vAlign w:val="bottom"/>
          </w:tcPr>
          <w:p>
            <w:pPr>
              <w:pStyle w:val="yTableNAm"/>
              <w:tabs>
                <w:tab w:val="clear" w:pos="567"/>
              </w:tabs>
              <w:ind w:right="318"/>
              <w:jc w:val="right"/>
            </w:pPr>
            <w:r>
              <w:t>47.25</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electrical contractor’s licence or in</w:t>
            </w:r>
            <w:r>
              <w:noBreakHyphen/>
              <w:t>house electrical installing work licence</w:t>
            </w:r>
          </w:p>
        </w:tc>
        <w:tc>
          <w:tcPr>
            <w:tcW w:w="1418" w:type="dxa"/>
            <w:tcBorders>
              <w:top w:val="nil"/>
              <w:left w:val="nil"/>
              <w:bottom w:val="nil"/>
              <w:right w:val="nil"/>
            </w:tcBorders>
            <w:noWrap/>
            <w:vAlign w:val="bottom"/>
          </w:tcPr>
          <w:p>
            <w:pPr>
              <w:pStyle w:val="yTableNAm"/>
              <w:tabs>
                <w:tab w:val="clear" w:pos="567"/>
              </w:tabs>
              <w:ind w:right="318"/>
              <w:jc w:val="right"/>
            </w:pPr>
            <w:r>
              <w:t>60.90</w:t>
            </w:r>
          </w:p>
        </w:tc>
      </w:tr>
      <w:tr>
        <w:trPr>
          <w:cantSplit/>
          <w:jc w:val="center"/>
        </w:trPr>
        <w:tc>
          <w:tcPr>
            <w:tcW w:w="709" w:type="dxa"/>
            <w:tcBorders>
              <w:top w:val="nil"/>
              <w:left w:val="nil"/>
              <w:bottom w:val="nil"/>
              <w:right w:val="nil"/>
            </w:tcBorders>
            <w:noWrap/>
          </w:tcPr>
          <w:p>
            <w:pPr>
              <w:pStyle w:val="yTableNAm"/>
            </w:pPr>
            <w:r>
              <w:t>11.</w:t>
            </w:r>
          </w:p>
        </w:tc>
        <w:tc>
          <w:tcPr>
            <w:tcW w:w="3260" w:type="dxa"/>
            <w:tcBorders>
              <w:top w:val="nil"/>
              <w:left w:val="nil"/>
              <w:bottom w:val="nil"/>
              <w:right w:val="nil"/>
            </w:tcBorders>
            <w:noWrap/>
          </w:tcPr>
          <w:p>
            <w:pPr>
              <w:pStyle w:val="yTableNAm"/>
            </w:pPr>
            <w:r>
              <w:t>Replacement certificate of registration relating to electrical contractor’s licence or in</w:t>
            </w:r>
            <w:r>
              <w:noBreakHyphen/>
              <w:t>house electrical installing work licence</w:t>
            </w:r>
          </w:p>
        </w:tc>
        <w:tc>
          <w:tcPr>
            <w:tcW w:w="1418" w:type="dxa"/>
            <w:tcBorders>
              <w:top w:val="nil"/>
              <w:left w:val="nil"/>
              <w:bottom w:val="nil"/>
              <w:right w:val="nil"/>
            </w:tcBorders>
            <w:noWrap/>
            <w:vAlign w:val="bottom"/>
          </w:tcPr>
          <w:p>
            <w:pPr>
              <w:pStyle w:val="yTableNAm"/>
              <w:tabs>
                <w:tab w:val="clear" w:pos="567"/>
              </w:tabs>
              <w:ind w:right="318"/>
              <w:jc w:val="right"/>
            </w:pPr>
            <w:r>
              <w:t>60.90</w:t>
            </w:r>
          </w:p>
        </w:tc>
      </w:tr>
      <w:tr>
        <w:trPr>
          <w:cantSplit/>
          <w:jc w:val="center"/>
        </w:trPr>
        <w:tc>
          <w:tcPr>
            <w:tcW w:w="709" w:type="dxa"/>
            <w:tcBorders>
              <w:top w:val="nil"/>
              <w:left w:val="nil"/>
              <w:bottom w:val="nil"/>
              <w:right w:val="nil"/>
            </w:tcBorders>
            <w:noWrap/>
          </w:tcPr>
          <w:p>
            <w:pPr>
              <w:pStyle w:val="yTableNAm"/>
            </w:pPr>
            <w:r>
              <w:t>12.</w:t>
            </w:r>
          </w:p>
        </w:tc>
        <w:tc>
          <w:tcPr>
            <w:tcW w:w="3260" w:type="dxa"/>
            <w:tcBorders>
              <w:top w:val="nil"/>
              <w:left w:val="nil"/>
              <w:bottom w:val="nil"/>
              <w:right w:val="nil"/>
            </w:tcBorders>
            <w:noWrap/>
          </w:tcPr>
          <w:p>
            <w:pPr>
              <w:pStyle w:val="yTableNAm"/>
            </w:pPr>
            <w:r>
              <w:t>Extract from register</w:t>
            </w:r>
          </w:p>
        </w:tc>
        <w:tc>
          <w:tcPr>
            <w:tcW w:w="1418" w:type="dxa"/>
            <w:tcBorders>
              <w:top w:val="nil"/>
              <w:left w:val="nil"/>
              <w:bottom w:val="nil"/>
              <w:right w:val="nil"/>
            </w:tcBorders>
            <w:noWrap/>
            <w:vAlign w:val="bottom"/>
          </w:tcPr>
          <w:p>
            <w:pPr>
              <w:pStyle w:val="yTableNAm"/>
              <w:tabs>
                <w:tab w:val="clear" w:pos="567"/>
              </w:tabs>
              <w:ind w:right="318"/>
              <w:jc w:val="right"/>
            </w:pPr>
            <w:r>
              <w:t>72.00</w:t>
            </w:r>
          </w:p>
        </w:tc>
      </w:tr>
      <w:tr>
        <w:trPr>
          <w:cantSplit/>
          <w:jc w:val="center"/>
        </w:trPr>
        <w:tc>
          <w:tcPr>
            <w:tcW w:w="709" w:type="dxa"/>
            <w:tcBorders>
              <w:top w:val="nil"/>
              <w:left w:val="nil"/>
              <w:bottom w:val="nil"/>
              <w:right w:val="nil"/>
            </w:tcBorders>
            <w:noWrap/>
          </w:tcPr>
          <w:p>
            <w:pPr>
              <w:pStyle w:val="yTableNAm"/>
            </w:pPr>
            <w:r>
              <w:t>13.</w:t>
            </w:r>
          </w:p>
        </w:tc>
        <w:tc>
          <w:tcPr>
            <w:tcW w:w="3260" w:type="dxa"/>
            <w:tcBorders>
              <w:top w:val="nil"/>
              <w:left w:val="nil"/>
              <w:bottom w:val="nil"/>
              <w:right w:val="nil"/>
            </w:tcBorders>
            <w:noWrap/>
          </w:tcPr>
          <w:p>
            <w:pPr>
              <w:pStyle w:val="yTableNAm"/>
            </w:pPr>
            <w:r>
              <w:t>Copy of register (if available)</w:t>
            </w:r>
          </w:p>
        </w:tc>
        <w:tc>
          <w:tcPr>
            <w:tcW w:w="1418" w:type="dxa"/>
            <w:tcBorders>
              <w:top w:val="nil"/>
              <w:left w:val="nil"/>
              <w:bottom w:val="nil"/>
              <w:right w:val="nil"/>
            </w:tcBorders>
            <w:noWrap/>
            <w:vAlign w:val="bottom"/>
          </w:tcPr>
          <w:p>
            <w:pPr>
              <w:pStyle w:val="yTableNAm"/>
              <w:tabs>
                <w:tab w:val="clear" w:pos="567"/>
              </w:tabs>
              <w:ind w:right="318"/>
              <w:jc w:val="right"/>
            </w:pPr>
            <w:r>
              <w:t>84.00</w:t>
            </w:r>
          </w:p>
        </w:tc>
      </w:tr>
    </w:tbl>
    <w:p>
      <w:pPr>
        <w:pStyle w:val="yFootnotesection"/>
      </w:pPr>
      <w:r>
        <w:tab/>
        <w:t>[Schedule 1 inserted: SL 2024/96 r. 24.]</w:t>
      </w:r>
    </w:p>
    <w:p>
      <w:pPr>
        <w:pStyle w:val="yScheduleHeading"/>
      </w:pPr>
      <w:bookmarkStart w:id="174" w:name="_Toc179464497"/>
      <w:bookmarkStart w:id="175" w:name="_Toc179465429"/>
      <w:bookmarkStart w:id="176" w:name="_Toc179466526"/>
      <w:bookmarkStart w:id="177" w:name="_Toc179466644"/>
      <w:r>
        <w:rPr>
          <w:rStyle w:val="CharSchNo"/>
        </w:rPr>
        <w:lastRenderedPageBreak/>
        <w:t>Schedule 2</w:t>
      </w:r>
      <w:r>
        <w:rPr>
          <w:rStyle w:val="CharSDivNo"/>
        </w:rPr>
        <w:t> </w:t>
      </w:r>
      <w:r>
        <w:t>—</w:t>
      </w:r>
      <w:r>
        <w:rPr>
          <w:rStyle w:val="CharSDivText"/>
        </w:rPr>
        <w:t> </w:t>
      </w:r>
      <w:r>
        <w:rPr>
          <w:rStyle w:val="CharSchText"/>
        </w:rPr>
        <w:t>Standards for electrical work</w:t>
      </w:r>
      <w:bookmarkEnd w:id="174"/>
      <w:bookmarkEnd w:id="175"/>
      <w:bookmarkEnd w:id="176"/>
      <w:bookmarkEnd w:id="177"/>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Electrical installations — Marinas and recreational boats — Marinas</w:t>
            </w:r>
          </w:p>
        </w:tc>
      </w:tr>
      <w:tr>
        <w:trPr>
          <w:cantSplit/>
        </w:trPr>
        <w:tc>
          <w:tcPr>
            <w:tcW w:w="851" w:type="dxa"/>
            <w:shd w:val="clear" w:color="auto" w:fill="auto"/>
          </w:tcPr>
          <w:p>
            <w:pPr>
              <w:pStyle w:val="yTableNAm"/>
            </w:pPr>
            <w:r>
              <w:lastRenderedPageBreak/>
              <w:t>10.</w:t>
            </w:r>
          </w:p>
        </w:tc>
        <w:tc>
          <w:tcPr>
            <w:tcW w:w="2551" w:type="dxa"/>
            <w:shd w:val="clear" w:color="auto" w:fill="auto"/>
          </w:tcPr>
          <w:p>
            <w:pPr>
              <w:pStyle w:val="yTableNAm"/>
            </w:pPr>
            <w:r>
              <w:t>AS/NZS 3004.2:2008</w:t>
            </w:r>
          </w:p>
        </w:tc>
        <w:tc>
          <w:tcPr>
            <w:tcW w:w="3686" w:type="dxa"/>
          </w:tcPr>
          <w:p>
            <w:pPr>
              <w:pStyle w:val="yTableNAm"/>
            </w:pPr>
            <w:r>
              <w:t>Electrical installations — Marinas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lastRenderedPageBreak/>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79" w:name="_Toc179464498"/>
      <w:bookmarkStart w:id="180" w:name="_Toc179465430"/>
      <w:bookmarkStart w:id="181" w:name="_Toc179466527"/>
      <w:bookmarkStart w:id="182" w:name="_Toc179466645"/>
      <w:r>
        <w:lastRenderedPageBreak/>
        <w:t>Notes</w:t>
      </w:r>
      <w:bookmarkEnd w:id="179"/>
      <w:bookmarkEnd w:id="180"/>
      <w:bookmarkEnd w:id="181"/>
      <w:bookmarkEnd w:id="182"/>
    </w:p>
    <w:p>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 </w:t>
      </w:r>
    </w:p>
    <w:p>
      <w:pPr>
        <w:pStyle w:val="nHeading3"/>
      </w:pPr>
      <w:bookmarkStart w:id="183" w:name="_Toc179466646"/>
      <w:r>
        <w:t>Compilation table</w:t>
      </w:r>
      <w:bookmarkEnd w:id="18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lastRenderedPageBreak/>
              <w:t>Electricity (Licensing) Amendment Regulations (No. 2) 2003</w:t>
            </w:r>
            <w:r>
              <w:rPr>
                <w:iCs/>
              </w:rPr>
              <w:t xml:space="preserve"> </w:t>
            </w:r>
            <w:r>
              <w:rPr>
                <w:iCs/>
                <w:vertAlign w:val="superscript"/>
              </w:rPr>
              <w:t>1</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2007</w:t>
            </w:r>
            <w:r>
              <w:rPr>
                <w:iCs/>
                <w:vertAlign w:val="superscript"/>
              </w:rPr>
              <w:t> 5</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bCs/>
                <w:snapToGrid w:val="0"/>
                <w:spacing w:val="-2"/>
              </w:rPr>
            </w:pPr>
            <w:r>
              <w:t>6 Aug 2015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2018 </w:t>
            </w:r>
            <w:r>
              <w:rPr>
                <w:vertAlign w:val="superscript"/>
              </w:rPr>
              <w:t>6</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bCs/>
                <w:snapToGrid w:val="0"/>
                <w:spacing w:val="-2"/>
              </w:rPr>
            </w:pPr>
            <w:r>
              <w:rPr>
                <w:snapToGrid w:val="0"/>
                <w:spacing w:val="-2"/>
              </w:rPr>
              <w:t>1 Jan 2019 (see r. 2(b))</w:t>
            </w:r>
          </w:p>
        </w:tc>
      </w:tr>
      <w:tr>
        <w:trPr>
          <w:cantSplit/>
        </w:trPr>
        <w:tc>
          <w:tcPr>
            <w:tcW w:w="3118" w:type="dxa"/>
            <w:tcBorders>
              <w:top w:val="nil"/>
              <w:bottom w:val="nil"/>
            </w:tcBorders>
          </w:tcPr>
          <w:p>
            <w:pPr>
              <w:pStyle w:val="nTable"/>
              <w:spacing w:after="40"/>
              <w:rPr>
                <w:i/>
              </w:rPr>
            </w:pPr>
            <w:r>
              <w:rPr>
                <w:i/>
              </w:rPr>
              <w:lastRenderedPageBreak/>
              <w:t>Electricity (Licensing) Amendment Regulations (No. 2) 2018</w:t>
            </w:r>
          </w:p>
        </w:tc>
        <w:tc>
          <w:tcPr>
            <w:tcW w:w="1276" w:type="dxa"/>
            <w:tcBorders>
              <w:top w:val="nil"/>
              <w:bottom w:val="nil"/>
            </w:tcBorders>
          </w:tcPr>
          <w:p>
            <w:pPr>
              <w:pStyle w:val="nTable"/>
              <w:keepNext/>
              <w:spacing w:after="40"/>
            </w:pPr>
            <w:r>
              <w:t>8 Jan 2019 p. 11</w:t>
            </w:r>
            <w:r>
              <w:noBreakHyphen/>
              <w:t>17</w:t>
            </w:r>
          </w:p>
        </w:tc>
        <w:tc>
          <w:tcPr>
            <w:tcW w:w="2693" w:type="dxa"/>
            <w:tcBorders>
              <w:top w:val="nil"/>
              <w:bottom w:val="nil"/>
            </w:tcBorders>
          </w:tcPr>
          <w:p>
            <w:pPr>
              <w:pStyle w:val="nTable"/>
              <w:keepNext/>
              <w:spacing w:after="40"/>
              <w:rPr>
                <w:snapToGrid w:val="0"/>
                <w:spacing w:val="-2"/>
              </w:rPr>
            </w:pPr>
            <w:r>
              <w:t>r. 1 and 2: 8 Jan 2019 (see r. 2(a));</w:t>
            </w:r>
            <w:r>
              <w:br/>
              <w:t>Regulations other than r. 1 and 2: 9 Jan 2019 (see r. 2(b))</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pPr>
              <w:pStyle w:val="nTable"/>
              <w:keepNext/>
              <w:spacing w:after="40"/>
            </w:pPr>
            <w:r>
              <w:t>18 Jun 2019 p. 2077</w:t>
            </w:r>
            <w:r>
              <w:noBreakHyphen/>
              <w:t>115</w:t>
            </w:r>
          </w:p>
        </w:tc>
        <w:tc>
          <w:tcPr>
            <w:tcW w:w="2693" w:type="dxa"/>
            <w:tcBorders>
              <w:top w:val="nil"/>
              <w:bottom w:val="nil"/>
            </w:tcBorders>
          </w:tcPr>
          <w:p>
            <w:pPr>
              <w:pStyle w:val="nTable"/>
              <w:keepNext/>
              <w:spacing w:after="40"/>
            </w:pPr>
            <w:r>
              <w:t>1 Jul 2019 (see r. 2(b))</w:t>
            </w:r>
          </w:p>
        </w:tc>
      </w:tr>
      <w:tr>
        <w:trPr>
          <w:cantSplit/>
        </w:trPr>
        <w:tc>
          <w:tcPr>
            <w:tcW w:w="3118" w:type="dxa"/>
            <w:tcBorders>
              <w:top w:val="nil"/>
              <w:bottom w:val="nil"/>
            </w:tcBorders>
          </w:tcPr>
          <w:p>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keepNext/>
              <w:spacing w:after="40"/>
            </w:pPr>
            <w:r>
              <w:t>28 Oct 2020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2021</w:t>
            </w:r>
            <w:r>
              <w:t xml:space="preserve"> Pt. 10</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keepNext/>
              <w:spacing w:after="40"/>
            </w:pPr>
            <w:r>
              <w:t>1 Jul 2021 (see r. 2(b))</w:t>
            </w:r>
          </w:p>
        </w:tc>
      </w:tr>
      <w:tr>
        <w:trPr>
          <w:cantSplit/>
        </w:trPr>
        <w:tc>
          <w:tcPr>
            <w:tcW w:w="3118" w:type="dxa"/>
            <w:tcBorders>
              <w:top w:val="nil"/>
              <w:bottom w:val="nil"/>
            </w:tcBorders>
          </w:tcPr>
          <w:p>
            <w:pPr>
              <w:pStyle w:val="nTable"/>
              <w:spacing w:after="40"/>
            </w:pPr>
            <w:r>
              <w:rPr>
                <w:i/>
              </w:rPr>
              <w:t>Energy Regulations Amendment (Electricity Licensing) Regulations 2022</w:t>
            </w:r>
            <w:r>
              <w:t xml:space="preserve"> Pt. 2</w:t>
            </w:r>
          </w:p>
        </w:tc>
        <w:tc>
          <w:tcPr>
            <w:tcW w:w="1276" w:type="dxa"/>
            <w:tcBorders>
              <w:top w:val="nil"/>
              <w:bottom w:val="nil"/>
            </w:tcBorders>
          </w:tcPr>
          <w:p>
            <w:pPr>
              <w:pStyle w:val="nTable"/>
              <w:spacing w:after="40"/>
            </w:pPr>
            <w:r>
              <w:t>SL 2022/36 15 Mar 2022</w:t>
            </w:r>
          </w:p>
        </w:tc>
        <w:tc>
          <w:tcPr>
            <w:tcW w:w="2693" w:type="dxa"/>
            <w:tcBorders>
              <w:top w:val="nil"/>
              <w:bottom w:val="nil"/>
            </w:tcBorders>
          </w:tcPr>
          <w:p>
            <w:pPr>
              <w:pStyle w:val="nTable"/>
              <w:keepNext/>
              <w:spacing w:after="40"/>
            </w:pPr>
            <w:r>
              <w:t>16 Mar 2022 (see r. 2(b))</w:t>
            </w:r>
          </w:p>
        </w:tc>
      </w:tr>
      <w:tr>
        <w:trPr>
          <w:cantSplit/>
        </w:trPr>
        <w:tc>
          <w:tcPr>
            <w:tcW w:w="3118" w:type="dxa"/>
            <w:tcBorders>
              <w:top w:val="nil"/>
              <w:bottom w:val="nil"/>
            </w:tcBorders>
          </w:tcPr>
          <w:p>
            <w:pPr>
              <w:pStyle w:val="nTable"/>
              <w:spacing w:after="40"/>
              <w:rPr>
                <w:i/>
              </w:rPr>
            </w:pPr>
            <w:r>
              <w:rPr>
                <w:i/>
              </w:rPr>
              <w:t>Commerce Regulations Amendment (Work Health and Safety) Regulations 2022</w:t>
            </w:r>
            <w:r>
              <w:t xml:space="preserve"> Pt. 3</w:t>
            </w:r>
          </w:p>
        </w:tc>
        <w:tc>
          <w:tcPr>
            <w:tcW w:w="1276" w:type="dxa"/>
            <w:tcBorders>
              <w:top w:val="nil"/>
              <w:bottom w:val="nil"/>
            </w:tcBorders>
          </w:tcPr>
          <w:p>
            <w:pPr>
              <w:pStyle w:val="nTable"/>
              <w:spacing w:after="40"/>
            </w:pPr>
            <w:r>
              <w:t>SL 2022/26 11 Mar 2022</w:t>
            </w:r>
          </w:p>
        </w:tc>
        <w:tc>
          <w:tcPr>
            <w:tcW w:w="2693" w:type="dxa"/>
            <w:tcBorders>
              <w:top w:val="nil"/>
              <w:bottom w:val="nil"/>
            </w:tcBorders>
          </w:tcPr>
          <w:p>
            <w:pPr>
              <w:pStyle w:val="nTable"/>
              <w:keepNext/>
              <w:spacing w:after="40"/>
            </w:pPr>
            <w:r>
              <w:t>31 Mar 2022 (see r. 2(b) and SL 2022/18 cl. 2)</w:t>
            </w:r>
          </w:p>
        </w:tc>
      </w:tr>
      <w:tr>
        <w:trPr>
          <w:cantSplit/>
        </w:trPr>
        <w:tc>
          <w:tcPr>
            <w:tcW w:w="3118" w:type="dxa"/>
            <w:tcBorders>
              <w:top w:val="nil"/>
              <w:bottom w:val="nil"/>
            </w:tcBorders>
          </w:tcPr>
          <w:p>
            <w:pPr>
              <w:pStyle w:val="nTable"/>
              <w:spacing w:after="40"/>
              <w:rPr>
                <w:i/>
              </w:rPr>
            </w:pPr>
            <w:r>
              <w:rPr>
                <w:i/>
              </w:rPr>
              <w:t>Commerce Regulations Amendment (Fees and Charges) Regulations 2022</w:t>
            </w:r>
            <w:r>
              <w:t xml:space="preserve"> Pt. 8</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4</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keepNext/>
              <w:spacing w:after="40"/>
            </w:pPr>
            <w:r>
              <w:t>1 Jul 2022 (see r. 2(b) and SL 2022/113 cl. 2)</w:t>
            </w:r>
          </w:p>
        </w:tc>
      </w:tr>
      <w:tr>
        <w:trPr>
          <w:cantSplit/>
        </w:trPr>
        <w:tc>
          <w:tcPr>
            <w:tcW w:w="3118" w:type="dxa"/>
            <w:tcBorders>
              <w:top w:val="nil"/>
              <w:bottom w:val="nil"/>
            </w:tcBorders>
          </w:tcPr>
          <w:p>
            <w:pPr>
              <w:pStyle w:val="nTable"/>
              <w:spacing w:after="40"/>
            </w:pPr>
            <w:r>
              <w:rPr>
                <w:i/>
              </w:rPr>
              <w:t>Electricity (Licensing) Amendment Regulations 2023</w:t>
            </w:r>
          </w:p>
        </w:tc>
        <w:tc>
          <w:tcPr>
            <w:tcW w:w="1276" w:type="dxa"/>
            <w:tcBorders>
              <w:top w:val="nil"/>
              <w:bottom w:val="nil"/>
            </w:tcBorders>
          </w:tcPr>
          <w:p>
            <w:pPr>
              <w:pStyle w:val="nTable"/>
              <w:spacing w:after="40"/>
            </w:pPr>
            <w:r>
              <w:t>SL 2023/30 6 Apr 2023</w:t>
            </w:r>
          </w:p>
        </w:tc>
        <w:tc>
          <w:tcPr>
            <w:tcW w:w="2693" w:type="dxa"/>
            <w:tcBorders>
              <w:top w:val="nil"/>
              <w:bottom w:val="nil"/>
            </w:tcBorders>
          </w:tcPr>
          <w:p>
            <w:pPr>
              <w:pStyle w:val="nTable"/>
              <w:keepNext/>
              <w:spacing w:after="40"/>
            </w:pPr>
            <w:r>
              <w:t>r. 1 and 2: 6 Apr 2023 (see r. 2(a));</w:t>
            </w:r>
            <w:r>
              <w:br/>
              <w:t>Regulations other than r. 1, 2 and 4(2): 7 Apr 2023 (see r. 2(c));</w:t>
            </w:r>
            <w:r>
              <w:br/>
              <w:t>r. 4(2): 1 Aug 2023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2023</w:t>
            </w:r>
            <w:r>
              <w:t xml:space="preserve"> Pt. 8</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keepNext/>
              <w:spacing w:after="40"/>
            </w:pPr>
            <w:r>
              <w:t>1 Jul 2023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2024</w:t>
            </w:r>
            <w:r>
              <w:rPr>
                <w:iCs/>
              </w:rPr>
              <w:t xml:space="preserve"> Pt. 7</w:t>
            </w:r>
          </w:p>
        </w:tc>
        <w:tc>
          <w:tcPr>
            <w:tcW w:w="1276" w:type="dxa"/>
            <w:tcBorders>
              <w:top w:val="nil"/>
              <w:bottom w:val="nil"/>
            </w:tcBorders>
          </w:tcPr>
          <w:p>
            <w:pPr>
              <w:pStyle w:val="nTable"/>
              <w:spacing w:after="40"/>
            </w:pPr>
            <w:r>
              <w:t>SL 2024/96 12 Jun 2024</w:t>
            </w:r>
          </w:p>
        </w:tc>
        <w:tc>
          <w:tcPr>
            <w:tcW w:w="2693" w:type="dxa"/>
            <w:tcBorders>
              <w:top w:val="nil"/>
              <w:bottom w:val="nil"/>
            </w:tcBorders>
          </w:tcPr>
          <w:p>
            <w:pPr>
              <w:pStyle w:val="nTable"/>
              <w:keepNext/>
              <w:spacing w:after="40"/>
            </w:pPr>
            <w:r>
              <w:t>1 Jul 2024 (see r. 2(c))</w:t>
            </w:r>
          </w:p>
        </w:tc>
      </w:tr>
      <w:tr>
        <w:trPr>
          <w:cantSplit/>
        </w:trPr>
        <w:tc>
          <w:tcPr>
            <w:tcW w:w="3118" w:type="dxa"/>
            <w:tcBorders>
              <w:top w:val="nil"/>
              <w:bottom w:val="single" w:sz="4" w:space="0" w:color="auto"/>
            </w:tcBorders>
          </w:tcPr>
          <w:p>
            <w:pPr>
              <w:pStyle w:val="nTable"/>
              <w:spacing w:after="40"/>
              <w:rPr>
                <w:iCs/>
              </w:rPr>
            </w:pPr>
            <w:r>
              <w:rPr>
                <w:i/>
              </w:rPr>
              <w:t xml:space="preserve">Electricity Regulations Amendment (Licensing) Regulations 2024 </w:t>
            </w:r>
            <w:r>
              <w:rPr>
                <w:iCs/>
              </w:rPr>
              <w:t>Pt. 2</w:t>
            </w:r>
          </w:p>
        </w:tc>
        <w:tc>
          <w:tcPr>
            <w:tcW w:w="1276" w:type="dxa"/>
            <w:tcBorders>
              <w:top w:val="nil"/>
              <w:bottom w:val="single" w:sz="4" w:space="0" w:color="auto"/>
            </w:tcBorders>
          </w:tcPr>
          <w:p>
            <w:pPr>
              <w:pStyle w:val="nTable"/>
              <w:spacing w:after="40"/>
            </w:pPr>
            <w:r>
              <w:t>SL 2024/211 16 Oct 2024</w:t>
            </w:r>
          </w:p>
        </w:tc>
        <w:tc>
          <w:tcPr>
            <w:tcW w:w="2693" w:type="dxa"/>
            <w:tcBorders>
              <w:top w:val="nil"/>
              <w:bottom w:val="single" w:sz="4" w:space="0" w:color="auto"/>
            </w:tcBorders>
          </w:tcPr>
          <w:p>
            <w:pPr>
              <w:pStyle w:val="nTable"/>
              <w:keepNext/>
              <w:spacing w:after="40"/>
            </w:pPr>
            <w:r>
              <w:t>17 Oct 2024 (see r. 2(b))</w:t>
            </w:r>
          </w:p>
        </w:tc>
      </w:tr>
    </w:tbl>
    <w:p>
      <w:pPr>
        <w:pStyle w:val="nHeading3"/>
      </w:pPr>
      <w:bookmarkStart w:id="184" w:name="_Toc179466647"/>
      <w:r>
        <w:lastRenderedPageBreak/>
        <w:t>Other notes</w:t>
      </w:r>
      <w:bookmarkEnd w:id="184"/>
    </w:p>
    <w:p>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Note"/>
        <w:keepNext/>
        <w:spacing w:before="100"/>
      </w:pPr>
      <w:r>
        <w:rPr>
          <w:vertAlign w:val="superscript"/>
        </w:rPr>
        <w:t>2</w:t>
      </w:r>
      <w:r>
        <w:tab/>
        <w:t xml:space="preserve">Repealed by the </w:t>
      </w:r>
      <w:r>
        <w:rPr>
          <w:i/>
          <w:iCs/>
        </w:rPr>
        <w:t>Training Legislation Amendment and Repeal Act 2008</w:t>
      </w:r>
      <w:r>
        <w:t xml:space="preserve"> s. 50. </w:t>
      </w:r>
    </w:p>
    <w:p>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pPr>
        <w:pStyle w:val="nNote"/>
        <w:keepNext/>
        <w:spacing w:before="100"/>
        <w:rPr>
          <w:snapToGrid w:val="0"/>
        </w:rPr>
      </w:pPr>
      <w:r>
        <w:rPr>
          <w:snapToGrid w:val="0"/>
          <w:vertAlign w:val="superscript"/>
        </w:rPr>
        <w:t>5</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85" w:name="endcomma"/>
      <w:bookmarkEnd w:id="185"/>
    </w:p>
    <w:p>
      <w:pPr>
        <w:pStyle w:val="BlankClose"/>
        <w:rPr>
          <w:sz w:val="16"/>
          <w:szCs w:val="16"/>
        </w:rPr>
      </w:pPr>
    </w:p>
    <w:p>
      <w:pPr>
        <w:pStyle w:val="nNote"/>
        <w:keepNext/>
        <w:spacing w:before="240"/>
        <w:rPr>
          <w:i/>
          <w:snapToGrid w:val="0"/>
        </w:rPr>
      </w:pPr>
      <w:r>
        <w:rPr>
          <w:snapToGrid w:val="0"/>
          <w:vertAlign w:val="superscript"/>
        </w:rPr>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87" w:name="_Toc179466530"/>
      <w:bookmarkStart w:id="188" w:name="_Toc179466648"/>
      <w:r>
        <w:rPr>
          <w:sz w:val="28"/>
        </w:rPr>
        <w:lastRenderedPageBreak/>
        <w:t>Defined terms</w:t>
      </w:r>
      <w:bookmarkEnd w:id="187"/>
      <w:bookmarkEnd w:id="1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50AA(1)</w:t>
      </w:r>
    </w:p>
    <w:p>
      <w:pPr>
        <w:pStyle w:val="DefinedTerms"/>
      </w:pPr>
      <w:r>
        <w:t>apprentice</w:t>
      </w:r>
      <w:r>
        <w:tab/>
        <w:t>3(1)</w:t>
      </w:r>
    </w:p>
    <w:p>
      <w:pPr>
        <w:pStyle w:val="DefinedTerms"/>
      </w:pPr>
      <w:r>
        <w:t>approved</w:t>
      </w:r>
      <w:r>
        <w:tab/>
        <w:t>5(1a)</w:t>
      </w:r>
    </w:p>
    <w:p>
      <w:pPr>
        <w:pStyle w:val="DefinedTerms"/>
      </w:pPr>
      <w:r>
        <w:t>approved CPR course</w:t>
      </w:r>
      <w:r>
        <w:tab/>
        <w:t>32A</w:t>
      </w:r>
    </w:p>
    <w:p>
      <w:pPr>
        <w:pStyle w:val="DefinedTerms"/>
      </w:pPr>
      <w:r>
        <w:t>AS</w:t>
      </w:r>
      <w:r>
        <w:tab/>
        <w:t>3(1)</w:t>
      </w:r>
    </w:p>
    <w:p>
      <w:pPr>
        <w:pStyle w:val="DefinedTerms"/>
      </w:pPr>
      <w:r>
        <w:t>AS/NZS</w:t>
      </w:r>
      <w:r>
        <w:tab/>
        <w:t>3(1)</w:t>
      </w:r>
    </w:p>
    <w:p>
      <w:pPr>
        <w:pStyle w:val="DefinedTerms"/>
      </w:pPr>
      <w:r>
        <w:t>Australian/New Zealand Wiring Rules</w:t>
      </w:r>
      <w:r>
        <w:tab/>
        <w:t>3(1)</w:t>
      </w:r>
    </w:p>
    <w:p>
      <w:pPr>
        <w:pStyle w:val="DefinedTerms"/>
      </w:pPr>
      <w:r>
        <w:t>Board</w:t>
      </w:r>
      <w:r>
        <w:tab/>
        <w:t>3(1)</w:t>
      </w:r>
    </w:p>
    <w:p>
      <w:pPr>
        <w:pStyle w:val="DefinedTerms"/>
      </w:pPr>
      <w:r>
        <w:t>casual vacancy</w:t>
      </w:r>
      <w:r>
        <w:tab/>
        <w:t>8(4)</w:t>
      </w:r>
    </w:p>
    <w:p>
      <w:pPr>
        <w:pStyle w:val="DefinedTerms"/>
      </w:pPr>
      <w:r>
        <w:t>chairperson</w:t>
      </w:r>
      <w:r>
        <w:tab/>
        <w:t>3(1)</w:t>
      </w:r>
    </w:p>
    <w:p>
      <w:pPr>
        <w:pStyle w:val="DefinedTerms"/>
      </w:pPr>
      <w:r>
        <w:t>commencement day</w:t>
      </w:r>
      <w:r>
        <w:tab/>
        <w:t>32A, 49(2B), 67(1)</w:t>
      </w:r>
    </w:p>
    <w:p>
      <w:pPr>
        <w:pStyle w:val="DefinedTerms"/>
      </w:pPr>
      <w:r>
        <w:t>competent person</w:t>
      </w:r>
      <w:r>
        <w:tab/>
        <w:t>54A(1)</w:t>
      </w:r>
    </w:p>
    <w:p>
      <w:pPr>
        <w:pStyle w:val="DefinedTerms"/>
      </w:pPr>
      <w:r>
        <w:t>completion period</w:t>
      </w:r>
      <w:r>
        <w:tab/>
        <w:t>32A</w:t>
      </w:r>
    </w:p>
    <w:p>
      <w:pPr>
        <w:pStyle w:val="DefinedTerms"/>
      </w:pPr>
      <w:r>
        <w:t>construction project</w:t>
      </w:r>
      <w:r>
        <w:tab/>
        <w:t>52BB(1)</w:t>
      </w:r>
    </w:p>
    <w:p>
      <w:pPr>
        <w:pStyle w:val="DefinedTerms"/>
      </w:pPr>
      <w:r>
        <w:t>consumers mains</w:t>
      </w:r>
      <w:r>
        <w:tab/>
        <w:t>51(3)</w:t>
      </w:r>
    </w:p>
    <w:p>
      <w:pPr>
        <w:pStyle w:val="DefinedTerms"/>
      </w:pPr>
      <w:r>
        <w:t>contact details</w:t>
      </w:r>
      <w:r>
        <w:tab/>
        <w:t>3(1)</w:t>
      </w:r>
    </w:p>
    <w:p>
      <w:pPr>
        <w:pStyle w:val="DefinedTerms"/>
      </w:pPr>
      <w:r>
        <w:t>continuing CPR course</w:t>
      </w:r>
      <w:r>
        <w:tab/>
        <w:t>32A</w:t>
      </w:r>
    </w:p>
    <w:p>
      <w:pPr>
        <w:pStyle w:val="DefinedTerms"/>
      </w:pPr>
      <w:r>
        <w:t>control or protective gear</w:t>
      </w:r>
      <w:r>
        <w:tab/>
        <w:t>51(3)</w:t>
      </w:r>
    </w:p>
    <w:p>
      <w:pPr>
        <w:pStyle w:val="DefinedTerms"/>
      </w:pPr>
      <w:r>
        <w:t>copy</w:t>
      </w:r>
      <w:r>
        <w:tab/>
        <w:t>3(1)</w:t>
      </w:r>
    </w:p>
    <w:p>
      <w:pPr>
        <w:pStyle w:val="DefinedTerms"/>
      </w:pPr>
      <w:r>
        <w:t>course completion record</w:t>
      </w:r>
      <w:r>
        <w:tab/>
        <w:t>32I(1)</w:t>
      </w:r>
    </w:p>
    <w:p>
      <w:pPr>
        <w:pStyle w:val="DefinedTerms"/>
      </w:pPr>
      <w:r>
        <w:t>de-energised</w:t>
      </w:r>
      <w:r>
        <w:tab/>
        <w:t>3(1)</w:t>
      </w:r>
    </w:p>
    <w:p>
      <w:pPr>
        <w:pStyle w:val="DefinedTerms"/>
      </w:pPr>
      <w:r>
        <w:t>default procedure</w:t>
      </w:r>
      <w:r>
        <w:tab/>
        <w:t>52BB(1)</w:t>
      </w:r>
    </w:p>
    <w:p>
      <w:pPr>
        <w:pStyle w:val="DefinedTerms"/>
      </w:pPr>
      <w:r>
        <w:t>department</w:t>
      </w:r>
      <w:r>
        <w:tab/>
        <w:t>3(1)</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employer of an electrical worker in training</w:t>
      </w:r>
      <w:r>
        <w:tab/>
        <w:t>50AA(1)</w:t>
      </w:r>
    </w:p>
    <w:p>
      <w:pPr>
        <w:pStyle w:val="DefinedTerms"/>
      </w:pPr>
      <w:r>
        <w:lastRenderedPageBreak/>
        <w:t>endorsed electrician’s licence</w:t>
      </w:r>
      <w:r>
        <w:tab/>
        <w:t>32A</w:t>
      </w:r>
    </w:p>
    <w:p>
      <w:pPr>
        <w:pStyle w:val="DefinedTerms"/>
      </w:pPr>
      <w:r>
        <w:t>energised</w:t>
      </w:r>
      <w:r>
        <w:tab/>
        <w:t>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t>holder of a licence</w:t>
      </w:r>
      <w:r>
        <w:tab/>
        <w:t>46(1a), 47(1aa)</w:t>
      </w:r>
    </w:p>
    <w:p>
      <w:pPr>
        <w:pStyle w:val="DefinedTerms"/>
      </w:pPr>
      <w:r>
        <w:t>in-house electrical installing work</w:t>
      </w:r>
      <w:r>
        <w:tab/>
        <w:t>3(1)</w:t>
      </w:r>
    </w:p>
    <w:p>
      <w:pPr>
        <w:pStyle w:val="DefinedTerms"/>
      </w:pPr>
      <w:r>
        <w:t>in-house electrical installing work licence</w:t>
      </w:r>
      <w:r>
        <w:tab/>
        <w:t>3(1)</w:t>
      </w:r>
    </w:p>
    <w:p>
      <w:pPr>
        <w:pStyle w:val="DefinedTerms"/>
      </w:pPr>
      <w:r>
        <w:t>initial CPR course</w:t>
      </w:r>
      <w:r>
        <w:tab/>
        <w:t>32A</w:t>
      </w:r>
    </w:p>
    <w:p>
      <w:pPr>
        <w:pStyle w:val="DefinedTerms"/>
      </w:pPr>
      <w:r>
        <w:t>labour hire arrangement</w:t>
      </w:r>
      <w:r>
        <w:tab/>
        <w:t>50AA(1) and (1A)</w:t>
      </w:r>
    </w:p>
    <w:p>
      <w:pPr>
        <w:pStyle w:val="DefinedTerms"/>
      </w:pPr>
      <w:r>
        <w:t>licence</w:t>
      </w:r>
      <w:r>
        <w:tab/>
        <w:t>3(1)</w:t>
      </w:r>
    </w:p>
    <w:p>
      <w:pPr>
        <w:pStyle w:val="DefinedTerms"/>
      </w:pPr>
      <w:r>
        <w:t>licensed electrical worker</w:t>
      </w:r>
      <w:r>
        <w:tab/>
        <w:t>3(1)</w:t>
      </w:r>
    </w:p>
    <w:p>
      <w:pPr>
        <w:pStyle w:val="DefinedTerms"/>
      </w:pPr>
      <w:r>
        <w:t>licensed electrician</w:t>
      </w:r>
      <w:r>
        <w:tab/>
        <w:t>32A</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major network operator</w:t>
      </w:r>
      <w:r>
        <w:tab/>
        <w:t>3(1)</w:t>
      </w:r>
    </w:p>
    <w:p>
      <w:pPr>
        <w:pStyle w:val="DefinedTerms"/>
      </w:pPr>
      <w:r>
        <w:t xml:space="preserve">mine </w:t>
      </w:r>
      <w:r>
        <w:tab/>
        <w:t>3(1)</w:t>
      </w:r>
    </w:p>
    <w:p>
      <w:pPr>
        <w:pStyle w:val="DefinedTerms"/>
      </w:pPr>
      <w:r>
        <w:t>modified procedure</w:t>
      </w:r>
      <w:r>
        <w:tab/>
        <w:t>52BB(1)</w:t>
      </w:r>
    </w:p>
    <w:p>
      <w:pPr>
        <w:pStyle w:val="DefinedTerms"/>
      </w:pPr>
      <w:r>
        <w:t>network</w:t>
      </w:r>
      <w:r>
        <w:tab/>
        <w:t>3(1)</w:t>
      </w:r>
    </w:p>
    <w:p>
      <w:pPr>
        <w:pStyle w:val="DefinedTerms"/>
      </w:pPr>
      <w:r>
        <w:t>nominee</w:t>
      </w:r>
      <w:r>
        <w:tab/>
        <w:t>3(1)</w:t>
      </w:r>
    </w:p>
    <w:p>
      <w:pPr>
        <w:pStyle w:val="DefinedTerms"/>
      </w:pPr>
      <w:r>
        <w:t>notice of completion</w:t>
      </w:r>
      <w:r>
        <w:tab/>
        <w:t>52A(1)</w:t>
      </w:r>
    </w:p>
    <w:p>
      <w:pPr>
        <w:pStyle w:val="DefinedTerms"/>
      </w:pPr>
      <w:r>
        <w:t>notifiable work</w:t>
      </w:r>
      <w:r>
        <w:tab/>
        <w:t>3(1), 52BB(2)</w:t>
      </w:r>
    </w:p>
    <w:p>
      <w:pPr>
        <w:pStyle w:val="DefinedTerms"/>
      </w:pPr>
      <w:r>
        <w:t>notifiable work of an electrical contractor</w:t>
      </w:r>
      <w:r>
        <w:tab/>
        <w:t>52BB(1)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52A(1)</w:t>
      </w:r>
    </w:p>
    <w:p>
      <w:pPr>
        <w:pStyle w:val="DefinedTerms"/>
      </w:pPr>
      <w:r>
        <w:t>prescribed policy of insurance</w:t>
      </w:r>
      <w:r>
        <w:tab/>
        <w:t>3(1)</w:t>
      </w:r>
    </w:p>
    <w:p>
      <w:pPr>
        <w:pStyle w:val="DefinedTerms"/>
      </w:pPr>
      <w:r>
        <w:t>pressure</w:t>
      </w:r>
      <w:r>
        <w:tab/>
        <w:t>3(1)</w:t>
      </w:r>
    </w:p>
    <w:p>
      <w:pPr>
        <w:pStyle w:val="DefinedTerms"/>
      </w:pPr>
      <w:r>
        <w:t>private generating plant</w:t>
      </w:r>
      <w:r>
        <w:tab/>
        <w:t>3(1), 4AA(1)</w:t>
      </w:r>
    </w:p>
    <w:p>
      <w:pPr>
        <w:pStyle w:val="DefinedTerms"/>
      </w:pPr>
      <w:r>
        <w:t>professionally qualified engineer</w:t>
      </w:r>
      <w:r>
        <w:tab/>
        <w:t>19(1A)</w:t>
      </w:r>
    </w:p>
    <w:p>
      <w:pPr>
        <w:pStyle w:val="DefinedTerms"/>
      </w:pPr>
      <w:r>
        <w:t>Regional Power Corporation</w:t>
      </w:r>
      <w:r>
        <w:tab/>
        <w:t>3(1)</w:t>
      </w:r>
    </w:p>
    <w:p>
      <w:pPr>
        <w:pStyle w:val="DefinedTerms"/>
      </w:pPr>
      <w:r>
        <w:t>relevant licence</w:t>
      </w:r>
      <w:r>
        <w:tab/>
        <w:t>45A(1)</w:t>
      </w:r>
    </w:p>
    <w:p>
      <w:pPr>
        <w:pStyle w:val="DefinedTerms"/>
      </w:pPr>
      <w:r>
        <w:t>relevant network operator</w:t>
      </w:r>
      <w:r>
        <w:tab/>
        <w:t>3(1)</w:t>
      </w:r>
    </w:p>
    <w:p>
      <w:pPr>
        <w:pStyle w:val="DefinedTerms"/>
      </w:pPr>
      <w:r>
        <w:t>relevant training contract</w:t>
      </w:r>
      <w:r>
        <w:tab/>
        <w:t>19(1A)</w:t>
      </w:r>
    </w:p>
    <w:p>
      <w:pPr>
        <w:pStyle w:val="DefinedTerms"/>
      </w:pPr>
      <w:r>
        <w:t>required time</w:t>
      </w:r>
      <w:r>
        <w:tab/>
        <w:t>51(3)</w:t>
      </w:r>
    </w:p>
    <w:p>
      <w:pPr>
        <w:pStyle w:val="DefinedTerms"/>
      </w:pPr>
      <w:r>
        <w:t>revenue meter</w:t>
      </w:r>
      <w:r>
        <w:tab/>
        <w:t>52BB(1)</w:t>
      </w:r>
    </w:p>
    <w:p>
      <w:pPr>
        <w:pStyle w:val="DefinedTerms"/>
      </w:pPr>
      <w:r>
        <w:t>risk assessment</w:t>
      </w:r>
      <w:r>
        <w:tab/>
        <w:t>54A(1)</w:t>
      </w:r>
    </w:p>
    <w:p>
      <w:pPr>
        <w:pStyle w:val="DefinedTerms"/>
      </w:pPr>
      <w:r>
        <w:t>servicing</w:t>
      </w:r>
      <w:r>
        <w:tab/>
        <w:t>19(1A)</w:t>
      </w:r>
    </w:p>
    <w:p>
      <w:pPr>
        <w:pStyle w:val="DefinedTerms"/>
      </w:pPr>
      <w:r>
        <w:t>supervising electrical worker</w:t>
      </w:r>
      <w:r>
        <w:tab/>
        <w:t>49C(1), 50(3)</w:t>
      </w:r>
    </w:p>
    <w:p>
      <w:pPr>
        <w:pStyle w:val="DefinedTerms"/>
      </w:pPr>
      <w:r>
        <w:t>temporary builders supply</w:t>
      </w:r>
      <w:r>
        <w:tab/>
        <w:t>52B(4A)</w:t>
      </w:r>
    </w:p>
    <w:p>
      <w:pPr>
        <w:rPr>
          <w:sz w:val="20"/>
        </w:rPr>
      </w:pPr>
      <w:r>
        <w:br w:type="page"/>
      </w:r>
    </w:p>
    <w:p>
      <w:pPr>
        <w:pStyle w:val="DefinedTerms"/>
      </w:pPr>
      <w:r>
        <w:lastRenderedPageBreak/>
        <w:t>transportable structure</w:t>
      </w:r>
      <w:r>
        <w:tab/>
        <w:t>3(1)</w:t>
      </w:r>
    </w:p>
    <w:p>
      <w:pPr>
        <w:pStyle w:val="DefinedTerms"/>
      </w:pPr>
      <w:r>
        <w:t>working days</w:t>
      </w:r>
      <w:r>
        <w:tab/>
        <w:t>3(1)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C8AF11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49CF7AF9" w14:textId="43B7D8D8" w:rsidR="00850D09" w:rsidRDefault="00A835A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60251">
                        <w:rPr>
                          <w:sz w:val="16"/>
                        </w:rPr>
                        <w:t>2024</w:t>
                      </w:r>
                      <w:r>
                        <w:rPr>
                          <w:sz w:val="16"/>
                        </w:rPr>
                        <w:fldChar w:fldCharType="end"/>
                      </w:r>
                      <w:r>
                        <w:rPr>
                          <w:sz w:val="16"/>
                        </w:rPr>
                        <w:t>.</w:t>
                      </w:r>
                    </w:p>
                    <w:p w14:paraId="37AD898F" w14:textId="77777777" w:rsidR="00850D09" w:rsidRDefault="00A835A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7830A65" w14:textId="24CC5DAB" w:rsidR="00850D09" w:rsidRDefault="00A835A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60251">
                        <w:rPr>
                          <w:sz w:val="16"/>
                        </w:rPr>
                        <w:t>2024</w:t>
                      </w:r>
                      <w:r>
                        <w:rPr>
                          <w:sz w:val="16"/>
                        </w:rPr>
                        <w:fldChar w:fldCharType="end"/>
                      </w:r>
                      <w:r>
                        <w:rPr>
                          <w:sz w:val="16"/>
                        </w:rPr>
                        <w:t>.</w:t>
                      </w:r>
                    </w:p>
                    <w:p w14:paraId="19327732" w14:textId="77777777" w:rsidR="00850D09" w:rsidRDefault="00A835A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07-ac0-01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07-ac0-01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07-ac0-01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07-ac0-01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07-ac0-01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07-ac0-01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8" w:name="Schedule"/>
    <w:bookmarkEnd w:id="17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6" w:name="Compilation"/>
    <w:bookmarkEnd w:id="18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89" w:name="DefinedTerms"/>
    <w:bookmarkEnd w:id="18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0" w:name="Coversheet"/>
    <w:bookmarkEnd w:id="1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34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0145059"/>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 w:name="WAFER_202203101131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25_GUID" w:val="30b3953f-d3a6-4492-87f3-9dbea1f47a60"/>
    <w:docVar w:name="WAFER_20220318102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8102634_GUID" w:val="1f3a138e-cafd-4853-9a0b-69225ae39549"/>
    <w:docVar w:name="WAFER_20220518095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20_GUID" w:val="f30b1d21-a5dd-4064-a91f-8c432ab23e0c"/>
    <w:docVar w:name="WAFER_2022051809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43_GUID" w:val="2fd0094c-24f2-4623-83db-f309b88de767"/>
    <w:docVar w:name="WAFER_202206221437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11_GUID" w:val="4e913365-c7d6-4cd4-b3d6-910d2531714f"/>
    <w:docVar w:name="WAFER_20230405112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12212_GUID" w:val="4b9cee10-ab5b-4183-a43b-67f70d4ded77"/>
    <w:docVar w:name="WAFER_20230502122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2122957_GUID" w:val="57871c3b-4153-435d-81ad-61ba91d45e0b"/>
    <w:docVar w:name="WAFER_20230626112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104_GUID" w:val="4b215126-e29c-42ef-b61d-dc5de0535699"/>
    <w:docVar w:name="WAFER_202307241116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1639_GUID" w:val="d232efda-9b71-43f1-9cf8-c09f16983fbd"/>
    <w:docVar w:name="WAFER_2023072411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111649_GUID" w:val="9db1e0ca-f44f-4fa3-a4ff-ee207abf25c8"/>
    <w:docVar w:name="WAFER_20231228101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901_GUID" w:val="1e4596f7-e160-4f41-a3ab-8abfbfa3282c"/>
    <w:docVar w:name="WAFER_20240606154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142_GUID" w:val="fbe062c6-52c6-4a0b-8152-1bb0f3c6334c"/>
    <w:docVar w:name="WAFER_2024062509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2927_GUID" w:val="8ef4057f-29cc-4717-9de4-240db7a81132"/>
    <w:docVar w:name="WAFER_20241010145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5059_GUID" w:val="b97277d6-36e5-4190-bbc1-fc745c39b5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3473"/>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70100">
      <w:bodyDiv w:val="1"/>
      <w:marLeft w:val="0"/>
      <w:marRight w:val="0"/>
      <w:marTop w:val="0"/>
      <w:marBottom w:val="0"/>
      <w:divBdr>
        <w:top w:val="none" w:sz="0" w:space="0" w:color="auto"/>
        <w:left w:val="none" w:sz="0" w:space="0" w:color="auto"/>
        <w:bottom w:val="none" w:sz="0" w:space="0" w:color="auto"/>
        <w:right w:val="none" w:sz="0" w:space="0" w:color="auto"/>
      </w:divBdr>
    </w:div>
    <w:div w:id="273943828">
      <w:bodyDiv w:val="1"/>
      <w:marLeft w:val="0"/>
      <w:marRight w:val="0"/>
      <w:marTop w:val="0"/>
      <w:marBottom w:val="0"/>
      <w:divBdr>
        <w:top w:val="none" w:sz="0" w:space="0" w:color="auto"/>
        <w:left w:val="none" w:sz="0" w:space="0" w:color="auto"/>
        <w:bottom w:val="none" w:sz="0" w:space="0" w:color="auto"/>
        <w:right w:val="none" w:sz="0" w:space="0" w:color="auto"/>
      </w:divBdr>
    </w:div>
    <w:div w:id="304942466">
      <w:bodyDiv w:val="1"/>
      <w:marLeft w:val="0"/>
      <w:marRight w:val="0"/>
      <w:marTop w:val="0"/>
      <w:marBottom w:val="0"/>
      <w:divBdr>
        <w:top w:val="none" w:sz="0" w:space="0" w:color="auto"/>
        <w:left w:val="none" w:sz="0" w:space="0" w:color="auto"/>
        <w:bottom w:val="none" w:sz="0" w:space="0" w:color="auto"/>
        <w:right w:val="none" w:sz="0" w:space="0" w:color="auto"/>
      </w:divBdr>
    </w:div>
    <w:div w:id="377358709">
      <w:bodyDiv w:val="1"/>
      <w:marLeft w:val="0"/>
      <w:marRight w:val="0"/>
      <w:marTop w:val="0"/>
      <w:marBottom w:val="0"/>
      <w:divBdr>
        <w:top w:val="none" w:sz="0" w:space="0" w:color="auto"/>
        <w:left w:val="none" w:sz="0" w:space="0" w:color="auto"/>
        <w:bottom w:val="none" w:sz="0" w:space="0" w:color="auto"/>
        <w:right w:val="none" w:sz="0" w:space="0" w:color="auto"/>
      </w:divBdr>
    </w:div>
    <w:div w:id="515073760">
      <w:bodyDiv w:val="1"/>
      <w:marLeft w:val="0"/>
      <w:marRight w:val="0"/>
      <w:marTop w:val="0"/>
      <w:marBottom w:val="0"/>
      <w:divBdr>
        <w:top w:val="none" w:sz="0" w:space="0" w:color="auto"/>
        <w:left w:val="none" w:sz="0" w:space="0" w:color="auto"/>
        <w:bottom w:val="none" w:sz="0" w:space="0" w:color="auto"/>
        <w:right w:val="none" w:sz="0" w:space="0" w:color="auto"/>
      </w:divBdr>
    </w:div>
    <w:div w:id="721052125">
      <w:bodyDiv w:val="1"/>
      <w:marLeft w:val="0"/>
      <w:marRight w:val="0"/>
      <w:marTop w:val="0"/>
      <w:marBottom w:val="0"/>
      <w:divBdr>
        <w:top w:val="none" w:sz="0" w:space="0" w:color="auto"/>
        <w:left w:val="none" w:sz="0" w:space="0" w:color="auto"/>
        <w:bottom w:val="none" w:sz="0" w:space="0" w:color="auto"/>
        <w:right w:val="none" w:sz="0" w:space="0" w:color="auto"/>
      </w:divBdr>
    </w:div>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954866730">
      <w:bodyDiv w:val="1"/>
      <w:marLeft w:val="0"/>
      <w:marRight w:val="0"/>
      <w:marTop w:val="0"/>
      <w:marBottom w:val="0"/>
      <w:divBdr>
        <w:top w:val="none" w:sz="0" w:space="0" w:color="auto"/>
        <w:left w:val="none" w:sz="0" w:space="0" w:color="auto"/>
        <w:bottom w:val="none" w:sz="0" w:space="0" w:color="auto"/>
        <w:right w:val="none" w:sz="0" w:space="0" w:color="auto"/>
      </w:divBdr>
    </w:div>
    <w:div w:id="1077283388">
      <w:bodyDiv w:val="1"/>
      <w:marLeft w:val="0"/>
      <w:marRight w:val="0"/>
      <w:marTop w:val="0"/>
      <w:marBottom w:val="0"/>
      <w:divBdr>
        <w:top w:val="none" w:sz="0" w:space="0" w:color="auto"/>
        <w:left w:val="none" w:sz="0" w:space="0" w:color="auto"/>
        <w:bottom w:val="none" w:sz="0" w:space="0" w:color="auto"/>
        <w:right w:val="none" w:sz="0" w:space="0" w:color="auto"/>
      </w:divBdr>
    </w:div>
    <w:div w:id="1095631367">
      <w:bodyDiv w:val="1"/>
      <w:marLeft w:val="0"/>
      <w:marRight w:val="0"/>
      <w:marTop w:val="0"/>
      <w:marBottom w:val="0"/>
      <w:divBdr>
        <w:top w:val="none" w:sz="0" w:space="0" w:color="auto"/>
        <w:left w:val="none" w:sz="0" w:space="0" w:color="auto"/>
        <w:bottom w:val="none" w:sz="0" w:space="0" w:color="auto"/>
        <w:right w:val="none" w:sz="0" w:space="0" w:color="auto"/>
      </w:divBdr>
    </w:div>
    <w:div w:id="1298560135">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 w:id="1421683137">
      <w:bodyDiv w:val="1"/>
      <w:marLeft w:val="0"/>
      <w:marRight w:val="0"/>
      <w:marTop w:val="0"/>
      <w:marBottom w:val="0"/>
      <w:divBdr>
        <w:top w:val="none" w:sz="0" w:space="0" w:color="auto"/>
        <w:left w:val="none" w:sz="0" w:space="0" w:color="auto"/>
        <w:bottom w:val="none" w:sz="0" w:space="0" w:color="auto"/>
        <w:right w:val="none" w:sz="0" w:space="0" w:color="auto"/>
      </w:divBdr>
    </w:div>
    <w:div w:id="1646739897">
      <w:bodyDiv w:val="1"/>
      <w:marLeft w:val="0"/>
      <w:marRight w:val="0"/>
      <w:marTop w:val="0"/>
      <w:marBottom w:val="0"/>
      <w:divBdr>
        <w:top w:val="none" w:sz="0" w:space="0" w:color="auto"/>
        <w:left w:val="none" w:sz="0" w:space="0" w:color="auto"/>
        <w:bottom w:val="none" w:sz="0" w:space="0" w:color="auto"/>
        <w:right w:val="none" w:sz="0" w:space="0" w:color="auto"/>
      </w:divBdr>
    </w:div>
    <w:div w:id="1841504350">
      <w:bodyDiv w:val="1"/>
      <w:marLeft w:val="0"/>
      <w:marRight w:val="0"/>
      <w:marTop w:val="0"/>
      <w:marBottom w:val="0"/>
      <w:divBdr>
        <w:top w:val="none" w:sz="0" w:space="0" w:color="auto"/>
        <w:left w:val="none" w:sz="0" w:space="0" w:color="auto"/>
        <w:bottom w:val="none" w:sz="0" w:space="0" w:color="auto"/>
        <w:right w:val="none" w:sz="0" w:space="0" w:color="auto"/>
      </w:divBdr>
    </w:div>
    <w:div w:id="1851874460">
      <w:bodyDiv w:val="1"/>
      <w:marLeft w:val="0"/>
      <w:marRight w:val="0"/>
      <w:marTop w:val="0"/>
      <w:marBottom w:val="0"/>
      <w:divBdr>
        <w:top w:val="none" w:sz="0" w:space="0" w:color="auto"/>
        <w:left w:val="none" w:sz="0" w:space="0" w:color="auto"/>
        <w:bottom w:val="none" w:sz="0" w:space="0" w:color="auto"/>
        <w:right w:val="none" w:sz="0" w:space="0" w:color="auto"/>
      </w:divBdr>
    </w:div>
    <w:div w:id="2002926168">
      <w:bodyDiv w:val="1"/>
      <w:marLeft w:val="0"/>
      <w:marRight w:val="0"/>
      <w:marTop w:val="0"/>
      <w:marBottom w:val="0"/>
      <w:divBdr>
        <w:top w:val="none" w:sz="0" w:space="0" w:color="auto"/>
        <w:left w:val="none" w:sz="0" w:space="0" w:color="auto"/>
        <w:bottom w:val="none" w:sz="0" w:space="0" w:color="auto"/>
        <w:right w:val="none" w:sz="0" w:space="0" w:color="auto"/>
      </w:divBdr>
    </w:div>
    <w:div w:id="20212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EC6433-1F07-41A4-BAC5-C25995FC0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31129</Words>
  <Characters>156271</Characters>
  <Application>Microsoft Office Word</Application>
  <DocSecurity>0</DocSecurity>
  <Lines>4340</Lines>
  <Paragraphs>2257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1991 - 07-ac0-01</dc:title>
  <dc:subject/>
  <dc:creator/>
  <cp:keywords/>
  <dc:description/>
  <cp:lastModifiedBy>Master Repository Process</cp:lastModifiedBy>
  <cp:revision>4</cp:revision>
  <cp:lastPrinted>2019-01-07T07:12:00Z</cp:lastPrinted>
  <dcterms:created xsi:type="dcterms:W3CDTF">2025-05-29T04:35:00Z</dcterms:created>
  <dcterms:modified xsi:type="dcterms:W3CDTF">2025-05-29T04:36:00Z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CommencementDate">
    <vt:lpwstr>20241017</vt:lpwstr>
  </property>
  <property fmtid="{D5CDD505-2E9C-101B-9397-08002B2CF9AE}" pid="8" name="CommencementAsAt">
    <vt:filetime>2024-10-16T16:00:00Z</vt:filetime>
  </property>
  <property fmtid="{D5CDD505-2E9C-101B-9397-08002B2CF9AE}" pid="9" name="CommencementYear">
    <vt:lpwstr>2024</vt:lpwstr>
  </property>
  <property fmtid="{D5CDD505-2E9C-101B-9397-08002B2CF9AE}" pid="10" name="AsAtDate">
    <vt:lpwstr>17 Oct 2024</vt:lpwstr>
  </property>
  <property fmtid="{D5CDD505-2E9C-101B-9397-08002B2CF9AE}" pid="11" name="Suffix">
    <vt:lpwstr>07-ac0-01</vt:lpwstr>
  </property>
  <property fmtid="{D5CDD505-2E9C-101B-9397-08002B2CF9AE}" pid="12" name="Official">
    <vt:lpwstr/>
  </property>
</Properties>
</file>