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Regulations 1947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_Toc179528833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_Toc179528834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Residual current devices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_Toc179528836 \h </w:instrText>
      </w:r>
      <w:r>
        <w:fldChar w:fldCharType="separate"/>
      </w:r>
      <w:r>
        <w:t>3</w:t>
      </w:r>
      <w:r>
        <w:fldChar w:fldCharType="end"/>
      </w:r>
    </w:p>
    <w:p>
      <w:pPr>
        <w:pStyle w:val="TOC8"/>
        <w:rPr>
          <w:rFonts w:asciiTheme="minorHAnsi" w:eastAsiaTheme="minorEastAsia" w:hAnsiTheme="minorHAnsi" w:cstheme="minorBidi"/>
          <w:szCs w:val="22"/>
        </w:rPr>
      </w:pPr>
      <w:r>
        <w:t>12A.</w:t>
      </w:r>
      <w:r>
        <w:tab/>
        <w:t>Installation of residual current devices</w:t>
      </w:r>
      <w:r>
        <w:tab/>
      </w:r>
      <w:r>
        <w:fldChar w:fldCharType="begin"/>
      </w:r>
      <w:r>
        <w:instrText xml:space="preserve"> PAGEREF _Toc179528837 \h </w:instrText>
      </w:r>
      <w:r>
        <w:fldChar w:fldCharType="separate"/>
      </w:r>
      <w:r>
        <w:t>4</w:t>
      </w:r>
      <w:r>
        <w:fldChar w:fldCharType="end"/>
      </w:r>
    </w:p>
    <w:p>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_Toc179528838 \h </w:instrText>
      </w:r>
      <w:r>
        <w:fldChar w:fldCharType="separate"/>
      </w:r>
      <w:r>
        <w:t>5</w:t>
      </w:r>
      <w:r>
        <w:fldChar w:fldCharType="end"/>
      </w:r>
    </w:p>
    <w:p>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_Toc179528839 \h </w:instrText>
      </w:r>
      <w:r>
        <w:fldChar w:fldCharType="separate"/>
      </w:r>
      <w:r>
        <w:t>6</w:t>
      </w:r>
      <w:r>
        <w:fldChar w:fldCharType="end"/>
      </w:r>
    </w:p>
    <w:p>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_Toc179528840 \h </w:instrText>
      </w:r>
      <w:r>
        <w:fldChar w:fldCharType="separate"/>
      </w:r>
      <w:r>
        <w:t>7</w:t>
      </w:r>
      <w:r>
        <w:fldChar w:fldCharType="end"/>
      </w:r>
    </w:p>
    <w:p>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_Toc179528841 \h </w:instrText>
      </w:r>
      <w:r>
        <w:fldChar w:fldCharType="separate"/>
      </w:r>
      <w:r>
        <w:t>8</w:t>
      </w:r>
      <w:r>
        <w:fldChar w:fldCharType="end"/>
      </w:r>
    </w:p>
    <w:p>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_Toc179528842 \h </w:instrText>
      </w:r>
      <w:r>
        <w:fldChar w:fldCharType="separate"/>
      </w:r>
      <w:r>
        <w:t>8</w:t>
      </w:r>
      <w:r>
        <w:fldChar w:fldCharType="end"/>
      </w:r>
    </w:p>
    <w:p>
      <w:pPr>
        <w:pStyle w:val="TOC8"/>
        <w:rPr>
          <w:rFonts w:asciiTheme="minorHAnsi" w:eastAsiaTheme="minorEastAsia" w:hAnsiTheme="minorHAnsi" w:cstheme="minorBidi"/>
          <w:szCs w:val="22"/>
        </w:rPr>
      </w:pPr>
      <w:r>
        <w:t>17.</w:t>
      </w:r>
      <w:r>
        <w:tab/>
        <w:t>Transportable structures or vehicles used for accommodation</w:t>
      </w:r>
      <w:r>
        <w:tab/>
      </w:r>
      <w:r>
        <w:fldChar w:fldCharType="begin"/>
      </w:r>
      <w:r>
        <w:instrText xml:space="preserve"> PAGEREF _Toc179528843 \h </w:instrText>
      </w:r>
      <w:r>
        <w:fldChar w:fldCharType="separate"/>
      </w:r>
      <w:r>
        <w:t>8</w:t>
      </w:r>
      <w:r>
        <w:fldChar w:fldCharType="end"/>
      </w:r>
    </w:p>
    <w:p>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_Toc179528844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 — Interfering with electrical installations</w:t>
      </w:r>
    </w:p>
    <w:p>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_Toc179528846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VIII — Supply of electricity to consumers</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_Toc179528848 \h </w:instrText>
      </w:r>
      <w:r>
        <w:fldChar w:fldCharType="separate"/>
      </w:r>
      <w:r>
        <w:t>11</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Connection of supply</w:t>
      </w:r>
      <w:r>
        <w:tab/>
      </w:r>
      <w:r>
        <w:fldChar w:fldCharType="begin"/>
      </w:r>
      <w:r>
        <w:instrText xml:space="preserve"> PAGEREF _Toc179528849 \h </w:instrText>
      </w:r>
      <w:r>
        <w:fldChar w:fldCharType="separate"/>
      </w:r>
      <w:r>
        <w:t>11</w:t>
      </w:r>
      <w:r>
        <w:fldChar w:fldCharType="end"/>
      </w:r>
    </w:p>
    <w:p>
      <w:pPr>
        <w:pStyle w:val="TOC8"/>
        <w:rPr>
          <w:rFonts w:asciiTheme="minorHAnsi" w:eastAsiaTheme="minorEastAsia" w:hAnsiTheme="minorHAnsi" w:cstheme="minorBidi"/>
          <w:szCs w:val="22"/>
        </w:rPr>
      </w:pPr>
      <w:r>
        <w:t>243.</w:t>
      </w:r>
      <w:r>
        <w:tab/>
        <w:t>Voltage on neutral conductor</w:t>
      </w:r>
      <w:r>
        <w:tab/>
      </w:r>
      <w:r>
        <w:fldChar w:fldCharType="begin"/>
      </w:r>
      <w:r>
        <w:instrText xml:space="preserve"> PAGEREF _Toc179528850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244.</w:t>
      </w:r>
      <w:r>
        <w:tab/>
        <w:t>Damage by overloading to network operator’s apparatus</w:t>
      </w:r>
      <w:r>
        <w:tab/>
      </w:r>
      <w:r>
        <w:fldChar w:fldCharType="begin"/>
      </w:r>
      <w:r>
        <w:instrText xml:space="preserve"> PAGEREF _Toc179528851 \h </w:instrText>
      </w:r>
      <w:r>
        <w:fldChar w:fldCharType="separate"/>
      </w:r>
      <w:r>
        <w:t>14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Fixing leads in fuses, meters etc.</w:t>
      </w:r>
      <w:r>
        <w:tab/>
      </w:r>
      <w:r>
        <w:fldChar w:fldCharType="begin"/>
      </w:r>
      <w:r>
        <w:instrText xml:space="preserve"> PAGEREF _Toc179528852 \h </w:instrText>
      </w:r>
      <w:r>
        <w:fldChar w:fldCharType="separate"/>
      </w:r>
      <w:r>
        <w:t>14</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Systems of inspection</w:t>
      </w:r>
      <w:r>
        <w:tab/>
      </w:r>
      <w:r>
        <w:fldChar w:fldCharType="begin"/>
      </w:r>
      <w:r>
        <w:instrText xml:space="preserve"> PAGEREF _Toc179528853 \h </w:instrText>
      </w:r>
      <w:r>
        <w:fldChar w:fldCharType="separate"/>
      </w:r>
      <w:r>
        <w:t>14</w:t>
      </w:r>
      <w:r>
        <w:fldChar w:fldCharType="end"/>
      </w:r>
    </w:p>
    <w:p>
      <w:pPr>
        <w:pStyle w:val="TOC8"/>
        <w:rPr>
          <w:rFonts w:asciiTheme="minorHAnsi" w:eastAsiaTheme="minorEastAsia" w:hAnsiTheme="minorHAnsi" w:cstheme="minorBidi"/>
          <w:szCs w:val="22"/>
        </w:rPr>
      </w:pPr>
      <w:r>
        <w:t>254.</w:t>
      </w:r>
      <w:r>
        <w:tab/>
        <w:t>Individual inspection and reporting for electric installation</w:t>
      </w:r>
      <w:r>
        <w:tab/>
      </w:r>
      <w:r>
        <w:fldChar w:fldCharType="begin"/>
      </w:r>
      <w:r>
        <w:instrText xml:space="preserve"> PAGEREF _Toc179528854 \h </w:instrText>
      </w:r>
      <w:r>
        <w:fldChar w:fldCharType="separate"/>
      </w:r>
      <w:r>
        <w:t>19</w:t>
      </w:r>
      <w:r>
        <w:fldChar w:fldCharType="end"/>
      </w:r>
    </w:p>
    <w:p>
      <w:pPr>
        <w:pStyle w:val="TOC8"/>
        <w:rPr>
          <w:rFonts w:asciiTheme="minorHAnsi" w:eastAsiaTheme="minorEastAsia" w:hAnsiTheme="minorHAnsi" w:cstheme="minorBidi"/>
          <w:szCs w:val="22"/>
        </w:rPr>
      </w:pPr>
      <w:r>
        <w:t>257.</w:t>
      </w:r>
      <w:r>
        <w:tab/>
        <w:t>Supply to premises requiring transformers</w:t>
      </w:r>
      <w:r>
        <w:tab/>
      </w:r>
      <w:r>
        <w:fldChar w:fldCharType="begin"/>
      </w:r>
      <w:r>
        <w:instrText xml:space="preserve"> PAGEREF _Toc179528855 \h </w:instrText>
      </w:r>
      <w:r>
        <w:fldChar w:fldCharType="separate"/>
      </w:r>
      <w:r>
        <w:t>20</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Interference with supply to other consumers</w:t>
      </w:r>
      <w:r>
        <w:tab/>
      </w:r>
      <w:r>
        <w:fldChar w:fldCharType="begin"/>
      </w:r>
      <w:r>
        <w:instrText xml:space="preserve"> PAGEREF _Toc179528856 \h </w:instrText>
      </w:r>
      <w:r>
        <w:fldChar w:fldCharType="separate"/>
      </w:r>
      <w:r>
        <w:t>21</w:t>
      </w:r>
      <w:r>
        <w:fldChar w:fldCharType="end"/>
      </w:r>
    </w:p>
    <w:p>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_Toc179528857 \h </w:instrText>
      </w:r>
      <w:r>
        <w:fldChar w:fldCharType="separate"/>
      </w:r>
      <w:r>
        <w:t>22</w:t>
      </w:r>
      <w:r>
        <w:fldChar w:fldCharType="end"/>
      </w:r>
    </w:p>
    <w:p>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_Toc179528858 \h </w:instrText>
      </w:r>
      <w:r>
        <w:fldChar w:fldCharType="separate"/>
      </w:r>
      <w:r>
        <w:t>22</w:t>
      </w:r>
      <w:r>
        <w:fldChar w:fldCharType="end"/>
      </w:r>
    </w:p>
    <w:p>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_Toc179528859 \h </w:instrText>
      </w:r>
      <w:r>
        <w:fldChar w:fldCharType="separate"/>
      </w:r>
      <w:r>
        <w:t>23</w:t>
      </w:r>
      <w:r>
        <w:fldChar w:fldCharType="end"/>
      </w:r>
    </w:p>
    <w:p>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_Toc179528860 \h </w:instrText>
      </w:r>
      <w:r>
        <w:fldChar w:fldCharType="separate"/>
      </w:r>
      <w:r>
        <w:t>23</w:t>
      </w:r>
      <w:r>
        <w:fldChar w:fldCharType="end"/>
      </w:r>
    </w:p>
    <w:p>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_Toc179528861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Vegetation control safety requirements</w:t>
      </w:r>
    </w:p>
    <w:p>
      <w:pPr>
        <w:pStyle w:val="TOC8"/>
        <w:rPr>
          <w:rFonts w:asciiTheme="minorHAnsi" w:eastAsiaTheme="minorEastAsia" w:hAnsiTheme="minorHAnsi" w:cstheme="minorBidi"/>
          <w:szCs w:val="22"/>
        </w:rPr>
      </w:pPr>
      <w:r>
        <w:t>316A</w:t>
      </w:r>
      <w:r>
        <w:rPr>
          <w:snapToGrid w:val="0"/>
        </w:rPr>
        <w:t>.</w:t>
      </w:r>
      <w:r>
        <w:rPr>
          <w:snapToGrid w:val="0"/>
        </w:rPr>
        <w:tab/>
        <w:t>Vegetation control work near overhead power lines</w:t>
      </w:r>
      <w:r>
        <w:tab/>
      </w:r>
      <w:r>
        <w:fldChar w:fldCharType="begin"/>
      </w:r>
      <w:r>
        <w:instrText xml:space="preserve"> PAGEREF _Toc179528863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X — Approval of electrical appliances</w:t>
      </w:r>
    </w:p>
    <w:p>
      <w:pPr>
        <w:pStyle w:val="TOC8"/>
        <w:rPr>
          <w:rFonts w:asciiTheme="minorHAnsi" w:eastAsiaTheme="minorEastAsia" w:hAnsiTheme="minorHAnsi" w:cstheme="minorBidi"/>
          <w:szCs w:val="22"/>
        </w:rPr>
      </w:pPr>
      <w:r>
        <w:t>321.</w:t>
      </w:r>
      <w:r>
        <w:tab/>
        <w:t>Terms used</w:t>
      </w:r>
      <w:r>
        <w:tab/>
      </w:r>
      <w:r>
        <w:fldChar w:fldCharType="begin"/>
      </w:r>
      <w:r>
        <w:instrText xml:space="preserve"> PAGEREF _Toc179528865 \h </w:instrText>
      </w:r>
      <w:r>
        <w:fldChar w:fldCharType="separate"/>
      </w:r>
      <w:r>
        <w:t>27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Application for approval</w:t>
      </w:r>
      <w:r>
        <w:tab/>
      </w:r>
      <w:r>
        <w:fldChar w:fldCharType="begin"/>
      </w:r>
      <w:r>
        <w:instrText xml:space="preserve"> PAGEREF _Toc179528866 \h </w:instrText>
      </w:r>
      <w:r>
        <w:fldChar w:fldCharType="separate"/>
      </w:r>
      <w:r>
        <w:t>28</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Further testing of electrical appliances approved</w:t>
      </w:r>
      <w:r>
        <w:tab/>
      </w:r>
      <w:r>
        <w:fldChar w:fldCharType="begin"/>
      </w:r>
      <w:r>
        <w:instrText xml:space="preserve"> PAGEREF _Toc179528867 \h </w:instrText>
      </w:r>
      <w:r>
        <w:fldChar w:fldCharType="separate"/>
      </w:r>
      <w:r>
        <w:t>30</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Certificate of approval</w:t>
      </w:r>
      <w:r>
        <w:tab/>
      </w:r>
      <w:r>
        <w:fldChar w:fldCharType="begin"/>
      </w:r>
      <w:r>
        <w:instrText xml:space="preserve"> PAGEREF _Toc179528868 \h </w:instrText>
      </w:r>
      <w:r>
        <w:fldChar w:fldCharType="separate"/>
      </w:r>
      <w:r>
        <w:t>31</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Stamping and labelling of approved electrical appliances</w:t>
      </w:r>
      <w:r>
        <w:tab/>
      </w:r>
      <w:r>
        <w:fldChar w:fldCharType="begin"/>
      </w:r>
      <w:r>
        <w:instrText xml:space="preserve"> PAGEREF _Toc179528869 \h </w:instrText>
      </w:r>
      <w:r>
        <w:fldChar w:fldCharType="separate"/>
      </w:r>
      <w:r>
        <w:t>33</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Modification of design or construction</w:t>
      </w:r>
      <w:r>
        <w:tab/>
      </w:r>
      <w:r>
        <w:fldChar w:fldCharType="begin"/>
      </w:r>
      <w:r>
        <w:instrText xml:space="preserve"> PAGEREF _Toc179528870 \h </w:instrText>
      </w:r>
      <w:r>
        <w:fldChar w:fldCharType="separate"/>
      </w:r>
      <w:r>
        <w:t>35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Transfer of certificate of approval</w:t>
      </w:r>
      <w:r>
        <w:tab/>
      </w:r>
      <w:r>
        <w:fldChar w:fldCharType="begin"/>
      </w:r>
      <w:r>
        <w:instrText xml:space="preserve"> PAGEREF _Toc179528871 \h </w:instrText>
      </w:r>
      <w:r>
        <w:fldChar w:fldCharType="separate"/>
      </w:r>
      <w:r>
        <w:t>35</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Lost or destroyed certificates of approval</w:t>
      </w:r>
      <w:r>
        <w:tab/>
      </w:r>
      <w:r>
        <w:fldChar w:fldCharType="begin"/>
      </w:r>
      <w:r>
        <w:instrText xml:space="preserve"> PAGEREF _Toc179528872 \h </w:instrText>
      </w:r>
      <w:r>
        <w:fldChar w:fldCharType="separate"/>
      </w:r>
      <w:r>
        <w:t>36</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Delegation by Director</w:t>
      </w:r>
      <w:r>
        <w:tab/>
      </w:r>
      <w:r>
        <w:fldChar w:fldCharType="begin"/>
      </w:r>
      <w:r>
        <w:instrText xml:space="preserve"> PAGEREF _Toc179528873 \h </w:instrText>
      </w:r>
      <w:r>
        <w:fldChar w:fldCharType="separate"/>
      </w:r>
      <w:r>
        <w:t>36</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Refusal or withdrawal of approval</w:t>
      </w:r>
      <w:r>
        <w:tab/>
      </w:r>
      <w:r>
        <w:fldChar w:fldCharType="begin"/>
      </w:r>
      <w:r>
        <w:instrText xml:space="preserve"> PAGEREF _Toc179528874 \h </w:instrText>
      </w:r>
      <w:r>
        <w:fldChar w:fldCharType="separate"/>
      </w:r>
      <w:r>
        <w:t>37</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Notification of withdrawal of approval</w:t>
      </w:r>
      <w:r>
        <w:tab/>
      </w:r>
      <w:r>
        <w:fldChar w:fldCharType="begin"/>
      </w:r>
      <w:r>
        <w:instrText xml:space="preserve"> PAGEREF _Toc179528875 \h </w:instrText>
      </w:r>
      <w:r>
        <w:fldChar w:fldCharType="separate"/>
      </w:r>
      <w:r>
        <w:t>39</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Deferment of approval</w:t>
      </w:r>
      <w:r>
        <w:tab/>
      </w:r>
      <w:r>
        <w:fldChar w:fldCharType="begin"/>
      </w:r>
      <w:r>
        <w:instrText xml:space="preserve"> PAGEREF _Toc179528876 \h </w:instrText>
      </w:r>
      <w:r>
        <w:fldChar w:fldCharType="separate"/>
      </w:r>
      <w:r>
        <w:t>40</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Purchase of electrical appliances for inspection</w:t>
      </w:r>
      <w:r>
        <w:tab/>
      </w:r>
      <w:r>
        <w:fldChar w:fldCharType="begin"/>
      </w:r>
      <w:r>
        <w:instrText xml:space="preserve"> PAGEREF _Toc179528877 \h </w:instrText>
      </w:r>
      <w:r>
        <w:fldChar w:fldCharType="separate"/>
      </w:r>
      <w:r>
        <w:t>40</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Obstruction of officers</w:t>
      </w:r>
      <w:r>
        <w:tab/>
      </w:r>
      <w:r>
        <w:fldChar w:fldCharType="begin"/>
      </w:r>
      <w:r>
        <w:instrText xml:space="preserve"> PAGEREF _Toc179528878 \h </w:instrText>
      </w:r>
      <w:r>
        <w:fldChar w:fldCharType="separate"/>
      </w:r>
      <w:r>
        <w:t>41</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Register of Prescribed Electrical Appliances and Register of Approved Electrical Appliances</w:t>
      </w:r>
      <w:r>
        <w:tab/>
      </w:r>
      <w:r>
        <w:fldChar w:fldCharType="begin"/>
      </w:r>
      <w:r>
        <w:instrText xml:space="preserve"> PAGEREF _Toc179528879 \h </w:instrText>
      </w:r>
      <w:r>
        <w:fldChar w:fldCharType="separate"/>
      </w:r>
      <w:r>
        <w:t>42</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Change of address</w:t>
      </w:r>
      <w:r>
        <w:tab/>
      </w:r>
      <w:r>
        <w:fldChar w:fldCharType="begin"/>
      </w:r>
      <w:r>
        <w:instrText xml:space="preserve"> PAGEREF _Toc179528880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 — Penalties and enforcement</w:t>
      </w:r>
    </w:p>
    <w:p>
      <w:pPr>
        <w:pStyle w:val="TOC8"/>
        <w:rPr>
          <w:rFonts w:asciiTheme="minorHAnsi" w:eastAsiaTheme="minorEastAsia" w:hAnsiTheme="minorHAnsi" w:cstheme="minorBidi"/>
          <w:szCs w:val="22"/>
        </w:rPr>
      </w:pPr>
      <w:r>
        <w:t>340</w:t>
      </w:r>
      <w:r>
        <w:rPr>
          <w:snapToGrid w:val="0"/>
        </w:rPr>
        <w:t>.</w:t>
      </w:r>
      <w:r>
        <w:rPr>
          <w:snapToGrid w:val="0"/>
        </w:rPr>
        <w:tab/>
        <w:t>Penalties</w:t>
      </w:r>
      <w:r>
        <w:tab/>
      </w:r>
      <w:r>
        <w:fldChar w:fldCharType="begin"/>
      </w:r>
      <w:r>
        <w:instrText xml:space="preserve"> PAGEREF _Toc179528882 \h </w:instrText>
      </w:r>
      <w:r>
        <w:fldChar w:fldCharType="separate"/>
      </w:r>
      <w:r>
        <w:t>44</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Proceedings</w:t>
      </w:r>
      <w:r>
        <w:tab/>
      </w:r>
      <w:r>
        <w:fldChar w:fldCharType="begin"/>
      </w:r>
      <w:r>
        <w:instrText xml:space="preserve"> PAGEREF _Toc179528883 \h </w:instrText>
      </w:r>
      <w:r>
        <w:fldChar w:fldCharType="separate"/>
      </w:r>
      <w:r>
        <w:t>44</w:t>
      </w:r>
      <w:r>
        <w:fldChar w:fldCharType="end"/>
      </w:r>
    </w:p>
    <w:p>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_Toc179528884 \h </w:instrText>
      </w:r>
      <w:r>
        <w:fldChar w:fldCharType="separate"/>
      </w:r>
      <w:r>
        <w:t>44</w:t>
      </w:r>
      <w:r>
        <w:fldChar w:fldCharType="end"/>
      </w:r>
    </w:p>
    <w:p>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_Toc179528885 \h </w:instrText>
      </w:r>
      <w:r>
        <w:fldChar w:fldCharType="separate"/>
      </w:r>
      <w:r>
        <w:t>45</w:t>
      </w:r>
      <w:r>
        <w:fldChar w:fldCharType="end"/>
      </w:r>
    </w:p>
    <w:p>
      <w:pPr>
        <w:pStyle w:val="TOC8"/>
        <w:rPr>
          <w:rFonts w:asciiTheme="minorHAnsi" w:eastAsiaTheme="minorEastAsia" w:hAnsiTheme="minorHAnsi" w:cstheme="minorBidi"/>
          <w:szCs w:val="22"/>
        </w:rPr>
      </w:pPr>
      <w:r>
        <w:t>344.</w:t>
      </w:r>
      <w:r>
        <w:tab/>
        <w:t>Forms</w:t>
      </w:r>
      <w:r>
        <w:tab/>
      </w:r>
      <w:r>
        <w:fldChar w:fldCharType="begin"/>
      </w:r>
      <w:r>
        <w:instrText xml:space="preserve"> PAGEREF _Toc179528886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_Toc179528890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_Toc179528891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Electricity Act 1945</w:t>
      </w:r>
    </w:p>
    <w:p>
      <w:pPr>
        <w:pStyle w:val="NameofActReg"/>
        <w:spacing w:before="720" w:after="720"/>
      </w:pPr>
      <w:r>
        <w:t>Electricity Regulations 1947</w:t>
      </w:r>
    </w:p>
    <w:p>
      <w:pPr>
        <w:pStyle w:val="Heading2"/>
        <w:keepNext w:val="0"/>
        <w:pageBreakBefore w:val="0"/>
        <w:spacing w:before="280"/>
      </w:pPr>
      <w:bookmarkStart w:id="2" w:name="_Toc179465626"/>
      <w:bookmarkStart w:id="3" w:name="_Toc179467292"/>
      <w:bookmarkStart w:id="4" w:name="_Toc179528771"/>
      <w:bookmarkStart w:id="5" w:name="_Toc179528832"/>
      <w:r>
        <w:rPr>
          <w:rStyle w:val="CharPartNo"/>
        </w:rPr>
        <w:t>Part I</w:t>
      </w:r>
      <w:r>
        <w:t xml:space="preserve"> — </w:t>
      </w:r>
      <w:r>
        <w:rPr>
          <w:rStyle w:val="CharPartText"/>
        </w:rPr>
        <w:t>Preliminary</w:t>
      </w:r>
      <w:bookmarkEnd w:id="2"/>
      <w:bookmarkEnd w:id="3"/>
      <w:bookmarkEnd w:id="4"/>
      <w:bookmarkEnd w:id="5"/>
    </w:p>
    <w:p>
      <w:pPr>
        <w:pStyle w:val="Footnoteheading"/>
      </w:pPr>
      <w:r>
        <w:tab/>
        <w:t>[Heading inserted: Gazette 30 May 2000 p. 2567.]</w:t>
      </w:r>
    </w:p>
    <w:p>
      <w:pPr>
        <w:pStyle w:val="Heading5"/>
        <w:spacing w:before="300"/>
      </w:pPr>
      <w:bookmarkStart w:id="6" w:name="_Toc179528833"/>
      <w:r>
        <w:rPr>
          <w:rStyle w:val="CharSectno"/>
        </w:rPr>
        <w:t>1</w:t>
      </w:r>
      <w:r>
        <w:t>.</w:t>
      </w:r>
      <w:r>
        <w:tab/>
        <w:t>Citation</w:t>
      </w:r>
      <w:bookmarkEnd w:id="6"/>
    </w:p>
    <w:p>
      <w:pPr>
        <w:pStyle w:val="Subsection"/>
        <w:spacing w:before="220"/>
      </w:pPr>
      <w:r>
        <w:tab/>
      </w:r>
      <w:r>
        <w:tab/>
        <w:t xml:space="preserve">These regulations may be cited as the </w:t>
      </w:r>
      <w:r>
        <w:rPr>
          <w:i/>
        </w:rPr>
        <w:t>Electricity Regulations 1947</w:t>
      </w:r>
      <w:r>
        <w:t>.</w:t>
      </w:r>
    </w:p>
    <w:p>
      <w:pPr>
        <w:pStyle w:val="Footnotesection"/>
        <w:spacing w:before="160"/>
        <w:ind w:left="890" w:hanging="890"/>
      </w:pPr>
      <w:r>
        <w:tab/>
        <w:t>[Regulation 1 inserted: Gazette 30 May 2000 p. 2567.]</w:t>
      </w:r>
    </w:p>
    <w:p>
      <w:pPr>
        <w:pStyle w:val="Heading5"/>
      </w:pPr>
      <w:bookmarkStart w:id="7" w:name="_Toc179528834"/>
      <w:r>
        <w:rPr>
          <w:rStyle w:val="CharSectno"/>
        </w:rPr>
        <w:t>2</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active conductor</w:t>
      </w:r>
      <w:r>
        <w:t xml:space="preserve"> means — </w:t>
      </w:r>
    </w:p>
    <w:p>
      <w:pPr>
        <w:pStyle w:val="Defpara"/>
      </w:pPr>
      <w:r>
        <w:tab/>
        <w:t>(a)</w:t>
      </w:r>
      <w:r>
        <w:tab/>
        <w:t>in a system that includes a neutral conductor — a conductor in the system maintained at a difference of potential from the neutral conductor; and</w:t>
      </w:r>
    </w:p>
    <w:p>
      <w:pPr>
        <w:pStyle w:val="Defpara"/>
      </w:pPr>
      <w:r>
        <w:tab/>
        <w:t>(b)</w:t>
      </w:r>
      <w:r>
        <w:tab/>
        <w:t>in a system that does not include a neutral conductor — any conductor in the system;</w:t>
      </w:r>
    </w:p>
    <w:p>
      <w:pPr>
        <w:pStyle w:val="Defstart"/>
      </w:pPr>
      <w:r>
        <w:tab/>
      </w:r>
      <w:r>
        <w:rPr>
          <w:rStyle w:val="CharDefText"/>
        </w:rPr>
        <w:t>appliance</w:t>
      </w:r>
      <w:r>
        <w:t xml:space="preserve"> means a consuming device, other than a lamp, in which electricity is — </w:t>
      </w:r>
    </w:p>
    <w:p>
      <w:pPr>
        <w:pStyle w:val="Defpara"/>
      </w:pPr>
      <w:r>
        <w:tab/>
        <w:t>(a)</w:t>
      </w:r>
      <w:r>
        <w:tab/>
        <w:t>converted into heat, motion or other form of energy; or</w:t>
      </w:r>
    </w:p>
    <w:p>
      <w:pPr>
        <w:pStyle w:val="Defpara"/>
      </w:pPr>
      <w:r>
        <w:tab/>
        <w:t>(b)</w:t>
      </w:r>
      <w:r>
        <w:tab/>
        <w:t>substantially changed in its electrical character;</w:t>
      </w:r>
    </w:p>
    <w:p>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pPr>
        <w:pStyle w:val="Defstart"/>
      </w:pPr>
      <w:r>
        <w:lastRenderedPageBreak/>
        <w:tab/>
      </w:r>
      <w:r>
        <w:rPr>
          <w:rStyle w:val="CharDefText"/>
        </w:rPr>
        <w:t>electrical equipment</w:t>
      </w:r>
      <w:r>
        <w:t xml:space="preserve"> means any of the following when used for the generation, conversion, storage, transmission, distribution or utilisation of electrical energy — </w:t>
      </w:r>
    </w:p>
    <w:p>
      <w:pPr>
        <w:pStyle w:val="Defpara"/>
      </w:pPr>
      <w:r>
        <w:tab/>
        <w:t>(a)</w:t>
      </w:r>
      <w:r>
        <w:tab/>
        <w:t>wiring systems;</w:t>
      </w:r>
    </w:p>
    <w:p>
      <w:pPr>
        <w:pStyle w:val="Defpara"/>
      </w:pPr>
      <w:r>
        <w:tab/>
        <w:t>(b)</w:t>
      </w:r>
      <w:r>
        <w:tab/>
        <w:t>switchgear;</w:t>
      </w:r>
    </w:p>
    <w:p>
      <w:pPr>
        <w:pStyle w:val="Defpara"/>
      </w:pPr>
      <w:r>
        <w:tab/>
        <w:t>(c)</w:t>
      </w:r>
      <w:r>
        <w:tab/>
        <w:t>controlgear;</w:t>
      </w:r>
    </w:p>
    <w:p>
      <w:pPr>
        <w:pStyle w:val="Defpara"/>
      </w:pPr>
      <w:r>
        <w:tab/>
        <w:t>(d)</w:t>
      </w:r>
      <w:r>
        <w:tab/>
        <w:t>accessories;</w:t>
      </w:r>
    </w:p>
    <w:p>
      <w:pPr>
        <w:pStyle w:val="Defpara"/>
      </w:pPr>
      <w:r>
        <w:tab/>
        <w:t>(e)</w:t>
      </w:r>
      <w:r>
        <w:tab/>
        <w:t>appliances;</w:t>
      </w:r>
    </w:p>
    <w:p>
      <w:pPr>
        <w:pStyle w:val="Defpara"/>
      </w:pPr>
      <w:r>
        <w:tab/>
        <w:t>(f)</w:t>
      </w:r>
      <w:r>
        <w:tab/>
        <w:t>luminaires;</w:t>
      </w:r>
    </w:p>
    <w:p>
      <w:pPr>
        <w:pStyle w:val="Defpara"/>
      </w:pPr>
      <w:r>
        <w:tab/>
        <w:t>(g)</w:t>
      </w:r>
      <w:r>
        <w:tab/>
        <w:t>fittings;</w:t>
      </w:r>
    </w:p>
    <w:p>
      <w:pPr>
        <w:pStyle w:val="Defstart"/>
      </w:pPr>
      <w:r>
        <w:tab/>
      </w:r>
      <w:r>
        <w:rPr>
          <w:rStyle w:val="CharDefText"/>
        </w:rPr>
        <w:t>neutral conductor</w:t>
      </w:r>
      <w:r>
        <w:t xml:space="preserve"> means — </w:t>
      </w:r>
    </w:p>
    <w:p>
      <w:pPr>
        <w:pStyle w:val="Defpara"/>
      </w:pPr>
      <w:r>
        <w:tab/>
        <w:t>(a)</w:t>
      </w:r>
      <w:r>
        <w:tab/>
        <w:t>the conductor of a 3</w:t>
      </w:r>
      <w:r>
        <w:noBreakHyphen/>
        <w:t>phase system that is maintained at an intermediate and approximately uniform potential in respect of the active conductors; or</w:t>
      </w:r>
    </w:p>
    <w:p>
      <w:pPr>
        <w:pStyle w:val="Defpara"/>
      </w:pPr>
      <w:r>
        <w:tab/>
        <w:t>(b)</w:t>
      </w:r>
      <w:r>
        <w:tab/>
        <w:t>the conductor of a single</w:t>
      </w:r>
      <w:r>
        <w:noBreakHyphen/>
        <w:t>phase system that is connected to earth at its origin.</w:t>
      </w:r>
    </w:p>
    <w:p>
      <w:pPr>
        <w:pStyle w:val="Footnotesection"/>
      </w:pPr>
      <w:r>
        <w:tab/>
        <w:t>[Regulation 2 inserted: Gazette 2 Oct 2018 p. 3785.</w:t>
      </w:r>
    </w:p>
    <w:p>
      <w:pPr>
        <w:pStyle w:val="Ednotepart"/>
      </w:pPr>
      <w:r>
        <w:t>[Pts. II and III (r. 3</w:t>
      </w:r>
      <w:r>
        <w:noBreakHyphen/>
        <w:t>11) deleted: Gazette 14 Apr 2015 p. 1324.]</w:t>
      </w:r>
    </w:p>
    <w:p>
      <w:pPr>
        <w:pStyle w:val="Heading2"/>
      </w:pPr>
      <w:bookmarkStart w:id="8" w:name="_Toc179465629"/>
      <w:bookmarkStart w:id="9" w:name="_Toc179467295"/>
      <w:bookmarkStart w:id="10" w:name="_Toc179528774"/>
      <w:bookmarkStart w:id="11" w:name="_Toc179528835"/>
      <w:r>
        <w:rPr>
          <w:rStyle w:val="CharPartNo"/>
        </w:rPr>
        <w:lastRenderedPageBreak/>
        <w:t>Part IV</w:t>
      </w:r>
      <w:r>
        <w:rPr>
          <w:rStyle w:val="CharDivNo"/>
        </w:rPr>
        <w:t> </w:t>
      </w:r>
      <w:r>
        <w:t>—</w:t>
      </w:r>
      <w:r>
        <w:rPr>
          <w:rStyle w:val="CharDivText"/>
        </w:rPr>
        <w:t> </w:t>
      </w:r>
      <w:r>
        <w:rPr>
          <w:rStyle w:val="CharPartText"/>
        </w:rPr>
        <w:t>Residual current devices</w:t>
      </w:r>
      <w:bookmarkEnd w:id="8"/>
      <w:bookmarkEnd w:id="9"/>
      <w:bookmarkEnd w:id="10"/>
      <w:bookmarkEnd w:id="11"/>
    </w:p>
    <w:p>
      <w:pPr>
        <w:pStyle w:val="Footnoteheading"/>
      </w:pPr>
      <w:r>
        <w:tab/>
        <w:t>[Heading inserted: Gazette 8 May 2009 p. 1493.]</w:t>
      </w:r>
    </w:p>
    <w:p>
      <w:pPr>
        <w:pStyle w:val="Heading5"/>
      </w:pPr>
      <w:bookmarkStart w:id="12" w:name="_Toc179528836"/>
      <w:r>
        <w:rPr>
          <w:rStyle w:val="CharSectno"/>
        </w:rPr>
        <w:t>12</w:t>
      </w:r>
      <w:r>
        <w:t>.</w:t>
      </w:r>
      <w:r>
        <w:tab/>
        <w:t>Terms used</w:t>
      </w:r>
      <w:bookmarkEnd w:id="12"/>
    </w:p>
    <w:p>
      <w:pPr>
        <w:pStyle w:val="Subsection"/>
      </w:pPr>
      <w:r>
        <w:tab/>
      </w:r>
      <w:r>
        <w:tab/>
        <w:t>In this Part —</w:t>
      </w:r>
    </w:p>
    <w:p>
      <w:pPr>
        <w:pStyle w:val="Defstart"/>
      </w:pPr>
      <w:r>
        <w:tab/>
      </w:r>
      <w:r>
        <w:rPr>
          <w:rStyle w:val="CharDefText"/>
        </w:rPr>
        <w:t>building permit</w:t>
      </w:r>
      <w:r>
        <w:t xml:space="preserve"> has the meaning given in the </w:t>
      </w:r>
      <w:r>
        <w:rPr>
          <w:i/>
        </w:rPr>
        <w:t>Building Act 2011</w:t>
      </w:r>
      <w:r>
        <w:t xml:space="preserve"> section 3;</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strata titles scheme as defined in the </w:t>
      </w:r>
      <w:r>
        <w:rPr>
          <w:i/>
        </w:rPr>
        <w:t>Strata Titles Act 1985</w:t>
      </w:r>
      <w:r>
        <w:rPr>
          <w:iCs/>
        </w:rPr>
        <w:t xml:space="preserve"> section 3(1)</w:t>
      </w:r>
      <w:r>
        <w:t> — means common property as defined in that section; or</w:t>
      </w:r>
    </w:p>
    <w:p>
      <w:pPr>
        <w:pStyle w:val="Defpara"/>
      </w:pPr>
      <w:r>
        <w:tab/>
        <w:t>(aa)</w:t>
      </w:r>
      <w:r>
        <w:tab/>
        <w:t xml:space="preserve">if the premises are part of a community titles scheme as defined in the </w:t>
      </w:r>
      <w:r>
        <w:rPr>
          <w:i/>
        </w:rPr>
        <w:t>Community Titles Act 2018</w:t>
      </w:r>
      <w:r>
        <w:t xml:space="preserve"> section 3(1) — means common property as defined in that section; or</w:t>
      </w:r>
    </w:p>
    <w:p>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premises</w:t>
      </w:r>
      <w:r>
        <w:t xml:space="preserve"> does not include a transportable structure or vehicle;</w:t>
      </w:r>
    </w:p>
    <w:p>
      <w:pPr>
        <w:pStyle w:val="Defstart"/>
      </w:pPr>
      <w:r>
        <w:tab/>
      </w:r>
      <w:r>
        <w:rPr>
          <w:rStyle w:val="CharDefText"/>
        </w:rPr>
        <w:t>prior owner</w:t>
      </w:r>
      <w:r>
        <w:t>, in relation to transferred residential premises, means the person from whom the title was transferred;</w:t>
      </w:r>
    </w:p>
    <w:p>
      <w:pPr>
        <w:pStyle w:val="Defstart"/>
      </w:pPr>
      <w:r>
        <w:lastRenderedPageBreak/>
        <w:tab/>
      </w:r>
      <w:r>
        <w:rPr>
          <w:rStyle w:val="CharDefText"/>
        </w:rPr>
        <w:t>properly installed</w:t>
      </w:r>
      <w:r>
        <w:t xml:space="preserve">, in relation to residential premises or common property relating to residential premises, means — </w:t>
      </w:r>
    </w:p>
    <w:p>
      <w:pPr>
        <w:pStyle w:val="Defpara"/>
      </w:pPr>
      <w:r>
        <w:tab/>
        <w:t>(a)</w:t>
      </w:r>
      <w:r>
        <w:tab/>
        <w:t>installed in accordance with regulation 12A in relation to those premises or that property; and</w:t>
      </w:r>
    </w:p>
    <w:p>
      <w:pPr>
        <w:pStyle w:val="Defpara"/>
      </w:pPr>
      <w:r>
        <w:tab/>
        <w:t>(b)</w:t>
      </w:r>
      <w:r>
        <w:tab/>
        <w:t>not installed in relation to any other premises or property;</w:t>
      </w:r>
    </w:p>
    <w:p>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Gazette 8 May 2009 p. 1493</w:t>
      </w:r>
      <w:r>
        <w:noBreakHyphen/>
        <w:t>4; amended: Gazette 5 Mar 2010 p. 842; 10 May 2011 p. 1663; 2 Oct 2018 p. 3786.]</w:t>
      </w:r>
    </w:p>
    <w:p>
      <w:pPr>
        <w:pStyle w:val="Footnotesection"/>
        <w:ind w:left="890" w:hanging="890"/>
      </w:pPr>
      <w:r>
        <w:tab/>
        <w:t>[Regulation 12 amended: Gazette 31 Dec 2019 p. 4641; SL 2021/71 r. 4; SL 2024/123 r. 20(2).]</w:t>
      </w:r>
    </w:p>
    <w:p>
      <w:pPr>
        <w:pStyle w:val="Heading5"/>
      </w:pPr>
      <w:bookmarkStart w:id="13" w:name="_Toc179528837"/>
      <w:r>
        <w:rPr>
          <w:rStyle w:val="CharSectno"/>
        </w:rPr>
        <w:t>12A</w:t>
      </w:r>
      <w:r>
        <w:t>.</w:t>
      </w:r>
      <w:r>
        <w:tab/>
        <w:t>Installation of residual current devices</w:t>
      </w:r>
      <w:bookmarkEnd w:id="13"/>
    </w:p>
    <w:p>
      <w:pPr>
        <w:pStyle w:val="Subsection"/>
      </w:pPr>
      <w:r>
        <w:tab/>
        <w:t>(1)</w:t>
      </w:r>
      <w:r>
        <w:tab/>
        <w:t xml:space="preserve">In this regulation — </w:t>
      </w:r>
    </w:p>
    <w:p>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pPr>
        <w:pStyle w:val="Subsection"/>
        <w:keepNext/>
      </w:pPr>
      <w:r>
        <w:lastRenderedPageBreak/>
        <w:tab/>
        <w:t>(2)</w:t>
      </w:r>
      <w:r>
        <w:tab/>
        <w:t xml:space="preserve">Residual current devices are installed in accordance with this regulation in relation to residential premises, or common property relating to residential premises, if all of the following apply — </w:t>
      </w:r>
    </w:p>
    <w:p>
      <w:pPr>
        <w:pStyle w:val="Indenta"/>
      </w:pPr>
      <w:r>
        <w:tab/>
        <w:t>(a)</w:t>
      </w:r>
      <w:r>
        <w:tab/>
        <w:t xml:space="preserve">the number of residual current devices installed on the premises is at least — </w:t>
      </w:r>
    </w:p>
    <w:p>
      <w:pPr>
        <w:pStyle w:val="Indenti"/>
      </w:pPr>
      <w:r>
        <w:tab/>
        <w:t>(i)</w:t>
      </w:r>
      <w:r>
        <w:tab/>
        <w:t>1, if the premises have 1 final subcircuit; and</w:t>
      </w:r>
    </w:p>
    <w:p>
      <w:pPr>
        <w:pStyle w:val="Indenti"/>
      </w:pPr>
      <w:r>
        <w:tab/>
        <w:t>(ii)</w:t>
      </w:r>
      <w:r>
        <w:tab/>
        <w:t>2, if the premises have more than 1 final subcircuit;</w:t>
      </w:r>
    </w:p>
    <w:p>
      <w:pPr>
        <w:pStyle w:val="Indenta"/>
      </w:pPr>
      <w:r>
        <w:tab/>
        <w:t>(b)</w:t>
      </w:r>
      <w:r>
        <w:tab/>
        <w:t>if 2 or more residual current devices are installed on the premises, lighting points connected to final subcircuits are distributed between the devices;</w:t>
      </w:r>
    </w:p>
    <w:p>
      <w:pPr>
        <w:pStyle w:val="Indenta"/>
      </w:pPr>
      <w:r>
        <w:tab/>
        <w:t>(c)</w:t>
      </w:r>
      <w:r>
        <w:tab/>
        <w:t>each residual current device complies with AS/NZS 3190:2016 Approval and test specification — Residual current devices (current</w:t>
      </w:r>
      <w:r>
        <w:noBreakHyphen/>
        <w:t>operated earth</w:t>
      </w:r>
      <w:r>
        <w:noBreakHyphen/>
        <w:t>leakage devices);</w:t>
      </w:r>
    </w:p>
    <w:p>
      <w:pPr>
        <w:pStyle w:val="Indenta"/>
      </w:pPr>
      <w:r>
        <w:tab/>
        <w:t>(d)</w:t>
      </w:r>
      <w:r>
        <w:tab/>
        <w:t>each residual current device has a maximum rated residual current of 30 mA;</w:t>
      </w:r>
    </w:p>
    <w:p>
      <w:pPr>
        <w:pStyle w:val="Indenta"/>
      </w:pPr>
      <w:r>
        <w:tab/>
        <w:t>(e)</w:t>
      </w:r>
      <w:r>
        <w:tab/>
        <w:t xml:space="preserve">each residual current device protects not more than 3 final subcircuits; </w:t>
      </w:r>
    </w:p>
    <w:p>
      <w:pPr>
        <w:pStyle w:val="Indenta"/>
      </w:pPr>
      <w:r>
        <w:tab/>
        <w:t>(f)</w:t>
      </w:r>
      <w:r>
        <w:tab/>
        <w:t>each residual current device is installed at the switchboard at which each final subcircuit protected by it originates.</w:t>
      </w:r>
    </w:p>
    <w:p>
      <w:pPr>
        <w:pStyle w:val="Footnotesection"/>
      </w:pPr>
      <w:r>
        <w:tab/>
        <w:t>[Regulation 12A inserted: Gazette 2 Oct 2018 p. 3787.]</w:t>
      </w:r>
    </w:p>
    <w:p>
      <w:pPr>
        <w:pStyle w:val="Heading5"/>
      </w:pPr>
      <w:bookmarkStart w:id="14" w:name="_Toc179528838"/>
      <w:r>
        <w:rPr>
          <w:rStyle w:val="CharSectno"/>
        </w:rPr>
        <w:t>13</w:t>
      </w:r>
      <w:r>
        <w:t>.</w:t>
      </w:r>
      <w:r>
        <w:tab/>
        <w:t>Residential premises occupied by owner</w:t>
      </w:r>
      <w:bookmarkEnd w:id="14"/>
    </w:p>
    <w:p>
      <w:pPr>
        <w:pStyle w:val="Subsection"/>
      </w:pPr>
      <w:r>
        <w:tab/>
      </w:r>
      <w:r>
        <w:tab/>
        <w:t>Subject to any exemption under regulation 18, an owner of residential premises that are occupied by an owner must ensure that residual current devices are properly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lastRenderedPageBreak/>
        <w:tab/>
        <w:t>(ba)</w:t>
      </w:r>
      <w:r>
        <w:tab/>
        <w:t>before the owner makes some or all of the premises available as short</w:t>
      </w:r>
      <w:r>
        <w:noBreakHyphen/>
        <w:t>term rental accommodation; or</w:t>
      </w:r>
    </w:p>
    <w:p>
      <w:pPr>
        <w:pStyle w:val="Indenta"/>
        <w:keepNext/>
      </w:pPr>
      <w:r>
        <w:tab/>
        <w:t>(c)</w:t>
      </w:r>
      <w:r>
        <w:tab/>
        <w:t>before the owner makes some or all of the premises available for hire.</w:t>
      </w:r>
    </w:p>
    <w:p>
      <w:pPr>
        <w:pStyle w:val="Penstart"/>
        <w:keepNex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Gazette 8 May 2009 p. 1494; amended: Gazette 10 May 2011 p. 1663; 13 Apr 2012 p. 1647; 2 Oct 2018 p. 3787; SL 2024/123 r. 20(3).]</w:t>
      </w:r>
    </w:p>
    <w:p>
      <w:pPr>
        <w:pStyle w:val="Heading5"/>
      </w:pPr>
      <w:bookmarkStart w:id="15" w:name="_Toc179528839"/>
      <w:r>
        <w:rPr>
          <w:rStyle w:val="CharSectno"/>
        </w:rPr>
        <w:t>14</w:t>
      </w:r>
      <w:r>
        <w:t>.</w:t>
      </w:r>
      <w:r>
        <w:tab/>
        <w:t>Residential premises not occupied by owner</w:t>
      </w:r>
      <w:bookmarkEnd w:id="15"/>
    </w:p>
    <w:p>
      <w:pPr>
        <w:pStyle w:val="Subsection"/>
      </w:pPr>
      <w:r>
        <w:tab/>
      </w:r>
      <w:r>
        <w:tab/>
        <w:t>Subject to any exemption under regulation 18, an owner of residential premises that are not occupied by an owner must ensure that residual current devices are properly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pPr>
        <w:pStyle w:val="Indenta"/>
      </w:pPr>
      <w:r>
        <w:tab/>
        <w:t>(ba)</w:t>
      </w:r>
      <w:r>
        <w:tab/>
        <w:t>before the owner makes the premises available as short</w:t>
      </w:r>
      <w:r>
        <w:noBreakHyphen/>
        <w:t>term rental accommodation; or</w:t>
      </w:r>
    </w:p>
    <w:p>
      <w:pPr>
        <w:pStyle w:val="Indenta"/>
      </w:pPr>
      <w:r>
        <w:tab/>
        <w:t>(bb)</w:t>
      </w:r>
      <w:r>
        <w:tab/>
        <w:t>before the owner makes the premises available for hire; or</w:t>
      </w:r>
    </w:p>
    <w:p>
      <w:pPr>
        <w:pStyle w:val="Indenta"/>
      </w:pPr>
      <w:r>
        <w:tab/>
        <w:t>(c)</w:t>
      </w:r>
      <w:r>
        <w:tab/>
        <w:t>before the completion of any building works on the premises, if those works require the grant of a building permit.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lastRenderedPageBreak/>
        <w:tab/>
        <w:t>[Regulation 14 inserted: Gazette 8 May 2009 p. 1494; amended: Gazette 10 May 2011 p. 1663; 2 Oct 2018 p. 3788; SL 2024/123 r. 20(4).]</w:t>
      </w:r>
    </w:p>
    <w:p>
      <w:pPr>
        <w:pStyle w:val="Heading5"/>
      </w:pPr>
      <w:bookmarkStart w:id="16" w:name="_Toc179528840"/>
      <w:r>
        <w:rPr>
          <w:rStyle w:val="CharSectno"/>
        </w:rPr>
        <w:t>15A</w:t>
      </w:r>
      <w:r>
        <w:t>.</w:t>
      </w:r>
      <w:r>
        <w:tab/>
        <w:t>New owner’s obligation to install residual current devices and right to recover costs</w:t>
      </w:r>
      <w:bookmarkEnd w:id="16"/>
    </w:p>
    <w:p>
      <w:pPr>
        <w:pStyle w:val="Subsection"/>
        <w:keepNext/>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residual current devices are properly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lastRenderedPageBreak/>
        <w:tab/>
        <w:t>[Regulation 15A inserted: Gazette 10 May 2011 p. 1664; amended: Gazette 2 Oct 2018 p. 3788.]</w:t>
      </w:r>
    </w:p>
    <w:p>
      <w:pPr>
        <w:pStyle w:val="Heading5"/>
      </w:pPr>
      <w:bookmarkStart w:id="17" w:name="_Toc179528841"/>
      <w:r>
        <w:rPr>
          <w:rStyle w:val="CharSectno"/>
        </w:rPr>
        <w:t>15</w:t>
      </w:r>
      <w:r>
        <w:t>.</w:t>
      </w:r>
      <w:r>
        <w:tab/>
        <w:t>Common property relating to residential premises</w:t>
      </w:r>
      <w:bookmarkEnd w:id="17"/>
    </w:p>
    <w:p>
      <w:pPr>
        <w:pStyle w:val="Subsection"/>
      </w:pPr>
      <w:r>
        <w:tab/>
      </w:r>
      <w:r>
        <w:tab/>
        <w:t>Subject to any exemption under regulation 18, an owner of common property relating to residential premises must ensure that residual current devices are properly installed in relation to the common property.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Gazette 2 Oct 2018 p. 3788.</w:t>
      </w:r>
    </w:p>
    <w:p>
      <w:pPr>
        <w:pStyle w:val="Heading5"/>
      </w:pPr>
      <w:bookmarkStart w:id="18" w:name="_Toc179528842"/>
      <w:r>
        <w:rPr>
          <w:rStyle w:val="CharSectno"/>
        </w:rPr>
        <w:t>16</w:t>
      </w:r>
      <w:r>
        <w:t>.</w:t>
      </w:r>
      <w:r>
        <w:tab/>
        <w:t>Defences in case of demolition</w:t>
      </w:r>
      <w:bookmarkEnd w:id="18"/>
    </w:p>
    <w:p>
      <w:pPr>
        <w:pStyle w:val="Subsection"/>
      </w:pPr>
      <w:r>
        <w:tab/>
        <w:t>(1)</w:t>
      </w:r>
      <w:r>
        <w:tab/>
        <w:t>It is a defence to a charge of an offence under regulation 13(a) or 14(a) for the person charged to prove that the new owner of the transferred residential premises gave a notice of intended demolition.</w:t>
      </w:r>
    </w:p>
    <w:p>
      <w:pPr>
        <w:pStyle w:val="Subsection"/>
      </w:pPr>
      <w:r>
        <w:tab/>
        <w:t>(2)</w:t>
      </w:r>
      <w:r>
        <w:tab/>
        <w:t>It is a defence to a charge of an offence under regulation 15 for the person charged to prove that the person had, before the charge was laid, arranged for the demolition of the premises.</w:t>
      </w:r>
    </w:p>
    <w:p>
      <w:pPr>
        <w:pStyle w:val="Footnotesection"/>
      </w:pPr>
      <w:r>
        <w:tab/>
        <w:t>[Regulation 16 inserted: Gazette 10 May 2011 p. 1665; amended: Gazette 2 Oct 2018 p. 3788</w:t>
      </w:r>
      <w:r>
        <w:noBreakHyphen/>
        <w:t>9.]</w:t>
      </w:r>
    </w:p>
    <w:p>
      <w:pPr>
        <w:pStyle w:val="Heading5"/>
      </w:pPr>
      <w:bookmarkStart w:id="19" w:name="_Toc179528843"/>
      <w:r>
        <w:rPr>
          <w:rStyle w:val="CharSectno"/>
        </w:rPr>
        <w:t>17</w:t>
      </w:r>
      <w:r>
        <w:t>.</w:t>
      </w:r>
      <w:r>
        <w:tab/>
        <w:t>Transportable structures or vehicles used for accommodation</w:t>
      </w:r>
      <w:bookmarkEnd w:id="19"/>
    </w:p>
    <w:p>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 xml:space="preserve">term, must ensure that at least 1 residual current device is installed in relation to the structure or vehicle in accordance with AS/NZS 3001:2008 Electrical installations — </w:t>
      </w:r>
      <w:r>
        <w:lastRenderedPageBreak/>
        <w:t>Transportable structures and vehicles including their site supplies.</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17 inserted: Gazette 2 Oct 2018 p. 3789.</w:t>
      </w:r>
    </w:p>
    <w:p>
      <w:pPr>
        <w:pStyle w:val="Heading5"/>
      </w:pPr>
      <w:bookmarkStart w:id="20" w:name="_Toc179528844"/>
      <w:r>
        <w:rPr>
          <w:rStyle w:val="CharSectno"/>
        </w:rPr>
        <w:t>18</w:t>
      </w:r>
      <w:r>
        <w:t>.</w:t>
      </w:r>
      <w:r>
        <w:tab/>
        <w:t>Director may grant temporary exemptions</w:t>
      </w:r>
      <w:bookmarkEnd w:id="20"/>
    </w:p>
    <w:p>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15 or 17,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Gazette 5 Mar 2010 p. 842; amended: Gazette 2 Oct 2018 p. 3789.]</w:t>
      </w:r>
    </w:p>
    <w:p>
      <w:pPr>
        <w:pStyle w:val="Heading2"/>
      </w:pPr>
      <w:bookmarkStart w:id="21" w:name="_Toc179465639"/>
      <w:bookmarkStart w:id="22" w:name="_Toc179467305"/>
      <w:bookmarkStart w:id="23" w:name="_Toc179528784"/>
      <w:bookmarkStart w:id="24" w:name="_Toc179528845"/>
      <w:r>
        <w:rPr>
          <w:rStyle w:val="CharPartNo"/>
        </w:rPr>
        <w:lastRenderedPageBreak/>
        <w:t>Part V</w:t>
      </w:r>
      <w:r>
        <w:t xml:space="preserve"> — </w:t>
      </w:r>
      <w:r>
        <w:rPr>
          <w:rStyle w:val="CharPartText"/>
        </w:rPr>
        <w:t>Interfering with electrical installations</w:t>
      </w:r>
      <w:bookmarkEnd w:id="21"/>
      <w:bookmarkEnd w:id="22"/>
      <w:bookmarkEnd w:id="23"/>
      <w:bookmarkEnd w:id="24"/>
    </w:p>
    <w:p>
      <w:pPr>
        <w:pStyle w:val="Footnoteheading"/>
      </w:pPr>
      <w:r>
        <w:tab/>
        <w:t>[Heading inserted: Gazette 13 Apr 2012 p. 1648.]</w:t>
      </w:r>
    </w:p>
    <w:p>
      <w:pPr>
        <w:pStyle w:val="Heading5"/>
      </w:pPr>
      <w:bookmarkStart w:id="25" w:name="_Toc179528846"/>
      <w:r>
        <w:rPr>
          <w:rStyle w:val="CharSectno"/>
        </w:rPr>
        <w:t>19</w:t>
      </w:r>
      <w:r>
        <w:t>.</w:t>
      </w:r>
      <w:r>
        <w:tab/>
        <w:t>Interfering with electrical installations</w:t>
      </w:r>
      <w:bookmarkEnd w:id="25"/>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 1</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Gazette 13 Apr 2012 p. 1648.]</w:t>
      </w:r>
    </w:p>
    <w:p>
      <w:pPr>
        <w:pStyle w:val="Ednotesection"/>
      </w:pPr>
      <w:r>
        <w:t>[</w:t>
      </w:r>
      <w:r>
        <w:rPr>
          <w:b/>
          <w:bCs/>
        </w:rPr>
        <w:t>20</w:t>
      </w:r>
      <w:r>
        <w:rPr>
          <w:b/>
          <w:bCs/>
        </w:rPr>
        <w:noBreakHyphen/>
        <w:t>70.</w:t>
      </w:r>
      <w:r>
        <w:tab/>
        <w:t>Deleted: Gazette 14 Oct 1991 p. 5294.]</w:t>
      </w:r>
    </w:p>
    <w:p>
      <w:pPr>
        <w:pStyle w:val="Ednotesection"/>
      </w:pPr>
      <w:r>
        <w:t>[</w:t>
      </w:r>
      <w:r>
        <w:rPr>
          <w:b/>
          <w:bCs/>
        </w:rPr>
        <w:t>71</w:t>
      </w:r>
      <w:r>
        <w:rPr>
          <w:b/>
          <w:bCs/>
        </w:rPr>
        <w:noBreakHyphen/>
        <w:t>107.</w:t>
      </w:r>
      <w:r>
        <w:tab/>
        <w:t>Deleted: Gazette 20 Dec 1985 p. 4881.]</w:t>
      </w:r>
    </w:p>
    <w:p>
      <w:pPr>
        <w:pStyle w:val="Ednotesection"/>
      </w:pPr>
      <w:r>
        <w:t>[</w:t>
      </w:r>
      <w:r>
        <w:rPr>
          <w:b/>
          <w:bCs/>
        </w:rPr>
        <w:t>108</w:t>
      </w:r>
      <w:r>
        <w:rPr>
          <w:b/>
          <w:bCs/>
        </w:rPr>
        <w:noBreakHyphen/>
        <w:t xml:space="preserve">142. </w:t>
      </w:r>
      <w:r>
        <w:t>Deleted: Gazette 12 Sep 1956 p. 2294.]</w:t>
      </w:r>
    </w:p>
    <w:p>
      <w:pPr>
        <w:pStyle w:val="Ednotepart"/>
      </w:pPr>
      <w:r>
        <w:t>[Parts V1 and VII (r. 143</w:t>
      </w:r>
      <w:r>
        <w:noBreakHyphen/>
        <w:t>236) deleted: Gazette 14 Oct 1991 p. 5294.]</w:t>
      </w:r>
    </w:p>
    <w:p>
      <w:pPr>
        <w:pStyle w:val="Heading2"/>
      </w:pPr>
      <w:bookmarkStart w:id="26" w:name="_Toc179465641"/>
      <w:bookmarkStart w:id="27" w:name="_Toc179467307"/>
      <w:bookmarkStart w:id="28" w:name="_Toc179528786"/>
      <w:bookmarkStart w:id="29" w:name="_Toc179528847"/>
      <w:r>
        <w:rPr>
          <w:rStyle w:val="CharPartNo"/>
        </w:rPr>
        <w:lastRenderedPageBreak/>
        <w:t>Part VIII</w:t>
      </w:r>
      <w:r>
        <w:t xml:space="preserve"> — </w:t>
      </w:r>
      <w:r>
        <w:rPr>
          <w:rStyle w:val="CharPartText"/>
        </w:rPr>
        <w:t>Supply of electricity to consumers</w:t>
      </w:r>
      <w:bookmarkEnd w:id="26"/>
      <w:bookmarkEnd w:id="27"/>
      <w:bookmarkEnd w:id="28"/>
      <w:bookmarkEnd w:id="29"/>
    </w:p>
    <w:p>
      <w:pPr>
        <w:pStyle w:val="Footnoteheading"/>
      </w:pPr>
      <w:r>
        <w:tab/>
        <w:t>[Heading inserted: Gazette 30 May 2000 p. 2571.]</w:t>
      </w:r>
    </w:p>
    <w:p>
      <w:pPr>
        <w:pStyle w:val="Ednotesection"/>
        <w:spacing w:before="240"/>
      </w:pPr>
      <w:r>
        <w:t>[</w:t>
      </w:r>
      <w:r>
        <w:rPr>
          <w:b/>
          <w:bCs/>
        </w:rPr>
        <w:t>237.</w:t>
      </w:r>
      <w:r>
        <w:tab/>
        <w:t>Deleted: Gazette 31 Mar 2006 p. 1348.]</w:t>
      </w:r>
    </w:p>
    <w:p>
      <w:pPr>
        <w:pStyle w:val="Ednotesection"/>
        <w:spacing w:before="240"/>
      </w:pPr>
      <w:r>
        <w:t>[</w:t>
      </w:r>
      <w:r>
        <w:rPr>
          <w:b/>
          <w:bCs/>
        </w:rPr>
        <w:t>238</w:t>
      </w:r>
      <w:r>
        <w:rPr>
          <w:b/>
          <w:bCs/>
        </w:rPr>
        <w:noBreakHyphen/>
        <w:t>240.</w:t>
      </w:r>
      <w:r>
        <w:tab/>
        <w:t>Deleted: Gazette 31 Oct 2006 p. 4597.]</w:t>
      </w:r>
    </w:p>
    <w:p>
      <w:pPr>
        <w:pStyle w:val="Heading5"/>
        <w:spacing w:before="240"/>
      </w:pPr>
      <w:bookmarkStart w:id="30" w:name="_Toc179528848"/>
      <w:r>
        <w:rPr>
          <w:rStyle w:val="CharSectno"/>
        </w:rPr>
        <w:t>241</w:t>
      </w:r>
      <w:r>
        <w:t>.</w:t>
      </w:r>
      <w:r>
        <w:tab/>
        <w:t>Terms used</w:t>
      </w:r>
      <w:bookmarkEnd w:id="30"/>
    </w:p>
    <w:p>
      <w:pPr>
        <w:pStyle w:val="Subsection"/>
      </w:pPr>
      <w:r>
        <w:tab/>
        <w:t>(1)</w:t>
      </w:r>
      <w:r>
        <w:tab/>
        <w:t>In this Part —</w:t>
      </w:r>
    </w:p>
    <w:p>
      <w:pPr>
        <w:pStyle w:val="Defstart"/>
      </w:pPr>
      <w:r>
        <w:tab/>
      </w:r>
      <w:r>
        <w:rPr>
          <w:rStyle w:val="CharDefText"/>
        </w:rPr>
        <w:t>fuse</w:t>
      </w:r>
      <w:r>
        <w:t xml:space="preserve"> means a device to protect a circuit against damage from an excessive current by opening the circuit when the current melts an element in the device;</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Gazette 31 Oct 2006 p. 4597</w:t>
      </w:r>
      <w:r>
        <w:noBreakHyphen/>
        <w:t>8; amended: Gazette 2 Oct 2018 p. 3790.]</w:t>
      </w:r>
    </w:p>
    <w:p>
      <w:pPr>
        <w:pStyle w:val="Heading5"/>
        <w:spacing w:before="240"/>
        <w:rPr>
          <w:snapToGrid w:val="0"/>
        </w:rPr>
      </w:pPr>
      <w:bookmarkStart w:id="31" w:name="_Toc179528849"/>
      <w:r>
        <w:rPr>
          <w:rStyle w:val="CharSectno"/>
        </w:rPr>
        <w:t>242</w:t>
      </w:r>
      <w:r>
        <w:rPr>
          <w:snapToGrid w:val="0"/>
        </w:rPr>
        <w:t>.</w:t>
      </w:r>
      <w:r>
        <w:rPr>
          <w:snapToGrid w:val="0"/>
        </w:rPr>
        <w:tab/>
        <w:t>Connection of supply</w:t>
      </w:r>
      <w:bookmarkEnd w:id="31"/>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lastRenderedPageBreak/>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Gazette 23 Dec 1994 p. 7125; amended: Gazette 19 Dec 2000 p. 7274; 31 Oct 2006 p. 4598; 10 May 2011 p. 1665</w:t>
      </w:r>
      <w:r>
        <w:noBreakHyphen/>
        <w:t>6.]</w:t>
      </w:r>
    </w:p>
    <w:p>
      <w:pPr>
        <w:pStyle w:val="Heading5"/>
      </w:pPr>
      <w:bookmarkStart w:id="32" w:name="_Toc179528850"/>
      <w:r>
        <w:rPr>
          <w:rStyle w:val="CharSectno"/>
        </w:rPr>
        <w:t>243</w:t>
      </w:r>
      <w:r>
        <w:t>.</w:t>
      </w:r>
      <w:r>
        <w:tab/>
        <w:t>Voltage on neutral conductor</w:t>
      </w:r>
      <w:bookmarkEnd w:id="32"/>
    </w:p>
    <w:p>
      <w:pPr>
        <w:pStyle w:val="Subsection"/>
      </w:pPr>
      <w:r>
        <w:tab/>
        <w:t>(1)</w:t>
      </w:r>
      <w:r>
        <w:tab/>
        <w:t>The voltage on the neutral conductor of a consumer’s installation must be below 6 volts AC.</w:t>
      </w:r>
    </w:p>
    <w:p>
      <w:pPr>
        <w:pStyle w:val="Subsection"/>
      </w:pPr>
      <w:r>
        <w:lastRenderedPageBreak/>
        <w:tab/>
        <w:t>(2)</w:t>
      </w:r>
      <w:r>
        <w:tab/>
        <w:t>The voltage on the neutral conductor is to be measured in accordance with AS 4741</w:t>
      </w:r>
      <w:r>
        <w:noBreakHyphen/>
        <w:t>2010 Appendix A.</w:t>
      </w:r>
    </w:p>
    <w:p>
      <w:pPr>
        <w:pStyle w:val="Subsection"/>
        <w:keepNext/>
      </w:pPr>
      <w:r>
        <w:tab/>
        <w:t>(3)</w:t>
      </w:r>
      <w:r>
        <w:tab/>
        <w:t xml:space="preserve">If a network operator becomes aware that the voltage on the neutral conductor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lastRenderedPageBreak/>
        <w:tab/>
        <w:t>(c)</w:t>
      </w:r>
      <w:r>
        <w:tab/>
        <w:t>must specify the period, of at least 7 days, within which the consumer must remedy the fault; and</w:t>
      </w:r>
    </w:p>
    <w:p>
      <w:pPr>
        <w:pStyle w:val="Indenta"/>
        <w:keepNext/>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Gazette 13 Apr 2012 p. 1648</w:t>
      </w:r>
      <w:r>
        <w:noBreakHyphen/>
        <w:t>9; amended: Gazette 2 Oct 2018 p. 3790.]</w:t>
      </w:r>
    </w:p>
    <w:p>
      <w:pPr>
        <w:pStyle w:val="Heading5"/>
        <w:spacing w:before="180"/>
      </w:pPr>
      <w:bookmarkStart w:id="33" w:name="_Toc179528851"/>
      <w:r>
        <w:rPr>
          <w:rStyle w:val="CharSectno"/>
        </w:rPr>
        <w:t>244</w:t>
      </w:r>
      <w:r>
        <w:t>.</w:t>
      </w:r>
      <w:r>
        <w:tab/>
        <w:t>Damage by overloading to network operator’s apparatus</w:t>
      </w:r>
      <w:bookmarkEnd w:id="33"/>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Gazette 31 Oct 2006 p. 4598.]</w:t>
      </w:r>
    </w:p>
    <w:p>
      <w:pPr>
        <w:pStyle w:val="Ednotesection"/>
        <w:spacing w:before="180"/>
        <w:rPr>
          <w:b/>
        </w:rPr>
      </w:pPr>
      <w:r>
        <w:t>[</w:t>
      </w:r>
      <w:r>
        <w:rPr>
          <w:b/>
        </w:rPr>
        <w:t>245</w:t>
      </w:r>
      <w:r>
        <w:rPr>
          <w:b/>
        </w:rPr>
        <w:noBreakHyphen/>
        <w:t xml:space="preserve">248. </w:t>
      </w:r>
      <w:r>
        <w:t>Deleted: Gazette 19 Dec 2000 p. 7274.]</w:t>
      </w:r>
    </w:p>
    <w:p>
      <w:pPr>
        <w:pStyle w:val="Heading5"/>
        <w:spacing w:before="180"/>
        <w:rPr>
          <w:snapToGrid w:val="0"/>
        </w:rPr>
      </w:pPr>
      <w:bookmarkStart w:id="34" w:name="_Toc179528852"/>
      <w:r>
        <w:rPr>
          <w:rStyle w:val="CharSectno"/>
        </w:rPr>
        <w:t>249</w:t>
      </w:r>
      <w:r>
        <w:rPr>
          <w:snapToGrid w:val="0"/>
        </w:rPr>
        <w:t>.</w:t>
      </w:r>
      <w:r>
        <w:rPr>
          <w:snapToGrid w:val="0"/>
        </w:rPr>
        <w:tab/>
        <w:t>Fixing leads in fuses, meters etc.</w:t>
      </w:r>
      <w:bookmarkEnd w:id="34"/>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Gazette 23 Dec 1994 p. 7125; 31 Oct 2006 p. 4598.]</w:t>
      </w:r>
    </w:p>
    <w:p>
      <w:pPr>
        <w:pStyle w:val="Ednotesection"/>
        <w:spacing w:before="180"/>
      </w:pPr>
      <w:r>
        <w:t>[</w:t>
      </w:r>
      <w:r>
        <w:rPr>
          <w:b/>
          <w:bCs/>
        </w:rPr>
        <w:t>250.</w:t>
      </w:r>
      <w:r>
        <w:rPr>
          <w:b/>
          <w:bCs/>
        </w:rPr>
        <w:tab/>
      </w:r>
      <w:r>
        <w:t>Deleted: Gazette 31 Oct 2006 p. 4598.]</w:t>
      </w:r>
    </w:p>
    <w:p>
      <w:pPr>
        <w:pStyle w:val="Ednotesection"/>
        <w:spacing w:before="180"/>
        <w:rPr>
          <w:b/>
        </w:rPr>
      </w:pPr>
      <w:r>
        <w:t>[</w:t>
      </w:r>
      <w:r>
        <w:rPr>
          <w:b/>
        </w:rPr>
        <w:t>251.</w:t>
      </w:r>
      <w:r>
        <w:rPr>
          <w:b/>
        </w:rPr>
        <w:tab/>
      </w:r>
      <w:r>
        <w:t>Deleted: Gazette 19 Dec 2000 p. 7274.]</w:t>
      </w:r>
    </w:p>
    <w:p>
      <w:pPr>
        <w:pStyle w:val="Ednotesection"/>
        <w:spacing w:before="180"/>
      </w:pPr>
      <w:r>
        <w:t>[</w:t>
      </w:r>
      <w:r>
        <w:rPr>
          <w:b/>
          <w:bCs/>
        </w:rPr>
        <w:t>252.</w:t>
      </w:r>
      <w:r>
        <w:rPr>
          <w:b/>
          <w:bCs/>
        </w:rPr>
        <w:tab/>
      </w:r>
      <w:r>
        <w:t>Deleted: Gazette 31 Oct 2006 p. 4598.]</w:t>
      </w:r>
    </w:p>
    <w:p>
      <w:pPr>
        <w:pStyle w:val="Heading5"/>
        <w:spacing w:before="180"/>
        <w:rPr>
          <w:snapToGrid w:val="0"/>
        </w:rPr>
      </w:pPr>
      <w:bookmarkStart w:id="35" w:name="_Toc179528853"/>
      <w:r>
        <w:rPr>
          <w:rStyle w:val="CharSectno"/>
        </w:rPr>
        <w:t>253</w:t>
      </w:r>
      <w:r>
        <w:rPr>
          <w:snapToGrid w:val="0"/>
        </w:rPr>
        <w:t>.</w:t>
      </w:r>
      <w:r>
        <w:rPr>
          <w:snapToGrid w:val="0"/>
        </w:rPr>
        <w:tab/>
        <w:t>Systems of inspection</w:t>
      </w:r>
      <w:bookmarkEnd w:id="35"/>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w:t>
      </w:r>
      <w:r>
        <w:rPr>
          <w:snapToGrid w:val="0"/>
        </w:rPr>
        <w:lastRenderedPageBreak/>
        <w:t xml:space="preserve">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w:t>
      </w:r>
      <w:r>
        <w:lastRenderedPageBreak/>
        <w:t>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keepNext/>
        <w:rPr>
          <w:snapToGrid w:val="0"/>
        </w:rPr>
      </w:pPr>
      <w:r>
        <w:rPr>
          <w:snapToGrid w:val="0"/>
        </w:rPr>
        <w:lastRenderedPageBreak/>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 xml:space="preserve">if it is found by the Director not to </w:t>
      </w:r>
      <w:r>
        <w:rPr>
          <w:snapToGrid w:val="0"/>
        </w:rPr>
        <w:lastRenderedPageBreak/>
        <w:t>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 xml:space="preserve">under subregulation (1), relating to any system of </w:t>
      </w:r>
      <w:r>
        <w:rPr>
          <w:snapToGrid w:val="0"/>
        </w:rPr>
        <w:lastRenderedPageBreak/>
        <w:t>inspection approved by the Director under this regulation.</w:t>
      </w:r>
    </w:p>
    <w:p>
      <w:pPr>
        <w:pStyle w:val="Footnotesection"/>
        <w:ind w:left="890" w:hanging="890"/>
      </w:pPr>
      <w:r>
        <w:tab/>
        <w:t>[Regulation 253 inserted: Gazette 23 Dec 1994 p. 7126</w:t>
      </w:r>
      <w:r>
        <w:noBreakHyphen/>
        <w:t>8; amended: Gazette 31 Oct 2006 p. 4599; 27 Oct 2009 p. 4211</w:t>
      </w:r>
      <w:r>
        <w:noBreakHyphen/>
        <w:t>12.]</w:t>
      </w:r>
    </w:p>
    <w:p>
      <w:pPr>
        <w:pStyle w:val="Heading5"/>
      </w:pPr>
      <w:bookmarkStart w:id="36" w:name="_Toc179528854"/>
      <w:r>
        <w:rPr>
          <w:rStyle w:val="CharSectno"/>
        </w:rPr>
        <w:t>254</w:t>
      </w:r>
      <w:r>
        <w:t>.</w:t>
      </w:r>
      <w:r>
        <w:tab/>
        <w:t>Individual inspection and reporting for electric installation</w:t>
      </w:r>
      <w:bookmarkEnd w:id="36"/>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lastRenderedPageBreak/>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Gazette 31 Oct 2006 p. 4599</w:t>
      </w:r>
      <w:r>
        <w:noBreakHyphen/>
        <w:t>600; amended: Gazette 27 Oct 2009 p. 4212.]</w:t>
      </w:r>
    </w:p>
    <w:p>
      <w:pPr>
        <w:pStyle w:val="Ednotesection"/>
      </w:pPr>
      <w:r>
        <w:t>[</w:t>
      </w:r>
      <w:r>
        <w:rPr>
          <w:b/>
          <w:bCs/>
        </w:rPr>
        <w:t>255.</w:t>
      </w:r>
      <w:r>
        <w:rPr>
          <w:b/>
          <w:bCs/>
        </w:rPr>
        <w:tab/>
      </w:r>
      <w:r>
        <w:t>Deleted: Gazette 31 Oct 2006 p. 4600.]</w:t>
      </w:r>
    </w:p>
    <w:p>
      <w:pPr>
        <w:pStyle w:val="Ednotesection"/>
        <w:rPr>
          <w:b/>
        </w:rPr>
      </w:pPr>
      <w:r>
        <w:t>[</w:t>
      </w:r>
      <w:r>
        <w:rPr>
          <w:b/>
        </w:rPr>
        <w:t>256.</w:t>
      </w:r>
      <w:r>
        <w:rPr>
          <w:b/>
        </w:rPr>
        <w:tab/>
      </w:r>
      <w:r>
        <w:t>Deleted: Gazette 19 Dec 2000 p. 7274.]</w:t>
      </w:r>
    </w:p>
    <w:p>
      <w:pPr>
        <w:pStyle w:val="Heading5"/>
      </w:pPr>
      <w:bookmarkStart w:id="37" w:name="_Toc179528855"/>
      <w:r>
        <w:rPr>
          <w:rStyle w:val="CharSectno"/>
        </w:rPr>
        <w:t>257</w:t>
      </w:r>
      <w:r>
        <w:t>.</w:t>
      </w:r>
      <w:r>
        <w:tab/>
        <w:t>Supply to premises requiring transformers</w:t>
      </w:r>
      <w:bookmarkEnd w:id="37"/>
    </w:p>
    <w:p>
      <w:pPr>
        <w:pStyle w:val="Subsection"/>
      </w:pPr>
      <w:r>
        <w:tab/>
        <w:t>(1)</w:t>
      </w:r>
      <w:r>
        <w:tab/>
        <w:t xml:space="preserve">If a network operator considers it necessary to install transformers in relation to premises, the owner of the premises must — </w:t>
      </w:r>
    </w:p>
    <w:p>
      <w:pPr>
        <w:pStyle w:val="Indenta"/>
      </w:pPr>
      <w:r>
        <w:tab/>
        <w:t>(a)</w:t>
      </w:r>
      <w:r>
        <w:tab/>
        <w:t xml:space="preserve">at the site where the transformers are installed, provide the following — </w:t>
      </w:r>
    </w:p>
    <w:p>
      <w:pPr>
        <w:pStyle w:val="Indenti"/>
      </w:pPr>
      <w:r>
        <w:tab/>
        <w:t>(i)</w:t>
      </w:r>
      <w:r>
        <w:tab/>
        <w:t>an accessible space, to the satisfaction of the network operator, for electrical equipment;</w:t>
      </w:r>
    </w:p>
    <w:p>
      <w:pPr>
        <w:pStyle w:val="Indenti"/>
      </w:pPr>
      <w:r>
        <w:tab/>
        <w:t>(ii)</w:t>
      </w:r>
      <w:r>
        <w:tab/>
        <w:t>an enclosure, to the satisfaction of the network operator, for the protection of electrical equipment against external influences and contact with live parts;</w:t>
      </w:r>
    </w:p>
    <w:p>
      <w:pPr>
        <w:pStyle w:val="Indenta"/>
      </w:pPr>
      <w:r>
        <w:tab/>
      </w:r>
      <w:r>
        <w:tab/>
        <w:t>and</w:t>
      </w:r>
    </w:p>
    <w:p>
      <w:pPr>
        <w:pStyle w:val="Indenta"/>
      </w:pPr>
      <w:r>
        <w:tab/>
        <w:t>(b)</w:t>
      </w:r>
      <w:r>
        <w:tab/>
        <w:t>ensure that circuit breakers and fuses on the premises have a fault rating to the satisfaction of the network operator.</w:t>
      </w:r>
    </w:p>
    <w:p>
      <w:pPr>
        <w:pStyle w:val="Penstart"/>
        <w:keepNext/>
      </w:pPr>
      <w:r>
        <w:lastRenderedPageBreak/>
        <w:tab/>
        <w:t>Penalty for this subregulation:</w:t>
      </w:r>
    </w:p>
    <w:p>
      <w:pPr>
        <w:pStyle w:val="Penpara"/>
      </w:pPr>
      <w:r>
        <w:tab/>
        <w:t>(a)</w:t>
      </w:r>
      <w:r>
        <w:tab/>
        <w:t>in the case of an individual — a fine of $50 000;</w:t>
      </w:r>
    </w:p>
    <w:p>
      <w:pPr>
        <w:pStyle w:val="Penpara"/>
      </w:pPr>
      <w:r>
        <w:tab/>
        <w:t>(b)</w:t>
      </w:r>
      <w:r>
        <w:tab/>
        <w:t>in the case of a body corporate — a fine of $250 000.</w:t>
      </w:r>
    </w:p>
    <w:p>
      <w:pPr>
        <w:pStyle w:val="Subsection"/>
      </w:pPr>
      <w:r>
        <w:tab/>
        <w:t>(2)</w:t>
      </w:r>
      <w:r>
        <w:tab/>
        <w:t>The network operator may use electrical equipment referred to in subregulation (1) for the supply of electricity to consumers other than the occupier of the premises.</w:t>
      </w:r>
    </w:p>
    <w:p>
      <w:pPr>
        <w:pStyle w:val="Footnotesection"/>
      </w:pPr>
      <w:r>
        <w:tab/>
        <w:t>[Regulation 257 inserted: Gazette 2 Oct 2018 p. 3790.]</w:t>
      </w:r>
    </w:p>
    <w:p>
      <w:pPr>
        <w:pStyle w:val="Ednotesection"/>
        <w:rPr>
          <w:b/>
        </w:rPr>
      </w:pPr>
      <w:r>
        <w:t>[</w:t>
      </w:r>
      <w:r>
        <w:rPr>
          <w:b/>
        </w:rPr>
        <w:t>258</w:t>
      </w:r>
      <w:r>
        <w:rPr>
          <w:b/>
        </w:rPr>
        <w:noBreakHyphen/>
        <w:t>264.</w:t>
      </w:r>
      <w:r>
        <w:rPr>
          <w:b/>
        </w:rPr>
        <w:tab/>
      </w:r>
      <w:r>
        <w:t>Deleted: Gazette 19 Dec 2000 p. 7274.]</w:t>
      </w:r>
    </w:p>
    <w:p>
      <w:pPr>
        <w:pStyle w:val="Heading5"/>
        <w:rPr>
          <w:snapToGrid w:val="0"/>
        </w:rPr>
      </w:pPr>
      <w:bookmarkStart w:id="38" w:name="_Toc179528856"/>
      <w:r>
        <w:rPr>
          <w:rStyle w:val="CharSectno"/>
        </w:rPr>
        <w:t>265</w:t>
      </w:r>
      <w:r>
        <w:rPr>
          <w:snapToGrid w:val="0"/>
        </w:rPr>
        <w:t>.</w:t>
      </w:r>
      <w:r>
        <w:rPr>
          <w:snapToGrid w:val="0"/>
        </w:rPr>
        <w:tab/>
        <w:t>Interference with supply to other consumers</w:t>
      </w:r>
      <w:bookmarkEnd w:id="38"/>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Gazette 31 Oct 2006 p. 4601.]</w:t>
      </w:r>
    </w:p>
    <w:p>
      <w:pPr>
        <w:pStyle w:val="Ednotesection"/>
        <w:rPr>
          <w:b/>
        </w:rPr>
      </w:pPr>
      <w:r>
        <w:t>[</w:t>
      </w:r>
      <w:r>
        <w:rPr>
          <w:b/>
        </w:rPr>
        <w:t>266, 267.</w:t>
      </w:r>
      <w:r>
        <w:rPr>
          <w:b/>
        </w:rPr>
        <w:tab/>
      </w:r>
      <w:r>
        <w:rPr>
          <w:bCs/>
        </w:rPr>
        <w:t>Deleted</w:t>
      </w:r>
      <w:r>
        <w:t>: Gazette 19 Dec 2000 p. 7274.]</w:t>
      </w:r>
    </w:p>
    <w:p>
      <w:pPr>
        <w:pStyle w:val="Ednotesection"/>
      </w:pPr>
      <w:r>
        <w:t>[</w:t>
      </w:r>
      <w:r>
        <w:rPr>
          <w:b/>
          <w:bCs/>
        </w:rPr>
        <w:t>268.</w:t>
      </w:r>
      <w:r>
        <w:rPr>
          <w:b/>
          <w:bCs/>
        </w:rPr>
        <w:tab/>
      </w:r>
      <w:r>
        <w:t>Deleted: Gazette 31 Oct 2006 p. 4601.]</w:t>
      </w:r>
    </w:p>
    <w:p>
      <w:pPr>
        <w:pStyle w:val="Ednotesection"/>
      </w:pPr>
      <w:r>
        <w:t>[</w:t>
      </w:r>
      <w:r>
        <w:rPr>
          <w:b/>
        </w:rPr>
        <w:t>269, 270.</w:t>
      </w:r>
      <w:r>
        <w:rPr>
          <w:b/>
        </w:rPr>
        <w:tab/>
      </w:r>
      <w:r>
        <w:t>Deleted: Gazette 23 Dec 1994 p. 7128.]</w:t>
      </w:r>
    </w:p>
    <w:p>
      <w:pPr>
        <w:pStyle w:val="Heading5"/>
      </w:pPr>
      <w:bookmarkStart w:id="39" w:name="_Toc179528857"/>
      <w:r>
        <w:rPr>
          <w:rStyle w:val="CharSectno"/>
        </w:rPr>
        <w:lastRenderedPageBreak/>
        <w:t>271</w:t>
      </w:r>
      <w:r>
        <w:t>.</w:t>
      </w:r>
      <w:r>
        <w:tab/>
        <w:t>Apparatus, interruptions, responsibility</w:t>
      </w:r>
      <w:bookmarkEnd w:id="39"/>
    </w:p>
    <w:p>
      <w:pPr>
        <w:pStyle w:val="Subsection"/>
        <w:keepNext/>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Gazette 31 Oct 2006 p. 4601.]</w:t>
      </w:r>
    </w:p>
    <w:p>
      <w:pPr>
        <w:pStyle w:val="Heading5"/>
      </w:pPr>
      <w:bookmarkStart w:id="40" w:name="_Toc179528858"/>
      <w:r>
        <w:rPr>
          <w:rStyle w:val="CharSectno"/>
        </w:rPr>
        <w:t>272</w:t>
      </w:r>
      <w:r>
        <w:t>.</w:t>
      </w:r>
      <w:r>
        <w:tab/>
        <w:t>Disconnections</w:t>
      </w:r>
      <w:bookmarkEnd w:id="40"/>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Gazette 31 Oct 2006 p. 4601</w:t>
      </w:r>
      <w:r>
        <w:noBreakHyphen/>
        <w:t>2.]</w:t>
      </w:r>
    </w:p>
    <w:p>
      <w:pPr>
        <w:pStyle w:val="Ednotesection"/>
      </w:pPr>
      <w:r>
        <w:t>[</w:t>
      </w:r>
      <w:r>
        <w:rPr>
          <w:b/>
          <w:bCs/>
        </w:rPr>
        <w:t>273.</w:t>
      </w:r>
      <w:r>
        <w:rPr>
          <w:b/>
          <w:bCs/>
        </w:rPr>
        <w:tab/>
      </w:r>
      <w:r>
        <w:t>Deleted: Gazette 31 Oct 2006 p. 4602.]</w:t>
      </w:r>
    </w:p>
    <w:p>
      <w:pPr>
        <w:pStyle w:val="Heading5"/>
      </w:pPr>
      <w:bookmarkStart w:id="41" w:name="_Toc179528859"/>
      <w:r>
        <w:rPr>
          <w:rStyle w:val="CharSectno"/>
        </w:rPr>
        <w:lastRenderedPageBreak/>
        <w:t>274</w:t>
      </w:r>
      <w:r>
        <w:t>.</w:t>
      </w:r>
      <w:r>
        <w:tab/>
        <w:t>Consumer’s liability for loss</w:t>
      </w:r>
      <w:bookmarkEnd w:id="41"/>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Gazette 31 Oct 2006 p. 4602.]</w:t>
      </w:r>
    </w:p>
    <w:p>
      <w:pPr>
        <w:pStyle w:val="Ednotesection"/>
      </w:pPr>
      <w:r>
        <w:t>[</w:t>
      </w:r>
      <w:r>
        <w:rPr>
          <w:b/>
          <w:bCs/>
        </w:rPr>
        <w:t>275.</w:t>
      </w:r>
      <w:r>
        <w:rPr>
          <w:b/>
          <w:bCs/>
        </w:rPr>
        <w:tab/>
      </w:r>
      <w:r>
        <w:t>Deleted: Gazette 31 Oct 2006 p. 4602.]</w:t>
      </w:r>
    </w:p>
    <w:p>
      <w:pPr>
        <w:pStyle w:val="Heading5"/>
      </w:pPr>
      <w:bookmarkStart w:id="42" w:name="_Toc179528860"/>
      <w:r>
        <w:rPr>
          <w:rStyle w:val="CharSectno"/>
        </w:rPr>
        <w:t>276</w:t>
      </w:r>
      <w:r>
        <w:t>.</w:t>
      </w:r>
      <w:r>
        <w:tab/>
        <w:t>Alteration to system</w:t>
      </w:r>
      <w:bookmarkEnd w:id="42"/>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Gazette 23 Dec 1994 p. 7125; 31 Oct 2006 p. 4602.]</w:t>
      </w:r>
    </w:p>
    <w:p>
      <w:pPr>
        <w:pStyle w:val="Ednotesection"/>
      </w:pPr>
      <w:r>
        <w:t>[</w:t>
      </w:r>
      <w:r>
        <w:rPr>
          <w:b/>
          <w:bCs/>
        </w:rPr>
        <w:t>277.</w:t>
      </w:r>
      <w:r>
        <w:rPr>
          <w:b/>
          <w:bCs/>
        </w:rPr>
        <w:tab/>
      </w:r>
      <w:r>
        <w:t>Deleted: Gazette 31 Oct 2006 p. 4602.]</w:t>
      </w:r>
    </w:p>
    <w:p>
      <w:pPr>
        <w:pStyle w:val="Ednotesection"/>
      </w:pPr>
      <w:r>
        <w:t>[</w:t>
      </w:r>
      <w:r>
        <w:rPr>
          <w:b/>
        </w:rPr>
        <w:t>278.</w:t>
      </w:r>
      <w:r>
        <w:tab/>
        <w:t>Disallowed: Gazette 1 Oct 1948 p. 2375.]</w:t>
      </w:r>
    </w:p>
    <w:p>
      <w:pPr>
        <w:pStyle w:val="Ednotesection"/>
      </w:pPr>
      <w:r>
        <w:t>[</w:t>
      </w:r>
      <w:r>
        <w:rPr>
          <w:b/>
          <w:bCs/>
        </w:rPr>
        <w:t>279.</w:t>
      </w:r>
      <w:r>
        <w:rPr>
          <w:b/>
          <w:bCs/>
        </w:rPr>
        <w:tab/>
      </w:r>
      <w:r>
        <w:t>Deleted: Gazette 31 Oct 2006 p. 4602.]</w:t>
      </w:r>
    </w:p>
    <w:p>
      <w:pPr>
        <w:pStyle w:val="Heading5"/>
      </w:pPr>
      <w:bookmarkStart w:id="43" w:name="_Toc179528861"/>
      <w:r>
        <w:rPr>
          <w:rStyle w:val="CharSectno"/>
        </w:rPr>
        <w:t>280</w:t>
      </w:r>
      <w:r>
        <w:t>.</w:t>
      </w:r>
      <w:r>
        <w:tab/>
        <w:t>Charges for services</w:t>
      </w:r>
      <w:bookmarkEnd w:id="43"/>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Gazette 31 Oct 2006 p. 4602.]</w:t>
      </w:r>
    </w:p>
    <w:p>
      <w:pPr>
        <w:pStyle w:val="Heading2"/>
      </w:pPr>
      <w:bookmarkStart w:id="44" w:name="_Toc179465656"/>
      <w:bookmarkStart w:id="45" w:name="_Toc179467322"/>
      <w:bookmarkStart w:id="46" w:name="_Toc179528801"/>
      <w:bookmarkStart w:id="47" w:name="_Toc179528862"/>
      <w:r>
        <w:rPr>
          <w:rStyle w:val="CharPartNo"/>
        </w:rPr>
        <w:lastRenderedPageBreak/>
        <w:t>Part IX</w:t>
      </w:r>
      <w:r>
        <w:rPr>
          <w:b w:val="0"/>
        </w:rPr>
        <w:t> </w:t>
      </w:r>
      <w:r>
        <w:t>—</w:t>
      </w:r>
      <w:r>
        <w:rPr>
          <w:b w:val="0"/>
        </w:rPr>
        <w:t> </w:t>
      </w:r>
      <w:r>
        <w:rPr>
          <w:rStyle w:val="CharPartText"/>
        </w:rPr>
        <w:t>Vegetation control safety requirements</w:t>
      </w:r>
      <w:bookmarkEnd w:id="44"/>
      <w:bookmarkEnd w:id="45"/>
      <w:bookmarkEnd w:id="46"/>
      <w:bookmarkEnd w:id="47"/>
    </w:p>
    <w:p>
      <w:pPr>
        <w:pStyle w:val="Footnoteheading"/>
      </w:pPr>
      <w:r>
        <w:tab/>
        <w:t>[Heading inserted: Gazette 27 Oct 2009 p. 4212.]</w:t>
      </w:r>
    </w:p>
    <w:p>
      <w:pPr>
        <w:pStyle w:val="Ednotesection"/>
      </w:pPr>
      <w:r>
        <w:t>[</w:t>
      </w:r>
      <w:r>
        <w:rPr>
          <w:b/>
          <w:bCs/>
        </w:rPr>
        <w:t>281</w:t>
      </w:r>
      <w:r>
        <w:rPr>
          <w:b/>
          <w:bCs/>
        </w:rPr>
        <w:noBreakHyphen/>
        <w:t>316.</w:t>
      </w:r>
      <w:r>
        <w:rPr>
          <w:b/>
          <w:bCs/>
        </w:rPr>
        <w:tab/>
      </w:r>
      <w:r>
        <w:t>Deleted: Gazette 27 Oct 2009 p. 4212.]</w:t>
      </w:r>
    </w:p>
    <w:p>
      <w:pPr>
        <w:pStyle w:val="Heading5"/>
        <w:rPr>
          <w:snapToGrid w:val="0"/>
        </w:rPr>
      </w:pPr>
      <w:bookmarkStart w:id="48" w:name="_Toc179528863"/>
      <w:r>
        <w:rPr>
          <w:rStyle w:val="CharSectno"/>
        </w:rPr>
        <w:t>316A</w:t>
      </w:r>
      <w:r>
        <w:rPr>
          <w:snapToGrid w:val="0"/>
        </w:rPr>
        <w:t>.</w:t>
      </w:r>
      <w:r>
        <w:rPr>
          <w:snapToGrid w:val="0"/>
        </w:rPr>
        <w:tab/>
        <w:t>Vegetation control work near overhead power lines</w:t>
      </w:r>
      <w:bookmarkEnd w:id="48"/>
    </w:p>
    <w:p>
      <w:pPr>
        <w:pStyle w:val="Subsection"/>
      </w:pPr>
      <w:r>
        <w:tab/>
        <w:t>(1A)</w:t>
      </w:r>
      <w:r>
        <w:tab/>
        <w:t>In this regulation —</w:t>
      </w:r>
    </w:p>
    <w:p>
      <w:pPr>
        <w:pStyle w:val="Defstart"/>
      </w:pPr>
      <w:r>
        <w:tab/>
      </w:r>
      <w:r>
        <w:rPr>
          <w:rStyle w:val="CharDefText"/>
        </w:rPr>
        <w:t>conductor</w:t>
      </w:r>
      <w:r>
        <w:t xml:space="preserve"> includes any of the following — </w:t>
      </w:r>
    </w:p>
    <w:p>
      <w:pPr>
        <w:pStyle w:val="Defpara"/>
      </w:pPr>
      <w:r>
        <w:tab/>
        <w:t>(a)</w:t>
      </w:r>
      <w:r>
        <w:tab/>
        <w:t>an active conductor;</w:t>
      </w:r>
    </w:p>
    <w:p>
      <w:pPr>
        <w:pStyle w:val="Defpara"/>
      </w:pPr>
      <w:r>
        <w:tab/>
        <w:t>(b)</w:t>
      </w:r>
      <w:r>
        <w:tab/>
        <w:t xml:space="preserve">a neutral conductor; </w:t>
      </w:r>
    </w:p>
    <w:p>
      <w:pPr>
        <w:pStyle w:val="Defpara"/>
      </w:pPr>
      <w:r>
        <w:tab/>
        <w:t>(c)</w:t>
      </w:r>
      <w:r>
        <w:tab/>
        <w:t>a catenary supported conductor;</w:t>
      </w:r>
    </w:p>
    <w:p>
      <w:pPr>
        <w:pStyle w:val="Defpara"/>
      </w:pPr>
      <w:r>
        <w:tab/>
        <w:t>(d)</w:t>
      </w:r>
      <w:r>
        <w:tab/>
        <w:t>a neutral screened conductor;</w:t>
      </w:r>
    </w:p>
    <w:p>
      <w:pPr>
        <w:pStyle w:val="Defpara"/>
      </w:pPr>
      <w:r>
        <w:tab/>
        <w:t>(e)</w:t>
      </w:r>
      <w:r>
        <w:tab/>
        <w:t>a stranded conductor (whether bundled or not) that is supported by insulators or purpose</w:t>
      </w:r>
      <w:r>
        <w:noBreakHyphen/>
        <w:t>designed fittings so that it remains above the ground and is directly exposed to the weather;</w:t>
      </w:r>
    </w:p>
    <w:p>
      <w:pPr>
        <w:pStyle w:val="Defstart"/>
      </w:pPr>
      <w:r>
        <w:tab/>
      </w:r>
      <w:r>
        <w:rPr>
          <w:rStyle w:val="CharDefText"/>
        </w:rPr>
        <w:t>overhead power lines</w:t>
      </w:r>
      <w:r>
        <w:t xml:space="preserve"> means overhead lines for the transmission of electrical energy.</w:t>
      </w:r>
    </w:p>
    <w:p>
      <w:pPr>
        <w:pStyle w:val="Subsection"/>
      </w:pPr>
      <w:r>
        <w:tab/>
        <w:t>(1B)</w:t>
      </w:r>
      <w:r>
        <w:tab/>
        <w:t xml:space="preserve">In this regulation — </w:t>
      </w:r>
    </w:p>
    <w:p>
      <w:pPr>
        <w:pStyle w:val="Defpara"/>
      </w:pPr>
      <w:r>
        <w:tab/>
        <w:t>(a)</w:t>
      </w:r>
      <w:r>
        <w:tab/>
        <w:t>a reference to performing work includes a reference to assisting to perform work; and</w:t>
      </w:r>
    </w:p>
    <w:p>
      <w:pPr>
        <w:pStyle w:val="Defpara"/>
      </w:pPr>
      <w:r>
        <w:tab/>
        <w:t>(b)</w:t>
      </w:r>
      <w:r>
        <w:tab/>
        <w:t>performing work in the course of employment is to be regarded as being for reward; and</w:t>
      </w:r>
    </w:p>
    <w:p>
      <w:pPr>
        <w:pStyle w:val="Defpara"/>
      </w:pPr>
      <w:r>
        <w:tab/>
        <w:t>(c)</w:t>
      </w:r>
      <w:r>
        <w:tab/>
        <w:t>vegetation control work is performed within a danger zone if any part of the following comes within the danger zone at any time while the work is being performed —</w:t>
      </w:r>
    </w:p>
    <w:p>
      <w:pPr>
        <w:pStyle w:val="Defsubpara"/>
      </w:pPr>
      <w:r>
        <w:tab/>
        <w:t>(i)</w:t>
      </w:r>
      <w:r>
        <w:tab/>
        <w:t>the vegetation;</w:t>
      </w:r>
    </w:p>
    <w:p>
      <w:pPr>
        <w:pStyle w:val="Defsubpara"/>
      </w:pPr>
      <w:r>
        <w:tab/>
        <w:t>(ii)</w:t>
      </w:r>
      <w:r>
        <w:tab/>
        <w:t>the body of, or any tool, vehicle, or other equipment used by, a person performing the work.</w:t>
      </w:r>
    </w:p>
    <w:p>
      <w:pPr>
        <w:pStyle w:val="Subsection"/>
        <w:rPr>
          <w:snapToGrid w:val="0"/>
        </w:rPr>
      </w:pPr>
      <w:r>
        <w:rPr>
          <w:snapToGrid w:val="0"/>
        </w:rPr>
        <w:lastRenderedPageBreak/>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lastRenderedPageBreak/>
        <w:tab/>
        <w:t>(ii)</w:t>
      </w:r>
      <w:r>
        <w:rPr>
          <w:snapToGrid w:val="0"/>
        </w:rPr>
        <w:tab/>
        <w:t>such other safety requirements as the Director has approved in writing.</w:t>
      </w:r>
    </w:p>
    <w:p>
      <w:pPr>
        <w:pStyle w:val="Ednotesubsection"/>
      </w:pPr>
      <w:r>
        <w:tab/>
        <w:t>[(5)</w:t>
      </w:r>
      <w:r>
        <w:tab/>
        <w:t>deleted]</w:t>
      </w:r>
    </w:p>
    <w:p>
      <w:pPr>
        <w:pStyle w:val="Footnotesection"/>
      </w:pPr>
      <w:r>
        <w:tab/>
        <w:t>[Regulation 316A inserted: Gazette 30 Aug 1996 p. 4316</w:t>
      </w:r>
      <w:r>
        <w:noBreakHyphen/>
        <w:t>17; 2 Oct 2018 p. 3791.]</w:t>
      </w:r>
    </w:p>
    <w:p>
      <w:pPr>
        <w:pStyle w:val="Ednotesection"/>
      </w:pPr>
      <w:r>
        <w:t>[</w:t>
      </w:r>
      <w:r>
        <w:rPr>
          <w:b/>
          <w:bCs/>
        </w:rPr>
        <w:t>317</w:t>
      </w:r>
      <w:r>
        <w:rPr>
          <w:b/>
          <w:bCs/>
        </w:rPr>
        <w:noBreakHyphen/>
        <w:t>319.</w:t>
      </w:r>
      <w:r>
        <w:rPr>
          <w:b/>
          <w:bCs/>
        </w:rPr>
        <w:tab/>
      </w:r>
      <w:r>
        <w:t>Deleted: Gazette 27 Oct 2009 p. 4212.]</w:t>
      </w:r>
    </w:p>
    <w:p>
      <w:pPr>
        <w:pStyle w:val="Heading2"/>
      </w:pPr>
      <w:bookmarkStart w:id="49" w:name="_Toc179465658"/>
      <w:bookmarkStart w:id="50" w:name="_Toc179467324"/>
      <w:bookmarkStart w:id="51" w:name="_Toc179528803"/>
      <w:bookmarkStart w:id="52" w:name="_Toc179528864"/>
      <w:r>
        <w:rPr>
          <w:rStyle w:val="CharPartNo"/>
        </w:rPr>
        <w:lastRenderedPageBreak/>
        <w:t>Part X</w:t>
      </w:r>
      <w:r>
        <w:rPr>
          <w:rStyle w:val="CharDivNo"/>
        </w:rPr>
        <w:t> </w:t>
      </w:r>
      <w:r>
        <w:t>—</w:t>
      </w:r>
      <w:r>
        <w:rPr>
          <w:rStyle w:val="CharDivText"/>
        </w:rPr>
        <w:t> </w:t>
      </w:r>
      <w:r>
        <w:rPr>
          <w:rStyle w:val="CharPartText"/>
        </w:rPr>
        <w:t>Approval of electrical appliances</w:t>
      </w:r>
      <w:bookmarkEnd w:id="49"/>
      <w:bookmarkEnd w:id="50"/>
      <w:bookmarkEnd w:id="51"/>
      <w:bookmarkEnd w:id="52"/>
    </w:p>
    <w:p>
      <w:pPr>
        <w:pStyle w:val="Footnoteheading"/>
        <w:rPr>
          <w:snapToGrid w:val="0"/>
        </w:rPr>
      </w:pPr>
      <w:r>
        <w:rPr>
          <w:snapToGrid w:val="0"/>
        </w:rPr>
        <w:tab/>
        <w:t>[Heading inserted: Gazette 7 Sep 1955 p. 2143.]</w:t>
      </w:r>
    </w:p>
    <w:p>
      <w:pPr>
        <w:pStyle w:val="Ednotesection"/>
      </w:pPr>
      <w:r>
        <w:t>[</w:t>
      </w:r>
      <w:r>
        <w:rPr>
          <w:b/>
        </w:rPr>
        <w:t>320.</w:t>
      </w:r>
      <w:r>
        <w:tab/>
        <w:t>Deleted: Gazette 23 Dec 1994 p. 7128.]</w:t>
      </w:r>
    </w:p>
    <w:p>
      <w:pPr>
        <w:pStyle w:val="Heading5"/>
      </w:pPr>
      <w:bookmarkStart w:id="53" w:name="_Toc179528865"/>
      <w:r>
        <w:rPr>
          <w:rStyle w:val="CharSectno"/>
        </w:rPr>
        <w:t>321</w:t>
      </w:r>
      <w:r>
        <w:t>.</w:t>
      </w:r>
      <w:r>
        <w:tab/>
        <w:t>Terms used</w:t>
      </w:r>
      <w:bookmarkEnd w:id="53"/>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lastRenderedPageBreak/>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 or</w:t>
      </w:r>
    </w:p>
    <w:p>
      <w:pPr>
        <w:pStyle w:val="Defpara"/>
      </w:pPr>
      <w:r>
        <w:tab/>
        <w:t>(b)</w:t>
      </w:r>
      <w:r>
        <w:tab/>
        <w:t>the Department of Energy, New South Wales; or</w:t>
      </w:r>
    </w:p>
    <w:p>
      <w:pPr>
        <w:pStyle w:val="Defpara"/>
      </w:pPr>
      <w:r>
        <w:tab/>
        <w:t>(c)</w:t>
      </w:r>
      <w:r>
        <w:tab/>
        <w:t>the Office of the Chief Electrical Inspector, Victoria; or</w:t>
      </w:r>
    </w:p>
    <w:p>
      <w:pPr>
        <w:pStyle w:val="Defpara"/>
      </w:pPr>
      <w:r>
        <w:tab/>
        <w:t>(d)</w:t>
      </w:r>
      <w:r>
        <w:tab/>
        <w:t>the Office of Energy Policy, South Australia; or</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pPr>
        <w:pStyle w:val="Defpara"/>
      </w:pPr>
      <w:r>
        <w:tab/>
        <w:t>(a)</w:t>
      </w:r>
      <w:r>
        <w:tab/>
        <w:t>the classification letters, numbers, month (if any) and year of publication or title of Approval and Test Specifications published by Standards Australia;</w:t>
      </w:r>
    </w:p>
    <w:p>
      <w:pPr>
        <w:pStyle w:val="Defpara"/>
      </w:pPr>
      <w:r>
        <w:tab/>
        <w:t>(b)</w:t>
      </w:r>
      <w:r>
        <w:tab/>
        <w:t>any amendment of the Approval and Test Specifications published by Standards Australia;</w:t>
      </w:r>
    </w:p>
    <w:p>
      <w:pPr>
        <w:pStyle w:val="Defpara"/>
      </w:pPr>
      <w:r>
        <w:tab/>
        <w:t>(c)</w:t>
      </w:r>
      <w:r>
        <w:tab/>
        <w:t>any part of the Approval and Test Specifications or any amendment thereof published by Standards Australia.</w:t>
      </w:r>
    </w:p>
    <w:p>
      <w:pPr>
        <w:pStyle w:val="Footnotesection"/>
      </w:pPr>
      <w:r>
        <w:tab/>
        <w:t>[Regulation 321 inserted: Gazette 7 Sep 1955 p. 2144; amended: Gazette 22 May 1987 p. 2189; 23 Dec 1994 p. 7128</w:t>
      </w:r>
      <w:r>
        <w:noBreakHyphen/>
        <w:t>9; 23 May 1997 p. 2418; 2 Oct 2018 p. 3791.]</w:t>
      </w:r>
    </w:p>
    <w:p>
      <w:pPr>
        <w:pStyle w:val="Heading5"/>
        <w:rPr>
          <w:snapToGrid w:val="0"/>
        </w:rPr>
      </w:pPr>
      <w:bookmarkStart w:id="54" w:name="_Toc179528866"/>
      <w:r>
        <w:rPr>
          <w:rStyle w:val="CharSectno"/>
        </w:rPr>
        <w:t>322</w:t>
      </w:r>
      <w:r>
        <w:rPr>
          <w:snapToGrid w:val="0"/>
        </w:rPr>
        <w:t>.</w:t>
      </w:r>
      <w:r>
        <w:rPr>
          <w:snapToGrid w:val="0"/>
        </w:rPr>
        <w:tab/>
        <w:t>Application for approval</w:t>
      </w:r>
      <w:bookmarkEnd w:id="54"/>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 xml:space="preserve">An applicant must give to the Director, with the application or when subsequently requested, such samples of, and information </w:t>
      </w:r>
      <w:r>
        <w:rPr>
          <w:snapToGrid w:val="0"/>
        </w:rPr>
        <w:lastRenderedPageBreak/>
        <w:t>(including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keepNext/>
        <w:rPr>
          <w:snapToGrid w:val="0"/>
        </w:rPr>
      </w:pPr>
      <w:r>
        <w:rPr>
          <w:snapToGrid w:val="0"/>
        </w:rPr>
        <w:lastRenderedPageBreak/>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Gazette 7 Sep 1955 p. 2145; amended: Gazette 22 Dec 1964 p. 4081; 23 Dec 1994 p. 7125 and 7129</w:t>
      </w:r>
      <w:r>
        <w:noBreakHyphen/>
        <w:t>30; 23 May 1997 p. 2418.]</w:t>
      </w:r>
    </w:p>
    <w:p>
      <w:pPr>
        <w:pStyle w:val="Heading5"/>
        <w:rPr>
          <w:snapToGrid w:val="0"/>
        </w:rPr>
      </w:pPr>
      <w:bookmarkStart w:id="55" w:name="_Toc179528867"/>
      <w:r>
        <w:rPr>
          <w:rStyle w:val="CharSectno"/>
        </w:rPr>
        <w:t>323</w:t>
      </w:r>
      <w:r>
        <w:rPr>
          <w:snapToGrid w:val="0"/>
        </w:rPr>
        <w:t>.</w:t>
      </w:r>
      <w:r>
        <w:rPr>
          <w:snapToGrid w:val="0"/>
        </w:rPr>
        <w:tab/>
        <w:t>Further testing of electrical appliances approved</w:t>
      </w:r>
      <w:bookmarkEnd w:id="55"/>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 xml:space="preserve">for the submission of evidence, additional to, or in verification of, the test report, if so required by the </w:t>
      </w:r>
      <w:r>
        <w:rPr>
          <w:snapToGrid w:val="0"/>
        </w:rPr>
        <w:lastRenderedPageBreak/>
        <w:t>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Gazette 23 Dec 1994 p. 7130</w:t>
      </w:r>
      <w:r>
        <w:noBreakHyphen/>
        <w:t>1.]</w:t>
      </w:r>
    </w:p>
    <w:p>
      <w:pPr>
        <w:pStyle w:val="Ednotesection"/>
      </w:pPr>
      <w:r>
        <w:t>[</w:t>
      </w:r>
      <w:r>
        <w:rPr>
          <w:b/>
        </w:rPr>
        <w:t>324, 325.</w:t>
      </w:r>
      <w:r>
        <w:rPr>
          <w:b/>
        </w:rPr>
        <w:tab/>
      </w:r>
      <w:r>
        <w:t>Deleted: Gazette 23 Dec 1994 p. 7130.]</w:t>
      </w:r>
    </w:p>
    <w:p>
      <w:pPr>
        <w:pStyle w:val="Heading5"/>
        <w:rPr>
          <w:snapToGrid w:val="0"/>
        </w:rPr>
      </w:pPr>
      <w:bookmarkStart w:id="56" w:name="_Toc179528868"/>
      <w:r>
        <w:rPr>
          <w:rStyle w:val="CharSectno"/>
        </w:rPr>
        <w:t>326</w:t>
      </w:r>
      <w:r>
        <w:rPr>
          <w:snapToGrid w:val="0"/>
        </w:rPr>
        <w:t>.</w:t>
      </w:r>
      <w:r>
        <w:rPr>
          <w:snapToGrid w:val="0"/>
        </w:rPr>
        <w:tab/>
        <w:t>Certificate of approval</w:t>
      </w:r>
      <w:bookmarkEnd w:id="56"/>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lastRenderedPageBreak/>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 xml:space="preserve">No person shall, in connection with an electrical appliance which has not been approved, represent that such electrical appliance has been approved or shall be approved or that the </w:t>
      </w:r>
      <w:r>
        <w:rPr>
          <w:snapToGrid w:val="0"/>
        </w:rPr>
        <w:lastRenderedPageBreak/>
        <w:t>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Gazette 7 Sep 1955 p. 2146</w:t>
      </w:r>
      <w:r>
        <w:noBreakHyphen/>
        <w:t>7; amended: Gazette 22 Dec 1964 p. 4081; 23 Dec 1994 p. 7125 and 7131; 31 Oct 2006 p. 4602; 31 Dec 2010 p. 6888; 5 Jan 2016 p. 3.]</w:t>
      </w:r>
    </w:p>
    <w:p>
      <w:pPr>
        <w:pStyle w:val="Heading5"/>
        <w:spacing w:before="180"/>
        <w:rPr>
          <w:snapToGrid w:val="0"/>
        </w:rPr>
      </w:pPr>
      <w:bookmarkStart w:id="57" w:name="_Toc179528869"/>
      <w:r>
        <w:rPr>
          <w:rStyle w:val="CharSectno"/>
        </w:rPr>
        <w:t>327</w:t>
      </w:r>
      <w:r>
        <w:rPr>
          <w:snapToGrid w:val="0"/>
        </w:rPr>
        <w:t>.</w:t>
      </w:r>
      <w:r>
        <w:rPr>
          <w:snapToGrid w:val="0"/>
        </w:rPr>
        <w:tab/>
        <w:t>Stamping and labelling of approved electrical appliances</w:t>
      </w:r>
      <w:bookmarkEnd w:id="57"/>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 xml:space="preserve">If in the opinion of the Director as notified on the certificate of approval of an electrical appliance, the electrical appliance is too small to be stamped in compliance with subregulation (1) or </w:t>
      </w:r>
      <w:r>
        <w:rPr>
          <w:snapToGrid w:val="0"/>
        </w:rPr>
        <w:lastRenderedPageBreak/>
        <w:t>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Gazette 7 Sep 1955 p. 2147</w:t>
      </w:r>
      <w:r>
        <w:noBreakHyphen/>
        <w:t>8; amended: Gazette 23 Dec 1994 p. 7125.]</w:t>
      </w:r>
    </w:p>
    <w:p>
      <w:pPr>
        <w:pStyle w:val="Heading5"/>
        <w:pageBreakBefore/>
        <w:spacing w:before="0"/>
        <w:rPr>
          <w:snapToGrid w:val="0"/>
        </w:rPr>
      </w:pPr>
      <w:bookmarkStart w:id="58" w:name="_Toc179528870"/>
      <w:r>
        <w:rPr>
          <w:rStyle w:val="CharSectno"/>
        </w:rPr>
        <w:lastRenderedPageBreak/>
        <w:t>328</w:t>
      </w:r>
      <w:r>
        <w:rPr>
          <w:snapToGrid w:val="0"/>
        </w:rPr>
        <w:t>.</w:t>
      </w:r>
      <w:r>
        <w:rPr>
          <w:snapToGrid w:val="0"/>
        </w:rPr>
        <w:tab/>
        <w:t>Modification of design or construction</w:t>
      </w:r>
      <w:bookmarkEnd w:id="58"/>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Gazette 7 Sep 1955 p. 2148; amended: Gazette 23 Dec 1994 p. 7125 and 7131.]</w:t>
      </w:r>
    </w:p>
    <w:p>
      <w:pPr>
        <w:pStyle w:val="Heading5"/>
        <w:rPr>
          <w:snapToGrid w:val="0"/>
        </w:rPr>
      </w:pPr>
      <w:bookmarkStart w:id="59" w:name="_Toc179528871"/>
      <w:r>
        <w:rPr>
          <w:rStyle w:val="CharSectno"/>
        </w:rPr>
        <w:t>329</w:t>
      </w:r>
      <w:r>
        <w:rPr>
          <w:snapToGrid w:val="0"/>
        </w:rPr>
        <w:t>.</w:t>
      </w:r>
      <w:r>
        <w:rPr>
          <w:snapToGrid w:val="0"/>
        </w:rPr>
        <w:tab/>
        <w:t>Transfer of certificate of approval</w:t>
      </w:r>
      <w:bookmarkEnd w:id="59"/>
    </w:p>
    <w:p>
      <w:pPr>
        <w:pStyle w:val="Subsection"/>
        <w:rPr>
          <w:snapToGrid w:val="0"/>
        </w:rPr>
      </w:pPr>
      <w:r>
        <w:rPr>
          <w:snapToGrid w:val="0"/>
        </w:rPr>
        <w:tab/>
        <w:t>(1)</w:t>
      </w:r>
      <w:r>
        <w:rPr>
          <w:snapToGrid w:val="0"/>
        </w:rPr>
        <w:tab/>
        <w:t xml:space="preserve">When an applicant to whom a certificate of approval of an electrical appliance has been issued, disposes of his business or that part of the business to which that certificate of approval is relevant, the applicant may apply in writing to the Director to </w:t>
      </w:r>
      <w:r>
        <w:rPr>
          <w:snapToGrid w:val="0"/>
        </w:rPr>
        <w:lastRenderedPageBreak/>
        <w:t>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Gazette 7 Sep 1955 p. 2148; amended: Gazette 23 Dec 1994 p. 7125 and 7131.]</w:t>
      </w:r>
    </w:p>
    <w:p>
      <w:pPr>
        <w:pStyle w:val="Heading5"/>
        <w:spacing w:before="180"/>
        <w:rPr>
          <w:snapToGrid w:val="0"/>
        </w:rPr>
      </w:pPr>
      <w:bookmarkStart w:id="60" w:name="_Toc179528872"/>
      <w:r>
        <w:rPr>
          <w:rStyle w:val="CharSectno"/>
        </w:rPr>
        <w:t>330</w:t>
      </w:r>
      <w:r>
        <w:rPr>
          <w:snapToGrid w:val="0"/>
        </w:rPr>
        <w:t>.</w:t>
      </w:r>
      <w:r>
        <w:rPr>
          <w:snapToGrid w:val="0"/>
        </w:rPr>
        <w:tab/>
        <w:t>Lost or destroyed certificates of approval</w:t>
      </w:r>
      <w:bookmarkEnd w:id="60"/>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Gazette 7 Sep 1955 p. 2149; amended: Gazette 23 Dec 1994 p. 7125 and 7131; 20 Mar 2007 p. 1038.]</w:t>
      </w:r>
    </w:p>
    <w:p>
      <w:pPr>
        <w:pStyle w:val="Heading5"/>
        <w:spacing w:before="180"/>
        <w:rPr>
          <w:snapToGrid w:val="0"/>
        </w:rPr>
      </w:pPr>
      <w:bookmarkStart w:id="61" w:name="_Toc179528873"/>
      <w:r>
        <w:rPr>
          <w:rStyle w:val="CharSectno"/>
        </w:rPr>
        <w:t>331</w:t>
      </w:r>
      <w:r>
        <w:rPr>
          <w:snapToGrid w:val="0"/>
        </w:rPr>
        <w:t>.</w:t>
      </w:r>
      <w:r>
        <w:rPr>
          <w:snapToGrid w:val="0"/>
        </w:rPr>
        <w:tab/>
        <w:t>Delegation by Director</w:t>
      </w:r>
      <w:bookmarkEnd w:id="61"/>
    </w:p>
    <w:p>
      <w:pPr>
        <w:pStyle w:val="Subsection"/>
        <w:rPr>
          <w:snapToGrid w:val="0"/>
        </w:rPr>
      </w:pPr>
      <w:r>
        <w:rPr>
          <w:snapToGrid w:val="0"/>
        </w:rPr>
        <w:tab/>
        <w:t>(1)</w:t>
      </w:r>
      <w:r>
        <w:rPr>
          <w:snapToGrid w:val="0"/>
        </w:rPr>
        <w:tab/>
        <w:t xml:space="preserve">The Director may, either generally or as otherwise provided by the instrument of delegation, by writing signed by the Director, delegate to a person authorised by the Director the power of </w:t>
      </w:r>
      <w:r>
        <w:rPr>
          <w:snapToGrid w:val="0"/>
        </w:rPr>
        <w:lastRenderedPageBreak/>
        <w:t>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Gazette 23 Dec 1994 p. 7132.]</w:t>
      </w:r>
    </w:p>
    <w:p>
      <w:pPr>
        <w:pStyle w:val="Heading5"/>
        <w:rPr>
          <w:snapToGrid w:val="0"/>
        </w:rPr>
      </w:pPr>
      <w:bookmarkStart w:id="62" w:name="_Toc179528874"/>
      <w:r>
        <w:rPr>
          <w:rStyle w:val="CharSectno"/>
        </w:rPr>
        <w:t>332</w:t>
      </w:r>
      <w:r>
        <w:rPr>
          <w:snapToGrid w:val="0"/>
        </w:rPr>
        <w:t>.</w:t>
      </w:r>
      <w:r>
        <w:rPr>
          <w:snapToGrid w:val="0"/>
        </w:rPr>
        <w:tab/>
        <w:t>Refusal or withdrawal of approval</w:t>
      </w:r>
      <w:bookmarkEnd w:id="62"/>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 xml:space="preserve">if an electrical appliance of the same type or of the same class for which approval is sought when examined and </w:t>
      </w:r>
      <w:r>
        <w:rPr>
          <w:snapToGrid w:val="0"/>
        </w:rPr>
        <w:lastRenderedPageBreak/>
        <w:t>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 xml:space="preserve">if in the opinion of the Director representations are made by the applicant or advertisements are employed by the applicant in connection with the selling or hiring of electrical appliances of the type or class for which </w:t>
      </w:r>
      <w:r>
        <w:rPr>
          <w:snapToGrid w:val="0"/>
        </w:rPr>
        <w:lastRenderedPageBreak/>
        <w:t>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Gazette 7 Sep 1955 p. 2149</w:t>
      </w:r>
      <w:r>
        <w:noBreakHyphen/>
        <w:t>50; amended: Gazette 23 Dec 1994 p. 7125; 23 May 1997 p. 2418.]</w:t>
      </w:r>
    </w:p>
    <w:p>
      <w:pPr>
        <w:pStyle w:val="Heading5"/>
        <w:rPr>
          <w:snapToGrid w:val="0"/>
        </w:rPr>
      </w:pPr>
      <w:bookmarkStart w:id="63" w:name="_Toc179528875"/>
      <w:r>
        <w:rPr>
          <w:rStyle w:val="CharSectno"/>
        </w:rPr>
        <w:t>333</w:t>
      </w:r>
      <w:r>
        <w:rPr>
          <w:snapToGrid w:val="0"/>
        </w:rPr>
        <w:t>.</w:t>
      </w:r>
      <w:r>
        <w:rPr>
          <w:snapToGrid w:val="0"/>
        </w:rPr>
        <w:tab/>
        <w:t>Notification of withdrawal of approval</w:t>
      </w:r>
      <w:bookmarkEnd w:id="63"/>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lastRenderedPageBreak/>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Gazette 7 Sep 1955 p. 2150; amended: Gazette 23 Dec 1994 p. 7125; 23 May 1997 p. 2418.]</w:t>
      </w:r>
    </w:p>
    <w:p>
      <w:pPr>
        <w:pStyle w:val="Heading5"/>
        <w:rPr>
          <w:snapToGrid w:val="0"/>
        </w:rPr>
      </w:pPr>
      <w:bookmarkStart w:id="64" w:name="_Toc179528876"/>
      <w:r>
        <w:rPr>
          <w:rStyle w:val="CharSectno"/>
        </w:rPr>
        <w:t>334</w:t>
      </w:r>
      <w:r>
        <w:rPr>
          <w:snapToGrid w:val="0"/>
        </w:rPr>
        <w:t>.</w:t>
      </w:r>
      <w:r>
        <w:rPr>
          <w:snapToGrid w:val="0"/>
        </w:rPr>
        <w:tab/>
        <w:t>Deferment of approval</w:t>
      </w:r>
      <w:bookmarkEnd w:id="64"/>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Gazette 7 Sep 1955 p. 2150; amended: Gazette 23 Dec 1994 p. 7125 and 7132.]</w:t>
      </w:r>
    </w:p>
    <w:p>
      <w:pPr>
        <w:pStyle w:val="Heading5"/>
        <w:rPr>
          <w:snapToGrid w:val="0"/>
        </w:rPr>
      </w:pPr>
      <w:bookmarkStart w:id="65" w:name="_Toc179528877"/>
      <w:r>
        <w:rPr>
          <w:rStyle w:val="CharSectno"/>
        </w:rPr>
        <w:t>335</w:t>
      </w:r>
      <w:r>
        <w:rPr>
          <w:snapToGrid w:val="0"/>
        </w:rPr>
        <w:t>.</w:t>
      </w:r>
      <w:r>
        <w:rPr>
          <w:snapToGrid w:val="0"/>
        </w:rPr>
        <w:tab/>
        <w:t>Purchase of electrical appliances for inspection</w:t>
      </w:r>
      <w:bookmarkEnd w:id="65"/>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w:t>
      </w:r>
      <w:r>
        <w:rPr>
          <w:snapToGrid w:val="0"/>
        </w:rPr>
        <w:lastRenderedPageBreak/>
        <w:t>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Gazette 7 Sep 1955 p. 2150</w:t>
      </w:r>
      <w:r>
        <w:noBreakHyphen/>
        <w:t>1; amended: Gazette 23 Dec 1994 p. 7132.]</w:t>
      </w:r>
    </w:p>
    <w:p>
      <w:pPr>
        <w:pStyle w:val="Heading5"/>
        <w:spacing w:before="180"/>
        <w:rPr>
          <w:snapToGrid w:val="0"/>
        </w:rPr>
      </w:pPr>
      <w:bookmarkStart w:id="66" w:name="_Toc179528878"/>
      <w:r>
        <w:rPr>
          <w:rStyle w:val="CharSectno"/>
        </w:rPr>
        <w:t>336</w:t>
      </w:r>
      <w:r>
        <w:rPr>
          <w:snapToGrid w:val="0"/>
        </w:rPr>
        <w:t>.</w:t>
      </w:r>
      <w:r>
        <w:rPr>
          <w:snapToGrid w:val="0"/>
        </w:rPr>
        <w:tab/>
        <w:t>Obstruction of officers</w:t>
      </w:r>
      <w:bookmarkEnd w:id="66"/>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lastRenderedPageBreak/>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Gazette 7 Sep 1955 p. 2151; amended: Gazette 23 Dec 1994 p. 7125 and 7132.]</w:t>
      </w:r>
    </w:p>
    <w:p>
      <w:pPr>
        <w:pStyle w:val="Heading5"/>
        <w:rPr>
          <w:snapToGrid w:val="0"/>
        </w:rPr>
      </w:pPr>
      <w:bookmarkStart w:id="67" w:name="_Toc179528879"/>
      <w:r>
        <w:rPr>
          <w:rStyle w:val="CharSectno"/>
        </w:rPr>
        <w:t>337</w:t>
      </w:r>
      <w:r>
        <w:rPr>
          <w:snapToGrid w:val="0"/>
        </w:rPr>
        <w:t>.</w:t>
      </w:r>
      <w:r>
        <w:rPr>
          <w:snapToGrid w:val="0"/>
        </w:rPr>
        <w:tab/>
        <w:t>Register of Prescribed Electrical Appliances and Register of Approved Electrical Appliances</w:t>
      </w:r>
      <w:bookmarkEnd w:id="67"/>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lastRenderedPageBreak/>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Gazette 7 Sep 1955 p. 2151; amended: Gazette 23 Dec 1994 p. 7125.]</w:t>
      </w:r>
    </w:p>
    <w:p>
      <w:pPr>
        <w:pStyle w:val="Heading5"/>
        <w:rPr>
          <w:snapToGrid w:val="0"/>
        </w:rPr>
      </w:pPr>
      <w:bookmarkStart w:id="68" w:name="_Toc179528880"/>
      <w:r>
        <w:rPr>
          <w:rStyle w:val="CharSectno"/>
        </w:rPr>
        <w:t>338</w:t>
      </w:r>
      <w:r>
        <w:rPr>
          <w:snapToGrid w:val="0"/>
        </w:rPr>
        <w:t>.</w:t>
      </w:r>
      <w:r>
        <w:rPr>
          <w:snapToGrid w:val="0"/>
        </w:rPr>
        <w:tab/>
        <w:t>Change of address</w:t>
      </w:r>
      <w:bookmarkEnd w:id="68"/>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Gazette 7 Sep 1955 p. 2152; amended: Gazette 23 Dec 1994 p. 7125.]</w:t>
      </w:r>
    </w:p>
    <w:p>
      <w:pPr>
        <w:pStyle w:val="Ednotesection"/>
      </w:pPr>
      <w:r>
        <w:t>[</w:t>
      </w:r>
      <w:r>
        <w:rPr>
          <w:b/>
        </w:rPr>
        <w:t>339.</w:t>
      </w:r>
      <w:r>
        <w:rPr>
          <w:b/>
        </w:rPr>
        <w:tab/>
      </w:r>
      <w:r>
        <w:t>Deleted: Gazette 23 Dec 1994 p. 7133.]</w:t>
      </w:r>
    </w:p>
    <w:p>
      <w:pPr>
        <w:pStyle w:val="Heading2"/>
      </w:pPr>
      <w:bookmarkStart w:id="69" w:name="_Toc179465675"/>
      <w:bookmarkStart w:id="70" w:name="_Toc179467341"/>
      <w:bookmarkStart w:id="71" w:name="_Toc179528820"/>
      <w:bookmarkStart w:id="72" w:name="_Toc179528881"/>
      <w:r>
        <w:rPr>
          <w:rStyle w:val="CharPartNo"/>
        </w:rPr>
        <w:lastRenderedPageBreak/>
        <w:t>Part XI</w:t>
      </w:r>
      <w:r>
        <w:rPr>
          <w:rStyle w:val="CharDivNo"/>
        </w:rPr>
        <w:t> </w:t>
      </w:r>
      <w:r>
        <w:t>—</w:t>
      </w:r>
      <w:r>
        <w:rPr>
          <w:rStyle w:val="CharDivText"/>
        </w:rPr>
        <w:t> </w:t>
      </w:r>
      <w:r>
        <w:rPr>
          <w:rStyle w:val="CharPartText"/>
        </w:rPr>
        <w:t>Penalties and enforcement</w:t>
      </w:r>
      <w:bookmarkEnd w:id="69"/>
      <w:bookmarkEnd w:id="70"/>
      <w:bookmarkEnd w:id="71"/>
      <w:bookmarkEnd w:id="72"/>
    </w:p>
    <w:p>
      <w:pPr>
        <w:pStyle w:val="Footnoteheading"/>
        <w:rPr>
          <w:snapToGrid w:val="0"/>
        </w:rPr>
      </w:pPr>
      <w:r>
        <w:rPr>
          <w:snapToGrid w:val="0"/>
        </w:rPr>
        <w:tab/>
        <w:t>[Heading inserted: Gazette 23 Dec 1994 p. 7133; amended: Gazette 20 Mar 2007 p. 1038.]</w:t>
      </w:r>
    </w:p>
    <w:p>
      <w:pPr>
        <w:pStyle w:val="Heading5"/>
        <w:rPr>
          <w:snapToGrid w:val="0"/>
        </w:rPr>
      </w:pPr>
      <w:bookmarkStart w:id="73" w:name="_Toc179528882"/>
      <w:r>
        <w:rPr>
          <w:rStyle w:val="CharSectno"/>
        </w:rPr>
        <w:t>340</w:t>
      </w:r>
      <w:r>
        <w:rPr>
          <w:snapToGrid w:val="0"/>
        </w:rPr>
        <w:t>.</w:t>
      </w:r>
      <w:r>
        <w:rPr>
          <w:snapToGrid w:val="0"/>
        </w:rPr>
        <w:tab/>
        <w:t>Penalties</w:t>
      </w:r>
      <w:bookmarkEnd w:id="73"/>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Gazette 23 May 1997 p. 2419; amended: Gazette 27 Oct 2009 p. 4213.]</w:t>
      </w:r>
    </w:p>
    <w:p>
      <w:pPr>
        <w:pStyle w:val="Heading5"/>
        <w:rPr>
          <w:snapToGrid w:val="0"/>
        </w:rPr>
      </w:pPr>
      <w:bookmarkStart w:id="74" w:name="_Toc179528883"/>
      <w:r>
        <w:rPr>
          <w:rStyle w:val="CharSectno"/>
        </w:rPr>
        <w:t>341</w:t>
      </w:r>
      <w:r>
        <w:rPr>
          <w:snapToGrid w:val="0"/>
        </w:rPr>
        <w:t>.</w:t>
      </w:r>
      <w:r>
        <w:rPr>
          <w:snapToGrid w:val="0"/>
        </w:rPr>
        <w:tab/>
        <w:t>Proceedings</w:t>
      </w:r>
      <w:bookmarkEnd w:id="74"/>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Gazette 7 Sep 1955 p. 2152; amended: Gazette 23 Dec 1994 p. 7125.]</w:t>
      </w:r>
    </w:p>
    <w:p>
      <w:pPr>
        <w:pStyle w:val="Heading5"/>
      </w:pPr>
      <w:bookmarkStart w:id="75" w:name="_Toc179528884"/>
      <w:r>
        <w:rPr>
          <w:rStyle w:val="CharSectno"/>
        </w:rPr>
        <w:t>342</w:t>
      </w:r>
      <w:r>
        <w:t>.</w:t>
      </w:r>
      <w:r>
        <w:tab/>
        <w:t>Prescribed offences and modified penalties</w:t>
      </w:r>
      <w:bookmarkEnd w:id="75"/>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Gazette 20 Mar 2007 p. 1039.]</w:t>
      </w:r>
    </w:p>
    <w:p>
      <w:pPr>
        <w:pStyle w:val="Heading5"/>
      </w:pPr>
      <w:bookmarkStart w:id="76" w:name="_Toc179528885"/>
      <w:r>
        <w:rPr>
          <w:rStyle w:val="CharSectno"/>
        </w:rPr>
        <w:lastRenderedPageBreak/>
        <w:t>343</w:t>
      </w:r>
      <w:r>
        <w:t>.</w:t>
      </w:r>
      <w:r>
        <w:tab/>
        <w:t>Authorised officers and approved officers</w:t>
      </w:r>
      <w:bookmarkEnd w:id="76"/>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Gazette 20 Mar 2007 p. 1039.]</w:t>
      </w:r>
    </w:p>
    <w:p>
      <w:pPr>
        <w:pStyle w:val="Heading5"/>
      </w:pPr>
      <w:bookmarkStart w:id="77" w:name="_Toc179528886"/>
      <w:r>
        <w:rPr>
          <w:rStyle w:val="CharSectno"/>
        </w:rPr>
        <w:t>344</w:t>
      </w:r>
      <w:r>
        <w:t>.</w:t>
      </w:r>
      <w:r>
        <w:tab/>
        <w:t>Forms</w:t>
      </w:r>
      <w:bookmarkEnd w:id="77"/>
    </w:p>
    <w:p>
      <w:pPr>
        <w:pStyle w:val="Subsection"/>
      </w:pPr>
      <w:r>
        <w:tab/>
      </w:r>
      <w:r>
        <w:tab/>
        <w:t>The forms set out in Schedule 2 are prescribed in relation to the matters specified in those forms.</w:t>
      </w:r>
    </w:p>
    <w:p>
      <w:pPr>
        <w:pStyle w:val="Footnotesection"/>
      </w:pPr>
      <w:r>
        <w:tab/>
        <w:t>[Regulation 344 inserted: Gazette 20 Mar 2007 p. 1039.]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8" w:name="_Toc179465681"/>
      <w:bookmarkStart w:id="79" w:name="_Toc179467347"/>
      <w:bookmarkStart w:id="80" w:name="_Toc179528826"/>
      <w:bookmarkStart w:id="81" w:name="_Toc179528887"/>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78"/>
      <w:bookmarkEnd w:id="79"/>
      <w:bookmarkEnd w:id="80"/>
      <w:bookmarkEnd w:id="81"/>
    </w:p>
    <w:p>
      <w:pPr>
        <w:pStyle w:val="yShoulderClause"/>
      </w:pPr>
      <w:r>
        <w:t>[r. 342]</w:t>
      </w:r>
    </w:p>
    <w:p>
      <w:pPr>
        <w:pStyle w:val="yFootnoteheading"/>
      </w:pPr>
      <w:r>
        <w:tab/>
        <w:t>[Heading inserted: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lastRenderedPageBreak/>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pPr>
      <w:r>
        <w:lastRenderedPageBreak/>
        <w:t xml:space="preserve">Table 3 — </w:t>
      </w:r>
      <w:r>
        <w:rPr>
          <w:i/>
          <w:iCs/>
        </w:rPr>
        <w:t xml:space="preserve">Electricity (Licensing) Regulations 1991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32E(2)</w:t>
            </w:r>
          </w:p>
        </w:tc>
        <w:tc>
          <w:tcPr>
            <w:tcW w:w="3515" w:type="dxa"/>
            <w:tcBorders>
              <w:top w:val="single" w:sz="4" w:space="0" w:color="auto"/>
              <w:bottom w:val="single" w:sz="4" w:space="0" w:color="auto"/>
            </w:tcBorders>
          </w:tcPr>
          <w:p>
            <w:pPr>
              <w:pStyle w:val="yTableNAm"/>
              <w:spacing w:before="0"/>
              <w:rPr>
                <w:sz w:val="20"/>
              </w:rPr>
            </w:pPr>
            <w:r>
              <w:rPr>
                <w:sz w:val="20"/>
              </w:rPr>
              <w:t>Failing to complete approved CPR course within completion period</w:t>
            </w:r>
          </w:p>
        </w:tc>
        <w:tc>
          <w:tcPr>
            <w:tcW w:w="964" w:type="dxa"/>
            <w:tcBorders>
              <w:top w:val="single" w:sz="4" w:space="0" w:color="auto"/>
              <w:bottom w:val="single" w:sz="4" w:space="0" w:color="auto"/>
            </w:tcBorders>
            <w:vAlign w:val="bottom"/>
          </w:tcPr>
          <w:p>
            <w:pPr>
              <w:pStyle w:val="yTableNAm"/>
              <w:spacing w:before="0"/>
              <w:rPr>
                <w:sz w:val="20"/>
              </w:rPr>
            </w:pPr>
            <w:r>
              <w:rPr>
                <w:sz w:val="20"/>
              </w:rPr>
              <w:t>$500</w:t>
            </w:r>
          </w:p>
        </w:tc>
        <w:tc>
          <w:tcPr>
            <w:tcW w:w="1078" w:type="dxa"/>
            <w:tcBorders>
              <w:top w:val="single" w:sz="4" w:space="0" w:color="auto"/>
              <w:bottom w:val="single" w:sz="4" w:space="0" w:color="auto"/>
            </w:tcBorders>
            <w:vAlign w:val="bottom"/>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32F(2)</w:t>
            </w:r>
          </w:p>
        </w:tc>
        <w:tc>
          <w:tcPr>
            <w:tcW w:w="3515" w:type="dxa"/>
            <w:tcBorders>
              <w:top w:val="single" w:sz="4" w:space="0" w:color="auto"/>
              <w:bottom w:val="single" w:sz="4" w:space="0" w:color="auto"/>
            </w:tcBorders>
          </w:tcPr>
          <w:p>
            <w:pPr>
              <w:pStyle w:val="yTableNAm"/>
              <w:spacing w:before="0"/>
              <w:rPr>
                <w:sz w:val="20"/>
              </w:rPr>
            </w:pPr>
            <w:r>
              <w:rPr>
                <w:sz w:val="20"/>
              </w:rPr>
              <w:t>Failing to complete approved CPR course within completion period after first licence issued</w:t>
            </w:r>
          </w:p>
        </w:tc>
        <w:tc>
          <w:tcPr>
            <w:tcW w:w="964" w:type="dxa"/>
            <w:tcBorders>
              <w:top w:val="single" w:sz="4" w:space="0" w:color="auto"/>
              <w:bottom w:val="single" w:sz="4" w:space="0" w:color="auto"/>
            </w:tcBorders>
            <w:vAlign w:val="bottom"/>
          </w:tcPr>
          <w:p>
            <w:pPr>
              <w:pStyle w:val="yTableNAm"/>
              <w:spacing w:before="0"/>
              <w:rPr>
                <w:sz w:val="20"/>
              </w:rPr>
            </w:pPr>
            <w:r>
              <w:rPr>
                <w:sz w:val="20"/>
              </w:rPr>
              <w:t>$500</w:t>
            </w:r>
          </w:p>
        </w:tc>
        <w:tc>
          <w:tcPr>
            <w:tcW w:w="1078" w:type="dxa"/>
            <w:tcBorders>
              <w:top w:val="single" w:sz="4" w:space="0" w:color="auto"/>
              <w:bottom w:val="single" w:sz="4" w:space="0" w:color="auto"/>
            </w:tcBorders>
            <w:vAlign w:val="bottom"/>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32G(2)</w:t>
            </w:r>
          </w:p>
        </w:tc>
        <w:tc>
          <w:tcPr>
            <w:tcW w:w="3515" w:type="dxa"/>
            <w:tcBorders>
              <w:top w:val="single" w:sz="4" w:space="0" w:color="auto"/>
              <w:bottom w:val="single" w:sz="4" w:space="0" w:color="auto"/>
            </w:tcBorders>
          </w:tcPr>
          <w:p>
            <w:pPr>
              <w:pStyle w:val="yTableNAm"/>
              <w:spacing w:before="0"/>
              <w:rPr>
                <w:sz w:val="20"/>
              </w:rPr>
            </w:pPr>
            <w:r>
              <w:rPr>
                <w:sz w:val="20"/>
              </w:rPr>
              <w:t>Failing to complete approved CPR course within completion period after last course completed</w:t>
            </w:r>
          </w:p>
        </w:tc>
        <w:tc>
          <w:tcPr>
            <w:tcW w:w="964" w:type="dxa"/>
            <w:tcBorders>
              <w:top w:val="single" w:sz="4" w:space="0" w:color="auto"/>
              <w:bottom w:val="single" w:sz="4" w:space="0" w:color="auto"/>
            </w:tcBorders>
            <w:vAlign w:val="bottom"/>
          </w:tcPr>
          <w:p>
            <w:pPr>
              <w:pStyle w:val="yTableNAm"/>
              <w:spacing w:before="0"/>
              <w:rPr>
                <w:sz w:val="20"/>
              </w:rPr>
            </w:pPr>
            <w:r>
              <w:rPr>
                <w:sz w:val="20"/>
              </w:rPr>
              <w:t>$500</w:t>
            </w:r>
          </w:p>
        </w:tc>
        <w:tc>
          <w:tcPr>
            <w:tcW w:w="1078" w:type="dxa"/>
            <w:tcBorders>
              <w:top w:val="single" w:sz="4" w:space="0" w:color="auto"/>
              <w:bottom w:val="single" w:sz="4" w:space="0" w:color="auto"/>
            </w:tcBorders>
            <w:vAlign w:val="bottom"/>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32I(6)</w:t>
            </w:r>
          </w:p>
        </w:tc>
        <w:tc>
          <w:tcPr>
            <w:tcW w:w="3515" w:type="dxa"/>
            <w:tcBorders>
              <w:top w:val="single" w:sz="4" w:space="0" w:color="auto"/>
              <w:bottom w:val="single" w:sz="4" w:space="0" w:color="auto"/>
            </w:tcBorders>
          </w:tcPr>
          <w:p>
            <w:pPr>
              <w:pStyle w:val="yTableNAm"/>
              <w:spacing w:before="0"/>
              <w:rPr>
                <w:sz w:val="20"/>
              </w:rPr>
            </w:pPr>
            <w:r>
              <w:rPr>
                <w:sz w:val="20"/>
              </w:rPr>
              <w:t>Failing to comply with written direction to provide course completion record</w:t>
            </w:r>
          </w:p>
        </w:tc>
        <w:tc>
          <w:tcPr>
            <w:tcW w:w="964" w:type="dxa"/>
            <w:tcBorders>
              <w:top w:val="single" w:sz="4" w:space="0" w:color="auto"/>
              <w:bottom w:val="single" w:sz="4" w:space="0" w:color="auto"/>
            </w:tcBorders>
            <w:vAlign w:val="bottom"/>
          </w:tcPr>
          <w:p>
            <w:pPr>
              <w:pStyle w:val="yTableNAm"/>
              <w:spacing w:before="0"/>
              <w:rPr>
                <w:sz w:val="20"/>
              </w:rPr>
            </w:pPr>
            <w:r>
              <w:rPr>
                <w:sz w:val="20"/>
              </w:rPr>
              <w:t>$500</w:t>
            </w:r>
          </w:p>
        </w:tc>
        <w:tc>
          <w:tcPr>
            <w:tcW w:w="1078" w:type="dxa"/>
            <w:tcBorders>
              <w:top w:val="single" w:sz="4" w:space="0" w:color="auto"/>
              <w:bottom w:val="single" w:sz="4" w:space="0" w:color="auto"/>
            </w:tcBorders>
            <w:vAlign w:val="bottom"/>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lastRenderedPageBreak/>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lastRenderedPageBreak/>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lastRenderedPageBreak/>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lastRenderedPageBreak/>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lastRenderedPageBreak/>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Gazette 31 Dec 2010 p. 6888-92; amended: Gazette 13 Apr 2012 p. 1649</w:t>
      </w:r>
      <w:r>
        <w:noBreakHyphen/>
        <w:t xml:space="preserve">51; 14 Apr 2015 p. 1324; 5 Aug 2015 p. 3185-6; 2 Oct 2018 p. 3792; SL 2022/36 r. 19; SL 2024/211 r. 7.] </w:t>
      </w:r>
    </w:p>
    <w:p>
      <w:pPr>
        <w:pStyle w:val="yFootnotesection"/>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83" w:name="_Toc179465682"/>
      <w:bookmarkStart w:id="84" w:name="_Toc179467348"/>
      <w:bookmarkStart w:id="85" w:name="_Toc179528827"/>
      <w:bookmarkStart w:id="86" w:name="_Toc179528888"/>
      <w:r>
        <w:rPr>
          <w:rStyle w:val="CharSchNo"/>
        </w:rPr>
        <w:lastRenderedPageBreak/>
        <w:t>Schedule 2</w:t>
      </w:r>
      <w:r>
        <w:t> — </w:t>
      </w:r>
      <w:r>
        <w:rPr>
          <w:rStyle w:val="CharSchText"/>
        </w:rPr>
        <w:t>Forms</w:t>
      </w:r>
      <w:bookmarkEnd w:id="83"/>
      <w:bookmarkEnd w:id="84"/>
      <w:bookmarkEnd w:id="85"/>
      <w:bookmarkEnd w:id="86"/>
    </w:p>
    <w:p>
      <w:pPr>
        <w:pStyle w:val="yShoulderClause"/>
      </w:pPr>
      <w:r>
        <w:t>[r. 344]</w:t>
      </w:r>
    </w:p>
    <w:p>
      <w:pPr>
        <w:pStyle w:val="yFootnoteheading"/>
        <w:spacing w:after="120"/>
      </w:pPr>
      <w:r>
        <w:tab/>
        <w:t>[Heading inserted: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Gazette 20 Mar 2007 p. 1042; amended: Gazette 20 Aug 2013 p. 3829; 5 Aug 2015 p. 3186; SL 2020/163 r. 22.]</w:t>
      </w:r>
    </w:p>
    <w:p>
      <w:pPr>
        <w:pStyle w:val="yMiscellaneousHeading"/>
        <w:pageBreakBefore/>
        <w:tabs>
          <w:tab w:val="left" w:pos="600"/>
        </w:tabs>
        <w:spacing w:before="0" w:after="60"/>
        <w:jc w:val="left"/>
        <w:rPr>
          <w:b/>
          <w:bCs/>
        </w:rPr>
      </w:pPr>
      <w:r>
        <w:lastRenderedPageBreak/>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keepNext/>
        <w:spacing w:before="80"/>
      </w:pPr>
      <w:r>
        <w:lastRenderedPageBreak/>
        <w:tab/>
        <w:t>[Form 2 inserted: Gazette 20 Mar 2007 p. 1043; amended: Gazette 5 Aug 2015 p. 3186.]</w:t>
      </w:r>
    </w:p>
    <w:p>
      <w:pPr>
        <w:pStyle w:val="CentredBaseLine"/>
        <w:spacing w:before="80"/>
        <w:jc w:val="center"/>
        <w:sectPr>
          <w:headerReference w:type="even" r:id="rId26"/>
          <w:headerReference w:type="default" r:id="rId27"/>
          <w:pgSz w:w="11907" w:h="16840" w:code="9"/>
          <w:pgMar w:top="2376" w:right="2405" w:bottom="3542" w:left="2405" w:header="706" w:footer="3544"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87" w:name="_Toc179465683"/>
      <w:bookmarkStart w:id="88" w:name="_Toc179467349"/>
      <w:bookmarkStart w:id="89" w:name="_Toc179528828"/>
      <w:bookmarkStart w:id="90" w:name="_Toc179528889"/>
      <w:r>
        <w:lastRenderedPageBreak/>
        <w:t>Notes</w:t>
      </w:r>
      <w:bookmarkEnd w:id="87"/>
      <w:bookmarkEnd w:id="88"/>
      <w:bookmarkEnd w:id="89"/>
      <w:bookmarkEnd w:id="90"/>
    </w:p>
    <w:p>
      <w:pPr>
        <w:pStyle w:val="nStatement"/>
      </w:pPr>
      <w:r>
        <w:t xml:space="preserve">This is a compilation of the </w:t>
      </w:r>
      <w:r>
        <w:rPr>
          <w:i/>
          <w:noProof/>
        </w:rPr>
        <w:t>Electricity Regulations 1947</w:t>
      </w:r>
      <w:r>
        <w:t xml:space="preserve"> and includes amendments made by other written laws. For provisions that have come into operation, and for information about any reprints, see the compilation table.</w:t>
      </w:r>
    </w:p>
    <w:p>
      <w:pPr>
        <w:pStyle w:val="nHeading3"/>
      </w:pPr>
      <w:bookmarkStart w:id="91" w:name="_Toc179528890"/>
      <w:r>
        <w:t>Compilation table</w:t>
      </w:r>
      <w:bookmarkEnd w:id="9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Act Regulations 1947</w:t>
            </w:r>
            <w:r>
              <w:rPr>
                <w:snapToGrid w:val="0"/>
              </w:rPr>
              <w:t> </w:t>
            </w:r>
            <w:r>
              <w:rPr>
                <w:vertAlign w:val="superscript"/>
              </w:rPr>
              <w:t>3, 4</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t>Untitled regulations</w:t>
            </w:r>
            <w:r>
              <w:rPr>
                <w:vertAlign w:val="superscript"/>
              </w:rPr>
              <w:t> 5</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lastRenderedPageBreak/>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6</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iCs/>
              </w:rPr>
            </w:pPr>
            <w:r>
              <w:rPr>
                <w:i/>
              </w:rPr>
              <w:t>Electricity Amendment Regulations 2000</w:t>
            </w:r>
            <w:r>
              <w:rPr>
                <w:iCs/>
                <w:vertAlign w:val="superscript"/>
              </w:rPr>
              <w:t> 7</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Electricity Amendment Regulations (No. 2) 2007</w:t>
            </w:r>
            <w:r>
              <w:t> </w:t>
            </w:r>
            <w:r>
              <w:rPr>
                <w:vertAlign w:val="superscript"/>
              </w:rPr>
              <w:t>8</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Electricity Amendment Regulations 2015</w:t>
            </w:r>
          </w:p>
        </w:tc>
        <w:tc>
          <w:tcPr>
            <w:tcW w:w="1276" w:type="dxa"/>
          </w:tcPr>
          <w:p>
            <w:pPr>
              <w:pStyle w:val="nTable"/>
              <w:spacing w:after="40"/>
            </w:pPr>
            <w:r>
              <w:t>14 Apr 2015 p. 1324</w:t>
            </w:r>
          </w:p>
        </w:tc>
        <w:tc>
          <w:tcPr>
            <w:tcW w:w="2693" w:type="dxa"/>
          </w:tcPr>
          <w:p>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 xml:space="preserve">Electricity Amendment Regulations 2018 </w:t>
            </w:r>
            <w:r>
              <w:t>Pt. 2</w:t>
            </w:r>
          </w:p>
        </w:tc>
        <w:tc>
          <w:tcPr>
            <w:tcW w:w="1276" w:type="dxa"/>
            <w:tcBorders>
              <w:top w:val="nil"/>
              <w:bottom w:val="nil"/>
            </w:tcBorders>
          </w:tcPr>
          <w:p>
            <w:pPr>
              <w:pStyle w:val="nTable"/>
              <w:spacing w:after="40"/>
            </w:pPr>
            <w:r>
              <w:t>2 Oct 2018 p. 3784-94</w:t>
            </w:r>
          </w:p>
        </w:tc>
        <w:tc>
          <w:tcPr>
            <w:tcW w:w="2693" w:type="dxa"/>
            <w:tcBorders>
              <w:top w:val="nil"/>
              <w:bottom w:val="nil"/>
            </w:tcBorders>
          </w:tcPr>
          <w:p>
            <w:pPr>
              <w:pStyle w:val="nTable"/>
              <w:spacing w:after="40"/>
              <w:rPr>
                <w:snapToGrid w:val="0"/>
                <w:spacing w:val="-2"/>
              </w:rPr>
            </w:pPr>
            <w:r>
              <w:rPr>
                <w:snapToGrid w:val="0"/>
                <w:spacing w:val="-2"/>
              </w:rPr>
              <w:t>1 Jan 2019 (see r. 2(b))</w:t>
            </w:r>
          </w:p>
        </w:tc>
      </w:tr>
      <w:tr>
        <w:trPr>
          <w:cantSplit/>
        </w:trPr>
        <w:tc>
          <w:tcPr>
            <w:tcW w:w="3119" w:type="dxa"/>
            <w:tcBorders>
              <w:top w:val="nil"/>
              <w:bottom w:val="nil"/>
            </w:tcBorders>
          </w:tcPr>
          <w:p>
            <w:pPr>
              <w:pStyle w:val="nTable"/>
              <w:spacing w:after="40"/>
              <w:ind w:right="170"/>
              <w:rPr>
                <w:i/>
              </w:rPr>
            </w:pPr>
            <w:r>
              <w:rPr>
                <w:i/>
              </w:rPr>
              <w:t>Commerce Regulations Amendment (Strata Titles) Regulations 2019</w:t>
            </w:r>
            <w:r>
              <w:t xml:space="preserve"> Pt. 3</w:t>
            </w:r>
          </w:p>
        </w:tc>
        <w:tc>
          <w:tcPr>
            <w:tcW w:w="1276" w:type="dxa"/>
            <w:tcBorders>
              <w:top w:val="nil"/>
              <w:bottom w:val="nil"/>
            </w:tcBorders>
          </w:tcPr>
          <w:p>
            <w:pPr>
              <w:pStyle w:val="nTable"/>
              <w:spacing w:after="40"/>
            </w:pPr>
            <w:r>
              <w:t>31 Dec 2019 p. 4637-46</w:t>
            </w:r>
          </w:p>
        </w:tc>
        <w:tc>
          <w:tcPr>
            <w:tcW w:w="2693" w:type="dxa"/>
            <w:tcBorders>
              <w:top w:val="nil"/>
              <w:bottom w:val="nil"/>
            </w:tcBorders>
          </w:tcPr>
          <w:p>
            <w:pPr>
              <w:pStyle w:val="nTable"/>
              <w:spacing w:after="40"/>
              <w:rPr>
                <w:snapToGrid w:val="0"/>
                <w:spacing w:val="-2"/>
              </w:rPr>
            </w:pPr>
            <w:r>
              <w:t>1 May 2020 (see r. 2(b) and SL 2020/39 cl. 2)</w:t>
            </w:r>
          </w:p>
        </w:tc>
      </w:tr>
      <w:tr>
        <w:trPr>
          <w:cantSplit/>
        </w:trPr>
        <w:tc>
          <w:tcPr>
            <w:tcW w:w="3119" w:type="dxa"/>
            <w:tcBorders>
              <w:top w:val="nil"/>
              <w:bottom w:val="nil"/>
            </w:tcBorders>
          </w:tcPr>
          <w:p>
            <w:pPr>
              <w:pStyle w:val="nTable"/>
              <w:spacing w:after="40"/>
              <w:ind w:right="170"/>
              <w:rPr>
                <w:i/>
              </w:rPr>
            </w:pPr>
            <w:r>
              <w:rPr>
                <w:i/>
              </w:rPr>
              <w:t>Commerce Regulations Amendment (Infringement Notices) Regulations 2020</w:t>
            </w:r>
            <w:r>
              <w:t xml:space="preserve"> Pt. 11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ind w:right="170"/>
              <w:rPr>
                <w:i/>
              </w:rPr>
            </w:pPr>
            <w:r>
              <w:rPr>
                <w:i/>
              </w:rPr>
              <w:t xml:space="preserve">Commerce Regulations Amendment (Community Titles) Regulations 2021 </w:t>
            </w:r>
            <w:r>
              <w:t>Pt. 2</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ind w:right="170"/>
            </w:pPr>
            <w:r>
              <w:rPr>
                <w:i/>
              </w:rPr>
              <w:t>Energy Regulations Amendment (Electricity Licensing) Regulations 2022</w:t>
            </w:r>
            <w:r>
              <w:t xml:space="preserve"> Pt. 3</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spacing w:after="40"/>
            </w:pPr>
            <w:r>
              <w:t>16 Mar 2022 (see r. 2(b))</w:t>
            </w:r>
          </w:p>
        </w:tc>
      </w:tr>
      <w:tr>
        <w:trPr>
          <w:cantSplit/>
        </w:trPr>
        <w:tc>
          <w:tcPr>
            <w:tcW w:w="3119" w:type="dxa"/>
            <w:tcBorders>
              <w:top w:val="nil"/>
              <w:bottom w:val="nil"/>
            </w:tcBorders>
          </w:tcPr>
          <w:p>
            <w:pPr>
              <w:pStyle w:val="nTable"/>
              <w:spacing w:after="40"/>
              <w:ind w:right="170"/>
              <w:rPr>
                <w:i/>
              </w:rPr>
            </w:pPr>
            <w:r>
              <w:rPr>
                <w:i/>
              </w:rPr>
              <w:t xml:space="preserve">Short-Term Rental Accommodation Regulations 2024 </w:t>
            </w:r>
            <w:r>
              <w:rPr>
                <w:iCs/>
              </w:rPr>
              <w:t>r. 20</w:t>
            </w:r>
            <w:r>
              <w:rPr>
                <w:i/>
              </w:rPr>
              <w:t xml:space="preserve"> </w:t>
            </w:r>
          </w:p>
        </w:tc>
        <w:tc>
          <w:tcPr>
            <w:tcW w:w="1276" w:type="dxa"/>
            <w:tcBorders>
              <w:top w:val="nil"/>
              <w:bottom w:val="nil"/>
            </w:tcBorders>
          </w:tcPr>
          <w:p>
            <w:pPr>
              <w:pStyle w:val="nTable"/>
              <w:spacing w:after="40"/>
            </w:pPr>
            <w:r>
              <w:t>SL 2024/123 26 Jun 2024</w:t>
            </w:r>
          </w:p>
        </w:tc>
        <w:tc>
          <w:tcPr>
            <w:tcW w:w="2693" w:type="dxa"/>
            <w:tcBorders>
              <w:top w:val="nil"/>
              <w:bottom w:val="nil"/>
            </w:tcBorders>
          </w:tcPr>
          <w:p>
            <w:pPr>
              <w:pStyle w:val="nTable"/>
              <w:spacing w:after="40"/>
            </w:pPr>
            <w:r>
              <w:t>1 Jul 2024 (see r. 2 and SL 2024/88 cl. 2(a))</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70"/>
              <w:rPr>
                <w:iCs/>
              </w:rPr>
            </w:pPr>
            <w:r>
              <w:rPr>
                <w:i/>
              </w:rPr>
              <w:t xml:space="preserve">Electricity Regulations Amendment (Licensing) Regulations 2024 </w:t>
            </w:r>
            <w:r>
              <w:rPr>
                <w:iCs/>
              </w:rPr>
              <w:t>Pt. 3</w:t>
            </w:r>
          </w:p>
        </w:tc>
        <w:tc>
          <w:tcPr>
            <w:tcW w:w="1276" w:type="dxa"/>
            <w:tcBorders>
              <w:bottom w:val="single" w:sz="4" w:space="0" w:color="auto"/>
            </w:tcBorders>
          </w:tcPr>
          <w:p>
            <w:pPr>
              <w:pStyle w:val="nTable"/>
              <w:spacing w:after="40"/>
            </w:pPr>
            <w:r>
              <w:t>SL 2024/211 16 Oct 2024</w:t>
            </w:r>
          </w:p>
        </w:tc>
        <w:tc>
          <w:tcPr>
            <w:tcW w:w="2693" w:type="dxa"/>
            <w:tcBorders>
              <w:bottom w:val="single" w:sz="4" w:space="0" w:color="auto"/>
            </w:tcBorders>
          </w:tcPr>
          <w:p>
            <w:pPr>
              <w:pStyle w:val="nTable"/>
              <w:spacing w:after="40"/>
            </w:pPr>
            <w:r>
              <w:t>17 Oct 2024 (see r. 2(b))</w:t>
            </w:r>
          </w:p>
        </w:tc>
      </w:tr>
    </w:tbl>
    <w:p>
      <w:pPr>
        <w:pStyle w:val="nHeading3"/>
      </w:pPr>
      <w:bookmarkStart w:id="92" w:name="_Toc179528891"/>
      <w:r>
        <w:t>Other notes</w:t>
      </w:r>
      <w:bookmarkEnd w:id="92"/>
    </w:p>
    <w:p>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pPr>
        <w:pStyle w:val="nNote"/>
        <w:rPr>
          <w:snapToGrid w:val="0"/>
        </w:rPr>
      </w:pPr>
      <w:r>
        <w:rPr>
          <w:snapToGrid w:val="0"/>
          <w:vertAlign w:val="superscript"/>
        </w:rPr>
        <w:t>2</w:t>
      </w:r>
      <w:r>
        <w:rPr>
          <w:snapToGrid w:val="0"/>
        </w:rPr>
        <w:tab/>
        <w:t xml:space="preserve">Footnote no longer applicable. </w:t>
      </w:r>
    </w:p>
    <w:p>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Note"/>
        <w:rPr>
          <w:snapToGrid w:val="0"/>
        </w:rPr>
      </w:pPr>
      <w:r>
        <w:rPr>
          <w:snapToGrid w:val="0"/>
        </w:rPr>
        <w:lastRenderedPageBreak/>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Note"/>
        <w:rPr>
          <w:snapToGrid w:val="0"/>
        </w:rPr>
      </w:pPr>
      <w:r>
        <w:rPr>
          <w:snapToGrid w:val="0"/>
          <w:vertAlign w:val="superscript"/>
        </w:rPr>
        <w:t>6</w:t>
      </w:r>
      <w:r>
        <w:rPr>
          <w:snapToGrid w:val="0"/>
        </w:rPr>
        <w:tab/>
        <w:t>The commencement date of 1 Jun 1979 that was specified was before the date of gazettal.</w:t>
      </w:r>
    </w:p>
    <w:p>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94" w:name="_Toc179465686"/>
      <w:bookmarkStart w:id="95" w:name="_Toc179467352"/>
      <w:bookmarkStart w:id="96" w:name="_Toc179528831"/>
      <w:bookmarkStart w:id="97" w:name="_Toc179528892"/>
      <w:r>
        <w:rPr>
          <w:sz w:val="28"/>
        </w:rPr>
        <w:lastRenderedPageBreak/>
        <w:t>Defined terms</w:t>
      </w:r>
      <w:bookmarkEnd w:id="94"/>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321</w:t>
      </w:r>
    </w:p>
    <w:p>
      <w:pPr>
        <w:pStyle w:val="DefinedTerms"/>
      </w:pPr>
      <w:r>
        <w:t>active conductor</w:t>
      </w:r>
      <w:r>
        <w:tab/>
        <w:t>2</w:t>
      </w:r>
    </w:p>
    <w:p>
      <w:pPr>
        <w:pStyle w:val="DefinedTerms"/>
      </w:pPr>
      <w:r>
        <w:t>appliance</w:t>
      </w:r>
      <w:r>
        <w:tab/>
        <w:t>2</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building permit</w:t>
      </w:r>
      <w:r>
        <w:tab/>
        <w:t>12</w:t>
      </w:r>
    </w:p>
    <w:p>
      <w:pPr>
        <w:pStyle w:val="DefinedTerms"/>
      </w:pPr>
      <w:r>
        <w:t>common property</w:t>
      </w:r>
      <w:r>
        <w:tab/>
        <w:t>12</w:t>
      </w:r>
    </w:p>
    <w:p>
      <w:pPr>
        <w:pStyle w:val="DefinedTerms"/>
      </w:pPr>
      <w:r>
        <w:t>conductor</w:t>
      </w:r>
      <w:r>
        <w:tab/>
        <w:t>2, 316A(1A)</w:t>
      </w:r>
    </w:p>
    <w:p>
      <w:pPr>
        <w:pStyle w:val="DefinedTerms"/>
      </w:pPr>
      <w:r>
        <w:t>duly constituted authority in another State of the Commonwealth</w:t>
      </w:r>
      <w:r>
        <w:tab/>
        <w:t>321</w:t>
      </w:r>
    </w:p>
    <w:p>
      <w:pPr>
        <w:pStyle w:val="DefinedTerms"/>
      </w:pPr>
      <w:r>
        <w:t>electrical equipment</w:t>
      </w:r>
      <w:r>
        <w:tab/>
        <w:t>2</w:t>
      </w:r>
    </w:p>
    <w:p>
      <w:pPr>
        <w:pStyle w:val="DefinedTerms"/>
      </w:pPr>
      <w:r>
        <w:t>final subcircuit</w:t>
      </w:r>
      <w:r>
        <w:tab/>
        <w:t>12A(1)</w:t>
      </w:r>
    </w:p>
    <w:p>
      <w:pPr>
        <w:pStyle w:val="DefinedTerms"/>
      </w:pPr>
      <w:r>
        <w:t>fuse</w:t>
      </w:r>
      <w:r>
        <w:tab/>
        <w:t>241(1)</w:t>
      </w:r>
    </w:p>
    <w:p>
      <w:pPr>
        <w:pStyle w:val="DefinedTerms"/>
      </w:pPr>
      <w:r>
        <w:t>inspection plan</w:t>
      </w:r>
      <w:r>
        <w:tab/>
        <w:t>242(1A)</w:t>
      </w:r>
    </w:p>
    <w:p>
      <w:pPr>
        <w:pStyle w:val="DefinedTerms"/>
      </w:pPr>
      <w:r>
        <w:t>network</w:t>
      </w:r>
      <w:r>
        <w:tab/>
        <w:t>241(2)</w:t>
      </w:r>
    </w:p>
    <w:p>
      <w:pPr>
        <w:pStyle w:val="DefinedTerms"/>
      </w:pPr>
      <w:r>
        <w:t>network operator</w:t>
      </w:r>
      <w:r>
        <w:tab/>
        <w:t>241(1), (3)</w:t>
      </w:r>
    </w:p>
    <w:p>
      <w:pPr>
        <w:pStyle w:val="DefinedTerms"/>
      </w:pPr>
      <w:r>
        <w:t>neutral conductor</w:t>
      </w:r>
      <w:r>
        <w:tab/>
        <w:t>2</w:t>
      </w:r>
    </w:p>
    <w:p>
      <w:pPr>
        <w:pStyle w:val="DefinedTerms"/>
      </w:pPr>
      <w:r>
        <w:t>new owner</w:t>
      </w:r>
      <w:r>
        <w:tab/>
        <w:t>12</w:t>
      </w:r>
    </w:p>
    <w:p>
      <w:pPr>
        <w:pStyle w:val="DefinedTerms"/>
      </w:pPr>
      <w:r>
        <w:t>notice of completion</w:t>
      </w:r>
      <w:r>
        <w:tab/>
        <w:t>242(1A)</w:t>
      </w:r>
    </w:p>
    <w:p>
      <w:pPr>
        <w:pStyle w:val="DefinedTerms"/>
      </w:pPr>
      <w:r>
        <w:t>notice of intended demolition</w:t>
      </w:r>
      <w:r>
        <w:tab/>
        <w:t>12</w:t>
      </w:r>
    </w:p>
    <w:p>
      <w:pPr>
        <w:pStyle w:val="DefinedTerms"/>
      </w:pPr>
      <w:r>
        <w:t>occupied by an owner</w:t>
      </w:r>
      <w:r>
        <w:tab/>
        <w:t>12</w:t>
      </w:r>
    </w:p>
    <w:p>
      <w:pPr>
        <w:pStyle w:val="DefinedTerms"/>
      </w:pPr>
      <w:r>
        <w:t>overhead power lines</w:t>
      </w:r>
      <w:r>
        <w:tab/>
        <w:t>316A(1A)</w:t>
      </w:r>
    </w:p>
    <w:p>
      <w:pPr>
        <w:pStyle w:val="DefinedTerms"/>
      </w:pPr>
      <w:r>
        <w:t>post-transfer period,</w:t>
      </w:r>
      <w:r>
        <w:tab/>
        <w:t>15A(1)</w:t>
      </w:r>
    </w:p>
    <w:p>
      <w:pPr>
        <w:pStyle w:val="DefinedTerms"/>
      </w:pPr>
      <w:r>
        <w:t>premises</w:t>
      </w:r>
      <w:r>
        <w:tab/>
        <w:t>12</w:t>
      </w:r>
    </w:p>
    <w:p>
      <w:pPr>
        <w:pStyle w:val="DefinedTerms"/>
      </w:pPr>
      <w:r>
        <w:t>prior owner</w:t>
      </w:r>
      <w:r>
        <w:tab/>
        <w:t>12</w:t>
      </w:r>
    </w:p>
    <w:p>
      <w:pPr>
        <w:pStyle w:val="DefinedTerms"/>
      </w:pPr>
      <w:r>
        <w:t>properly installed</w:t>
      </w:r>
      <w:r>
        <w:tab/>
        <w:t>12</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pPr>
      <w:r>
        <w:t>residual current device</w:t>
      </w:r>
      <w:r>
        <w:tab/>
        <w:t>12</w:t>
      </w:r>
    </w:p>
    <w:p>
      <w:pPr>
        <w:pStyle w:val="DefinedTerms"/>
      </w:pPr>
      <w:r>
        <w:t>short-term rental accommodation</w:t>
      </w:r>
      <w:r>
        <w:tab/>
        <w:t>12</w:t>
      </w:r>
    </w:p>
    <w:p>
      <w:pPr>
        <w:pStyle w:val="DefinedTerms"/>
      </w:pPr>
      <w:r>
        <w:t>transferred residential premises</w:t>
      </w:r>
      <w:r>
        <w:tab/>
        <w:t>12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51056"/>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 w:name="WAFER_20200923122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17_GUID" w:val="a3007ed1-6f71-457d-bf0a-acbde37efd60"/>
    <w:docVar w:name="WAFER_202106150953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095358_GUID" w:val="f25b12fc-0855-4b39-b3ed-c00b8fba6159"/>
    <w:docVar w:name="WAFER_20210621113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3220_GUID" w:val="c18768b2-09bf-4eec-8f97-ffcdce0845d4"/>
    <w:docVar w:name="WAFER_20220310113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37_GUID" w:val="4d6d1b3e-b0a4-422e-a219-cd300edc5a40"/>
    <w:docVar w:name="WAFER_2024062111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1111431_GUID" w:val="09cc7e4e-4cd1-437b-8dcc-30aebc547df2"/>
    <w:docVar w:name="WAFER_20241010151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51056_GUID" w:val="aac7cfbb-3943-4b9e-8d86-57abda88ee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26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2A203-51D9-4F1F-B477-15BDEEB00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15140</Words>
  <Characters>75550</Characters>
  <Application>Microsoft Office Word</Application>
  <DocSecurity>0</DocSecurity>
  <Lines>2798</Lines>
  <Paragraphs>1511</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1947 - 07-k0-00</dc:title>
  <dc:subject/>
  <dc:creator/>
  <cp:keywords/>
  <dc:description/>
  <cp:lastModifiedBy>Master Repository Process</cp:lastModifiedBy>
  <cp:revision>4</cp:revision>
  <cp:lastPrinted>2019-12-18T06:16:00Z</cp:lastPrinted>
  <dcterms:created xsi:type="dcterms:W3CDTF">2025-07-02T05:17:00Z</dcterms:created>
  <dcterms:modified xsi:type="dcterms:W3CDTF">2025-07-02T05:17:00Z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CommencementDate">
    <vt:lpwstr>20241017</vt:lpwstr>
  </property>
  <property fmtid="{D5CDD505-2E9C-101B-9397-08002B2CF9AE}" pid="8" name="CommencementAsAt">
    <vt:filetime>2024-10-16T16:00:00Z</vt:filetime>
  </property>
  <property fmtid="{D5CDD505-2E9C-101B-9397-08002B2CF9AE}" pid="9" name="CommencementYear">
    <vt:lpwstr>2024</vt:lpwstr>
  </property>
  <property fmtid="{D5CDD505-2E9C-101B-9397-08002B2CF9AE}" pid="10" name="AsAtDate">
    <vt:lpwstr>17 Oct 2024</vt:lpwstr>
  </property>
  <property fmtid="{D5CDD505-2E9C-101B-9397-08002B2CF9AE}" pid="11" name="Suffix">
    <vt:lpwstr>07-k0-00</vt:lpwstr>
  </property>
  <property fmtid="{D5CDD505-2E9C-101B-9397-08002B2CF9AE}" pid="12" name="Official">
    <vt:lpwstr/>
  </property>
</Properties>
</file>