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_Toc179462154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_Toc179462155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_Toc179462156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_Toc179462157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_Toc179462158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_Toc179462159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_Toc179462160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_Toc179462161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_Toc179462162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_Toc179462163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_Toc179462164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_Toc179462165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_Toc179462166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_Toc179462167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_Toc179462168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_Toc179462169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_Toc179462170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_Toc179462171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_Toc179462172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_Toc179462173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_Toc179462174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_Toc179462175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_Toc179462176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_Toc179462177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_Toc179462178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_Toc179462179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_Toc179462180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_Toc179462181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_Toc179462182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_Toc179462183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_Toc179462184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_Toc179462185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_Toc179462186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_Toc179462187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_Toc179462188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_Toc179462189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_Toc179462190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_Toc179462191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_Toc179462192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_Toc179462193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_Toc179462194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_Toc179462195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_Toc179462196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_Toc179462197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_Toc179462198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_Toc179462199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_Toc179462200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_Toc179462201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_Toc179462202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_Toc179462203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_Toc179462204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_Toc179462205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_Toc179462206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_Toc179462207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_Toc179462208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_Toc179462209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_Toc179462210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_Toc179462211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_Toc179462212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_Toc179462213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_Toc179462214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_Toc179462215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_Toc179462216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_Toc179462217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_Toc179462218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_Toc179462219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_Toc179462220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_Toc179462221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_Toc179462222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_Toc179462223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_Toc179462224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_Toc179462225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_Toc179462226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_Toc179462227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_Toc179462228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_Toc179462229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_Toc179462230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_Toc179462231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_Toc179462232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_Toc179462233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_Toc179462234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_Toc179462235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_Toc179462236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_Toc179462237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_Toc179462238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_Toc179462239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_Toc179462240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_Toc179462241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_Toc179462242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_Toc179462243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_Toc179462244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_Toc179462245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_Toc179462246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_Toc179462247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_Toc179462248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_Toc179462249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_Toc179462250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_Toc179462251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_Toc179462252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_Toc179462253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_Toc179462254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_Toc179462255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_Toc179462256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_Toc179462257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_Toc179462258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_Toc179462265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_Toc179462266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_Toc179462267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_Toc179462268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_Toc179462269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_Toc179462271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_Toc179462272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_Toc179462273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17946215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7946215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179462156"/>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179462157"/>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179462158"/>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179462159"/>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179462160"/>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179462161"/>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17946216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179462163"/>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179462164"/>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179462165"/>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179462166"/>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179462167"/>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179462168"/>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179462169"/>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179462170"/>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179462171"/>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179462172"/>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179462173"/>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179462174"/>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179462175"/>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179462176"/>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179462177"/>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179462178"/>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179462179"/>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179462180"/>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179462181"/>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179462182"/>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79462183"/>
      <w:r>
        <w:rPr>
          <w:rStyle w:val="CharSectno"/>
        </w:rPr>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179462184"/>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179462185"/>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179462186"/>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179462187"/>
      <w:r>
        <w:rPr>
          <w:rStyle w:val="CharSectno"/>
        </w:rPr>
        <w:lastRenderedPageBreak/>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179462188"/>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179462189"/>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179462190"/>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179462191"/>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179462192"/>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179462193"/>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179462194"/>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179462195"/>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179462196"/>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179462197"/>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179462198"/>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179462199"/>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179462200"/>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179462201"/>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179462202"/>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179462203"/>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179462204"/>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179462205"/>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179462206"/>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179462207"/>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179462208"/>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179462209"/>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179462210"/>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179462211"/>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179462212"/>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179462213"/>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179462214"/>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179462215"/>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179462216"/>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179462217"/>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179462218"/>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179462219"/>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179462220"/>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179462221"/>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179462222"/>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179462223"/>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179462224"/>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179462225"/>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179462226"/>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179462227"/>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179462228"/>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179462229"/>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179462230"/>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179462231"/>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179462232"/>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79462233"/>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79462234"/>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79462235"/>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79462236"/>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79462237"/>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79462238"/>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79462239"/>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1" o:title=""/>
          </v:shape>
          <o:OLEObject Type="Embed" ProgID="Equation.3" ShapeID="_x0000_i1025" DrawAspect="Content" ObjectID="_1812438573"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79462240"/>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79462241"/>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79462242"/>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79462243"/>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79462244"/>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79462245"/>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79462246"/>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179462247"/>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179462248"/>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179462249"/>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179462250"/>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179462251"/>
      <w:r>
        <w:rPr>
          <w:rStyle w:val="CharSectno"/>
        </w:rPr>
        <w:t>25B</w:t>
      </w:r>
      <w:r>
        <w:t>.</w:t>
      </w:r>
      <w:r>
        <w:tab/>
        <w:t>Fee payable for review of decision related to banned drinker orders (Act s. 152YY(1))</w:t>
      </w:r>
      <w:bookmarkEnd w:id="99"/>
    </w:p>
    <w:p>
      <w:pPr>
        <w:pStyle w:val="Subsection"/>
      </w:pPr>
      <w:r>
        <w:tab/>
        <w:t>(1)</w:t>
      </w:r>
      <w:r>
        <w:tab/>
        <w:t>A fee of $272.50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w:t>
      </w:r>
    </w:p>
    <w:p>
      <w:pPr>
        <w:pStyle w:val="Heading5"/>
      </w:pPr>
      <w:bookmarkStart w:id="100" w:name="_Toc179462252"/>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179462253"/>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179462254"/>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$311.50; or</w:t>
      </w:r>
    </w:p>
    <w:p>
      <w:pPr>
        <w:pStyle w:val="Indenta"/>
      </w:pPr>
      <w:r>
        <w:tab/>
        <w:t>(b)</w:t>
      </w:r>
      <w:r>
        <w:tab/>
        <w:t>if 3 or more such permits have been issued — an additional amount of $628.</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w:t>
      </w:r>
    </w:p>
    <w:p>
      <w:pPr>
        <w:pStyle w:val="Heading5"/>
      </w:pPr>
      <w:bookmarkStart w:id="103" w:name="_Toc179462255"/>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179462256"/>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w:t>
      </w:r>
    </w:p>
    <w:p>
      <w:pPr>
        <w:pStyle w:val="Heading5"/>
      </w:pPr>
      <w:bookmarkStart w:id="105" w:name="_Toc179462257"/>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106" w:name="_Toc179462258"/>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179460276"/>
      <w:bookmarkStart w:id="108" w:name="_Toc179460440"/>
      <w:bookmarkStart w:id="109" w:name="_Toc179462259"/>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179460277"/>
      <w:bookmarkStart w:id="111" w:name="_Toc179460441"/>
      <w:bookmarkStart w:id="112" w:name="_Toc179462260"/>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179460278"/>
      <w:bookmarkStart w:id="114" w:name="_Toc179460442"/>
      <w:bookmarkStart w:id="115" w:name="_Toc179462261"/>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179460279"/>
      <w:bookmarkStart w:id="117" w:name="_Toc179460443"/>
      <w:bookmarkStart w:id="118" w:name="_Toc179462262"/>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179460280"/>
      <w:bookmarkStart w:id="120" w:name="_Toc179460444"/>
      <w:bookmarkStart w:id="121" w:name="_Toc179462263"/>
      <w:r>
        <w:rPr>
          <w:rStyle w:val="CharSchNo"/>
        </w:rPr>
        <w:lastRenderedPageBreak/>
        <w:t>Schedule 3</w:t>
      </w:r>
      <w:r>
        <w:t> — </w:t>
      </w:r>
      <w:r>
        <w:rPr>
          <w:rStyle w:val="CharSchText"/>
        </w:rPr>
        <w:t>Fees</w:t>
      </w:r>
      <w:bookmarkEnd w:id="119"/>
      <w:bookmarkEnd w:id="120"/>
      <w:bookmarkEnd w:id="121"/>
    </w:p>
    <w:p>
      <w:pPr>
        <w:pStyle w:val="yShoulderClause"/>
      </w:pPr>
      <w:r>
        <w:t>[r. 11, 14ADF, 18B, 26 and 27A]</w:t>
      </w:r>
    </w:p>
    <w:p>
      <w:pPr>
        <w:pStyle w:val="yFootnoteheading"/>
      </w:pPr>
      <w:r>
        <w:tab/>
        <w:t>[Heading inserted: SL 2023/156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3 911.50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1 003</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960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660.50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324.50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58.50</w:t>
            </w:r>
          </w:p>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253</w:t>
            </w:r>
            <w:r>
              <w:t>.00</w:t>
            </w:r>
          </w:p>
          <w:p>
            <w:pPr>
              <w:pStyle w:val="yTableNAm"/>
              <w:tabs>
                <w:tab w:val="clear" w:pos="567"/>
                <w:tab w:val="right" w:pos="659"/>
              </w:tabs>
              <w:ind w:right="48"/>
              <w:jc w:val="right"/>
            </w:pPr>
            <w:r>
              <w:rPr>
                <w:szCs w:val="22"/>
              </w:rPr>
              <w:t>1 285.50</w:t>
            </w:r>
          </w:p>
          <w:p>
            <w:pPr>
              <w:pStyle w:val="yTableNAm"/>
              <w:tabs>
                <w:tab w:val="clear" w:pos="567"/>
                <w:tab w:val="right" w:pos="659"/>
              </w:tabs>
              <w:ind w:right="48"/>
              <w:jc w:val="right"/>
            </w:pPr>
            <w:r>
              <w:rPr>
                <w:szCs w:val="22"/>
              </w:rPr>
              <w:t>2 575.50</w:t>
            </w:r>
          </w:p>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t>392.50</w:t>
            </w:r>
          </w:p>
          <w:p>
            <w:pPr>
              <w:pStyle w:val="yTableNAm"/>
              <w:tabs>
                <w:tab w:val="clear" w:pos="567"/>
                <w:tab w:val="right" w:pos="659"/>
              </w:tabs>
              <w:ind w:right="48"/>
              <w:jc w:val="right"/>
            </w:pPr>
            <w:r>
              <w:br/>
            </w:r>
            <w:r>
              <w:rPr>
                <w:szCs w:val="22"/>
              </w:rPr>
              <w:t>392.50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392.50</w:t>
            </w:r>
          </w:p>
          <w:p>
            <w:pPr>
              <w:pStyle w:val="yTableNAm"/>
              <w:tabs>
                <w:tab w:val="clear" w:pos="567"/>
                <w:tab w:val="right" w:pos="659"/>
              </w:tabs>
              <w:ind w:right="48"/>
              <w:jc w:val="right"/>
              <w:rPr>
                <w:szCs w:val="22"/>
              </w:rPr>
            </w:pPr>
            <w:r>
              <w:rPr>
                <w:szCs w:val="22"/>
              </w:rPr>
              <w:t>330.50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1 322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48</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201.00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66.00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17.00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181</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141.50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57.00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r>
              <w:rPr>
                <w:szCs w:val="22"/>
              </w:rPr>
              <w:t>178</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122</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450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t>39.00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82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268</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49</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248</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297.50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r>
              <w:t>26.</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r>
              <w:rPr>
                <w:szCs w:val="22"/>
              </w:rPr>
              <w:t>71.50</w:t>
            </w:r>
          </w:p>
        </w:tc>
      </w:tr>
      <w:tr>
        <w:tc>
          <w:tcPr>
            <w:tcW w:w="684" w:type="dxa"/>
            <w:noWrap/>
          </w:tcPr>
          <w:p>
            <w:pPr>
              <w:pStyle w:val="yTableNAm"/>
            </w:pPr>
            <w:r>
              <w:t>27.</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r>
              <w:rPr>
                <w:szCs w:val="22"/>
              </w:rPr>
              <w:t>65</w:t>
            </w:r>
            <w:r>
              <w:t>.00</w:t>
            </w:r>
          </w:p>
        </w:tc>
      </w:tr>
      <w:tr>
        <w:tc>
          <w:tcPr>
            <w:tcW w:w="684" w:type="dxa"/>
            <w:noWrap/>
          </w:tcPr>
          <w:p>
            <w:pPr>
              <w:pStyle w:val="yTableNAm"/>
            </w:pPr>
            <w:r>
              <w:t>28.</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r>
              <w:rPr>
                <w:szCs w:val="22"/>
              </w:rPr>
              <w:t>159.50</w:t>
            </w:r>
          </w:p>
        </w:tc>
      </w:tr>
      <w:tr>
        <w:tc>
          <w:tcPr>
            <w:tcW w:w="684" w:type="dxa"/>
            <w:noWrap/>
          </w:tcPr>
          <w:p>
            <w:pPr>
              <w:pStyle w:val="yTableNAm"/>
            </w:pPr>
            <w:r>
              <w:t>29.</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30.</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29.50</w:t>
            </w:r>
            <w:r>
              <w:br/>
              <w:t>(up to a max. of 236.00)</w:t>
            </w:r>
          </w:p>
        </w:tc>
      </w:tr>
      <w:tr>
        <w:tc>
          <w:tcPr>
            <w:tcW w:w="684" w:type="dxa"/>
            <w:noWrap/>
          </w:tcPr>
          <w:p>
            <w:pPr>
              <w:pStyle w:val="yTableNAm"/>
            </w:pPr>
            <w:r>
              <w:t>31.</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32.</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33.</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32]</w:t>
            </w:r>
          </w:p>
        </w:tc>
        <w:tc>
          <w:tcPr>
            <w:tcW w:w="1114" w:type="dxa"/>
            <w:noWrap/>
          </w:tcPr>
          <w:p>
            <w:pPr>
              <w:pStyle w:val="yTableNAm"/>
              <w:tabs>
                <w:tab w:val="clear" w:pos="567"/>
                <w:tab w:val="right" w:pos="659"/>
              </w:tabs>
              <w:ind w:right="48"/>
              <w:jc w:val="right"/>
            </w:pPr>
            <w:r>
              <w:br/>
            </w:r>
            <w:r>
              <w:br/>
              <w:t>29.50</w:t>
            </w:r>
          </w:p>
        </w:tc>
      </w:tr>
      <w:tr>
        <w:tc>
          <w:tcPr>
            <w:tcW w:w="684" w:type="dxa"/>
            <w:noWrap/>
          </w:tcPr>
          <w:p>
            <w:pPr>
              <w:pStyle w:val="yTableNAm"/>
            </w:pPr>
            <w:r>
              <w:lastRenderedPageBreak/>
              <w:t>34.</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r>
              <w:t>35.</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24.50</w:t>
            </w:r>
          </w:p>
        </w:tc>
      </w:tr>
      <w:tr>
        <w:tc>
          <w:tcPr>
            <w:tcW w:w="684" w:type="dxa"/>
            <w:noWrap/>
          </w:tcPr>
          <w:p>
            <w:pPr>
              <w:pStyle w:val="yTableNAm"/>
            </w:pPr>
            <w:r>
              <w:t>36.</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37.</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r>
              <w:rPr>
                <w:szCs w:val="22"/>
              </w:rPr>
              <w:t>57</w:t>
            </w:r>
            <w:r>
              <w:t>.00</w:t>
            </w:r>
          </w:p>
        </w:tc>
      </w:tr>
      <w:tr>
        <w:tc>
          <w:tcPr>
            <w:tcW w:w="684" w:type="dxa"/>
            <w:tcBorders>
              <w:bottom w:val="nil"/>
            </w:tcBorders>
            <w:noWrap/>
          </w:tcPr>
          <w:p>
            <w:pPr>
              <w:pStyle w:val="yTableNAm"/>
            </w:pPr>
            <w:r>
              <w:t>38.</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r>
              <w:t>44.00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r>
              <w:rPr>
                <w:szCs w:val="22"/>
              </w:rPr>
              <w:t>98</w:t>
            </w:r>
            <w:r>
              <w:t>.00</w:t>
            </w:r>
          </w:p>
        </w:tc>
      </w:tr>
      <w:tr>
        <w:tc>
          <w:tcPr>
            <w:tcW w:w="684" w:type="dxa"/>
            <w:tcBorders>
              <w:top w:val="nil"/>
              <w:left w:val="single" w:sz="4" w:space="0" w:color="auto"/>
              <w:bottom w:val="single" w:sz="4" w:space="0" w:color="auto"/>
              <w:right w:val="single" w:sz="4" w:space="0" w:color="auto"/>
            </w:tcBorders>
            <w:noWrap/>
          </w:tcPr>
          <w:p>
            <w:pPr>
              <w:pStyle w:val="yTableNAm"/>
            </w:pPr>
            <w:r>
              <w:t>39.</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t>166.00</w:t>
            </w:r>
          </w:p>
        </w:tc>
      </w:tr>
    </w:tbl>
    <w:p>
      <w:pPr>
        <w:pStyle w:val="yFootnotesection"/>
      </w:pPr>
      <w:r>
        <w:tab/>
        <w:t>[Schedule 3 inserted: SL 2023/156 r. 13.]</w:t>
      </w:r>
    </w:p>
    <w:p>
      <w:pPr>
        <w:pStyle w:val="yFootnoteheading"/>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2" w:name="_Toc179460281"/>
      <w:bookmarkStart w:id="123" w:name="_Toc179460445"/>
      <w:bookmarkStart w:id="124" w:name="_Toc179462264"/>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2"/>
      <w:bookmarkEnd w:id="123"/>
      <w:bookmarkEnd w:id="124"/>
    </w:p>
    <w:p>
      <w:pPr>
        <w:pStyle w:val="yShoulderClause"/>
      </w:pPr>
      <w:r>
        <w:t>[r. 28(3)]</w:t>
      </w:r>
    </w:p>
    <w:p>
      <w:pPr>
        <w:pStyle w:val="yHeading5"/>
      </w:pPr>
      <w:bookmarkStart w:id="125" w:name="_Toc179462265"/>
      <w:r>
        <w:rPr>
          <w:rStyle w:val="CharSClsNo"/>
        </w:rPr>
        <w:t>1</w:t>
      </w:r>
      <w:r>
        <w:t>.</w:t>
      </w:r>
      <w:r>
        <w:tab/>
        <w:t>Fremantle</w:t>
      </w:r>
      <w:bookmarkEnd w:id="12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6" w:name="_Toc179462266"/>
      <w:r>
        <w:rPr>
          <w:rStyle w:val="CharSClsNo"/>
        </w:rPr>
        <w:lastRenderedPageBreak/>
        <w:t>2</w:t>
      </w:r>
      <w:r>
        <w:t>.</w:t>
      </w:r>
      <w:r>
        <w:tab/>
        <w:t>Hillarys</w:t>
      </w:r>
      <w:bookmarkEnd w:id="126"/>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27" w:name="_Toc179462267"/>
      <w:r>
        <w:rPr>
          <w:rStyle w:val="CharSClsNo"/>
        </w:rPr>
        <w:lastRenderedPageBreak/>
        <w:t>3</w:t>
      </w:r>
      <w:r>
        <w:t>.</w:t>
      </w:r>
      <w:r>
        <w:tab/>
        <w:t>Mandurah</w:t>
      </w:r>
      <w:bookmarkEnd w:id="127"/>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28" w:name="_Toc179462268"/>
      <w:r>
        <w:rPr>
          <w:rStyle w:val="CharSClsNo"/>
        </w:rPr>
        <w:lastRenderedPageBreak/>
        <w:t>4</w:t>
      </w:r>
      <w:r>
        <w:t>.</w:t>
      </w:r>
      <w:r>
        <w:tab/>
        <w:t>Perth and Northbridge</w:t>
      </w:r>
      <w:bookmarkEnd w:id="128"/>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29" w:name="_Toc179462269"/>
      <w:r>
        <w:rPr>
          <w:rStyle w:val="CharSClsNo"/>
        </w:rPr>
        <w:lastRenderedPageBreak/>
        <w:t>5</w:t>
      </w:r>
      <w:r>
        <w:t>.</w:t>
      </w:r>
      <w:r>
        <w:tab/>
        <w:t>Scarborough</w:t>
      </w:r>
      <w:bookmarkEnd w:id="12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0" w:name="_Toc179460287"/>
      <w:bookmarkStart w:id="131" w:name="_Toc179460451"/>
      <w:bookmarkStart w:id="132" w:name="_Toc179462270"/>
      <w:r>
        <w:lastRenderedPageBreak/>
        <w:t>Notes</w:t>
      </w:r>
      <w:bookmarkEnd w:id="130"/>
      <w:bookmarkEnd w:id="131"/>
      <w:bookmarkEnd w:id="13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179462271"/>
      <w:r>
        <w:t>Compilation table</w:t>
      </w:r>
      <w:bookmarkEnd w:id="13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single" w:sz="4" w:space="0" w:color="auto"/>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single" w:sz="4" w:space="0" w:color="auto"/>
            </w:tcBorders>
            <w:shd w:val="clear" w:color="auto" w:fill="auto"/>
          </w:tcPr>
          <w:p>
            <w:pPr>
              <w:pStyle w:val="nTable"/>
              <w:spacing w:after="40"/>
            </w:pPr>
            <w:r>
              <w:t>SL 2024/138 26 Jun 2024</w:t>
            </w:r>
          </w:p>
        </w:tc>
        <w:tc>
          <w:tcPr>
            <w:tcW w:w="2693" w:type="dxa"/>
            <w:tcBorders>
              <w:top w:val="nil"/>
              <w:bottom w:val="single" w:sz="4" w:space="0" w:color="auto"/>
            </w:tcBorders>
            <w:shd w:val="clear" w:color="auto" w:fill="auto"/>
          </w:tcPr>
          <w:p>
            <w:pPr>
              <w:pStyle w:val="nTable"/>
              <w:spacing w:after="40"/>
            </w:pPr>
            <w:r>
              <w:t>27 Jun 2024 (see r. 2(b))</w:t>
            </w:r>
          </w:p>
        </w:tc>
      </w:tr>
    </w:tbl>
    <w:p>
      <w:pPr>
        <w:pStyle w:val="nHeading3"/>
      </w:pPr>
      <w:bookmarkStart w:id="134" w:name="_Toc179462272"/>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nil"/>
              <w:bottom w:val="nil"/>
            </w:tcBorders>
          </w:tcPr>
          <w:p>
            <w:pPr>
              <w:pStyle w:val="nTable"/>
              <w:spacing w:after="40"/>
            </w:pPr>
            <w:r>
              <w:t>SL 2023/196 13 Dec 2023</w:t>
            </w:r>
          </w:p>
        </w:tc>
        <w:tc>
          <w:tcPr>
            <w:tcW w:w="2693" w:type="dxa"/>
            <w:tcBorders>
              <w:top w:val="nil"/>
              <w:bottom w:val="nil"/>
            </w:tcBorders>
          </w:tcPr>
          <w:p>
            <w:pPr>
              <w:pStyle w:val="nTable"/>
              <w:spacing w:after="40"/>
            </w:pPr>
            <w:r>
              <w:t>14 Dec 2025 (see r. 2(d))</w:t>
            </w:r>
          </w:p>
        </w:tc>
      </w:tr>
      <w:tr>
        <w:tc>
          <w:tcPr>
            <w:tcW w:w="3118" w:type="dxa"/>
            <w:tcBorders>
              <w:top w:val="nil"/>
              <w:bottom w:val="single" w:sz="4" w:space="0" w:color="auto"/>
            </w:tcBorders>
          </w:tcPr>
          <w:p>
            <w:pPr>
              <w:pStyle w:val="nTable"/>
              <w:spacing w:after="40"/>
              <w:rPr>
                <w:bCs/>
                <w:iCs/>
                <w:noProof/>
              </w:rPr>
            </w:pPr>
            <w:r>
              <w:rPr>
                <w:bCs/>
                <w:i/>
                <w:noProof/>
              </w:rPr>
              <w:t>Racing and Gaming Regulations Amendment (Fees and Charges) Regulations 2024</w:t>
            </w:r>
            <w:r>
              <w:rPr>
                <w:bCs/>
                <w:iCs/>
                <w:noProof/>
              </w:rPr>
              <w:t xml:space="preserve"> Pt. 6</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Pr>
        <w:pStyle w:val="nHeading3"/>
        <w:keepLines/>
        <w:widowControl w:val="0"/>
      </w:pPr>
      <w:bookmarkStart w:id="135" w:name="_Toc179462273"/>
      <w:r>
        <w:lastRenderedPageBreak/>
        <w:t>Other notes</w:t>
      </w:r>
      <w:bookmarkEnd w:id="135"/>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7" w:name="_Toc179460291"/>
      <w:bookmarkStart w:id="138" w:name="_Toc179460455"/>
      <w:bookmarkStart w:id="139" w:name="_Toc179462274"/>
      <w:r>
        <w:rPr>
          <w:sz w:val="28"/>
        </w:rPr>
        <w:lastRenderedPageBreak/>
        <w:t>Defined terms</w:t>
      </w:r>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042C00"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04BBD49C" w14:textId="580FB872" w:rsidR="002439D2" w:rsidRDefault="007947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F0A9C">
                        <w:rPr>
                          <w:sz w:val="16"/>
                        </w:rPr>
                        <w:t>2024</w:t>
                      </w:r>
                      <w:r>
                        <w:rPr>
                          <w:sz w:val="16"/>
                        </w:rPr>
                        <w:fldChar w:fldCharType="end"/>
                      </w:r>
                      <w:r>
                        <w:rPr>
                          <w:sz w:val="16"/>
                        </w:rPr>
                        <w:t>.</w:t>
                      </w:r>
                    </w:p>
                    <w:p w14:paraId="34D80604" w14:textId="77777777" w:rsidR="002439D2" w:rsidRDefault="007947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6B9AC6" w14:textId="70ADB71B" w:rsidR="002439D2" w:rsidRDefault="007947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F0A9C">
                        <w:rPr>
                          <w:sz w:val="16"/>
                        </w:rPr>
                        <w:t>2024</w:t>
                      </w:r>
                      <w:r>
                        <w:rPr>
                          <w:sz w:val="16"/>
                        </w:rPr>
                        <w:fldChar w:fldCharType="end"/>
                      </w:r>
                      <w:r>
                        <w:rPr>
                          <w:sz w:val="16"/>
                        </w:rPr>
                        <w:t>.</w:t>
                      </w:r>
                    </w:p>
                    <w:p w14:paraId="611D772B" w14:textId="77777777" w:rsidR="002439D2" w:rsidRDefault="007947C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4124"/>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41"/>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31895</Words>
  <Characters>152462</Characters>
  <Application>Microsoft Office Word</Application>
  <DocSecurity>0</DocSecurity>
  <Lines>5257</Lines>
  <Paragraphs>3124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1989 - 14-am0-00</dc:title>
  <dc:subject/>
  <dc:creator/>
  <cp:keywords/>
  <dc:description/>
  <cp:lastModifiedBy>Master Repository Process</cp:lastModifiedBy>
  <cp:revision>4</cp:revision>
  <cp:lastPrinted>2019-12-05T02:25:00Z</cp:lastPrinted>
  <dcterms:created xsi:type="dcterms:W3CDTF">2025-06-26T02:22:00Z</dcterms:created>
  <dcterms:modified xsi:type="dcterms:W3CDTF">2025-06-26T02:23:00Z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16 Oct 2024</vt:lpwstr>
  </property>
  <property fmtid="{D5CDD505-2E9C-101B-9397-08002B2CF9AE}" pid="8" name="Suffix">
    <vt:lpwstr>14-am0-00</vt:lpwstr>
  </property>
  <property fmtid="{D5CDD505-2E9C-101B-9397-08002B2CF9AE}" pid="9" name="Official">
    <vt:lpwstr/>
  </property>
  <property fmtid="{D5CDD505-2E9C-101B-9397-08002B2CF9AE}" pid="10" name="CommencementDate">
    <vt:lpwstr>20241016</vt:lpwstr>
  </property>
  <property fmtid="{D5CDD505-2E9C-101B-9397-08002B2CF9AE}" pid="11" name="CommencementAsAt">
    <vt:filetime>2024-10-15T16:00:00Z</vt:filetime>
  </property>
  <property fmtid="{D5CDD505-2E9C-101B-9397-08002B2CF9AE}" pid="12" name="CommencementYear">
    <vt:lpwstr>2024</vt:lpwstr>
  </property>
</Properties>
</file>