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2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66" name="Picture 66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Licensed Surveyors Act 1909</w:t>
      </w:r>
      <w:r>
        <w:fldChar w:fldCharType="end"/>
      </w:r>
    </w:p>
    <w:p>
      <w:pPr>
        <w:pStyle w:val="NameofActRegPage1"/>
        <w:spacing w:before="1800" w:after="20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Licensed Surveyors (Licensing and Registration) Amendment Regulations 2024</w:t>
      </w:r>
      <w:r>
        <w:fldChar w:fldCharType="end"/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4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Licensed Surveyors (Licensing and Registration) Amendment Regulations 2024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_Toc180069223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_Toc180069224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</w:t>
      </w:r>
      <w:r>
        <w:rPr>
          <w:snapToGrid w:val="0"/>
        </w:rPr>
        <w:t>.</w:t>
      </w:r>
      <w:r>
        <w:rPr>
          <w:snapToGrid w:val="0"/>
        </w:rPr>
        <w:tab/>
        <w:t>Regulations amended</w:t>
      </w:r>
      <w:r>
        <w:tab/>
      </w:r>
      <w:r>
        <w:fldChar w:fldCharType="begin"/>
      </w:r>
      <w:r>
        <w:instrText xml:space="preserve"> PAGEREF _Toc180069225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Part 1 heading inserted</w:t>
      </w:r>
      <w:r>
        <w:tab/>
      </w:r>
      <w:r>
        <w:fldChar w:fldCharType="begin"/>
      </w:r>
      <w:r>
        <w:instrText xml:space="preserve"> PAGEREF _Toc180069226 \h </w:instrText>
      </w:r>
      <w:r>
        <w:fldChar w:fldCharType="separate"/>
      </w:r>
      <w:r>
        <w:t>1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Part 2 heading inserted</w:t>
      </w:r>
      <w:r>
        <w:tab/>
      </w:r>
      <w:r>
        <w:fldChar w:fldCharType="begin"/>
      </w:r>
      <w:r>
        <w:instrText xml:space="preserve"> PAGEREF _Toc180069228 \h </w:instrText>
      </w:r>
      <w:r>
        <w:fldChar w:fldCharType="separate"/>
      </w:r>
      <w:r>
        <w:t>2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2 — Professional training agreements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Part 3 heading inserted</w:t>
      </w:r>
      <w:r>
        <w:tab/>
      </w:r>
      <w:r>
        <w:fldChar w:fldCharType="begin"/>
      </w:r>
      <w:r>
        <w:instrText xml:space="preserve"> PAGEREF _Toc180069230 \h </w:instrText>
      </w:r>
      <w:r>
        <w:fldChar w:fldCharType="separate"/>
      </w:r>
      <w:r>
        <w:t>2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3 — Examinations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Part 4 heading inserted</w:t>
      </w:r>
      <w:r>
        <w:tab/>
      </w:r>
      <w:r>
        <w:fldChar w:fldCharType="begin"/>
      </w:r>
      <w:r>
        <w:instrText xml:space="preserve"> PAGEREF _Toc180069232 \h </w:instrText>
      </w:r>
      <w:r>
        <w:fldChar w:fldCharType="separate"/>
      </w:r>
      <w:r>
        <w:t>2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 — Certificates, registration and licences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Regulations 18B and 18C replaced</w:t>
      </w:r>
      <w:r>
        <w:tab/>
      </w:r>
      <w:r>
        <w:fldChar w:fldCharType="begin"/>
      </w:r>
      <w:r>
        <w:instrText xml:space="preserve"> PAGEREF _Toc180069234 \h </w:instrText>
      </w:r>
      <w:r>
        <w:fldChar w:fldCharType="separate"/>
      </w:r>
      <w:r>
        <w:t>2</w:t>
      </w:r>
      <w: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18B.</w:t>
      </w:r>
      <w:r>
        <w:rPr>
          <w:noProof/>
        </w:rPr>
        <w:tab/>
        <w:t>Applications for issue and renewal of practising certificates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Regulation 18D amended</w:t>
      </w:r>
      <w:r>
        <w:tab/>
      </w:r>
      <w:r>
        <w:fldChar w:fldCharType="begin"/>
      </w:r>
      <w:r>
        <w:instrText xml:space="preserve"> PAGEREF _Toc180069236 \h </w:instrText>
      </w:r>
      <w:r>
        <w:fldChar w:fldCharType="separate"/>
      </w:r>
      <w:r>
        <w:t>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Part 5 inserted</w:t>
      </w:r>
      <w:r>
        <w:tab/>
      </w:r>
      <w:r>
        <w:fldChar w:fldCharType="begin"/>
      </w:r>
      <w:r>
        <w:instrText xml:space="preserve"> PAGEREF _Toc180069237 \h </w:instrText>
      </w:r>
      <w:r>
        <w:fldChar w:fldCharType="separate"/>
      </w:r>
      <w:r>
        <w:t>3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 — Professional indemnity insurance</w:t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18F.</w:t>
      </w:r>
      <w:r>
        <w:rPr>
          <w:noProof/>
        </w:rPr>
        <w:tab/>
        <w:t>Term used: complying policy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18G.</w:t>
      </w:r>
      <w:r>
        <w:rPr>
          <w:noProof/>
        </w:rPr>
        <w:tab/>
        <w:t>Complying policies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18H.</w:t>
      </w:r>
      <w:r>
        <w:rPr>
          <w:noProof/>
        </w:rPr>
        <w:tab/>
        <w:t>Complying policy may be held by employer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18I.</w:t>
      </w:r>
      <w:r>
        <w:rPr>
          <w:noProof/>
        </w:rPr>
        <w:tab/>
        <w:t xml:space="preserve">Complying policy </w:t>
      </w:r>
      <w:r>
        <w:rPr>
          <w:bCs/>
          <w:noProof/>
        </w:rPr>
        <w:t>necessary for practising certificate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Regulations 18J to 18M inserted</w:t>
      </w:r>
      <w:r>
        <w:tab/>
      </w:r>
      <w:r>
        <w:fldChar w:fldCharType="begin"/>
      </w:r>
      <w:r>
        <w:instrText xml:space="preserve"> PAGEREF _Toc180069243 \h </w:instrText>
      </w:r>
      <w:r>
        <w:fldChar w:fldCharType="separate"/>
      </w:r>
      <w:r>
        <w:t>6</w:t>
      </w:r>
      <w: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18J.</w:t>
      </w:r>
      <w:r>
        <w:rPr>
          <w:noProof/>
        </w:rPr>
        <w:tab/>
        <w:t>Complying policy necessary to make authorised surveys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lastRenderedPageBreak/>
        <w:t>18K.</w:t>
      </w:r>
      <w:r>
        <w:rPr>
          <w:noProof/>
        </w:rPr>
        <w:tab/>
        <w:t>Holder of practising certificate must give notice of not being covered by complying policy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18L.</w:t>
      </w:r>
      <w:r>
        <w:rPr>
          <w:noProof/>
        </w:rPr>
        <w:tab/>
        <w:t>Board may order h</w:t>
      </w:r>
      <w:r>
        <w:rPr>
          <w:bCs/>
          <w:noProof/>
        </w:rPr>
        <w:t>older to give notice and evidence of</w:t>
      </w:r>
      <w:r>
        <w:rPr>
          <w:noProof/>
        </w:rPr>
        <w:t xml:space="preserve"> complying policy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>
      <w:pPr>
        <w:pStyle w:val="TOC9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18M.</w:t>
      </w:r>
      <w:r>
        <w:rPr>
          <w:noProof/>
        </w:rPr>
        <w:tab/>
        <w:t>Suspension of practising certificate for not being covered by complying policy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_Toc180069247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Part 6 heading inserted</w:t>
      </w:r>
      <w:r>
        <w:tab/>
      </w:r>
      <w:r>
        <w:fldChar w:fldCharType="begin"/>
      </w:r>
      <w:r>
        <w:instrText xml:space="preserve"> PAGEREF _Toc180069248 \h </w:instrText>
      </w:r>
      <w:r>
        <w:fldChar w:fldCharType="separate"/>
      </w:r>
      <w:r>
        <w:t>8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6 — Fees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Part 7 heading inserted</w:t>
      </w:r>
      <w:r>
        <w:tab/>
      </w:r>
      <w:r>
        <w:fldChar w:fldCharType="begin"/>
      </w:r>
      <w:r>
        <w:instrText xml:space="preserve"> PAGEREF _Toc180069250 \h </w:instrText>
      </w:r>
      <w:r>
        <w:fldChar w:fldCharType="separate"/>
      </w:r>
      <w:r>
        <w:t>8</w:t>
      </w:r>
      <w:r>
        <w:fldChar w:fldCharType="end"/>
      </w:r>
    </w:p>
    <w:p>
      <w:pPr>
        <w:pStyle w:val="TOC3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7 — Repeal and savings and transitional provisions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Schedule 1 amended</w:t>
      </w:r>
      <w:r>
        <w:tab/>
      </w:r>
      <w:r>
        <w:fldChar w:fldCharType="begin"/>
      </w:r>
      <w:r>
        <w:instrText xml:space="preserve"> PAGEREF _Toc180069252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Schedule 2 amended</w:t>
      </w:r>
      <w:r>
        <w:tab/>
      </w:r>
      <w:r>
        <w:fldChar w:fldCharType="begin"/>
      </w:r>
      <w:r>
        <w:instrText xml:space="preserve"> PAGEREF _Toc180069253 \h </w:instrText>
      </w:r>
      <w:r>
        <w:fldChar w:fldCharType="separate"/>
      </w:r>
      <w:r>
        <w:t>9</w:t>
      </w:r>
      <w:r>
        <w:fldChar w:fldCharType="end"/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PrincipalActReg"/>
      </w:pPr>
      <w:r>
        <w:lastRenderedPageBreak/>
        <w:t>Licensed Surveyors Act 1909</w:t>
      </w:r>
    </w:p>
    <w:p>
      <w:pPr>
        <w:pStyle w:val="NameofActReg"/>
      </w:pPr>
      <w:r>
        <w:t>Licensed Surveyors (Licensing and Registration) Amendment Regulations 2024</w:t>
      </w:r>
    </w:p>
    <w:p>
      <w:pPr>
        <w:pStyle w:val="MadeBy"/>
      </w:pPr>
      <w:r>
        <w:t>Made by the Land Surveyors Licensing Board with the approval of the Governor in Executive Council.</w:t>
      </w:r>
    </w:p>
    <w:p>
      <w:pPr>
        <w:pStyle w:val="Heading5"/>
      </w:pPr>
      <w:bookmarkStart w:id="2" w:name="_Toc178243078"/>
      <w:bookmarkStart w:id="3" w:name="_Toc180069223"/>
      <w:r>
        <w:rPr>
          <w:rStyle w:val="CharSectno"/>
        </w:rPr>
        <w:t>1</w:t>
      </w:r>
      <w:r>
        <w:t>.</w:t>
      </w:r>
      <w:r>
        <w:tab/>
        <w:t>Citation</w:t>
      </w:r>
      <w:bookmarkEnd w:id="2"/>
      <w:bookmarkEnd w:id="3"/>
    </w:p>
    <w:p>
      <w:pPr>
        <w:pStyle w:val="Subsection"/>
      </w:pPr>
      <w:r>
        <w:tab/>
      </w:r>
      <w:r>
        <w:tab/>
      </w:r>
      <w:bookmarkStart w:id="4" w:name="Start_Cursor"/>
      <w:bookmarkEnd w:id="4"/>
      <w:r>
        <w:t xml:space="preserve">These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Licensed Surveyors (Licensing and Registration) Amendment Regulations 2024</w:t>
      </w:r>
      <w:r>
        <w:t>.</w:t>
      </w:r>
    </w:p>
    <w:p>
      <w:pPr>
        <w:pStyle w:val="Heading5"/>
        <w:rPr>
          <w:spacing w:val="-2"/>
        </w:rPr>
      </w:pPr>
      <w:bookmarkStart w:id="5" w:name="_Toc178243079"/>
      <w:bookmarkStart w:id="6" w:name="_Toc180069224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5"/>
      <w:bookmarkEnd w:id="6"/>
    </w:p>
    <w:p>
      <w:pPr>
        <w:pStyle w:val="Subsection"/>
        <w:rPr>
          <w:spacing w:val="-2"/>
        </w:rPr>
      </w:pPr>
      <w:r>
        <w:rPr>
          <w:spacing w:val="-2"/>
        </w:rPr>
        <w:tab/>
      </w:r>
      <w:r>
        <w:rPr>
          <w:spacing w:val="-2"/>
        </w:rPr>
        <w:tab/>
      </w:r>
      <w:r>
        <w:t xml:space="preserve">These </w:t>
      </w:r>
      <w:r>
        <w:rPr>
          <w:spacing w:val="-2"/>
        </w:rPr>
        <w:t>regulations come into operation as follows</w:t>
      </w:r>
      <w:r>
        <w:t> —</w:t>
      </w:r>
    </w:p>
    <w:p>
      <w:pPr>
        <w:pStyle w:val="Indenta"/>
      </w:pPr>
      <w:r>
        <w:tab/>
        <w:t>(a)</w:t>
      </w:r>
      <w:r>
        <w:tab/>
      </w:r>
      <w:r>
        <w:rPr>
          <w:spacing w:val="-2"/>
        </w:rPr>
        <w:t>regulations</w:t>
      </w:r>
      <w:r>
        <w:t xml:space="preserve"> 1 and 2 — on the day on which these </w:t>
      </w:r>
      <w:r>
        <w:rPr>
          <w:spacing w:val="-2"/>
        </w:rPr>
        <w:t>regulations</w:t>
      </w:r>
      <w:r>
        <w:t xml:space="preserve"> are published on the WA legislation website;</w:t>
      </w:r>
    </w:p>
    <w:p>
      <w:pPr>
        <w:pStyle w:val="Indenta"/>
      </w:pPr>
      <w:r>
        <w:tab/>
        <w:t>(b)</w:t>
      </w:r>
      <w:r>
        <w:tab/>
        <w:t>regulation 11 — on 1 January 2025;</w:t>
      </w:r>
    </w:p>
    <w:p>
      <w:pPr>
        <w:pStyle w:val="Indenta"/>
      </w:pPr>
      <w:r>
        <w:tab/>
        <w:t>(c)</w:t>
      </w:r>
      <w:r>
        <w:tab/>
        <w:t xml:space="preserve">the rest of the </w:t>
      </w:r>
      <w:r>
        <w:rPr>
          <w:spacing w:val="-2"/>
        </w:rPr>
        <w:t>regulations</w:t>
      </w:r>
      <w:r>
        <w:t> — on 1 November 2024.</w:t>
      </w:r>
    </w:p>
    <w:p>
      <w:pPr>
        <w:pStyle w:val="Heading5"/>
        <w:rPr>
          <w:snapToGrid w:val="0"/>
        </w:rPr>
      </w:pPr>
      <w:bookmarkStart w:id="7" w:name="_Toc178243080"/>
      <w:bookmarkStart w:id="8" w:name="_Toc180069225"/>
      <w:r>
        <w:rPr>
          <w:rStyle w:val="CharSectno"/>
        </w:rPr>
        <w:t>3</w:t>
      </w:r>
      <w:r>
        <w:rPr>
          <w:snapToGrid w:val="0"/>
        </w:rPr>
        <w:t>.</w:t>
      </w:r>
      <w:r>
        <w:rPr>
          <w:snapToGrid w:val="0"/>
        </w:rPr>
        <w:tab/>
        <w:t>Regulations amended</w:t>
      </w:r>
      <w:bookmarkEnd w:id="7"/>
      <w:bookmarkEnd w:id="8"/>
    </w:p>
    <w:p>
      <w:pPr>
        <w:pStyle w:val="Subsection"/>
      </w:pPr>
      <w:r>
        <w:tab/>
      </w:r>
      <w:r>
        <w:tab/>
        <w:t xml:space="preserve">These </w:t>
      </w:r>
      <w:r>
        <w:rPr>
          <w:spacing w:val="-2"/>
        </w:rPr>
        <w:t>regulations amend</w:t>
      </w:r>
      <w:r>
        <w:t xml:space="preserve"> the </w:t>
      </w:r>
      <w:r>
        <w:rPr>
          <w:i/>
        </w:rPr>
        <w:t>Licensed Surveyors (Licensing and Registration) Regulations 1990</w:t>
      </w:r>
      <w:r>
        <w:t>.</w:t>
      </w:r>
    </w:p>
    <w:p>
      <w:pPr>
        <w:pStyle w:val="Heading5"/>
      </w:pPr>
      <w:bookmarkStart w:id="9" w:name="_Toc178243081"/>
      <w:bookmarkStart w:id="10" w:name="_Toc180069226"/>
      <w:r>
        <w:rPr>
          <w:rStyle w:val="CharSectno"/>
        </w:rPr>
        <w:t>4</w:t>
      </w:r>
      <w:r>
        <w:t>.</w:t>
      </w:r>
      <w:r>
        <w:tab/>
        <w:t>Part 1 heading inserted</w:t>
      </w:r>
      <w:bookmarkEnd w:id="9"/>
      <w:bookmarkEnd w:id="10"/>
    </w:p>
    <w:p>
      <w:pPr>
        <w:pStyle w:val="Subsection"/>
        <w:keepNext/>
      </w:pPr>
      <w:r>
        <w:tab/>
      </w:r>
      <w:r>
        <w:tab/>
        <w:t>Before regulation 1 insert:</w:t>
      </w:r>
    </w:p>
    <w:p>
      <w:pPr>
        <w:pStyle w:val="BlankOpen"/>
      </w:pPr>
    </w:p>
    <w:p>
      <w:pPr>
        <w:pStyle w:val="zHeading2"/>
      </w:pPr>
      <w:bookmarkStart w:id="11" w:name="_Toc178243082"/>
      <w:bookmarkStart w:id="12" w:name="_Toc178243165"/>
      <w:bookmarkStart w:id="13" w:name="_Toc178243245"/>
      <w:bookmarkStart w:id="14" w:name="_Toc180069227"/>
      <w:r>
        <w:t>Part 1 — Preliminary</w:t>
      </w:r>
      <w:bookmarkEnd w:id="11"/>
      <w:bookmarkEnd w:id="12"/>
      <w:bookmarkEnd w:id="13"/>
      <w:bookmarkEnd w:id="14"/>
    </w:p>
    <w:p>
      <w:pPr>
        <w:pStyle w:val="BlankClose"/>
      </w:pPr>
    </w:p>
    <w:p>
      <w:pPr>
        <w:pStyle w:val="Heading5"/>
      </w:pPr>
      <w:bookmarkStart w:id="15" w:name="_Toc178243083"/>
      <w:bookmarkStart w:id="16" w:name="_Toc180069228"/>
      <w:r>
        <w:rPr>
          <w:rStyle w:val="CharSectno"/>
        </w:rPr>
        <w:lastRenderedPageBreak/>
        <w:t>5</w:t>
      </w:r>
      <w:r>
        <w:t>.</w:t>
      </w:r>
      <w:r>
        <w:tab/>
        <w:t>Part 2 heading inserted</w:t>
      </w:r>
      <w:bookmarkEnd w:id="15"/>
      <w:bookmarkEnd w:id="16"/>
    </w:p>
    <w:p>
      <w:pPr>
        <w:pStyle w:val="Subsection"/>
      </w:pPr>
      <w:r>
        <w:tab/>
      </w:r>
      <w:r>
        <w:tab/>
        <w:t>After regulation 3 insert:</w:t>
      </w:r>
    </w:p>
    <w:p>
      <w:pPr>
        <w:pStyle w:val="BlankOpen"/>
      </w:pPr>
    </w:p>
    <w:p>
      <w:pPr>
        <w:pStyle w:val="zHeading2"/>
      </w:pPr>
      <w:bookmarkStart w:id="17" w:name="_Toc178243084"/>
      <w:bookmarkStart w:id="18" w:name="_Toc178243167"/>
      <w:bookmarkStart w:id="19" w:name="_Toc178243247"/>
      <w:bookmarkStart w:id="20" w:name="_Toc180069229"/>
      <w:r>
        <w:t>Part 2 — Professional training agreements</w:t>
      </w:r>
      <w:bookmarkEnd w:id="17"/>
      <w:bookmarkEnd w:id="18"/>
      <w:bookmarkEnd w:id="19"/>
      <w:bookmarkEnd w:id="20"/>
    </w:p>
    <w:p>
      <w:pPr>
        <w:pStyle w:val="BlankClose"/>
      </w:pPr>
    </w:p>
    <w:p>
      <w:pPr>
        <w:pStyle w:val="Heading5"/>
      </w:pPr>
      <w:bookmarkStart w:id="21" w:name="_Toc178243085"/>
      <w:bookmarkStart w:id="22" w:name="_Toc180069230"/>
      <w:r>
        <w:rPr>
          <w:rStyle w:val="CharSectno"/>
        </w:rPr>
        <w:t>6</w:t>
      </w:r>
      <w:r>
        <w:t>.</w:t>
      </w:r>
      <w:r>
        <w:tab/>
        <w:t>Part 3 heading inserted</w:t>
      </w:r>
      <w:bookmarkEnd w:id="21"/>
      <w:bookmarkEnd w:id="22"/>
    </w:p>
    <w:p>
      <w:pPr>
        <w:pStyle w:val="Subsection"/>
      </w:pPr>
      <w:r>
        <w:tab/>
      </w:r>
      <w:r>
        <w:tab/>
        <w:t>After regulation 9 insert:</w:t>
      </w:r>
    </w:p>
    <w:p>
      <w:pPr>
        <w:pStyle w:val="BlankOpen"/>
      </w:pPr>
    </w:p>
    <w:p>
      <w:pPr>
        <w:pStyle w:val="zHeading2"/>
      </w:pPr>
      <w:bookmarkStart w:id="23" w:name="_Toc178243086"/>
      <w:bookmarkStart w:id="24" w:name="_Toc178243169"/>
      <w:bookmarkStart w:id="25" w:name="_Toc178243249"/>
      <w:bookmarkStart w:id="26" w:name="_Toc180069231"/>
      <w:r>
        <w:t>Part 3 — Examinations</w:t>
      </w:r>
      <w:bookmarkEnd w:id="23"/>
      <w:bookmarkEnd w:id="24"/>
      <w:bookmarkEnd w:id="25"/>
      <w:bookmarkEnd w:id="26"/>
    </w:p>
    <w:p>
      <w:pPr>
        <w:pStyle w:val="BlankClose"/>
      </w:pPr>
    </w:p>
    <w:p>
      <w:pPr>
        <w:pStyle w:val="Heading5"/>
      </w:pPr>
      <w:bookmarkStart w:id="27" w:name="_Toc178243087"/>
      <w:bookmarkStart w:id="28" w:name="_Toc180069232"/>
      <w:r>
        <w:rPr>
          <w:rStyle w:val="CharSectno"/>
        </w:rPr>
        <w:t>7</w:t>
      </w:r>
      <w:r>
        <w:t>.</w:t>
      </w:r>
      <w:r>
        <w:tab/>
        <w:t>Part 4 heading inserted</w:t>
      </w:r>
      <w:bookmarkEnd w:id="27"/>
      <w:bookmarkEnd w:id="28"/>
    </w:p>
    <w:p>
      <w:pPr>
        <w:pStyle w:val="Subsection"/>
      </w:pPr>
      <w:r>
        <w:tab/>
      </w:r>
      <w:r>
        <w:tab/>
        <w:t>After regulation 13 insert:</w:t>
      </w:r>
    </w:p>
    <w:p>
      <w:pPr>
        <w:pStyle w:val="BlankOpen"/>
      </w:pPr>
    </w:p>
    <w:p>
      <w:pPr>
        <w:pStyle w:val="zHeading2"/>
      </w:pPr>
      <w:bookmarkStart w:id="29" w:name="_Toc178243088"/>
      <w:bookmarkStart w:id="30" w:name="_Toc178243171"/>
      <w:bookmarkStart w:id="31" w:name="_Toc178243251"/>
      <w:bookmarkStart w:id="32" w:name="_Toc180069233"/>
      <w:r>
        <w:t>Part 4 — Certificates, registration and licences</w:t>
      </w:r>
      <w:bookmarkEnd w:id="29"/>
      <w:bookmarkEnd w:id="30"/>
      <w:bookmarkEnd w:id="31"/>
      <w:bookmarkEnd w:id="32"/>
    </w:p>
    <w:p>
      <w:pPr>
        <w:pStyle w:val="BlankClose"/>
      </w:pPr>
    </w:p>
    <w:p>
      <w:pPr>
        <w:pStyle w:val="Heading5"/>
      </w:pPr>
      <w:bookmarkStart w:id="33" w:name="_Toc178243089"/>
      <w:bookmarkStart w:id="34" w:name="_Toc180069234"/>
      <w:r>
        <w:rPr>
          <w:rStyle w:val="CharSectno"/>
        </w:rPr>
        <w:t>8</w:t>
      </w:r>
      <w:r>
        <w:t>.</w:t>
      </w:r>
      <w:r>
        <w:tab/>
        <w:t>Regulations 18B and 18C replaced</w:t>
      </w:r>
      <w:bookmarkEnd w:id="33"/>
      <w:bookmarkEnd w:id="34"/>
    </w:p>
    <w:p>
      <w:pPr>
        <w:pStyle w:val="Subsection"/>
        <w:keepNext/>
      </w:pPr>
      <w:r>
        <w:tab/>
      </w:r>
      <w:r>
        <w:tab/>
        <w:t>Delete regulations 18B and 18C and insert:</w:t>
      </w:r>
    </w:p>
    <w:p>
      <w:pPr>
        <w:pStyle w:val="BlankOpen"/>
      </w:pPr>
    </w:p>
    <w:p>
      <w:pPr>
        <w:pStyle w:val="zHeading5"/>
      </w:pPr>
      <w:bookmarkStart w:id="35" w:name="_Toc178243090"/>
      <w:bookmarkStart w:id="36" w:name="_Toc180069235"/>
      <w:r>
        <w:t>18B.</w:t>
      </w:r>
      <w:r>
        <w:tab/>
        <w:t>Applications for issue and renewal of practising certificates</w:t>
      </w:r>
      <w:bookmarkEnd w:id="35"/>
      <w:bookmarkEnd w:id="36"/>
    </w:p>
    <w:p>
      <w:pPr>
        <w:pStyle w:val="zSubsection"/>
      </w:pPr>
      <w:r>
        <w:tab/>
        <w:t>(1)</w:t>
      </w:r>
      <w:r>
        <w:tab/>
        <w:t xml:space="preserve">An application for the issue or renewal of a practising certificate must be accompanied by — </w:t>
      </w:r>
    </w:p>
    <w:p>
      <w:pPr>
        <w:pStyle w:val="zIndenta"/>
      </w:pPr>
      <w:r>
        <w:tab/>
        <w:t>(a)</w:t>
      </w:r>
      <w:r>
        <w:tab/>
        <w:t>the evidence referred to in regulation 18I; and</w:t>
      </w:r>
    </w:p>
    <w:p>
      <w:pPr>
        <w:pStyle w:val="zIndenta"/>
      </w:pPr>
      <w:r>
        <w:tab/>
        <w:t>(b)</w:t>
      </w:r>
      <w:r>
        <w:tab/>
        <w:t>the relevant fee specified in Schedule 1 item 8 or 9.</w:t>
      </w:r>
    </w:p>
    <w:p>
      <w:pPr>
        <w:pStyle w:val="zSubsection"/>
      </w:pPr>
      <w:r>
        <w:lastRenderedPageBreak/>
        <w:tab/>
        <w:t>(2)</w:t>
      </w:r>
      <w:r>
        <w:tab/>
        <w:t>An application for the issue of a practising certificate must be in the form of Form 6.</w:t>
      </w:r>
    </w:p>
    <w:p>
      <w:pPr>
        <w:pStyle w:val="zSubsection"/>
      </w:pPr>
      <w:r>
        <w:tab/>
        <w:t>(3)</w:t>
      </w:r>
      <w:r>
        <w:tab/>
        <w:t>An application for the renewal of a practising certificate must be accompanied by evidence that the requirements, if any, of section 11B of the Act in relation to the application have been complied with.</w:t>
      </w:r>
    </w:p>
    <w:p>
      <w:pPr>
        <w:pStyle w:val="BlankClose"/>
      </w:pPr>
    </w:p>
    <w:p>
      <w:pPr>
        <w:pStyle w:val="Heading5"/>
      </w:pPr>
      <w:bookmarkStart w:id="37" w:name="_Toc178243091"/>
      <w:bookmarkStart w:id="38" w:name="_Toc180069236"/>
      <w:r>
        <w:rPr>
          <w:rStyle w:val="CharSectno"/>
        </w:rPr>
        <w:t>9</w:t>
      </w:r>
      <w:r>
        <w:t>.</w:t>
      </w:r>
      <w:r>
        <w:tab/>
        <w:t>Regulation 18D amended</w:t>
      </w:r>
      <w:bookmarkEnd w:id="37"/>
      <w:bookmarkEnd w:id="38"/>
    </w:p>
    <w:p>
      <w:pPr>
        <w:pStyle w:val="Subsection"/>
      </w:pPr>
      <w:r>
        <w:tab/>
      </w:r>
      <w:r>
        <w:tab/>
        <w:t>In regulation 18D delete “issued or renewed under section 11A of the Act shall” and insert:</w:t>
      </w:r>
    </w:p>
    <w:p>
      <w:pPr>
        <w:pStyle w:val="BlankOpen"/>
      </w:pPr>
    </w:p>
    <w:p>
      <w:pPr>
        <w:pStyle w:val="Subsection"/>
      </w:pPr>
      <w:r>
        <w:tab/>
      </w:r>
      <w:r>
        <w:tab/>
        <w:t>must</w:t>
      </w:r>
    </w:p>
    <w:p>
      <w:pPr>
        <w:pStyle w:val="BlankClose"/>
      </w:pPr>
    </w:p>
    <w:p>
      <w:pPr>
        <w:pStyle w:val="Heading5"/>
      </w:pPr>
      <w:bookmarkStart w:id="39" w:name="_Toc178243092"/>
      <w:bookmarkStart w:id="40" w:name="_Toc180069237"/>
      <w:r>
        <w:rPr>
          <w:rStyle w:val="CharSectno"/>
        </w:rPr>
        <w:t>10</w:t>
      </w:r>
      <w:r>
        <w:t>.</w:t>
      </w:r>
      <w:r>
        <w:tab/>
        <w:t>Part 5 inserted</w:t>
      </w:r>
      <w:bookmarkEnd w:id="39"/>
      <w:bookmarkEnd w:id="40"/>
    </w:p>
    <w:p>
      <w:pPr>
        <w:pStyle w:val="Subsection"/>
        <w:keepNext/>
      </w:pPr>
      <w:r>
        <w:tab/>
      </w:r>
      <w:r>
        <w:tab/>
        <w:t>After regulation 18E insert:</w:t>
      </w:r>
    </w:p>
    <w:p>
      <w:pPr>
        <w:pStyle w:val="BlankOpen"/>
      </w:pPr>
    </w:p>
    <w:p>
      <w:pPr>
        <w:pStyle w:val="zHeading2"/>
      </w:pPr>
      <w:bookmarkStart w:id="41" w:name="_Toc178243093"/>
      <w:bookmarkStart w:id="42" w:name="_Toc178243176"/>
      <w:bookmarkStart w:id="43" w:name="_Toc178243256"/>
      <w:bookmarkStart w:id="44" w:name="_Toc180069238"/>
      <w:r>
        <w:t>Part 5 — Professional indemnity insurance</w:t>
      </w:r>
      <w:bookmarkEnd w:id="41"/>
      <w:bookmarkEnd w:id="42"/>
      <w:bookmarkEnd w:id="43"/>
      <w:bookmarkEnd w:id="44"/>
    </w:p>
    <w:p>
      <w:pPr>
        <w:pStyle w:val="zHeading5"/>
      </w:pPr>
      <w:bookmarkStart w:id="45" w:name="_Toc178243094"/>
      <w:bookmarkStart w:id="46" w:name="_Toc180069239"/>
      <w:r>
        <w:t>18F.</w:t>
      </w:r>
      <w:r>
        <w:tab/>
        <w:t>Term used: complying policy</w:t>
      </w:r>
      <w:bookmarkEnd w:id="45"/>
      <w:bookmarkEnd w:id="46"/>
    </w:p>
    <w:p>
      <w:pPr>
        <w:pStyle w:val="zSubsection"/>
      </w:pPr>
      <w:r>
        <w:tab/>
      </w:r>
      <w:r>
        <w:tab/>
        <w:t xml:space="preserve">In this Part — </w:t>
      </w:r>
    </w:p>
    <w:p>
      <w:pPr>
        <w:pStyle w:val="zDefstart"/>
      </w:pPr>
      <w:r>
        <w:tab/>
      </w:r>
      <w:r>
        <w:rPr>
          <w:rStyle w:val="CharDefText"/>
        </w:rPr>
        <w:t>complying policy</w:t>
      </w:r>
      <w:r>
        <w:t xml:space="preserve"> has the meaning given in regulation 18G.</w:t>
      </w:r>
    </w:p>
    <w:p>
      <w:pPr>
        <w:pStyle w:val="zHeading5"/>
      </w:pPr>
      <w:bookmarkStart w:id="47" w:name="_Toc178243095"/>
      <w:bookmarkStart w:id="48" w:name="_Toc180069240"/>
      <w:r>
        <w:t>18G.</w:t>
      </w:r>
      <w:r>
        <w:tab/>
        <w:t>Complying policies</w:t>
      </w:r>
      <w:bookmarkEnd w:id="47"/>
      <w:bookmarkEnd w:id="48"/>
    </w:p>
    <w:p>
      <w:pPr>
        <w:pStyle w:val="zSubsection"/>
      </w:pPr>
      <w:r>
        <w:tab/>
        <w:t>(1)</w:t>
      </w:r>
      <w:r>
        <w:tab/>
        <w:t xml:space="preserve">A </w:t>
      </w:r>
      <w:r>
        <w:rPr>
          <w:rStyle w:val="CharDefText"/>
        </w:rPr>
        <w:t>complying policy</w:t>
      </w:r>
      <w:r>
        <w:t xml:space="preserve"> that covers a person is a policy of professional indemnity insurance that complies with this regulation.</w:t>
      </w:r>
    </w:p>
    <w:p>
      <w:pPr>
        <w:pStyle w:val="zSubsection"/>
        <w:rPr>
          <w:rStyle w:val="DraftersNotes"/>
          <w:b w:val="0"/>
          <w:i w:val="0"/>
          <w:sz w:val="24"/>
        </w:rPr>
      </w:pPr>
      <w:r>
        <w:tab/>
        <w:t>(2)</w:t>
      </w:r>
      <w:r>
        <w:tab/>
        <w:t xml:space="preserve">The insurance must indemnify the person against civil liability, including civil liability arising as a result of </w:t>
      </w:r>
      <w:r>
        <w:lastRenderedPageBreak/>
        <w:t>professional negligence, incurred in connection with the person practising as a licensed surveyor.</w:t>
      </w:r>
    </w:p>
    <w:p>
      <w:pPr>
        <w:pStyle w:val="zSubsection"/>
      </w:pPr>
      <w:r>
        <w:tab/>
        <w:t>(3)</w:t>
      </w:r>
      <w:r>
        <w:tab/>
        <w:t xml:space="preserve">The insurance must cover — </w:t>
      </w:r>
    </w:p>
    <w:p>
      <w:pPr>
        <w:pStyle w:val="zIndenta"/>
      </w:pPr>
      <w:r>
        <w:tab/>
        <w:t>(a)</w:t>
      </w:r>
      <w:r>
        <w:tab/>
        <w:t>claims made or notified during the period of insurance; and</w:t>
      </w:r>
    </w:p>
    <w:p>
      <w:pPr>
        <w:pStyle w:val="zIndenta"/>
      </w:pPr>
      <w:r>
        <w:tab/>
        <w:t>(b)</w:t>
      </w:r>
      <w:r>
        <w:tab/>
        <w:t>claims made after the period of insurance arising from circumstances notified during the period of insurance.</w:t>
      </w:r>
    </w:p>
    <w:p>
      <w:pPr>
        <w:pStyle w:val="zSubsection"/>
      </w:pPr>
      <w:r>
        <w:tab/>
        <w:t>(4)</w:t>
      </w:r>
      <w:r>
        <w:tab/>
        <w:t>The insurance must provide minimum coverage of $2 million for each claim under the insurance, inclusive of the claimant’s costs and defence costs.</w:t>
      </w:r>
    </w:p>
    <w:p>
      <w:pPr>
        <w:pStyle w:val="zSubsection"/>
      </w:pPr>
      <w:r>
        <w:tab/>
        <w:t>(5)</w:t>
      </w:r>
      <w:r>
        <w:tab/>
        <w:t>In addition to subregulation (4), the insurance must provide coverage that is appropriate to manage the risk associated with the person’s practice as a licensed surveyor during the period of insurance, taking into account the value of the work undertaken in the course of that practice.</w:t>
      </w:r>
    </w:p>
    <w:p>
      <w:pPr>
        <w:pStyle w:val="zHeading5"/>
      </w:pPr>
      <w:bookmarkStart w:id="49" w:name="_Toc178243096"/>
      <w:bookmarkStart w:id="50" w:name="_Toc180069241"/>
      <w:r>
        <w:t>18H.</w:t>
      </w:r>
      <w:r>
        <w:tab/>
        <w:t>Complying policy may be held by employer</w:t>
      </w:r>
      <w:bookmarkEnd w:id="49"/>
      <w:bookmarkEnd w:id="50"/>
    </w:p>
    <w:p>
      <w:pPr>
        <w:pStyle w:val="zSubsection"/>
      </w:pPr>
      <w:r>
        <w:tab/>
        <w:t>(1)</w:t>
      </w:r>
      <w:r>
        <w:tab/>
        <w:t xml:space="preserve">In this regulation — </w:t>
      </w:r>
    </w:p>
    <w:p>
      <w:pPr>
        <w:pStyle w:val="zDefstart"/>
      </w:pPr>
      <w:r>
        <w:tab/>
      </w:r>
      <w:r>
        <w:rPr>
          <w:rStyle w:val="CharDefText"/>
        </w:rPr>
        <w:t>employer</w:t>
      </w:r>
      <w:r>
        <w:t>, of a person, means an individual who, or a body corporate that, employs or otherwise engages the person to practise as a licensed surveyor (whether or not they employ or engage the person to do other things).</w:t>
      </w:r>
    </w:p>
    <w:p>
      <w:pPr>
        <w:pStyle w:val="zSubsection"/>
      </w:pPr>
      <w:r>
        <w:tab/>
        <w:t>(2)</w:t>
      </w:r>
      <w:r>
        <w:tab/>
        <w:t xml:space="preserve">If a person is covered by a complying policy, it does not matter whether the policy is held by — </w:t>
      </w:r>
    </w:p>
    <w:p>
      <w:pPr>
        <w:pStyle w:val="zIndenta"/>
      </w:pPr>
      <w:r>
        <w:tab/>
        <w:t>(a)</w:t>
      </w:r>
      <w:r>
        <w:tab/>
        <w:t>the person; or</w:t>
      </w:r>
    </w:p>
    <w:p>
      <w:pPr>
        <w:pStyle w:val="zIndenta"/>
      </w:pPr>
      <w:r>
        <w:tab/>
        <w:t>(b)</w:t>
      </w:r>
      <w:r>
        <w:tab/>
        <w:t>the person’s employer.</w:t>
      </w:r>
    </w:p>
    <w:p>
      <w:pPr>
        <w:pStyle w:val="zSubsection"/>
      </w:pPr>
      <w:r>
        <w:tab/>
        <w:t>(3)</w:t>
      </w:r>
      <w:r>
        <w:tab/>
        <w:t xml:space="preserve">However, a valid certificate of currency required to be given to the Board under regulation 18I or 18L must, if the complying policy is held by the employer of the </w:t>
      </w:r>
      <w:r>
        <w:lastRenderedPageBreak/>
        <w:t>person covered by the policy, be accompanied by written confirmation from the employer that the person is covered by the policy.</w:t>
      </w:r>
    </w:p>
    <w:p>
      <w:pPr>
        <w:pStyle w:val="zHeading5"/>
        <w:rPr>
          <w:bCs/>
        </w:rPr>
      </w:pPr>
      <w:bookmarkStart w:id="51" w:name="_Toc178243097"/>
      <w:bookmarkStart w:id="52" w:name="_Toc180069242"/>
      <w:r>
        <w:t>18I.</w:t>
      </w:r>
      <w:r>
        <w:tab/>
        <w:t xml:space="preserve">Complying policy </w:t>
      </w:r>
      <w:r>
        <w:rPr>
          <w:bCs/>
        </w:rPr>
        <w:t>necessary for practising certificate</w:t>
      </w:r>
      <w:bookmarkEnd w:id="51"/>
      <w:bookmarkEnd w:id="52"/>
    </w:p>
    <w:p>
      <w:pPr>
        <w:pStyle w:val="zSubsection"/>
      </w:pPr>
      <w:r>
        <w:tab/>
        <w:t>(1)</w:t>
      </w:r>
      <w:r>
        <w:tab/>
        <w:t>An application for the issue or renewal of a practising certificate must be accompanied by evidence that the applicant will be covered by a complying policy for the whole period during which the certificate will be in force.</w:t>
      </w:r>
    </w:p>
    <w:p>
      <w:pPr>
        <w:pStyle w:val="zSubsection"/>
      </w:pPr>
      <w:r>
        <w:tab/>
        <w:t>(2)</w:t>
      </w:r>
      <w:r>
        <w:tab/>
        <w:t>The evidence must be of a kind described in subregulation (3) or (4).</w:t>
      </w:r>
    </w:p>
    <w:p>
      <w:pPr>
        <w:pStyle w:val="zSubsection"/>
      </w:pPr>
      <w:r>
        <w:tab/>
        <w:t>(3)</w:t>
      </w:r>
      <w:r>
        <w:tab/>
        <w:t>The evidence may be a valid certificate of currency for a complying policy that covers the applicant for the whole period during which the practising certificate will be in force.</w:t>
      </w:r>
    </w:p>
    <w:p>
      <w:pPr>
        <w:pStyle w:val="zSubsection"/>
      </w:pPr>
      <w:r>
        <w:tab/>
        <w:t>(4)</w:t>
      </w:r>
      <w:r>
        <w:tab/>
        <w:t xml:space="preserve">Alternatively, the evidence may be — </w:t>
      </w:r>
    </w:p>
    <w:p>
      <w:pPr>
        <w:pStyle w:val="zIndenta"/>
      </w:pPr>
      <w:r>
        <w:tab/>
        <w:t>(a)</w:t>
      </w:r>
      <w:r>
        <w:tab/>
        <w:t xml:space="preserve">a valid certificate of currency for a complying policy that — </w:t>
      </w:r>
    </w:p>
    <w:p>
      <w:pPr>
        <w:pStyle w:val="zIndenti"/>
      </w:pPr>
      <w:r>
        <w:tab/>
        <w:t>(i)</w:t>
      </w:r>
      <w:r>
        <w:tab/>
        <w:t>covers the applicant at the time of application, or will cover the applicant at the start of the period during which the practising certificate will be in force; but</w:t>
      </w:r>
    </w:p>
    <w:p>
      <w:pPr>
        <w:pStyle w:val="zIndenti"/>
      </w:pPr>
      <w:r>
        <w:tab/>
        <w:t>(ii)</w:t>
      </w:r>
      <w:r>
        <w:tab/>
        <w:t>is due to expire when the practising certificate is in force;</w:t>
      </w:r>
    </w:p>
    <w:p>
      <w:pPr>
        <w:pStyle w:val="zIndenta"/>
      </w:pPr>
      <w:r>
        <w:tab/>
      </w:r>
      <w:r>
        <w:tab/>
        <w:t>and</w:t>
      </w:r>
    </w:p>
    <w:p>
      <w:pPr>
        <w:pStyle w:val="zIndenta"/>
      </w:pPr>
      <w:r>
        <w:tab/>
        <w:t>(b)</w:t>
      </w:r>
      <w:r>
        <w:tab/>
        <w:t>an undertaking by the applicant to ensure the applicant is covered by a complying policy for the whole period during which the practising certificate will be in force.</w:t>
      </w:r>
    </w:p>
    <w:p>
      <w:pPr>
        <w:pStyle w:val="zSubsection"/>
      </w:pPr>
      <w:r>
        <w:lastRenderedPageBreak/>
        <w:tab/>
        <w:t>(5)</w:t>
      </w:r>
      <w:r>
        <w:tab/>
        <w:t>The Board must not issue or renew a practising certificate unless the Board reasonably believes, having regard to the evidence accompanying the application, that the applicant will be covered by a complying policy for the whole period during which the certificate will be in force.</w:t>
      </w:r>
    </w:p>
    <w:p>
      <w:pPr>
        <w:pStyle w:val="BlankClose"/>
      </w:pPr>
    </w:p>
    <w:p>
      <w:pPr>
        <w:pStyle w:val="Heading5"/>
      </w:pPr>
      <w:bookmarkStart w:id="53" w:name="_Toc178243098"/>
      <w:bookmarkStart w:id="54" w:name="_Toc180069243"/>
      <w:r>
        <w:rPr>
          <w:rStyle w:val="CharSectno"/>
        </w:rPr>
        <w:t>11</w:t>
      </w:r>
      <w:r>
        <w:t>.</w:t>
      </w:r>
      <w:r>
        <w:tab/>
        <w:t>Regulations 18J to 18M inserted</w:t>
      </w:r>
      <w:bookmarkEnd w:id="53"/>
      <w:bookmarkEnd w:id="54"/>
    </w:p>
    <w:p>
      <w:pPr>
        <w:pStyle w:val="Subsection"/>
        <w:keepNext/>
        <w:rPr>
          <w:rStyle w:val="DraftersNotes"/>
          <w:b w:val="0"/>
          <w:i w:val="0"/>
          <w:sz w:val="24"/>
        </w:rPr>
      </w:pPr>
      <w:r>
        <w:tab/>
      </w:r>
      <w:r>
        <w:tab/>
        <w:t>At the end of Part 5 (as inserted by regulation 10 of these regulations) insert:</w:t>
      </w:r>
    </w:p>
    <w:p>
      <w:pPr>
        <w:pStyle w:val="BlankOpen"/>
      </w:pPr>
    </w:p>
    <w:p>
      <w:pPr>
        <w:pStyle w:val="zHeading5"/>
      </w:pPr>
      <w:bookmarkStart w:id="55" w:name="_Toc178243099"/>
      <w:bookmarkStart w:id="56" w:name="_Toc180069244"/>
      <w:r>
        <w:t>18J.</w:t>
      </w:r>
      <w:r>
        <w:tab/>
        <w:t>Complying policy necessary to make authorised surveys</w:t>
      </w:r>
      <w:bookmarkEnd w:id="55"/>
      <w:bookmarkEnd w:id="56"/>
    </w:p>
    <w:p>
      <w:pPr>
        <w:pStyle w:val="zSubsection"/>
      </w:pPr>
      <w:r>
        <w:tab/>
      </w:r>
      <w:r>
        <w:tab/>
        <w:t>A licensed surveyor must not make or attempt to make an authorised survey unless the licensed surveyor is covered by a complying policy.</w:t>
      </w:r>
    </w:p>
    <w:p>
      <w:pPr>
        <w:pStyle w:val="zPenstart"/>
      </w:pPr>
      <w:r>
        <w:tab/>
        <w:t>Penalty: a fine of $1 000.</w:t>
      </w:r>
    </w:p>
    <w:p>
      <w:pPr>
        <w:pStyle w:val="zPermNoteHeading"/>
      </w:pPr>
      <w:r>
        <w:tab/>
        <w:t xml:space="preserve">Note for this regulation: </w:t>
      </w:r>
    </w:p>
    <w:p>
      <w:pPr>
        <w:pStyle w:val="zPermNoteText"/>
      </w:pPr>
      <w:r>
        <w:tab/>
      </w:r>
      <w:r>
        <w:tab/>
        <w:t>In addition to this regulation, a person must not make an authorised survey unless the person is a licensed surveyor and the holder of a practising certificate. See section 16(3a) and (4) of the Act.</w:t>
      </w:r>
    </w:p>
    <w:p>
      <w:pPr>
        <w:pStyle w:val="zHeading5"/>
      </w:pPr>
      <w:bookmarkStart w:id="57" w:name="_Toc178243100"/>
      <w:bookmarkStart w:id="58" w:name="_Toc180069245"/>
      <w:r>
        <w:t>18K.</w:t>
      </w:r>
      <w:r>
        <w:tab/>
        <w:t>Holder of practising certificate must give notice of not being covered by complying policy</w:t>
      </w:r>
      <w:bookmarkEnd w:id="57"/>
      <w:bookmarkEnd w:id="58"/>
    </w:p>
    <w:p>
      <w:pPr>
        <w:pStyle w:val="zSubsection"/>
      </w:pPr>
      <w:r>
        <w:tab/>
      </w:r>
      <w:r>
        <w:tab/>
        <w:t>The holder of a practising certificate must give the Board written notice if the holder is not covered by a complying policy.</w:t>
      </w:r>
    </w:p>
    <w:p>
      <w:pPr>
        <w:pStyle w:val="zPenstart"/>
      </w:pPr>
      <w:r>
        <w:tab/>
        <w:t>Penalty: a fine of $1 000.</w:t>
      </w:r>
    </w:p>
    <w:p>
      <w:pPr>
        <w:pStyle w:val="zHeading5"/>
        <w:rPr>
          <w:bCs/>
        </w:rPr>
      </w:pPr>
      <w:bookmarkStart w:id="59" w:name="_Toc178243101"/>
      <w:bookmarkStart w:id="60" w:name="_Toc180069246"/>
      <w:r>
        <w:lastRenderedPageBreak/>
        <w:t>18L.</w:t>
      </w:r>
      <w:r>
        <w:tab/>
        <w:t>Board may order h</w:t>
      </w:r>
      <w:r>
        <w:rPr>
          <w:bCs/>
        </w:rPr>
        <w:t>older to give notice and evidence of</w:t>
      </w:r>
      <w:r>
        <w:t xml:space="preserve"> complying policy</w:t>
      </w:r>
      <w:bookmarkEnd w:id="59"/>
      <w:bookmarkEnd w:id="60"/>
    </w:p>
    <w:p>
      <w:pPr>
        <w:pStyle w:val="zSubsection"/>
      </w:pPr>
      <w:r>
        <w:tab/>
        <w:t>(1)</w:t>
      </w:r>
      <w:r>
        <w:tab/>
        <w:t xml:space="preserve">The Board may, by written order to the holder of a practising certificate, require the holder to give the Board, within the period specified in the order — </w:t>
      </w:r>
    </w:p>
    <w:p>
      <w:pPr>
        <w:pStyle w:val="zIndenta"/>
      </w:pPr>
      <w:r>
        <w:tab/>
        <w:t>(a)</w:t>
      </w:r>
      <w:r>
        <w:tab/>
        <w:t>written notice of whether the holder is covered by a complying policy; and</w:t>
      </w:r>
    </w:p>
    <w:p>
      <w:pPr>
        <w:pStyle w:val="zIndenta"/>
      </w:pPr>
      <w:r>
        <w:tab/>
        <w:t>(b)</w:t>
      </w:r>
      <w:r>
        <w:tab/>
        <w:t>if the written notice states that the holder is covered by a complying policy — a valid certificate of currency for the policy.</w:t>
      </w:r>
    </w:p>
    <w:p>
      <w:pPr>
        <w:pStyle w:val="zSubsection"/>
      </w:pPr>
      <w:r>
        <w:tab/>
        <w:t>(2)</w:t>
      </w:r>
      <w:r>
        <w:tab/>
        <w:t>The holder must comply with the order.</w:t>
      </w:r>
    </w:p>
    <w:p>
      <w:pPr>
        <w:pStyle w:val="zPenstart"/>
      </w:pPr>
      <w:r>
        <w:tab/>
        <w:t>Penalty for this subregulation: a fine of $1 000.</w:t>
      </w:r>
    </w:p>
    <w:p>
      <w:pPr>
        <w:pStyle w:val="zHeading5"/>
      </w:pPr>
      <w:bookmarkStart w:id="61" w:name="_Toc178243102"/>
      <w:bookmarkStart w:id="62" w:name="_Toc180069247"/>
      <w:r>
        <w:t>18M.</w:t>
      </w:r>
      <w:r>
        <w:tab/>
        <w:t>Suspension of practising certificate for not being covered by complying policy</w:t>
      </w:r>
      <w:bookmarkEnd w:id="61"/>
      <w:bookmarkEnd w:id="62"/>
    </w:p>
    <w:p>
      <w:pPr>
        <w:pStyle w:val="zSubsection"/>
      </w:pPr>
      <w:r>
        <w:tab/>
        <w:t>(1)</w:t>
      </w:r>
      <w:r>
        <w:tab/>
        <w:t>The Board must suspend a practising certificate if the Board reasonably believes the holder of the certificate is not covered by a complying policy.</w:t>
      </w:r>
    </w:p>
    <w:p>
      <w:pPr>
        <w:pStyle w:val="zSubsection"/>
      </w:pPr>
      <w:r>
        <w:tab/>
        <w:t>(2)</w:t>
      </w:r>
      <w:r>
        <w:tab/>
        <w:t xml:space="preserve">Without limiting subregulation (1), the Board may reasonably believe the holder of a practising certificate is not covered by a complying policy if the holder — </w:t>
      </w:r>
    </w:p>
    <w:p>
      <w:pPr>
        <w:pStyle w:val="zIndenta"/>
      </w:pPr>
      <w:r>
        <w:tab/>
        <w:t>(a)</w:t>
      </w:r>
      <w:r>
        <w:tab/>
        <w:t>gives the Board written notice that the holder is not covered by a complying policy; or</w:t>
      </w:r>
    </w:p>
    <w:p>
      <w:pPr>
        <w:pStyle w:val="zIndenta"/>
      </w:pPr>
      <w:r>
        <w:tab/>
        <w:t>(b)</w:t>
      </w:r>
      <w:r>
        <w:tab/>
        <w:t xml:space="preserve">in response to an order requiring the holder to give the Board written notice of whether the holder is covered by a complying policy — </w:t>
      </w:r>
    </w:p>
    <w:p>
      <w:pPr>
        <w:pStyle w:val="zIndenti"/>
      </w:pPr>
      <w:r>
        <w:tab/>
        <w:t>(i)</w:t>
      </w:r>
      <w:r>
        <w:tab/>
        <w:t>gives the Board written notice that the holder is covered by a complying policy; but</w:t>
      </w:r>
    </w:p>
    <w:p>
      <w:pPr>
        <w:pStyle w:val="zIndenti"/>
        <w:keepNext/>
      </w:pPr>
      <w:r>
        <w:lastRenderedPageBreak/>
        <w:tab/>
        <w:t>(ii)</w:t>
      </w:r>
      <w:r>
        <w:tab/>
        <w:t>does not give the Board a valid certificate of currency for the policy;</w:t>
      </w:r>
    </w:p>
    <w:p>
      <w:pPr>
        <w:pStyle w:val="zIndenta"/>
        <w:keepNext/>
        <w:ind w:left="3034"/>
      </w:pPr>
      <w:r>
        <w:t>or</w:t>
      </w:r>
    </w:p>
    <w:p>
      <w:pPr>
        <w:pStyle w:val="zIndenta"/>
      </w:pPr>
      <w:r>
        <w:tab/>
        <w:t>(c)</w:t>
      </w:r>
      <w:r>
        <w:tab/>
        <w:t>does not comply in any other way with an order requiring the holder to give the Board written notice of whether the holder is covered by a complying policy.</w:t>
      </w:r>
    </w:p>
    <w:p>
      <w:pPr>
        <w:pStyle w:val="zSubsection"/>
      </w:pPr>
      <w:r>
        <w:tab/>
        <w:t>(3)</w:t>
      </w:r>
      <w:r>
        <w:tab/>
        <w:t>The Board may terminate the suspension if the Board reasonably believes the holder of the practising certificate is covered by a complying policy.</w:t>
      </w:r>
    </w:p>
    <w:p>
      <w:pPr>
        <w:pStyle w:val="BlankClose"/>
        <w:rPr>
          <w:rStyle w:val="DraftersNotes"/>
          <w:b w:val="0"/>
          <w:i w:val="0"/>
          <w:sz w:val="24"/>
        </w:rPr>
      </w:pPr>
    </w:p>
    <w:p>
      <w:pPr>
        <w:pStyle w:val="Heading5"/>
      </w:pPr>
      <w:bookmarkStart w:id="63" w:name="_Toc178243103"/>
      <w:bookmarkStart w:id="64" w:name="_Toc180069248"/>
      <w:r>
        <w:rPr>
          <w:rStyle w:val="CharSectno"/>
        </w:rPr>
        <w:t>12</w:t>
      </w:r>
      <w:r>
        <w:t>.</w:t>
      </w:r>
      <w:r>
        <w:tab/>
        <w:t>Part 6 heading inserted</w:t>
      </w:r>
      <w:bookmarkEnd w:id="63"/>
      <w:bookmarkEnd w:id="64"/>
    </w:p>
    <w:p>
      <w:pPr>
        <w:pStyle w:val="Subsection"/>
        <w:keepNext/>
      </w:pPr>
      <w:r>
        <w:tab/>
      </w:r>
      <w:r>
        <w:tab/>
        <w:t>Before regulation 19 insert:</w:t>
      </w:r>
    </w:p>
    <w:p>
      <w:pPr>
        <w:pStyle w:val="BlankOpen"/>
      </w:pPr>
    </w:p>
    <w:p>
      <w:pPr>
        <w:pStyle w:val="zHeading2"/>
      </w:pPr>
      <w:bookmarkStart w:id="65" w:name="_Toc178243104"/>
      <w:bookmarkStart w:id="66" w:name="_Toc178243187"/>
      <w:bookmarkStart w:id="67" w:name="_Toc178243267"/>
      <w:bookmarkStart w:id="68" w:name="_Toc180069249"/>
      <w:r>
        <w:t>Part 6 — Fees</w:t>
      </w:r>
      <w:bookmarkEnd w:id="65"/>
      <w:bookmarkEnd w:id="66"/>
      <w:bookmarkEnd w:id="67"/>
      <w:bookmarkEnd w:id="68"/>
    </w:p>
    <w:p>
      <w:pPr>
        <w:pStyle w:val="BlankClose"/>
      </w:pPr>
    </w:p>
    <w:p>
      <w:pPr>
        <w:pStyle w:val="Heading5"/>
      </w:pPr>
      <w:bookmarkStart w:id="69" w:name="_Toc178243105"/>
      <w:bookmarkStart w:id="70" w:name="_Toc180069250"/>
      <w:r>
        <w:rPr>
          <w:rStyle w:val="CharSectno"/>
        </w:rPr>
        <w:t>13</w:t>
      </w:r>
      <w:r>
        <w:t>.</w:t>
      </w:r>
      <w:r>
        <w:tab/>
        <w:t>Part 7 heading inserted</w:t>
      </w:r>
      <w:bookmarkEnd w:id="69"/>
      <w:bookmarkEnd w:id="70"/>
    </w:p>
    <w:p>
      <w:pPr>
        <w:pStyle w:val="Subsection"/>
      </w:pPr>
      <w:r>
        <w:tab/>
      </w:r>
      <w:r>
        <w:tab/>
        <w:t>After regulation 19 insert:</w:t>
      </w:r>
    </w:p>
    <w:p>
      <w:pPr>
        <w:pStyle w:val="BlankOpen"/>
      </w:pPr>
    </w:p>
    <w:p>
      <w:pPr>
        <w:pStyle w:val="zHeading2"/>
      </w:pPr>
      <w:bookmarkStart w:id="71" w:name="_Toc178243106"/>
      <w:bookmarkStart w:id="72" w:name="_Toc178243189"/>
      <w:bookmarkStart w:id="73" w:name="_Toc178243269"/>
      <w:bookmarkStart w:id="74" w:name="_Toc180069251"/>
      <w:r>
        <w:t>Part 7 — Repeal and savings and transitional provisions</w:t>
      </w:r>
      <w:bookmarkEnd w:id="71"/>
      <w:bookmarkEnd w:id="72"/>
      <w:bookmarkEnd w:id="73"/>
      <w:bookmarkEnd w:id="74"/>
    </w:p>
    <w:p>
      <w:pPr>
        <w:pStyle w:val="BlankClose"/>
      </w:pPr>
    </w:p>
    <w:p>
      <w:pPr>
        <w:pStyle w:val="Heading5"/>
      </w:pPr>
      <w:bookmarkStart w:id="75" w:name="_Toc178243107"/>
      <w:bookmarkStart w:id="76" w:name="_Toc180069252"/>
      <w:r>
        <w:rPr>
          <w:rStyle w:val="CharSectno"/>
        </w:rPr>
        <w:t>14</w:t>
      </w:r>
      <w:r>
        <w:t>.</w:t>
      </w:r>
      <w:r>
        <w:tab/>
        <w:t>Schedule 1 amended</w:t>
      </w:r>
      <w:bookmarkEnd w:id="75"/>
      <w:bookmarkEnd w:id="76"/>
    </w:p>
    <w:p>
      <w:pPr>
        <w:pStyle w:val="Subsection"/>
      </w:pPr>
      <w:r>
        <w:tab/>
        <w:t>(1)</w:t>
      </w:r>
      <w:r>
        <w:tab/>
        <w:t>In Schedule 1 item 8 delete “</w:t>
      </w:r>
      <w:r>
        <w:rPr>
          <w:sz w:val="22"/>
          <w:szCs w:val="22"/>
        </w:rPr>
        <w:t>under section 11A(1) of the Act for</w:t>
      </w:r>
      <w:r>
        <w:t>” and insert:</w:t>
      </w:r>
    </w:p>
    <w:p>
      <w:pPr>
        <w:pStyle w:val="BlankOpen"/>
      </w:pPr>
    </w:p>
    <w:p>
      <w:pPr>
        <w:pStyle w:val="Subsection"/>
        <w:rPr>
          <w:sz w:val="22"/>
          <w:szCs w:val="18"/>
        </w:rPr>
      </w:pPr>
      <w:r>
        <w:rPr>
          <w:sz w:val="22"/>
          <w:szCs w:val="18"/>
        </w:rPr>
        <w:tab/>
      </w:r>
      <w:r>
        <w:rPr>
          <w:sz w:val="22"/>
          <w:szCs w:val="18"/>
        </w:rPr>
        <w:tab/>
        <w:t>for issue of</w:t>
      </w:r>
    </w:p>
    <w:p>
      <w:pPr>
        <w:pStyle w:val="BlankClose"/>
      </w:pPr>
    </w:p>
    <w:p>
      <w:pPr>
        <w:pStyle w:val="Subsection"/>
      </w:pPr>
      <w:r>
        <w:lastRenderedPageBreak/>
        <w:tab/>
        <w:t>(2)</w:t>
      </w:r>
      <w:r>
        <w:tab/>
        <w:t>In Schedule 1 item 9 delete “</w:t>
      </w:r>
      <w:r>
        <w:rPr>
          <w:sz w:val="22"/>
          <w:szCs w:val="22"/>
        </w:rPr>
        <w:t>Renewal under section 11A of the Act</w:t>
      </w:r>
      <w:r>
        <w:t>” and insert:</w:t>
      </w:r>
    </w:p>
    <w:p>
      <w:pPr>
        <w:pStyle w:val="BlankOpen"/>
      </w:pPr>
    </w:p>
    <w:p>
      <w:pPr>
        <w:pStyle w:val="Subsection"/>
        <w:rPr>
          <w:sz w:val="22"/>
          <w:szCs w:val="18"/>
        </w:rPr>
      </w:pPr>
      <w:r>
        <w:rPr>
          <w:sz w:val="22"/>
          <w:szCs w:val="18"/>
        </w:rPr>
        <w:tab/>
      </w:r>
      <w:r>
        <w:rPr>
          <w:sz w:val="22"/>
          <w:szCs w:val="18"/>
        </w:rPr>
        <w:tab/>
        <w:t>Application for renewal</w:t>
      </w:r>
    </w:p>
    <w:p>
      <w:pPr>
        <w:pStyle w:val="BlankClose"/>
      </w:pPr>
    </w:p>
    <w:p>
      <w:pPr>
        <w:pStyle w:val="Subsection"/>
      </w:pPr>
      <w:r>
        <w:tab/>
        <w:t>(3)</w:t>
      </w:r>
      <w:r>
        <w:tab/>
        <w:t>In Schedule 1 item 10 delete “</w:t>
      </w:r>
      <w:r>
        <w:rPr>
          <w:sz w:val="22"/>
          <w:szCs w:val="22"/>
        </w:rPr>
        <w:t>Late renewal under section 11A(6) of the Act of a practising certificate</w:t>
      </w:r>
      <w:r>
        <w:t>” and insert:</w:t>
      </w:r>
    </w:p>
    <w:p>
      <w:pPr>
        <w:pStyle w:val="BlankOpen"/>
      </w:pPr>
    </w:p>
    <w:p>
      <w:pPr>
        <w:pStyle w:val="Subsection"/>
        <w:rPr>
          <w:sz w:val="22"/>
          <w:szCs w:val="18"/>
        </w:rPr>
      </w:pPr>
      <w:r>
        <w:rPr>
          <w:sz w:val="22"/>
          <w:szCs w:val="18"/>
        </w:rPr>
        <w:tab/>
      </w:r>
      <w:r>
        <w:rPr>
          <w:sz w:val="22"/>
          <w:szCs w:val="18"/>
        </w:rPr>
        <w:tab/>
        <w:t>Application for renewal of a practising certificate made less than 30 days before the expiry of the practising certificate and dealt with under section 11A(6) of the Act</w:t>
      </w:r>
    </w:p>
    <w:p>
      <w:pPr>
        <w:pStyle w:val="BlankClose"/>
        <w:rPr>
          <w:rStyle w:val="DraftersNotes"/>
        </w:rPr>
      </w:pPr>
    </w:p>
    <w:p>
      <w:pPr>
        <w:pStyle w:val="Heading5"/>
      </w:pPr>
      <w:bookmarkStart w:id="77" w:name="_Toc178243108"/>
      <w:bookmarkStart w:id="78" w:name="_Toc180069253"/>
      <w:r>
        <w:rPr>
          <w:rStyle w:val="CharSectno"/>
        </w:rPr>
        <w:t>15</w:t>
      </w:r>
      <w:r>
        <w:t>.</w:t>
      </w:r>
      <w:r>
        <w:tab/>
        <w:t>Schedule 2 amended</w:t>
      </w:r>
      <w:bookmarkEnd w:id="77"/>
      <w:bookmarkEnd w:id="78"/>
    </w:p>
    <w:p>
      <w:pPr>
        <w:pStyle w:val="Subsection"/>
        <w:rPr>
          <w:rStyle w:val="DraftersNotes"/>
          <w:b w:val="0"/>
          <w:i w:val="0"/>
          <w:sz w:val="24"/>
        </w:rPr>
      </w:pPr>
      <w:r>
        <w:tab/>
      </w:r>
      <w:r>
        <w:tab/>
        <w:t>In Schedule 2 Form 2 delete “</w:t>
      </w:r>
      <w:r>
        <w:rPr>
          <w:sz w:val="22"/>
          <w:szCs w:val="22"/>
        </w:rPr>
        <w:t>certify that</w:t>
      </w:r>
      <w:r>
        <w:t>” and insert:</w:t>
      </w:r>
    </w:p>
    <w:p>
      <w:pPr>
        <w:pStyle w:val="BlankOpen"/>
      </w:pPr>
    </w:p>
    <w:p>
      <w:pPr>
        <w:pStyle w:val="Subsection"/>
        <w:rPr>
          <w:sz w:val="22"/>
          <w:szCs w:val="22"/>
        </w:rPr>
      </w:pPr>
      <w:r>
        <w:tab/>
      </w:r>
      <w:r>
        <w:tab/>
      </w:r>
      <w:r>
        <w:rPr>
          <w:sz w:val="22"/>
          <w:szCs w:val="22"/>
        </w:rPr>
        <w:t>certify that ....................................</w:t>
      </w:r>
    </w:p>
    <w:p>
      <w:pPr>
        <w:pStyle w:val="BlankClose"/>
      </w:pPr>
    </w:p>
    <w:p>
      <w:pPr>
        <w:pStyle w:val="ByCommand"/>
      </w:pPr>
      <w:r>
        <w:t>Made by a resolution of the Land Surveyors Licensing Board at a meeting held on 17 October 2024.</w:t>
      </w:r>
    </w:p>
    <w:p>
      <w:pPr>
        <w:pStyle w:val="ByCommand"/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81" w:right="2410" w:bottom="3544" w:left="2410" w:header="720" w:footer="3544" w:gutter="0"/>
          <w:pgNumType w:start="1"/>
          <w:cols w:space="720"/>
          <w:noEndnote/>
          <w:titlePg/>
        </w:sectPr>
      </w:pPr>
      <w:r>
        <w:t>PAUL RHODES, Chair, Land Surveyors Licensing Board</w:t>
      </w:r>
    </w:p>
    <w:p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7505700</wp:posOffset>
                </wp:positionV>
                <wp:extent cx="127000" cy="647700"/>
                <wp:effectExtent l="0" t="0" r="1905" b="0"/>
                <wp:wrapNone/>
                <wp:docPr id="1" name="Authorit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© State of Western Australia </w:t>
                            </w:r>
                            <w:r>
                              <w:rPr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</w:rPr>
                              <w:instrText xml:space="preserve"> DOCPROPERTY CommencementYear</w:instrText>
                            </w:r>
                            <w:r>
                              <w:rPr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This work is licensed under a Creative Commons Attribution 4.0 International Licence (CC BY 4.0). To view relevant information and for a link to a copy of the licence, visit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www.legislation.wa.gov.au</w:t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Attribute work as: © State of Western Australia </w:t>
                            </w:r>
                            <w:r>
                              <w:rPr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</w:rPr>
                              <w:instrText xml:space="preserve"> DOCPROPERTY CommencementYear</w:instrText>
                            </w:r>
                            <w:r>
                              <w:rPr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438" w:right="2098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By Authority: GEOFF O. LAWN, Government Printer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BC07F" id="_x0000_t202" coordsize="21600,21600" o:spt="202" path="m,l,21600r21600,l21600,xe">
                <v:stroke joinstyle="miter"/>
                <v:path gradientshapeok="t" o:connecttype="rect"/>
              </v:shapetype>
              <v:shape id="Authority" o:spid="_x0000_s1026" type="#_x0000_t202" style="position:absolute;margin-left:0;margin-top:591pt;width:10pt;height:51pt;z-index:251660288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" stroked="f" strokeweight=".5pt">
                <v:textbox>
                  <w:txbxContent>
                    <w:p w14:paraId="3301D4AD" w14:textId="4FB6A7BA" w:rsidR="00565877" w:rsidRDefault="00565877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© State of Western Australia </w:t>
                      </w:r>
                      <w:r>
                        <w:rPr>
                          <w:sz w:val="16"/>
                        </w:rPr>
                        <w:fldChar w:fldCharType="begin"/>
                      </w:r>
                      <w:r>
                        <w:rPr>
                          <w:sz w:val="16"/>
                        </w:rPr>
                        <w:instrText xml:space="preserve"> DOCPROPERTY CommencementYear</w:instrText>
                      </w:r>
                      <w:r>
                        <w:rPr>
                          <w:sz w:val="16"/>
                        </w:rPr>
                        <w:fldChar w:fldCharType="separate"/>
                      </w:r>
                      <w:r w:rsidR="00B7733D">
                        <w:rPr>
                          <w:sz w:val="16"/>
                        </w:rPr>
                        <w:t>2024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6848CCC8" w14:textId="77777777" w:rsidR="00565877" w:rsidRDefault="00565877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This work is licensed under a Creative Commons Attribution 4.0 International Licence (CC BY 4.0). To view relevant information and for a link to a copy of the licence, visit </w:t>
                      </w:r>
                      <w:r>
                        <w:rPr>
                          <w:sz w:val="16"/>
                          <w:u w:val="single"/>
                        </w:rPr>
                        <w:t>www.legislation.wa.gov.au</w:t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4BE50FFD" w14:textId="2C60973A" w:rsidR="00565877" w:rsidRDefault="00565877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Attribute work as: © State of Western Australia </w:t>
                      </w:r>
                      <w:r>
                        <w:rPr>
                          <w:sz w:val="16"/>
                        </w:rPr>
                        <w:fldChar w:fldCharType="begin"/>
                      </w:r>
                      <w:r>
                        <w:rPr>
                          <w:sz w:val="16"/>
                        </w:rPr>
                        <w:instrText xml:space="preserve"> DOCPROPERTY CommencementYear</w:instrText>
                      </w:r>
                      <w:r>
                        <w:rPr>
                          <w:sz w:val="16"/>
                        </w:rPr>
                        <w:fldChar w:fldCharType="separate"/>
                      </w:r>
                      <w:r w:rsidR="00B7733D">
                        <w:rPr>
                          <w:sz w:val="16"/>
                        </w:rPr>
                        <w:t>2024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2DA33600" w14:textId="77777777" w:rsidR="00565877" w:rsidRDefault="00565877">
                      <w:pPr>
                        <w:ind w:left="2438" w:right="2098"/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By Authority: GEOFF O. LAWN, Government Printer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endnotePr>
        <w:numFmt w:val="decimal"/>
      </w:endnotePr>
      <w:type w:val="continuous"/>
      <w:pgSz w:w="11907" w:h="16840" w:code="9"/>
      <w:pgMar w:top="567" w:right="1701" w:bottom="567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ii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SL </w:t>
    </w:r>
    <w:r>
      <w:rPr>
        <w:sz w:val="20"/>
      </w:rPr>
      <w:fldChar w:fldCharType="begin"/>
    </w:r>
    <w:r>
      <w:rPr>
        <w:sz w:val="20"/>
      </w:rPr>
      <w:instrText xml:space="preserve"> DOCPROPERTY "SLAPId" </w:instrText>
    </w:r>
    <w:r>
      <w:rPr>
        <w:sz w:val="20"/>
      </w:rPr>
      <w:fldChar w:fldCharType="separate"/>
    </w:r>
    <w:r>
      <w:rPr>
        <w:sz w:val="20"/>
      </w:rPr>
      <w:t>2024/216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 xml:space="preserve">Published </w:t>
    </w:r>
    <w:r>
      <w:rPr>
        <w:sz w:val="16"/>
      </w:rPr>
      <w:fldChar w:fldCharType="begin"/>
    </w:r>
    <w:r>
      <w:rPr>
        <w:sz w:val="16"/>
      </w:rPr>
      <w:instrText xml:space="preserve"> DOCPROPERTY "AsAtDate" </w:instrText>
    </w:r>
    <w:r>
      <w:rPr>
        <w:sz w:val="16"/>
      </w:rPr>
      <w:fldChar w:fldCharType="separate"/>
    </w:r>
    <w:r>
      <w:rPr>
        <w:sz w:val="16"/>
      </w:rPr>
      <w:t>18 Oct 2024</w:t>
    </w:r>
    <w:r>
      <w:rPr>
        <w:sz w:val="16"/>
      </w:rPr>
      <w:fldChar w:fldCharType="end"/>
    </w:r>
    <w:r>
      <w:rPr>
        <w:sz w:val="16"/>
      </w:rPr>
      <w:t xml:space="preserve">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Licensed Surveyors (Licensing and Registration) Amendment Regulations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Licensed Surveyors (Licensing and Registration) Amendment Regulations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1" w:name="TOC"/>
    <w:bookmarkEnd w:id="1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540"/>
      <w:gridCol w:w="175"/>
    </w:tblGrid>
    <w:tr>
      <w:trPr>
        <w:gridAfter w:val="1"/>
        <w:wAfter w:w="175" w:type="dxa"/>
        <w:cantSplit/>
        <w:jc w:val="center"/>
      </w:trPr>
      <w:tc>
        <w:tcPr>
          <w:tcW w:w="708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Licensed Surveyors (Licensing and Registration) Amendment Regulations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gridSpan w:val="2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gridSpan w:val="2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3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284"/>
      <w:gridCol w:w="5431"/>
      <w:gridCol w:w="1548"/>
    </w:tblGrid>
    <w:tr>
      <w:trPr>
        <w:gridBefore w:val="1"/>
        <w:wBefore w:w="284" w:type="dxa"/>
        <w:cantSplit/>
        <w:jc w:val="center"/>
      </w:trPr>
      <w:tc>
        <w:tcPr>
          <w:tcW w:w="6979" w:type="dxa"/>
          <w:gridSpan w:val="2"/>
        </w:tcPr>
        <w:p>
          <w:pPr>
            <w:pStyle w:val="Header"/>
            <w:spacing w:before="40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Licensed Surveyors (Licensing and Registration) Amendment Regulations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gridSpan w:val="2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gridSpan w:val="2"/>
          <w:vAlign w:val="bottom"/>
        </w:tcPr>
        <w:p>
          <w:pPr>
            <w:pStyle w:val="Header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3"/>
        </w:tcPr>
        <w:p>
          <w:pPr>
            <w:pStyle w:val="Header"/>
            <w:spacing w:before="40"/>
            <w:jc w:val="right"/>
          </w:pPr>
          <w:r>
            <w:rPr>
              <w:b/>
            </w:rPr>
            <w:t xml:space="preserve">r.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STYLEREF CharSectNo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79" w:name="Coversheet"/>
    <w:bookmarkEnd w:id="7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F066C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88F7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E44E0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5A2A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54AD3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784C5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6E6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6F5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E2D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149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9071E2"/>
    <w:multiLevelType w:val="singleLevel"/>
    <w:tmpl w:val="6686A91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3BBA1437"/>
    <w:multiLevelType w:val="singleLevel"/>
    <w:tmpl w:val="0C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7" w15:restartNumberingAfterBreak="0">
    <w:nsid w:val="3C2808C0"/>
    <w:multiLevelType w:val="singleLevel"/>
    <w:tmpl w:val="58E827E4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1B90854"/>
    <w:multiLevelType w:val="singleLevel"/>
    <w:tmpl w:val="0C090001"/>
    <w:lvl w:ilvl="0">
      <w:start w:val="1"/>
      <w:numFmt w:val="bullet"/>
      <w:lvlText w:val=""/>
      <w:lvlJc w:val="left"/>
      <w:rPr>
        <w:rFonts w:ascii="Symbol" w:hAnsi="Symbol" w:hint="default"/>
      </w:rPr>
    </w:lvl>
  </w:abstractNum>
  <w:abstractNum w:abstractNumId="19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4CC0330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4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18"/>
  </w:num>
  <w:num w:numId="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uleResults" w:val="&lt;AllLaws&gt;&lt;/AllLaws&gt;"/>
    <w:docVar w:name="WAFER" w:val="20240926113718"/>
    <w:docVar w:name="WAFER_20150206084300" w:val="b265764f-9cc9-4051-b597-28966bcc0033"/>
    <w:docVar w:name="WAFER_20150206084300_GUID" w:val="UsedStyles"/>
    <w:docVar w:name="WAFER_20151016170500" w:val="65b8bf31-20ff-4e33-a7f5-3e8a982d38e1"/>
    <w:docVar w:name="WAFER_20151016170500_GUID" w:val="UpdateStyles"/>
    <w:docVar w:name="WAFER_20151016171156" w:val="6c2db7ef-daac-4b3e-9dc6-438f5d0ef0de"/>
    <w:docVar w:name="WAFER_20151016171156_GUID" w:val="UpdateStyles,UsedStyles"/>
    <w:docVar w:name="WAFER_20151016171216" w:val="94d94bff-48d8-4137-a72c-5fd727eea17c"/>
    <w:docVar w:name="WAFER_20151016171216_GUID" w:val="UpdateStyles,UsedStyles"/>
    <w:docVar w:name="WAFER_20151019113755" w:val="2391df09-cb41-4aa3-adeb-85763481adf4"/>
    <w:docVar w:name="WAFER_20151019113755_GUID" w:val="UpdateStyles"/>
    <w:docVar w:name="WAFER_20151102150240" w:val="b5d22a23-aebe-4a72-ade9-c7eb5fe3ff91"/>
    <w:docVar w:name="WAFER_20151102150240_GUID" w:val="UpdateStyles"/>
    <w:docVar w:name="WAFER_20190125160029" w:val="5f5bd124-b00b-412a-a7b5-01fcf0a689e4"/>
    <w:docVar w:name="WAFER_20190125160029_GUID" w:val="UpdateStyles"/>
    <w:docVar w:name="WAFER_20190213151332" w:val="ba422db1-9a36-4369-9917-270567d09a43"/>
    <w:docVar w:name="WAFER_20190213151332_GUID" w:val="UpdateStyles"/>
    <w:docVar w:name="WAFER_20190214104147" w:val="462c59b5-9a0c-4a8b-a415-d2eeb9a467c9"/>
    <w:docVar w:name="WAFER_20190214104147_GUID" w:val="UpdateStyles"/>
    <w:docVar w:name="WAFER_20190227114746" w:val="b6cf0004-89c3-4ce4-92f2-c7ba61597248"/>
    <w:docVar w:name="WAFER_20190227114746_GUID" w:val="UpdateStyles.ProcessFixes,UpdateStyles.ProcessFixes,RemoveIncorrectStyles.ProcessStyles,RemoveIncorrectStyles.ProcessStyles"/>
    <w:docVar w:name="WAFER_20191031134536" w:val="22d86058-aa5d-4625-8196-006bb3c08a21"/>
    <w:docVar w:name="WAFER_20191031134536_GUID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setPageSize.ResetPageSize,ResetPageFooter.ResetPageFooter"/>
    <w:docVar w:name="WAFER_20200207102504" w:val="6a1c105a-3450-41aa-9a46-e934e904a723"/>
    <w:docVar w:name="WAFER_20200207102504_GUID" w:val="6a1c105a-3450-41aa-9a46-e934e904a723"/>
    <w:docVar w:name="WAFER_20230403110444" w:val="6a1c105a-3450-41aa-9a46-e934e904a723"/>
    <w:docVar w:name="WAFER_20230403110444_GUID" w:val="6a1c105a-3450-41aa-9a46-e934e904a723"/>
    <w:docVar w:name="WAFER_20240828154219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,UpdateStyles.ProcessFixes,UpdateStyles.ProcessFixes,RemoveIncorrectStyles.ProcessStyles,RemoveIncorrectStyles.ProcessStyles"/>
    <w:docVar w:name="WAFER_20240828154219_GUID" w:val="aac3bc19-d6ec-40c9-839e-46cdb9717238"/>
    <w:docVar w:name="WAFER_20240830095424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,UpdateStyles.ProcessFixes,UpdateStyles.ProcessFixes,RemoveIncorrectStyles.ProcessStyles,RemoveIncorrectStyles.ProcessStyles"/>
    <w:docVar w:name="WAFER_20240830095424_GUID" w:val="da446aaf-2d86-4d35-9231-6c89dc229764"/>
    <w:docVar w:name="WAFER_20240926113718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"/>
    <w:docVar w:name="WAFER_20240926113718_GUID" w:val="3fcde4fc-6184-4e6b-a66f-dc71727b042b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5:docId w15:val="{B76E8A9F-54EE-4EDF-B211-0AD9519B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uiPriority w:val="39"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uiPriority w:val="39"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right" w:pos="7088"/>
      </w:tabs>
      <w:spacing w:before="108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customStyle="1" w:styleId="SignatureText">
    <w:name w:val="SignatureText"/>
    <w:basedOn w:val="Normal"/>
  </w:style>
  <w:style w:type="paragraph" w:customStyle="1" w:styleId="ExCo">
    <w:name w:val="ExCo"/>
    <w:qFormat/>
    <w:rPr>
      <w:sz w:val="24"/>
    </w:rPr>
  </w:style>
  <w:style w:type="paragraph" w:customStyle="1" w:styleId="Certificate">
    <w:name w:val="Certificate"/>
    <w:qFormat/>
    <w:rPr>
      <w:sz w:val="24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0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2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3AD0A-1845-4554-BCAE-54384942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1861</Words>
  <Characters>9437</Characters>
  <Application>Microsoft Office Word</Application>
  <DocSecurity>0</DocSecurity>
  <Lines>337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Drafting Template (Regs)</vt:lpstr>
    </vt:vector>
  </TitlesOfParts>
  <Manager/>
  <Company/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Licensed Surveyors (Licensing and Registration) Amendment Regulations 2024 - 00-00-01</dc:title>
  <dc:subject/>
  <dc:creator/>
  <cp:keywords/>
  <dc:description/>
  <cp:lastModifiedBy>Master Repository Process</cp:lastModifiedBy>
  <cp:revision>4</cp:revision>
  <cp:lastPrinted>2021-03-14T07:59:00Z</cp:lastPrinted>
  <dcterms:created xsi:type="dcterms:W3CDTF">2025-06-05T03:58:00Z</dcterms:created>
  <dcterms:modified xsi:type="dcterms:W3CDTF">2025-06-05T03:58:00Z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ID">
    <vt:lpwstr>54993</vt:lpwstr>
  </property>
  <property fmtid="{D5CDD505-2E9C-101B-9397-08002B2CF9AE}" pid="3" name="DocumentType">
    <vt:lpwstr>Reg</vt:lpwstr>
  </property>
  <property fmtid="{D5CDD505-2E9C-101B-9397-08002B2CF9AE}" pid="4" name="AsAtDate">
    <vt:lpwstr>18 Oct 2024</vt:lpwstr>
  </property>
  <property fmtid="{D5CDD505-2E9C-101B-9397-08002B2CF9AE}" pid="5" name="Suffix">
    <vt:lpwstr>00-00-01</vt:lpwstr>
  </property>
  <property fmtid="{D5CDD505-2E9C-101B-9397-08002B2CF9AE}" pid="6" name="Official">
    <vt:lpwstr/>
  </property>
  <property fmtid="{D5CDD505-2E9C-101B-9397-08002B2CF9AE}" pid="7" name="SLAPId">
    <vt:lpwstr>2024/216</vt:lpwstr>
  </property>
  <property fmtid="{D5CDD505-2E9C-101B-9397-08002B2CF9AE}" pid="8" name="PublishDate">
    <vt:lpwstr>18 Oct 2024</vt:lpwstr>
  </property>
  <property fmtid="{D5CDD505-2E9C-101B-9397-08002B2CF9AE}" pid="9" name="CommencementDate">
    <vt:lpwstr>20241018</vt:lpwstr>
  </property>
  <property fmtid="{D5CDD505-2E9C-101B-9397-08002B2CF9AE}" pid="10" name="CommencementAsAt">
    <vt:filetime>2024-10-17T16:00:00Z</vt:filetime>
  </property>
  <property fmtid="{D5CDD505-2E9C-101B-9397-08002B2CF9AE}" pid="11" name="CommencementYear">
    <vt:lpwstr>2024</vt:lpwstr>
  </property>
</Properties>
</file>