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6)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6)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_Toc180416287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_Toc180416288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(Legislative Instruments) Notice (No. 6) 2024</w:t>
      </w:r>
    </w:p>
    <w:p>
      <w:pPr>
        <w:spacing w:before="600"/>
      </w:pPr>
      <w:r>
        <w:t xml:space="preserve">Made </w:t>
      </w:r>
      <w:r>
        <w:rPr>
          <w:szCs w:val="24"/>
        </w:rPr>
        <w:t>under section 12(2)(c) of the Act</w:t>
      </w:r>
      <w:r>
        <w:t>.</w:t>
      </w:r>
    </w:p>
    <w:p>
      <w:pPr>
        <w:pStyle w:val="Heading5"/>
      </w:pPr>
      <w:bookmarkStart w:id="2" w:name="_Toc180415120"/>
      <w:bookmarkStart w:id="3" w:name="_Toc18041628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  <w:t>This notice is the Therapeutic Goods (Legislative Instruments) Notice (No. 6) 2024.</w:t>
      </w:r>
    </w:p>
    <w:p>
      <w:pPr>
        <w:pStyle w:val="Heading5"/>
      </w:pPr>
      <w:bookmarkStart w:id="4" w:name="_Toc180415121"/>
      <w:bookmarkStart w:id="5" w:name="_Toc180416288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>
          <w:rPr>
            <w:rStyle w:val="Hyperlink"/>
          </w:rPr>
          <w:t>www.legislation.gov.au</w:t>
        </w:r>
      </w:hyperlink>
      <w:r>
        <w:t>:</w:t>
      </w:r>
    </w:p>
    <w:p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  <w:t>Therapeutic Goods (Authorised Supply) Amendment (SAS Guidance) Rules (No. 2) 2024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applies/apply as a law of the State under the </w:t>
      </w:r>
      <w:r>
        <w:rPr>
          <w:i/>
          <w:iCs/>
        </w:rPr>
        <w:t>Therapeutic Goods Law Application Act 2024</w:t>
      </w:r>
      <w:r>
        <w:t xml:space="preserve"> section 10(1) (subject to section 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 11 or may cease to have effect under the </w:t>
      </w:r>
      <w:r>
        <w:rPr>
          <w:i/>
          <w:iCs/>
        </w:rPr>
        <w:t>Therapeutic Goods Law Application Act 2024</w:t>
      </w:r>
      <w:r>
        <w:t xml:space="preserve"> section 13.</w:t>
      </w:r>
    </w:p>
    <w:p>
      <w:pPr>
        <w:pStyle w:val="ByCommand"/>
        <w:spacing w:before="600"/>
        <w:rPr>
          <w:b/>
          <w:bCs/>
        </w:rPr>
      </w:pPr>
      <w:r>
        <w:rPr>
          <w:b/>
          <w:bCs/>
          <w:sz w:val="22"/>
          <w:szCs w:val="18"/>
        </w:rPr>
        <w:t>LINDA TAYLOR</w:t>
      </w:r>
      <w:r>
        <w:rPr>
          <w:b/>
          <w:bCs/>
          <w:sz w:val="22"/>
          <w:szCs w:val="18"/>
        </w:rPr>
        <w:br/>
        <w:t>A/GENERAL COUNSEL AND A/DIRECTOR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2A8C5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A53BD73" w14:textId="18481764" w:rsidR="008465CC" w:rsidRDefault="008465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06AD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997951B" w14:textId="77777777" w:rsidR="008465CC" w:rsidRDefault="008465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7400CB7" w14:textId="056CD41F" w:rsidR="008465CC" w:rsidRDefault="008465C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06AD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F34B580" w14:textId="77777777" w:rsidR="008465CC" w:rsidRDefault="008465C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6)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021145608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11409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1140904_GUID" w:val="7112de32-c119-4c89-9a59-559bc8aef357"/>
    <w:docVar w:name="WAFER_202410211456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21145608_GUID" w:val="92d076fd-e528-4aa9-a6d6-5adf3449e0a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CDC57611-594B-49CB-83CE-D7525505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259</Words>
  <Characters>1531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6) 2024 - 00-00-01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2025-06-04T04:54:00Z</dcterms:created>
  <dcterms:modified xsi:type="dcterms:W3CDTF">2025-06-04T04:54:00Z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55159</vt:lpwstr>
  </property>
  <property fmtid="{D5CDD505-2E9C-101B-9397-08002B2CF9AE}" pid="3" name="DocumentType">
    <vt:lpwstr>Reg</vt:lpwstr>
  </property>
  <property fmtid="{D5CDD505-2E9C-101B-9397-08002B2CF9AE}" pid="4" name="AsAtDate">
    <vt:lpwstr>22 Oct 2024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2024/217</vt:lpwstr>
  </property>
  <property fmtid="{D5CDD505-2E9C-101B-9397-08002B2CF9AE}" pid="8" name="PublishDate">
    <vt:lpwstr>22 Oct 2024</vt:lpwstr>
  </property>
  <property fmtid="{D5CDD505-2E9C-101B-9397-08002B2CF9AE}" pid="9" name="CommencementDate">
    <vt:lpwstr>20241022</vt:lpwstr>
  </property>
  <property fmtid="{D5CDD505-2E9C-101B-9397-08002B2CF9AE}" pid="10" name="CommencementAsAt">
    <vt:filetime>2024-10-21T16:00:00Z</vt:filetime>
  </property>
  <property fmtid="{D5CDD505-2E9C-101B-9397-08002B2CF9AE}" pid="11" name="CommencementYear">
    <vt:lpwstr>2024</vt:lpwstr>
  </property>
</Properties>
</file>