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Young Offenders Act 1994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_Toc180147918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_Toc180147919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_Toc180147920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Young offenders reaching 18</w:t>
      </w:r>
      <w:r>
        <w:tab/>
      </w:r>
      <w:r>
        <w:fldChar w:fldCharType="begin"/>
      </w:r>
      <w:r>
        <w:instrText xml:space="preserve"> PAGEREF _Toc180147921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_Toc180147922 \h </w:instrText>
      </w:r>
      <w:r>
        <w:fldChar w:fldCharType="separate"/>
      </w:r>
      <w:r>
        <w:t>9</w:t>
      </w:r>
      <w:r>
        <w:fldChar w:fldCharType="end"/>
      </w:r>
    </w:p>
    <w:p>
      <w:pPr>
        <w:pStyle w:val="TOC8"/>
        <w:rPr>
          <w:rFonts w:asciiTheme="minorHAnsi" w:eastAsiaTheme="minorEastAsia" w:hAnsiTheme="minorHAnsi" w:cstheme="minorBidi"/>
          <w:szCs w:val="22"/>
        </w:rPr>
      </w:pPr>
      <w:r>
        <w:t>6A.</w:t>
      </w:r>
      <w:r>
        <w:tab/>
      </w:r>
      <w:r>
        <w:rPr>
          <w:i/>
        </w:rPr>
        <w:t>Courts and Tribunals (Electronic Processes Facilitation) Act 2013</w:t>
      </w:r>
      <w:r>
        <w:t xml:space="preserve"> Part 2 applies</w:t>
      </w:r>
      <w:r>
        <w:tab/>
      </w:r>
      <w:r>
        <w:fldChar w:fldCharType="begin"/>
      </w:r>
      <w:r>
        <w:instrText xml:space="preserve"> PAGEREF _Toc180147923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2 — Objectives and principles</w:t>
      </w:r>
    </w:p>
    <w:p>
      <w:pPr>
        <w:pStyle w:val="TOC8"/>
        <w:rPr>
          <w:rFonts w:asciiTheme="minorHAnsi" w:eastAsiaTheme="minorEastAsia" w:hAnsiTheme="minorHAnsi" w:cstheme="minorBidi"/>
          <w:szCs w:val="22"/>
        </w:rPr>
      </w:pPr>
      <w:r>
        <w:t>6</w:t>
      </w:r>
      <w:r>
        <w:rPr>
          <w:snapToGrid w:val="0"/>
        </w:rPr>
        <w:t>.</w:t>
      </w:r>
      <w:r>
        <w:rPr>
          <w:snapToGrid w:val="0"/>
        </w:rPr>
        <w:tab/>
        <w:t>Objectives</w:t>
      </w:r>
      <w:r>
        <w:tab/>
      </w:r>
      <w:r>
        <w:fldChar w:fldCharType="begin"/>
      </w:r>
      <w:r>
        <w:instrText xml:space="preserve"> PAGEREF _Toc180147925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General principles of juvenile justice</w:t>
      </w:r>
      <w:r>
        <w:tab/>
      </w:r>
      <w:r>
        <w:fldChar w:fldCharType="begin"/>
      </w:r>
      <w:r>
        <w:instrText xml:space="preserve"> PAGEREF _Toc180147926 \h </w:instrText>
      </w:r>
      <w:r>
        <w:fldChar w:fldCharType="separate"/>
      </w:r>
      <w:r>
        <w:t>10</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Responsible adults, role of</w:t>
      </w:r>
      <w:r>
        <w:tab/>
      </w:r>
      <w:r>
        <w:fldChar w:fldCharType="begin"/>
      </w:r>
      <w:r>
        <w:instrText xml:space="preserve"> PAGEREF _Toc180147927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Administration</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w:t>
      </w:r>
      <w:r>
        <w:rPr>
          <w:snapToGrid w:val="0"/>
        </w:rPr>
        <w:t>.</w:t>
      </w:r>
      <w:r>
        <w:rPr>
          <w:snapToGrid w:val="0"/>
        </w:rPr>
        <w:tab/>
        <w:t>Chief executive officer, functions of</w:t>
      </w:r>
      <w:r>
        <w:tab/>
      </w:r>
      <w:r>
        <w:fldChar w:fldCharType="begin"/>
      </w:r>
      <w:r>
        <w:instrText xml:space="preserve"> PAGEREF _Toc180147930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Chief executive officer may delegate</w:t>
      </w:r>
      <w:r>
        <w:tab/>
      </w:r>
      <w:r>
        <w:fldChar w:fldCharType="begin"/>
      </w:r>
      <w:r>
        <w:instrText xml:space="preserve"> PAGEREF _Toc180147931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Other officers and employees</w:t>
      </w:r>
    </w:p>
    <w:p>
      <w:pPr>
        <w:pStyle w:val="TOC8"/>
        <w:rPr>
          <w:rFonts w:asciiTheme="minorHAnsi" w:eastAsiaTheme="minorEastAsia" w:hAnsiTheme="minorHAnsi" w:cstheme="minorBidi"/>
          <w:szCs w:val="22"/>
        </w:rPr>
      </w:pPr>
      <w:r>
        <w:t>11</w:t>
      </w:r>
      <w:r>
        <w:rPr>
          <w:snapToGrid w:val="0"/>
        </w:rPr>
        <w:t>.</w:t>
      </w:r>
      <w:r>
        <w:rPr>
          <w:snapToGrid w:val="0"/>
        </w:rPr>
        <w:tab/>
        <w:t>Officers and employees, appointment of</w:t>
      </w:r>
      <w:r>
        <w:tab/>
      </w:r>
      <w:r>
        <w:fldChar w:fldCharType="begin"/>
      </w:r>
      <w:r>
        <w:instrText xml:space="preserve"> PAGEREF _Toc180147933 \h </w:instrText>
      </w:r>
      <w:r>
        <w:fldChar w:fldCharType="separate"/>
      </w:r>
      <w:r>
        <w:t>14</w:t>
      </w:r>
      <w:r>
        <w:fldChar w:fldCharType="end"/>
      </w:r>
    </w:p>
    <w:p>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_Toc180147934 \h </w:instrText>
      </w:r>
      <w:r>
        <w:fldChar w:fldCharType="separate"/>
      </w:r>
      <w:r>
        <w:t>16</w:t>
      </w:r>
      <w:r>
        <w:fldChar w:fldCharType="end"/>
      </w:r>
    </w:p>
    <w:p>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_Toc180147935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11CA.</w:t>
      </w:r>
      <w:r>
        <w:tab/>
        <w:t>Terms used</w:t>
      </w:r>
      <w:r>
        <w:tab/>
      </w:r>
      <w:r>
        <w:fldChar w:fldCharType="begin"/>
      </w:r>
      <w:r>
        <w:instrText xml:space="preserve"> PAGEREF _Toc180147938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_Toc180147940 \h </w:instrText>
      </w:r>
      <w:r>
        <w:fldChar w:fldCharType="separate"/>
      </w:r>
      <w:r>
        <w:t>18</w:t>
      </w:r>
      <w:r>
        <w:fldChar w:fldCharType="end"/>
      </w:r>
    </w:p>
    <w:p>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_Toc180147941 \h </w:instrText>
      </w:r>
      <w:r>
        <w:fldChar w:fldCharType="separate"/>
      </w:r>
      <w:r>
        <w:t>19</w:t>
      </w:r>
      <w:r>
        <w:fldChar w:fldCharType="end"/>
      </w:r>
    </w:p>
    <w:p>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_Toc180147942 \h </w:instrText>
      </w:r>
      <w:r>
        <w:fldChar w:fldCharType="separate"/>
      </w:r>
      <w:r>
        <w:t>20</w:t>
      </w:r>
      <w:r>
        <w:fldChar w:fldCharType="end"/>
      </w:r>
    </w:p>
    <w:p>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_Toc180147943 \h </w:instrText>
      </w:r>
      <w:r>
        <w:fldChar w:fldCharType="separate"/>
      </w:r>
      <w:r>
        <w:t>21</w:t>
      </w:r>
      <w:r>
        <w:fldChar w:fldCharType="end"/>
      </w:r>
    </w:p>
    <w:p>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_Toc180147944 \h </w:instrText>
      </w:r>
      <w:r>
        <w:fldChar w:fldCharType="separate"/>
      </w:r>
      <w:r>
        <w:t>22</w:t>
      </w:r>
      <w:r>
        <w:fldChar w:fldCharType="end"/>
      </w:r>
    </w:p>
    <w:p>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_Toc180147945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pPr>
        <w:pStyle w:val="TOC8"/>
        <w:rPr>
          <w:rFonts w:asciiTheme="minorHAnsi" w:eastAsiaTheme="minorEastAsia" w:hAnsiTheme="minorHAnsi" w:cstheme="minorBidi"/>
          <w:szCs w:val="22"/>
        </w:rPr>
      </w:pPr>
      <w:r>
        <w:t>11CH.</w:t>
      </w:r>
      <w:r>
        <w:tab/>
        <w:t>Appeal right</w:t>
      </w:r>
      <w:r>
        <w:tab/>
      </w:r>
      <w:r>
        <w:fldChar w:fldCharType="begin"/>
      </w:r>
      <w:r>
        <w:instrText xml:space="preserve"> PAGEREF _Toc180147947 \h </w:instrText>
      </w:r>
      <w:r>
        <w:fldChar w:fldCharType="separate"/>
      </w:r>
      <w:r>
        <w:t>23</w:t>
      </w:r>
      <w:r>
        <w:fldChar w:fldCharType="end"/>
      </w:r>
    </w:p>
    <w:p>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_Toc180147948 \h </w:instrText>
      </w:r>
      <w:r>
        <w:fldChar w:fldCharType="separate"/>
      </w:r>
      <w:r>
        <w:t>24</w:t>
      </w:r>
      <w:r>
        <w:fldChar w:fldCharType="end"/>
      </w:r>
    </w:p>
    <w:p>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_Toc180147949 \h </w:instrText>
      </w:r>
      <w:r>
        <w:fldChar w:fldCharType="separate"/>
      </w:r>
      <w:r>
        <w:t>25</w:t>
      </w:r>
      <w:r>
        <w:fldChar w:fldCharType="end"/>
      </w:r>
    </w:p>
    <w:p>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_Toc180147950 \h </w:instrText>
      </w:r>
      <w:r>
        <w:fldChar w:fldCharType="separate"/>
      </w:r>
      <w:r>
        <w:t>26</w:t>
      </w:r>
      <w:r>
        <w:fldChar w:fldCharType="end"/>
      </w:r>
    </w:p>
    <w:p>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_Toc180147951 \h </w:instrText>
      </w:r>
      <w:r>
        <w:fldChar w:fldCharType="separate"/>
      </w:r>
      <w:r>
        <w:t>26</w:t>
      </w:r>
      <w:r>
        <w:fldChar w:fldCharType="end"/>
      </w:r>
    </w:p>
    <w:p>
      <w:pPr>
        <w:pStyle w:val="TOC8"/>
        <w:rPr>
          <w:rFonts w:asciiTheme="minorHAnsi" w:eastAsiaTheme="minorEastAsia" w:hAnsiTheme="minorHAnsi" w:cstheme="minorBidi"/>
          <w:szCs w:val="22"/>
        </w:rPr>
      </w:pPr>
      <w:r>
        <w:t>11CM.</w:t>
      </w:r>
      <w:r>
        <w:tab/>
        <w:t xml:space="preserve">Application of </w:t>
      </w:r>
      <w:r>
        <w:rPr>
          <w:i/>
        </w:rPr>
        <w:t>Industrial Relations Act 1979</w:t>
      </w:r>
      <w:r>
        <w:t xml:space="preserve"> to appeals</w:t>
      </w:r>
      <w:r>
        <w:tab/>
      </w:r>
      <w:r>
        <w:fldChar w:fldCharType="begin"/>
      </w:r>
      <w:r>
        <w:instrText xml:space="preserve"> PAGEREF _Toc180147952 \h </w:instrText>
      </w:r>
      <w:r>
        <w:fldChar w:fldCharType="separate"/>
      </w:r>
      <w:r>
        <w:t>27</w:t>
      </w:r>
      <w:r>
        <w:fldChar w:fldCharType="end"/>
      </w:r>
    </w:p>
    <w:p>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_Toc180147953 \h </w:instrText>
      </w:r>
      <w:r>
        <w:fldChar w:fldCharType="separate"/>
      </w:r>
      <w:r>
        <w:t>30</w:t>
      </w:r>
      <w:r>
        <w:fldChar w:fldCharType="end"/>
      </w:r>
    </w:p>
    <w:p>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_Toc180147954 \h </w:instrText>
      </w:r>
      <w:r>
        <w:fldChar w:fldCharType="separate"/>
      </w:r>
      <w:r>
        <w:t>31</w:t>
      </w:r>
      <w:r>
        <w:fldChar w:fldCharType="end"/>
      </w:r>
    </w:p>
    <w:p>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_Toc180147955 \h </w:instrText>
      </w:r>
      <w:r>
        <w:fldChar w:fldCharType="separate"/>
      </w:r>
      <w:r>
        <w:t>31</w:t>
      </w:r>
      <w:r>
        <w:fldChar w:fldCharType="end"/>
      </w:r>
    </w:p>
    <w:p>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_Toc180147956 \h </w:instrText>
      </w:r>
      <w:r>
        <w:fldChar w:fldCharType="separate"/>
      </w:r>
      <w:r>
        <w:t>32</w:t>
      </w:r>
      <w:r>
        <w:fldChar w:fldCharType="end"/>
      </w:r>
    </w:p>
    <w:p>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_Toc180147957 \h </w:instrText>
      </w:r>
      <w:r>
        <w:fldChar w:fldCharType="separate"/>
      </w:r>
      <w:r>
        <w:t>33</w:t>
      </w:r>
      <w:r>
        <w:fldChar w:fldCharType="end"/>
      </w:r>
    </w:p>
    <w:p>
      <w:pPr>
        <w:pStyle w:val="TOC6"/>
        <w:tabs>
          <w:tab w:val="right" w:leader="dot" w:pos="7077"/>
        </w:tabs>
        <w:rPr>
          <w:rFonts w:asciiTheme="minorHAnsi" w:eastAsiaTheme="minorEastAsia" w:hAnsiTheme="minorHAnsi" w:cstheme="minorBidi"/>
          <w:b w:val="0"/>
          <w:sz w:val="22"/>
          <w:szCs w:val="22"/>
        </w:rPr>
      </w:pPr>
      <w:r>
        <w:t>Subdivision 4 — General</w:t>
      </w:r>
    </w:p>
    <w:p>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_Toc180147959 \h </w:instrText>
      </w:r>
      <w:r>
        <w:fldChar w:fldCharType="separate"/>
      </w:r>
      <w:r>
        <w:t>33</w:t>
      </w:r>
      <w:r>
        <w:fldChar w:fldCharType="end"/>
      </w:r>
    </w:p>
    <w:p>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_Toc180147960 \h </w:instrText>
      </w:r>
      <w:r>
        <w:fldChar w:fldCharType="separate"/>
      </w:r>
      <w:r>
        <w:t>33</w:t>
      </w:r>
      <w:r>
        <w:fldChar w:fldCharType="end"/>
      </w:r>
    </w:p>
    <w:p>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_Toc180147961 \h </w:instrText>
      </w:r>
      <w:r>
        <w:fldChar w:fldCharType="separate"/>
      </w:r>
      <w:r>
        <w:t>34</w:t>
      </w:r>
      <w:r>
        <w:fldChar w:fldCharType="end"/>
      </w:r>
    </w:p>
    <w:p>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_Toc180147962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pPr>
        <w:pStyle w:val="TOC8"/>
        <w:rPr>
          <w:rFonts w:asciiTheme="minorHAnsi" w:eastAsiaTheme="minorEastAsia" w:hAnsiTheme="minorHAnsi" w:cstheme="minorBidi"/>
          <w:szCs w:val="22"/>
        </w:rPr>
      </w:pPr>
      <w:r>
        <w:t>11C.</w:t>
      </w:r>
      <w:r>
        <w:tab/>
        <w:t>Use of force</w:t>
      </w:r>
      <w:r>
        <w:tab/>
      </w:r>
      <w:r>
        <w:fldChar w:fldCharType="begin"/>
      </w:r>
      <w:r>
        <w:instrText xml:space="preserve"> PAGEREF _Toc180147964 \h </w:instrText>
      </w:r>
      <w:r>
        <w:fldChar w:fldCharType="separate"/>
      </w:r>
      <w:r>
        <w:t>35</w:t>
      </w:r>
      <w:r>
        <w:fldChar w:fldCharType="end"/>
      </w:r>
    </w:p>
    <w:p>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_Toc180147965 \h </w:instrText>
      </w:r>
      <w:r>
        <w:fldChar w:fldCharType="separate"/>
      </w:r>
      <w:r>
        <w:t>36</w:t>
      </w:r>
      <w:r>
        <w:fldChar w:fldCharType="end"/>
      </w:r>
    </w:p>
    <w:p>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_Toc180147966 \h </w:instrText>
      </w:r>
      <w:r>
        <w:fldChar w:fldCharType="separate"/>
      </w:r>
      <w:r>
        <w:t>36</w:t>
      </w:r>
      <w:r>
        <w:fldChar w:fldCharType="end"/>
      </w:r>
    </w:p>
    <w:p>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_Toc180147967 \h </w:instrText>
      </w:r>
      <w:r>
        <w:fldChar w:fldCharType="separate"/>
      </w:r>
      <w:r>
        <w:t>37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Departmental and subsidised facilities, establishment of</w:t>
      </w:r>
      <w:r>
        <w:tab/>
      </w:r>
      <w:r>
        <w:fldChar w:fldCharType="begin"/>
      </w:r>
      <w:r>
        <w:instrText xml:space="preserve"> PAGEREF _Toc180147968 \h </w:instrText>
      </w:r>
      <w:r>
        <w:fldChar w:fldCharType="separate"/>
      </w:r>
      <w:r>
        <w:t>37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Detention centres, establishing</w:t>
      </w:r>
      <w:r>
        <w:tab/>
      </w:r>
      <w:r>
        <w:fldChar w:fldCharType="begin"/>
      </w:r>
      <w:r>
        <w:instrText xml:space="preserve"> PAGEREF _Toc180147969 \h </w:instrText>
      </w:r>
      <w:r>
        <w:fldChar w:fldCharType="separate"/>
      </w:r>
      <w:r>
        <w:t>38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Records of young offenders, duty to keep</w:t>
      </w:r>
      <w:r>
        <w:tab/>
      </w:r>
      <w:r>
        <w:fldChar w:fldCharType="begin"/>
      </w:r>
      <w:r>
        <w:instrText xml:space="preserve"> PAGEREF _Toc180147970 \h </w:instrText>
      </w:r>
      <w:r>
        <w:fldChar w:fldCharType="separate"/>
      </w:r>
      <w:r>
        <w:t>39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Records of young offenders, access to</w:t>
      </w:r>
      <w:r>
        <w:tab/>
      </w:r>
      <w:r>
        <w:fldChar w:fldCharType="begin"/>
      </w:r>
      <w:r>
        <w:instrText xml:space="preserve"> PAGEREF _Toc180147971 \h </w:instrText>
      </w:r>
      <w:r>
        <w:fldChar w:fldCharType="separate"/>
      </w:r>
      <w:r>
        <w:t>40</w:t>
      </w:r>
      <w:r>
        <w:fldChar w:fldCharType="end"/>
      </w:r>
    </w:p>
    <w:p>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_Toc180147972 \h </w:instrText>
      </w:r>
      <w:r>
        <w:fldChar w:fldCharType="separate"/>
      </w:r>
      <w:r>
        <w:t>41</w:t>
      </w:r>
      <w:r>
        <w:fldChar w:fldCharType="end"/>
      </w:r>
    </w:p>
    <w:p>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_Toc180147973 \h </w:instrText>
      </w:r>
      <w:r>
        <w:fldChar w:fldCharType="separate"/>
      </w:r>
      <w:r>
        <w:t>43</w:t>
      </w:r>
      <w:r>
        <w:fldChar w:fldCharType="end"/>
      </w:r>
    </w:p>
    <w:p>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_Toc180147974 \h </w:instrText>
      </w:r>
      <w:r>
        <w:fldChar w:fldCharType="separate"/>
      </w:r>
      <w:r>
        <w:t>45</w:t>
      </w:r>
      <w:r>
        <w:fldChar w:fldCharType="end"/>
      </w:r>
    </w:p>
    <w:p>
      <w:pPr>
        <w:pStyle w:val="TOC8"/>
        <w:rPr>
          <w:rFonts w:asciiTheme="minorHAnsi" w:eastAsiaTheme="minorEastAsia" w:hAnsiTheme="minorHAnsi" w:cstheme="minorBidi"/>
          <w:szCs w:val="22"/>
        </w:rPr>
      </w:pPr>
      <w:r>
        <w:t>16B.</w:t>
      </w:r>
      <w:r>
        <w:tab/>
        <w:t>Protection of Commissioner of Police reports that may be withdrawn</w:t>
      </w:r>
      <w:r>
        <w:tab/>
      </w:r>
      <w:r>
        <w:fldChar w:fldCharType="begin"/>
      </w:r>
      <w:r>
        <w:instrText xml:space="preserve"> PAGEREF _Toc180147975 \h </w:instrText>
      </w:r>
      <w:r>
        <w:fldChar w:fldCharType="separate"/>
      </w:r>
      <w:r>
        <w:t>46</w:t>
      </w:r>
      <w:r>
        <w:fldChar w:fldCharType="end"/>
      </w:r>
    </w:p>
    <w:p>
      <w:pPr>
        <w:pStyle w:val="TOC8"/>
        <w:rPr>
          <w:rFonts w:asciiTheme="minorHAnsi" w:eastAsiaTheme="minorEastAsia" w:hAnsiTheme="minorHAnsi" w:cstheme="minorBidi"/>
          <w:szCs w:val="22"/>
        </w:rPr>
      </w:pPr>
      <w:r>
        <w:t>16C.</w:t>
      </w:r>
      <w:r>
        <w:tab/>
        <w:t>Protection of Commissioner of Police reports containing terrorist intelligence information</w:t>
      </w:r>
      <w:r>
        <w:tab/>
      </w:r>
      <w:r>
        <w:fldChar w:fldCharType="begin"/>
      </w:r>
      <w:r>
        <w:instrText xml:space="preserve"> PAGEREF _Toc180147976 \h </w:instrText>
      </w:r>
      <w:r>
        <w:fldChar w:fldCharType="separate"/>
      </w:r>
      <w:r>
        <w:t>46</w:t>
      </w:r>
      <w:r>
        <w:fldChar w:fldCharType="end"/>
      </w:r>
    </w:p>
    <w:p>
      <w:pPr>
        <w:pStyle w:val="TOC8"/>
        <w:rPr>
          <w:rFonts w:asciiTheme="minorHAnsi" w:eastAsiaTheme="minorEastAsia" w:hAnsiTheme="minorHAnsi" w:cstheme="minorBidi"/>
          <w:szCs w:val="22"/>
        </w:rPr>
      </w:pPr>
      <w:r>
        <w:t>16D.</w:t>
      </w:r>
      <w:r>
        <w:tab/>
        <w:t>Protection of terrorist intelligence information in legal proceedings</w:t>
      </w:r>
      <w:r>
        <w:tab/>
      </w:r>
      <w:r>
        <w:fldChar w:fldCharType="begin"/>
      </w:r>
      <w:r>
        <w:instrText xml:space="preserve"> PAGEREF _Toc180147977 \h </w:instrText>
      </w:r>
      <w:r>
        <w:fldChar w:fldCharType="separate"/>
      </w:r>
      <w:r>
        <w:t>47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Confidentiality</w:t>
      </w:r>
      <w:r>
        <w:tab/>
      </w:r>
      <w:r>
        <w:fldChar w:fldCharType="begin"/>
      </w:r>
      <w:r>
        <w:instrText xml:space="preserve"> PAGEREF _Toc180147978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pPr>
        <w:pStyle w:val="TOC8"/>
        <w:rPr>
          <w:rFonts w:asciiTheme="minorHAnsi" w:eastAsiaTheme="minorEastAsia" w:hAnsiTheme="minorHAnsi" w:cstheme="minorBidi"/>
          <w:szCs w:val="22"/>
        </w:rPr>
      </w:pPr>
      <w:r>
        <w:t>17A.</w:t>
      </w:r>
      <w:r>
        <w:tab/>
        <w:t>Terms used</w:t>
      </w:r>
      <w:r>
        <w:tab/>
      </w:r>
      <w:r>
        <w:fldChar w:fldCharType="begin"/>
      </w:r>
      <w:r>
        <w:instrText xml:space="preserve"> PAGEREF _Toc180147980 \h </w:instrText>
      </w:r>
      <w:r>
        <w:fldChar w:fldCharType="separate"/>
      </w:r>
      <w:r>
        <w:t>49</w:t>
      </w:r>
      <w:r>
        <w:fldChar w:fldCharType="end"/>
      </w:r>
    </w:p>
    <w:p>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_Toc180147981 \h </w:instrText>
      </w:r>
      <w:r>
        <w:fldChar w:fldCharType="separate"/>
      </w:r>
      <w:r>
        <w:t>50</w:t>
      </w:r>
      <w:r>
        <w:fldChar w:fldCharType="end"/>
      </w:r>
    </w:p>
    <w:p>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_Toc180147982 \h </w:instrText>
      </w:r>
      <w:r>
        <w:fldChar w:fldCharType="separate"/>
      </w:r>
      <w:r>
        <w:t>50</w:t>
      </w:r>
      <w:r>
        <w:fldChar w:fldCharType="end"/>
      </w:r>
    </w:p>
    <w:p>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_Toc180147983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pPr>
        <w:pStyle w:val="TOC8"/>
        <w:rPr>
          <w:rFonts w:asciiTheme="minorHAnsi" w:eastAsiaTheme="minorEastAsia" w:hAnsiTheme="minorHAnsi" w:cstheme="minorBidi"/>
          <w:szCs w:val="22"/>
        </w:rPr>
      </w:pPr>
      <w:r>
        <w:t>19</w:t>
      </w:r>
      <w:r>
        <w:rPr>
          <w:snapToGrid w:val="0"/>
        </w:rPr>
        <w:t>.</w:t>
      </w:r>
      <w:r>
        <w:rPr>
          <w:snapToGrid w:val="0"/>
        </w:rPr>
        <w:tab/>
      </w:r>
      <w:r>
        <w:t>Detention of young persons apprehended by police</w:t>
      </w:r>
      <w:r>
        <w:tab/>
      </w:r>
      <w:r>
        <w:fldChar w:fldCharType="begin"/>
      </w:r>
      <w:r>
        <w:instrText xml:space="preserve"> PAGEREF _Toc180147985 \h </w:instrText>
      </w:r>
      <w:r>
        <w:fldChar w:fldCharType="separate"/>
      </w:r>
      <w:r>
        <w:t>52</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Responsible adult to be notified</w:t>
      </w:r>
      <w:r>
        <w:tab/>
      </w:r>
      <w:r>
        <w:fldChar w:fldCharType="begin"/>
      </w:r>
      <w:r>
        <w:instrText xml:space="preserve"> PAGEREF _Toc180147986 \h </w:instrText>
      </w:r>
      <w:r>
        <w:fldChar w:fldCharType="separate"/>
      </w:r>
      <w:r>
        <w:t>52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Young person in custody awaiting trial</w:t>
      </w:r>
      <w:r>
        <w:tab/>
      </w:r>
      <w:r>
        <w:fldChar w:fldCharType="begin"/>
      </w:r>
      <w:r>
        <w:instrText xml:space="preserve"> PAGEREF _Toc180147987 \h </w:instrText>
      </w:r>
      <w:r>
        <w:fldChar w:fldCharType="separate"/>
      </w:r>
      <w:r>
        <w:t>54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Chief executive officer may direct that mandatory transfer does not apply</w:t>
      </w:r>
      <w:r>
        <w:tab/>
      </w:r>
      <w:r>
        <w:fldChar w:fldCharType="begin"/>
      </w:r>
      <w:r>
        <w:instrText xml:space="preserve"> PAGEREF _Toc180147988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Cautioning</w:t>
      </w:r>
    </w:p>
    <w:p>
      <w:pPr>
        <w:pStyle w:val="TOC8"/>
        <w:rPr>
          <w:rFonts w:asciiTheme="minorHAnsi" w:eastAsiaTheme="minorEastAsia" w:hAnsiTheme="minorHAnsi" w:cstheme="minorBidi"/>
          <w:szCs w:val="22"/>
        </w:rPr>
      </w:pPr>
      <w:r>
        <w:t>22A</w:t>
      </w:r>
      <w:r>
        <w:rPr>
          <w:snapToGrid w:val="0"/>
        </w:rPr>
        <w:t>.</w:t>
      </w:r>
      <w:r>
        <w:rPr>
          <w:snapToGrid w:val="0"/>
        </w:rPr>
        <w:tab/>
        <w:t>Purpose of this Division</w:t>
      </w:r>
      <w:r>
        <w:tab/>
      </w:r>
      <w:r>
        <w:fldChar w:fldCharType="begin"/>
      </w:r>
      <w:r>
        <w:instrText xml:space="preserve"> PAGEREF _Toc180147991 \h </w:instrText>
      </w:r>
      <w:r>
        <w:fldChar w:fldCharType="separate"/>
      </w:r>
      <w:r>
        <w:t>56</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Police officer to consider alternatives to court proceedings</w:t>
      </w:r>
      <w:r>
        <w:tab/>
      </w:r>
      <w:r>
        <w:fldChar w:fldCharType="begin"/>
      </w:r>
      <w:r>
        <w:instrText xml:space="preserve"> PAGEREF _Toc180147992 \h </w:instrText>
      </w:r>
      <w:r>
        <w:fldChar w:fldCharType="separate"/>
      </w:r>
      <w:r>
        <w:t>56</w:t>
      </w:r>
      <w:r>
        <w:fldChar w:fldCharType="end"/>
      </w:r>
    </w:p>
    <w:p>
      <w:pPr>
        <w:pStyle w:val="TOC8"/>
        <w:rPr>
          <w:rFonts w:asciiTheme="minorHAnsi" w:eastAsiaTheme="minorEastAsia" w:hAnsiTheme="minorHAnsi" w:cstheme="minorBidi"/>
          <w:szCs w:val="22"/>
        </w:rPr>
      </w:pPr>
      <w:r>
        <w:lastRenderedPageBreak/>
        <w:t>22</w:t>
      </w:r>
      <w:r>
        <w:rPr>
          <w:snapToGrid w:val="0"/>
        </w:rPr>
        <w:t>.</w:t>
      </w:r>
      <w:r>
        <w:rPr>
          <w:snapToGrid w:val="0"/>
        </w:rPr>
        <w:tab/>
        <w:t>Cautions may be given except for Sch. 1 or 2 offences</w:t>
      </w:r>
      <w:r>
        <w:tab/>
      </w:r>
      <w:r>
        <w:fldChar w:fldCharType="begin"/>
      </w:r>
      <w:r>
        <w:instrText xml:space="preserve"> PAGEREF _Toc180147993 \h </w:instrText>
      </w:r>
      <w:r>
        <w:fldChar w:fldCharType="separate"/>
      </w:r>
      <w:r>
        <w:t>56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Cautioning to be preferred in certain cases</w:t>
      </w:r>
      <w:r>
        <w:tab/>
      </w:r>
      <w:r>
        <w:fldChar w:fldCharType="begin"/>
      </w:r>
      <w:r>
        <w:instrText xml:space="preserve"> PAGEREF _Toc180147994 \h </w:instrText>
      </w:r>
      <w:r>
        <w:fldChar w:fldCharType="separate"/>
      </w:r>
      <w:r>
        <w:t>57</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Caution certificate to be given</w:t>
      </w:r>
      <w:r>
        <w:tab/>
      </w:r>
      <w:r>
        <w:fldChar w:fldCharType="begin"/>
      </w:r>
      <w:r>
        <w:instrText xml:space="preserve"> PAGEREF _Toc180147995 \h </w:instrText>
      </w:r>
      <w:r>
        <w:fldChar w:fldCharType="separate"/>
      </w:r>
      <w:r>
        <w:t>57</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Police officer may retain a thing relating to an offence</w:t>
      </w:r>
      <w:r>
        <w:tab/>
      </w:r>
      <w:r>
        <w:fldChar w:fldCharType="begin"/>
      </w:r>
      <w:r>
        <w:instrText xml:space="preserve"> PAGEREF _Toc180147996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Referral to juvenile justice team</w:t>
      </w:r>
    </w:p>
    <w:p>
      <w:pPr>
        <w:pStyle w:val="TOC8"/>
        <w:rPr>
          <w:rFonts w:asciiTheme="minorHAnsi" w:eastAsiaTheme="minorEastAsia" w:hAnsiTheme="minorHAnsi" w:cstheme="minorBidi"/>
          <w:szCs w:val="22"/>
        </w:rPr>
      </w:pPr>
      <w:r>
        <w:t>24</w:t>
      </w:r>
      <w:r>
        <w:rPr>
          <w:snapToGrid w:val="0"/>
        </w:rPr>
        <w:t>.</w:t>
      </w:r>
      <w:r>
        <w:rPr>
          <w:snapToGrid w:val="0"/>
        </w:rPr>
        <w:tab/>
        <w:t>Principles</w:t>
      </w:r>
      <w:r>
        <w:tab/>
      </w:r>
      <w:r>
        <w:fldChar w:fldCharType="begin"/>
      </w:r>
      <w:r>
        <w:instrText xml:space="preserve"> PAGEREF _Toc180147998 \h </w:instrText>
      </w:r>
      <w:r>
        <w:fldChar w:fldCharType="separate"/>
      </w:r>
      <w:r>
        <w:t>58</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Only certain matters may be referred to teams</w:t>
      </w:r>
      <w:r>
        <w:tab/>
      </w:r>
      <w:r>
        <w:fldChar w:fldCharType="begin"/>
      </w:r>
      <w:r>
        <w:instrText xml:space="preserve"> PAGEREF _Toc180147999 \h </w:instrText>
      </w:r>
      <w:r>
        <w:fldChar w:fldCharType="separate"/>
      </w:r>
      <w:r>
        <w:t>59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Release of young person under arrest</w:t>
      </w:r>
      <w:r>
        <w:tab/>
      </w:r>
      <w:r>
        <w:fldChar w:fldCharType="begin"/>
      </w:r>
      <w:r>
        <w:instrText xml:space="preserve"> PAGEREF _Toc180148000 \h </w:instrText>
      </w:r>
      <w:r>
        <w:fldChar w:fldCharType="separate"/>
      </w:r>
      <w:r>
        <w:t>60</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Referral to team by prosecutor</w:t>
      </w:r>
      <w:r>
        <w:tab/>
      </w:r>
      <w:r>
        <w:fldChar w:fldCharType="begin"/>
      </w:r>
      <w:r>
        <w:instrText xml:space="preserve"> PAGEREF _Toc180148001 \h </w:instrText>
      </w:r>
      <w:r>
        <w:fldChar w:fldCharType="separate"/>
      </w:r>
      <w:r>
        <w:t>60</w:t>
      </w:r>
      <w:r>
        <w:fldChar w:fldCharType="end"/>
      </w:r>
    </w:p>
    <w:p>
      <w:pPr>
        <w:pStyle w:val="TOC8"/>
        <w:rPr>
          <w:rFonts w:asciiTheme="minorHAnsi" w:eastAsiaTheme="minorEastAsia" w:hAnsiTheme="minorHAnsi" w:cstheme="minorBidi"/>
          <w:szCs w:val="22"/>
        </w:rPr>
      </w:pPr>
      <w:r>
        <w:t>28.</w:t>
      </w:r>
      <w:r>
        <w:tab/>
      </w:r>
      <w:r>
        <w:rPr>
          <w:snapToGrid w:val="0"/>
        </w:rPr>
        <w:t>Referral to team by court</w:t>
      </w:r>
      <w:r>
        <w:tab/>
      </w:r>
      <w:r>
        <w:fldChar w:fldCharType="begin"/>
      </w:r>
      <w:r>
        <w:instrText xml:space="preserve"> PAGEREF _Toc180148002 \h </w:instrText>
      </w:r>
      <w:r>
        <w:fldChar w:fldCharType="separate"/>
      </w:r>
      <w:r>
        <w:t>61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First offenders usually should be referred to team</w:t>
      </w:r>
      <w:r>
        <w:tab/>
      </w:r>
      <w:r>
        <w:fldChar w:fldCharType="begin"/>
      </w:r>
      <w:r>
        <w:instrText xml:space="preserve"> PAGEREF _Toc180148003 \h </w:instrText>
      </w:r>
      <w:r>
        <w:fldChar w:fldCharType="separate"/>
      </w:r>
      <w:r>
        <w:t>61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Role of responsible adult</w:t>
      </w:r>
      <w:r>
        <w:tab/>
      </w:r>
      <w:r>
        <w:fldChar w:fldCharType="begin"/>
      </w:r>
      <w:r>
        <w:instrText xml:space="preserve"> PAGEREF _Toc180148004 \h </w:instrText>
      </w:r>
      <w:r>
        <w:fldChar w:fldCharType="separate"/>
      </w:r>
      <w:r>
        <w:t>62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Role of victim</w:t>
      </w:r>
      <w:r>
        <w:tab/>
      </w:r>
      <w:r>
        <w:fldChar w:fldCharType="begin"/>
      </w:r>
      <w:r>
        <w:instrText xml:space="preserve"> PAGEREF _Toc180148005 \h </w:instrText>
      </w:r>
      <w:r>
        <w:fldChar w:fldCharType="separate"/>
      </w:r>
      <w:r>
        <w:t>63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Powers of juvenile justice team</w:t>
      </w:r>
      <w:r>
        <w:tab/>
      </w:r>
      <w:r>
        <w:fldChar w:fldCharType="begin"/>
      </w:r>
      <w:r>
        <w:instrText xml:space="preserve"> PAGEREF _Toc180148006 \h </w:instrText>
      </w:r>
      <w:r>
        <w:fldChar w:fldCharType="separate"/>
      </w:r>
      <w:r>
        <w:t>63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Effect on liability to be dealt with by court</w:t>
      </w:r>
      <w:r>
        <w:tab/>
      </w:r>
      <w:r>
        <w:fldChar w:fldCharType="begin"/>
      </w:r>
      <w:r>
        <w:instrText xml:space="preserve"> PAGEREF _Toc180148007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Civil liability not affected</w:t>
      </w:r>
      <w:r>
        <w:tab/>
      </w:r>
      <w:r>
        <w:fldChar w:fldCharType="begin"/>
      </w:r>
      <w:r>
        <w:instrText xml:space="preserve"> PAGEREF _Toc180148008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Juvenile justice teams</w:t>
      </w:r>
    </w:p>
    <w:p>
      <w:pPr>
        <w:pStyle w:val="TOC8"/>
        <w:rPr>
          <w:rFonts w:asciiTheme="minorHAnsi" w:eastAsiaTheme="minorEastAsia" w:hAnsiTheme="minorHAnsi" w:cstheme="minorBidi"/>
          <w:szCs w:val="22"/>
        </w:rPr>
      </w:pPr>
      <w:r>
        <w:t>35</w:t>
      </w:r>
      <w:r>
        <w:rPr>
          <w:snapToGrid w:val="0"/>
        </w:rPr>
        <w:t>.</w:t>
      </w:r>
      <w:r>
        <w:rPr>
          <w:snapToGrid w:val="0"/>
        </w:rPr>
        <w:tab/>
        <w:t>Terms used</w:t>
      </w:r>
      <w:r>
        <w:tab/>
      </w:r>
      <w:r>
        <w:fldChar w:fldCharType="begin"/>
      </w:r>
      <w:r>
        <w:instrText xml:space="preserve"> PAGEREF _Toc180148010 \h </w:instrText>
      </w:r>
      <w:r>
        <w:fldChar w:fldCharType="separate"/>
      </w:r>
      <w:r>
        <w:t>66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Juvenile Justice Team Coordinator, appointment of</w:t>
      </w:r>
      <w:r>
        <w:tab/>
      </w:r>
      <w:r>
        <w:fldChar w:fldCharType="begin"/>
      </w:r>
      <w:r>
        <w:instrText xml:space="preserve"> PAGEREF _Toc180148011 \h </w:instrText>
      </w:r>
      <w:r>
        <w:fldChar w:fldCharType="separate"/>
      </w:r>
      <w:r>
        <w:t>66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Establishing juvenile justice teams</w:t>
      </w:r>
      <w:r>
        <w:tab/>
      </w:r>
      <w:r>
        <w:fldChar w:fldCharType="begin"/>
      </w:r>
      <w:r>
        <w:instrText xml:space="preserve"> PAGEREF _Toc180148012 \h </w:instrText>
      </w:r>
      <w:r>
        <w:fldChar w:fldCharType="separate"/>
      </w:r>
      <w:r>
        <w:t>66</w:t>
      </w:r>
      <w:r>
        <w:fldChar w:fldCharType="end"/>
      </w:r>
    </w:p>
    <w:p>
      <w:pPr>
        <w:pStyle w:val="TOC8"/>
        <w:rPr>
          <w:rFonts w:asciiTheme="minorHAnsi" w:eastAsiaTheme="minorEastAsia" w:hAnsiTheme="minorHAnsi" w:cstheme="minorBidi"/>
          <w:szCs w:val="22"/>
        </w:rPr>
      </w:pPr>
      <w:r>
        <w:t>37A.</w:t>
      </w:r>
      <w:r>
        <w:tab/>
        <w:t>No representation by lawyer or agent</w:t>
      </w:r>
      <w:r>
        <w:tab/>
      </w:r>
      <w:r>
        <w:fldChar w:fldCharType="begin"/>
      </w:r>
      <w:r>
        <w:instrText xml:space="preserve"> PAGEREF _Toc180148013 \h </w:instrText>
      </w:r>
      <w:r>
        <w:fldChar w:fldCharType="separate"/>
      </w:r>
      <w:r>
        <w:t>68</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Decisions to be unanimous</w:t>
      </w:r>
      <w:r>
        <w:tab/>
      </w:r>
      <w:r>
        <w:fldChar w:fldCharType="begin"/>
      </w:r>
      <w:r>
        <w:instrText xml:space="preserve"> PAGEREF _Toc180148014 \h </w:instrText>
      </w:r>
      <w:r>
        <w:fldChar w:fldCharType="separate"/>
      </w:r>
      <w:r>
        <w:t>68</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w:t>
      </w:r>
      <w:r>
        <w:tab/>
      </w:r>
      <w:r>
        <w:fldChar w:fldCharType="begin"/>
      </w:r>
      <w:r>
        <w:instrText xml:space="preserve"> PAGEREF _Toc180148015 \h </w:instrText>
      </w:r>
      <w:r>
        <w:fldChar w:fldCharType="separate"/>
      </w:r>
      <w:r>
        <w:t>68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No report of proceedings to be published</w:t>
      </w:r>
      <w:r>
        <w:tab/>
      </w:r>
      <w:r>
        <w:fldChar w:fldCharType="begin"/>
      </w:r>
      <w:r>
        <w:instrText xml:space="preserve"> PAGEREF _Toc180148016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t>Part 6 — Court proceedings</w:t>
      </w:r>
    </w:p>
    <w:p>
      <w:pPr>
        <w:pStyle w:val="TOC8"/>
        <w:rPr>
          <w:rFonts w:asciiTheme="minorHAnsi" w:eastAsiaTheme="minorEastAsia" w:hAnsiTheme="minorHAnsi" w:cstheme="minorBidi"/>
          <w:szCs w:val="22"/>
        </w:rPr>
      </w:pPr>
      <w:r>
        <w:t>41</w:t>
      </w:r>
      <w:r>
        <w:rPr>
          <w:snapToGrid w:val="0"/>
        </w:rPr>
        <w:t>.</w:t>
      </w:r>
      <w:r>
        <w:rPr>
          <w:snapToGrid w:val="0"/>
        </w:rPr>
        <w:tab/>
        <w:t>Preliminary considerations for police before prosecuting</w:t>
      </w:r>
      <w:r>
        <w:tab/>
      </w:r>
      <w:r>
        <w:fldChar w:fldCharType="begin"/>
      </w:r>
      <w:r>
        <w:instrText xml:space="preserve"> PAGEREF _Toc180148018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Notice to attend court usually preferable to summons</w:t>
      </w:r>
      <w:r>
        <w:tab/>
      </w:r>
      <w:r>
        <w:fldChar w:fldCharType="begin"/>
      </w:r>
      <w:r>
        <w:instrText xml:space="preserve"> PAGEREF _Toc180148019 \h </w:instrText>
      </w:r>
      <w:r>
        <w:fldChar w:fldCharType="separate"/>
      </w:r>
      <w:r>
        <w:t>70</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Notices to attend court, general provisions about</w:t>
      </w:r>
      <w:r>
        <w:tab/>
      </w:r>
      <w:r>
        <w:fldChar w:fldCharType="begin"/>
      </w:r>
      <w:r>
        <w:instrText xml:space="preserve"> PAGEREF _Toc180148020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Proceedings to be explained to young persons</w:t>
      </w:r>
      <w:r>
        <w:tab/>
      </w:r>
      <w:r>
        <w:fldChar w:fldCharType="begin"/>
      </w:r>
      <w:r>
        <w:instrText xml:space="preserve"> PAGEREF _Toc180148021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Responsible adult may be required to attend court</w:t>
      </w:r>
      <w:r>
        <w:tab/>
      </w:r>
      <w:r>
        <w:fldChar w:fldCharType="begin"/>
      </w:r>
      <w:r>
        <w:instrText xml:space="preserve"> PAGEREF _Toc180148022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Sentencing and related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w:t>
      </w:r>
    </w:p>
    <w:p>
      <w:pPr>
        <w:pStyle w:val="TOC8"/>
        <w:rPr>
          <w:rFonts w:asciiTheme="minorHAnsi" w:eastAsiaTheme="minorEastAsia" w:hAnsiTheme="minorHAnsi" w:cstheme="minorBidi"/>
          <w:szCs w:val="22"/>
        </w:rPr>
      </w:pPr>
      <w:r>
        <w:t>46</w:t>
      </w:r>
      <w:r>
        <w:rPr>
          <w:snapToGrid w:val="0"/>
        </w:rPr>
        <w:t>.</w:t>
      </w:r>
      <w:r>
        <w:rPr>
          <w:snapToGrid w:val="0"/>
        </w:rPr>
        <w:tab/>
        <w:t>Principles and considerations to be applied to young offenders</w:t>
      </w:r>
      <w:r>
        <w:tab/>
      </w:r>
      <w:r>
        <w:fldChar w:fldCharType="begin"/>
      </w:r>
      <w:r>
        <w:instrText xml:space="preserve"> PAGEREF _Toc180148025 \h </w:instrText>
      </w:r>
      <w:r>
        <w:fldChar w:fldCharType="separate"/>
      </w:r>
      <w:r>
        <w:t>76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_Toc180148026 \h </w:instrText>
      </w:r>
      <w:r>
        <w:fldChar w:fldCharType="separate"/>
      </w:r>
      <w:r>
        <w:t>77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Court may request information</w:t>
      </w:r>
      <w:r>
        <w:tab/>
      </w:r>
      <w:r>
        <w:fldChar w:fldCharType="begin"/>
      </w:r>
      <w:r>
        <w:instrText xml:space="preserve"> PAGEREF _Toc180148027 \h </w:instrText>
      </w:r>
      <w:r>
        <w:fldChar w:fldCharType="separate"/>
      </w:r>
      <w:r>
        <w:t>78</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Certain reports required</w:t>
      </w:r>
      <w:r>
        <w:tab/>
      </w:r>
      <w:r>
        <w:fldChar w:fldCharType="begin"/>
      </w:r>
      <w:r>
        <w:instrText xml:space="preserve"> PAGEREF _Toc180148028 \h </w:instrText>
      </w:r>
      <w:r>
        <w:fldChar w:fldCharType="separate"/>
      </w:r>
      <w:r>
        <w:t>78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Remand for observation</w:t>
      </w:r>
      <w:r>
        <w:tab/>
      </w:r>
      <w:r>
        <w:fldChar w:fldCharType="begin"/>
      </w:r>
      <w:r>
        <w:instrText xml:space="preserve"> PAGEREF _Toc180148029 \h </w:instrText>
      </w:r>
      <w:r>
        <w:fldChar w:fldCharType="separate"/>
      </w:r>
      <w:r>
        <w:t>79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Offender aged under 17 at time of sentence, options</w:t>
      </w:r>
      <w:r>
        <w:tab/>
      </w:r>
      <w:r>
        <w:fldChar w:fldCharType="begin"/>
      </w:r>
      <w:r>
        <w:instrText xml:space="preserve"> PAGEREF _Toc180148030 \h </w:instrText>
      </w:r>
      <w:r>
        <w:fldChar w:fldCharType="separate"/>
      </w:r>
      <w:r>
        <w:t>79</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Offender aged 17 or over but under 18 at time of sentence, options</w:t>
      </w:r>
      <w:r>
        <w:tab/>
      </w:r>
      <w:r>
        <w:fldChar w:fldCharType="begin"/>
      </w:r>
      <w:r>
        <w:instrText xml:space="preserve"> PAGEREF _Toc180148031 \h </w:instrText>
      </w:r>
      <w:r>
        <w:fldChar w:fldCharType="separate"/>
      </w:r>
      <w:r>
        <w:t>80</w:t>
      </w:r>
      <w:r>
        <w:fldChar w:fldCharType="end"/>
      </w:r>
    </w:p>
    <w:p>
      <w:pPr>
        <w:pStyle w:val="TOC8"/>
        <w:rPr>
          <w:rFonts w:asciiTheme="minorHAnsi" w:eastAsiaTheme="minorEastAsia" w:hAnsiTheme="minorHAnsi" w:cstheme="minorBidi"/>
          <w:szCs w:val="22"/>
        </w:rPr>
      </w:pPr>
      <w:r>
        <w:t>50B</w:t>
      </w:r>
      <w:r>
        <w:rPr>
          <w:snapToGrid w:val="0"/>
        </w:rPr>
        <w:t>.</w:t>
      </w:r>
      <w:r>
        <w:rPr>
          <w:snapToGrid w:val="0"/>
        </w:rPr>
        <w:tab/>
        <w:t>Offender aged 18 or over at time of sentence, options</w:t>
      </w:r>
      <w:r>
        <w:tab/>
      </w:r>
      <w:r>
        <w:fldChar w:fldCharType="begin"/>
      </w:r>
      <w:r>
        <w:instrText xml:space="preserve"> PAGEREF _Toc180148032 \h </w:instrText>
      </w:r>
      <w:r>
        <w:fldChar w:fldCharType="separate"/>
      </w:r>
      <w:r>
        <w:t>81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be present for certain orders</w:t>
      </w:r>
      <w:r>
        <w:tab/>
      </w:r>
      <w:r>
        <w:fldChar w:fldCharType="begin"/>
      </w:r>
      <w:r>
        <w:instrText xml:space="preserve"> PAGEREF _Toc180148033 \h </w:instrText>
      </w:r>
      <w:r>
        <w:fldChar w:fldCharType="separate"/>
      </w:r>
      <w:r>
        <w:t>81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Order requiring consent to be explained</w:t>
      </w:r>
      <w:r>
        <w:tab/>
      </w:r>
      <w:r>
        <w:fldChar w:fldCharType="begin"/>
      </w:r>
      <w:r>
        <w:instrText xml:space="preserve"> PAGEREF _Toc180148034 \h </w:instrText>
      </w:r>
      <w:r>
        <w:fldChar w:fldCharType="separate"/>
      </w:r>
      <w:r>
        <w:t>82</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Body samples may be required to be provided</w:t>
      </w:r>
      <w:r>
        <w:tab/>
      </w:r>
      <w:r>
        <w:fldChar w:fldCharType="begin"/>
      </w:r>
      <w:r>
        <w:instrText xml:space="preserve"> PAGEREF _Toc180148035 \h </w:instrText>
      </w:r>
      <w:r>
        <w:fldChar w:fldCharType="separate"/>
      </w:r>
      <w:r>
        <w:t>82</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Conviction, when to be recorded</w:t>
      </w:r>
      <w:r>
        <w:tab/>
      </w:r>
      <w:r>
        <w:fldChar w:fldCharType="begin"/>
      </w:r>
      <w:r>
        <w:instrText xml:space="preserve"> PAGEREF _Toc180148036 \h </w:instrText>
      </w:r>
      <w:r>
        <w:fldChar w:fldCharType="separate"/>
      </w:r>
      <w:r>
        <w:t>83</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 and restitution, orders for</w:t>
      </w:r>
      <w:r>
        <w:tab/>
      </w:r>
      <w:r>
        <w:fldChar w:fldCharType="begin"/>
      </w:r>
      <w:r>
        <w:instrText xml:space="preserve"> PAGEREF _Toc180148037 \h </w:instrText>
      </w:r>
      <w:r>
        <w:fldChar w:fldCharType="separate"/>
      </w:r>
      <w:r>
        <w:t>84</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Costs may be ordered to be paid</w:t>
      </w:r>
      <w:r>
        <w:tab/>
      </w:r>
      <w:r>
        <w:fldChar w:fldCharType="begin"/>
      </w:r>
      <w:r>
        <w:instrText xml:space="preserve"> PAGEREF _Toc180148038 \h </w:instrText>
      </w:r>
      <w:r>
        <w:fldChar w:fldCharType="separate"/>
      </w:r>
      <w:r>
        <w:t>85</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Responsible adult may be made liable for fine etc.</w:t>
      </w:r>
      <w:r>
        <w:tab/>
      </w:r>
      <w:r>
        <w:fldChar w:fldCharType="begin"/>
      </w:r>
      <w:r>
        <w:instrText xml:space="preserve"> PAGEREF _Toc180148039 \h </w:instrText>
      </w:r>
      <w:r>
        <w:fldChar w:fldCharType="separate"/>
      </w:r>
      <w:r>
        <w:t>85</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Court orders to be provided in writing</w:t>
      </w:r>
      <w:r>
        <w:tab/>
      </w:r>
      <w:r>
        <w:fldChar w:fldCharType="begin"/>
      </w:r>
      <w:r>
        <w:instrText xml:space="preserve"> PAGEREF _Toc180148040 \h </w:instrText>
      </w:r>
      <w:r>
        <w:fldChar w:fldCharType="separate"/>
      </w:r>
      <w:r>
        <w:t>86</w:t>
      </w:r>
      <w:r>
        <w:fldChar w:fldCharType="end"/>
      </w:r>
    </w:p>
    <w:p>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_Toc180148041 \h </w:instrText>
      </w:r>
      <w:r>
        <w:fldChar w:fldCharType="separate"/>
      </w:r>
      <w:r>
        <w:t>87</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Workers’ compensation for compulsory work</w:t>
      </w:r>
      <w:r>
        <w:tab/>
      </w:r>
      <w:r>
        <w:fldChar w:fldCharType="begin"/>
      </w:r>
      <w:r>
        <w:instrText xml:space="preserve"> PAGEREF _Toc180148042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Terms used</w:t>
      </w:r>
      <w:r>
        <w:tab/>
      </w:r>
      <w:r>
        <w:fldChar w:fldCharType="begin"/>
      </w:r>
      <w:r>
        <w:instrText xml:space="preserve"> PAGEREF _Toc180148043 \h </w:instrText>
      </w:r>
      <w:r>
        <w:fldChar w:fldCharType="separate"/>
      </w:r>
      <w:r>
        <w:t>88</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Enforcing payment by young person who has reached 18</w:t>
      </w:r>
      <w:r>
        <w:tab/>
      </w:r>
      <w:r>
        <w:fldChar w:fldCharType="begin"/>
      </w:r>
      <w:r>
        <w:instrText xml:space="preserve"> PAGEREF _Toc180148044 \h </w:instrText>
      </w:r>
      <w:r>
        <w:fldChar w:fldCharType="separate"/>
      </w:r>
      <w:r>
        <w:t>88</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Enforcing payment by young person who has not reached 18</w:t>
      </w:r>
      <w:r>
        <w:tab/>
      </w:r>
      <w:r>
        <w:fldChar w:fldCharType="begin"/>
      </w:r>
      <w:r>
        <w:instrText xml:space="preserve"> PAGEREF _Toc180148045 \h </w:instrText>
      </w:r>
      <w:r>
        <w:fldChar w:fldCharType="separate"/>
      </w:r>
      <w:r>
        <w:t>89</w:t>
      </w:r>
      <w:r>
        <w:fldChar w:fldCharType="end"/>
      </w:r>
    </w:p>
    <w:p>
      <w:pPr>
        <w:pStyle w:val="TOC8"/>
        <w:rPr>
          <w:rFonts w:asciiTheme="minorHAnsi" w:eastAsiaTheme="minorEastAsia" w:hAnsiTheme="minorHAnsi" w:cstheme="minorBidi"/>
          <w:szCs w:val="22"/>
        </w:rPr>
      </w:pPr>
      <w:r>
        <w:t>65A</w:t>
      </w:r>
      <w:r>
        <w:rPr>
          <w:snapToGrid w:val="0"/>
        </w:rPr>
        <w:t>.</w:t>
      </w:r>
      <w:r>
        <w:rPr>
          <w:snapToGrid w:val="0"/>
        </w:rPr>
        <w:tab/>
        <w:t>Court’s powers to deal with defaulter</w:t>
      </w:r>
      <w:r>
        <w:tab/>
      </w:r>
      <w:r>
        <w:fldChar w:fldCharType="begin"/>
      </w:r>
      <w:r>
        <w:instrText xml:space="preserve"> PAGEREF _Toc180148046 \h </w:instrText>
      </w:r>
      <w:r>
        <w:fldChar w:fldCharType="separate"/>
      </w:r>
      <w:r>
        <w:t>91</w:t>
      </w:r>
      <w:r>
        <w:fldChar w:fldCharType="end"/>
      </w:r>
    </w:p>
    <w:p>
      <w:pPr>
        <w:pStyle w:val="TOC8"/>
        <w:rPr>
          <w:rFonts w:asciiTheme="minorHAnsi" w:eastAsiaTheme="minorEastAsia" w:hAnsiTheme="minorHAnsi" w:cstheme="minorBidi"/>
          <w:szCs w:val="22"/>
        </w:rPr>
      </w:pPr>
      <w:r>
        <w:t>65B</w:t>
      </w:r>
      <w:r>
        <w:rPr>
          <w:snapToGrid w:val="0"/>
        </w:rPr>
        <w:t>.</w:t>
      </w:r>
      <w:r>
        <w:rPr>
          <w:snapToGrid w:val="0"/>
        </w:rPr>
        <w:tab/>
        <w:t>Community work order</w:t>
      </w:r>
      <w:r>
        <w:tab/>
      </w:r>
      <w:r>
        <w:fldChar w:fldCharType="begin"/>
      </w:r>
      <w:r>
        <w:instrText xml:space="preserve"> PAGEREF _Toc180148047 \h </w:instrText>
      </w:r>
      <w:r>
        <w:fldChar w:fldCharType="separate"/>
      </w:r>
      <w:r>
        <w:t>92</w:t>
      </w:r>
      <w:r>
        <w:fldChar w:fldCharType="end"/>
      </w:r>
    </w:p>
    <w:p>
      <w:pPr>
        <w:pStyle w:val="TOC8"/>
        <w:rPr>
          <w:rFonts w:asciiTheme="minorHAnsi" w:eastAsiaTheme="minorEastAsia" w:hAnsiTheme="minorHAnsi" w:cstheme="minorBidi"/>
          <w:szCs w:val="22"/>
        </w:rPr>
      </w:pPr>
      <w:r>
        <w:t>65C</w:t>
      </w:r>
      <w:r>
        <w:rPr>
          <w:snapToGrid w:val="0"/>
        </w:rPr>
        <w:t>.</w:t>
      </w:r>
      <w:r>
        <w:rPr>
          <w:snapToGrid w:val="0"/>
        </w:rPr>
        <w:tab/>
        <w:t>Detention order</w:t>
      </w:r>
      <w:r>
        <w:tab/>
      </w:r>
      <w:r>
        <w:fldChar w:fldCharType="begin"/>
      </w:r>
      <w:r>
        <w:instrText xml:space="preserve"> PAGEREF _Toc180148048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No punishment and no conditions</w:t>
      </w:r>
    </w:p>
    <w:p>
      <w:pPr>
        <w:pStyle w:val="TOC8"/>
        <w:rPr>
          <w:rFonts w:asciiTheme="minorHAnsi" w:eastAsiaTheme="minorEastAsia" w:hAnsiTheme="minorHAnsi" w:cstheme="minorBidi"/>
          <w:szCs w:val="22"/>
        </w:rPr>
      </w:pPr>
      <w:r>
        <w:t>66</w:t>
      </w:r>
      <w:r>
        <w:rPr>
          <w:snapToGrid w:val="0"/>
        </w:rPr>
        <w:t>.</w:t>
      </w:r>
      <w:r>
        <w:rPr>
          <w:snapToGrid w:val="0"/>
        </w:rPr>
        <w:tab/>
        <w:t>Court may refrain from punishing in some cases</w:t>
      </w:r>
      <w:r>
        <w:tab/>
      </w:r>
      <w:r>
        <w:fldChar w:fldCharType="begin"/>
      </w:r>
      <w:r>
        <w:instrText xml:space="preserve"> PAGEREF _Toc180148050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No punishment but conditions</w:t>
      </w:r>
    </w:p>
    <w:p>
      <w:pPr>
        <w:pStyle w:val="TOC8"/>
        <w:rPr>
          <w:rFonts w:asciiTheme="minorHAnsi" w:eastAsiaTheme="minorEastAsia" w:hAnsiTheme="minorHAnsi" w:cstheme="minorBidi"/>
          <w:szCs w:val="22"/>
        </w:rPr>
      </w:pPr>
      <w:r>
        <w:t>67</w:t>
      </w:r>
      <w:r>
        <w:rPr>
          <w:snapToGrid w:val="0"/>
        </w:rPr>
        <w:t>.</w:t>
      </w:r>
      <w:r>
        <w:rPr>
          <w:snapToGrid w:val="0"/>
        </w:rPr>
        <w:tab/>
        <w:t>Undertakings and informal punishment</w:t>
      </w:r>
      <w:r>
        <w:tab/>
      </w:r>
      <w:r>
        <w:fldChar w:fldCharType="begin"/>
      </w:r>
      <w:r>
        <w:instrText xml:space="preserve"> PAGEREF _Toc180148052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Adjournment</w:t>
      </w:r>
      <w:r>
        <w:tab/>
      </w:r>
      <w:r>
        <w:fldChar w:fldCharType="begin"/>
      </w:r>
      <w:r>
        <w:instrText xml:space="preserve"> PAGEREF _Toc180148053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w:t>
      </w:r>
      <w:r>
        <w:rPr>
          <w:snapToGrid w:val="0"/>
        </w:rPr>
        <w:t> — </w:t>
      </w:r>
      <w:r>
        <w:t>No punishment but security or recognisance</w:t>
      </w:r>
    </w:p>
    <w:p>
      <w:pPr>
        <w:pStyle w:val="TOC8"/>
        <w:rPr>
          <w:rFonts w:asciiTheme="minorHAnsi" w:eastAsiaTheme="minorEastAsia" w:hAnsiTheme="minorHAnsi" w:cstheme="minorBidi"/>
          <w:szCs w:val="22"/>
        </w:rPr>
      </w:pPr>
      <w:r>
        <w:t>69</w:t>
      </w:r>
      <w:r>
        <w:rPr>
          <w:snapToGrid w:val="0"/>
        </w:rPr>
        <w:t>.</w:t>
      </w:r>
      <w:r>
        <w:rPr>
          <w:snapToGrid w:val="0"/>
        </w:rPr>
        <w:tab/>
        <w:t>Recognisance by offender to be of good behaviour etc.</w:t>
      </w:r>
      <w:r>
        <w:tab/>
      </w:r>
      <w:r>
        <w:fldChar w:fldCharType="begin"/>
      </w:r>
      <w:r>
        <w:instrText xml:space="preserve"> PAGEREF _Toc180148055 \h </w:instrText>
      </w:r>
      <w:r>
        <w:fldChar w:fldCharType="separate"/>
      </w:r>
      <w:r>
        <w:t>94</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Responsible adult may give security for offender’s good behaviour etc.</w:t>
      </w:r>
      <w:r>
        <w:tab/>
      </w:r>
      <w:r>
        <w:fldChar w:fldCharType="begin"/>
      </w:r>
      <w:r>
        <w:instrText xml:space="preserve"> PAGEREF _Toc180148056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Fine</w:t>
      </w:r>
    </w:p>
    <w:p>
      <w:pPr>
        <w:pStyle w:val="TOC8"/>
        <w:rPr>
          <w:rFonts w:asciiTheme="minorHAnsi" w:eastAsiaTheme="minorEastAsia" w:hAnsiTheme="minorHAnsi" w:cstheme="minorBidi"/>
          <w:szCs w:val="22"/>
        </w:rPr>
      </w:pPr>
      <w:r>
        <w:t>71</w:t>
      </w:r>
      <w:r>
        <w:rPr>
          <w:snapToGrid w:val="0"/>
        </w:rPr>
        <w:t>.</w:t>
      </w:r>
      <w:r>
        <w:rPr>
          <w:snapToGrid w:val="0"/>
        </w:rPr>
        <w:tab/>
        <w:t>Fine instead of imprisonment</w:t>
      </w:r>
      <w:r>
        <w:tab/>
      </w:r>
      <w:r>
        <w:fldChar w:fldCharType="begin"/>
      </w:r>
      <w:r>
        <w:instrText xml:space="preserve"> PAGEREF _Toc180148058 \h </w:instrText>
      </w:r>
      <w:r>
        <w:fldChar w:fldCharType="separate"/>
      </w:r>
      <w:r>
        <w:t>94</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Offender must be able to pay</w:t>
      </w:r>
      <w:r>
        <w:tab/>
      </w:r>
      <w:r>
        <w:fldChar w:fldCharType="begin"/>
      </w:r>
      <w:r>
        <w:instrText xml:space="preserve"> PAGEREF _Toc180148059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Youth community based order</w:t>
      </w:r>
    </w:p>
    <w:p>
      <w:pPr>
        <w:pStyle w:val="TOC8"/>
        <w:rPr>
          <w:rFonts w:asciiTheme="minorHAnsi" w:eastAsiaTheme="minorEastAsia" w:hAnsiTheme="minorHAnsi" w:cstheme="minorBidi"/>
          <w:szCs w:val="22"/>
        </w:rPr>
      </w:pPr>
      <w:r>
        <w:t>73</w:t>
      </w:r>
      <w:r>
        <w:rPr>
          <w:snapToGrid w:val="0"/>
        </w:rPr>
        <w:t>.</w:t>
      </w:r>
      <w:r>
        <w:rPr>
          <w:snapToGrid w:val="0"/>
        </w:rPr>
        <w:tab/>
        <w:t>Youth community based order, nature of</w:t>
      </w:r>
      <w:r>
        <w:tab/>
      </w:r>
      <w:r>
        <w:fldChar w:fldCharType="begin"/>
      </w:r>
      <w:r>
        <w:instrText xml:space="preserve"> PAGEREF _Toc180148061 \h </w:instrText>
      </w:r>
      <w:r>
        <w:fldChar w:fldCharType="separate"/>
      </w:r>
      <w:r>
        <w:t>95</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Offender must be suitable and consent</w:t>
      </w:r>
      <w:r>
        <w:tab/>
      </w:r>
      <w:r>
        <w:fldChar w:fldCharType="begin"/>
      </w:r>
      <w:r>
        <w:instrText xml:space="preserve"> PAGEREF _Toc180148062 \h </w:instrText>
      </w:r>
      <w:r>
        <w:fldChar w:fldCharType="separate"/>
      </w:r>
      <w:r>
        <w:t>95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Proposed agenda required for suitable person</w:t>
      </w:r>
      <w:r>
        <w:tab/>
      </w:r>
      <w:r>
        <w:fldChar w:fldCharType="begin"/>
      </w:r>
      <w:r>
        <w:instrText xml:space="preserve"> PAGEREF _Toc180148063 \h </w:instrText>
      </w:r>
      <w:r>
        <w:fldChar w:fldCharType="separate"/>
      </w:r>
      <w:r>
        <w:t>95</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Duration of order</w:t>
      </w:r>
      <w:r>
        <w:tab/>
      </w:r>
      <w:r>
        <w:fldChar w:fldCharType="begin"/>
      </w:r>
      <w:r>
        <w:instrText xml:space="preserve"> PAGEREF _Toc180148064 \h </w:instrText>
      </w:r>
      <w:r>
        <w:fldChar w:fldCharType="separate"/>
      </w:r>
      <w:r>
        <w:t>95</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Supervising officer</w:t>
      </w:r>
      <w:r>
        <w:tab/>
      </w:r>
      <w:r>
        <w:fldChar w:fldCharType="begin"/>
      </w:r>
      <w:r>
        <w:instrText xml:space="preserve"> PAGEREF _Toc180148065 \h </w:instrText>
      </w:r>
      <w:r>
        <w:fldChar w:fldCharType="separate"/>
      </w:r>
      <w:r>
        <w:t>96</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Conditions implied in order</w:t>
      </w:r>
      <w:r>
        <w:tab/>
      </w:r>
      <w:r>
        <w:fldChar w:fldCharType="begin"/>
      </w:r>
      <w:r>
        <w:instrText xml:space="preserve"> PAGEREF _Toc180148066 \h </w:instrText>
      </w:r>
      <w:r>
        <w:fldChar w:fldCharType="separate"/>
      </w:r>
      <w:r>
        <w:t>96</w:t>
      </w:r>
      <w:r>
        <w:fldChar w:fldCharType="end"/>
      </w:r>
    </w:p>
    <w:p>
      <w:pPr>
        <w:pStyle w:val="TOC8"/>
        <w:rPr>
          <w:rFonts w:asciiTheme="minorHAnsi" w:eastAsiaTheme="minorEastAsia" w:hAnsiTheme="minorHAnsi" w:cstheme="minorBidi"/>
          <w:szCs w:val="22"/>
        </w:rPr>
      </w:pPr>
      <w:r>
        <w:t>79</w:t>
      </w:r>
      <w:r>
        <w:rPr>
          <w:snapToGrid w:val="0"/>
        </w:rPr>
        <w:t>.</w:t>
      </w:r>
      <w:r>
        <w:rPr>
          <w:snapToGrid w:val="0"/>
        </w:rPr>
        <w:tab/>
        <w:t>Obligations under order may be suspended</w:t>
      </w:r>
      <w:r>
        <w:tab/>
      </w:r>
      <w:r>
        <w:fldChar w:fldCharType="begin"/>
      </w:r>
      <w:r>
        <w:instrText xml:space="preserve"> PAGEREF _Toc180148067 \h </w:instrText>
      </w:r>
      <w:r>
        <w:fldChar w:fldCharType="separate"/>
      </w:r>
      <w:r>
        <w:t>96</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Amendment of order, extent of power</w:t>
      </w:r>
      <w:r>
        <w:tab/>
      </w:r>
      <w:r>
        <w:fldChar w:fldCharType="begin"/>
      </w:r>
      <w:r>
        <w:instrText xml:space="preserve"> PAGEREF _Toc180148068 \h </w:instrText>
      </w:r>
      <w:r>
        <w:fldChar w:fldCharType="separate"/>
      </w:r>
      <w:r>
        <w:t>97</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Amendment of order</w:t>
      </w:r>
      <w:r>
        <w:tab/>
      </w:r>
      <w:r>
        <w:fldChar w:fldCharType="begin"/>
      </w:r>
      <w:r>
        <w:instrText xml:space="preserve"> PAGEREF _Toc180148069 \h </w:instrText>
      </w:r>
      <w:r>
        <w:fldChar w:fldCharType="separate"/>
      </w:r>
      <w:r>
        <w:t>97</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Breach of order, CEO may require offender to attend court</w:t>
      </w:r>
      <w:r>
        <w:tab/>
      </w:r>
      <w:r>
        <w:fldChar w:fldCharType="begin"/>
      </w:r>
      <w:r>
        <w:instrText xml:space="preserve"> PAGEREF _Toc180148070 \h </w:instrText>
      </w:r>
      <w:r>
        <w:fldChar w:fldCharType="separate"/>
      </w:r>
      <w:r>
        <w:t>97</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Breach of order, powers to deal with</w:t>
      </w:r>
      <w:r>
        <w:tab/>
      </w:r>
      <w:r>
        <w:fldChar w:fldCharType="begin"/>
      </w:r>
      <w:r>
        <w:instrText xml:space="preserve"> PAGEREF _Toc180148071 \h </w:instrText>
      </w:r>
      <w:r>
        <w:fldChar w:fldCharType="separate"/>
      </w:r>
      <w:r>
        <w:t>98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_Toc180148072 \h </w:instrText>
      </w:r>
      <w:r>
        <w:fldChar w:fldCharType="separate"/>
      </w:r>
      <w:r>
        <w:t>99</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Discharge or fulfillment of order, effect of</w:t>
      </w:r>
      <w:r>
        <w:tab/>
      </w:r>
      <w:r>
        <w:fldChar w:fldCharType="begin"/>
      </w:r>
      <w:r>
        <w:instrText xml:space="preserve"> PAGEREF _Toc180148073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Proof of identity in proceedings for breach of order</w:t>
      </w:r>
      <w:r>
        <w:tab/>
      </w:r>
      <w:r>
        <w:fldChar w:fldCharType="begin"/>
      </w:r>
      <w:r>
        <w:instrText xml:space="preserve"> PAGEREF _Toc180148074 \h </w:instrText>
      </w:r>
      <w:r>
        <w:fldChar w:fldCharType="separate"/>
      </w:r>
      <w:r>
        <w:t>100</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Notice of court applications</w:t>
      </w:r>
      <w:r>
        <w:tab/>
      </w:r>
      <w:r>
        <w:fldChar w:fldCharType="begin"/>
      </w:r>
      <w:r>
        <w:instrText xml:space="preserve"> PAGEREF _Toc180148075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1 — Attendance conditions</w:t>
      </w:r>
    </w:p>
    <w:p>
      <w:pPr>
        <w:pStyle w:val="TOC8"/>
        <w:rPr>
          <w:rFonts w:asciiTheme="minorHAnsi" w:eastAsiaTheme="minorEastAsia" w:hAnsiTheme="minorHAnsi" w:cstheme="minorBidi"/>
          <w:szCs w:val="22"/>
        </w:rPr>
      </w:pPr>
      <w:r>
        <w:t>88</w:t>
      </w:r>
      <w:r>
        <w:rPr>
          <w:snapToGrid w:val="0"/>
        </w:rPr>
        <w:t>.</w:t>
      </w:r>
      <w:r>
        <w:rPr>
          <w:snapToGrid w:val="0"/>
        </w:rPr>
        <w:tab/>
        <w:t>Requirement to attend courses</w:t>
      </w:r>
      <w:r>
        <w:tab/>
      </w:r>
      <w:r>
        <w:fldChar w:fldCharType="begin"/>
      </w:r>
      <w:r>
        <w:instrText xml:space="preserve"> PAGEREF _Toc180148077 \h </w:instrText>
      </w:r>
      <w:r>
        <w:fldChar w:fldCharType="separate"/>
      </w:r>
      <w:r>
        <w:t>100</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2 — Community work conditions</w:t>
      </w:r>
    </w:p>
    <w:p>
      <w:pPr>
        <w:pStyle w:val="TOC8"/>
        <w:rPr>
          <w:rFonts w:asciiTheme="minorHAnsi" w:eastAsiaTheme="minorEastAsia" w:hAnsiTheme="minorHAnsi" w:cstheme="minorBidi"/>
          <w:szCs w:val="22"/>
        </w:rPr>
      </w:pPr>
      <w:r>
        <w:t>89</w:t>
      </w:r>
      <w:r>
        <w:rPr>
          <w:snapToGrid w:val="0"/>
        </w:rPr>
        <w:t>.</w:t>
      </w:r>
      <w:r>
        <w:rPr>
          <w:snapToGrid w:val="0"/>
        </w:rPr>
        <w:tab/>
        <w:t>Requirement to perform unpaid work</w:t>
      </w:r>
      <w:r>
        <w:tab/>
      </w:r>
      <w:r>
        <w:fldChar w:fldCharType="begin"/>
      </w:r>
      <w:r>
        <w:instrText xml:space="preserve"> PAGEREF _Toc180148079 \h </w:instrText>
      </w:r>
      <w:r>
        <w:fldChar w:fldCharType="separate"/>
      </w:r>
      <w:r>
        <w:t>101</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Conditions cannot be imposed on child under 12</w:t>
      </w:r>
      <w:r>
        <w:tab/>
      </w:r>
      <w:r>
        <w:fldChar w:fldCharType="begin"/>
      </w:r>
      <w:r>
        <w:instrText xml:space="preserve"> PAGEREF _Toc180148080 \h </w:instrText>
      </w:r>
      <w:r>
        <w:fldChar w:fldCharType="separate"/>
      </w:r>
      <w:r>
        <w:t>101</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Community work, minimum and maximum hours of</w:t>
      </w:r>
      <w:r>
        <w:tab/>
      </w:r>
      <w:r>
        <w:fldChar w:fldCharType="begin"/>
      </w:r>
      <w:r>
        <w:instrText xml:space="preserve"> PAGEREF _Toc180148081 \h </w:instrText>
      </w:r>
      <w:r>
        <w:fldChar w:fldCharType="separate"/>
      </w:r>
      <w:r>
        <w:t>101</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Offender to attend before Departmental officer</w:t>
      </w:r>
      <w:r>
        <w:tab/>
      </w:r>
      <w:r>
        <w:fldChar w:fldCharType="begin"/>
      </w:r>
      <w:r>
        <w:instrText xml:space="preserve"> PAGEREF _Toc180148082 \h </w:instrText>
      </w:r>
      <w:r>
        <w:fldChar w:fldCharType="separate"/>
      </w:r>
      <w:r>
        <w:t>101</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Performing the work</w:t>
      </w:r>
      <w:r>
        <w:tab/>
      </w:r>
      <w:r>
        <w:fldChar w:fldCharType="begin"/>
      </w:r>
      <w:r>
        <w:instrText xml:space="preserve"> PAGEREF _Toc180148083 \h </w:instrText>
      </w:r>
      <w:r>
        <w:fldChar w:fldCharType="separate"/>
      </w:r>
      <w:r>
        <w:t>102</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Regulations relating to community work conditions</w:t>
      </w:r>
      <w:r>
        <w:tab/>
      </w:r>
      <w:r>
        <w:fldChar w:fldCharType="begin"/>
      </w:r>
      <w:r>
        <w:instrText xml:space="preserve"> PAGEREF _Toc180148084 \h </w:instrText>
      </w:r>
      <w:r>
        <w:fldChar w:fldCharType="separate"/>
      </w:r>
      <w:r>
        <w:t>102</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lastRenderedPageBreak/>
        <w:t>Subdivision 3 — Supervision conditions</w:t>
      </w:r>
    </w:p>
    <w:p>
      <w:pPr>
        <w:pStyle w:val="TOC8"/>
        <w:rPr>
          <w:rFonts w:asciiTheme="minorHAnsi" w:eastAsiaTheme="minorEastAsia" w:hAnsiTheme="minorHAnsi" w:cstheme="minorBidi"/>
          <w:szCs w:val="22"/>
        </w:rPr>
      </w:pPr>
      <w:r>
        <w:t>95</w:t>
      </w:r>
      <w:r>
        <w:rPr>
          <w:snapToGrid w:val="0"/>
        </w:rPr>
        <w:t>.</w:t>
      </w:r>
      <w:r>
        <w:rPr>
          <w:snapToGrid w:val="0"/>
        </w:rPr>
        <w:tab/>
        <w:t>Requirement to be supervised</w:t>
      </w:r>
      <w:r>
        <w:tab/>
      </w:r>
      <w:r>
        <w:fldChar w:fldCharType="begin"/>
      </w:r>
      <w:r>
        <w:instrText xml:space="preserve"> PAGEREF _Toc180148086 \h </w:instrText>
      </w:r>
      <w:r>
        <w:fldChar w:fldCharType="separate"/>
      </w:r>
      <w:r>
        <w:t>103</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Duration of supervision</w:t>
      </w:r>
      <w:r>
        <w:tab/>
      </w:r>
      <w:r>
        <w:fldChar w:fldCharType="begin"/>
      </w:r>
      <w:r>
        <w:instrText xml:space="preserve"> PAGEREF _Toc180148087 \h </w:instrText>
      </w:r>
      <w:r>
        <w:fldChar w:fldCharType="separate"/>
      </w:r>
      <w:r>
        <w:t>103</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Changing duration of supervision</w:t>
      </w:r>
      <w:r>
        <w:tab/>
      </w:r>
      <w:r>
        <w:fldChar w:fldCharType="begin"/>
      </w:r>
      <w:r>
        <w:instrText xml:space="preserve"> PAGEREF _Toc180148088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Division 7</w:t>
      </w:r>
      <w:r>
        <w:rPr>
          <w:snapToGrid w:val="0"/>
        </w:rPr>
        <w:t> — </w:t>
      </w:r>
      <w:r>
        <w:t>Intensive youth supervision order</w:t>
      </w:r>
    </w:p>
    <w:p>
      <w:pPr>
        <w:pStyle w:val="TOC8"/>
        <w:rPr>
          <w:rFonts w:asciiTheme="minorHAnsi" w:eastAsiaTheme="minorEastAsia" w:hAnsiTheme="minorHAnsi" w:cstheme="minorBidi"/>
          <w:szCs w:val="22"/>
        </w:rPr>
      </w:pPr>
      <w:r>
        <w:t>98</w:t>
      </w:r>
      <w:r>
        <w:rPr>
          <w:snapToGrid w:val="0"/>
        </w:rPr>
        <w:t>.</w:t>
      </w:r>
      <w:r>
        <w:rPr>
          <w:snapToGrid w:val="0"/>
        </w:rPr>
        <w:tab/>
        <w:t>Intensive youth supervision order, nature of</w:t>
      </w:r>
      <w:r>
        <w:tab/>
      </w:r>
      <w:r>
        <w:fldChar w:fldCharType="begin"/>
      </w:r>
      <w:r>
        <w:instrText xml:space="preserve"> PAGEREF _Toc180148090 \h </w:instrText>
      </w:r>
      <w:r>
        <w:fldChar w:fldCharType="separate"/>
      </w:r>
      <w:r>
        <w:t>104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Order may be made with or without custodial sentence</w:t>
      </w:r>
      <w:r>
        <w:tab/>
      </w:r>
      <w:r>
        <w:fldChar w:fldCharType="begin"/>
      </w:r>
      <w:r>
        <w:instrText xml:space="preserve"> PAGEREF _Toc180148091 \h </w:instrText>
      </w:r>
      <w:r>
        <w:fldChar w:fldCharType="separate"/>
      </w:r>
      <w:r>
        <w:t>104</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Order without custodial sentence</w:t>
      </w:r>
      <w:r>
        <w:tab/>
      </w:r>
      <w:r>
        <w:fldChar w:fldCharType="begin"/>
      </w:r>
      <w:r>
        <w:instrText xml:space="preserve"> PAGEREF _Toc180148092 \h </w:instrText>
      </w:r>
      <w:r>
        <w:fldChar w:fldCharType="separate"/>
      </w:r>
      <w:r>
        <w:t>104</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Order with custodial sentence (conditional release order)</w:t>
      </w:r>
      <w:r>
        <w:tab/>
      </w:r>
      <w:r>
        <w:fldChar w:fldCharType="begin"/>
      </w:r>
      <w:r>
        <w:instrText xml:space="preserve"> PAGEREF _Toc180148093 \h </w:instrText>
      </w:r>
      <w:r>
        <w:fldChar w:fldCharType="separate"/>
      </w:r>
      <w:r>
        <w:t>104</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Conditional release order to include agenda of conditions</w:t>
      </w:r>
      <w:r>
        <w:tab/>
      </w:r>
      <w:r>
        <w:fldChar w:fldCharType="begin"/>
      </w:r>
      <w:r>
        <w:instrText xml:space="preserve"> PAGEREF _Toc180148094 \h </w:instrText>
      </w:r>
      <w:r>
        <w:fldChar w:fldCharType="separate"/>
      </w:r>
      <w:r>
        <w:t>105</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Offender must be suitable and consent</w:t>
      </w:r>
      <w:r>
        <w:tab/>
      </w:r>
      <w:r>
        <w:fldChar w:fldCharType="begin"/>
      </w:r>
      <w:r>
        <w:instrText xml:space="preserve"> PAGEREF _Toc180148095 \h </w:instrText>
      </w:r>
      <w:r>
        <w:fldChar w:fldCharType="separate"/>
      </w:r>
      <w:r>
        <w:t>105</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Agenda proposal required for suitable person</w:t>
      </w:r>
      <w:r>
        <w:tab/>
      </w:r>
      <w:r>
        <w:fldChar w:fldCharType="begin"/>
      </w:r>
      <w:r>
        <w:instrText xml:space="preserve"> PAGEREF _Toc180148096 \h </w:instrText>
      </w:r>
      <w:r>
        <w:fldChar w:fldCharType="separate"/>
      </w:r>
      <w:r>
        <w:t>105</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Conditional release order, duration of</w:t>
      </w:r>
      <w:r>
        <w:tab/>
      </w:r>
      <w:r>
        <w:fldChar w:fldCharType="begin"/>
      </w:r>
      <w:r>
        <w:instrText xml:space="preserve"> PAGEREF _Toc180148097 \h </w:instrText>
      </w:r>
      <w:r>
        <w:fldChar w:fldCharType="separate"/>
      </w:r>
      <w:r>
        <w:t>106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Conditional release order may relate to several sentences</w:t>
      </w:r>
      <w:r>
        <w:tab/>
      </w:r>
      <w:r>
        <w:fldChar w:fldCharType="begin"/>
      </w:r>
      <w:r>
        <w:instrText xml:space="preserve"> PAGEREF _Toc180148098 \h </w:instrText>
      </w:r>
      <w:r>
        <w:fldChar w:fldCharType="separate"/>
      </w:r>
      <w:r>
        <w:t>106</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Conditional release not to exceed 12 months</w:t>
      </w:r>
      <w:r>
        <w:tab/>
      </w:r>
      <w:r>
        <w:fldChar w:fldCharType="begin"/>
      </w:r>
      <w:r>
        <w:instrText xml:space="preserve"> PAGEREF _Toc180148099 \h </w:instrText>
      </w:r>
      <w:r>
        <w:fldChar w:fldCharType="separate"/>
      </w:r>
      <w:r>
        <w:t>106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Supervising officer</w:t>
      </w:r>
      <w:r>
        <w:tab/>
      </w:r>
      <w:r>
        <w:fldChar w:fldCharType="begin"/>
      </w:r>
      <w:r>
        <w:instrText xml:space="preserve"> PAGEREF _Toc180148100 \h </w:instrText>
      </w:r>
      <w:r>
        <w:fldChar w:fldCharType="separate"/>
      </w:r>
      <w:r>
        <w:t>106</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Conditional release order, implied conditions of</w:t>
      </w:r>
      <w:r>
        <w:tab/>
      </w:r>
      <w:r>
        <w:fldChar w:fldCharType="begin"/>
      </w:r>
      <w:r>
        <w:instrText xml:space="preserve"> PAGEREF _Toc180148101 \h </w:instrText>
      </w:r>
      <w:r>
        <w:fldChar w:fldCharType="separate"/>
      </w:r>
      <w:r>
        <w:t>107</w:t>
      </w:r>
      <w:r>
        <w:fldChar w:fldCharType="end"/>
      </w:r>
    </w:p>
    <w:p>
      <w:pPr>
        <w:pStyle w:val="TOC8"/>
        <w:rPr>
          <w:rFonts w:asciiTheme="minorHAnsi" w:eastAsiaTheme="minorEastAsia" w:hAnsiTheme="minorHAnsi" w:cstheme="minorBidi"/>
          <w:szCs w:val="22"/>
        </w:rPr>
      </w:pPr>
      <w:r>
        <w:t>109A</w:t>
      </w:r>
      <w:r>
        <w:rPr>
          <w:snapToGrid w:val="0"/>
        </w:rPr>
        <w:t>.</w:t>
      </w:r>
      <w:r>
        <w:rPr>
          <w:snapToGrid w:val="0"/>
        </w:rPr>
        <w:tab/>
        <w:t>Conditional release order: specified places</w:t>
      </w:r>
      <w:r>
        <w:tab/>
      </w:r>
      <w:r>
        <w:fldChar w:fldCharType="begin"/>
      </w:r>
      <w:r>
        <w:instrText xml:space="preserve"> PAGEREF _Toc180148102 \h </w:instrText>
      </w:r>
      <w:r>
        <w:fldChar w:fldCharType="separate"/>
      </w:r>
      <w:r>
        <w:t>107</w:t>
      </w:r>
      <w:r>
        <w:fldChar w:fldCharType="end"/>
      </w:r>
    </w:p>
    <w:p>
      <w:pPr>
        <w:pStyle w:val="TOC8"/>
        <w:rPr>
          <w:rFonts w:asciiTheme="minorHAnsi" w:eastAsiaTheme="minorEastAsia" w:hAnsiTheme="minorHAnsi" w:cstheme="minorBidi"/>
          <w:szCs w:val="22"/>
        </w:rPr>
      </w:pPr>
      <w:r>
        <w:t>109B</w:t>
      </w:r>
      <w:r>
        <w:rPr>
          <w:snapToGrid w:val="0"/>
        </w:rPr>
        <w:t>.</w:t>
      </w:r>
      <w:r>
        <w:rPr>
          <w:snapToGrid w:val="0"/>
        </w:rPr>
        <w:tab/>
        <w:t>Conditional release order: devices</w:t>
      </w:r>
      <w:r>
        <w:tab/>
      </w:r>
      <w:r>
        <w:fldChar w:fldCharType="begin"/>
      </w:r>
      <w:r>
        <w:instrText xml:space="preserve"> PAGEREF _Toc180148103 \h </w:instrText>
      </w:r>
      <w:r>
        <w:fldChar w:fldCharType="separate"/>
      </w:r>
      <w:r>
        <w:t>109</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under order may be suspended</w:t>
      </w:r>
      <w:r>
        <w:tab/>
      </w:r>
      <w:r>
        <w:fldChar w:fldCharType="begin"/>
      </w:r>
      <w:r>
        <w:instrText xml:space="preserve"> PAGEREF _Toc180148104 \h </w:instrText>
      </w:r>
      <w:r>
        <w:fldChar w:fldCharType="separate"/>
      </w:r>
      <w:r>
        <w:t>110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Amendment of order, extent of power</w:t>
      </w:r>
      <w:r>
        <w:tab/>
      </w:r>
      <w:r>
        <w:fldChar w:fldCharType="begin"/>
      </w:r>
      <w:r>
        <w:instrText xml:space="preserve"> PAGEREF _Toc180148105 \h </w:instrText>
      </w:r>
      <w:r>
        <w:fldChar w:fldCharType="separate"/>
      </w:r>
      <w:r>
        <w:t>110</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Amendment or cancellation of order</w:t>
      </w:r>
      <w:r>
        <w:tab/>
      </w:r>
      <w:r>
        <w:fldChar w:fldCharType="begin"/>
      </w:r>
      <w:r>
        <w:instrText xml:space="preserve"> PAGEREF _Toc180148106 \h </w:instrText>
      </w:r>
      <w:r>
        <w:fldChar w:fldCharType="separate"/>
      </w:r>
      <w:r>
        <w:t>110</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Breach of order, CEO may require offender to attend court</w:t>
      </w:r>
      <w:r>
        <w:tab/>
      </w:r>
      <w:r>
        <w:fldChar w:fldCharType="begin"/>
      </w:r>
      <w:r>
        <w:instrText xml:space="preserve"> PAGEREF _Toc180148107 \h </w:instrText>
      </w:r>
      <w:r>
        <w:fldChar w:fldCharType="separate"/>
      </w:r>
      <w:r>
        <w:t>111</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Breach of order, powers to deal with</w:t>
      </w:r>
      <w:r>
        <w:tab/>
      </w:r>
      <w:r>
        <w:fldChar w:fldCharType="begin"/>
      </w:r>
      <w:r>
        <w:instrText xml:space="preserve"> PAGEREF _Toc180148108 \h </w:instrText>
      </w:r>
      <w:r>
        <w:fldChar w:fldCharType="separate"/>
      </w:r>
      <w:r>
        <w:t>111</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Conditional release order, effect of expiry of</w:t>
      </w:r>
      <w:r>
        <w:tab/>
      </w:r>
      <w:r>
        <w:fldChar w:fldCharType="begin"/>
      </w:r>
      <w:r>
        <w:instrText xml:space="preserve"> PAGEREF _Toc180148109 \h </w:instrText>
      </w:r>
      <w:r>
        <w:fldChar w:fldCharType="separate"/>
      </w:r>
      <w:r>
        <w:t>112</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Cancellation of conditional release order, effect of</w:t>
      </w:r>
      <w:r>
        <w:tab/>
      </w:r>
      <w:r>
        <w:fldChar w:fldCharType="begin"/>
      </w:r>
      <w:r>
        <w:instrText xml:space="preserve"> PAGEREF _Toc180148110 \h </w:instrText>
      </w:r>
      <w:r>
        <w:fldChar w:fldCharType="separate"/>
      </w:r>
      <w:r>
        <w:t>113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Notice of court applications</w:t>
      </w:r>
      <w:r>
        <w:tab/>
      </w:r>
      <w:r>
        <w:fldChar w:fldCharType="begin"/>
      </w:r>
      <w:r>
        <w:instrText xml:space="preserve"> PAGEREF _Toc180148111 \h </w:instrText>
      </w:r>
      <w:r>
        <w:fldChar w:fldCharType="separate"/>
      </w:r>
      <w:r>
        <w:t>114</w:t>
      </w:r>
      <w:r>
        <w:fldChar w:fldCharType="end"/>
      </w:r>
    </w:p>
    <w:p>
      <w:pPr>
        <w:pStyle w:val="TOC4"/>
        <w:tabs>
          <w:tab w:val="right" w:leader="dot" w:pos="7077"/>
        </w:tabs>
        <w:rPr>
          <w:rFonts w:asciiTheme="minorHAnsi" w:eastAsiaTheme="minorEastAsia" w:hAnsiTheme="minorHAnsi" w:cstheme="minorBidi"/>
          <w:b w:val="0"/>
          <w:szCs w:val="22"/>
        </w:rPr>
      </w:pPr>
      <w:r>
        <w:t>Division 8</w:t>
      </w:r>
      <w:r>
        <w:rPr>
          <w:snapToGrid w:val="0"/>
        </w:rPr>
        <w:t> — </w:t>
      </w:r>
      <w:r>
        <w:t>Custodial sentence</w:t>
      </w:r>
    </w:p>
    <w:p>
      <w:pPr>
        <w:pStyle w:val="TOC8"/>
        <w:rPr>
          <w:rFonts w:asciiTheme="minorHAnsi" w:eastAsiaTheme="minorEastAsia" w:hAnsiTheme="minorHAnsi" w:cstheme="minorBidi"/>
          <w:szCs w:val="22"/>
        </w:rPr>
      </w:pPr>
      <w:r>
        <w:t>118</w:t>
      </w:r>
      <w:r>
        <w:rPr>
          <w:snapToGrid w:val="0"/>
        </w:rPr>
        <w:t>.</w:t>
      </w:r>
      <w:r>
        <w:rPr>
          <w:snapToGrid w:val="0"/>
        </w:rPr>
        <w:tab/>
      </w:r>
      <w:r>
        <w:t>Sentencing for offences punishable by imprisonment</w:t>
      </w:r>
      <w:r>
        <w:tab/>
      </w:r>
      <w:r>
        <w:fldChar w:fldCharType="begin"/>
      </w:r>
      <w:r>
        <w:instrText xml:space="preserve"> PAGEREF _Toc180148113 \h </w:instrText>
      </w:r>
      <w:r>
        <w:fldChar w:fldCharType="separate"/>
      </w:r>
      <w:r>
        <w:t>114</w:t>
      </w:r>
      <w:r>
        <w:fldChar w:fldCharType="end"/>
      </w:r>
    </w:p>
    <w:p>
      <w:pPr>
        <w:pStyle w:val="TOC8"/>
        <w:rPr>
          <w:rFonts w:asciiTheme="minorHAnsi" w:eastAsiaTheme="minorEastAsia" w:hAnsiTheme="minorHAnsi" w:cstheme="minorBidi"/>
          <w:szCs w:val="22"/>
        </w:rPr>
      </w:pPr>
      <w:r>
        <w:t>118A</w:t>
      </w:r>
      <w:r>
        <w:rPr>
          <w:snapToGrid w:val="0"/>
        </w:rPr>
        <w:t>.</w:t>
      </w:r>
      <w:r>
        <w:rPr>
          <w:snapToGrid w:val="0"/>
        </w:rPr>
        <w:tab/>
        <w:t>Where sentence of imprisonment to be served</w:t>
      </w:r>
      <w:r>
        <w:tab/>
      </w:r>
      <w:r>
        <w:fldChar w:fldCharType="begin"/>
      </w:r>
      <w:r>
        <w:instrText xml:space="preserve"> PAGEREF _Toc180148114 \h </w:instrText>
      </w:r>
      <w:r>
        <w:fldChar w:fldCharType="separate"/>
      </w:r>
      <w:r>
        <w:t>115</w:t>
      </w:r>
      <w:r>
        <w:fldChar w:fldCharType="end"/>
      </w:r>
    </w:p>
    <w:p>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_Toc180148115 \h </w:instrText>
      </w:r>
      <w:r>
        <w:fldChar w:fldCharType="separate"/>
      </w:r>
      <w:r>
        <w:t>116</w:t>
      </w:r>
      <w:r>
        <w:fldChar w:fldCharType="end"/>
      </w:r>
    </w:p>
    <w:p>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_Toc180148116 \h </w:instrText>
      </w:r>
      <w:r>
        <w:fldChar w:fldCharType="separate"/>
      </w:r>
      <w:r>
        <w:t>116</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Custodial sentence is sentence of last resort</w:t>
      </w:r>
      <w:r>
        <w:tab/>
      </w:r>
      <w:r>
        <w:fldChar w:fldCharType="begin"/>
      </w:r>
      <w:r>
        <w:instrText xml:space="preserve"> PAGEREF _Toc180148117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121</w:t>
      </w:r>
      <w:r>
        <w:rPr>
          <w:snapToGrid w:val="0"/>
        </w:rPr>
        <w:t>.</w:t>
      </w:r>
      <w:r>
        <w:rPr>
          <w:snapToGrid w:val="0"/>
        </w:rPr>
        <w:tab/>
        <w:t>Minimum period before release from detention</w:t>
      </w:r>
      <w:r>
        <w:tab/>
      </w:r>
      <w:r>
        <w:fldChar w:fldCharType="begin"/>
      </w:r>
      <w:r>
        <w:instrText xml:space="preserve"> PAGEREF _Toc180148118 \h </w:instrText>
      </w:r>
      <w:r>
        <w:fldChar w:fldCharType="separate"/>
      </w:r>
      <w:r>
        <w:t>117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Aggregation of multiple sentences of detention</w:t>
      </w:r>
      <w:r>
        <w:tab/>
      </w:r>
      <w:r>
        <w:fldChar w:fldCharType="begin"/>
      </w:r>
      <w:r>
        <w:instrText xml:space="preserve"> PAGEREF _Toc180148119 \h </w:instrText>
      </w:r>
      <w:r>
        <w:fldChar w:fldCharType="separate"/>
      </w:r>
      <w:r>
        <w:t>118</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Cumulative sentences of detention, service of</w:t>
      </w:r>
      <w:r>
        <w:tab/>
      </w:r>
      <w:r>
        <w:fldChar w:fldCharType="begin"/>
      </w:r>
      <w:r>
        <w:instrText xml:space="preserve"> PAGEREF _Toc180148120 \h </w:instrText>
      </w:r>
      <w:r>
        <w:fldChar w:fldCharType="separate"/>
      </w:r>
      <w:r>
        <w:t>118</w:t>
      </w:r>
      <w:r>
        <w:fldChar w:fldCharType="end"/>
      </w:r>
    </w:p>
    <w:p>
      <w:pPr>
        <w:pStyle w:val="TOC4"/>
        <w:tabs>
          <w:tab w:val="right" w:leader="dot" w:pos="7077"/>
        </w:tabs>
        <w:rPr>
          <w:rFonts w:asciiTheme="minorHAnsi" w:eastAsiaTheme="minorEastAsia" w:hAnsiTheme="minorHAnsi" w:cstheme="minorBidi"/>
          <w:b w:val="0"/>
          <w:szCs w:val="22"/>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rPr>
      </w:pPr>
      <w:r>
        <w:t>124</w:t>
      </w:r>
      <w:r>
        <w:rPr>
          <w:snapToGrid w:val="0"/>
        </w:rPr>
        <w:t>.</w:t>
      </w:r>
      <w:r>
        <w:rPr>
          <w:snapToGrid w:val="0"/>
        </w:rPr>
        <w:tab/>
        <w:t>When this Division applies</w:t>
      </w:r>
      <w:r>
        <w:tab/>
      </w:r>
      <w:r>
        <w:fldChar w:fldCharType="begin"/>
      </w:r>
      <w:r>
        <w:instrText xml:space="preserve"> PAGEREF _Toc180148122 \h </w:instrText>
      </w:r>
      <w:r>
        <w:fldChar w:fldCharType="separate"/>
      </w:r>
      <w:r>
        <w:t>119</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Protection of the community paramount</w:t>
      </w:r>
      <w:r>
        <w:tab/>
      </w:r>
      <w:r>
        <w:fldChar w:fldCharType="begin"/>
      </w:r>
      <w:r>
        <w:instrText xml:space="preserve"> PAGEREF _Toc180148123 \h </w:instrText>
      </w:r>
      <w:r>
        <w:fldChar w:fldCharType="separate"/>
      </w:r>
      <w:r>
        <w:t>120</w:t>
      </w:r>
      <w:r>
        <w:fldChar w:fldCharType="end"/>
      </w:r>
    </w:p>
    <w:p>
      <w:pPr>
        <w:pStyle w:val="TOC8"/>
        <w:rPr>
          <w:rFonts w:asciiTheme="minorHAnsi" w:eastAsiaTheme="minorEastAsia" w:hAnsiTheme="minorHAnsi" w:cstheme="minorBidi"/>
          <w:szCs w:val="22"/>
        </w:rPr>
      </w:pPr>
      <w:r>
        <w:t>126</w:t>
      </w:r>
      <w:r>
        <w:rPr>
          <w:snapToGrid w:val="0"/>
        </w:rPr>
        <w:t>.</w:t>
      </w:r>
      <w:r>
        <w:rPr>
          <w:snapToGrid w:val="0"/>
        </w:rPr>
        <w:tab/>
        <w:t>Special order, making of</w:t>
      </w:r>
      <w:r>
        <w:tab/>
      </w:r>
      <w:r>
        <w:fldChar w:fldCharType="begin"/>
      </w:r>
      <w:r>
        <w:instrText xml:space="preserve"> PAGEREF _Toc180148124 \h </w:instrText>
      </w:r>
      <w:r>
        <w:fldChar w:fldCharType="separate"/>
      </w:r>
      <w:r>
        <w:t>120</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Special order, time of operation</w:t>
      </w:r>
      <w:r>
        <w:tab/>
      </w:r>
      <w:r>
        <w:fldChar w:fldCharType="begin"/>
      </w:r>
      <w:r>
        <w:instrText xml:space="preserve"> PAGEREF _Toc180148125 \h </w:instrText>
      </w:r>
      <w:r>
        <w:fldChar w:fldCharType="separate"/>
      </w:r>
      <w:r>
        <w:t>121</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Special order, effect of</w:t>
      </w:r>
      <w:r>
        <w:tab/>
      </w:r>
      <w:r>
        <w:fldChar w:fldCharType="begin"/>
      </w:r>
      <w:r>
        <w:instrText xml:space="preserve"> PAGEREF _Toc180148126 \h </w:instrText>
      </w:r>
      <w:r>
        <w:fldChar w:fldCharType="separate"/>
      </w:r>
      <w:r>
        <w:t>122</w:t>
      </w:r>
      <w:r>
        <w:fldChar w:fldCharType="end"/>
      </w:r>
    </w:p>
    <w:p>
      <w:pPr>
        <w:pStyle w:val="TOC8"/>
        <w:rPr>
          <w:rFonts w:asciiTheme="minorHAnsi" w:eastAsiaTheme="minorEastAsia" w:hAnsiTheme="minorHAnsi" w:cstheme="minorBidi"/>
          <w:szCs w:val="22"/>
        </w:rPr>
      </w:pPr>
      <w:r>
        <w:t>129</w:t>
      </w:r>
      <w:r>
        <w:rPr>
          <w:snapToGrid w:val="0"/>
        </w:rPr>
        <w:t>.</w:t>
      </w:r>
      <w:r>
        <w:rPr>
          <w:snapToGrid w:val="0"/>
        </w:rPr>
        <w:tab/>
        <w:t>Special order, application to discharge</w:t>
      </w:r>
      <w:r>
        <w:tab/>
      </w:r>
      <w:r>
        <w:fldChar w:fldCharType="begin"/>
      </w:r>
      <w:r>
        <w:instrText xml:space="preserve"> PAGEREF _Toc180148127 \h </w:instrText>
      </w:r>
      <w:r>
        <w:fldChar w:fldCharType="separate"/>
      </w:r>
      <w:r>
        <w:t>122</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Special order, effect of expiry of</w:t>
      </w:r>
      <w:r>
        <w:tab/>
      </w:r>
      <w:r>
        <w:fldChar w:fldCharType="begin"/>
      </w:r>
      <w:r>
        <w:instrText xml:space="preserve"> PAGEREF _Toc180148128 \h </w:instrText>
      </w:r>
      <w:r>
        <w:fldChar w:fldCharType="separate"/>
      </w:r>
      <w:r>
        <w:t>123</w:t>
      </w:r>
      <w:r>
        <w:fldChar w:fldCharType="end"/>
      </w:r>
    </w:p>
    <w:p>
      <w:pPr>
        <w:pStyle w:val="TOC2"/>
        <w:tabs>
          <w:tab w:val="right" w:leader="dot" w:pos="7077"/>
        </w:tabs>
        <w:rPr>
          <w:rFonts w:asciiTheme="minorHAnsi" w:eastAsiaTheme="minorEastAsia" w:hAnsiTheme="minorHAnsi" w:cstheme="minorBidi"/>
          <w:b w:val="0"/>
          <w:sz w:val="22"/>
          <w:szCs w:val="22"/>
        </w:rPr>
      </w:pPr>
      <w:r>
        <w:t>Part 8 — Supervised release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Definitions</w:t>
      </w:r>
    </w:p>
    <w:p>
      <w:pPr>
        <w:pStyle w:val="TOC8"/>
        <w:rPr>
          <w:rFonts w:asciiTheme="minorHAnsi" w:eastAsiaTheme="minorEastAsia" w:hAnsiTheme="minorHAnsi" w:cstheme="minorBidi"/>
          <w:szCs w:val="22"/>
        </w:rPr>
      </w:pPr>
      <w:r>
        <w:t>131</w:t>
      </w:r>
      <w:r>
        <w:rPr>
          <w:snapToGrid w:val="0"/>
        </w:rPr>
        <w:t>.</w:t>
      </w:r>
      <w:r>
        <w:rPr>
          <w:snapToGrid w:val="0"/>
        </w:rPr>
        <w:tab/>
        <w:t>Terms used</w:t>
      </w:r>
      <w:r>
        <w:tab/>
      </w:r>
      <w:r>
        <w:fldChar w:fldCharType="begin"/>
      </w:r>
      <w:r>
        <w:instrText xml:space="preserve"> PAGEREF _Toc180148131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The order</w:t>
      </w:r>
    </w:p>
    <w:p>
      <w:pPr>
        <w:pStyle w:val="TOC8"/>
        <w:rPr>
          <w:rFonts w:asciiTheme="minorHAnsi" w:eastAsiaTheme="minorEastAsia" w:hAnsiTheme="minorHAnsi" w:cstheme="minorBidi"/>
          <w:szCs w:val="22"/>
        </w:rPr>
      </w:pPr>
      <w:r>
        <w:t>132</w:t>
      </w:r>
      <w:r>
        <w:rPr>
          <w:snapToGrid w:val="0"/>
        </w:rPr>
        <w:t>.</w:t>
      </w:r>
      <w:r>
        <w:rPr>
          <w:snapToGrid w:val="0"/>
        </w:rPr>
        <w:tab/>
        <w:t>Supervised release order, Board may make</w:t>
      </w:r>
      <w:r>
        <w:tab/>
      </w:r>
      <w:r>
        <w:fldChar w:fldCharType="begin"/>
      </w:r>
      <w:r>
        <w:instrText xml:space="preserve"> PAGEREF _Toc180148133 \h </w:instrText>
      </w:r>
      <w:r>
        <w:fldChar w:fldCharType="separate"/>
      </w:r>
      <w:r>
        <w:t>124</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Supervised release order, when can be made</w:t>
      </w:r>
      <w:r>
        <w:tab/>
      </w:r>
      <w:r>
        <w:fldChar w:fldCharType="begin"/>
      </w:r>
      <w:r>
        <w:instrText xml:space="preserve"> PAGEREF _Toc180148134 \h </w:instrText>
      </w:r>
      <w:r>
        <w:fldChar w:fldCharType="separate"/>
      </w:r>
      <w:r>
        <w:t>125</w:t>
      </w:r>
      <w:r>
        <w:fldChar w:fldCharType="end"/>
      </w:r>
    </w:p>
    <w:p>
      <w:pPr>
        <w:pStyle w:val="TOC8"/>
        <w:rPr>
          <w:rFonts w:asciiTheme="minorHAnsi" w:eastAsiaTheme="minorEastAsia" w:hAnsiTheme="minorHAnsi" w:cstheme="minorBidi"/>
          <w:szCs w:val="22"/>
        </w:rPr>
      </w:pPr>
      <w:r>
        <w:t>134</w:t>
      </w:r>
      <w:r>
        <w:rPr>
          <w:snapToGrid w:val="0"/>
        </w:rPr>
        <w:t>.</w:t>
      </w:r>
      <w:r>
        <w:rPr>
          <w:snapToGrid w:val="0"/>
        </w:rPr>
        <w:tab/>
        <w:t>Duration of order</w:t>
      </w:r>
      <w:r>
        <w:tab/>
      </w:r>
      <w:r>
        <w:fldChar w:fldCharType="begin"/>
      </w:r>
      <w:r>
        <w:instrText xml:space="preserve"> PAGEREF _Toc180148135 \h </w:instrText>
      </w:r>
      <w:r>
        <w:fldChar w:fldCharType="separate"/>
      </w:r>
      <w:r>
        <w:t>126</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Order may relate to more than one sentence</w:t>
      </w:r>
      <w:r>
        <w:tab/>
      </w:r>
      <w:r>
        <w:fldChar w:fldCharType="begin"/>
      </w:r>
      <w:r>
        <w:instrText xml:space="preserve"> PAGEREF _Toc180148136 \h </w:instrText>
      </w:r>
      <w:r>
        <w:fldChar w:fldCharType="separate"/>
      </w:r>
      <w:r>
        <w:t>126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Conditions implied in order</w:t>
      </w:r>
      <w:r>
        <w:tab/>
      </w:r>
      <w:r>
        <w:fldChar w:fldCharType="begin"/>
      </w:r>
      <w:r>
        <w:instrText xml:space="preserve"> PAGEREF _Toc180148137 \h </w:instrText>
      </w:r>
      <w:r>
        <w:fldChar w:fldCharType="separate"/>
      </w:r>
      <w:r>
        <w:t>126</w:t>
      </w:r>
      <w:r>
        <w:fldChar w:fldCharType="end"/>
      </w:r>
    </w:p>
    <w:p>
      <w:pPr>
        <w:pStyle w:val="TOC8"/>
        <w:rPr>
          <w:rFonts w:asciiTheme="minorHAnsi" w:eastAsiaTheme="minorEastAsia" w:hAnsiTheme="minorHAnsi" w:cstheme="minorBidi"/>
          <w:szCs w:val="22"/>
        </w:rPr>
      </w:pPr>
      <w:r>
        <w:t>136A</w:t>
      </w:r>
      <w:r>
        <w:rPr>
          <w:snapToGrid w:val="0"/>
        </w:rPr>
        <w:t>.</w:t>
      </w:r>
      <w:r>
        <w:rPr>
          <w:snapToGrid w:val="0"/>
        </w:rPr>
        <w:tab/>
        <w:t>Express conditions: specified places</w:t>
      </w:r>
      <w:r>
        <w:tab/>
      </w:r>
      <w:r>
        <w:fldChar w:fldCharType="begin"/>
      </w:r>
      <w:r>
        <w:instrText xml:space="preserve"> PAGEREF _Toc180148138 \h </w:instrText>
      </w:r>
      <w:r>
        <w:fldChar w:fldCharType="separate"/>
      </w:r>
      <w:r>
        <w:t>127</w:t>
      </w:r>
      <w:r>
        <w:fldChar w:fldCharType="end"/>
      </w:r>
    </w:p>
    <w:p>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_Toc180148139 \h </w:instrText>
      </w:r>
      <w:r>
        <w:fldChar w:fldCharType="separate"/>
      </w:r>
      <w:r>
        <w:t>129</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Effect of proposed order to be explained to offender</w:t>
      </w:r>
      <w:r>
        <w:tab/>
      </w:r>
      <w:r>
        <w:fldChar w:fldCharType="begin"/>
      </w:r>
      <w:r>
        <w:instrText xml:space="preserve"> PAGEREF _Toc180148140 \h </w:instrText>
      </w:r>
      <w:r>
        <w:fldChar w:fldCharType="separate"/>
      </w:r>
      <w:r>
        <w:t>129</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Order to be provided in writing</w:t>
      </w:r>
      <w:r>
        <w:tab/>
      </w:r>
      <w:r>
        <w:fldChar w:fldCharType="begin"/>
      </w:r>
      <w:r>
        <w:instrText xml:space="preserve"> PAGEREF _Toc180148141 \h </w:instrText>
      </w:r>
      <w:r>
        <w:fldChar w:fldCharType="separate"/>
      </w:r>
      <w:r>
        <w:t>130</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Supervising officer</w:t>
      </w:r>
      <w:r>
        <w:tab/>
      </w:r>
      <w:r>
        <w:fldChar w:fldCharType="begin"/>
      </w:r>
      <w:r>
        <w:instrText xml:space="preserve"> PAGEREF _Toc180148142 \h </w:instrText>
      </w:r>
      <w:r>
        <w:fldChar w:fldCharType="separate"/>
      </w:r>
      <w:r>
        <w:t>130</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Obligations under order may be suspended</w:t>
      </w:r>
      <w:r>
        <w:tab/>
      </w:r>
      <w:r>
        <w:fldChar w:fldCharType="begin"/>
      </w:r>
      <w:r>
        <w:instrText xml:space="preserve"> PAGEREF _Toc180148143 \h </w:instrText>
      </w:r>
      <w:r>
        <w:fldChar w:fldCharType="separate"/>
      </w:r>
      <w:r>
        <w:t>131</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Amendment of order, extent of power</w:t>
      </w:r>
      <w:r>
        <w:tab/>
      </w:r>
      <w:r>
        <w:fldChar w:fldCharType="begin"/>
      </w:r>
      <w:r>
        <w:instrText xml:space="preserve"> PAGEREF _Toc180148144 \h </w:instrText>
      </w:r>
      <w:r>
        <w:fldChar w:fldCharType="separate"/>
      </w:r>
      <w:r>
        <w:t>131</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Amendment or cancellation of order</w:t>
      </w:r>
      <w:r>
        <w:tab/>
      </w:r>
      <w:r>
        <w:fldChar w:fldCharType="begin"/>
      </w:r>
      <w:r>
        <w:instrText xml:space="preserve"> PAGEREF _Toc180148145 \h </w:instrText>
      </w:r>
      <w:r>
        <w:fldChar w:fldCharType="separate"/>
      </w:r>
      <w:r>
        <w:t>131</w:t>
      </w:r>
      <w:r>
        <w:fldChar w:fldCharType="end"/>
      </w:r>
    </w:p>
    <w:p>
      <w:pPr>
        <w:pStyle w:val="TOC8"/>
        <w:rPr>
          <w:rFonts w:asciiTheme="minorHAnsi" w:eastAsiaTheme="minorEastAsia" w:hAnsiTheme="minorHAnsi" w:cstheme="minorBidi"/>
          <w:szCs w:val="22"/>
        </w:rPr>
      </w:pPr>
      <w:r>
        <w:t>142A.</w:t>
      </w:r>
      <w:r>
        <w:tab/>
        <w:t>Cancellation automatic in case of offender with links to terrorism</w:t>
      </w:r>
      <w:r>
        <w:tab/>
      </w:r>
      <w:r>
        <w:fldChar w:fldCharType="begin"/>
      </w:r>
      <w:r>
        <w:instrText xml:space="preserve"> PAGEREF _Toc180148146 \h </w:instrText>
      </w:r>
      <w:r>
        <w:fldChar w:fldCharType="separate"/>
      </w:r>
      <w:r>
        <w:t>132</w:t>
      </w:r>
      <w:r>
        <w:fldChar w:fldCharType="end"/>
      </w:r>
    </w:p>
    <w:p>
      <w:pPr>
        <w:pStyle w:val="TOC8"/>
        <w:rPr>
          <w:rFonts w:asciiTheme="minorHAnsi" w:eastAsiaTheme="minorEastAsia" w:hAnsiTheme="minorHAnsi" w:cstheme="minorBidi"/>
          <w:szCs w:val="22"/>
        </w:rPr>
      </w:pPr>
      <w:r>
        <w:t>142B.</w:t>
      </w:r>
      <w:r>
        <w:tab/>
        <w:t>Supervised release order, when cancellation under s. 142A takes effect</w:t>
      </w:r>
      <w:r>
        <w:tab/>
      </w:r>
      <w:r>
        <w:fldChar w:fldCharType="begin"/>
      </w:r>
      <w:r>
        <w:instrText xml:space="preserve"> PAGEREF _Toc180148147 \h </w:instrText>
      </w:r>
      <w:r>
        <w:fldChar w:fldCharType="separate"/>
      </w:r>
      <w:r>
        <w:t>133</w:t>
      </w:r>
      <w:r>
        <w:fldChar w:fldCharType="end"/>
      </w:r>
    </w:p>
    <w:p>
      <w:pPr>
        <w:pStyle w:val="TOC8"/>
        <w:rPr>
          <w:rFonts w:asciiTheme="minorHAnsi" w:eastAsiaTheme="minorEastAsia" w:hAnsiTheme="minorHAnsi" w:cstheme="minorBidi"/>
          <w:szCs w:val="22"/>
        </w:rPr>
      </w:pPr>
      <w:r>
        <w:t>143</w:t>
      </w:r>
      <w:r>
        <w:rPr>
          <w:snapToGrid w:val="0"/>
        </w:rPr>
        <w:t>.</w:t>
      </w:r>
      <w:r>
        <w:rPr>
          <w:snapToGrid w:val="0"/>
        </w:rPr>
        <w:tab/>
        <w:t>Cancellation of certain obligations after 6 months’ release</w:t>
      </w:r>
      <w:r>
        <w:tab/>
      </w:r>
      <w:r>
        <w:fldChar w:fldCharType="begin"/>
      </w:r>
      <w:r>
        <w:instrText xml:space="preserve"> PAGEREF _Toc180148148 \h </w:instrText>
      </w:r>
      <w:r>
        <w:fldChar w:fldCharType="separate"/>
      </w:r>
      <w:r>
        <w:t>133</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_Toc180148149 \h </w:instrText>
      </w:r>
      <w:r>
        <w:fldChar w:fldCharType="separate"/>
      </w:r>
      <w:r>
        <w:t>134</w:t>
      </w:r>
      <w:r>
        <w:fldChar w:fldCharType="end"/>
      </w:r>
    </w:p>
    <w:p>
      <w:pPr>
        <w:pStyle w:val="TOC8"/>
        <w:rPr>
          <w:rFonts w:asciiTheme="minorHAnsi" w:eastAsiaTheme="minorEastAsia" w:hAnsiTheme="minorHAnsi" w:cstheme="minorBidi"/>
          <w:szCs w:val="22"/>
        </w:rPr>
      </w:pPr>
      <w:r>
        <w:lastRenderedPageBreak/>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_Toc180148150 \h </w:instrText>
      </w:r>
      <w:r>
        <w:fldChar w:fldCharType="separate"/>
      </w:r>
      <w:r>
        <w:t>134</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Report to be provided when referring matter to Board</w:t>
      </w:r>
      <w:r>
        <w:tab/>
      </w:r>
      <w:r>
        <w:fldChar w:fldCharType="begin"/>
      </w:r>
      <w:r>
        <w:instrText xml:space="preserve"> PAGEREF _Toc180148151 \h </w:instrText>
      </w:r>
      <w:r>
        <w:fldChar w:fldCharType="separate"/>
      </w:r>
      <w:r>
        <w:t>135</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Breach of order, how Board may deal with</w:t>
      </w:r>
      <w:r>
        <w:tab/>
      </w:r>
      <w:r>
        <w:fldChar w:fldCharType="begin"/>
      </w:r>
      <w:r>
        <w:instrText xml:space="preserve"> PAGEREF _Toc180148152 \h </w:instrText>
      </w:r>
      <w:r>
        <w:fldChar w:fldCharType="separate"/>
      </w:r>
      <w:r>
        <w:t>135</w:t>
      </w:r>
      <w:r>
        <w:fldChar w:fldCharType="end"/>
      </w:r>
    </w:p>
    <w:p>
      <w:pPr>
        <w:pStyle w:val="TOC8"/>
        <w:rPr>
          <w:rFonts w:asciiTheme="minorHAnsi" w:eastAsiaTheme="minorEastAsia" w:hAnsiTheme="minorHAnsi" w:cstheme="minorBidi"/>
          <w:szCs w:val="22"/>
        </w:rPr>
      </w:pPr>
      <w:r>
        <w:t>147A.</w:t>
      </w:r>
      <w:r>
        <w:tab/>
      </w:r>
      <w:r>
        <w:rPr>
          <w:snapToGrid w:val="0"/>
        </w:rPr>
        <w:t>Offending while on supervised release order: automatic cancellation</w:t>
      </w:r>
      <w:r>
        <w:tab/>
      </w:r>
      <w:r>
        <w:fldChar w:fldCharType="begin"/>
      </w:r>
      <w:r>
        <w:instrText xml:space="preserve"> PAGEREF _Toc180148153 \h </w:instrText>
      </w:r>
      <w:r>
        <w:fldChar w:fldCharType="separate"/>
      </w:r>
      <w:r>
        <w:t>136</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Compliance with order, effect of</w:t>
      </w:r>
      <w:r>
        <w:tab/>
      </w:r>
      <w:r>
        <w:fldChar w:fldCharType="begin"/>
      </w:r>
      <w:r>
        <w:instrText xml:space="preserve"> PAGEREF _Toc180148154 \h </w:instrText>
      </w:r>
      <w:r>
        <w:fldChar w:fldCharType="separate"/>
      </w:r>
      <w:r>
        <w:t>137</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Suspension or cancellation of order, effect of</w:t>
      </w:r>
      <w:r>
        <w:tab/>
      </w:r>
      <w:r>
        <w:fldChar w:fldCharType="begin"/>
      </w:r>
      <w:r>
        <w:instrText xml:space="preserve"> PAGEREF _Toc180148155 \h </w:instrText>
      </w:r>
      <w:r>
        <w:fldChar w:fldCharType="separate"/>
      </w:r>
      <w:r>
        <w:t>137</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Cancellation of order after offender reaches 18</w:t>
      </w:r>
      <w:r>
        <w:tab/>
      </w:r>
      <w:r>
        <w:fldChar w:fldCharType="begin"/>
      </w:r>
      <w:r>
        <w:instrText xml:space="preserve"> PAGEREF _Toc180148156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2A — Offenders with links to terrorism or subject to Commissioner of Police reports</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150A.</w:t>
      </w:r>
      <w:r>
        <w:tab/>
        <w:t>Release considerations</w:t>
      </w:r>
      <w:r>
        <w:tab/>
      </w:r>
      <w:r>
        <w:fldChar w:fldCharType="begin"/>
      </w:r>
      <w:r>
        <w:instrText xml:space="preserve"> PAGEREF _Toc180148159 \h </w:instrText>
      </w:r>
      <w:r>
        <w:fldChar w:fldCharType="separate"/>
      </w:r>
      <w:r>
        <w:t>138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Supervised release orders in cases of offenders with links to terrorism</w:t>
      </w:r>
    </w:p>
    <w:p>
      <w:pPr>
        <w:pStyle w:val="TOC8"/>
        <w:rPr>
          <w:rFonts w:asciiTheme="minorHAnsi" w:eastAsiaTheme="minorEastAsia" w:hAnsiTheme="minorHAnsi" w:cstheme="minorBidi"/>
          <w:szCs w:val="22"/>
        </w:rPr>
      </w:pPr>
      <w:r>
        <w:t>150B.</w:t>
      </w:r>
      <w:r>
        <w:tab/>
        <w:t>References to Board</w:t>
      </w:r>
      <w:r>
        <w:tab/>
      </w:r>
      <w:r>
        <w:fldChar w:fldCharType="begin"/>
      </w:r>
      <w:r>
        <w:instrText xml:space="preserve"> PAGEREF _Toc180148161 \h </w:instrText>
      </w:r>
      <w:r>
        <w:fldChar w:fldCharType="separate"/>
      </w:r>
      <w:r>
        <w:t>139</w:t>
      </w:r>
      <w:r>
        <w:fldChar w:fldCharType="end"/>
      </w:r>
    </w:p>
    <w:p>
      <w:pPr>
        <w:pStyle w:val="TOC8"/>
        <w:rPr>
          <w:rFonts w:asciiTheme="minorHAnsi" w:eastAsiaTheme="minorEastAsia" w:hAnsiTheme="minorHAnsi" w:cstheme="minorBidi"/>
          <w:szCs w:val="22"/>
        </w:rPr>
      </w:pPr>
      <w:r>
        <w:t>150C.</w:t>
      </w:r>
      <w:r>
        <w:tab/>
        <w:t>Making supervised release orders</w:t>
      </w:r>
      <w:r>
        <w:tab/>
      </w:r>
      <w:r>
        <w:fldChar w:fldCharType="begin"/>
      </w:r>
      <w:r>
        <w:instrText xml:space="preserve"> PAGEREF _Toc180148162 \h </w:instrText>
      </w:r>
      <w:r>
        <w:fldChar w:fldCharType="separate"/>
      </w:r>
      <w:r>
        <w:t>140</w:t>
      </w:r>
      <w:r>
        <w:fldChar w:fldCharType="end"/>
      </w:r>
    </w:p>
    <w:p>
      <w:pPr>
        <w:pStyle w:val="TOC8"/>
        <w:rPr>
          <w:rFonts w:asciiTheme="minorHAnsi" w:eastAsiaTheme="minorEastAsia" w:hAnsiTheme="minorHAnsi" w:cstheme="minorBidi"/>
          <w:szCs w:val="22"/>
        </w:rPr>
      </w:pPr>
      <w:r>
        <w:t>150D.</w:t>
      </w:r>
      <w:r>
        <w:tab/>
        <w:t>Commissioner of Police reports</w:t>
      </w:r>
      <w:r>
        <w:tab/>
      </w:r>
      <w:r>
        <w:fldChar w:fldCharType="begin"/>
      </w:r>
      <w:r>
        <w:instrText xml:space="preserve"> PAGEREF _Toc180148163 \h </w:instrText>
      </w:r>
      <w:r>
        <w:fldChar w:fldCharType="separate"/>
      </w:r>
      <w:r>
        <w:t>140</w:t>
      </w:r>
      <w:r>
        <w:fldChar w:fldCharType="end"/>
      </w:r>
    </w:p>
    <w:p>
      <w:pPr>
        <w:pStyle w:val="TOC8"/>
        <w:rPr>
          <w:rFonts w:asciiTheme="minorHAnsi" w:eastAsiaTheme="minorEastAsia" w:hAnsiTheme="minorHAnsi" w:cstheme="minorBidi"/>
          <w:szCs w:val="22"/>
        </w:rPr>
      </w:pPr>
      <w:r>
        <w:t>150E.</w:t>
      </w:r>
      <w:r>
        <w:tab/>
        <w:t>Withdrawing Commissioner of Police reports</w:t>
      </w:r>
      <w:r>
        <w:tab/>
      </w:r>
      <w:r>
        <w:fldChar w:fldCharType="begin"/>
      </w:r>
      <w:r>
        <w:instrText xml:space="preserve"> PAGEREF _Toc180148164 \h </w:instrText>
      </w:r>
      <w:r>
        <w:fldChar w:fldCharType="separate"/>
      </w:r>
      <w:r>
        <w:t>141</w:t>
      </w:r>
      <w:r>
        <w:fldChar w:fldCharType="end"/>
      </w:r>
    </w:p>
    <w:p>
      <w:pPr>
        <w:pStyle w:val="TOC6"/>
        <w:tabs>
          <w:tab w:val="right" w:leader="dot" w:pos="7077"/>
        </w:tabs>
        <w:rPr>
          <w:rFonts w:asciiTheme="minorHAnsi" w:eastAsiaTheme="minorEastAsia" w:hAnsiTheme="minorHAnsi" w:cstheme="minorBidi"/>
          <w:b w:val="0"/>
          <w:sz w:val="22"/>
          <w:szCs w:val="22"/>
        </w:rPr>
      </w:pPr>
      <w:r>
        <w:t>Subdivision 3 — Supervised release orders for other offenders subject to Commissioner of Police reports</w:t>
      </w:r>
    </w:p>
    <w:p>
      <w:pPr>
        <w:pStyle w:val="TOC8"/>
        <w:rPr>
          <w:rFonts w:asciiTheme="minorHAnsi" w:eastAsiaTheme="minorEastAsia" w:hAnsiTheme="minorHAnsi" w:cstheme="minorBidi"/>
          <w:szCs w:val="22"/>
        </w:rPr>
      </w:pPr>
      <w:r>
        <w:t>150F.</w:t>
      </w:r>
      <w:r>
        <w:tab/>
        <w:t>Releasing offender subject to Commissioner of Police report under supervised release order</w:t>
      </w:r>
      <w:r>
        <w:tab/>
      </w:r>
      <w:r>
        <w:fldChar w:fldCharType="begin"/>
      </w:r>
      <w:r>
        <w:instrText xml:space="preserve"> PAGEREF _Toc180148166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Review</w:t>
      </w:r>
    </w:p>
    <w:p>
      <w:pPr>
        <w:pStyle w:val="TOC8"/>
        <w:rPr>
          <w:rFonts w:asciiTheme="minorHAnsi" w:eastAsiaTheme="minorEastAsia" w:hAnsiTheme="minorHAnsi" w:cstheme="minorBidi"/>
          <w:szCs w:val="22"/>
        </w:rPr>
      </w:pPr>
      <w:r>
        <w:t>150G.</w:t>
      </w:r>
      <w:r>
        <w:tab/>
        <w:t>Review of Division</w:t>
      </w:r>
      <w:r>
        <w:tab/>
      </w:r>
      <w:r>
        <w:fldChar w:fldCharType="begin"/>
      </w:r>
      <w:r>
        <w:instrText xml:space="preserve"> PAGEREF _Toc180148168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The Supervised Release Review Board</w:t>
      </w:r>
    </w:p>
    <w:p>
      <w:pPr>
        <w:pStyle w:val="TOC8"/>
        <w:rPr>
          <w:rFonts w:asciiTheme="minorHAnsi" w:eastAsiaTheme="minorEastAsia" w:hAnsiTheme="minorHAnsi" w:cstheme="minorBidi"/>
          <w:szCs w:val="22"/>
        </w:rPr>
      </w:pPr>
      <w:r>
        <w:t>151</w:t>
      </w:r>
      <w:r>
        <w:rPr>
          <w:snapToGrid w:val="0"/>
        </w:rPr>
        <w:t>.</w:t>
      </w:r>
      <w:r>
        <w:rPr>
          <w:snapToGrid w:val="0"/>
        </w:rPr>
        <w:tab/>
        <w:t>Board established</w:t>
      </w:r>
      <w:r>
        <w:tab/>
      </w:r>
      <w:r>
        <w:fldChar w:fldCharType="begin"/>
      </w:r>
      <w:r>
        <w:instrText xml:space="preserve"> PAGEREF _Toc180148170 \h </w:instrText>
      </w:r>
      <w:r>
        <w:fldChar w:fldCharType="separate"/>
      </w:r>
      <w:r>
        <w:t>143</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Board members</w:t>
      </w:r>
      <w:r>
        <w:tab/>
      </w:r>
      <w:r>
        <w:fldChar w:fldCharType="begin"/>
      </w:r>
      <w:r>
        <w:instrText xml:space="preserve"> PAGEREF _Toc180148171 \h </w:instrText>
      </w:r>
      <w:r>
        <w:fldChar w:fldCharType="separate"/>
      </w:r>
      <w:r>
        <w:t>144</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Term of office</w:t>
      </w:r>
      <w:r>
        <w:tab/>
      </w:r>
      <w:r>
        <w:fldChar w:fldCharType="begin"/>
      </w:r>
      <w:r>
        <w:instrText xml:space="preserve"> PAGEREF _Toc180148172 \h </w:instrText>
      </w:r>
      <w:r>
        <w:fldChar w:fldCharType="separate"/>
      </w:r>
      <w:r>
        <w:t>145</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Alternate members</w:t>
      </w:r>
      <w:r>
        <w:tab/>
      </w:r>
      <w:r>
        <w:fldChar w:fldCharType="begin"/>
      </w:r>
      <w:r>
        <w:instrText xml:space="preserve"> PAGEREF _Toc180148173 \h </w:instrText>
      </w:r>
      <w:r>
        <w:fldChar w:fldCharType="separate"/>
      </w:r>
      <w:r>
        <w:t>146</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Remuneration and allowances</w:t>
      </w:r>
      <w:r>
        <w:tab/>
      </w:r>
      <w:r>
        <w:fldChar w:fldCharType="begin"/>
      </w:r>
      <w:r>
        <w:instrText xml:space="preserve"> PAGEREF _Toc180148174 \h </w:instrText>
      </w:r>
      <w:r>
        <w:fldChar w:fldCharType="separate"/>
      </w:r>
      <w:r>
        <w:t>147</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Meetings</w:t>
      </w:r>
      <w:r>
        <w:tab/>
      </w:r>
      <w:r>
        <w:fldChar w:fldCharType="begin"/>
      </w:r>
      <w:r>
        <w:instrText xml:space="preserve"> PAGEREF _Toc180148175 \h </w:instrText>
      </w:r>
      <w:r>
        <w:fldChar w:fldCharType="separate"/>
      </w:r>
      <w:r>
        <w:t>147</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Quorum</w:t>
      </w:r>
      <w:r>
        <w:tab/>
      </w:r>
      <w:r>
        <w:fldChar w:fldCharType="begin"/>
      </w:r>
      <w:r>
        <w:instrText xml:space="preserve"> PAGEREF _Toc180148176 \h </w:instrText>
      </w:r>
      <w:r>
        <w:fldChar w:fldCharType="separate"/>
      </w:r>
      <w:r>
        <w:t>147</w:t>
      </w:r>
      <w:r>
        <w:fldChar w:fldCharType="end"/>
      </w:r>
    </w:p>
    <w:p>
      <w:pPr>
        <w:pStyle w:val="TOC8"/>
        <w:rPr>
          <w:rFonts w:asciiTheme="minorHAnsi" w:eastAsiaTheme="minorEastAsia" w:hAnsiTheme="minorHAnsi" w:cstheme="minorBidi"/>
          <w:szCs w:val="22"/>
        </w:rPr>
      </w:pPr>
      <w:r>
        <w:t>158</w:t>
      </w:r>
      <w:r>
        <w:rPr>
          <w:snapToGrid w:val="0"/>
        </w:rPr>
        <w:t>.</w:t>
      </w:r>
      <w:r>
        <w:rPr>
          <w:snapToGrid w:val="0"/>
        </w:rPr>
        <w:tab/>
        <w:t>Presiding at meetings</w:t>
      </w:r>
      <w:r>
        <w:tab/>
      </w:r>
      <w:r>
        <w:fldChar w:fldCharType="begin"/>
      </w:r>
      <w:r>
        <w:instrText xml:space="preserve"> PAGEREF _Toc180148177 \h </w:instrText>
      </w:r>
      <w:r>
        <w:fldChar w:fldCharType="separate"/>
      </w:r>
      <w:r>
        <w:t>148</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Board may request reports</w:t>
      </w:r>
      <w:r>
        <w:tab/>
      </w:r>
      <w:r>
        <w:fldChar w:fldCharType="begin"/>
      </w:r>
      <w:r>
        <w:instrText xml:space="preserve"> PAGEREF _Toc180148178 \h </w:instrText>
      </w:r>
      <w:r>
        <w:fldChar w:fldCharType="separate"/>
      </w:r>
      <w:r>
        <w:t>148</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Determination of questions</w:t>
      </w:r>
      <w:r>
        <w:tab/>
      </w:r>
      <w:r>
        <w:fldChar w:fldCharType="begin"/>
      </w:r>
      <w:r>
        <w:instrText xml:space="preserve"> PAGEREF _Toc180148179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161</w:t>
      </w:r>
      <w:r>
        <w:rPr>
          <w:snapToGrid w:val="0"/>
        </w:rPr>
        <w:t>.</w:t>
      </w:r>
      <w:r>
        <w:rPr>
          <w:snapToGrid w:val="0"/>
        </w:rPr>
        <w:tab/>
        <w:t>Procedure</w:t>
      </w:r>
      <w:r>
        <w:tab/>
      </w:r>
      <w:r>
        <w:fldChar w:fldCharType="begin"/>
      </w:r>
      <w:r>
        <w:instrText xml:space="preserve"> PAGEREF _Toc180148180 \h </w:instrText>
      </w:r>
      <w:r>
        <w:fldChar w:fldCharType="separate"/>
      </w:r>
      <w:r>
        <w:t>149</w:t>
      </w:r>
      <w:r>
        <w:fldChar w:fldCharType="end"/>
      </w:r>
    </w:p>
    <w:p>
      <w:pPr>
        <w:pStyle w:val="TOC8"/>
        <w:rPr>
          <w:rFonts w:asciiTheme="minorHAnsi" w:eastAsiaTheme="minorEastAsia" w:hAnsiTheme="minorHAnsi" w:cstheme="minorBidi"/>
          <w:szCs w:val="22"/>
        </w:rPr>
      </w:pPr>
      <w:r>
        <w:t>162</w:t>
      </w:r>
      <w:r>
        <w:rPr>
          <w:snapToGrid w:val="0"/>
        </w:rPr>
        <w:t>.</w:t>
      </w:r>
      <w:r>
        <w:rPr>
          <w:snapToGrid w:val="0"/>
        </w:rPr>
        <w:tab/>
        <w:t>Board may reconsider its decision</w:t>
      </w:r>
      <w:r>
        <w:tab/>
      </w:r>
      <w:r>
        <w:fldChar w:fldCharType="begin"/>
      </w:r>
      <w:r>
        <w:instrText xml:space="preserve"> PAGEREF _Toc180148181 \h </w:instrText>
      </w:r>
      <w:r>
        <w:fldChar w:fldCharType="separate"/>
      </w:r>
      <w:r>
        <w:t>149</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Rules of natural justice excluded</w:t>
      </w:r>
      <w:r>
        <w:tab/>
      </w:r>
      <w:r>
        <w:fldChar w:fldCharType="begin"/>
      </w:r>
      <w:r>
        <w:instrText xml:space="preserve"> PAGEREF _Toc180148182 \h </w:instrText>
      </w:r>
      <w:r>
        <w:fldChar w:fldCharType="separate"/>
      </w:r>
      <w:r>
        <w:t>149</w:t>
      </w:r>
      <w:r>
        <w:fldChar w:fldCharType="end"/>
      </w:r>
    </w:p>
    <w:p>
      <w:pPr>
        <w:pStyle w:val="TOC8"/>
        <w:rPr>
          <w:rFonts w:asciiTheme="minorHAnsi" w:eastAsiaTheme="minorEastAsia" w:hAnsiTheme="minorHAnsi" w:cstheme="minorBidi"/>
          <w:szCs w:val="22"/>
        </w:rPr>
      </w:pPr>
      <w:r>
        <w:t>164</w:t>
      </w:r>
      <w:r>
        <w:rPr>
          <w:snapToGrid w:val="0"/>
        </w:rPr>
        <w:t>.</w:t>
      </w:r>
      <w:r>
        <w:rPr>
          <w:snapToGrid w:val="0"/>
        </w:rPr>
        <w:tab/>
        <w:t>Judicial notice of Board’s documents</w:t>
      </w:r>
      <w:r>
        <w:tab/>
      </w:r>
      <w:r>
        <w:fldChar w:fldCharType="begin"/>
      </w:r>
      <w:r>
        <w:instrText xml:space="preserve"> PAGEREF _Toc180148183 \h </w:instrText>
      </w:r>
      <w:r>
        <w:fldChar w:fldCharType="separate"/>
      </w:r>
      <w:r>
        <w:t>149</w:t>
      </w:r>
      <w:r>
        <w:fldChar w:fldCharType="end"/>
      </w:r>
    </w:p>
    <w:p>
      <w:pPr>
        <w:pStyle w:val="TOC8"/>
        <w:rPr>
          <w:rFonts w:asciiTheme="minorHAnsi" w:eastAsiaTheme="minorEastAsia" w:hAnsiTheme="minorHAnsi" w:cstheme="minorBidi"/>
          <w:szCs w:val="22"/>
        </w:rPr>
      </w:pPr>
      <w:r>
        <w:t>165</w:t>
      </w:r>
      <w:r>
        <w:rPr>
          <w:snapToGrid w:val="0"/>
        </w:rPr>
        <w:t>.</w:t>
      </w:r>
      <w:r>
        <w:rPr>
          <w:snapToGrid w:val="0"/>
        </w:rPr>
        <w:tab/>
        <w:t>Annual report</w:t>
      </w:r>
      <w:r>
        <w:tab/>
      </w:r>
      <w:r>
        <w:fldChar w:fldCharType="begin"/>
      </w:r>
      <w:r>
        <w:instrText xml:space="preserve"> PAGEREF _Toc180148184 \h </w:instrText>
      </w:r>
      <w:r>
        <w:fldChar w:fldCharType="separate"/>
      </w:r>
      <w:r>
        <w:t>150</w:t>
      </w:r>
      <w:r>
        <w:fldChar w:fldCharType="end"/>
      </w:r>
    </w:p>
    <w:p>
      <w:pPr>
        <w:pStyle w:val="TOC8"/>
        <w:rPr>
          <w:rFonts w:asciiTheme="minorHAnsi" w:eastAsiaTheme="minorEastAsia" w:hAnsiTheme="minorHAnsi" w:cstheme="minorBidi"/>
          <w:szCs w:val="22"/>
        </w:rPr>
      </w:pPr>
      <w:r>
        <w:t>165A.</w:t>
      </w:r>
      <w:r>
        <w:tab/>
        <w:t>Information to be excluded from annual reports</w:t>
      </w:r>
      <w:r>
        <w:tab/>
      </w:r>
      <w:r>
        <w:fldChar w:fldCharType="begin"/>
      </w:r>
      <w:r>
        <w:instrText xml:space="preserve"> PAGEREF _Toc180148185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t>Part 9 — Detention centres</w:t>
      </w:r>
    </w:p>
    <w:p>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_Toc180148187 \h </w:instrText>
      </w:r>
      <w:r>
        <w:fldChar w:fldCharType="separate"/>
      </w:r>
      <w:r>
        <w:t>153</w:t>
      </w:r>
      <w:r>
        <w:fldChar w:fldCharType="end"/>
      </w:r>
    </w:p>
    <w:p>
      <w:pPr>
        <w:pStyle w:val="TOC8"/>
        <w:rPr>
          <w:rFonts w:asciiTheme="minorHAnsi" w:eastAsiaTheme="minorEastAsia" w:hAnsiTheme="minorHAnsi" w:cstheme="minorBidi"/>
          <w:szCs w:val="22"/>
        </w:rPr>
      </w:pPr>
      <w:r>
        <w:t>168</w:t>
      </w:r>
      <w:r>
        <w:rPr>
          <w:snapToGrid w:val="0"/>
        </w:rPr>
        <w:t>.</w:t>
      </w:r>
      <w:r>
        <w:rPr>
          <w:snapToGrid w:val="0"/>
        </w:rPr>
        <w:tab/>
        <w:t>Visiting justices, functions of</w:t>
      </w:r>
      <w:r>
        <w:tab/>
      </w:r>
      <w:r>
        <w:fldChar w:fldCharType="begin"/>
      </w:r>
      <w:r>
        <w:instrText xml:space="preserve"> PAGEREF _Toc180148188 \h </w:instrText>
      </w:r>
      <w:r>
        <w:fldChar w:fldCharType="separate"/>
      </w:r>
      <w:r>
        <w:t>153</w:t>
      </w:r>
      <w:r>
        <w:fldChar w:fldCharType="end"/>
      </w:r>
    </w:p>
    <w:p>
      <w:pPr>
        <w:pStyle w:val="TOC8"/>
        <w:rPr>
          <w:rFonts w:asciiTheme="minorHAnsi" w:eastAsiaTheme="minorEastAsia" w:hAnsiTheme="minorHAnsi" w:cstheme="minorBidi"/>
          <w:szCs w:val="22"/>
        </w:rPr>
      </w:pPr>
      <w:r>
        <w:t>169</w:t>
      </w:r>
      <w:r>
        <w:rPr>
          <w:snapToGrid w:val="0"/>
        </w:rPr>
        <w:t>.</w:t>
      </w:r>
      <w:r>
        <w:rPr>
          <w:snapToGrid w:val="0"/>
        </w:rPr>
        <w:tab/>
        <w:t>Right of certain persons to enter detention centre</w:t>
      </w:r>
      <w:r>
        <w:tab/>
      </w:r>
      <w:r>
        <w:fldChar w:fldCharType="begin"/>
      </w:r>
      <w:r>
        <w:instrText xml:space="preserve"> PAGEREF _Toc180148189 \h </w:instrText>
      </w:r>
      <w:r>
        <w:fldChar w:fldCharType="separate"/>
      </w:r>
      <w:r>
        <w:t>154</w:t>
      </w:r>
      <w:r>
        <w:fldChar w:fldCharType="end"/>
      </w:r>
    </w:p>
    <w:p>
      <w:pPr>
        <w:pStyle w:val="TOC8"/>
        <w:rPr>
          <w:rFonts w:asciiTheme="minorHAnsi" w:eastAsiaTheme="minorEastAsia" w:hAnsiTheme="minorHAnsi" w:cstheme="minorBidi"/>
          <w:szCs w:val="22"/>
        </w:rPr>
      </w:pPr>
      <w:r>
        <w:t>169A.</w:t>
      </w:r>
      <w:r>
        <w:tab/>
      </w:r>
      <w:r>
        <w:rPr>
          <w:snapToGrid w:val="0"/>
        </w:rPr>
        <w:t>Investigation of alleged incident at detention centre</w:t>
      </w:r>
      <w:r>
        <w:tab/>
      </w:r>
      <w:r>
        <w:fldChar w:fldCharType="begin"/>
      </w:r>
      <w:r>
        <w:instrText xml:space="preserve"> PAGEREF _Toc180148190 \h </w:instrText>
      </w:r>
      <w:r>
        <w:fldChar w:fldCharType="separate"/>
      </w:r>
      <w:r>
        <w:t>154</w:t>
      </w:r>
      <w:r>
        <w:fldChar w:fldCharType="end"/>
      </w:r>
    </w:p>
    <w:p>
      <w:pPr>
        <w:pStyle w:val="TOC8"/>
        <w:rPr>
          <w:rFonts w:asciiTheme="minorHAnsi" w:eastAsiaTheme="minorEastAsia" w:hAnsiTheme="minorHAnsi" w:cstheme="minorBidi"/>
          <w:szCs w:val="22"/>
        </w:rPr>
      </w:pPr>
      <w:r>
        <w:t>170</w:t>
      </w:r>
      <w:r>
        <w:rPr>
          <w:snapToGrid w:val="0"/>
        </w:rPr>
        <w:t>.</w:t>
      </w:r>
      <w:r>
        <w:rPr>
          <w:snapToGrid w:val="0"/>
        </w:rPr>
        <w:tab/>
        <w:t>Detention offences</w:t>
      </w:r>
      <w:r>
        <w:tab/>
      </w:r>
      <w:r>
        <w:fldChar w:fldCharType="begin"/>
      </w:r>
      <w:r>
        <w:instrText xml:space="preserve"> PAGEREF _Toc180148191 \h </w:instrText>
      </w:r>
      <w:r>
        <w:fldChar w:fldCharType="separate"/>
      </w:r>
      <w:r>
        <w:t>155</w:t>
      </w:r>
      <w:r>
        <w:fldChar w:fldCharType="end"/>
      </w:r>
    </w:p>
    <w:p>
      <w:pPr>
        <w:pStyle w:val="TOC8"/>
        <w:rPr>
          <w:rFonts w:asciiTheme="minorHAnsi" w:eastAsiaTheme="minorEastAsia" w:hAnsiTheme="minorHAnsi" w:cstheme="minorBidi"/>
          <w:szCs w:val="22"/>
        </w:rPr>
      </w:pPr>
      <w:r>
        <w:t>171</w:t>
      </w:r>
      <w:r>
        <w:rPr>
          <w:snapToGrid w:val="0"/>
        </w:rPr>
        <w:t>.</w:t>
      </w:r>
      <w:r>
        <w:rPr>
          <w:snapToGrid w:val="0"/>
        </w:rPr>
        <w:tab/>
        <w:t>Detention offence charge, procedure on</w:t>
      </w:r>
      <w:r>
        <w:tab/>
      </w:r>
      <w:r>
        <w:fldChar w:fldCharType="begin"/>
      </w:r>
      <w:r>
        <w:instrText xml:space="preserve"> PAGEREF _Toc180148192 \h </w:instrText>
      </w:r>
      <w:r>
        <w:fldChar w:fldCharType="separate"/>
      </w:r>
      <w:r>
        <w:t>156</w:t>
      </w:r>
      <w:r>
        <w:fldChar w:fldCharType="end"/>
      </w:r>
    </w:p>
    <w:p>
      <w:pPr>
        <w:pStyle w:val="TOC8"/>
        <w:rPr>
          <w:rFonts w:asciiTheme="minorHAnsi" w:eastAsiaTheme="minorEastAsia" w:hAnsiTheme="minorHAnsi" w:cstheme="minorBidi"/>
          <w:szCs w:val="22"/>
        </w:rPr>
      </w:pPr>
      <w:r>
        <w:t>172</w:t>
      </w:r>
      <w:r>
        <w:rPr>
          <w:snapToGrid w:val="0"/>
        </w:rPr>
        <w:t>.</w:t>
      </w:r>
      <w:r>
        <w:rPr>
          <w:snapToGrid w:val="0"/>
        </w:rPr>
        <w:tab/>
        <w:t>Visiting justice may deal with referred charges</w:t>
      </w:r>
      <w:r>
        <w:tab/>
      </w:r>
      <w:r>
        <w:fldChar w:fldCharType="begin"/>
      </w:r>
      <w:r>
        <w:instrText xml:space="preserve"> PAGEREF _Toc180148193 \h </w:instrText>
      </w:r>
      <w:r>
        <w:fldChar w:fldCharType="separate"/>
      </w:r>
      <w:r>
        <w:t>157</w:t>
      </w:r>
      <w:r>
        <w:fldChar w:fldCharType="end"/>
      </w:r>
    </w:p>
    <w:p>
      <w:pPr>
        <w:pStyle w:val="TOC8"/>
        <w:rPr>
          <w:rFonts w:asciiTheme="minorHAnsi" w:eastAsiaTheme="minorEastAsia" w:hAnsiTheme="minorHAnsi" w:cstheme="minorBidi"/>
          <w:szCs w:val="22"/>
        </w:rPr>
      </w:pPr>
      <w:r>
        <w:t>173</w:t>
      </w:r>
      <w:r>
        <w:rPr>
          <w:snapToGrid w:val="0"/>
        </w:rPr>
        <w:t>.</w:t>
      </w:r>
      <w:r>
        <w:rPr>
          <w:snapToGrid w:val="0"/>
        </w:rPr>
        <w:tab/>
        <w:t>Detention offences, dealing with</w:t>
      </w:r>
      <w:r>
        <w:tab/>
      </w:r>
      <w:r>
        <w:fldChar w:fldCharType="begin"/>
      </w:r>
      <w:r>
        <w:instrText xml:space="preserve"> PAGEREF _Toc180148194 \h </w:instrText>
      </w:r>
      <w:r>
        <w:fldChar w:fldCharType="separate"/>
      </w:r>
      <w:r>
        <w:t>157</w:t>
      </w:r>
      <w:r>
        <w:fldChar w:fldCharType="end"/>
      </w:r>
    </w:p>
    <w:p>
      <w:pPr>
        <w:pStyle w:val="TOC8"/>
        <w:rPr>
          <w:rFonts w:asciiTheme="minorHAnsi" w:eastAsiaTheme="minorEastAsia" w:hAnsiTheme="minorHAnsi" w:cstheme="minorBidi"/>
          <w:szCs w:val="22"/>
        </w:rPr>
      </w:pPr>
      <w:r>
        <w:t>174</w:t>
      </w:r>
      <w:r>
        <w:rPr>
          <w:snapToGrid w:val="0"/>
        </w:rPr>
        <w:t>.</w:t>
      </w:r>
      <w:r>
        <w:rPr>
          <w:snapToGrid w:val="0"/>
        </w:rPr>
        <w:tab/>
        <w:t>Detention offence charges, hearing of</w:t>
      </w:r>
      <w:r>
        <w:tab/>
      </w:r>
      <w:r>
        <w:fldChar w:fldCharType="begin"/>
      </w:r>
      <w:r>
        <w:instrText xml:space="preserve"> PAGEREF _Toc180148195 \h </w:instrText>
      </w:r>
      <w:r>
        <w:fldChar w:fldCharType="separate"/>
      </w:r>
      <w:r>
        <w:t>159</w:t>
      </w:r>
      <w:r>
        <w:fldChar w:fldCharType="end"/>
      </w:r>
    </w:p>
    <w:p>
      <w:pPr>
        <w:pStyle w:val="TOC8"/>
        <w:rPr>
          <w:rFonts w:asciiTheme="minorHAnsi" w:eastAsiaTheme="minorEastAsia" w:hAnsiTheme="minorHAnsi" w:cstheme="minorBidi"/>
          <w:szCs w:val="22"/>
        </w:rPr>
      </w:pPr>
      <w:r>
        <w:t>175</w:t>
      </w:r>
      <w:r>
        <w:rPr>
          <w:snapToGrid w:val="0"/>
        </w:rPr>
        <w:t>.</w:t>
      </w:r>
      <w:r>
        <w:rPr>
          <w:snapToGrid w:val="0"/>
        </w:rPr>
        <w:tab/>
        <w:t>Visiting justice may direct prosecution for detention offence</w:t>
      </w:r>
      <w:r>
        <w:tab/>
      </w:r>
      <w:r>
        <w:fldChar w:fldCharType="begin"/>
      </w:r>
      <w:r>
        <w:instrText xml:space="preserve"> PAGEREF _Toc180148196 \h </w:instrText>
      </w:r>
      <w:r>
        <w:fldChar w:fldCharType="separate"/>
      </w:r>
      <w:r>
        <w:t>159</w:t>
      </w:r>
      <w:r>
        <w:fldChar w:fldCharType="end"/>
      </w:r>
    </w:p>
    <w:p>
      <w:pPr>
        <w:pStyle w:val="TOC8"/>
        <w:rPr>
          <w:rFonts w:asciiTheme="minorHAnsi" w:eastAsiaTheme="minorEastAsia" w:hAnsiTheme="minorHAnsi" w:cstheme="minorBidi"/>
          <w:szCs w:val="22"/>
        </w:rPr>
      </w:pPr>
      <w:r>
        <w:t>176</w:t>
      </w:r>
      <w:r>
        <w:rPr>
          <w:snapToGrid w:val="0"/>
        </w:rPr>
        <w:t>.</w:t>
      </w:r>
      <w:r>
        <w:rPr>
          <w:snapToGrid w:val="0"/>
        </w:rPr>
        <w:tab/>
        <w:t>Early discharge from detention</w:t>
      </w:r>
      <w:r>
        <w:tab/>
      </w:r>
      <w:r>
        <w:fldChar w:fldCharType="begin"/>
      </w:r>
      <w:r>
        <w:instrText xml:space="preserve"> PAGEREF _Toc180148197 \h </w:instrText>
      </w:r>
      <w:r>
        <w:fldChar w:fldCharType="separate"/>
      </w:r>
      <w:r>
        <w:t>159</w:t>
      </w:r>
      <w:r>
        <w:fldChar w:fldCharType="end"/>
      </w:r>
    </w:p>
    <w:p>
      <w:pPr>
        <w:pStyle w:val="TOC8"/>
        <w:rPr>
          <w:rFonts w:asciiTheme="minorHAnsi" w:eastAsiaTheme="minorEastAsia" w:hAnsiTheme="minorHAnsi" w:cstheme="minorBidi"/>
          <w:szCs w:val="22"/>
        </w:rPr>
      </w:pPr>
      <w:r>
        <w:t>178</w:t>
      </w:r>
      <w:r>
        <w:rPr>
          <w:snapToGrid w:val="0"/>
        </w:rPr>
        <w:t>.</w:t>
      </w:r>
      <w:r>
        <w:rPr>
          <w:snapToGrid w:val="0"/>
        </w:rPr>
        <w:tab/>
      </w:r>
      <w:r>
        <w:t>Transfer of offender who is 16 or 17 years old from detention centre to prison</w:t>
      </w:r>
      <w:r>
        <w:tab/>
      </w:r>
      <w:r>
        <w:fldChar w:fldCharType="begin"/>
      </w:r>
      <w:r>
        <w:instrText xml:space="preserve"> PAGEREF _Toc180148198 \h </w:instrText>
      </w:r>
      <w:r>
        <w:fldChar w:fldCharType="separate"/>
      </w:r>
      <w:r>
        <w:t>160</w:t>
      </w:r>
      <w:r>
        <w:fldChar w:fldCharType="end"/>
      </w:r>
    </w:p>
    <w:p>
      <w:pPr>
        <w:pStyle w:val="TOC8"/>
        <w:rPr>
          <w:rFonts w:asciiTheme="minorHAnsi" w:eastAsiaTheme="minorEastAsia" w:hAnsiTheme="minorHAnsi" w:cstheme="minorBidi"/>
          <w:szCs w:val="22"/>
        </w:rPr>
      </w:pPr>
      <w:r>
        <w:t>178A.</w:t>
      </w:r>
      <w:r>
        <w:tab/>
        <w:t>Transfer of offender who has reached age of 18 years from detention centre to prison</w:t>
      </w:r>
      <w:r>
        <w:tab/>
      </w:r>
      <w:r>
        <w:fldChar w:fldCharType="begin"/>
      </w:r>
      <w:r>
        <w:instrText xml:space="preserve"> PAGEREF _Toc180148199 \h </w:instrText>
      </w:r>
      <w:r>
        <w:fldChar w:fldCharType="separate"/>
      </w:r>
      <w:r>
        <w:t>161</w:t>
      </w:r>
      <w:r>
        <w:fldChar w:fldCharType="end"/>
      </w:r>
    </w:p>
    <w:p>
      <w:pPr>
        <w:pStyle w:val="TOC8"/>
        <w:rPr>
          <w:rFonts w:asciiTheme="minorHAnsi" w:eastAsiaTheme="minorEastAsia" w:hAnsiTheme="minorHAnsi" w:cstheme="minorBidi"/>
          <w:szCs w:val="22"/>
        </w:rPr>
      </w:pPr>
      <w:r>
        <w:t>178B.</w:t>
      </w:r>
      <w:r>
        <w:tab/>
        <w:t>Chief executive officer may direct that mandatory transfer does not apply</w:t>
      </w:r>
      <w:r>
        <w:tab/>
      </w:r>
      <w:r>
        <w:fldChar w:fldCharType="begin"/>
      </w:r>
      <w:r>
        <w:instrText xml:space="preserve"> PAGEREF _Toc180148200 \h </w:instrText>
      </w:r>
      <w:r>
        <w:fldChar w:fldCharType="separate"/>
      </w:r>
      <w:r>
        <w:t>162</w:t>
      </w:r>
      <w:r>
        <w:fldChar w:fldCharType="end"/>
      </w:r>
    </w:p>
    <w:p>
      <w:pPr>
        <w:pStyle w:val="TOC8"/>
        <w:rPr>
          <w:rFonts w:asciiTheme="minorHAnsi" w:eastAsiaTheme="minorEastAsia" w:hAnsiTheme="minorHAnsi" w:cstheme="minorBidi"/>
          <w:szCs w:val="22"/>
        </w:rPr>
      </w:pPr>
      <w:r>
        <w:t>179</w:t>
      </w:r>
      <w:r>
        <w:rPr>
          <w:snapToGrid w:val="0"/>
        </w:rPr>
        <w:t>.</w:t>
      </w:r>
      <w:r>
        <w:rPr>
          <w:snapToGrid w:val="0"/>
        </w:rPr>
        <w:tab/>
        <w:t>Medical treatment, removal for</w:t>
      </w:r>
      <w:r>
        <w:tab/>
      </w:r>
      <w:r>
        <w:fldChar w:fldCharType="begin"/>
      </w:r>
      <w:r>
        <w:instrText xml:space="preserve"> PAGEREF _Toc180148201 \h </w:instrText>
      </w:r>
      <w:r>
        <w:fldChar w:fldCharType="separate"/>
      </w:r>
      <w:r>
        <w:t>163</w:t>
      </w:r>
      <w:r>
        <w:fldChar w:fldCharType="end"/>
      </w:r>
    </w:p>
    <w:p>
      <w:pPr>
        <w:pStyle w:val="TOC8"/>
        <w:rPr>
          <w:rFonts w:asciiTheme="minorHAnsi" w:eastAsiaTheme="minorEastAsia" w:hAnsiTheme="minorHAnsi" w:cstheme="minorBidi"/>
          <w:szCs w:val="22"/>
        </w:rPr>
      </w:pPr>
      <w:r>
        <w:t>180</w:t>
      </w:r>
      <w:r>
        <w:rPr>
          <w:snapToGrid w:val="0"/>
        </w:rPr>
        <w:t>.</w:t>
      </w:r>
      <w:r>
        <w:rPr>
          <w:snapToGrid w:val="0"/>
        </w:rPr>
        <w:tab/>
        <w:t>Death of detainee, coroner to investigate</w:t>
      </w:r>
      <w:r>
        <w:tab/>
      </w:r>
      <w:r>
        <w:fldChar w:fldCharType="begin"/>
      </w:r>
      <w:r>
        <w:instrText xml:space="preserve"> PAGEREF _Toc180148202 \h </w:instrText>
      </w:r>
      <w:r>
        <w:fldChar w:fldCharType="separate"/>
      </w:r>
      <w:r>
        <w:t>165</w:t>
      </w:r>
      <w:r>
        <w:fldChar w:fldCharType="end"/>
      </w:r>
    </w:p>
    <w:p>
      <w:pPr>
        <w:pStyle w:val="TOC8"/>
        <w:rPr>
          <w:rFonts w:asciiTheme="minorHAnsi" w:eastAsiaTheme="minorEastAsia" w:hAnsiTheme="minorHAnsi" w:cstheme="minorBidi"/>
          <w:szCs w:val="22"/>
        </w:rPr>
      </w:pPr>
      <w:r>
        <w:t>181</w:t>
      </w:r>
      <w:r>
        <w:rPr>
          <w:snapToGrid w:val="0"/>
        </w:rPr>
        <w:t>.</w:t>
      </w:r>
      <w:r>
        <w:rPr>
          <w:snapToGrid w:val="0"/>
        </w:rPr>
        <w:tab/>
        <w:t>Rules for detention centres, CEO may make</w:t>
      </w:r>
      <w:r>
        <w:tab/>
      </w:r>
      <w:r>
        <w:fldChar w:fldCharType="begin"/>
      </w:r>
      <w:r>
        <w:instrText xml:space="preserve"> PAGEREF _Toc180148203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182</w:t>
      </w:r>
      <w:r>
        <w:rPr>
          <w:snapToGrid w:val="0"/>
        </w:rPr>
        <w:t>.</w:t>
      </w:r>
      <w:r>
        <w:rPr>
          <w:snapToGrid w:val="0"/>
        </w:rPr>
        <w:tab/>
        <w:t>Protection from legal liability</w:t>
      </w:r>
      <w:r>
        <w:tab/>
      </w:r>
      <w:r>
        <w:fldChar w:fldCharType="begin"/>
      </w:r>
      <w:r>
        <w:instrText xml:space="preserve"> PAGEREF _Toc180148205 \h </w:instrText>
      </w:r>
      <w:r>
        <w:fldChar w:fldCharType="separate"/>
      </w:r>
      <w:r>
        <w:t>167</w:t>
      </w:r>
      <w:r>
        <w:fldChar w:fldCharType="end"/>
      </w:r>
    </w:p>
    <w:p>
      <w:pPr>
        <w:pStyle w:val="TOC8"/>
        <w:rPr>
          <w:rFonts w:asciiTheme="minorHAnsi" w:eastAsiaTheme="minorEastAsia" w:hAnsiTheme="minorHAnsi" w:cstheme="minorBidi"/>
          <w:szCs w:val="22"/>
        </w:rPr>
      </w:pPr>
      <w:r>
        <w:t>183</w:t>
      </w:r>
      <w:r>
        <w:rPr>
          <w:snapToGrid w:val="0"/>
        </w:rPr>
        <w:t>.</w:t>
      </w:r>
      <w:r>
        <w:rPr>
          <w:snapToGrid w:val="0"/>
        </w:rPr>
        <w:tab/>
        <w:t>Order to be defence to actions</w:t>
      </w:r>
      <w:r>
        <w:tab/>
      </w:r>
      <w:r>
        <w:fldChar w:fldCharType="begin"/>
      </w:r>
      <w:r>
        <w:instrText xml:space="preserve"> PAGEREF _Toc180148206 \h </w:instrText>
      </w:r>
      <w:r>
        <w:fldChar w:fldCharType="separate"/>
      </w:r>
      <w:r>
        <w:t>167</w:t>
      </w:r>
      <w:r>
        <w:fldChar w:fldCharType="end"/>
      </w:r>
    </w:p>
    <w:p>
      <w:pPr>
        <w:pStyle w:val="TOC8"/>
        <w:rPr>
          <w:rFonts w:asciiTheme="minorHAnsi" w:eastAsiaTheme="minorEastAsia" w:hAnsiTheme="minorHAnsi" w:cstheme="minorBidi"/>
          <w:szCs w:val="22"/>
        </w:rPr>
      </w:pPr>
      <w:r>
        <w:t>184</w:t>
      </w:r>
      <w:r>
        <w:rPr>
          <w:snapToGrid w:val="0"/>
        </w:rPr>
        <w:t>.</w:t>
      </w:r>
      <w:r>
        <w:rPr>
          <w:snapToGrid w:val="0"/>
        </w:rPr>
        <w:tab/>
        <w:t>CEO may give consent in relation to detainee</w:t>
      </w:r>
      <w:r>
        <w:tab/>
      </w:r>
      <w:r>
        <w:fldChar w:fldCharType="begin"/>
      </w:r>
      <w:r>
        <w:instrText xml:space="preserve"> PAGEREF _Toc180148207 \h </w:instrText>
      </w:r>
      <w:r>
        <w:fldChar w:fldCharType="separate"/>
      </w:r>
      <w:r>
        <w:t>168</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Minister may make certain payments</w:t>
      </w:r>
      <w:r>
        <w:tab/>
      </w:r>
      <w:r>
        <w:fldChar w:fldCharType="begin"/>
      </w:r>
      <w:r>
        <w:instrText xml:space="preserve"> PAGEREF _Toc180148208 \h </w:instrText>
      </w:r>
      <w:r>
        <w:fldChar w:fldCharType="separate"/>
      </w:r>
      <w:r>
        <w:t>168</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Officer of Department may conduct cases</w:t>
      </w:r>
      <w:r>
        <w:tab/>
      </w:r>
      <w:r>
        <w:fldChar w:fldCharType="begin"/>
      </w:r>
      <w:r>
        <w:instrText xml:space="preserve"> PAGEREF _Toc180148209 \h </w:instrText>
      </w:r>
      <w:r>
        <w:fldChar w:fldCharType="separate"/>
      </w:r>
      <w:r>
        <w:t>168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Certificate of superintendent to be evidence</w:t>
      </w:r>
      <w:r>
        <w:tab/>
      </w:r>
      <w:r>
        <w:fldChar w:fldCharType="begin"/>
      </w:r>
      <w:r>
        <w:instrText xml:space="preserve"> PAGEREF _Toc180148210 \h </w:instrText>
      </w:r>
      <w:r>
        <w:fldChar w:fldCharType="separate"/>
      </w:r>
      <w:r>
        <w:t>168</w:t>
      </w:r>
      <w:r>
        <w:fldChar w:fldCharType="end"/>
      </w:r>
    </w:p>
    <w:p>
      <w:pPr>
        <w:pStyle w:val="TOC8"/>
        <w:rPr>
          <w:rFonts w:asciiTheme="minorHAnsi" w:eastAsiaTheme="minorEastAsia" w:hAnsiTheme="minorHAnsi" w:cstheme="minorBidi"/>
          <w:szCs w:val="22"/>
        </w:rPr>
      </w:pPr>
      <w:r>
        <w:t>188</w:t>
      </w:r>
      <w:r>
        <w:rPr>
          <w:snapToGrid w:val="0"/>
        </w:rPr>
        <w:t>.</w:t>
      </w:r>
      <w:r>
        <w:rPr>
          <w:snapToGrid w:val="0"/>
        </w:rPr>
        <w:tab/>
        <w:t>Person having charge of detainee has legal custody</w:t>
      </w:r>
      <w:r>
        <w:tab/>
      </w:r>
      <w:r>
        <w:fldChar w:fldCharType="begin"/>
      </w:r>
      <w:r>
        <w:instrText xml:space="preserve"> PAGEREF _Toc180148211 \h </w:instrText>
      </w:r>
      <w:r>
        <w:fldChar w:fldCharType="separate"/>
      </w:r>
      <w:r>
        <w:t>169</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Certain offenders to be regarded as not convicted</w:t>
      </w:r>
      <w:r>
        <w:tab/>
      </w:r>
      <w:r>
        <w:fldChar w:fldCharType="begin"/>
      </w:r>
      <w:r>
        <w:instrText xml:space="preserve"> PAGEREF _Toc180148212 \h </w:instrText>
      </w:r>
      <w:r>
        <w:fldChar w:fldCharType="separate"/>
      </w:r>
      <w:r>
        <w:t>170</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Disclosure of certain convictions</w:t>
      </w:r>
      <w:r>
        <w:tab/>
      </w:r>
      <w:r>
        <w:fldChar w:fldCharType="begin"/>
      </w:r>
      <w:r>
        <w:instrText xml:space="preserve"> PAGEREF _Toc180148213 \h </w:instrText>
      </w:r>
      <w:r>
        <w:fldChar w:fldCharType="separate"/>
      </w:r>
      <w:r>
        <w:t>172</w:t>
      </w:r>
      <w:r>
        <w:fldChar w:fldCharType="end"/>
      </w:r>
    </w:p>
    <w:p>
      <w:pPr>
        <w:pStyle w:val="TOC8"/>
        <w:rPr>
          <w:rFonts w:asciiTheme="minorHAnsi" w:eastAsiaTheme="minorEastAsia" w:hAnsiTheme="minorHAnsi" w:cstheme="minorBidi"/>
          <w:szCs w:val="22"/>
        </w:rPr>
      </w:pPr>
      <w:r>
        <w:lastRenderedPageBreak/>
        <w:t>191</w:t>
      </w:r>
      <w:r>
        <w:rPr>
          <w:snapToGrid w:val="0"/>
        </w:rPr>
        <w:t>.</w:t>
      </w:r>
      <w:r>
        <w:rPr>
          <w:snapToGrid w:val="0"/>
        </w:rPr>
        <w:tab/>
        <w:t>Unlawfully communicating with detainee</w:t>
      </w:r>
      <w:r>
        <w:tab/>
      </w:r>
      <w:r>
        <w:fldChar w:fldCharType="begin"/>
      </w:r>
      <w:r>
        <w:instrText xml:space="preserve"> PAGEREF _Toc180148214 \h </w:instrText>
      </w:r>
      <w:r>
        <w:fldChar w:fldCharType="separate"/>
      </w:r>
      <w:r>
        <w:t>172</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Unlawfully remaining in detention centre</w:t>
      </w:r>
      <w:r>
        <w:tab/>
      </w:r>
      <w:r>
        <w:fldChar w:fldCharType="begin"/>
      </w:r>
      <w:r>
        <w:instrText xml:space="preserve"> PAGEREF _Toc180148215 \h </w:instrText>
      </w:r>
      <w:r>
        <w:fldChar w:fldCharType="separate"/>
      </w:r>
      <w:r>
        <w:t>172</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Escape from custody</w:t>
      </w:r>
      <w:r>
        <w:tab/>
      </w:r>
      <w:r>
        <w:fldChar w:fldCharType="begin"/>
      </w:r>
      <w:r>
        <w:instrText xml:space="preserve"> PAGEREF _Toc180148216 \h </w:instrText>
      </w:r>
      <w:r>
        <w:fldChar w:fldCharType="separate"/>
      </w:r>
      <w:r>
        <w:t>173</w:t>
      </w:r>
      <w:r>
        <w:fldChar w:fldCharType="end"/>
      </w:r>
    </w:p>
    <w:p>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_Toc180148217 \h </w:instrText>
      </w:r>
      <w:r>
        <w:fldChar w:fldCharType="separate"/>
      </w:r>
      <w:r>
        <w:t>173</w:t>
      </w:r>
      <w:r>
        <w:fldChar w:fldCharType="end"/>
      </w:r>
    </w:p>
    <w:p>
      <w:pPr>
        <w:pStyle w:val="TOC8"/>
        <w:rPr>
          <w:rFonts w:asciiTheme="minorHAnsi" w:eastAsiaTheme="minorEastAsia" w:hAnsiTheme="minorHAnsi" w:cstheme="minorBidi"/>
          <w:szCs w:val="22"/>
        </w:rPr>
      </w:pPr>
      <w:r>
        <w:t>194</w:t>
      </w:r>
      <w:r>
        <w:rPr>
          <w:snapToGrid w:val="0"/>
        </w:rPr>
        <w:t>.</w:t>
      </w:r>
      <w:r>
        <w:rPr>
          <w:snapToGrid w:val="0"/>
        </w:rPr>
        <w:tab/>
        <w:t>Personating an officer</w:t>
      </w:r>
      <w:r>
        <w:tab/>
      </w:r>
      <w:r>
        <w:fldChar w:fldCharType="begin"/>
      </w:r>
      <w:r>
        <w:instrText xml:space="preserve"> PAGEREF _Toc180148218 \h </w:instrText>
      </w:r>
      <w:r>
        <w:fldChar w:fldCharType="separate"/>
      </w:r>
      <w:r>
        <w:t>173</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General penalty</w:t>
      </w:r>
      <w:r>
        <w:tab/>
      </w:r>
      <w:r>
        <w:fldChar w:fldCharType="begin"/>
      </w:r>
      <w:r>
        <w:instrText xml:space="preserve"> PAGEREF _Toc180148219 \h </w:instrText>
      </w:r>
      <w:r>
        <w:fldChar w:fldCharType="separate"/>
      </w:r>
      <w:r>
        <w:t>174</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Regulations</w:t>
      </w:r>
      <w:r>
        <w:tab/>
      </w:r>
      <w:r>
        <w:fldChar w:fldCharType="begin"/>
      </w:r>
      <w:r>
        <w:instrText xml:space="preserve"> PAGEREF _Toc180148220 \h </w:instrText>
      </w:r>
      <w:r>
        <w:fldChar w:fldCharType="separate"/>
      </w:r>
      <w:r>
        <w:t>174</w:t>
      </w:r>
      <w:r>
        <w:fldChar w:fldCharType="end"/>
      </w:r>
    </w:p>
    <w:p>
      <w:pPr>
        <w:pStyle w:val="TOC8"/>
        <w:rPr>
          <w:rFonts w:asciiTheme="minorHAnsi" w:eastAsiaTheme="minorEastAsia" w:hAnsiTheme="minorHAnsi" w:cstheme="minorBidi"/>
          <w:szCs w:val="22"/>
        </w:rPr>
      </w:pPr>
      <w:r>
        <w:t>197.</w:t>
      </w:r>
      <w:r>
        <w:tab/>
      </w:r>
      <w:r>
        <w:rPr>
          <w:snapToGrid w:val="0"/>
        </w:rPr>
        <w:t>Delegation of prescribed functions</w:t>
      </w:r>
      <w:r>
        <w:tab/>
      </w:r>
      <w:r>
        <w:fldChar w:fldCharType="begin"/>
      </w:r>
      <w:r>
        <w:instrText xml:space="preserve"> PAGEREF _Toc180148221 \h </w:instrText>
      </w:r>
      <w:r>
        <w:fldChar w:fldCharType="separate"/>
      </w:r>
      <w:r>
        <w:t>176</w:t>
      </w:r>
      <w:r>
        <w:fldChar w:fldCharType="end"/>
      </w:r>
    </w:p>
    <w:p>
      <w:pPr>
        <w:pStyle w:val="TOC8"/>
        <w:rPr>
          <w:rFonts w:asciiTheme="minorHAnsi" w:eastAsiaTheme="minorEastAsia" w:hAnsiTheme="minorHAnsi" w:cstheme="minorBidi"/>
          <w:szCs w:val="22"/>
        </w:rPr>
      </w:pPr>
      <w:r>
        <w:t>197A.</w:t>
      </w:r>
      <w:r>
        <w:tab/>
        <w:t>Delegation by Commissioner of Police</w:t>
      </w:r>
      <w:r>
        <w:tab/>
      </w:r>
      <w:r>
        <w:fldChar w:fldCharType="begin"/>
      </w:r>
      <w:r>
        <w:instrText xml:space="preserve"> PAGEREF _Toc180148222 \h </w:instrText>
      </w:r>
      <w:r>
        <w:fldChar w:fldCharType="separate"/>
      </w:r>
      <w:r>
        <w:t>176</w:t>
      </w:r>
      <w:r>
        <w:fldChar w:fldCharType="end"/>
      </w:r>
    </w:p>
    <w:p>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pPr>
        <w:pStyle w:val="TOC4"/>
        <w:tabs>
          <w:tab w:val="right" w:leader="dot" w:pos="7077"/>
        </w:tabs>
        <w:rPr>
          <w:rFonts w:asciiTheme="minorHAnsi" w:eastAsiaTheme="minorEastAsia" w:hAnsiTheme="minorHAnsi" w:cstheme="minorBidi"/>
          <w:b w:val="0"/>
          <w:szCs w:val="22"/>
        </w:rPr>
      </w:pPr>
      <w:r>
        <w:t>Division 3 — Transitional provisions</w:t>
      </w:r>
    </w:p>
    <w:p>
      <w:pPr>
        <w:pStyle w:val="TOC6"/>
        <w:tabs>
          <w:tab w:val="right" w:leader="dot" w:pos="7077"/>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_Toc180148226 \h </w:instrText>
      </w:r>
      <w:r>
        <w:fldChar w:fldCharType="separate"/>
      </w:r>
      <w:r>
        <w:t>177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Orders for past matters</w:t>
      </w:r>
      <w:r>
        <w:tab/>
      </w:r>
      <w:r>
        <w:fldChar w:fldCharType="begin"/>
      </w:r>
      <w:r>
        <w:instrText xml:space="preserve"> PAGEREF _Toc180148227 \h </w:instrText>
      </w:r>
      <w:r>
        <w:fldChar w:fldCharType="separate"/>
      </w:r>
      <w:r>
        <w:t>177</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Orders under former provisions</w:t>
      </w:r>
      <w:r>
        <w:tab/>
      </w:r>
      <w:r>
        <w:fldChar w:fldCharType="begin"/>
      </w:r>
      <w:r>
        <w:instrText xml:space="preserve"> PAGEREF _Toc180148228 \h </w:instrText>
      </w:r>
      <w:r>
        <w:fldChar w:fldCharType="separate"/>
      </w:r>
      <w:r>
        <w:t>178</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_Toc180148229 \h </w:instrText>
      </w:r>
      <w:r>
        <w:fldChar w:fldCharType="separate"/>
      </w:r>
      <w:r>
        <w:t>178</w:t>
      </w:r>
      <w:r>
        <w:fldChar w:fldCharType="end"/>
      </w:r>
    </w:p>
    <w:p>
      <w:pPr>
        <w:pStyle w:val="TOC8"/>
        <w:rPr>
          <w:rFonts w:asciiTheme="minorHAnsi" w:eastAsiaTheme="minorEastAsia" w:hAnsiTheme="minorHAnsi" w:cstheme="minorBidi"/>
          <w:szCs w:val="22"/>
        </w:rPr>
      </w:pPr>
      <w:r>
        <w:t>235</w:t>
      </w:r>
      <w:r>
        <w:rPr>
          <w:snapToGrid w:val="0"/>
        </w:rPr>
        <w:t>.</w:t>
      </w:r>
      <w:r>
        <w:rPr>
          <w:snapToGrid w:val="0"/>
        </w:rPr>
        <w:tab/>
        <w:t>Proceedings pending before children’s panels</w:t>
      </w:r>
      <w:r>
        <w:tab/>
      </w:r>
      <w:r>
        <w:fldChar w:fldCharType="begin"/>
      </w:r>
      <w:r>
        <w:instrText xml:space="preserve"> PAGEREF _Toc180148230 \h </w:instrText>
      </w:r>
      <w:r>
        <w:fldChar w:fldCharType="separate"/>
      </w:r>
      <w:r>
        <w:t>178</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2 — Transitional provisions for </w:t>
      </w:r>
      <w:r>
        <w:rPr>
          <w:i/>
        </w:rPr>
        <w:t>Young Offenders Amendment Act 2023</w:t>
      </w:r>
    </w:p>
    <w:p>
      <w:pPr>
        <w:pStyle w:val="TOC8"/>
        <w:rPr>
          <w:rFonts w:asciiTheme="minorHAnsi" w:eastAsiaTheme="minorEastAsia" w:hAnsiTheme="minorHAnsi" w:cstheme="minorBidi"/>
          <w:szCs w:val="22"/>
        </w:rPr>
      </w:pPr>
      <w:r>
        <w:t>235A.</w:t>
      </w:r>
      <w:r>
        <w:tab/>
        <w:t>Term used: commencement day</w:t>
      </w:r>
      <w:r>
        <w:tab/>
      </w:r>
      <w:r>
        <w:fldChar w:fldCharType="begin"/>
      </w:r>
      <w:r>
        <w:instrText xml:space="preserve"> PAGEREF _Toc180148232 \h </w:instrText>
      </w:r>
      <w:r>
        <w:fldChar w:fldCharType="separate"/>
      </w:r>
      <w:r>
        <w:t>179</w:t>
      </w:r>
      <w:r>
        <w:fldChar w:fldCharType="end"/>
      </w:r>
    </w:p>
    <w:p>
      <w:pPr>
        <w:pStyle w:val="TOC8"/>
        <w:rPr>
          <w:rFonts w:asciiTheme="minorHAnsi" w:eastAsiaTheme="minorEastAsia" w:hAnsiTheme="minorHAnsi" w:cstheme="minorBidi"/>
          <w:szCs w:val="22"/>
        </w:rPr>
      </w:pPr>
      <w:r>
        <w:t>235B.</w:t>
      </w:r>
      <w:r>
        <w:tab/>
        <w:t>Young persons in detention on commencement day who have reached age of 18 years</w:t>
      </w:r>
      <w:r>
        <w:tab/>
      </w:r>
      <w:r>
        <w:fldChar w:fldCharType="begin"/>
      </w:r>
      <w:r>
        <w:instrText xml:space="preserve"> PAGEREF _Toc180148233 \h </w:instrText>
      </w:r>
      <w:r>
        <w:fldChar w:fldCharType="separate"/>
      </w:r>
      <w:r>
        <w:t>179</w:t>
      </w:r>
      <w:r>
        <w:fldChar w:fldCharType="end"/>
      </w:r>
    </w:p>
    <w:p>
      <w:pPr>
        <w:pStyle w:val="TOC8"/>
        <w:rPr>
          <w:rFonts w:asciiTheme="minorHAnsi" w:eastAsiaTheme="minorEastAsia" w:hAnsiTheme="minorHAnsi" w:cstheme="minorBidi"/>
          <w:szCs w:val="22"/>
        </w:rPr>
      </w:pPr>
      <w:r>
        <w:t>235C.</w:t>
      </w:r>
      <w:r>
        <w:tab/>
        <w:t>Offenders in detention on commencement day who have reached age of 18 years</w:t>
      </w:r>
      <w:r>
        <w:tab/>
      </w:r>
      <w:r>
        <w:fldChar w:fldCharType="begin"/>
      </w:r>
      <w:r>
        <w:instrText xml:space="preserve"> PAGEREF _Toc180148234 \h </w:instrText>
      </w:r>
      <w:r>
        <w:fldChar w:fldCharType="separate"/>
      </w:r>
      <w:r>
        <w:t>179</w:t>
      </w:r>
      <w:r>
        <w:fldChar w:fldCharType="end"/>
      </w:r>
    </w:p>
    <w:p>
      <w:pPr>
        <w:pStyle w:val="TOC8"/>
        <w:rPr>
          <w:rFonts w:asciiTheme="minorHAnsi" w:eastAsiaTheme="minorEastAsia" w:hAnsiTheme="minorHAnsi" w:cstheme="minorBidi"/>
          <w:szCs w:val="22"/>
        </w:rPr>
      </w:pPr>
      <w:r>
        <w:t>235D.</w:t>
      </w:r>
      <w:r>
        <w:tab/>
        <w:t>Applications not yet determined taken to be withdrawn</w:t>
      </w:r>
      <w:r>
        <w:tab/>
      </w:r>
      <w:r>
        <w:fldChar w:fldCharType="begin"/>
      </w:r>
      <w:r>
        <w:instrText xml:space="preserve"> PAGEREF _Toc180148235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237</w:t>
      </w:r>
      <w:r>
        <w:rPr>
          <w:snapToGrid w:val="0"/>
        </w:rPr>
        <w:t>.</w:t>
      </w:r>
      <w:r>
        <w:rPr>
          <w:snapToGrid w:val="0"/>
        </w:rPr>
        <w:tab/>
        <w:t>Review of Act</w:t>
      </w:r>
      <w:r>
        <w:tab/>
      </w:r>
      <w:r>
        <w:fldChar w:fldCharType="begin"/>
      </w:r>
      <w:r>
        <w:instrText xml:space="preserve"> PAGEREF _Toc180148237 \h </w:instrText>
      </w:r>
      <w:r>
        <w:fldChar w:fldCharType="separate"/>
      </w:r>
      <w:r>
        <w:t>180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Schedule 1 offences</w:t>
      </w:r>
    </w:p>
    <w:p>
      <w:pPr>
        <w:pStyle w:val="TOC2"/>
        <w:keepNext w:val="0"/>
        <w:tabs>
          <w:tab w:val="right" w:leader="dot" w:pos="7077"/>
        </w:tabs>
        <w:rPr>
          <w:rFonts w:asciiTheme="minorHAnsi" w:eastAsiaTheme="minorEastAsia" w:hAnsiTheme="minorHAnsi" w:cstheme="minorBidi"/>
          <w:b w:val="0"/>
          <w:sz w:val="22"/>
          <w:szCs w:val="22"/>
        </w:rPr>
      </w:pPr>
      <w:r>
        <w:t>Schedule 2 — Schedule 2 offences</w:t>
      </w:r>
    </w:p>
    <w:p>
      <w:pPr>
        <w:pStyle w:val="TOC2"/>
        <w:tabs>
          <w:tab w:val="right" w:leader="dot" w:pos="7077"/>
        </w:tabs>
        <w:rPr>
          <w:rFonts w:asciiTheme="minorHAnsi" w:eastAsiaTheme="minorEastAsia" w:hAnsiTheme="minorHAnsi" w:cstheme="minorBidi"/>
          <w:b w:val="0"/>
          <w:sz w:val="22"/>
          <w:szCs w:val="22"/>
        </w:rPr>
      </w:pPr>
      <w:r>
        <w:lastRenderedPageBreak/>
        <w:t>Schedule 3 — Adaptations for community work in default of payment</w:t>
      </w:r>
    </w:p>
    <w:p>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_Toc180148241 \h </w:instrText>
      </w:r>
      <w:r>
        <w:fldChar w:fldCharType="separate"/>
      </w:r>
      <w:r>
        <w:t>190</w:t>
      </w:r>
      <w:r>
        <w:fldChar w:fldCharType="end"/>
      </w:r>
    </w:p>
    <w:p>
      <w:pPr>
        <w:pStyle w:val="TOC8"/>
        <w:rPr>
          <w:rFonts w:asciiTheme="minorHAnsi" w:eastAsiaTheme="minorEastAsia" w:hAnsiTheme="minorHAnsi" w:cstheme="minorBidi"/>
          <w:szCs w:val="22"/>
        </w:rPr>
      </w:pPr>
      <w:r>
        <w:t>2.</w:t>
      </w:r>
      <w:r>
        <w:tab/>
        <w:t>Conditions</w:t>
      </w:r>
      <w:r>
        <w:tab/>
      </w:r>
      <w:r>
        <w:fldChar w:fldCharType="begin"/>
      </w:r>
      <w:r>
        <w:instrText xml:space="preserve"> PAGEREF _Toc180148242 \h </w:instrText>
      </w:r>
      <w:r>
        <w:fldChar w:fldCharType="separate"/>
      </w:r>
      <w:r>
        <w:t>190</w:t>
      </w:r>
      <w:r>
        <w:fldChar w:fldCharType="end"/>
      </w:r>
    </w:p>
    <w:p>
      <w:pPr>
        <w:pStyle w:val="TOC8"/>
        <w:rPr>
          <w:rFonts w:asciiTheme="minorHAnsi" w:eastAsiaTheme="minorEastAsia" w:hAnsiTheme="minorHAnsi" w:cstheme="minorBidi"/>
          <w:szCs w:val="22"/>
        </w:rPr>
      </w:pPr>
      <w:r>
        <w:t>3.</w:t>
      </w:r>
      <w:r>
        <w:tab/>
        <w:t>Duration of order</w:t>
      </w:r>
      <w:r>
        <w:tab/>
      </w:r>
      <w:r>
        <w:fldChar w:fldCharType="begin"/>
      </w:r>
      <w:r>
        <w:instrText xml:space="preserve"> PAGEREF _Toc180148243 \h </w:instrText>
      </w:r>
      <w:r>
        <w:fldChar w:fldCharType="separate"/>
      </w:r>
      <w:r>
        <w:t>190</w:t>
      </w:r>
      <w:r>
        <w:fldChar w:fldCharType="end"/>
      </w:r>
    </w:p>
    <w:p>
      <w:pPr>
        <w:pStyle w:val="TOC8"/>
        <w:rPr>
          <w:rFonts w:asciiTheme="minorHAnsi" w:eastAsiaTheme="minorEastAsia" w:hAnsiTheme="minorHAnsi" w:cstheme="minorBidi"/>
          <w:szCs w:val="22"/>
        </w:rPr>
      </w:pPr>
      <w:r>
        <w:t>4.</w:t>
      </w:r>
      <w:r>
        <w:tab/>
        <w:t>Powers of court in dealing with breach</w:t>
      </w:r>
      <w:r>
        <w:tab/>
      </w:r>
      <w:r>
        <w:fldChar w:fldCharType="begin"/>
      </w:r>
      <w:r>
        <w:instrText xml:space="preserve"> PAGEREF _Toc180148244 \h </w:instrText>
      </w:r>
      <w:r>
        <w:fldChar w:fldCharType="separate"/>
      </w:r>
      <w:r>
        <w:t>190</w:t>
      </w:r>
      <w:r>
        <w:fldChar w:fldCharType="end"/>
      </w:r>
    </w:p>
    <w:p>
      <w:pPr>
        <w:pStyle w:val="TOC8"/>
        <w:rPr>
          <w:rFonts w:asciiTheme="minorHAnsi" w:eastAsiaTheme="minorEastAsia" w:hAnsiTheme="minorHAnsi" w:cstheme="minorBidi"/>
          <w:szCs w:val="22"/>
        </w:rPr>
      </w:pPr>
      <w:r>
        <w:t>5.</w:t>
      </w:r>
      <w:r>
        <w:tab/>
        <w:t>Effect of partially performing work ordered in default of payment</w:t>
      </w:r>
      <w:r>
        <w:tab/>
      </w:r>
      <w:r>
        <w:fldChar w:fldCharType="begin"/>
      </w:r>
      <w:r>
        <w:instrText xml:space="preserve"> PAGEREF _Toc180148245 \h </w:instrText>
      </w:r>
      <w:r>
        <w:fldChar w:fldCharType="separate"/>
      </w:r>
      <w:r>
        <w:t>190</w:t>
      </w:r>
      <w:r>
        <w:fldChar w:fldCharType="end"/>
      </w:r>
    </w:p>
    <w:p>
      <w:pPr>
        <w:pStyle w:val="TOC8"/>
        <w:rPr>
          <w:rFonts w:asciiTheme="minorHAnsi" w:eastAsiaTheme="minorEastAsia" w:hAnsiTheme="minorHAnsi" w:cstheme="minorBidi"/>
          <w:szCs w:val="22"/>
        </w:rPr>
      </w:pPr>
      <w:r>
        <w:t>6.</w:t>
      </w:r>
      <w:r>
        <w:tab/>
        <w:t>Proof of identity</w:t>
      </w:r>
      <w:r>
        <w:tab/>
      </w:r>
      <w:r>
        <w:fldChar w:fldCharType="begin"/>
      </w:r>
      <w:r>
        <w:instrText xml:space="preserve"> PAGEREF _Toc180148246 \h </w:instrText>
      </w:r>
      <w:r>
        <w:fldChar w:fldCharType="separate"/>
      </w:r>
      <w:r>
        <w:t>191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_Toc180148248 \h </w:instrText>
      </w:r>
      <w:r>
        <w:fldChar w:fldCharType="separate"/>
      </w:r>
      <w:r>
        <w:t>192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_Toc180148249 \h </w:instrText>
      </w:r>
      <w:r>
        <w:fldChar w:fldCharType="separate"/>
      </w:r>
      <w:r>
        <w:t>197</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_Toc180148250 \h </w:instrText>
      </w:r>
      <w:r>
        <w:fldChar w:fldCharType="separate"/>
      </w:r>
      <w:r>
        <w:t>197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pPr>
        <w:pStyle w:val="Heading2"/>
      </w:pPr>
      <w:bookmarkStart w:id="2" w:name="_Toc180138606"/>
      <w:bookmarkStart w:id="3" w:name="_Toc180138941"/>
      <w:bookmarkStart w:id="4" w:name="_Toc180147917"/>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r>
        <w:rPr>
          <w:rStyle w:val="CharPartText"/>
        </w:rPr>
        <w:t xml:space="preserve"> </w:t>
      </w:r>
    </w:p>
    <w:p>
      <w:pPr>
        <w:pStyle w:val="Heading5"/>
        <w:rPr>
          <w:snapToGrid w:val="0"/>
        </w:rPr>
      </w:pPr>
      <w:bookmarkStart w:id="5" w:name="_Toc180147918"/>
      <w:r>
        <w:rPr>
          <w:rStyle w:val="CharSectno"/>
        </w:rPr>
        <w:t>1</w:t>
      </w:r>
      <w:r>
        <w:rPr>
          <w:snapToGrid w:val="0"/>
        </w:rPr>
        <w:t>.</w:t>
      </w:r>
      <w:r>
        <w:rPr>
          <w:snapToGrid w:val="0"/>
        </w:rPr>
        <w:tab/>
        <w:t>Short title</w:t>
      </w:r>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pPr>
        <w:pStyle w:val="Heading5"/>
        <w:rPr>
          <w:snapToGrid w:val="0"/>
        </w:rPr>
      </w:pPr>
      <w:bookmarkStart w:id="6" w:name="_Toc180147919"/>
      <w:r>
        <w:rPr>
          <w:rStyle w:val="CharSectno"/>
        </w:rPr>
        <w:t>2</w:t>
      </w:r>
      <w:r>
        <w:rPr>
          <w:snapToGrid w:val="0"/>
        </w:rPr>
        <w:t>.</w:t>
      </w:r>
      <w:r>
        <w:rPr>
          <w:snapToGrid w:val="0"/>
        </w:rPr>
        <w:tab/>
        <w:t>Commencement</w:t>
      </w:r>
      <w:bookmarkEnd w:id="6"/>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7" w:name="_Toc180147920"/>
      <w:r>
        <w:rPr>
          <w:rStyle w:val="CharSectno"/>
        </w:rPr>
        <w:t>3</w:t>
      </w:r>
      <w:r>
        <w:rPr>
          <w:snapToGrid w:val="0"/>
        </w:rPr>
        <w:t>.</w:t>
      </w:r>
      <w:r>
        <w:rPr>
          <w:snapToGrid w:val="0"/>
        </w:rPr>
        <w:tab/>
        <w:t>Terms used</w:t>
      </w:r>
      <w:bookmarkEnd w:id="7"/>
    </w:p>
    <w:p>
      <w:pPr>
        <w:pStyle w:val="Subsection"/>
        <w:rPr>
          <w:snapToGrid w:val="0"/>
        </w:rPr>
      </w:pPr>
      <w:r>
        <w:rPr>
          <w:snapToGrid w:val="0"/>
        </w:rPr>
        <w:tab/>
      </w:r>
      <w:r>
        <w:t>(1)</w:t>
      </w:r>
      <w:r>
        <w:tab/>
        <w:t xml:space="preserve">In this Act, </w:t>
      </w:r>
      <w:r>
        <w:rPr>
          <w:snapToGrid w:val="0"/>
        </w:rPr>
        <w:t>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tab/>
      </w:r>
      <w:r>
        <w:rPr>
          <w:rStyle w:val="CharDefText"/>
        </w:rPr>
        <w:t>category 1 offender</w:t>
      </w:r>
      <w:r>
        <w:t xml:space="preserve"> </w:t>
      </w:r>
      <w:r>
        <w:rPr>
          <w:szCs w:val="24"/>
        </w:rPr>
        <w:t>means —</w:t>
      </w:r>
    </w:p>
    <w:p>
      <w:pPr>
        <w:pStyle w:val="Defpara"/>
      </w:pPr>
      <w:r>
        <w:tab/>
        <w:t>(a)</w:t>
      </w:r>
      <w:r>
        <w:tab/>
      </w:r>
      <w:r>
        <w:rPr>
          <w:szCs w:val="24"/>
        </w:rPr>
        <w:t xml:space="preserve">an offender who — </w:t>
      </w:r>
    </w:p>
    <w:p>
      <w:pPr>
        <w:pStyle w:val="Defsubpara"/>
      </w:pPr>
      <w:r>
        <w:rPr>
          <w:szCs w:val="24"/>
        </w:rPr>
        <w:tab/>
        <w:t>(i)</w:t>
      </w:r>
      <w:r>
        <w:rPr>
          <w:szCs w:val="24"/>
        </w:rPr>
        <w:tab/>
      </w:r>
      <w:r>
        <w:t>has been charged with, or convicted of, a terrorism offence; or</w:t>
      </w:r>
    </w:p>
    <w:p>
      <w:pPr>
        <w:pStyle w:val="Defsubpara"/>
      </w:pPr>
      <w:r>
        <w:tab/>
        <w:t>(ii)</w:t>
      </w:r>
      <w:r>
        <w:tab/>
        <w:t>is subject to an interim control order or a confirmed control order;</w:t>
      </w:r>
    </w:p>
    <w:p>
      <w:pPr>
        <w:pStyle w:val="Defpara"/>
      </w:pPr>
      <w:r>
        <w:tab/>
      </w:r>
      <w:r>
        <w:tab/>
        <w:t>or</w:t>
      </w:r>
    </w:p>
    <w:p>
      <w:pPr>
        <w:pStyle w:val="Defpara"/>
      </w:pPr>
      <w:r>
        <w:tab/>
        <w:t>(b)</w:t>
      </w:r>
      <w:r>
        <w:tab/>
      </w:r>
      <w:r>
        <w:rPr>
          <w:szCs w:val="24"/>
        </w:rPr>
        <w:t xml:space="preserve">an offender </w:t>
      </w:r>
      <w:r>
        <w:t>who has been subject to an interim control order or a confirmed control order at any time during —</w:t>
      </w:r>
    </w:p>
    <w:p>
      <w:pPr>
        <w:pStyle w:val="Defsubpara"/>
      </w:pPr>
      <w:r>
        <w:tab/>
        <w:t>(i)</w:t>
      </w:r>
      <w:r>
        <w:tab/>
        <w:t xml:space="preserve">the period of the offender’s sentence (the </w:t>
      </w:r>
      <w:r>
        <w:rPr>
          <w:rStyle w:val="CharDefText"/>
        </w:rPr>
        <w:t>current sentence</w:t>
      </w:r>
      <w:r>
        <w:t>); or</w:t>
      </w:r>
    </w:p>
    <w:p>
      <w:pPr>
        <w:pStyle w:val="Defsubpara"/>
        <w:keepNext/>
      </w:pPr>
      <w:r>
        <w:tab/>
        <w:t>(ii)</w:t>
      </w:r>
      <w:r>
        <w:tab/>
        <w:t xml:space="preserve">the period of 4 years ending on the day on which the offender’s current sentence begins or is taken to have begun; </w:t>
      </w:r>
    </w:p>
    <w:p>
      <w:pPr>
        <w:pStyle w:val="Defpara"/>
      </w:pPr>
      <w:r>
        <w:tab/>
      </w:r>
      <w:r>
        <w:tab/>
        <w:t>or</w:t>
      </w:r>
    </w:p>
    <w:p>
      <w:pPr>
        <w:pStyle w:val="Defpara"/>
      </w:pPr>
      <w:r>
        <w:lastRenderedPageBreak/>
        <w:tab/>
        <w:t>(c)</w:t>
      </w:r>
      <w:r>
        <w:tab/>
      </w:r>
      <w:r>
        <w:rPr>
          <w:szCs w:val="24"/>
        </w:rPr>
        <w:t xml:space="preserve">an </w:t>
      </w:r>
      <w:r>
        <w:t>offender</w:t>
      </w:r>
      <w:r>
        <w:rPr>
          <w:szCs w:val="24"/>
        </w:rPr>
        <w:t xml:space="preserve"> </w:t>
      </w:r>
      <w:r>
        <w:t xml:space="preserve">for whom an interim control order </w:t>
      </w:r>
      <w:r>
        <w:rPr>
          <w:szCs w:val="24"/>
        </w:rPr>
        <w:t xml:space="preserve">in respect of </w:t>
      </w:r>
      <w:r>
        <w:t xml:space="preserve">the offender is being sought under the </w:t>
      </w:r>
      <w:r>
        <w:rPr>
          <w:szCs w:val="24"/>
        </w:rPr>
        <w:t>Commonwealth Criminal Code section 104.3;</w:t>
      </w:r>
    </w:p>
    <w:p>
      <w:pPr>
        <w:pStyle w:val="Defstart"/>
      </w:pPr>
      <w:r>
        <w:tab/>
      </w:r>
      <w:r>
        <w:rPr>
          <w:rStyle w:val="CharDefText"/>
        </w:rPr>
        <w:t>category 2 offender</w:t>
      </w:r>
      <w:r>
        <w:t xml:space="preserve"> </w:t>
      </w:r>
      <w:r>
        <w:rPr>
          <w:szCs w:val="24"/>
        </w:rPr>
        <w:t xml:space="preserve">means an offender who </w:t>
      </w:r>
      <w:r>
        <w:t>has been charged with, or convicted of, an offence against the Commonwealth Criminal Code section 80.2C(1);</w:t>
      </w:r>
    </w:p>
    <w:p>
      <w:pPr>
        <w:pStyle w:val="Defstart"/>
      </w:pPr>
      <w:r>
        <w:tab/>
      </w:r>
      <w:r>
        <w:rPr>
          <w:rStyle w:val="CharDefText"/>
        </w:rPr>
        <w:t>chairperson</w:t>
      </w:r>
      <w:r>
        <w:t xml:space="preserve"> means the person appointed under section 152(1)(a);</w:t>
      </w:r>
    </w:p>
    <w:p>
      <w:pPr>
        <w:pStyle w:val="Defstart"/>
      </w:pPr>
      <w:r>
        <w:rPr>
          <w:b/>
        </w:rPr>
        <w:tab/>
      </w:r>
      <w:r>
        <w:rPr>
          <w:rStyle w:val="CharDefText"/>
        </w:rPr>
        <w:t>chief executive officer</w:t>
      </w:r>
      <w:r>
        <w:t xml:space="preserve"> means the chief executive officer of the Department;</w:t>
      </w:r>
    </w:p>
    <w:p>
      <w:pPr>
        <w:pStyle w:val="Defstart"/>
      </w:pPr>
      <w:r>
        <w:tab/>
      </w:r>
      <w:r>
        <w:rPr>
          <w:rStyle w:val="CharDefText"/>
        </w:rPr>
        <w:t>Commissioner of Police report</w:t>
      </w:r>
      <w:r>
        <w:t xml:space="preserve"> means a written report referred to in section 150D(1) or (4);</w:t>
      </w:r>
    </w:p>
    <w:p>
      <w:pPr>
        <w:pStyle w:val="Defstart"/>
        <w:rPr>
          <w:szCs w:val="24"/>
        </w:rPr>
      </w:pPr>
      <w:r>
        <w:tab/>
      </w:r>
      <w:r>
        <w:rPr>
          <w:rStyle w:val="CharDefText"/>
        </w:rPr>
        <w:t>Commonwealth Criminal Code</w:t>
      </w:r>
      <w:r>
        <w:t xml:space="preserve"> </w:t>
      </w:r>
      <w:r>
        <w:rPr>
          <w:szCs w:val="24"/>
        </w:rPr>
        <w:t xml:space="preserve">means the Criminal Code set out in the Schedule to the </w:t>
      </w:r>
      <w:r>
        <w:rPr>
          <w:i/>
          <w:szCs w:val="24"/>
        </w:rPr>
        <w:t>Criminal Code Act 1995</w:t>
      </w:r>
      <w:r>
        <w:rPr>
          <w:szCs w:val="24"/>
        </w:rPr>
        <w:t xml:space="preserve"> (Commonwealth);</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rPr>
          <w:szCs w:val="24"/>
        </w:rPr>
      </w:pPr>
      <w:r>
        <w:tab/>
      </w:r>
      <w:r>
        <w:rPr>
          <w:rStyle w:val="CharDefText"/>
        </w:rPr>
        <w:t>confirmed control order</w:t>
      </w:r>
      <w:r>
        <w:t xml:space="preserve"> </w:t>
      </w:r>
      <w:r>
        <w:rPr>
          <w:szCs w:val="24"/>
        </w:rPr>
        <w:t>has the meaning given in the Commonwealth Criminal Code section 100.1(1);</w:t>
      </w:r>
    </w:p>
    <w:p>
      <w:pPr>
        <w:pStyle w:val="Defstart"/>
      </w:pPr>
      <w:r>
        <w:rPr>
          <w:b/>
        </w:rPr>
        <w:tab/>
      </w:r>
      <w:r>
        <w:rPr>
          <w:rStyle w:val="CharDefText"/>
        </w:rPr>
        <w:t>court</w:t>
      </w:r>
      <w:r>
        <w:t xml:space="preserve"> means the Children’s Court or other court dealing with a young person for an offence;</w:t>
      </w:r>
    </w:p>
    <w:p>
      <w:pPr>
        <w:pStyle w:val="Defstart"/>
      </w:pPr>
      <w:r>
        <w:tab/>
      </w:r>
      <w:r>
        <w:rPr>
          <w:rStyle w:val="CharDefText"/>
        </w:rPr>
        <w:t>custodial officer</w:t>
      </w:r>
      <w:r>
        <w:t xml:space="preserve"> means — </w:t>
      </w:r>
    </w:p>
    <w:p>
      <w:pPr>
        <w:pStyle w:val="Defpara"/>
      </w:pPr>
      <w:r>
        <w:tab/>
        <w:t>(a)</w:t>
      </w:r>
      <w:r>
        <w:tab/>
        <w:t>a superintendent, or other officer with custodial functions, appointed under section 11(1); or</w:t>
      </w:r>
    </w:p>
    <w:p>
      <w:pPr>
        <w:pStyle w:val="Defpara"/>
      </w:pPr>
      <w:r>
        <w:tab/>
        <w:t>(b)</w:t>
      </w:r>
      <w:r>
        <w:tab/>
        <w:t>a person who is appointed under section 11(1a)(a) as a custodial officer;</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lastRenderedPageBreak/>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lastRenderedPageBreak/>
        <w:tab/>
      </w:r>
      <w:r>
        <w:rPr>
          <w:rStyle w:val="CharDefText"/>
        </w:rPr>
        <w:t>interim control order</w:t>
      </w:r>
      <w:r>
        <w:t xml:space="preserve"> </w:t>
      </w:r>
      <w:r>
        <w:rPr>
          <w:szCs w:val="24"/>
        </w:rPr>
        <w:t>has the meaning given in the Commonwealth Criminal Code section 100.1(1);</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rPr>
          <w:szCs w:val="24"/>
        </w:rPr>
      </w:pPr>
      <w:r>
        <w:tab/>
      </w:r>
      <w:r>
        <w:rPr>
          <w:rStyle w:val="CharDefText"/>
        </w:rPr>
        <w:t>offender with links to terrorism</w:t>
      </w:r>
      <w:r>
        <w:t xml:space="preserve"> </w:t>
      </w:r>
      <w:r>
        <w:rPr>
          <w:szCs w:val="24"/>
        </w:rPr>
        <w:t xml:space="preserve">means — </w:t>
      </w:r>
    </w:p>
    <w:p>
      <w:pPr>
        <w:pStyle w:val="Defpara"/>
      </w:pPr>
      <w:r>
        <w:rPr>
          <w:szCs w:val="24"/>
        </w:rPr>
        <w:tab/>
        <w:t>(a)</w:t>
      </w:r>
      <w:r>
        <w:rPr>
          <w:szCs w:val="24"/>
        </w:rPr>
        <w:tab/>
        <w:t>a category 1 offender; or</w:t>
      </w:r>
    </w:p>
    <w:p>
      <w:pPr>
        <w:pStyle w:val="Defpara"/>
      </w:pPr>
      <w:r>
        <w:tab/>
        <w:t>(b)</w:t>
      </w:r>
      <w:r>
        <w:tab/>
        <w:t>a category 2 offender who is subject to a Commissioner of Police report; or</w:t>
      </w:r>
    </w:p>
    <w:p>
      <w:pPr>
        <w:pStyle w:val="Defpara"/>
      </w:pPr>
      <w:r>
        <w:tab/>
        <w:t>(c)</w:t>
      </w:r>
      <w:r>
        <w:tab/>
        <w:t>an offender who —</w:t>
      </w:r>
    </w:p>
    <w:p>
      <w:pPr>
        <w:pStyle w:val="Defsubpara"/>
      </w:pPr>
      <w:r>
        <w:tab/>
        <w:t>(i)</w:t>
      </w:r>
      <w:r>
        <w:tab/>
        <w:t>is subject to a Commissioner of Police report; and</w:t>
      </w:r>
    </w:p>
    <w:p>
      <w:pPr>
        <w:pStyle w:val="Defsubpara"/>
      </w:pPr>
      <w:r>
        <w:tab/>
        <w:t>(ii)</w:t>
      </w:r>
      <w:r>
        <w:tab/>
        <w:t>the Supervised Release Review Board as constituted by the chairperson alone is satisfied, having regard to the report, has made statements or carried out activities that support, or advocate support for, terrorist acts;</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tab/>
      </w:r>
      <w:r>
        <w:rPr>
          <w:rStyle w:val="CharDefText"/>
        </w:rPr>
        <w:t>remove</w:t>
      </w:r>
      <w:r>
        <w:t>, in relation to an officer or other person appointed under section 11(1), means terminate the employment of the officer or person;</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pPr>
      <w:r>
        <w:tab/>
        <w:t>(i)</w:t>
      </w:r>
      <w:r>
        <w:tab/>
        <w:t>described in column 2 of Schedule 1 opposite the reference; or</w:t>
      </w:r>
    </w:p>
    <w:p>
      <w:pPr>
        <w:pStyle w:val="Defsubpara"/>
      </w:pPr>
      <w:r>
        <w:lastRenderedPageBreak/>
        <w:tab/>
        <w:t>(ii)</w:t>
      </w:r>
      <w: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pPr>
      <w:r>
        <w:tab/>
        <w:t>(i)</w:t>
      </w:r>
      <w:r>
        <w:tab/>
        <w:t>described in column 2 of Schedule 2 opposite the reference; or</w:t>
      </w:r>
    </w:p>
    <w:p>
      <w:pPr>
        <w:pStyle w:val="Defsubpara"/>
      </w:pPr>
      <w:r>
        <w:tab/>
        <w:t>(ii)</w:t>
      </w:r>
      <w: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tab/>
      </w:r>
      <w:r>
        <w:rPr>
          <w:rStyle w:val="CharDefText"/>
        </w:rPr>
        <w:t>terrorism offence</w:t>
      </w:r>
      <w:r>
        <w:t xml:space="preserve"> </w:t>
      </w:r>
      <w:r>
        <w:rPr>
          <w:szCs w:val="24"/>
        </w:rPr>
        <w:t>means —</w:t>
      </w:r>
    </w:p>
    <w:p>
      <w:pPr>
        <w:pStyle w:val="Defpara"/>
      </w:pPr>
      <w:r>
        <w:tab/>
        <w:t>(a)</w:t>
      </w:r>
      <w:r>
        <w:tab/>
        <w:t>an offence against the Commonwealth Criminal Code Division 72 Subdivision A; or</w:t>
      </w:r>
    </w:p>
    <w:p>
      <w:pPr>
        <w:pStyle w:val="Defpara"/>
      </w:pPr>
      <w:r>
        <w:tab/>
        <w:t>(b)</w:t>
      </w:r>
      <w:r>
        <w:tab/>
        <w:t>an offence against the Commonwealth Criminal Code Division 80 Subdivision B; or</w:t>
      </w:r>
    </w:p>
    <w:p>
      <w:pPr>
        <w:pStyle w:val="Defpara"/>
      </w:pPr>
      <w:r>
        <w:tab/>
        <w:t>(c)</w:t>
      </w:r>
      <w:r>
        <w:tab/>
        <w:t>an offence against the Commonwealth Criminal Code Part 5.3, other than an offence against section 104.22, 104.27, 104.27A, 105.41 or 105.45; or</w:t>
      </w:r>
    </w:p>
    <w:p>
      <w:pPr>
        <w:pStyle w:val="Defpara"/>
      </w:pPr>
      <w:r>
        <w:lastRenderedPageBreak/>
        <w:tab/>
        <w:t>(d)</w:t>
      </w:r>
      <w:r>
        <w:tab/>
        <w:t>an offence against the Commonwealth Criminal Code Part 5.5; or</w:t>
      </w:r>
    </w:p>
    <w:p>
      <w:pPr>
        <w:pStyle w:val="Defpara"/>
      </w:pPr>
      <w:r>
        <w:tab/>
        <w:t>(e)</w:t>
      </w:r>
      <w:r>
        <w:tab/>
        <w:t xml:space="preserve">an offence against the following provisions of the </w:t>
      </w:r>
      <w:r>
        <w:rPr>
          <w:i/>
        </w:rPr>
        <w:t xml:space="preserve">Charter of the United Nations Act 1945 </w:t>
      </w:r>
      <w:r>
        <w:t>(Commonwealth) —</w:t>
      </w:r>
    </w:p>
    <w:p>
      <w:pPr>
        <w:pStyle w:val="Defsubpara"/>
      </w:pPr>
      <w:r>
        <w:tab/>
        <w:t>(i)</w:t>
      </w:r>
      <w:r>
        <w:tab/>
        <w:t xml:space="preserve">Part 4; </w:t>
      </w:r>
    </w:p>
    <w:p>
      <w:pPr>
        <w:pStyle w:val="Defsubpara"/>
      </w:pPr>
      <w:r>
        <w:tab/>
        <w:t>(ii)</w:t>
      </w:r>
      <w:r>
        <w:tab/>
        <w:t xml:space="preserve">Part 5, to the extent that it relates to the </w:t>
      </w:r>
      <w:r>
        <w:rPr>
          <w:i/>
        </w:rPr>
        <w:t>Charter of the United Nations (Sanctions—Al</w:t>
      </w:r>
      <w:r>
        <w:rPr>
          <w:i/>
        </w:rPr>
        <w:noBreakHyphen/>
        <w:t>Qaida) Regulations 2008</w:t>
      </w:r>
      <w:r>
        <w:t xml:space="preserve"> (Commonwealth);</w:t>
      </w:r>
    </w:p>
    <w:p>
      <w:pPr>
        <w:pStyle w:val="Defpara"/>
      </w:pPr>
      <w:r>
        <w:tab/>
      </w:r>
      <w:r>
        <w:tab/>
        <w:t>or</w:t>
      </w:r>
    </w:p>
    <w:p>
      <w:pPr>
        <w:pStyle w:val="Defpara"/>
      </w:pPr>
      <w:r>
        <w:tab/>
        <w:t>(f)</w:t>
      </w:r>
      <w:r>
        <w:tab/>
      </w:r>
      <w:r>
        <w:rPr>
          <w:szCs w:val="24"/>
        </w:rPr>
        <w:t xml:space="preserve">an offence against the </w:t>
      </w:r>
      <w:r>
        <w:rPr>
          <w:i/>
          <w:szCs w:val="24"/>
        </w:rPr>
        <w:t xml:space="preserve">Crimes (Foreign Incursions and Recruitment) Act 1978 </w:t>
      </w:r>
      <w:r>
        <w:rPr>
          <w:szCs w:val="24"/>
        </w:rPr>
        <w:t>(Commonwealth) (repealed); or</w:t>
      </w:r>
    </w:p>
    <w:p>
      <w:pPr>
        <w:pStyle w:val="Defpara"/>
        <w:rPr>
          <w:szCs w:val="24"/>
        </w:rPr>
      </w:pPr>
      <w:r>
        <w:tab/>
        <w:t>(g)</w:t>
      </w:r>
      <w:r>
        <w:tab/>
      </w:r>
      <w:r>
        <w:rPr>
          <w:szCs w:val="24"/>
        </w:rPr>
        <w:t xml:space="preserve">an offence against the </w:t>
      </w:r>
      <w:r>
        <w:rPr>
          <w:i/>
          <w:szCs w:val="24"/>
        </w:rPr>
        <w:t>Crimes (Internationally Protected Persons) Act 1976</w:t>
      </w:r>
      <w:r>
        <w:rPr>
          <w:szCs w:val="24"/>
        </w:rPr>
        <w:t xml:space="preserve"> (Commonwealth) section 8; or</w:t>
      </w:r>
    </w:p>
    <w:p>
      <w:pPr>
        <w:pStyle w:val="Defpara"/>
      </w:pPr>
      <w:r>
        <w:tab/>
        <w:t>(h)</w:t>
      </w:r>
      <w:r>
        <w:tab/>
      </w:r>
      <w:r>
        <w:rPr>
          <w:szCs w:val="24"/>
        </w:rPr>
        <w:t>an offence under a written law or a law of the Commonwealth, another State, a Territory or another country, that substantially corresponds to an offence referred to in paragraph (a), (b), (c), (d), (e) or (g); or</w:t>
      </w:r>
    </w:p>
    <w:p>
      <w:pPr>
        <w:pStyle w:val="Defpara"/>
        <w:rPr>
          <w:szCs w:val="24"/>
        </w:rPr>
      </w:pPr>
      <w:r>
        <w:tab/>
        <w:t>(i)</w:t>
      </w:r>
      <w:r>
        <w:tab/>
      </w:r>
      <w:r>
        <w:rPr>
          <w:szCs w:val="24"/>
        </w:rPr>
        <w:t>an offence of attempting, inciting or conspiring to commit an offence referred to in paragraph (a), (b), (c), (d), (e), (f), (g) or (h);</w:t>
      </w:r>
    </w:p>
    <w:p>
      <w:pPr>
        <w:pStyle w:val="Defstart"/>
      </w:pPr>
      <w:r>
        <w:tab/>
      </w:r>
      <w:r>
        <w:rPr>
          <w:rStyle w:val="CharDefText"/>
        </w:rPr>
        <w:t>terrorist act</w:t>
      </w:r>
      <w:r>
        <w:t xml:space="preserve"> </w:t>
      </w:r>
      <w:r>
        <w:rPr>
          <w:szCs w:val="24"/>
        </w:rPr>
        <w:t xml:space="preserve">has the meaning given in the </w:t>
      </w:r>
      <w:r>
        <w:rPr>
          <w:i/>
          <w:szCs w:val="24"/>
        </w:rPr>
        <w:t>Terrorism (Commonwealth Powers) Act 2002</w:t>
      </w:r>
      <w:r>
        <w:rPr>
          <w:szCs w:val="24"/>
        </w:rPr>
        <w:t xml:space="preserve"> section 3;</w:t>
      </w:r>
    </w:p>
    <w:p>
      <w:pPr>
        <w:pStyle w:val="Defstart"/>
      </w:pPr>
      <w:r>
        <w:tab/>
      </w:r>
      <w:r>
        <w:rPr>
          <w:rStyle w:val="CharDefText"/>
        </w:rPr>
        <w:t>terrorist intelligence information</w:t>
      </w:r>
      <w:r>
        <w:t xml:space="preserve"> means information relating to a prohibited act or suspected prohibited act, the disclosure of which could reasonably be expected to  — </w:t>
      </w:r>
    </w:p>
    <w:p>
      <w:pPr>
        <w:pStyle w:val="Defpara"/>
      </w:pPr>
      <w:r>
        <w:tab/>
        <w:t>(a)</w:t>
      </w:r>
      <w:r>
        <w:tab/>
        <w:t xml:space="preserve">prejudice national security; or </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Subsection"/>
      </w:pPr>
      <w:r>
        <w:tab/>
        <w:t>(2)</w:t>
      </w:r>
      <w:r>
        <w:tab/>
        <w:t xml:space="preserve">For the purposes of the definition of </w:t>
      </w:r>
      <w:r>
        <w:rPr>
          <w:b/>
          <w:i/>
        </w:rPr>
        <w:t>terrorist intelligence information</w:t>
      </w:r>
      <w:r>
        <w:t xml:space="preserve">, a </w:t>
      </w:r>
      <w:r>
        <w:rPr>
          <w:rStyle w:val="CharDefText"/>
        </w:rPr>
        <w:t>prohibited act</w:t>
      </w:r>
      <w:r>
        <w:t xml:space="preserve"> is — </w:t>
      </w:r>
    </w:p>
    <w:p>
      <w:pPr>
        <w:pStyle w:val="Indenta"/>
      </w:pPr>
      <w:r>
        <w:tab/>
        <w:t>(a)</w:t>
      </w:r>
      <w:r>
        <w:tab/>
        <w:t>a terrorism offence</w:t>
      </w:r>
      <w:r>
        <w:rPr>
          <w:szCs w:val="24"/>
        </w:rPr>
        <w:t>; or</w:t>
      </w:r>
    </w:p>
    <w:p>
      <w:pPr>
        <w:pStyle w:val="Indenta"/>
      </w:pPr>
      <w:r>
        <w:tab/>
        <w:t>(b)</w:t>
      </w:r>
      <w:r>
        <w:tab/>
        <w:t xml:space="preserve">an offence against the Commonwealth Criminal Code section 80.2C(1); or </w:t>
      </w:r>
    </w:p>
    <w:p>
      <w:pPr>
        <w:pStyle w:val="Indenta"/>
      </w:pPr>
      <w:r>
        <w:tab/>
        <w:t>(c)</w:t>
      </w:r>
      <w:r>
        <w:tab/>
        <w:t>a terrorist act (whether in this State or elsewhere).</w:t>
      </w:r>
    </w:p>
    <w:p>
      <w:pPr>
        <w:pStyle w:val="Footnotesection"/>
        <w:spacing w:before="80"/>
      </w:pPr>
      <w:r>
        <w:tab/>
        <w:t xml:space="preserve">[Section 3 amended: No. 47 of 1999 s. 40; </w:t>
      </w:r>
      <w:r>
        <w:rPr>
          <w:spacing w:val="-6"/>
        </w:rPr>
        <w:t>No. 34 of 2004 s. </w:t>
      </w:r>
      <w:r>
        <w:t>251; No. 58 of 2004 s. 4; No. 59 of 2004 s. 141; No. 29 of 2014 s. 11; No. 14 of 2022 s. 30.]</w:t>
      </w:r>
    </w:p>
    <w:p>
      <w:pPr>
        <w:pStyle w:val="Footnotesection"/>
        <w:spacing w:before="80"/>
        <w:ind w:left="890" w:hanging="890"/>
      </w:pPr>
      <w:r>
        <w:tab/>
        <w:t>[Section 3. Modifications to be applied in order to give effect to Cross-border Justice Act 2008: section altered 1 Dec 2009. See endnote 1M.]</w:t>
      </w:r>
    </w:p>
    <w:p>
      <w:pPr>
        <w:pStyle w:val="Heading5"/>
        <w:spacing w:before="180"/>
        <w:rPr>
          <w:snapToGrid w:val="0"/>
        </w:rPr>
      </w:pPr>
      <w:bookmarkStart w:id="8" w:name="_Toc180147921"/>
      <w:r>
        <w:rPr>
          <w:rStyle w:val="CharSectno"/>
        </w:rPr>
        <w:t>4</w:t>
      </w:r>
      <w:r>
        <w:rPr>
          <w:snapToGrid w:val="0"/>
        </w:rPr>
        <w:t>.</w:t>
      </w:r>
      <w:r>
        <w:rPr>
          <w:snapToGrid w:val="0"/>
        </w:rPr>
        <w:tab/>
        <w:t>Young offenders reaching 18</w:t>
      </w:r>
      <w:bookmarkEnd w:id="8"/>
      <w:r>
        <w:rPr>
          <w:snapToGrid w:val="0"/>
        </w:rPr>
        <w:t xml:space="preserve"> </w:t>
      </w:r>
    </w:p>
    <w:p>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spacing w:before="180"/>
        <w:rPr>
          <w:snapToGrid w:val="0"/>
        </w:rPr>
      </w:pPr>
      <w:bookmarkStart w:id="9" w:name="_Toc180147922"/>
      <w:r>
        <w:rPr>
          <w:rStyle w:val="CharSectno"/>
        </w:rPr>
        <w:lastRenderedPageBreak/>
        <w:t>5</w:t>
      </w:r>
      <w:r>
        <w:rPr>
          <w:snapToGrid w:val="0"/>
        </w:rPr>
        <w:t>.</w:t>
      </w:r>
      <w:r>
        <w:rPr>
          <w:snapToGrid w:val="0"/>
        </w:rPr>
        <w:tab/>
      </w:r>
      <w:r>
        <w:rPr>
          <w:i/>
        </w:rPr>
        <w:t>Criminal Procedure Act 2004</w:t>
      </w:r>
      <w:r>
        <w:t xml:space="preserve"> </w:t>
      </w:r>
      <w:r>
        <w:rPr>
          <w:snapToGrid w:val="0"/>
        </w:rPr>
        <w:t>overridden</w:t>
      </w:r>
      <w:bookmarkEnd w:id="9"/>
      <w:r>
        <w:rPr>
          <w:snapToGrid w:val="0"/>
        </w:rPr>
        <w:t xml:space="preserve"> </w:t>
      </w:r>
    </w:p>
    <w:p>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spacing w:before="80"/>
        <w:ind w:left="890" w:hanging="890"/>
      </w:pPr>
      <w:r>
        <w:tab/>
        <w:t>[Section 5 amended: No. 59 of 2004 s. 141; No. 84 of 2004 s. 77.]</w:t>
      </w:r>
    </w:p>
    <w:p>
      <w:pPr>
        <w:pStyle w:val="Heading5"/>
      </w:pPr>
      <w:bookmarkStart w:id="10" w:name="_Toc180147923"/>
      <w:r>
        <w:rPr>
          <w:rStyle w:val="CharSectno"/>
        </w:rPr>
        <w:t>6A</w:t>
      </w:r>
      <w:r>
        <w:t>.</w:t>
      </w:r>
      <w:r>
        <w:tab/>
      </w:r>
      <w:r>
        <w:rPr>
          <w:i/>
        </w:rPr>
        <w:t>Courts and Tribunals (Electronic Processes Facilitation) Act 2013</w:t>
      </w:r>
      <w:r>
        <w:t xml:space="preserve"> Part 2 applies</w:t>
      </w:r>
      <w:bookmarkEnd w:id="10"/>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6A inserted: No. 20 of 2013 s. 137.]</w:t>
      </w:r>
    </w:p>
    <w:p>
      <w:pPr>
        <w:pStyle w:val="Heading2"/>
      </w:pPr>
      <w:bookmarkStart w:id="11" w:name="_Toc180138613"/>
      <w:bookmarkStart w:id="12" w:name="_Toc180138948"/>
      <w:bookmarkStart w:id="13" w:name="_Toc180147924"/>
      <w:r>
        <w:rPr>
          <w:rStyle w:val="CharPartNo"/>
        </w:rPr>
        <w:lastRenderedPageBreak/>
        <w:t>Part 2</w:t>
      </w:r>
      <w:r>
        <w:rPr>
          <w:rStyle w:val="CharDivNo"/>
        </w:rPr>
        <w:t> </w:t>
      </w:r>
      <w:r>
        <w:t>—</w:t>
      </w:r>
      <w:r>
        <w:rPr>
          <w:rStyle w:val="CharDivText"/>
        </w:rPr>
        <w:t> </w:t>
      </w:r>
      <w:r>
        <w:rPr>
          <w:rStyle w:val="CharPartText"/>
        </w:rPr>
        <w:t>Objectives and principles</w:t>
      </w:r>
      <w:bookmarkEnd w:id="11"/>
      <w:bookmarkEnd w:id="12"/>
      <w:bookmarkEnd w:id="13"/>
      <w:r>
        <w:rPr>
          <w:rStyle w:val="CharPartText"/>
        </w:rPr>
        <w:t xml:space="preserve"> </w:t>
      </w:r>
    </w:p>
    <w:p>
      <w:pPr>
        <w:pStyle w:val="Heading5"/>
        <w:rPr>
          <w:snapToGrid w:val="0"/>
        </w:rPr>
      </w:pPr>
      <w:bookmarkStart w:id="14" w:name="_Toc180147925"/>
      <w:r>
        <w:rPr>
          <w:rStyle w:val="CharSectno"/>
        </w:rPr>
        <w:t>6</w:t>
      </w:r>
      <w:r>
        <w:rPr>
          <w:snapToGrid w:val="0"/>
        </w:rPr>
        <w:t>.</w:t>
      </w:r>
      <w:r>
        <w:rPr>
          <w:snapToGrid w:val="0"/>
        </w:rPr>
        <w:tab/>
        <w:t>Objectives</w:t>
      </w:r>
      <w:bookmarkEnd w:id="14"/>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5" w:name="_Toc180147926"/>
      <w:r>
        <w:rPr>
          <w:rStyle w:val="CharSectno"/>
        </w:rPr>
        <w:t>7</w:t>
      </w:r>
      <w:r>
        <w:rPr>
          <w:snapToGrid w:val="0"/>
        </w:rPr>
        <w:t>.</w:t>
      </w:r>
      <w:r>
        <w:rPr>
          <w:snapToGrid w:val="0"/>
        </w:rPr>
        <w:tab/>
        <w:t>General principles of juvenile justice</w:t>
      </w:r>
      <w:bookmarkEnd w:id="15"/>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No. 82 of 1994 s. 20; No. 78 of 1995 s. 145; No. 29 of 1998 s. 20.] </w:t>
      </w:r>
    </w:p>
    <w:p>
      <w:pPr>
        <w:pStyle w:val="Heading5"/>
        <w:rPr>
          <w:snapToGrid w:val="0"/>
        </w:rPr>
      </w:pPr>
      <w:bookmarkStart w:id="16" w:name="_Toc180147927"/>
      <w:r>
        <w:rPr>
          <w:rStyle w:val="CharSectno"/>
        </w:rPr>
        <w:t>8</w:t>
      </w:r>
      <w:r>
        <w:rPr>
          <w:snapToGrid w:val="0"/>
        </w:rPr>
        <w:t>.</w:t>
      </w:r>
      <w:r>
        <w:rPr>
          <w:snapToGrid w:val="0"/>
        </w:rPr>
        <w:tab/>
        <w:t>Responsible adults, role of</w:t>
      </w:r>
      <w:bookmarkEnd w:id="16"/>
      <w:r>
        <w:rPr>
          <w:snapToGrid w:val="0"/>
        </w:rPr>
        <w:t xml:space="preserve"> </w:t>
      </w:r>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7" w:name="_Toc180138617"/>
      <w:bookmarkStart w:id="18" w:name="_Toc180138952"/>
      <w:bookmarkStart w:id="19" w:name="_Toc180147928"/>
      <w:r>
        <w:rPr>
          <w:rStyle w:val="CharPartNo"/>
        </w:rPr>
        <w:lastRenderedPageBreak/>
        <w:t>Part 3</w:t>
      </w:r>
      <w:r>
        <w:t> — </w:t>
      </w:r>
      <w:r>
        <w:rPr>
          <w:rStyle w:val="CharPartText"/>
        </w:rPr>
        <w:t>Administration</w:t>
      </w:r>
      <w:bookmarkEnd w:id="17"/>
      <w:bookmarkEnd w:id="18"/>
      <w:bookmarkEnd w:id="19"/>
      <w:r>
        <w:rPr>
          <w:rStyle w:val="CharPartText"/>
        </w:rPr>
        <w:t xml:space="preserve"> </w:t>
      </w:r>
    </w:p>
    <w:p>
      <w:pPr>
        <w:pStyle w:val="Heading3"/>
        <w:spacing w:before="260"/>
      </w:pPr>
      <w:bookmarkStart w:id="20" w:name="_Toc180138618"/>
      <w:bookmarkStart w:id="21" w:name="_Toc180138953"/>
      <w:bookmarkStart w:id="22" w:name="_Toc180147929"/>
      <w:r>
        <w:rPr>
          <w:rStyle w:val="CharDivNo"/>
        </w:rPr>
        <w:t>Division 1</w:t>
      </w:r>
      <w:r>
        <w:t> — </w:t>
      </w:r>
      <w:r>
        <w:rPr>
          <w:rStyle w:val="CharDivText"/>
        </w:rPr>
        <w:t>Chief executive officer</w:t>
      </w:r>
      <w:bookmarkEnd w:id="20"/>
      <w:bookmarkEnd w:id="21"/>
      <w:bookmarkEnd w:id="22"/>
    </w:p>
    <w:p>
      <w:pPr>
        <w:pStyle w:val="Footnoteheading"/>
        <w:tabs>
          <w:tab w:val="left" w:pos="851"/>
        </w:tabs>
      </w:pPr>
      <w:r>
        <w:tab/>
        <w:t>[Heading inserted: No. 29 of 2014 s. 12.]</w:t>
      </w:r>
    </w:p>
    <w:p>
      <w:pPr>
        <w:pStyle w:val="Heading5"/>
        <w:spacing w:before="240"/>
        <w:rPr>
          <w:snapToGrid w:val="0"/>
        </w:rPr>
      </w:pPr>
      <w:bookmarkStart w:id="23" w:name="_Toc180147930"/>
      <w:r>
        <w:rPr>
          <w:rStyle w:val="CharSectno"/>
        </w:rPr>
        <w:t>9</w:t>
      </w:r>
      <w:r>
        <w:rPr>
          <w:snapToGrid w:val="0"/>
        </w:rPr>
        <w:t>.</w:t>
      </w:r>
      <w:r>
        <w:rPr>
          <w:snapToGrid w:val="0"/>
        </w:rPr>
        <w:tab/>
        <w:t>Chief executive officer, functions of</w:t>
      </w:r>
      <w:bookmarkEnd w:id="23"/>
      <w:r>
        <w:rPr>
          <w:snapToGrid w:val="0"/>
        </w:rPr>
        <w:t xml:space="preserve"> </w:t>
      </w:r>
    </w:p>
    <w:p>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spacing w:before="240"/>
        <w:rPr>
          <w:snapToGrid w:val="0"/>
        </w:rPr>
      </w:pPr>
      <w:bookmarkStart w:id="24" w:name="_Toc180147931"/>
      <w:r>
        <w:rPr>
          <w:rStyle w:val="CharSectno"/>
        </w:rPr>
        <w:t>10</w:t>
      </w:r>
      <w:r>
        <w:rPr>
          <w:snapToGrid w:val="0"/>
        </w:rPr>
        <w:t>.</w:t>
      </w:r>
      <w:r>
        <w:rPr>
          <w:snapToGrid w:val="0"/>
        </w:rPr>
        <w:tab/>
        <w:t>Chief executive officer may delegate</w:t>
      </w:r>
      <w:bookmarkEnd w:id="24"/>
      <w:r>
        <w:rPr>
          <w:snapToGrid w:val="0"/>
        </w:rPr>
        <w:t xml:space="preserve"> </w:t>
      </w:r>
    </w:p>
    <w:p>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ind w:left="890" w:hanging="890"/>
      </w:pPr>
      <w:r>
        <w:tab/>
        <w:t>[Section 10. Modifications to be applied in order to give effect to Cross-border Justice Act 2008: section altered 1 Dec 2009. See endnote 1M.]</w:t>
      </w:r>
    </w:p>
    <w:p>
      <w:pPr>
        <w:pStyle w:val="Heading3"/>
      </w:pPr>
      <w:bookmarkStart w:id="25" w:name="_Toc180138621"/>
      <w:bookmarkStart w:id="26" w:name="_Toc180138956"/>
      <w:bookmarkStart w:id="27" w:name="_Toc180147932"/>
      <w:r>
        <w:rPr>
          <w:rStyle w:val="CharDivNo"/>
        </w:rPr>
        <w:t>Division 2</w:t>
      </w:r>
      <w:r>
        <w:t> — </w:t>
      </w:r>
      <w:r>
        <w:rPr>
          <w:rStyle w:val="CharDivText"/>
        </w:rPr>
        <w:t>Other officers and employees</w:t>
      </w:r>
      <w:bookmarkEnd w:id="25"/>
      <w:bookmarkEnd w:id="26"/>
      <w:bookmarkEnd w:id="27"/>
    </w:p>
    <w:p>
      <w:pPr>
        <w:pStyle w:val="Footnoteheading"/>
        <w:tabs>
          <w:tab w:val="left" w:pos="851"/>
        </w:tabs>
      </w:pPr>
      <w:r>
        <w:tab/>
        <w:t>[Heading inserted: No. 29 of 2014 s. 13.]</w:t>
      </w:r>
    </w:p>
    <w:p>
      <w:pPr>
        <w:pStyle w:val="Heading5"/>
        <w:spacing w:before="240"/>
        <w:rPr>
          <w:snapToGrid w:val="0"/>
        </w:rPr>
      </w:pPr>
      <w:bookmarkStart w:id="28" w:name="_Toc180147933"/>
      <w:r>
        <w:rPr>
          <w:rStyle w:val="CharSectno"/>
        </w:rPr>
        <w:t>11</w:t>
      </w:r>
      <w:r>
        <w:rPr>
          <w:snapToGrid w:val="0"/>
        </w:rPr>
        <w:t>.</w:t>
      </w:r>
      <w:r>
        <w:rPr>
          <w:snapToGrid w:val="0"/>
        </w:rPr>
        <w:tab/>
        <w:t>Officers and employees, appointment of</w:t>
      </w:r>
      <w:bookmarkEnd w:id="28"/>
      <w:r>
        <w:rPr>
          <w:snapToGrid w:val="0"/>
        </w:rPr>
        <w:t xml:space="preserve"> </w:t>
      </w:r>
    </w:p>
    <w:p>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spacing w:before="180"/>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w:t>
      </w:r>
      <w:r>
        <w:rPr>
          <w:b/>
        </w:rPr>
        <w:t xml:space="preserve"> </w:t>
      </w:r>
      <w:r>
        <w:t>and</w:t>
      </w:r>
    </w:p>
    <w:p>
      <w:pPr>
        <w:pStyle w:val="Indenta"/>
        <w:keepNext/>
        <w:keepLines/>
      </w:pPr>
      <w:r>
        <w:lastRenderedPageBreak/>
        <w:tab/>
        <w:t>(b)</w:t>
      </w:r>
      <w:r>
        <w:tab/>
        <w:t xml:space="preserve">officers and employees of particular classes as are prescribed by the regulations, </w:t>
      </w:r>
    </w:p>
    <w:p>
      <w:pPr>
        <w:pStyle w:val="Subsection"/>
        <w:keepNext/>
        <w:keepLines/>
      </w:pPr>
      <w:r>
        <w:tab/>
      </w:r>
      <w:r>
        <w:tab/>
        <w:t>and may remove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 xml:space="preserve">may be subject to — </w:t>
      </w:r>
    </w:p>
    <w:p>
      <w:pPr>
        <w:pStyle w:val="Indenti"/>
      </w:pPr>
      <w:r>
        <w:tab/>
        <w:t>(i)</w:t>
      </w:r>
      <w:r>
        <w:tab/>
        <w:t>disciplinary proceedings provided for in the regulations; or</w:t>
      </w:r>
    </w:p>
    <w:p>
      <w:pPr>
        <w:pStyle w:val="Indenti"/>
      </w:pPr>
      <w:r>
        <w:tab/>
        <w:t>(ii)</w:t>
      </w:r>
      <w:r>
        <w:tab/>
        <w:t xml:space="preserve">if regulations are made under subsection (1C) — disciplinary proceedings under the </w:t>
      </w:r>
      <w:r>
        <w:rPr>
          <w:i/>
        </w:rPr>
        <w:t>Public Sector Management Act 1994</w:t>
      </w:r>
      <w:r>
        <w:t xml:space="preserve"> Part 5.</w:t>
      </w:r>
    </w:p>
    <w:p>
      <w:pPr>
        <w:pStyle w:val="Subsection"/>
      </w:pPr>
      <w:r>
        <w:tab/>
        <w:t>(1C)</w:t>
      </w:r>
      <w:r>
        <w:tab/>
        <w:t xml:space="preserve">The regulations may prescribe custodial officers for the purposes of the </w:t>
      </w:r>
      <w:r>
        <w:rPr>
          <w:i/>
        </w:rPr>
        <w:t>Public Sector Management Act 1994</w:t>
      </w:r>
      <w:r>
        <w:t xml:space="preserve"> section 76(1)(b).</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 and</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No. 58 of 2004 s. 6(1) and (2); No. 29 of 2014 s. 14.]</w:t>
      </w:r>
    </w:p>
    <w:p>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pPr>
      <w:bookmarkStart w:id="29" w:name="_Toc180147934"/>
      <w:r>
        <w:rPr>
          <w:rStyle w:val="CharSectno"/>
        </w:rPr>
        <w:lastRenderedPageBreak/>
        <w:t>11A</w:t>
      </w:r>
      <w:r>
        <w:t>.</w:t>
      </w:r>
      <w:r>
        <w:tab/>
        <w:t>Duties of all officers and employees</w:t>
      </w:r>
      <w:bookmarkEnd w:id="29"/>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spacing w:before="140"/>
        <w:ind w:left="890" w:hanging="890"/>
      </w:pPr>
      <w:r>
        <w:tab/>
        <w:t>[Section 11A inserted: No. 58 of 2004 s. 7.]</w:t>
      </w:r>
    </w:p>
    <w:p>
      <w:pPr>
        <w:pStyle w:val="Footnotesection"/>
        <w:spacing w:before="140"/>
        <w:ind w:left="890" w:hanging="890"/>
      </w:pPr>
      <w:r>
        <w:tab/>
        <w:t>[Section 11A. Modifications to be applied in order to give effect to Cross-border Justice Act 2008: section altered 1 Dec 2009. See endnote 1M.]</w:t>
      </w:r>
    </w:p>
    <w:p>
      <w:pPr>
        <w:pStyle w:val="Heading5"/>
        <w:spacing w:before="240"/>
      </w:pPr>
      <w:bookmarkStart w:id="30" w:name="_Toc180147935"/>
      <w:r>
        <w:rPr>
          <w:rStyle w:val="CharSectno"/>
        </w:rPr>
        <w:t>11B</w:t>
      </w:r>
      <w:r>
        <w:t>.</w:t>
      </w:r>
      <w:r>
        <w:tab/>
        <w:t>Powers and duties of custodial officers</w:t>
      </w:r>
      <w:bookmarkEnd w:id="30"/>
    </w:p>
    <w:p>
      <w:pPr>
        <w:pStyle w:val="Subsection"/>
        <w:spacing w:before="180"/>
      </w:pPr>
      <w:r>
        <w:tab/>
      </w:r>
      <w:r>
        <w:tab/>
        <w:t xml:space="preserve">A custodial officer — </w:t>
      </w:r>
    </w:p>
    <w:p>
      <w:pPr>
        <w:pStyle w:val="Indenta"/>
        <w:spacing w:before="100"/>
      </w:pPr>
      <w:r>
        <w:tab/>
        <w:t>(a)</w:t>
      </w:r>
      <w:r>
        <w:tab/>
        <w:t>has a responsibility to maintain the security of the facility or detention centre where he or she is employed; and</w:t>
      </w:r>
    </w:p>
    <w:p>
      <w:pPr>
        <w:pStyle w:val="Indenta"/>
        <w:spacing w:before="100"/>
      </w:pPr>
      <w:r>
        <w:tab/>
        <w:t>(b)</w:t>
      </w:r>
      <w:r>
        <w:tab/>
        <w:t>is liable to answer for the escape of a detainee placed in his or her charge or for whom when on duty he or she has a responsibility; and</w:t>
      </w:r>
    </w:p>
    <w:p>
      <w:pPr>
        <w:pStyle w:val="Indenta"/>
        <w:spacing w:before="100"/>
      </w:pPr>
      <w:r>
        <w:tab/>
        <w:t>(c)</w:t>
      </w:r>
      <w:r>
        <w:tab/>
        <w:t>must obey all lawful orders given to him or her by the officer under whose control or supervision he or she is placed; and</w:t>
      </w:r>
    </w:p>
    <w:p>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pPr>
        <w:pStyle w:val="Footnotesection"/>
      </w:pPr>
      <w:r>
        <w:tab/>
        <w:t>[Section 11B inserted: No. 58 of 2004 s. 7; amended: No. 29 of 2014 s. 15.]</w:t>
      </w:r>
    </w:p>
    <w:p>
      <w:pPr>
        <w:pStyle w:val="Heading3"/>
      </w:pPr>
      <w:bookmarkStart w:id="31" w:name="_Toc180138625"/>
      <w:bookmarkStart w:id="32" w:name="_Toc180138960"/>
      <w:bookmarkStart w:id="33" w:name="_Toc180147936"/>
      <w:r>
        <w:rPr>
          <w:rStyle w:val="CharDivNo"/>
        </w:rPr>
        <w:t>Division 3</w:t>
      </w:r>
      <w:r>
        <w:t> — </w:t>
      </w:r>
      <w:r>
        <w:rPr>
          <w:rStyle w:val="CharDivText"/>
        </w:rPr>
        <w:t>Removal of custodial officers due to loss of confidence</w:t>
      </w:r>
      <w:bookmarkEnd w:id="31"/>
      <w:bookmarkEnd w:id="32"/>
      <w:bookmarkEnd w:id="33"/>
    </w:p>
    <w:p>
      <w:pPr>
        <w:pStyle w:val="Footnoteheading"/>
      </w:pPr>
      <w:r>
        <w:tab/>
        <w:t>[Heading inserted: No. 29 of 2014 s. 16.]</w:t>
      </w:r>
    </w:p>
    <w:p>
      <w:pPr>
        <w:pStyle w:val="Heading4"/>
      </w:pPr>
      <w:bookmarkStart w:id="34" w:name="_Toc180138626"/>
      <w:bookmarkStart w:id="35" w:name="_Toc180138961"/>
      <w:bookmarkStart w:id="36" w:name="_Toc180147937"/>
      <w:r>
        <w:t>Subdivision 1 — Preliminary</w:t>
      </w:r>
      <w:bookmarkEnd w:id="34"/>
      <w:bookmarkEnd w:id="35"/>
      <w:bookmarkEnd w:id="36"/>
    </w:p>
    <w:p>
      <w:pPr>
        <w:pStyle w:val="Footnoteheading"/>
      </w:pPr>
      <w:r>
        <w:tab/>
        <w:t>[Heading inserted: No. 29 of 2014 s. 16.]</w:t>
      </w:r>
    </w:p>
    <w:p>
      <w:pPr>
        <w:pStyle w:val="Heading5"/>
        <w:spacing w:before="180"/>
      </w:pPr>
      <w:bookmarkStart w:id="37" w:name="_Toc180147938"/>
      <w:r>
        <w:rPr>
          <w:rStyle w:val="CharSectno"/>
        </w:rPr>
        <w:t>11CA</w:t>
      </w:r>
      <w:r>
        <w:t>.</w:t>
      </w:r>
      <w:r>
        <w:tab/>
        <w:t>Terms used</w:t>
      </w:r>
      <w:bookmarkEnd w:id="37"/>
    </w:p>
    <w:p>
      <w:pPr>
        <w:pStyle w:val="Subsection"/>
      </w:pPr>
      <w:r>
        <w:tab/>
      </w:r>
      <w:r>
        <w:tab/>
        <w:t xml:space="preserve">In this Division, unless the contrary intention appears — </w:t>
      </w:r>
    </w:p>
    <w:p>
      <w:pPr>
        <w:pStyle w:val="Defstart"/>
      </w:pPr>
      <w:r>
        <w:tab/>
      </w:r>
      <w:r>
        <w:rPr>
          <w:rStyle w:val="CharDefText"/>
        </w:rPr>
        <w:t>appeal</w:t>
      </w:r>
      <w:r>
        <w:t xml:space="preserve"> means an appeal under section 11CH;</w:t>
      </w:r>
    </w:p>
    <w:p>
      <w:pPr>
        <w:pStyle w:val="Defstart"/>
      </w:pPr>
      <w:r>
        <w:tab/>
      </w:r>
      <w:r>
        <w:rPr>
          <w:rStyle w:val="CharDefText"/>
        </w:rPr>
        <w:t>appellant</w:t>
      </w:r>
      <w:r>
        <w:t xml:space="preserve"> means a person who institutes an appeal;</w:t>
      </w:r>
    </w:p>
    <w:p>
      <w:pPr>
        <w:pStyle w:val="Defstart"/>
      </w:pPr>
      <w:r>
        <w:tab/>
      </w:r>
      <w:r>
        <w:rPr>
          <w:rStyle w:val="CharDefText"/>
        </w:rPr>
        <w:t>Chief Commissioner</w:t>
      </w:r>
      <w:r>
        <w:t xml:space="preserve"> has the same meaning as in the </w:t>
      </w:r>
      <w:r>
        <w:rPr>
          <w:i/>
        </w:rPr>
        <w:t>Industrial Relations Act 1979</w:t>
      </w:r>
      <w:r>
        <w:t>;</w:t>
      </w:r>
    </w:p>
    <w:p>
      <w:pPr>
        <w:pStyle w:val="Defstart"/>
      </w:pPr>
      <w:r>
        <w:tab/>
      </w:r>
      <w:r>
        <w:rPr>
          <w:rStyle w:val="CharDefText"/>
        </w:rPr>
        <w:t>decision notice</w:t>
      </w:r>
      <w:r>
        <w:t xml:space="preserve"> has the meaning given in section 11CD(3)(b);</w:t>
      </w:r>
    </w:p>
    <w:p>
      <w:pPr>
        <w:pStyle w:val="Defstart"/>
      </w:pPr>
      <w:r>
        <w:tab/>
      </w:r>
      <w:r>
        <w:rPr>
          <w:rStyle w:val="CharDefText"/>
        </w:rPr>
        <w:t>industrial commissioner</w:t>
      </w:r>
      <w:r>
        <w:t xml:space="preserve"> means a commissioner as defined in the </w:t>
      </w:r>
      <w:r>
        <w:rPr>
          <w:i/>
        </w:rPr>
        <w:t>Industrial Relations Act 1979</w:t>
      </w:r>
      <w:r>
        <w:t xml:space="preserve"> section 7(1);</w:t>
      </w:r>
    </w:p>
    <w:p>
      <w:pPr>
        <w:pStyle w:val="Defstart"/>
      </w:pPr>
      <w:r>
        <w:tab/>
      </w:r>
      <w:r>
        <w:rPr>
          <w:rStyle w:val="CharDefText"/>
        </w:rPr>
        <w:t>maintenance payment</w:t>
      </w:r>
      <w:r>
        <w:t xml:space="preserve"> has the meaning given in section 11CE(1);</w:t>
      </w:r>
    </w:p>
    <w:p>
      <w:pPr>
        <w:pStyle w:val="Defstart"/>
      </w:pPr>
      <w:r>
        <w:tab/>
      </w:r>
      <w:r>
        <w:rPr>
          <w:rStyle w:val="CharDefText"/>
        </w:rPr>
        <w:t>maintenance period</w:t>
      </w:r>
      <w:r>
        <w:t xml:space="preserve"> has the meaning given in section 11CE(1);</w:t>
      </w:r>
    </w:p>
    <w:p>
      <w:pPr>
        <w:pStyle w:val="Defstart"/>
      </w:pPr>
      <w:r>
        <w:tab/>
      </w:r>
      <w:r>
        <w:rPr>
          <w:rStyle w:val="CharDefText"/>
        </w:rPr>
        <w:t>new evidence</w:t>
      </w:r>
      <w:r>
        <w:t xml:space="preserve">, on an appeal against the removal of a custodial officer, means evidence other than evidence of any of the following — </w:t>
      </w:r>
    </w:p>
    <w:p>
      <w:pPr>
        <w:pStyle w:val="Defpara"/>
      </w:pPr>
      <w:r>
        <w:tab/>
        <w:t>(a)</w:t>
      </w:r>
      <w:r>
        <w:tab/>
        <w:t>a document or other material that was examined and taken into account by the chief executive officer in making the removal decision;</w:t>
      </w:r>
    </w:p>
    <w:p>
      <w:pPr>
        <w:pStyle w:val="Defpara"/>
      </w:pPr>
      <w:r>
        <w:tab/>
        <w:t>(b)</w:t>
      </w:r>
      <w:r>
        <w:tab/>
        <w:t>the notice given under section 11CD(1);</w:t>
      </w:r>
    </w:p>
    <w:p>
      <w:pPr>
        <w:pStyle w:val="Defpara"/>
      </w:pPr>
      <w:r>
        <w:lastRenderedPageBreak/>
        <w:tab/>
        <w:t>(c)</w:t>
      </w:r>
      <w:r>
        <w:tab/>
        <w:t>a written submission made to the chief executive officer by the custodial officer under section 11CD(2);</w:t>
      </w:r>
    </w:p>
    <w:p>
      <w:pPr>
        <w:pStyle w:val="Defpara"/>
      </w:pPr>
      <w:r>
        <w:tab/>
        <w:t>(d)</w:t>
      </w:r>
      <w:r>
        <w:tab/>
        <w:t>a decision notice;</w:t>
      </w:r>
    </w:p>
    <w:p>
      <w:pPr>
        <w:pStyle w:val="Defpara"/>
      </w:pPr>
      <w:r>
        <w:tab/>
        <w:t>(e)</w:t>
      </w:r>
      <w:r>
        <w:tab/>
        <w:t>a notification of the removal;</w:t>
      </w:r>
    </w:p>
    <w:p>
      <w:pPr>
        <w:pStyle w:val="Defstart"/>
      </w:pPr>
      <w:r>
        <w:tab/>
      </w:r>
      <w:r>
        <w:rPr>
          <w:rStyle w:val="CharDefText"/>
        </w:rPr>
        <w:t>removal action</w:t>
      </w:r>
      <w:r>
        <w:t>, in relation to a custodial officer, means the removal of the custodial officer under section 11CC;</w:t>
      </w:r>
    </w:p>
    <w:p>
      <w:pPr>
        <w:pStyle w:val="Defstart"/>
      </w:pPr>
      <w:r>
        <w:tab/>
      </w:r>
      <w:r>
        <w:rPr>
          <w:rStyle w:val="CharDefText"/>
        </w:rPr>
        <w:t>removal decision</w:t>
      </w:r>
      <w:r>
        <w:t xml:space="preserve"> means a decision of the chief executive officer to take removal action;</w:t>
      </w:r>
    </w:p>
    <w:p>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pPr>
        <w:pStyle w:val="Footnotesection"/>
      </w:pPr>
      <w:r>
        <w:tab/>
        <w:t>[Section 11CA inserted: No. 29 of 2014 s. 16.]</w:t>
      </w:r>
    </w:p>
    <w:p>
      <w:pPr>
        <w:pStyle w:val="Heading4"/>
      </w:pPr>
      <w:bookmarkStart w:id="38" w:name="_Toc180138628"/>
      <w:bookmarkStart w:id="39" w:name="_Toc180138963"/>
      <w:bookmarkStart w:id="40" w:name="_Toc180147939"/>
      <w:r>
        <w:t>Subdivision 2 — Removal of custodial officers</w:t>
      </w:r>
      <w:bookmarkEnd w:id="38"/>
      <w:bookmarkEnd w:id="39"/>
      <w:bookmarkEnd w:id="40"/>
    </w:p>
    <w:p>
      <w:pPr>
        <w:pStyle w:val="Footnoteheading"/>
      </w:pPr>
      <w:r>
        <w:tab/>
        <w:t>[Heading inserted: No. 29 of 2014 s. 16.]</w:t>
      </w:r>
    </w:p>
    <w:p>
      <w:pPr>
        <w:pStyle w:val="Heading5"/>
      </w:pPr>
      <w:bookmarkStart w:id="41" w:name="_Toc180147940"/>
      <w:r>
        <w:rPr>
          <w:rStyle w:val="CharSectno"/>
        </w:rPr>
        <w:t>11CB</w:t>
      </w:r>
      <w:r>
        <w:t>.</w:t>
      </w:r>
      <w:r>
        <w:tab/>
        <w:t>Application of Subdivision</w:t>
      </w:r>
      <w:bookmarkEnd w:id="41"/>
    </w:p>
    <w:p>
      <w:pPr>
        <w:pStyle w:val="Subsection"/>
      </w:pPr>
      <w:r>
        <w:tab/>
        <w:t>(1)</w:t>
      </w:r>
      <w:r>
        <w:tab/>
        <w:t xml:space="preserve">This Subdivision applies if — </w:t>
      </w:r>
    </w:p>
    <w:p>
      <w:pPr>
        <w:pStyle w:val="Indenta"/>
      </w:pPr>
      <w:r>
        <w:tab/>
        <w:t>(a)</w:t>
      </w:r>
      <w:r>
        <w:tab/>
        <w:t>the chief executive officer does not have confidence in a custodial officer’s suitability to continue as a custodial officer; and</w:t>
      </w:r>
    </w:p>
    <w:p>
      <w:pPr>
        <w:pStyle w:val="Indenta"/>
      </w:pPr>
      <w:r>
        <w:tab/>
        <w:t>(b)</w:t>
      </w:r>
      <w:r>
        <w:tab/>
        <w:t xml:space="preserve">the chief executive officer — </w:t>
      </w:r>
    </w:p>
    <w:p>
      <w:pPr>
        <w:pStyle w:val="Indenti"/>
      </w:pPr>
      <w:r>
        <w:tab/>
        <w:t>(i)</w:t>
      </w:r>
      <w:r>
        <w:tab/>
        <w:t>decides not to take, or continue to take, disciplinary proceedings referred to in section 11(1b)(b) against a custodial officer; and</w:t>
      </w:r>
    </w:p>
    <w:p>
      <w:pPr>
        <w:pStyle w:val="Indenti"/>
      </w:pPr>
      <w:r>
        <w:tab/>
        <w:t>(ii)</w:t>
      </w:r>
      <w:r>
        <w:tab/>
        <w:t>decides instead to take removal action in relation to the custodial officer.</w:t>
      </w:r>
    </w:p>
    <w:p>
      <w:pPr>
        <w:pStyle w:val="Subsection"/>
      </w:pPr>
      <w:r>
        <w:lastRenderedPageBreak/>
        <w:tab/>
        <w:t>(2)</w:t>
      </w:r>
      <w:r>
        <w:tab/>
        <w:t xml:space="preserve">If regulations are made under section 11(1C), this Subdivision applies despite the </w:t>
      </w:r>
      <w:r>
        <w:rPr>
          <w:i/>
        </w:rPr>
        <w:t>Public Sector Management Act 1994</w:t>
      </w:r>
      <w:r>
        <w:t xml:space="preserve"> section 76(2).</w:t>
      </w:r>
    </w:p>
    <w:p>
      <w:pPr>
        <w:pStyle w:val="Footnotesection"/>
      </w:pPr>
      <w:r>
        <w:tab/>
        <w:t>[Section 11CB inserted: No. 29 of 2014 s. 16.]</w:t>
      </w:r>
    </w:p>
    <w:p>
      <w:pPr>
        <w:pStyle w:val="Heading5"/>
      </w:pPr>
      <w:bookmarkStart w:id="42" w:name="_Toc180147941"/>
      <w:r>
        <w:rPr>
          <w:rStyle w:val="CharSectno"/>
        </w:rPr>
        <w:t>11CC</w:t>
      </w:r>
      <w:r>
        <w:t>.</w:t>
      </w:r>
      <w:r>
        <w:tab/>
        <w:t>Removal action</w:t>
      </w:r>
      <w:bookmarkEnd w:id="42"/>
    </w:p>
    <w:p>
      <w:pPr>
        <w:pStyle w:val="Subsection"/>
      </w:pPr>
      <w:r>
        <w:tab/>
        <w:t>(1)</w:t>
      </w:r>
      <w:r>
        <w:tab/>
        <w:t>If the chief executive officer does not have confidence in a custodial officer’s suitability to continue as a custodial officer, the chief executive officer may remove the custodial officer.</w:t>
      </w:r>
    </w:p>
    <w:p>
      <w:pPr>
        <w:pStyle w:val="Subsection"/>
      </w:pPr>
      <w:r>
        <w:tab/>
        <w:t>(2)</w:t>
      </w:r>
      <w:r>
        <w:tab/>
        <w:t xml:space="preserve">Subsection (1) applies in addition to, and does not limit the operation of, the </w:t>
      </w:r>
      <w:r>
        <w:rPr>
          <w:i/>
        </w:rPr>
        <w:t>Public Sector Management Act 1994</w:t>
      </w:r>
      <w:r>
        <w:t>.</w:t>
      </w:r>
    </w:p>
    <w:p>
      <w:pPr>
        <w:pStyle w:val="Subsection"/>
      </w:pPr>
      <w:r>
        <w:tab/>
        <w:t>(3)</w:t>
      </w:r>
      <w:r>
        <w:tab/>
        <w:t>The chief executive officer may conduct any necessary investigation to determine a custodial officer’s suitability to continue as a custodial officer.</w:t>
      </w:r>
    </w:p>
    <w:p>
      <w:pPr>
        <w:pStyle w:val="Subsection"/>
      </w:pPr>
      <w:r>
        <w:tab/>
        <w:t>(4)</w:t>
      </w:r>
      <w:r>
        <w:tab/>
        <w:t xml:space="preserve">For the purpose of the investigation the chief executive officer may require the custodial officer to do all or any of the following — </w:t>
      </w:r>
    </w:p>
    <w:p>
      <w:pPr>
        <w:pStyle w:val="Indenta"/>
      </w:pPr>
      <w:r>
        <w:tab/>
        <w:t>(a)</w:t>
      </w:r>
      <w:r>
        <w:tab/>
        <w:t>provide the chief executive officer with any information or answer any question that the chief executive officer requires;</w:t>
      </w:r>
    </w:p>
    <w:p>
      <w:pPr>
        <w:pStyle w:val="Indenta"/>
      </w:pPr>
      <w:r>
        <w:tab/>
        <w:t>(b)</w:t>
      </w:r>
      <w:r>
        <w:tab/>
        <w:t>produce to the chief executive officer any document in the custody or under the control of the custodial officer.</w:t>
      </w:r>
    </w:p>
    <w:p>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pPr>
        <w:pStyle w:val="Indenta"/>
      </w:pPr>
      <w:r>
        <w:tab/>
        <w:t>(a)</w:t>
      </w:r>
      <w:r>
        <w:tab/>
        <w:t xml:space="preserve">incriminate the custodial officer; or </w:t>
      </w:r>
    </w:p>
    <w:p>
      <w:pPr>
        <w:pStyle w:val="Indenta"/>
      </w:pPr>
      <w:r>
        <w:tab/>
        <w:t>(b)</w:t>
      </w:r>
      <w:r>
        <w:tab/>
        <w:t>render the custodial officer liable to a disciplinary measure under section 11 or removal under this Division.</w:t>
      </w:r>
    </w:p>
    <w:p>
      <w:pPr>
        <w:pStyle w:val="Subsection"/>
      </w:pPr>
      <w:r>
        <w:tab/>
        <w:t>(6)</w:t>
      </w:r>
      <w:r>
        <w:tab/>
        <w:t xml:space="preserve">The information, answer or document is not admissible in evidence against the custodial officer in any criminal </w:t>
      </w:r>
      <w:r>
        <w:lastRenderedPageBreak/>
        <w:t>proceedings except in proceedings for an offence under subsection (7).</w:t>
      </w:r>
    </w:p>
    <w:p>
      <w:pPr>
        <w:pStyle w:val="Subsection"/>
        <w:keepNext/>
      </w:pPr>
      <w:r>
        <w:tab/>
        <w:t>(7)</w:t>
      </w:r>
      <w:r>
        <w:tab/>
        <w:t xml:space="preserve">A custodial officer must not, in response to a requirement under subsection (4) — </w:t>
      </w:r>
    </w:p>
    <w:p>
      <w:pPr>
        <w:pStyle w:val="Indenta"/>
      </w:pPr>
      <w:r>
        <w:tab/>
        <w:t>(a)</w:t>
      </w:r>
      <w:r>
        <w:tab/>
        <w:t>fail or refuse to provide the required information or answer or produce the required document; or</w:t>
      </w:r>
    </w:p>
    <w:p>
      <w:pPr>
        <w:pStyle w:val="Indenta"/>
      </w:pPr>
      <w:r>
        <w:tab/>
        <w:t>(b)</w:t>
      </w:r>
      <w:r>
        <w:tab/>
        <w:t>give information or an answer that is false or misleading in a material particular; or</w:t>
      </w:r>
    </w:p>
    <w:p>
      <w:pPr>
        <w:pStyle w:val="Indenta"/>
      </w:pPr>
      <w:r>
        <w:tab/>
        <w:t>(c)</w:t>
      </w:r>
      <w:r>
        <w:tab/>
        <w:t>produce a document that the custodial officer knows is false or misleading in a material particular —</w:t>
      </w:r>
    </w:p>
    <w:p>
      <w:pPr>
        <w:pStyle w:val="Indenti"/>
      </w:pPr>
      <w:r>
        <w:tab/>
        <w:t>(i)</w:t>
      </w:r>
      <w:r>
        <w:tab/>
        <w:t>without indicating that the document is false or misleading and, to the extent the custodial officer can, how the document is false or misleading; and</w:t>
      </w:r>
    </w:p>
    <w:p>
      <w:pPr>
        <w:pStyle w:val="Indenti"/>
      </w:pPr>
      <w:r>
        <w:tab/>
        <w:t>(ii)</w:t>
      </w:r>
      <w:r>
        <w:tab/>
        <w:t>if the custodial officer has, or can reasonably obtain, the correct information — without providing the correct information.</w:t>
      </w:r>
    </w:p>
    <w:p>
      <w:pPr>
        <w:pStyle w:val="Penstart"/>
      </w:pPr>
      <w:r>
        <w:tab/>
        <w:t>Penalty: a fine of $4 000 and imprisonment for 12 months.</w:t>
      </w:r>
    </w:p>
    <w:p>
      <w:pPr>
        <w:pStyle w:val="Footnotesection"/>
      </w:pPr>
      <w:r>
        <w:tab/>
        <w:t>[Section 11CC inserted: No. 29 of 2014 s. 16.]</w:t>
      </w:r>
    </w:p>
    <w:p>
      <w:pPr>
        <w:pStyle w:val="Heading5"/>
      </w:pPr>
      <w:bookmarkStart w:id="43" w:name="_Toc180147942"/>
      <w:r>
        <w:rPr>
          <w:rStyle w:val="CharSectno"/>
        </w:rPr>
        <w:t>11CD</w:t>
      </w:r>
      <w:r>
        <w:t>.</w:t>
      </w:r>
      <w:r>
        <w:tab/>
        <w:t>Notice of loss of confidence</w:t>
      </w:r>
      <w:bookmarkEnd w:id="43"/>
    </w:p>
    <w:p>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pPr>
        <w:pStyle w:val="Indenta"/>
      </w:pPr>
      <w:r>
        <w:tab/>
        <w:t>(a)</w:t>
      </w:r>
      <w:r>
        <w:tab/>
        <w:t>21 days after the day on which the notice is given; or</w:t>
      </w:r>
    </w:p>
    <w:p>
      <w:pPr>
        <w:pStyle w:val="Indenta"/>
      </w:pPr>
      <w:r>
        <w:tab/>
        <w:t>(b)</w:t>
      </w:r>
      <w:r>
        <w:tab/>
        <w:t>any longer period after that day allowed by the chief executive officer.</w:t>
      </w:r>
    </w:p>
    <w:p>
      <w:pPr>
        <w:pStyle w:val="Subsection"/>
        <w:keepNext/>
      </w:pPr>
      <w:r>
        <w:lastRenderedPageBreak/>
        <w:tab/>
        <w:t>(3)</w:t>
      </w:r>
      <w:r>
        <w:tab/>
        <w:t xml:space="preserve">After the submission period, the chief executive officer must — </w:t>
      </w:r>
    </w:p>
    <w:p>
      <w:pPr>
        <w:pStyle w:val="Indenta"/>
      </w:pPr>
      <w:r>
        <w:tab/>
        <w:t>(a)</w:t>
      </w:r>
      <w:r>
        <w:tab/>
        <w:t>decide whether or not to take removal action against the custodial officer; and</w:t>
      </w:r>
    </w:p>
    <w:p>
      <w:pPr>
        <w:pStyle w:val="Indenta"/>
      </w:pPr>
      <w:r>
        <w:tab/>
        <w:t>(b)</w:t>
      </w:r>
      <w:r>
        <w:tab/>
        <w:t xml:space="preserve">give the custodial officer written notice of the decision (the </w:t>
      </w:r>
      <w:r>
        <w:rPr>
          <w:rStyle w:val="CharDefText"/>
        </w:rPr>
        <w:t>decision notice</w:t>
      </w:r>
      <w:r>
        <w:t>).</w:t>
      </w:r>
    </w:p>
    <w:p>
      <w:pPr>
        <w:pStyle w:val="Subsection"/>
      </w:pPr>
      <w:r>
        <w:tab/>
        <w:t>(4)</w:t>
      </w:r>
      <w:r>
        <w:tab/>
        <w:t xml:space="preserve">The chief executive officer must not decide to take removal action against the custodial officer unless the chief executive officer — </w:t>
      </w:r>
    </w:p>
    <w:p>
      <w:pPr>
        <w:pStyle w:val="Indenta"/>
      </w:pPr>
      <w:r>
        <w:tab/>
        <w:t>(a)</w:t>
      </w:r>
      <w:r>
        <w:tab/>
        <w:t>has taken into account any written submissions received from the custodial officer during the submission period; and</w:t>
      </w:r>
    </w:p>
    <w:p>
      <w:pPr>
        <w:pStyle w:val="Indenta"/>
      </w:pPr>
      <w:r>
        <w:tab/>
        <w:t>(b)</w:t>
      </w:r>
      <w:r>
        <w:tab/>
        <w:t>still does not have confidence in a custodial officer’s suitability to continue as a custodial officer.</w:t>
      </w:r>
    </w:p>
    <w:p>
      <w:pPr>
        <w:pStyle w:val="Subsection"/>
      </w:pPr>
      <w:r>
        <w:tab/>
        <w:t>(5)</w:t>
      </w:r>
      <w:r>
        <w:tab/>
        <w:t>If the chief executive officer decides to take removal action against the custodial officer, the decision notice must contain the reasons for the decision.</w:t>
      </w:r>
    </w:p>
    <w:p>
      <w:pPr>
        <w:pStyle w:val="Subsection"/>
      </w:pPr>
      <w:r>
        <w:tab/>
        <w:t>(6)</w:t>
      </w:r>
      <w:r>
        <w:tab/>
        <w:t xml:space="preserve">Except as provided in the regulations, the chief executive officer must, within 7 days after giving the decision notice — </w:t>
      </w:r>
    </w:p>
    <w:p>
      <w:pPr>
        <w:pStyle w:val="Indenta"/>
      </w:pPr>
      <w:r>
        <w:tab/>
        <w:t>(a)</w:t>
      </w:r>
      <w:r>
        <w:tab/>
        <w:t xml:space="preserve">give to the custodial officer a copy of any documents that were considered by the chief executive officer in making the decision; and </w:t>
      </w:r>
    </w:p>
    <w:p>
      <w:pPr>
        <w:pStyle w:val="Indenta"/>
      </w:pPr>
      <w:r>
        <w:tab/>
        <w:t>(b)</w:t>
      </w:r>
      <w:r>
        <w:tab/>
        <w:t>make available to the custodial officer for inspection any other materials that were considered by the chief executive officer in making the decision.</w:t>
      </w:r>
    </w:p>
    <w:p>
      <w:pPr>
        <w:pStyle w:val="Subsection"/>
      </w:pPr>
      <w:r>
        <w:tab/>
        <w:t>(7)</w:t>
      </w:r>
      <w:r>
        <w:tab/>
        <w:t>The removal action may be carried out when the notice is given or at any time after that.</w:t>
      </w:r>
    </w:p>
    <w:p>
      <w:pPr>
        <w:pStyle w:val="Footnotesection"/>
      </w:pPr>
      <w:r>
        <w:tab/>
        <w:t>[Section 11CD inserted: No. 29 of 2014 s. 16.]</w:t>
      </w:r>
    </w:p>
    <w:p>
      <w:pPr>
        <w:pStyle w:val="Heading5"/>
      </w:pPr>
      <w:bookmarkStart w:id="44" w:name="_Toc180147943"/>
      <w:r>
        <w:rPr>
          <w:rStyle w:val="CharSectno"/>
        </w:rPr>
        <w:t>11CE</w:t>
      </w:r>
      <w:r>
        <w:t>.</w:t>
      </w:r>
      <w:r>
        <w:tab/>
        <w:t>Maintenance payment</w:t>
      </w:r>
      <w:bookmarkEnd w:id="44"/>
    </w:p>
    <w:p>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w:t>
      </w:r>
      <w:r>
        <w:lastRenderedPageBreak/>
        <w:t xml:space="preserve">on which the custodial officer is removed (the </w:t>
      </w:r>
      <w:r>
        <w:rPr>
          <w:rStyle w:val="CharDefText"/>
        </w:rPr>
        <w:t>maintenance period</w:t>
      </w:r>
      <w:r>
        <w:t>).</w:t>
      </w:r>
    </w:p>
    <w:p>
      <w:pPr>
        <w:pStyle w:val="Subsection"/>
      </w:pPr>
      <w:r>
        <w:tab/>
        <w:t>(2)</w:t>
      </w:r>
      <w:r>
        <w:tab/>
        <w:t>The Minister may, in exceptional circumstances, direct that a maintenance payment must be paid to the custodial officer for a specified period after the maintenance period.</w:t>
      </w:r>
    </w:p>
    <w:p>
      <w:pPr>
        <w:pStyle w:val="Subsection"/>
      </w:pPr>
      <w:r>
        <w:tab/>
        <w:t>(3)</w:t>
      </w:r>
      <w:r>
        <w:tab/>
        <w:t>For the purpose of subsection (2), the specified period is a period not exceeding 6 months specified by the Minister but in any event ending on the day any appeal is determined by the WAIRC.</w:t>
      </w:r>
    </w:p>
    <w:p>
      <w:pPr>
        <w:pStyle w:val="Subsection"/>
      </w:pPr>
      <w:r>
        <w:tab/>
        <w:t>(4)</w:t>
      </w:r>
      <w:r>
        <w:tab/>
        <w:t>Any maintenance payment must be determined on the basis of the salary of the custodial officer at the time of the removal.</w:t>
      </w:r>
    </w:p>
    <w:p>
      <w:pPr>
        <w:pStyle w:val="Footnotesection"/>
      </w:pPr>
      <w:r>
        <w:tab/>
        <w:t>[Section 11CE inserted: No. 29 of 2014 s. 16.]</w:t>
      </w:r>
    </w:p>
    <w:p>
      <w:pPr>
        <w:pStyle w:val="Heading5"/>
      </w:pPr>
      <w:bookmarkStart w:id="45" w:name="_Toc180147944"/>
      <w:r>
        <w:rPr>
          <w:rStyle w:val="CharSectno"/>
        </w:rPr>
        <w:t>11CF</w:t>
      </w:r>
      <w:r>
        <w:t>.</w:t>
      </w:r>
      <w:r>
        <w:tab/>
        <w:t>Withdrawal of removal action and revocation of removal</w:t>
      </w:r>
      <w:bookmarkEnd w:id="45"/>
    </w:p>
    <w:p>
      <w:pPr>
        <w:pStyle w:val="Subsection"/>
      </w:pPr>
      <w:r>
        <w:tab/>
        <w:t>(1)</w:t>
      </w:r>
      <w:r>
        <w:tab/>
        <w:t>If a custodial officer is removed as a result of removal action, the chief executive officer may, by notice in writing to the custodial officer, revoke the removal.</w:t>
      </w:r>
    </w:p>
    <w:p>
      <w:pPr>
        <w:pStyle w:val="Subsection"/>
      </w:pPr>
      <w:r>
        <w:tab/>
        <w:t>(2)</w:t>
      </w:r>
      <w:r>
        <w:tab/>
        <w:t>Subsection (1) applies even if an appeal has been instituted against the removal.</w:t>
      </w:r>
    </w:p>
    <w:p>
      <w:pPr>
        <w:pStyle w:val="Subsection"/>
      </w:pPr>
      <w:r>
        <w:tab/>
        <w:t>(3)</w:t>
      </w:r>
      <w:r>
        <w:tab/>
        <w:t>Despite any other enactment, if the removal is revoked under subsection (1), the removal is to be taken to be of no effect and to have never had any effect.</w:t>
      </w:r>
    </w:p>
    <w:p>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pPr>
        <w:pStyle w:val="Footnotesection"/>
      </w:pPr>
      <w:r>
        <w:tab/>
        <w:t>[Section 11CF inserted: No. 29 of 2014 s. 16.]</w:t>
      </w:r>
    </w:p>
    <w:p>
      <w:pPr>
        <w:pStyle w:val="Heading5"/>
      </w:pPr>
      <w:bookmarkStart w:id="46" w:name="_Toc180147945"/>
      <w:r>
        <w:rPr>
          <w:rStyle w:val="CharSectno"/>
        </w:rPr>
        <w:t>11CG</w:t>
      </w:r>
      <w:r>
        <w:t>.</w:t>
      </w:r>
      <w:r>
        <w:tab/>
        <w:t>Resignation of custodial officer who has been removed</w:t>
      </w:r>
      <w:bookmarkEnd w:id="46"/>
    </w:p>
    <w:p>
      <w:pPr>
        <w:pStyle w:val="Subsection"/>
      </w:pPr>
      <w:r>
        <w:tab/>
        <w:t>(1)</w:t>
      </w:r>
      <w:r>
        <w:tab/>
        <w:t>Even if a custodial officer is removed as a result of removal action, the custodial officer may resign at any time before the end of the maintenance period.</w:t>
      </w:r>
    </w:p>
    <w:p>
      <w:pPr>
        <w:pStyle w:val="Subsection"/>
      </w:pPr>
      <w:r>
        <w:lastRenderedPageBreak/>
        <w:tab/>
        <w:t>(2)</w:t>
      </w:r>
      <w:r>
        <w:tab/>
        <w:t>Subsection (1) does not apply if an appeal has been instituted against the removal.</w:t>
      </w:r>
    </w:p>
    <w:p>
      <w:pPr>
        <w:pStyle w:val="Subsection"/>
      </w:pPr>
      <w:r>
        <w:tab/>
        <w:t>(3)</w:t>
      </w:r>
      <w:r>
        <w:tab/>
        <w:t>A resignation under subsection (1) takes effect at the end of the maintenance period.</w:t>
      </w:r>
    </w:p>
    <w:p>
      <w:pPr>
        <w:pStyle w:val="Subsection"/>
      </w:pPr>
      <w:r>
        <w:tab/>
        <w:t>(4)</w:t>
      </w:r>
      <w:r>
        <w:tab/>
        <w:t>Despite any other enactment, if a custodial officer resigns under subsection (1), the removal of the custodial officer is to be taken to be of no effect and to have never had any effect.</w:t>
      </w:r>
    </w:p>
    <w:p>
      <w:pPr>
        <w:pStyle w:val="Footnotesection"/>
      </w:pPr>
      <w:r>
        <w:tab/>
        <w:t>[Section 11CG inserted: No. 29 of 2014 s. 16.]</w:t>
      </w:r>
    </w:p>
    <w:p>
      <w:pPr>
        <w:pStyle w:val="Heading4"/>
      </w:pPr>
      <w:bookmarkStart w:id="47" w:name="_Toc180138635"/>
      <w:bookmarkStart w:id="48" w:name="_Toc180138970"/>
      <w:bookmarkStart w:id="49" w:name="_Toc180147946"/>
      <w:r>
        <w:t>Subdivision 3 — Appeal against removal of custodial officer</w:t>
      </w:r>
      <w:bookmarkEnd w:id="47"/>
      <w:bookmarkEnd w:id="48"/>
      <w:bookmarkEnd w:id="49"/>
    </w:p>
    <w:p>
      <w:pPr>
        <w:pStyle w:val="Footnoteheading"/>
      </w:pPr>
      <w:r>
        <w:tab/>
        <w:t>[Heading inserted: No. 29 of 2014 s. 16.]</w:t>
      </w:r>
    </w:p>
    <w:p>
      <w:pPr>
        <w:pStyle w:val="Heading5"/>
      </w:pPr>
      <w:bookmarkStart w:id="50" w:name="_Toc180147947"/>
      <w:r>
        <w:rPr>
          <w:rStyle w:val="CharSectno"/>
        </w:rPr>
        <w:t>11CH</w:t>
      </w:r>
      <w:r>
        <w:t>.</w:t>
      </w:r>
      <w:r>
        <w:tab/>
        <w:t>Appeal right</w:t>
      </w:r>
      <w:bookmarkEnd w:id="50"/>
    </w:p>
    <w:p>
      <w:pPr>
        <w:pStyle w:val="Subsection"/>
      </w:pPr>
      <w:r>
        <w:tab/>
        <w:t>(1)</w:t>
      </w:r>
      <w:r>
        <w:tab/>
        <w:t>If a custodial officer is removed as a result of removal action, the custodial officer may appeal to the WAIRC against the removal decision on the ground that it was harsh, oppressive or unfair.</w:t>
      </w:r>
    </w:p>
    <w:p>
      <w:pPr>
        <w:pStyle w:val="Subsection"/>
      </w:pPr>
      <w:r>
        <w:tab/>
        <w:t>(2)</w:t>
      </w:r>
      <w:r>
        <w:tab/>
        <w:t xml:space="preserve">The custodial officer may institute the appeal by a notice to the chief executive officer stating — </w:t>
      </w:r>
    </w:p>
    <w:p>
      <w:pPr>
        <w:pStyle w:val="Indenta"/>
      </w:pPr>
      <w:r>
        <w:tab/>
        <w:t>(a)</w:t>
      </w:r>
      <w:r>
        <w:tab/>
        <w:t>the reasons for the removal decision being harsh, oppressive or unfair; and</w:t>
      </w:r>
    </w:p>
    <w:p>
      <w:pPr>
        <w:pStyle w:val="Indenta"/>
      </w:pPr>
      <w:r>
        <w:tab/>
        <w:t>(b)</w:t>
      </w:r>
      <w:r>
        <w:tab/>
        <w:t>the nature of the relief sought.</w:t>
      </w:r>
    </w:p>
    <w:p>
      <w:pPr>
        <w:pStyle w:val="Subsection"/>
      </w:pPr>
      <w:r>
        <w:tab/>
        <w:t>(3)</w:t>
      </w:r>
      <w:r>
        <w:tab/>
        <w:t xml:space="preserve">The appeal cannot be instituted — </w:t>
      </w:r>
    </w:p>
    <w:p>
      <w:pPr>
        <w:pStyle w:val="Indenta"/>
      </w:pPr>
      <w:r>
        <w:tab/>
        <w:t>(a)</w:t>
      </w:r>
      <w:r>
        <w:tab/>
        <w:t>after the maintenance period; or</w:t>
      </w:r>
    </w:p>
    <w:p>
      <w:pPr>
        <w:pStyle w:val="Indenta"/>
      </w:pPr>
      <w:r>
        <w:tab/>
        <w:t>(b)</w:t>
      </w:r>
      <w:r>
        <w:tab/>
        <w:t>if the custodial officer has resigned under section 11CG(1).</w:t>
      </w:r>
    </w:p>
    <w:p>
      <w:pPr>
        <w:pStyle w:val="Subsection"/>
      </w:pPr>
      <w:r>
        <w:tab/>
        <w:t>(4)</w:t>
      </w:r>
      <w:r>
        <w:tab/>
        <w:t xml:space="preserve">For the purposes of proceedings relating to the appeal, the WAIRC is to be constituted by not less than 3 industrial Commissioners, at least one of whom must be — </w:t>
      </w:r>
    </w:p>
    <w:p>
      <w:pPr>
        <w:pStyle w:val="Indenta"/>
      </w:pPr>
      <w:r>
        <w:tab/>
        <w:t>(a)</w:t>
      </w:r>
      <w:r>
        <w:tab/>
        <w:t xml:space="preserve">the Chief Commissioner; or </w:t>
      </w:r>
    </w:p>
    <w:p>
      <w:pPr>
        <w:pStyle w:val="Indenta"/>
      </w:pPr>
      <w:r>
        <w:lastRenderedPageBreak/>
        <w:tab/>
        <w:t>(b)</w:t>
      </w:r>
      <w:r>
        <w:tab/>
        <w:t xml:space="preserve">the Senior Commissioner within the meaning of that term in the </w:t>
      </w:r>
      <w:r>
        <w:rPr>
          <w:i/>
        </w:rPr>
        <w:t>Industrial Relations Act 1979</w:t>
      </w:r>
      <w:r>
        <w:t>.</w:t>
      </w:r>
    </w:p>
    <w:p>
      <w:pPr>
        <w:pStyle w:val="Subsection"/>
      </w:pPr>
      <w:r>
        <w:tab/>
        <w:t>(5)</w:t>
      </w:r>
      <w:r>
        <w:tab/>
        <w:t>The only parties to the appeal are the custodial officer and the chief executive officer.</w:t>
      </w:r>
    </w:p>
    <w:p>
      <w:pPr>
        <w:pStyle w:val="Subsection"/>
      </w:pPr>
      <w:r>
        <w:tab/>
        <w:t>(6)</w:t>
      </w:r>
      <w:r>
        <w:tab/>
        <w:t>The custodial officer does not have any right of appeal against the removal decision other than under this section.</w:t>
      </w:r>
    </w:p>
    <w:p>
      <w:pPr>
        <w:pStyle w:val="Footnotesection"/>
      </w:pPr>
      <w:r>
        <w:tab/>
        <w:t>[Section 11CH inserted: No. 29 of 2014 s. 16.]</w:t>
      </w:r>
    </w:p>
    <w:p>
      <w:pPr>
        <w:pStyle w:val="Heading5"/>
      </w:pPr>
      <w:bookmarkStart w:id="51" w:name="_Toc180147948"/>
      <w:r>
        <w:rPr>
          <w:rStyle w:val="CharSectno"/>
        </w:rPr>
        <w:t>11CI</w:t>
      </w:r>
      <w:r>
        <w:t>.</w:t>
      </w:r>
      <w:r>
        <w:tab/>
        <w:t>Proceedings on appeal</w:t>
      </w:r>
      <w:bookmarkEnd w:id="51"/>
    </w:p>
    <w:p>
      <w:pPr>
        <w:pStyle w:val="Subsection"/>
      </w:pPr>
      <w:r>
        <w:tab/>
        <w:t>(1)</w:t>
      </w:r>
      <w:r>
        <w:tab/>
        <w:t xml:space="preserve">On the hearing of an appeal, the WAIRC must proceed in the following manner — </w:t>
      </w:r>
    </w:p>
    <w:p>
      <w:pPr>
        <w:pStyle w:val="Indenta"/>
      </w:pPr>
      <w:r>
        <w:tab/>
        <w:t>(a)</w:t>
      </w:r>
      <w:r>
        <w:tab/>
        <w:t>first, it must consider the chief executive officer’s reasons for the removal decision;</w:t>
      </w:r>
    </w:p>
    <w:p>
      <w:pPr>
        <w:pStyle w:val="Indenta"/>
      </w:pPr>
      <w:r>
        <w:tab/>
        <w:t>(b)</w:t>
      </w:r>
      <w:r>
        <w:tab/>
        <w:t>second, it must consider the case presented by the appellant as to why the removal decision was harsh, oppressive or unfair;</w:t>
      </w:r>
    </w:p>
    <w:p>
      <w:pPr>
        <w:pStyle w:val="Indenta"/>
      </w:pPr>
      <w:r>
        <w:tab/>
        <w:t>(c)</w:t>
      </w:r>
      <w:r>
        <w:tab/>
        <w:t>third, it must consider the case presented by the chief executive officer in answer to the appellant’s case.</w:t>
      </w:r>
    </w:p>
    <w:p>
      <w:pPr>
        <w:pStyle w:val="Subsection"/>
      </w:pPr>
      <w:r>
        <w:tab/>
        <w:t>(2)</w:t>
      </w:r>
      <w:r>
        <w:tab/>
        <w:t>The appellant has at all times the burden of establishing that the removal decision was harsh, oppressive or unfair.</w:t>
      </w:r>
    </w:p>
    <w:p>
      <w:pPr>
        <w:pStyle w:val="Subsection"/>
      </w:pPr>
      <w:r>
        <w:tab/>
        <w:t>(3)</w:t>
      </w:r>
      <w:r>
        <w:tab/>
        <w:t>Subsection (2) has effect despite any law or practice to the contrary.</w:t>
      </w:r>
    </w:p>
    <w:p>
      <w:pPr>
        <w:pStyle w:val="Subsection"/>
      </w:pPr>
      <w:r>
        <w:tab/>
        <w:t>(4)</w:t>
      </w:r>
      <w:r>
        <w:tab/>
        <w:t xml:space="preserve">Without limiting the matters to which the WAIRC is otherwise required or permitted to have regard in determining the appeal, it must have regard to — </w:t>
      </w:r>
    </w:p>
    <w:p>
      <w:pPr>
        <w:pStyle w:val="Indenta"/>
      </w:pPr>
      <w:r>
        <w:tab/>
        <w:t>(a)</w:t>
      </w:r>
      <w:r>
        <w:tab/>
        <w:t>the interests of the appellant; and</w:t>
      </w:r>
    </w:p>
    <w:p>
      <w:pPr>
        <w:pStyle w:val="Indenta"/>
      </w:pPr>
      <w:r>
        <w:tab/>
        <w:t>(b)</w:t>
      </w:r>
      <w:r>
        <w:tab/>
        <w:t xml:space="preserve">the public interest, which is to be taken to include — </w:t>
      </w:r>
    </w:p>
    <w:p>
      <w:pPr>
        <w:pStyle w:val="Indenti"/>
      </w:pPr>
      <w:r>
        <w:tab/>
        <w:t>(i)</w:t>
      </w:r>
      <w:r>
        <w:tab/>
        <w:t>the importance of maintaining public confidence in the integrity, honesty, conduct and standard of performance of custodial officers; and</w:t>
      </w:r>
    </w:p>
    <w:p>
      <w:pPr>
        <w:pStyle w:val="Indenti"/>
      </w:pPr>
      <w:r>
        <w:lastRenderedPageBreak/>
        <w:tab/>
        <w:t>(ii)</w:t>
      </w:r>
      <w:r>
        <w:tab/>
        <w:t>the special nature of the relationship between the chief executive officer and custodial officers.</w:t>
      </w:r>
    </w:p>
    <w:p>
      <w:pPr>
        <w:pStyle w:val="Footnotesection"/>
      </w:pPr>
      <w:r>
        <w:tab/>
        <w:t>[Section 11CI inserted: No. 29 of 2014 s. 16.]</w:t>
      </w:r>
    </w:p>
    <w:p>
      <w:pPr>
        <w:pStyle w:val="Heading5"/>
      </w:pPr>
      <w:bookmarkStart w:id="52" w:name="_Toc180147949"/>
      <w:r>
        <w:rPr>
          <w:rStyle w:val="CharSectno"/>
        </w:rPr>
        <w:t>11CJ</w:t>
      </w:r>
      <w:r>
        <w:t>.</w:t>
      </w:r>
      <w:r>
        <w:tab/>
        <w:t>Leave to tender new evidence on appeal</w:t>
      </w:r>
      <w:bookmarkEnd w:id="52"/>
    </w:p>
    <w:p>
      <w:pPr>
        <w:pStyle w:val="Subsection"/>
      </w:pPr>
      <w:r>
        <w:tab/>
        <w:t>(1)</w:t>
      </w:r>
      <w:r>
        <w:tab/>
        <w:t>New evidence cannot be tendered to the WAIRC during a hearing of an appeal unless the WAIRC grants leave under subsection (2) or (3).</w:t>
      </w:r>
    </w:p>
    <w:p>
      <w:pPr>
        <w:pStyle w:val="Subsection"/>
      </w:pPr>
      <w:r>
        <w:tab/>
        <w:t>(2)</w:t>
      </w:r>
      <w:r>
        <w:tab/>
        <w:t>The WAIRC may grant the chief executive officer leave to tender new evidence if —</w:t>
      </w:r>
    </w:p>
    <w:p>
      <w:pPr>
        <w:pStyle w:val="Indenta"/>
      </w:pPr>
      <w:r>
        <w:tab/>
        <w:t>(a)</w:t>
      </w:r>
      <w:r>
        <w:tab/>
        <w:t>the appellant consents; or</w:t>
      </w:r>
    </w:p>
    <w:p>
      <w:pPr>
        <w:pStyle w:val="Indenta"/>
      </w:pPr>
      <w:r>
        <w:tab/>
        <w:t>(b)</w:t>
      </w:r>
      <w:r>
        <w:tab/>
        <w:t>it is satisfied that it is in the interests of justice to do so.</w:t>
      </w:r>
    </w:p>
    <w:p>
      <w:pPr>
        <w:pStyle w:val="Subsection"/>
      </w:pPr>
      <w:r>
        <w:tab/>
        <w:t>(3)</w:t>
      </w:r>
      <w:r>
        <w:tab/>
        <w:t xml:space="preserve">The WAIRC may grant the appellant leave to tender new evidence if — </w:t>
      </w:r>
    </w:p>
    <w:p>
      <w:pPr>
        <w:pStyle w:val="Indenta"/>
      </w:pPr>
      <w:r>
        <w:tab/>
        <w:t>(a)</w:t>
      </w:r>
      <w:r>
        <w:tab/>
        <w:t>the chief executive officer consents; or</w:t>
      </w:r>
    </w:p>
    <w:p>
      <w:pPr>
        <w:pStyle w:val="Indenta"/>
      </w:pPr>
      <w:r>
        <w:tab/>
        <w:t>(b)</w:t>
      </w:r>
      <w:r>
        <w:tab/>
        <w:t xml:space="preserve">the WAIRC is satisfied that — </w:t>
      </w:r>
    </w:p>
    <w:p>
      <w:pPr>
        <w:pStyle w:val="Indenti"/>
      </w:pPr>
      <w:r>
        <w:tab/>
        <w:t>(i)</w:t>
      </w:r>
      <w:r>
        <w:tab/>
        <w:t>the appellant is likely to be able to use the new evidence to show that the chief executive officer has acted upon wrong or mistaken information; or</w:t>
      </w:r>
    </w:p>
    <w:p>
      <w:pPr>
        <w:pStyle w:val="Indenti"/>
      </w:pPr>
      <w:r>
        <w:tab/>
        <w:t>(ii)</w:t>
      </w:r>
      <w:r>
        <w:tab/>
        <w:t>the new evidence might materially have affected the chief executive officer’s removal decision; or</w:t>
      </w:r>
    </w:p>
    <w:p>
      <w:pPr>
        <w:pStyle w:val="Indenti"/>
      </w:pPr>
      <w:r>
        <w:tab/>
        <w:t>(iii)</w:t>
      </w:r>
      <w:r>
        <w:tab/>
        <w:t>it is in the interests of justice to do so.</w:t>
      </w:r>
    </w:p>
    <w:p>
      <w:pPr>
        <w:pStyle w:val="Subsection"/>
      </w:pPr>
      <w:r>
        <w:tab/>
        <w:t>(4)</w:t>
      </w:r>
      <w:r>
        <w:tab/>
        <w:t xml:space="preserve">In the exercise of its discretion under subsection (3), the WAIRC must have regard to — </w:t>
      </w:r>
    </w:p>
    <w:p>
      <w:pPr>
        <w:pStyle w:val="Indenta"/>
      </w:pPr>
      <w:r>
        <w:tab/>
        <w:t>(a)</w:t>
      </w:r>
      <w:r>
        <w:tab/>
        <w:t>whether or not the appellant was aware of the substance of the new evidence before the appellant’s removal; and</w:t>
      </w:r>
    </w:p>
    <w:p>
      <w:pPr>
        <w:pStyle w:val="Indenta"/>
      </w:pPr>
      <w:r>
        <w:tab/>
        <w:t>(b)</w:t>
      </w:r>
      <w:r>
        <w:tab/>
        <w:t>whether or not the substance of the new evidence was contained in a document to which the appellant had reasonable access before the appellant’s removal.</w:t>
      </w:r>
    </w:p>
    <w:p>
      <w:pPr>
        <w:pStyle w:val="Footnotesection"/>
      </w:pPr>
      <w:r>
        <w:tab/>
        <w:t>[Section 11CJ inserted: No. 29 of 2014 s. 16.]</w:t>
      </w:r>
    </w:p>
    <w:p>
      <w:pPr>
        <w:pStyle w:val="Heading5"/>
        <w:keepNext w:val="0"/>
        <w:keepLines w:val="0"/>
        <w:pageBreakBefore/>
        <w:spacing w:before="0"/>
      </w:pPr>
      <w:bookmarkStart w:id="53" w:name="_Toc180147950"/>
      <w:r>
        <w:rPr>
          <w:rStyle w:val="CharSectno"/>
        </w:rPr>
        <w:lastRenderedPageBreak/>
        <w:t>11CK</w:t>
      </w:r>
      <w:r>
        <w:t>.</w:t>
      </w:r>
      <w:r>
        <w:tab/>
        <w:t>Opportunity to consider new evidence</w:t>
      </w:r>
      <w:bookmarkEnd w:id="53"/>
    </w:p>
    <w:p>
      <w:pPr>
        <w:pStyle w:val="Subsection"/>
      </w:pPr>
      <w:r>
        <w:tab/>
        <w:t>(1)</w:t>
      </w:r>
      <w:r>
        <w:tab/>
        <w:t xml:space="preserve">If the chief executive officer is given leave to tender new evidence under section 11CJ(2) — </w:t>
      </w:r>
    </w:p>
    <w:p>
      <w:pPr>
        <w:pStyle w:val="Indenta"/>
      </w:pPr>
      <w:r>
        <w:tab/>
        <w:t>(a)</w:t>
      </w:r>
      <w:r>
        <w:tab/>
        <w:t xml:space="preserve">the WAIRC must give the appellant a reasonable opportunity to consider the new evidence; and </w:t>
      </w:r>
    </w:p>
    <w:p>
      <w:pPr>
        <w:pStyle w:val="Indenta"/>
      </w:pPr>
      <w:r>
        <w:tab/>
        <w:t>(b)</w:t>
      </w:r>
      <w:r>
        <w:tab/>
        <w:t>the appellant may, without the leave of the WAIRC, tender new evidence under this section in response to the new evidence tendered by the chief executive officer.</w:t>
      </w:r>
    </w:p>
    <w:p>
      <w:pPr>
        <w:pStyle w:val="Subsection"/>
      </w:pPr>
      <w:r>
        <w:tab/>
        <w:t>(2)</w:t>
      </w:r>
      <w:r>
        <w:tab/>
        <w:t>If the appellant is given leave to tender new evidence under section 11CJ(3), the WAIRC must give the chief executive officer a reasonable opportunity to consider the new evidence.</w:t>
      </w:r>
    </w:p>
    <w:p>
      <w:pPr>
        <w:pStyle w:val="Footnotesection"/>
      </w:pPr>
      <w:r>
        <w:tab/>
        <w:t>[Section 11CK inserted: No. 29 of 2014 s. 16.]</w:t>
      </w:r>
    </w:p>
    <w:p>
      <w:pPr>
        <w:pStyle w:val="Heading5"/>
      </w:pPr>
      <w:bookmarkStart w:id="54" w:name="_Toc180147951"/>
      <w:r>
        <w:rPr>
          <w:rStyle w:val="CharSectno"/>
        </w:rPr>
        <w:t>11CL</w:t>
      </w:r>
      <w:r>
        <w:t>.</w:t>
      </w:r>
      <w:r>
        <w:tab/>
        <w:t>Revocation of removal after consideration of new evidence</w:t>
      </w:r>
      <w:bookmarkEnd w:id="54"/>
    </w:p>
    <w:p>
      <w:pPr>
        <w:pStyle w:val="Subsection"/>
      </w:pPr>
      <w:r>
        <w:tab/>
        <w:t>(1)</w:t>
      </w:r>
      <w:r>
        <w:tab/>
        <w:t xml:space="preserve">If, having considered any new evidence, the chief executive officer revokes the removal under section 11CF(1) — </w:t>
      </w:r>
    </w:p>
    <w:p>
      <w:pPr>
        <w:pStyle w:val="Indenta"/>
      </w:pPr>
      <w:r>
        <w:tab/>
        <w:t>(a)</w:t>
      </w:r>
      <w:r>
        <w:tab/>
        <w:t xml:space="preserve">the chief executive officer must give the WAIRC notice of the revocation; and </w:t>
      </w:r>
    </w:p>
    <w:p>
      <w:pPr>
        <w:pStyle w:val="Indenta"/>
      </w:pPr>
      <w:r>
        <w:tab/>
        <w:t>(b)</w:t>
      </w:r>
      <w:r>
        <w:tab/>
        <w:t>the hearing of the appeal is discontinued when the WAIRC receives the notice.</w:t>
      </w:r>
    </w:p>
    <w:p>
      <w:pPr>
        <w:pStyle w:val="Subsection"/>
      </w:pPr>
      <w:r>
        <w:tab/>
        <w:t>(2)</w:t>
      </w:r>
      <w:r>
        <w:tab/>
        <w:t xml:space="preserve">If the chief executive officer does not give notice under subsection (1), the hearing of the appeal must continue but the chief executive officer may — </w:t>
      </w:r>
    </w:p>
    <w:p>
      <w:pPr>
        <w:pStyle w:val="Indenta"/>
      </w:pPr>
      <w:r>
        <w:tab/>
        <w:t>(a)</w:t>
      </w:r>
      <w:r>
        <w:tab/>
        <w:t>reformulate his or her reasons for not having confidence in the appellant’s suitability to continue as a custodial officer; and</w:t>
      </w:r>
    </w:p>
    <w:p>
      <w:pPr>
        <w:pStyle w:val="Indenta"/>
      </w:pPr>
      <w:r>
        <w:tab/>
        <w:t>(b)</w:t>
      </w:r>
      <w:r>
        <w:tab/>
        <w:t>without the leave of the WAIRC, tender new evidence under this section in response to the new evidence tendered by the appellant.</w:t>
      </w:r>
    </w:p>
    <w:p>
      <w:pPr>
        <w:pStyle w:val="Subsection"/>
      </w:pPr>
      <w:r>
        <w:tab/>
        <w:t>(3)</w:t>
      </w:r>
      <w:r>
        <w:tab/>
        <w:t>Reasons reformulated under subsection (2)(a) may differ from, or be additional to, the reasons given to the appellant in the decision notice.</w:t>
      </w:r>
    </w:p>
    <w:p>
      <w:pPr>
        <w:pStyle w:val="Subsection"/>
      </w:pPr>
      <w:r>
        <w:lastRenderedPageBreak/>
        <w:tab/>
        <w:t>(4)</w:t>
      </w:r>
      <w:r>
        <w:tab/>
        <w:t xml:space="preserve">If the chief executive officer reformulates reasons under subsection (2)(a) — </w:t>
      </w:r>
    </w:p>
    <w:p>
      <w:pPr>
        <w:pStyle w:val="Indenta"/>
      </w:pPr>
      <w:r>
        <w:tab/>
        <w:t>(a)</w:t>
      </w:r>
      <w:r>
        <w:tab/>
        <w:t>the chief executive officer must give the WAIRC and the appellant notice in writing of the reasons before the resumption of the hearing of the appeal; and</w:t>
      </w:r>
    </w:p>
    <w:p>
      <w:pPr>
        <w:pStyle w:val="Indenta"/>
      </w:pPr>
      <w:r>
        <w:tab/>
        <w:t>(b)</w:t>
      </w:r>
      <w:r>
        <w:tab/>
        <w:t>the WAIRC must consider the reasons as if they had been reasons given to the appellant in the decision notice.</w:t>
      </w:r>
    </w:p>
    <w:p>
      <w:pPr>
        <w:pStyle w:val="Footnotesection"/>
      </w:pPr>
      <w:r>
        <w:tab/>
        <w:t>[Section 11CL inserted: No. 29 of 2014 s. 16.]</w:t>
      </w:r>
    </w:p>
    <w:p>
      <w:pPr>
        <w:pStyle w:val="Heading5"/>
      </w:pPr>
      <w:bookmarkStart w:id="55" w:name="_Toc180147952"/>
      <w:r>
        <w:rPr>
          <w:rStyle w:val="CharSectno"/>
        </w:rPr>
        <w:t>11CM</w:t>
      </w:r>
      <w:r>
        <w:t>.</w:t>
      </w:r>
      <w:r>
        <w:tab/>
        <w:t xml:space="preserve">Application of </w:t>
      </w:r>
      <w:r>
        <w:rPr>
          <w:i/>
        </w:rPr>
        <w:t>Industrial Relations Act 1979</w:t>
      </w:r>
      <w:r>
        <w:t xml:space="preserve"> to appeals</w:t>
      </w:r>
      <w:bookmarkEnd w:id="55"/>
    </w:p>
    <w:p>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pPr>
        <w:pStyle w:val="Indenta"/>
      </w:pPr>
      <w:r>
        <w:tab/>
        <w:t>(a)</w:t>
      </w:r>
      <w:r>
        <w:tab/>
        <w:t>any specific modifications set out in the Table; and</w:t>
      </w:r>
    </w:p>
    <w:p>
      <w:pPr>
        <w:pStyle w:val="Indenta"/>
      </w:pPr>
      <w:r>
        <w:tab/>
        <w:t>(b)</w:t>
      </w:r>
      <w:r>
        <w:tab/>
        <w:t>all other necessary modifications.</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trPr>
          <w:cantSplit/>
        </w:trPr>
        <w:tc>
          <w:tcPr>
            <w:tcW w:w="1843" w:type="dxa"/>
          </w:tcPr>
          <w:p>
            <w:pPr>
              <w:pStyle w:val="TableNAm"/>
            </w:pPr>
            <w:r>
              <w:t>s. 26(1)(a) and (b)</w:t>
            </w:r>
          </w:p>
        </w:tc>
        <w:tc>
          <w:tcPr>
            <w:tcW w:w="3685" w:type="dxa"/>
            <w:gridSpan w:val="2"/>
          </w:tcPr>
          <w:p>
            <w:pPr>
              <w:pStyle w:val="TableNAm"/>
            </w:pPr>
          </w:p>
        </w:tc>
      </w:tr>
      <w:tr>
        <w:trPr>
          <w:cantSplit/>
        </w:trPr>
        <w:tc>
          <w:tcPr>
            <w:tcW w:w="1843" w:type="dxa"/>
          </w:tcPr>
          <w:p>
            <w:pPr>
              <w:pStyle w:val="TableNAm"/>
            </w:pPr>
            <w:r>
              <w:t>s. 26(3)</w:t>
            </w:r>
          </w:p>
        </w:tc>
        <w:tc>
          <w:tcPr>
            <w:tcW w:w="3685" w:type="dxa"/>
            <w:gridSpan w:val="2"/>
          </w:tcPr>
          <w:p>
            <w:pPr>
              <w:pStyle w:val="TableNAm"/>
            </w:pPr>
          </w:p>
        </w:tc>
      </w:tr>
      <w:tr>
        <w:trPr>
          <w:cantSplit/>
        </w:trPr>
        <w:tc>
          <w:tcPr>
            <w:tcW w:w="1843" w:type="dxa"/>
          </w:tcPr>
          <w:p>
            <w:pPr>
              <w:pStyle w:val="TableNAm"/>
            </w:pPr>
            <w:r>
              <w:t>s. 27(1)(b), (c), (d), (e), (f), (h), (ha), (hb), (l), (m), (n), (o) and (v)</w:t>
            </w:r>
          </w:p>
        </w:tc>
        <w:tc>
          <w:tcPr>
            <w:tcW w:w="3685" w:type="dxa"/>
            <w:gridSpan w:val="2"/>
          </w:tcPr>
          <w:p>
            <w:pPr>
              <w:pStyle w:val="TableNAm"/>
            </w:pPr>
          </w:p>
        </w:tc>
      </w:tr>
      <w:tr>
        <w:trPr>
          <w:cantSplit/>
        </w:trPr>
        <w:tc>
          <w:tcPr>
            <w:tcW w:w="1843" w:type="dxa"/>
          </w:tcPr>
          <w:p>
            <w:pPr>
              <w:pStyle w:val="TableNAm"/>
            </w:pPr>
            <w:r>
              <w:t>s. 27(1a)</w:t>
            </w:r>
          </w:p>
        </w:tc>
        <w:tc>
          <w:tcPr>
            <w:tcW w:w="3685" w:type="dxa"/>
            <w:gridSpan w:val="2"/>
          </w:tcPr>
          <w:p>
            <w:pPr>
              <w:pStyle w:val="TableNAm"/>
            </w:pPr>
          </w:p>
        </w:tc>
      </w:tr>
      <w:tr>
        <w:trPr>
          <w:cantSplit/>
        </w:trPr>
        <w:tc>
          <w:tcPr>
            <w:tcW w:w="1843" w:type="dxa"/>
            <w:tcBorders>
              <w:bottom w:val="single" w:sz="4" w:space="0" w:color="auto"/>
            </w:tcBorders>
          </w:tcPr>
          <w:p>
            <w:pPr>
              <w:pStyle w:val="TableNAm"/>
            </w:pPr>
            <w:r>
              <w:t>s. 28</w:t>
            </w:r>
          </w:p>
        </w:tc>
        <w:tc>
          <w:tcPr>
            <w:tcW w:w="3685" w:type="dxa"/>
            <w:gridSpan w:val="2"/>
            <w:tcBorders>
              <w:bottom w:val="single" w:sz="4" w:space="0" w:color="auto"/>
            </w:tcBorders>
          </w:tcPr>
          <w:p>
            <w:pPr>
              <w:pStyle w:val="TableNAm"/>
            </w:pPr>
            <w:r>
              <w:t>The section applies only in relation to powers conferred by section 27 listed in this Table.</w:t>
            </w:r>
          </w:p>
        </w:tc>
      </w:tr>
      <w:tr>
        <w:trPr>
          <w:cantSplit/>
        </w:trPr>
        <w:tc>
          <w:tcPr>
            <w:tcW w:w="1843" w:type="dxa"/>
            <w:tcBorders>
              <w:bottom w:val="nil"/>
            </w:tcBorders>
          </w:tcPr>
          <w:p>
            <w:pPr>
              <w:pStyle w:val="TableNAm"/>
            </w:pPr>
            <w:r>
              <w:lastRenderedPageBreak/>
              <w:t>s. 31(1)</w:t>
            </w:r>
          </w:p>
        </w:tc>
        <w:tc>
          <w:tcPr>
            <w:tcW w:w="3685" w:type="dxa"/>
            <w:gridSpan w:val="2"/>
            <w:tcBorders>
              <w:bottom w:val="nil"/>
            </w:tcBorders>
          </w:tcPr>
          <w:p>
            <w:pPr>
              <w:pStyle w:val="TableNAm"/>
            </w:pPr>
            <w:r>
              <w:t xml:space="preserve">Paragraphs (b) and (c) do not apply but the subsection is to be read as if it contained the following paragraphs — </w:t>
            </w:r>
          </w:p>
        </w:tc>
      </w:tr>
      <w:tr>
        <w:trPr>
          <w:cantSplit/>
        </w:trPr>
        <w:tc>
          <w:tcPr>
            <w:tcW w:w="1843" w:type="dxa"/>
            <w:tcBorders>
              <w:top w:val="nil"/>
              <w:bottom w:val="nil"/>
            </w:tcBorders>
          </w:tcPr>
          <w:p>
            <w:pPr>
              <w:pStyle w:val="TableNAm"/>
            </w:pPr>
          </w:p>
        </w:tc>
        <w:tc>
          <w:tcPr>
            <w:tcW w:w="992" w:type="dxa"/>
            <w:tcBorders>
              <w:top w:val="nil"/>
              <w:bottom w:val="nil"/>
              <w:right w:val="nil"/>
            </w:tcBorders>
          </w:tcPr>
          <w:p>
            <w:pPr>
              <w:pStyle w:val="TableNAm"/>
              <w:jc w:val="center"/>
            </w:pPr>
            <w:r>
              <w:t>“   (b)</w:t>
            </w:r>
          </w:p>
        </w:tc>
        <w:tc>
          <w:tcPr>
            <w:tcW w:w="2693" w:type="dxa"/>
            <w:tcBorders>
              <w:top w:val="nil"/>
              <w:left w:val="nil"/>
              <w:bottom w:val="nil"/>
            </w:tcBorders>
          </w:tcPr>
          <w:p>
            <w:pPr>
              <w:pStyle w:val="TableNAm"/>
            </w:pPr>
            <w:r>
              <w:t>with the leave of the Commission, by an agent; or</w:t>
            </w:r>
          </w:p>
        </w:tc>
      </w:tr>
      <w:tr>
        <w:trPr>
          <w:cantSplit/>
        </w:trPr>
        <w:tc>
          <w:tcPr>
            <w:tcW w:w="1843" w:type="dxa"/>
            <w:tcBorders>
              <w:top w:val="nil"/>
            </w:tcBorders>
          </w:tcPr>
          <w:p>
            <w:pPr>
              <w:pStyle w:val="TableNAm"/>
            </w:pPr>
          </w:p>
        </w:tc>
        <w:tc>
          <w:tcPr>
            <w:tcW w:w="992" w:type="dxa"/>
            <w:tcBorders>
              <w:top w:val="nil"/>
              <w:right w:val="nil"/>
            </w:tcBorders>
          </w:tcPr>
          <w:p>
            <w:pPr>
              <w:pStyle w:val="TableNAm"/>
              <w:jc w:val="center"/>
            </w:pPr>
            <w:r>
              <w:t xml:space="preserve">    (c)</w:t>
            </w:r>
          </w:p>
        </w:tc>
        <w:tc>
          <w:tcPr>
            <w:tcW w:w="2693" w:type="dxa"/>
            <w:tcBorders>
              <w:top w:val="nil"/>
              <w:left w:val="nil"/>
              <w:bottom w:val="single" w:sz="4" w:space="0" w:color="auto"/>
            </w:tcBorders>
          </w:tcPr>
          <w:p>
            <w:pPr>
              <w:pStyle w:val="TableNAm"/>
            </w:pPr>
            <w:r>
              <w:t>by a legal practitioner. ”.</w:t>
            </w:r>
          </w:p>
        </w:tc>
      </w:tr>
      <w:tr>
        <w:trPr>
          <w:cantSplit/>
        </w:trPr>
        <w:tc>
          <w:tcPr>
            <w:tcW w:w="1843" w:type="dxa"/>
          </w:tcPr>
          <w:p>
            <w:pPr>
              <w:pStyle w:val="TableNAm"/>
            </w:pPr>
            <w:r>
              <w:t>s. 31(3)</w:t>
            </w:r>
          </w:p>
        </w:tc>
        <w:tc>
          <w:tcPr>
            <w:tcW w:w="3685" w:type="dxa"/>
            <w:gridSpan w:val="2"/>
          </w:tcPr>
          <w:p>
            <w:pPr>
              <w:pStyle w:val="TableNAm"/>
            </w:pPr>
          </w:p>
        </w:tc>
      </w:tr>
      <w:tr>
        <w:trPr>
          <w:cantSplit/>
        </w:trPr>
        <w:tc>
          <w:tcPr>
            <w:tcW w:w="1843" w:type="dxa"/>
          </w:tcPr>
          <w:p>
            <w:pPr>
              <w:pStyle w:val="TableNAm"/>
            </w:pPr>
            <w:r>
              <w:t>s. 31(5)</w:t>
            </w:r>
          </w:p>
        </w:tc>
        <w:tc>
          <w:tcPr>
            <w:tcW w:w="3685" w:type="dxa"/>
            <w:gridSpan w:val="2"/>
          </w:tcPr>
          <w:p>
            <w:pPr>
              <w:pStyle w:val="TableNAm"/>
            </w:pPr>
          </w:p>
        </w:tc>
      </w:tr>
      <w:tr>
        <w:trPr>
          <w:cantSplit/>
        </w:trPr>
        <w:tc>
          <w:tcPr>
            <w:tcW w:w="1843" w:type="dxa"/>
          </w:tcPr>
          <w:p>
            <w:pPr>
              <w:pStyle w:val="TableNAm"/>
            </w:pPr>
            <w:r>
              <w:t>s. 32</w:t>
            </w:r>
          </w:p>
        </w:tc>
        <w:tc>
          <w:tcPr>
            <w:tcW w:w="3685" w:type="dxa"/>
            <w:gridSpan w:val="2"/>
          </w:tcPr>
          <w:p>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pPr>
              <w:pStyle w:val="TableNAm"/>
            </w:pPr>
            <w:r>
              <w:t>References to “the matter” and “an industrial matter” are to be read as if they were references to “the appeal”.</w:t>
            </w:r>
          </w:p>
        </w:tc>
      </w:tr>
      <w:tr>
        <w:trPr>
          <w:cantSplit/>
        </w:trPr>
        <w:tc>
          <w:tcPr>
            <w:tcW w:w="1843" w:type="dxa"/>
          </w:tcPr>
          <w:p>
            <w:pPr>
              <w:pStyle w:val="zTableNAm"/>
            </w:pPr>
          </w:p>
        </w:tc>
        <w:tc>
          <w:tcPr>
            <w:tcW w:w="3685" w:type="dxa"/>
            <w:gridSpan w:val="2"/>
          </w:tcPr>
          <w:p>
            <w:pPr>
              <w:pStyle w:val="TableNAm"/>
            </w:pPr>
            <w:r>
              <w:t xml:space="preserve">For the purposes of subsections (2) and (3), </w:t>
            </w:r>
            <w:r>
              <w:rPr>
                <w:b/>
                <w:bCs/>
                <w:i/>
                <w:iCs/>
              </w:rPr>
              <w:t>Commission</w:t>
            </w:r>
            <w:r>
              <w:t xml:space="preserve"> does not include an industrial commissioner constituting the WAIRC to hear the appeal.</w:t>
            </w:r>
          </w:p>
          <w:p>
            <w:pPr>
              <w:pStyle w:val="TableNAm"/>
            </w:pPr>
            <w:r>
              <w:t>Subsections (4), (6), (7) and (8) do not apply.</w:t>
            </w:r>
          </w:p>
        </w:tc>
      </w:tr>
      <w:tr>
        <w:trPr>
          <w:cantSplit/>
        </w:trPr>
        <w:tc>
          <w:tcPr>
            <w:tcW w:w="1843" w:type="dxa"/>
          </w:tcPr>
          <w:p>
            <w:pPr>
              <w:pStyle w:val="TableNAm"/>
            </w:pPr>
            <w:r>
              <w:lastRenderedPageBreak/>
              <w:t>s. 33</w:t>
            </w:r>
          </w:p>
        </w:tc>
        <w:tc>
          <w:tcPr>
            <w:tcW w:w="3685" w:type="dxa"/>
            <w:gridSpan w:val="2"/>
          </w:tcPr>
          <w:p>
            <w:pPr>
              <w:pStyle w:val="TableNAm"/>
            </w:pPr>
            <w:r>
              <w:t>A summons must not be issued under section 33(1)(a) to the Governor.</w:t>
            </w:r>
          </w:p>
          <w:p>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pPr>
              <w:pStyle w:val="TableNAm"/>
            </w:pPr>
            <w:r>
              <w:t>A summons may not be issued to any other person except at the direction of a commissioner.</w:t>
            </w:r>
          </w:p>
        </w:tc>
      </w:tr>
      <w:tr>
        <w:trPr>
          <w:cantSplit/>
        </w:trPr>
        <w:tc>
          <w:tcPr>
            <w:tcW w:w="1843" w:type="dxa"/>
          </w:tcPr>
          <w:p>
            <w:pPr>
              <w:pStyle w:val="TableNAm"/>
            </w:pPr>
            <w:r>
              <w:t>s. 34</w:t>
            </w:r>
          </w:p>
        </w:tc>
        <w:tc>
          <w:tcPr>
            <w:tcW w:w="3685" w:type="dxa"/>
            <w:gridSpan w:val="2"/>
          </w:tcPr>
          <w:p>
            <w:pPr>
              <w:pStyle w:val="TableNAm"/>
            </w:pPr>
            <w:r>
              <w:t>A reference in subsection (1) to “an award, order or declaration” is to be read as if it were a reference to “an order”.</w:t>
            </w:r>
          </w:p>
          <w:p>
            <w:pPr>
              <w:pStyle w:val="TableNAm"/>
            </w:pPr>
            <w:r>
              <w:t>A reference in subsection (4) to “no award, order, declaration, finding, or proceeding” is to be read as if it were a reference to “no decision, order, finding or proceeding”.</w:t>
            </w:r>
          </w:p>
        </w:tc>
      </w:tr>
      <w:tr>
        <w:trPr>
          <w:cantSplit/>
        </w:trPr>
        <w:tc>
          <w:tcPr>
            <w:tcW w:w="1843" w:type="dxa"/>
          </w:tcPr>
          <w:p>
            <w:pPr>
              <w:pStyle w:val="TableNAm"/>
            </w:pPr>
            <w:r>
              <w:t>s. 35</w:t>
            </w:r>
          </w:p>
        </w:tc>
        <w:tc>
          <w:tcPr>
            <w:tcW w:w="3685" w:type="dxa"/>
            <w:gridSpan w:val="2"/>
          </w:tcPr>
          <w:p>
            <w:pPr>
              <w:pStyle w:val="TableNAm"/>
            </w:pPr>
          </w:p>
        </w:tc>
      </w:tr>
      <w:tr>
        <w:trPr>
          <w:cantSplit/>
        </w:trPr>
        <w:tc>
          <w:tcPr>
            <w:tcW w:w="1843" w:type="dxa"/>
          </w:tcPr>
          <w:p>
            <w:pPr>
              <w:pStyle w:val="TableNAm"/>
            </w:pPr>
            <w:r>
              <w:t>s. 36</w:t>
            </w:r>
          </w:p>
        </w:tc>
        <w:tc>
          <w:tcPr>
            <w:tcW w:w="3685" w:type="dxa"/>
            <w:gridSpan w:val="2"/>
          </w:tcPr>
          <w:p>
            <w:pPr>
              <w:pStyle w:val="TableNAm"/>
            </w:pPr>
          </w:p>
        </w:tc>
      </w:tr>
      <w:tr>
        <w:trPr>
          <w:cantSplit/>
        </w:trPr>
        <w:tc>
          <w:tcPr>
            <w:tcW w:w="1843" w:type="dxa"/>
          </w:tcPr>
          <w:p>
            <w:pPr>
              <w:pStyle w:val="TableNAm"/>
            </w:pPr>
            <w:r>
              <w:t>s. 86</w:t>
            </w:r>
          </w:p>
        </w:tc>
        <w:tc>
          <w:tcPr>
            <w:tcW w:w="3685" w:type="dxa"/>
            <w:gridSpan w:val="2"/>
          </w:tcPr>
          <w:p>
            <w:pPr>
              <w:pStyle w:val="TableNAm"/>
            </w:pPr>
            <w:r>
              <w:t>The section does not apply in relation to costs and expenses, other than expenses of witnesses.</w:t>
            </w:r>
          </w:p>
        </w:tc>
      </w:tr>
      <w:tr>
        <w:trPr>
          <w:cantSplit/>
        </w:trPr>
        <w:tc>
          <w:tcPr>
            <w:tcW w:w="1843" w:type="dxa"/>
          </w:tcPr>
          <w:p>
            <w:pPr>
              <w:pStyle w:val="TableNAm"/>
            </w:pPr>
            <w:r>
              <w:lastRenderedPageBreak/>
              <w:t>s. 90</w:t>
            </w:r>
          </w:p>
        </w:tc>
        <w:tc>
          <w:tcPr>
            <w:tcW w:w="3685" w:type="dxa"/>
            <w:gridSpan w:val="2"/>
          </w:tcPr>
          <w:p>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pPr>
        <w:pStyle w:val="Footnotesection"/>
      </w:pPr>
      <w:r>
        <w:tab/>
        <w:t>[Section 11CM inserted: No. 29 of 2014 s. 16; amended: No. 39 of 2018 s. 72.]</w:t>
      </w:r>
    </w:p>
    <w:p>
      <w:pPr>
        <w:pStyle w:val="Heading5"/>
      </w:pPr>
      <w:bookmarkStart w:id="56" w:name="_Toc180147953"/>
      <w:r>
        <w:rPr>
          <w:rStyle w:val="CharSectno"/>
        </w:rPr>
        <w:t>11CN</w:t>
      </w:r>
      <w:r>
        <w:t>.</w:t>
      </w:r>
      <w:r>
        <w:tab/>
        <w:t>Adjournment of appeal if appellant charged with offence</w:t>
      </w:r>
      <w:bookmarkEnd w:id="56"/>
    </w:p>
    <w:p>
      <w:pPr>
        <w:pStyle w:val="Subsection"/>
      </w:pPr>
      <w:r>
        <w:tab/>
        <w:t>(1)</w:t>
      </w:r>
      <w:r>
        <w:tab/>
        <w:t>The chief executive officer or an appellant may apply to the WAIRC for an adjournment of the hearing of an appeal if the appellant has been —</w:t>
      </w:r>
    </w:p>
    <w:p>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pPr>
        <w:pStyle w:val="Indenta"/>
      </w:pPr>
      <w:r>
        <w:tab/>
        <w:t>(b)</w:t>
      </w:r>
      <w:r>
        <w:tab/>
        <w:t>the charge has not been finally determined by a court or otherwise disposed of.</w:t>
      </w:r>
    </w:p>
    <w:p>
      <w:pPr>
        <w:pStyle w:val="Subsection"/>
      </w:pPr>
      <w:r>
        <w:tab/>
        <w:t>(2)</w:t>
      </w:r>
      <w:r>
        <w:tab/>
        <w:t>If an adjournment application is made by the chief executive officer, the WAIRC may adjourn the hearing of the appeal if it considers that it is in the interests of justice to do so.</w:t>
      </w:r>
    </w:p>
    <w:p>
      <w:pPr>
        <w:pStyle w:val="Subsection"/>
      </w:pPr>
      <w:r>
        <w:tab/>
        <w:t>(3)</w:t>
      </w:r>
      <w:r>
        <w:tab/>
        <w:t>If an adjournment application is made by the appellant, the WAIRC must adjourn the hearing of the appeal for the period (not exceeding 12 months) requested by the appellant.</w:t>
      </w:r>
    </w:p>
    <w:p>
      <w:pPr>
        <w:pStyle w:val="Subsection"/>
      </w:pPr>
      <w:r>
        <w:tab/>
        <w:t>(4)</w:t>
      </w:r>
      <w:r>
        <w:tab/>
        <w:t xml:space="preserve">Before the end of the period of an adjournment under this section, the chief executive officer or the appellant may apply to the WAIRC for a further adjournment and, if it is in the interests </w:t>
      </w:r>
      <w:r>
        <w:lastRenderedPageBreak/>
        <w:t>of justice to do so, the WAIRC may grant a further adjournment for the period specified by it.</w:t>
      </w:r>
    </w:p>
    <w:p>
      <w:pPr>
        <w:pStyle w:val="Subsection"/>
      </w:pPr>
      <w:r>
        <w:tab/>
        <w:t>(5)</w:t>
      </w:r>
      <w:r>
        <w:tab/>
        <w:t>Subsections (2) and (4) do not affect any other power of the WAIRC to grant an adjournment.</w:t>
      </w:r>
    </w:p>
    <w:p>
      <w:pPr>
        <w:pStyle w:val="Footnotesection"/>
      </w:pPr>
      <w:r>
        <w:tab/>
        <w:t>[Section 11CN inserted: No. 29 of 2014 s. 16.]</w:t>
      </w:r>
    </w:p>
    <w:p>
      <w:pPr>
        <w:pStyle w:val="Heading5"/>
        <w:spacing w:before="180"/>
      </w:pPr>
      <w:bookmarkStart w:id="57" w:name="_Toc180147954"/>
      <w:r>
        <w:rPr>
          <w:rStyle w:val="CharSectno"/>
        </w:rPr>
        <w:t>11CO</w:t>
      </w:r>
      <w:r>
        <w:t>.</w:t>
      </w:r>
      <w:r>
        <w:tab/>
        <w:t>Resumption of appeal before end of adjournment</w:t>
      </w:r>
      <w:bookmarkEnd w:id="57"/>
    </w:p>
    <w:p>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pPr>
        <w:pStyle w:val="Footnotesection"/>
      </w:pPr>
      <w:r>
        <w:tab/>
        <w:t>[Section 11CO inserted: No. 29 of 2014 s. 16.]</w:t>
      </w:r>
    </w:p>
    <w:p>
      <w:pPr>
        <w:pStyle w:val="Heading5"/>
        <w:spacing w:before="180"/>
      </w:pPr>
      <w:bookmarkStart w:id="58" w:name="_Toc180147955"/>
      <w:r>
        <w:rPr>
          <w:rStyle w:val="CharSectno"/>
        </w:rPr>
        <w:t>11CP</w:t>
      </w:r>
      <w:r>
        <w:t>.</w:t>
      </w:r>
      <w:r>
        <w:tab/>
        <w:t>Decision by WAIRC</w:t>
      </w:r>
      <w:bookmarkEnd w:id="58"/>
    </w:p>
    <w:p>
      <w:pPr>
        <w:pStyle w:val="Subsection"/>
      </w:pPr>
      <w:r>
        <w:tab/>
        <w:t>(1)</w:t>
      </w:r>
      <w:r>
        <w:tab/>
        <w:t>This section applies if the WAIRC decides on an appeal that the decision to take removal action relating to the appellant was harsh, oppressive or unfair.</w:t>
      </w:r>
    </w:p>
    <w:p>
      <w:pPr>
        <w:pStyle w:val="Subsection"/>
      </w:pPr>
      <w:r>
        <w:tab/>
        <w:t>(2)</w:t>
      </w:r>
      <w:r>
        <w:tab/>
        <w:t>The WAIRC may —</w:t>
      </w:r>
    </w:p>
    <w:p>
      <w:pPr>
        <w:pStyle w:val="Indenta"/>
      </w:pPr>
      <w:r>
        <w:tab/>
        <w:t>(a)</w:t>
      </w:r>
      <w:r>
        <w:tab/>
        <w:t>order that the appellant’s removal is, and is to be taken to have always been, of no effect; or</w:t>
      </w:r>
    </w:p>
    <w:p>
      <w:pPr>
        <w:pStyle w:val="Indenta"/>
      </w:pPr>
      <w:r>
        <w:tab/>
        <w:t>(b)</w:t>
      </w:r>
      <w:r>
        <w:tab/>
        <w:t>if it is impracticable to make an order under paragraph (a), order the chief executive officer to pay the appellant an amount of compensation for loss or injury caused by the removal.</w:t>
      </w:r>
    </w:p>
    <w:p>
      <w:pPr>
        <w:pStyle w:val="Subsection"/>
      </w:pPr>
      <w:r>
        <w:tab/>
        <w:t>(3)</w:t>
      </w:r>
      <w:r>
        <w:tab/>
        <w:t>In considering whether or not it is impracticable to make an order under subsection (2)(a), it is relevant to consider —</w:t>
      </w:r>
    </w:p>
    <w:p>
      <w:pPr>
        <w:pStyle w:val="Indenta"/>
      </w:pPr>
      <w:r>
        <w:tab/>
        <w:t>(a)</w:t>
      </w:r>
      <w:r>
        <w:tab/>
        <w:t>whether, at the time of the appellant’s removal, the position occupied by the appellant is vacant; and</w:t>
      </w:r>
    </w:p>
    <w:p>
      <w:pPr>
        <w:pStyle w:val="Indenta"/>
      </w:pPr>
      <w:r>
        <w:tab/>
        <w:t>(b)</w:t>
      </w:r>
      <w:r>
        <w:tab/>
        <w:t>whether there is another suitable vacant position in the Department.</w:t>
      </w:r>
    </w:p>
    <w:p>
      <w:pPr>
        <w:pStyle w:val="Subsection"/>
        <w:spacing w:before="120"/>
      </w:pPr>
      <w:r>
        <w:lastRenderedPageBreak/>
        <w:tab/>
        <w:t>(4)</w:t>
      </w:r>
      <w:r>
        <w:tab/>
        <w:t>If the WAIRC makes an order under subsection (2)(a), the appellant is not entitled to be paid his or her remuneration as a custodial officer for any period the appellant received a maintenance payment.</w:t>
      </w:r>
    </w:p>
    <w:p>
      <w:pPr>
        <w:pStyle w:val="Subsection"/>
      </w:pPr>
      <w:r>
        <w:tab/>
        <w:t>(5)</w:t>
      </w:r>
      <w:r>
        <w:tab/>
        <w:t>An order under this section may require that it be complied with within a specified time.</w:t>
      </w:r>
    </w:p>
    <w:p>
      <w:pPr>
        <w:pStyle w:val="Footnotesection"/>
      </w:pPr>
      <w:r>
        <w:tab/>
        <w:t>[Section 11CP inserted: No. 29 of 2014 s. 16.]</w:t>
      </w:r>
    </w:p>
    <w:p>
      <w:pPr>
        <w:pStyle w:val="Heading5"/>
      </w:pPr>
      <w:bookmarkStart w:id="59" w:name="_Toc180147956"/>
      <w:r>
        <w:rPr>
          <w:rStyle w:val="CharSectno"/>
        </w:rPr>
        <w:t>11CQ</w:t>
      </w:r>
      <w:r>
        <w:t>.</w:t>
      </w:r>
      <w:r>
        <w:tab/>
        <w:t>Determining amount of compensation</w:t>
      </w:r>
      <w:bookmarkEnd w:id="59"/>
    </w:p>
    <w:p>
      <w:pPr>
        <w:pStyle w:val="Subsection"/>
      </w:pPr>
      <w:r>
        <w:tab/>
        <w:t>(1)</w:t>
      </w:r>
      <w:r>
        <w:tab/>
        <w:t>An amount of compensation ordered under section 11CP(2)(b) must be determined in accordance with this section.</w:t>
      </w:r>
    </w:p>
    <w:p>
      <w:pPr>
        <w:pStyle w:val="Subsection"/>
      </w:pPr>
      <w:r>
        <w:tab/>
        <w:t>(2)</w:t>
      </w:r>
      <w:r>
        <w:tab/>
        <w:t xml:space="preserve">In determining the amount, the WAIRC must have regard to all of the following — </w:t>
      </w:r>
    </w:p>
    <w:p>
      <w:pPr>
        <w:pStyle w:val="Indenta"/>
      </w:pPr>
      <w:r>
        <w:tab/>
        <w:t>(a)</w:t>
      </w:r>
      <w:r>
        <w:tab/>
        <w:t>the efforts, if any, of the chief executive officer and the appellant to mitigate the loss suffered by the appellant as a result of the removal;</w:t>
      </w:r>
    </w:p>
    <w:p>
      <w:pPr>
        <w:pStyle w:val="Indenta"/>
      </w:pPr>
      <w:r>
        <w:tab/>
        <w:t>(b)</w:t>
      </w:r>
      <w:r>
        <w:tab/>
        <w:t>any maintenance payment received by the appellant;</w:t>
      </w:r>
    </w:p>
    <w:p>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pPr>
        <w:pStyle w:val="Indenta"/>
      </w:pPr>
      <w:r>
        <w:tab/>
        <w:t>(d)</w:t>
      </w:r>
      <w:r>
        <w:tab/>
        <w:t>any other matter that the WAIRC considers relevant.</w:t>
      </w:r>
    </w:p>
    <w:p>
      <w:pPr>
        <w:pStyle w:val="Subsection"/>
      </w:pPr>
      <w:r>
        <w:tab/>
        <w:t>(3)</w:t>
      </w:r>
      <w:r>
        <w:tab/>
        <w:t>In determining the amount, the WAIRC may have regard to the average rate of remuneration as a custodial officer received by the appellant during any relevant period of service.</w:t>
      </w:r>
    </w:p>
    <w:p>
      <w:pPr>
        <w:pStyle w:val="Subsection"/>
      </w:pPr>
      <w:r>
        <w:tab/>
        <w:t>(4)</w:t>
      </w:r>
      <w:r>
        <w:tab/>
        <w:t>The amount must not exceed 12 months’ remuneration as a custodial officer.</w:t>
      </w:r>
    </w:p>
    <w:p>
      <w:pPr>
        <w:pStyle w:val="Footnotesection"/>
      </w:pPr>
      <w:r>
        <w:tab/>
        <w:t>[Section 11CQ inserted: No. 29 of 2014 s. 16.]</w:t>
      </w:r>
    </w:p>
    <w:p>
      <w:pPr>
        <w:pStyle w:val="Heading5"/>
        <w:keepLines w:val="0"/>
      </w:pPr>
      <w:bookmarkStart w:id="60" w:name="_Toc180147957"/>
      <w:r>
        <w:rPr>
          <w:rStyle w:val="CharSectno"/>
        </w:rPr>
        <w:lastRenderedPageBreak/>
        <w:t>11CR</w:t>
      </w:r>
      <w:r>
        <w:t>.</w:t>
      </w:r>
      <w:r>
        <w:tab/>
        <w:t>Restriction on publication</w:t>
      </w:r>
      <w:bookmarkEnd w:id="60"/>
    </w:p>
    <w:p>
      <w:pPr>
        <w:pStyle w:val="Subsection"/>
      </w:pPr>
      <w:r>
        <w:tab/>
        <w:t>(1)</w:t>
      </w:r>
      <w:r>
        <w:tab/>
        <w:t>If the WAIRC is satisfied that it is in the public interest, it may direct that any evidence given before it, or the contents of any document produced to it, on an appeal —</w:t>
      </w:r>
    </w:p>
    <w:p>
      <w:pPr>
        <w:pStyle w:val="Indenta"/>
      </w:pPr>
      <w:r>
        <w:tab/>
        <w:t>(a)</w:t>
      </w:r>
      <w:r>
        <w:tab/>
        <w:t>must not be published; or</w:t>
      </w:r>
    </w:p>
    <w:p>
      <w:pPr>
        <w:pStyle w:val="Indenta"/>
      </w:pPr>
      <w:r>
        <w:tab/>
        <w:t>(b)</w:t>
      </w:r>
      <w:r>
        <w:tab/>
        <w:t>must not be published except in a manner, and to persons, specified by the WAIRC.</w:t>
      </w:r>
    </w:p>
    <w:p>
      <w:pPr>
        <w:pStyle w:val="Subsection"/>
      </w:pPr>
      <w:r>
        <w:tab/>
        <w:t>(2)</w:t>
      </w:r>
      <w:r>
        <w:tab/>
        <w:t>A person must not contravene a direction given under this section.</w:t>
      </w:r>
    </w:p>
    <w:p>
      <w:pPr>
        <w:pStyle w:val="Penstart"/>
      </w:pPr>
      <w:r>
        <w:tab/>
        <w:t>Penalty: a fine of $4 000 and imprisonment for 12 months.</w:t>
      </w:r>
    </w:p>
    <w:p>
      <w:pPr>
        <w:pStyle w:val="Footnotesection"/>
      </w:pPr>
      <w:r>
        <w:tab/>
        <w:t>[Section 11CR inserted: No. 29 of 2014 s. 16.]</w:t>
      </w:r>
    </w:p>
    <w:p>
      <w:pPr>
        <w:pStyle w:val="Heading4"/>
        <w:spacing w:before="200"/>
      </w:pPr>
      <w:bookmarkStart w:id="61" w:name="_Toc180138647"/>
      <w:bookmarkStart w:id="62" w:name="_Toc180138982"/>
      <w:bookmarkStart w:id="63" w:name="_Toc180147958"/>
      <w:r>
        <w:t>Subdivision 4 — General</w:t>
      </w:r>
      <w:bookmarkEnd w:id="61"/>
      <w:bookmarkEnd w:id="62"/>
      <w:bookmarkEnd w:id="63"/>
    </w:p>
    <w:p>
      <w:pPr>
        <w:pStyle w:val="Footnoteheading"/>
      </w:pPr>
      <w:r>
        <w:tab/>
        <w:t>[Heading inserted: No. 29 of 2014 s. 16.]</w:t>
      </w:r>
    </w:p>
    <w:p>
      <w:pPr>
        <w:pStyle w:val="Heading5"/>
        <w:spacing w:before="180"/>
      </w:pPr>
      <w:bookmarkStart w:id="64" w:name="_Toc180147959"/>
      <w:r>
        <w:rPr>
          <w:rStyle w:val="CharSectno"/>
        </w:rPr>
        <w:t>11CS</w:t>
      </w:r>
      <w:r>
        <w:t>.</w:t>
      </w:r>
      <w:r>
        <w:tab/>
        <w:t>Effect of charge for, or conviction or acquittal of, offence</w:t>
      </w:r>
      <w:bookmarkEnd w:id="64"/>
    </w:p>
    <w:p>
      <w:pPr>
        <w:pStyle w:val="Subsection"/>
      </w:pPr>
      <w:r>
        <w:tab/>
      </w:r>
      <w:r>
        <w:tab/>
        <w:t>The chief executive officer can take removal action in relation to a custodial officer for a particular matter, act or omission even if the matter, act or omission is an element of an offence —</w:t>
      </w:r>
    </w:p>
    <w:p>
      <w:pPr>
        <w:pStyle w:val="Indenta"/>
      </w:pPr>
      <w:r>
        <w:tab/>
        <w:t>(a)</w:t>
      </w:r>
      <w:r>
        <w:tab/>
        <w:t>with which the custodial officer has been charged; or</w:t>
      </w:r>
    </w:p>
    <w:p>
      <w:pPr>
        <w:pStyle w:val="Indenta"/>
      </w:pPr>
      <w:r>
        <w:tab/>
        <w:t>(b)</w:t>
      </w:r>
      <w:r>
        <w:tab/>
        <w:t>of which the custodial officer has been convicted or acquitted.</w:t>
      </w:r>
    </w:p>
    <w:p>
      <w:pPr>
        <w:pStyle w:val="Footnotesection"/>
      </w:pPr>
      <w:r>
        <w:tab/>
        <w:t>[Section 11CS inserted: No. 29 of 2014 s. 16.]</w:t>
      </w:r>
    </w:p>
    <w:p>
      <w:pPr>
        <w:pStyle w:val="Heading5"/>
        <w:spacing w:before="180"/>
      </w:pPr>
      <w:bookmarkStart w:id="65" w:name="_Toc180147960"/>
      <w:r>
        <w:rPr>
          <w:rStyle w:val="CharSectno"/>
        </w:rPr>
        <w:t>11CT</w:t>
      </w:r>
      <w:r>
        <w:t>.</w:t>
      </w:r>
      <w:r>
        <w:tab/>
        <w:t>Failure to comply with procedure</w:t>
      </w:r>
      <w:bookmarkEnd w:id="65"/>
    </w:p>
    <w:p>
      <w:pPr>
        <w:pStyle w:val="Subsection"/>
      </w:pPr>
      <w:r>
        <w:tab/>
      </w:r>
      <w:r>
        <w:tab/>
        <w:t>An act or omission of the chief executive officer is not invalid, and cannot be called in question, if —</w:t>
      </w:r>
    </w:p>
    <w:p>
      <w:pPr>
        <w:pStyle w:val="Indenta"/>
      </w:pPr>
      <w:r>
        <w:tab/>
        <w:t>(a)</w:t>
      </w:r>
      <w:r>
        <w:tab/>
        <w:t>the act or omission comprises a failure to comply with procedure prescribed for the purposes of this Division; and</w:t>
      </w:r>
    </w:p>
    <w:p>
      <w:pPr>
        <w:pStyle w:val="Indenta"/>
        <w:keepNext/>
      </w:pPr>
      <w:r>
        <w:lastRenderedPageBreak/>
        <w:tab/>
        <w:t>(b)</w:t>
      </w:r>
      <w:r>
        <w:tab/>
        <w:t>the failure is not substantive.</w:t>
      </w:r>
    </w:p>
    <w:p>
      <w:pPr>
        <w:pStyle w:val="Footnotesection"/>
      </w:pPr>
      <w:r>
        <w:tab/>
        <w:t>[Section 11CT inserted: No. 29 of 2014 s. 16.]</w:t>
      </w:r>
    </w:p>
    <w:p>
      <w:pPr>
        <w:pStyle w:val="Heading5"/>
        <w:spacing w:before="180"/>
      </w:pPr>
      <w:bookmarkStart w:id="66" w:name="_Toc180147961"/>
      <w:r>
        <w:rPr>
          <w:rStyle w:val="CharSectno"/>
        </w:rPr>
        <w:t>11CU</w:t>
      </w:r>
      <w:r>
        <w:t>.</w:t>
      </w:r>
      <w:r>
        <w:tab/>
        <w:t>Transfer, standing down and leave of custodial officer</w:t>
      </w:r>
      <w:bookmarkEnd w:id="66"/>
    </w:p>
    <w:p>
      <w:pPr>
        <w:pStyle w:val="Subsection"/>
      </w:pPr>
      <w:r>
        <w:tab/>
        <w:t>(1)</w:t>
      </w:r>
      <w:r>
        <w:tab/>
        <w:t xml:space="preserve">This Division does not derogate from the chief executive officer’s power to — </w:t>
      </w:r>
    </w:p>
    <w:p>
      <w:pPr>
        <w:pStyle w:val="Indenta"/>
      </w:pPr>
      <w:r>
        <w:tab/>
        <w:t>(a)</w:t>
      </w:r>
      <w:r>
        <w:tab/>
        <w:t>transfer a custodial officer; or</w:t>
      </w:r>
    </w:p>
    <w:p>
      <w:pPr>
        <w:pStyle w:val="Indenta"/>
      </w:pPr>
      <w:r>
        <w:tab/>
        <w:t>(b)</w:t>
      </w:r>
      <w:r>
        <w:tab/>
        <w:t>stand a custodial officer down from performing that custodial officer’s usual duties, with or without pay, until the custodial officer is directed by the chief executive officer to return to those duties; or</w:t>
      </w:r>
    </w:p>
    <w:p>
      <w:pPr>
        <w:pStyle w:val="Indenta"/>
      </w:pPr>
      <w:r>
        <w:tab/>
        <w:t>(c)</w:t>
      </w:r>
      <w:r>
        <w:tab/>
        <w:t>allocate duties to a custodial officer other than the custodial officer’s usual duties.</w:t>
      </w:r>
    </w:p>
    <w:p>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pPr>
        <w:pStyle w:val="Footnotesection"/>
      </w:pPr>
      <w:r>
        <w:tab/>
        <w:t>[Section 11CU inserted: No. 29 of 2014 s. 16.]</w:t>
      </w:r>
    </w:p>
    <w:p>
      <w:pPr>
        <w:pStyle w:val="Heading5"/>
      </w:pPr>
      <w:bookmarkStart w:id="67" w:name="_Toc180147962"/>
      <w:r>
        <w:rPr>
          <w:rStyle w:val="CharSectno"/>
        </w:rPr>
        <w:t>11CV</w:t>
      </w:r>
      <w:r>
        <w:t>.</w:t>
      </w:r>
      <w:r>
        <w:tab/>
        <w:t>Review of Division</w:t>
      </w:r>
      <w:bookmarkEnd w:id="6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pPr>
        <w:pStyle w:val="Subsection"/>
      </w:pPr>
      <w:r>
        <w:tab/>
        <w:t>(2)</w:t>
      </w:r>
      <w:r>
        <w:tab/>
        <w:t xml:space="preserve">The Minister must carry out a review of the operation and effectiveness of this Division as soon as is practicable after the </w:t>
      </w:r>
      <w:r>
        <w:lastRenderedPageBreak/>
        <w:t>expiry of 24 months after the commencement day and in the course of that review the Minister must consider and have regard to —</w:t>
      </w:r>
    </w:p>
    <w:p>
      <w:pPr>
        <w:pStyle w:val="Indenta"/>
      </w:pPr>
      <w:r>
        <w:tab/>
        <w:t>(a)</w:t>
      </w:r>
      <w:r>
        <w:tab/>
        <w:t>the effectiveness of this Division; and</w:t>
      </w:r>
    </w:p>
    <w:p>
      <w:pPr>
        <w:pStyle w:val="Indenta"/>
      </w:pPr>
      <w:r>
        <w:tab/>
        <w:t>(b)</w:t>
      </w:r>
      <w:r>
        <w:tab/>
        <w:t>the need for the retention of the Division; and</w:t>
      </w:r>
    </w:p>
    <w:p>
      <w:pPr>
        <w:pStyle w:val="Indenta"/>
      </w:pPr>
      <w:r>
        <w:tab/>
        <w:t>(c)</w:t>
      </w:r>
      <w:r>
        <w:tab/>
        <w:t>any other matters that appear to the Minister to be relevant to the operation and effectiveness of this Division.</w:t>
      </w:r>
    </w:p>
    <w:p>
      <w:pPr>
        <w:pStyle w:val="Subsection"/>
      </w:pPr>
      <w:r>
        <w:tab/>
        <w:t>(3)</w:t>
      </w:r>
      <w:r>
        <w:tab/>
        <w:t>Without limiting subsection (2), in carrying out the review, the Minister must consult with and have regard to the views of the Chief Commissioner of the WAIRC, the chief executive officer and any union that has custodial officers as some or all of its members.</w:t>
      </w:r>
    </w:p>
    <w:p>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pPr>
        <w:pStyle w:val="Footnotesection"/>
      </w:pPr>
      <w:r>
        <w:tab/>
        <w:t>[Section 11CV inserted: No. 29 of 2014 s. 16.]</w:t>
      </w:r>
    </w:p>
    <w:p>
      <w:pPr>
        <w:pStyle w:val="Heading3"/>
      </w:pPr>
      <w:bookmarkStart w:id="68" w:name="_Toc180138652"/>
      <w:bookmarkStart w:id="69" w:name="_Toc180138987"/>
      <w:bookmarkStart w:id="70" w:name="_Toc180147963"/>
      <w:r>
        <w:rPr>
          <w:rStyle w:val="CharDivNo"/>
        </w:rPr>
        <w:t>Division 4</w:t>
      </w:r>
      <w:r>
        <w:t> — </w:t>
      </w:r>
      <w:r>
        <w:rPr>
          <w:rStyle w:val="CharDivText"/>
        </w:rPr>
        <w:t>Management, control, security and wellbeing of young offenders</w:t>
      </w:r>
      <w:bookmarkEnd w:id="68"/>
      <w:bookmarkEnd w:id="69"/>
      <w:bookmarkEnd w:id="70"/>
    </w:p>
    <w:p>
      <w:pPr>
        <w:pStyle w:val="Footnoteheading"/>
      </w:pPr>
      <w:r>
        <w:tab/>
        <w:t>[Heading inserted: No. 29 of 2014 s. 17.]</w:t>
      </w:r>
    </w:p>
    <w:p>
      <w:pPr>
        <w:pStyle w:val="Heading5"/>
      </w:pPr>
      <w:bookmarkStart w:id="71" w:name="_Toc180147964"/>
      <w:r>
        <w:rPr>
          <w:rStyle w:val="CharSectno"/>
        </w:rPr>
        <w:t>11C</w:t>
      </w:r>
      <w:r>
        <w:t>.</w:t>
      </w:r>
      <w:r>
        <w:tab/>
        <w:t>Use of force</w:t>
      </w:r>
      <w:bookmarkEnd w:id="71"/>
    </w:p>
    <w:p>
      <w:pPr>
        <w:pStyle w:val="Subsection"/>
      </w:pPr>
      <w:r>
        <w:tab/>
        <w:t>(1)</w:t>
      </w:r>
      <w:r>
        <w:tab/>
        <w:t>A custodial officer is authorised to use no more than prescribed force in the management, control and security of a facility or detention centre.</w:t>
      </w:r>
    </w:p>
    <w:p>
      <w:pPr>
        <w:pStyle w:val="Subsection"/>
      </w:pPr>
      <w:r>
        <w:tab/>
        <w:t>(2)</w:t>
      </w:r>
      <w:r>
        <w:tab/>
        <w:t>A custodial officer must not use force on a young offender unless that force is used in the prescribed circumstances.</w:t>
      </w:r>
    </w:p>
    <w:p>
      <w:pPr>
        <w:pStyle w:val="Footnotesection"/>
      </w:pPr>
      <w:r>
        <w:tab/>
        <w:t>[Section 11C inserted: No. 58 of 2004 s. 7; amended: No. 29 of 2014 s. 18.]</w:t>
      </w:r>
    </w:p>
    <w:p>
      <w:pPr>
        <w:pStyle w:val="Heading5"/>
      </w:pPr>
      <w:bookmarkStart w:id="72" w:name="_Toc180147965"/>
      <w:r>
        <w:rPr>
          <w:rStyle w:val="CharSectno"/>
        </w:rPr>
        <w:lastRenderedPageBreak/>
        <w:t>11D</w:t>
      </w:r>
      <w:r>
        <w:t>.</w:t>
      </w:r>
      <w:r>
        <w:tab/>
        <w:t>Use of restraints</w:t>
      </w:r>
      <w:bookmarkEnd w:id="72"/>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No. 58 of 2004 s. 7.]</w:t>
      </w:r>
    </w:p>
    <w:p>
      <w:pPr>
        <w:pStyle w:val="Heading5"/>
      </w:pPr>
      <w:bookmarkStart w:id="73" w:name="_Toc180147966"/>
      <w:r>
        <w:rPr>
          <w:rStyle w:val="CharSectno"/>
        </w:rPr>
        <w:t>11E</w:t>
      </w:r>
      <w:r>
        <w:t>.</w:t>
      </w:r>
      <w:r>
        <w:tab/>
        <w:t>Assistance by prison officers</w:t>
      </w:r>
      <w:bookmarkEnd w:id="73"/>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keepNext/>
      </w:pPr>
      <w:r>
        <w:lastRenderedPageBreak/>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prison officer by or under any other law.</w:t>
      </w:r>
    </w:p>
    <w:p>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pPr>
        <w:pStyle w:val="Footnotesection"/>
      </w:pPr>
      <w:r>
        <w:tab/>
        <w:t>[Section 11E inserted: No. 58 of 2004 s. 7; amended: No. 29 of 2014 s. 19.]</w:t>
      </w:r>
    </w:p>
    <w:p>
      <w:pPr>
        <w:pStyle w:val="Heading5"/>
      </w:pPr>
      <w:bookmarkStart w:id="74" w:name="_Toc180147967"/>
      <w:r>
        <w:rPr>
          <w:rStyle w:val="CharSectno"/>
        </w:rPr>
        <w:t>11F</w:t>
      </w:r>
      <w:r>
        <w:t>.</w:t>
      </w:r>
      <w:r>
        <w:tab/>
        <w:t>Assistance by police officers</w:t>
      </w:r>
      <w:bookmarkEnd w:id="74"/>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in addition to the powers and duties conferred and imposed on that police officer by or under any other law.</w:t>
      </w:r>
    </w:p>
    <w:p>
      <w:pPr>
        <w:pStyle w:val="Footnotesection"/>
      </w:pPr>
      <w:r>
        <w:tab/>
        <w:t>[Section 11F inserted: No. 58 of 2004 s. 7; amended: No. 29 of 2014 s. 20.]</w:t>
      </w:r>
    </w:p>
    <w:p>
      <w:pPr>
        <w:pStyle w:val="Heading5"/>
        <w:rPr>
          <w:snapToGrid w:val="0"/>
        </w:rPr>
      </w:pPr>
      <w:bookmarkStart w:id="75" w:name="_Toc180147968"/>
      <w:r>
        <w:rPr>
          <w:rStyle w:val="CharSectno"/>
        </w:rPr>
        <w:t>12</w:t>
      </w:r>
      <w:r>
        <w:rPr>
          <w:snapToGrid w:val="0"/>
        </w:rPr>
        <w:t>.</w:t>
      </w:r>
      <w:r>
        <w:rPr>
          <w:snapToGrid w:val="0"/>
        </w:rPr>
        <w:tab/>
        <w:t>Departmental and subsidised facilities, establishment of</w:t>
      </w:r>
      <w:bookmarkEnd w:id="75"/>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w:t>
      </w:r>
      <w:r>
        <w:lastRenderedPageBreak/>
        <w:t xml:space="preserve">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No. 58 of 2004 s. 8; No. 65 of 2006 s. 75.]</w:t>
      </w:r>
    </w:p>
    <w:p>
      <w:pPr>
        <w:pStyle w:val="Heading5"/>
        <w:rPr>
          <w:snapToGrid w:val="0"/>
        </w:rPr>
      </w:pPr>
      <w:bookmarkStart w:id="76" w:name="_Toc180147969"/>
      <w:r>
        <w:rPr>
          <w:rStyle w:val="CharSectno"/>
        </w:rPr>
        <w:t>13</w:t>
      </w:r>
      <w:r>
        <w:rPr>
          <w:snapToGrid w:val="0"/>
        </w:rPr>
        <w:t>.</w:t>
      </w:r>
      <w:r>
        <w:rPr>
          <w:snapToGrid w:val="0"/>
        </w:rPr>
        <w:tab/>
        <w:t>Detention centres, establishing</w:t>
      </w:r>
      <w:bookmarkEnd w:id="7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lastRenderedPageBreak/>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77" w:name="_Toc180147970"/>
      <w:r>
        <w:rPr>
          <w:rStyle w:val="CharSectno"/>
        </w:rPr>
        <w:t>14</w:t>
      </w:r>
      <w:r>
        <w:rPr>
          <w:snapToGrid w:val="0"/>
        </w:rPr>
        <w:t>.</w:t>
      </w:r>
      <w:r>
        <w:rPr>
          <w:snapToGrid w:val="0"/>
        </w:rPr>
        <w:tab/>
        <w:t>Records of young offenders, duty to keep</w:t>
      </w:r>
      <w:bookmarkEnd w:id="77"/>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lastRenderedPageBreak/>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78" w:name="_Toc180147971"/>
      <w:r>
        <w:rPr>
          <w:rStyle w:val="CharSectno"/>
        </w:rPr>
        <w:t>15</w:t>
      </w:r>
      <w:r>
        <w:rPr>
          <w:snapToGrid w:val="0"/>
        </w:rPr>
        <w:t>.</w:t>
      </w:r>
      <w:r>
        <w:rPr>
          <w:snapToGrid w:val="0"/>
        </w:rPr>
        <w:tab/>
        <w:t>Records of young offenders, access to</w:t>
      </w:r>
      <w:bookmarkEnd w:id="7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lastRenderedPageBreak/>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No. 47 of 1999 s. 41.]</w:t>
      </w:r>
    </w:p>
    <w:p>
      <w:pPr>
        <w:pStyle w:val="Heading5"/>
      </w:pPr>
      <w:bookmarkStart w:id="79" w:name="_Toc180147972"/>
      <w:r>
        <w:rPr>
          <w:rStyle w:val="CharSectno"/>
        </w:rPr>
        <w:t>15A</w:t>
      </w:r>
      <w:r>
        <w:t>.</w:t>
      </w:r>
      <w:r>
        <w:tab/>
        <w:t>Disclosure of personal information relating to young offenders</w:t>
      </w:r>
      <w:bookmarkEnd w:id="79"/>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 Impairment Review Tribunal established under the</w:t>
      </w:r>
      <w:r>
        <w:rPr>
          <w:i/>
        </w:rPr>
        <w:t xml:space="preserve"> Criminal </w:t>
      </w:r>
      <w:r>
        <w:rPr>
          <w:i/>
        </w:rPr>
        <w:lastRenderedPageBreak/>
        <w:t>Law (Mental Impairment) Act 2023</w:t>
      </w:r>
      <w:r>
        <w:t>, the chief executive officer is to provide the member with information relating to a person who is, or was, a young offender or detainee, for the purposes of carrying out the member’s functions under that Act.</w:t>
      </w:r>
    </w:p>
    <w:p>
      <w:pPr>
        <w:pStyle w:val="Ednotesubsection"/>
      </w:pPr>
      <w:r>
        <w:tab/>
        <w:t>[(3a)-(3c)</w:t>
      </w:r>
      <w:r>
        <w:tab/>
        <w:t>deleted]</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keepNext/>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w:t>
      </w:r>
      <w:r>
        <w:lastRenderedPageBreak/>
        <w:t xml:space="preserve">carrying out his or her functions under the </w:t>
      </w:r>
      <w:r>
        <w:rPr>
          <w:i/>
        </w:rPr>
        <w:t>Sentence Administration Act 2003</w:t>
      </w:r>
      <w:r>
        <w:t>.</w:t>
      </w:r>
    </w:p>
    <w:p>
      <w:pPr>
        <w:pStyle w:val="Subsection"/>
        <w:keepNext/>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(7A)</w:t>
      </w:r>
      <w:r>
        <w:tab/>
        <w:t>Despite this section, the chief executive officer may provide information relating to a person who is, or was, a young offender or detainee (as the case may be) to 1 or more of the individuals referred to in subsection (5)(a) if —</w:t>
      </w:r>
    </w:p>
    <w:p>
      <w:pPr>
        <w:pStyle w:val="Indenta"/>
      </w:pPr>
      <w:r>
        <w:tab/>
        <w:t>(a)</w:t>
      </w:r>
      <w:r>
        <w:tab/>
        <w:t xml:space="preserve">the person is transferred under section 21(2); or </w:t>
      </w:r>
    </w:p>
    <w:p>
      <w:pPr>
        <w:pStyle w:val="Indenta"/>
      </w:pPr>
      <w:r>
        <w:tab/>
        <w:t>(b)</w:t>
      </w:r>
      <w:r>
        <w:tab/>
        <w:t>a direction is made in respect of the person under section 178(3); or</w:t>
      </w:r>
    </w:p>
    <w:p>
      <w:pPr>
        <w:pStyle w:val="Indenta"/>
      </w:pPr>
      <w:r>
        <w:tab/>
        <w:t>(c)</w:t>
      </w:r>
      <w:r>
        <w:tab/>
        <w:t>the person is transferred under section 178A(2).</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No. 58 of 2004 s. 9; amended: No. 84 of 2004 s. 82; No. 41 of 2006 s. 86; No. 65 of 2006 s. 76; No. 14 of 2008 s. 44; No. 23 of 2015 s. 22; No. 10 of 2023 s. 409 and 411; No. 15 of 2023 s. 4.]</w:t>
      </w:r>
    </w:p>
    <w:p>
      <w:pPr>
        <w:pStyle w:val="Heading5"/>
      </w:pPr>
      <w:bookmarkStart w:id="80" w:name="_Toc180147973"/>
      <w:r>
        <w:rPr>
          <w:rStyle w:val="CharSectno"/>
        </w:rPr>
        <w:t>16</w:t>
      </w:r>
      <w:r>
        <w:t>.</w:t>
      </w:r>
      <w:r>
        <w:tab/>
        <w:t>Exchange of information</w:t>
      </w:r>
      <w:bookmarkEnd w:id="80"/>
    </w:p>
    <w:p>
      <w:pPr>
        <w:pStyle w:val="Subsection"/>
      </w:pPr>
      <w:r>
        <w:tab/>
        <w:t>(1)</w:t>
      </w:r>
      <w:r>
        <w:tab/>
        <w:t xml:space="preserve">In this section — </w:t>
      </w:r>
    </w:p>
    <w:p>
      <w:pPr>
        <w:pStyle w:val="Defstart"/>
      </w:pPr>
      <w:r>
        <w:tab/>
      </w:r>
      <w:r>
        <w:rPr>
          <w:rStyle w:val="CharDefText"/>
        </w:rPr>
        <w:t>Chief Mental Health Advocate</w:t>
      </w:r>
      <w:r>
        <w:t xml:space="preserve"> has the meaning given in the </w:t>
      </w:r>
      <w:r>
        <w:rPr>
          <w:i/>
        </w:rPr>
        <w:t xml:space="preserve">Mental Health Act 2014 </w:t>
      </w:r>
      <w:r>
        <w:t>section 4;</w:t>
      </w:r>
    </w:p>
    <w:p>
      <w:pPr>
        <w:pStyle w:val="Defstart"/>
      </w:pPr>
      <w:r>
        <w:lastRenderedPageBreak/>
        <w:tab/>
      </w:r>
      <w:r>
        <w:rPr>
          <w:rStyle w:val="CharDefText"/>
        </w:rPr>
        <w:t>CLMI identified person</w:t>
      </w:r>
      <w:r>
        <w:t xml:space="preserve"> has the meaning given in the </w:t>
      </w:r>
      <w:r>
        <w:rPr>
          <w:i/>
        </w:rPr>
        <w:t>Criminal Law (Mental Impairment) Act 2023</w:t>
      </w:r>
      <w:r>
        <w:t xml:space="preserve"> section 127;</w:t>
      </w:r>
    </w:p>
    <w:p>
      <w:pPr>
        <w:pStyle w:val="Defstart"/>
      </w:pPr>
      <w:r>
        <w:tab/>
      </w:r>
      <w:r>
        <w:rPr>
          <w:rStyle w:val="CharDefText"/>
        </w:rPr>
        <w:t>contractor</w:t>
      </w:r>
      <w:r>
        <w:t xml:space="preserve"> means — </w:t>
      </w:r>
    </w:p>
    <w:p>
      <w:pPr>
        <w:pStyle w:val="Defpara"/>
      </w:pPr>
      <w:r>
        <w:tab/>
        <w:t>(a)</w:t>
      </w:r>
      <w:r>
        <w:tab/>
        <w:t xml:space="preserve">a contractor as defined in the </w:t>
      </w:r>
      <w:r>
        <w:rPr>
          <w:i/>
        </w:rPr>
        <w:t>Court Security and Custodial Services Act 1999</w:t>
      </w:r>
      <w:r>
        <w:t xml:space="preserve"> section 3; or</w:t>
      </w:r>
    </w:p>
    <w:p>
      <w:pPr>
        <w:pStyle w:val="Defpara"/>
      </w:pPr>
      <w:r>
        <w:tab/>
        <w:t>(b)</w:t>
      </w:r>
      <w:r>
        <w:tab/>
        <w:t xml:space="preserve">a contractor as defined in the </w:t>
      </w:r>
      <w:r>
        <w:rPr>
          <w:i/>
        </w:rPr>
        <w:t>Declared Places (Mental Impairment) Act 2015</w:t>
      </w:r>
      <w:r>
        <w:t xml:space="preserve"> section 3;</w:t>
      </w:r>
    </w:p>
    <w:p>
      <w:pPr>
        <w:pStyle w:val="Defstart"/>
      </w:pPr>
      <w:r>
        <w:tab/>
      </w:r>
      <w:r>
        <w:rPr>
          <w:rStyle w:val="CharDefText"/>
        </w:rPr>
        <w:t>mental health advocate</w:t>
      </w:r>
      <w:r>
        <w:t xml:space="preserve"> has the meaning given in the </w:t>
      </w:r>
      <w:r>
        <w:rPr>
          <w:i/>
        </w:rPr>
        <w:t>Mental Health Act 2014</w:t>
      </w:r>
      <w:r>
        <w:t xml:space="preserve"> section 4;</w:t>
      </w:r>
    </w:p>
    <w:p>
      <w:pPr>
        <w:pStyle w:val="Defstart"/>
        <w:keepNex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lastRenderedPageBreak/>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(5A)</w:t>
      </w:r>
      <w:r>
        <w:tab/>
        <w:t xml:space="preserve">The chief executive officer may disclose information regarding detainees who are CLMI identified persons to the Chief Mental Health Advocate or a mental health advocate for the purposes of the performance of their respective functions under the </w:t>
      </w:r>
      <w:r>
        <w:rPr>
          <w:i/>
        </w:rPr>
        <w:t>Criminal Law (Mental Impairment) Act 2023</w:t>
      </w:r>
      <w:r>
        <w:t>.</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 or (5A).</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No. 65 of 2006 s. 77; amended: No. 26 of 2011 s. 8; No. 4 of 2015 s. 89; No. 10 of 2023 s. 408 and 410.]</w:t>
      </w:r>
    </w:p>
    <w:p>
      <w:pPr>
        <w:pStyle w:val="Heading5"/>
      </w:pPr>
      <w:bookmarkStart w:id="81" w:name="_Toc180147974"/>
      <w:r>
        <w:rPr>
          <w:rStyle w:val="CharSectno"/>
        </w:rPr>
        <w:t>16A</w:t>
      </w:r>
      <w:r>
        <w:t>.</w:t>
      </w:r>
      <w:r>
        <w:tab/>
        <w:t>Disclosure authorised</w:t>
      </w:r>
      <w:bookmarkEnd w:id="81"/>
    </w:p>
    <w:p>
      <w:pPr>
        <w:pStyle w:val="Subsection"/>
      </w:pPr>
      <w:r>
        <w:tab/>
        <w:t>(1)</w:t>
      </w:r>
      <w:r>
        <w:tab/>
        <w:t>Information may be disclosed under section 15 or 16 despite any written law relating to confidentiality or secrecy.</w:t>
      </w:r>
    </w:p>
    <w:p>
      <w:pPr>
        <w:pStyle w:val="Subsection"/>
        <w:keepNext/>
      </w:pPr>
      <w:r>
        <w:lastRenderedPageBreak/>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No. 65 of 2006 s. 77.]</w:t>
      </w:r>
    </w:p>
    <w:p>
      <w:pPr>
        <w:pStyle w:val="Heading5"/>
      </w:pPr>
      <w:bookmarkStart w:id="82" w:name="_Toc180147975"/>
      <w:r>
        <w:rPr>
          <w:rStyle w:val="CharSectno"/>
        </w:rPr>
        <w:t>16B</w:t>
      </w:r>
      <w:r>
        <w:t>.</w:t>
      </w:r>
      <w:r>
        <w:tab/>
        <w:t>Protection of Commissioner of Police reports that may be withdrawn</w:t>
      </w:r>
      <w:bookmarkEnd w:id="82"/>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tab/>
        <w:t>(2)</w:t>
      </w:r>
      <w:r>
        <w:tab/>
        <w:t>This section applies if the Board must, under section 150E(2), give the Commissioner of Police an opportunity to withdraw a Commissioner of Police report.</w:t>
      </w:r>
    </w:p>
    <w:p>
      <w:pPr>
        <w:pStyle w:val="Subsection"/>
      </w:pPr>
      <w:r>
        <w:tab/>
        <w:t>(3)</w:t>
      </w:r>
      <w:r>
        <w:tab/>
        <w:t>Until the Commissioner of Police is given a reasonable opportunity to withdraw the report, the Board must take all reasonable steps to prohibit the publication of, or a reference to, the report.</w:t>
      </w:r>
    </w:p>
    <w:p>
      <w:pPr>
        <w:pStyle w:val="Footnotesection"/>
      </w:pPr>
      <w:r>
        <w:tab/>
        <w:t>[Section 16B inserted: No. 14 of 2022 s. 31.]</w:t>
      </w:r>
    </w:p>
    <w:p>
      <w:pPr>
        <w:pStyle w:val="Heading5"/>
      </w:pPr>
      <w:bookmarkStart w:id="83" w:name="_Toc180147976"/>
      <w:r>
        <w:rPr>
          <w:rStyle w:val="CharSectno"/>
        </w:rPr>
        <w:t>16C</w:t>
      </w:r>
      <w:r>
        <w:t>.</w:t>
      </w:r>
      <w:r>
        <w:tab/>
        <w:t>Protection of Commissioner of Police reports containing terrorist intelligence information</w:t>
      </w:r>
      <w:bookmarkEnd w:id="83"/>
    </w:p>
    <w:p>
      <w:pPr>
        <w:pStyle w:val="Subsection"/>
      </w:pPr>
      <w:r>
        <w:tab/>
        <w:t>(1)</w:t>
      </w:r>
      <w:r>
        <w:tab/>
        <w:t xml:space="preserve">In this section — </w:t>
      </w:r>
    </w:p>
    <w:p>
      <w:pPr>
        <w:pStyle w:val="Defstart"/>
      </w:pPr>
      <w:r>
        <w:tab/>
      </w:r>
      <w:r>
        <w:rPr>
          <w:rStyle w:val="CharDefText"/>
          <w:szCs w:val="24"/>
        </w:rPr>
        <w:t>Board</w:t>
      </w:r>
      <w:r>
        <w:t xml:space="preserve"> </w:t>
      </w:r>
      <w:r>
        <w:rPr>
          <w:szCs w:val="24"/>
        </w:rPr>
        <w:t>means the Supervised Release Review Board, established under s 151, as constituted by the chairperson alone.</w:t>
      </w:r>
    </w:p>
    <w:p>
      <w:pPr>
        <w:pStyle w:val="Subsection"/>
      </w:pPr>
      <w:r>
        <w:lastRenderedPageBreak/>
        <w:tab/>
        <w:t>(2)</w:t>
      </w:r>
      <w:r>
        <w:tab/>
        <w:t>The Board must take all reasonable steps to maintain the confidentiality of a Commissioner of Police report that the Board is satisfied contains terrorist intelligence information, including —</w:t>
      </w:r>
    </w:p>
    <w:p>
      <w:pPr>
        <w:pStyle w:val="Indenta"/>
      </w:pPr>
      <w:r>
        <w:tab/>
        <w:t>(a)</w:t>
      </w:r>
      <w:r>
        <w:tab/>
        <w:t>receiving the report or hearing argument, or opinion, about the report in private and in the absence of any person other than a person to whose presence the Board consents; and</w:t>
      </w:r>
    </w:p>
    <w:p>
      <w:pPr>
        <w:pStyle w:val="Indenta"/>
      </w:pPr>
      <w:r>
        <w:tab/>
        <w:t>(b)</w:t>
      </w:r>
      <w:r>
        <w:tab/>
        <w:t>except as provided in paragraph (a), prohibiting the publication of, or a reference to, the report; and</w:t>
      </w:r>
    </w:p>
    <w:p>
      <w:pPr>
        <w:pStyle w:val="Indenta"/>
      </w:pPr>
      <w:r>
        <w:tab/>
        <w:t>(c)</w:t>
      </w:r>
      <w:r>
        <w:tab/>
        <w:t>withholding any or all of the reasons for a decision.</w:t>
      </w:r>
    </w:p>
    <w:p>
      <w:pPr>
        <w:pStyle w:val="Subsection"/>
        <w:keepNext/>
      </w:pPr>
      <w:r>
        <w:tab/>
        <w:t>(3)</w:t>
      </w:r>
      <w:r>
        <w:tab/>
        <w:t xml:space="preserve">Despite subsection (2), the Board may give the report to — </w:t>
      </w:r>
    </w:p>
    <w:p>
      <w:pPr>
        <w:pStyle w:val="Indenta"/>
      </w:pPr>
      <w:r>
        <w:tab/>
        <w:t>(a)</w:t>
      </w:r>
      <w:r>
        <w:tab/>
        <w:t>the Attorney</w:t>
      </w:r>
      <w:r>
        <w:rPr>
          <w:szCs w:val="24"/>
        </w:rPr>
        <w:t xml:space="preserve"> General; or </w:t>
      </w:r>
    </w:p>
    <w:p>
      <w:pPr>
        <w:pStyle w:val="Indenta"/>
      </w:pPr>
      <w:r>
        <w:tab/>
        <w:t>(b)</w:t>
      </w:r>
      <w:r>
        <w:tab/>
        <w:t>a court; or</w:t>
      </w:r>
    </w:p>
    <w:p>
      <w:pPr>
        <w:pStyle w:val="Indenta"/>
      </w:pPr>
      <w:r>
        <w:tab/>
        <w:t>(c)</w:t>
      </w:r>
      <w:r>
        <w:tab/>
        <w:t>a person to whom the Board authorises disclosure.</w:t>
      </w:r>
    </w:p>
    <w:p>
      <w:pPr>
        <w:pStyle w:val="Subsection"/>
      </w:pPr>
      <w:r>
        <w:tab/>
        <w:t>(4)</w:t>
      </w:r>
      <w:r>
        <w:tab/>
        <w:t>Before giving a report under subsection (3)(b) or (c), the Board must, in writing, notify the Commissioner of Police of the Board’s intention to give the report.</w:t>
      </w:r>
    </w:p>
    <w:p>
      <w:pPr>
        <w:pStyle w:val="Footnotesection"/>
      </w:pPr>
      <w:r>
        <w:tab/>
        <w:t>[Section 16C inserted: No. 14 of 2022 s. 31.]</w:t>
      </w:r>
    </w:p>
    <w:p>
      <w:pPr>
        <w:pStyle w:val="Heading5"/>
      </w:pPr>
      <w:bookmarkStart w:id="84" w:name="_Toc180147977"/>
      <w:r>
        <w:rPr>
          <w:rStyle w:val="CharSectno"/>
        </w:rPr>
        <w:t>16D</w:t>
      </w:r>
      <w:r>
        <w:t>.</w:t>
      </w:r>
      <w:r>
        <w:tab/>
        <w:t>Protection of terrorist intelligence information in legal proceedings</w:t>
      </w:r>
      <w:bookmarkEnd w:id="84"/>
    </w:p>
    <w:p>
      <w:pPr>
        <w:pStyle w:val="Subsection"/>
      </w:pPr>
      <w:r>
        <w:tab/>
        <w:t>(1)</w:t>
      </w:r>
      <w:r>
        <w:tab/>
        <w:t xml:space="preserve">In this section — </w:t>
      </w:r>
    </w:p>
    <w:p>
      <w:pPr>
        <w:pStyle w:val="Defstart"/>
      </w:pPr>
      <w:r>
        <w:tab/>
      </w:r>
      <w:r>
        <w:rPr>
          <w:rStyle w:val="CharDefText"/>
        </w:rPr>
        <w:t>court</w:t>
      </w:r>
      <w:r>
        <w:t xml:space="preserve"> includes any tribunal, authority or person having power to require the production of documents or the answering of questions;</w:t>
      </w:r>
    </w:p>
    <w:p>
      <w:pPr>
        <w:pStyle w:val="Defstart"/>
      </w:pPr>
      <w:r>
        <w:tab/>
      </w:r>
      <w:r>
        <w:rPr>
          <w:rStyle w:val="CharDefText"/>
        </w:rPr>
        <w:t>disclosure requirement</w:t>
      </w:r>
      <w:r>
        <w:t xml:space="preserve"> means a requirement under the </w:t>
      </w:r>
      <w:r>
        <w:rPr>
          <w:i/>
        </w:rPr>
        <w:t>Criminal Procedure Act 2004</w:t>
      </w:r>
      <w:r>
        <w:t xml:space="preserve"> section 35, 42, 61 or 95 to disclose any information.</w:t>
      </w:r>
    </w:p>
    <w:p>
      <w:pPr>
        <w:pStyle w:val="Subsection"/>
      </w:pPr>
      <w:r>
        <w:tab/>
        <w:t>(2)</w:t>
      </w:r>
      <w:r>
        <w:tab/>
      </w:r>
      <w:r>
        <w:rPr>
          <w:szCs w:val="24"/>
        </w:rPr>
        <w:t xml:space="preserve">In any legal proceedings relating to, or requiring the disclosure of, information included in a </w:t>
      </w:r>
      <w:r>
        <w:t xml:space="preserve">Commissioner of Police report that </w:t>
      </w:r>
      <w:r>
        <w:lastRenderedPageBreak/>
        <w:t>the court is satisfied is terrorist intelligence information</w:t>
      </w:r>
      <w:r>
        <w:rPr>
          <w:szCs w:val="24"/>
        </w:rPr>
        <w:t xml:space="preserve">, the court must — </w:t>
      </w:r>
    </w:p>
    <w:p>
      <w:pPr>
        <w:pStyle w:val="Indenta"/>
      </w:pPr>
      <w:r>
        <w:tab/>
        <w:t>(a)</w:t>
      </w:r>
      <w:r>
        <w:tab/>
        <w:t>dispense with the disclosure requirements in relation to the information if the court is satisfied that no miscarriage of justice will result; and</w:t>
      </w:r>
    </w:p>
    <w:p>
      <w:pPr>
        <w:pStyle w:val="Indenta"/>
      </w:pPr>
      <w:r>
        <w:tab/>
        <w:t>(b)</w:t>
      </w:r>
      <w:r>
        <w:tab/>
        <w:t>ensure that such parts of the proceeding relating to the disclosure of the information are held in private; and</w:t>
      </w:r>
    </w:p>
    <w:p>
      <w:pPr>
        <w:pStyle w:val="Indenta"/>
      </w:pPr>
      <w:r>
        <w:tab/>
        <w:t>(c)</w:t>
      </w:r>
      <w:r>
        <w:tab/>
        <w:t>make such orders as to the suppression of evidence given before the court that, in the court’s opinion, will ensure that the information is not disclosed; and</w:t>
      </w:r>
    </w:p>
    <w:p>
      <w:pPr>
        <w:pStyle w:val="Indenta"/>
      </w:pPr>
      <w:r>
        <w:tab/>
        <w:t>(d)</w:t>
      </w:r>
      <w:r>
        <w:tab/>
        <w:t>make orders prohibiting the publication of the information.</w:t>
      </w:r>
    </w:p>
    <w:p>
      <w:pPr>
        <w:pStyle w:val="Subsection"/>
      </w:pPr>
      <w:r>
        <w:tab/>
        <w:t>(3)</w:t>
      </w:r>
      <w:r>
        <w:tab/>
      </w:r>
      <w:r>
        <w:rPr>
          <w:szCs w:val="24"/>
        </w:rPr>
        <w:t>Without limiting the matters that the court may consider for the purpose of determining if the information is terrorist intelligence information, the court must, before it makes the determination, give the Commissioner of Police an opportunity to be heard by, or to make written submissions to, the court.</w:t>
      </w:r>
    </w:p>
    <w:p>
      <w:pPr>
        <w:pStyle w:val="Footnotesection"/>
      </w:pPr>
      <w:r>
        <w:tab/>
        <w:t>[Section 16D inserted: No. 14 of 2022 s. 31.]</w:t>
      </w:r>
    </w:p>
    <w:p>
      <w:pPr>
        <w:pStyle w:val="Heading5"/>
        <w:rPr>
          <w:snapToGrid w:val="0"/>
        </w:rPr>
      </w:pPr>
      <w:bookmarkStart w:id="85" w:name="_Toc180147978"/>
      <w:r>
        <w:rPr>
          <w:rStyle w:val="CharSectno"/>
        </w:rPr>
        <w:t>17</w:t>
      </w:r>
      <w:r>
        <w:rPr>
          <w:snapToGrid w:val="0"/>
        </w:rPr>
        <w:t>.</w:t>
      </w:r>
      <w:r>
        <w:rPr>
          <w:snapToGrid w:val="0"/>
        </w:rPr>
        <w:tab/>
        <w:t>Confidentiality</w:t>
      </w:r>
      <w:bookmarkEnd w:id="85"/>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lastRenderedPageBreak/>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No. 58 of 2004 s. 10.]</w:t>
      </w:r>
    </w:p>
    <w:p>
      <w:pPr>
        <w:pStyle w:val="Heading3"/>
        <w:keepNext w:val="0"/>
        <w:spacing w:before="180"/>
      </w:pPr>
      <w:bookmarkStart w:id="86" w:name="_Toc180138668"/>
      <w:bookmarkStart w:id="87" w:name="_Toc180139003"/>
      <w:bookmarkStart w:id="88" w:name="_Toc180147979"/>
      <w:r>
        <w:rPr>
          <w:rStyle w:val="CharDivNo"/>
        </w:rPr>
        <w:t>Division 5</w:t>
      </w:r>
      <w:r>
        <w:t> — </w:t>
      </w:r>
      <w:r>
        <w:rPr>
          <w:rStyle w:val="CharDivText"/>
        </w:rPr>
        <w:t>Arrangements with councils of Aboriginal communities</w:t>
      </w:r>
      <w:bookmarkEnd w:id="86"/>
      <w:bookmarkEnd w:id="87"/>
      <w:bookmarkEnd w:id="88"/>
    </w:p>
    <w:p>
      <w:pPr>
        <w:pStyle w:val="Footnotesection"/>
      </w:pPr>
      <w:r>
        <w:tab/>
        <w:t>[Division 5 heading, formerly Division 2 heading inserted: No. 29 of 2014 s. 21.]</w:t>
      </w:r>
    </w:p>
    <w:p>
      <w:pPr>
        <w:pStyle w:val="Heading5"/>
        <w:spacing w:before="180"/>
      </w:pPr>
      <w:bookmarkStart w:id="89" w:name="_Toc180147980"/>
      <w:r>
        <w:rPr>
          <w:rStyle w:val="CharSectno"/>
        </w:rPr>
        <w:t>17A</w:t>
      </w:r>
      <w:r>
        <w:t>.</w:t>
      </w:r>
      <w:r>
        <w:tab/>
        <w:t>Terms used</w:t>
      </w:r>
      <w:bookmarkEnd w:id="89"/>
    </w:p>
    <w:p>
      <w:pPr>
        <w:pStyle w:val="Subsection"/>
        <w:spacing w:before="100"/>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lastRenderedPageBreak/>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Footnotesection"/>
      </w:pPr>
      <w:r>
        <w:tab/>
        <w:t>[Section 17A inserted: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90" w:name="_Toc180147981"/>
      <w:r>
        <w:rPr>
          <w:rStyle w:val="CharSectno"/>
        </w:rPr>
        <w:t>17B</w:t>
      </w:r>
      <w:r>
        <w:t>.</w:t>
      </w:r>
      <w:r>
        <w:tab/>
        <w:t>Community supervision agreement</w:t>
      </w:r>
      <w:bookmarkEnd w:id="9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keepNext/>
      </w:pPr>
      <w:r>
        <w:tab/>
        <w:t>(e)</w:t>
      </w:r>
      <w:r>
        <w:tab/>
        <w:t>a supervised release order.</w:t>
      </w:r>
    </w:p>
    <w:p>
      <w:pPr>
        <w:pStyle w:val="Footnotesection"/>
        <w:spacing w:before="100"/>
        <w:ind w:left="890" w:hanging="890"/>
      </w:pPr>
      <w:r>
        <w:tab/>
        <w:t>[Section 17B inserted: No. 58 of 2004 s. 11.]</w:t>
      </w:r>
    </w:p>
    <w:p>
      <w:pPr>
        <w:pStyle w:val="Heading5"/>
        <w:spacing w:before="180"/>
      </w:pPr>
      <w:bookmarkStart w:id="91" w:name="_Toc180147982"/>
      <w:r>
        <w:rPr>
          <w:rStyle w:val="CharSectno"/>
        </w:rPr>
        <w:t>17C</w:t>
      </w:r>
      <w:r>
        <w:t>.</w:t>
      </w:r>
      <w:r>
        <w:tab/>
        <w:t>Appointment of monitor</w:t>
      </w:r>
      <w:bookmarkEnd w:id="91"/>
    </w:p>
    <w:p>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lastRenderedPageBreak/>
        <w:tab/>
        <w:t>(3)</w:t>
      </w:r>
      <w:r>
        <w:tab/>
        <w:t>The appointment of a person as a monitor may be made on a paid or honorary basis.</w:t>
      </w:r>
    </w:p>
    <w:p>
      <w:pPr>
        <w:pStyle w:val="Subsection"/>
        <w:keepNext/>
        <w:spacing w:before="140"/>
      </w:pPr>
      <w:r>
        <w:tab/>
        <w:t>(4)</w:t>
      </w:r>
      <w:r>
        <w:tab/>
        <w:t>The chief executive officer may at any time cancel the appointment of a monitor.</w:t>
      </w:r>
    </w:p>
    <w:p>
      <w:pPr>
        <w:pStyle w:val="Footnotesection"/>
        <w:spacing w:before="100"/>
        <w:ind w:left="890" w:hanging="890"/>
      </w:pPr>
      <w:r>
        <w:tab/>
        <w:t>[Section 17C inserted: No. 58 of 2004 s. 11.]</w:t>
      </w:r>
    </w:p>
    <w:p>
      <w:pPr>
        <w:pStyle w:val="Heading5"/>
        <w:spacing w:before="180"/>
      </w:pPr>
      <w:bookmarkStart w:id="92" w:name="_Toc180147983"/>
      <w:r>
        <w:rPr>
          <w:rStyle w:val="CharSectno"/>
        </w:rPr>
        <w:t>17D</w:t>
      </w:r>
      <w:r>
        <w:t>.</w:t>
      </w:r>
      <w:r>
        <w:tab/>
        <w:t>Compensation for injury</w:t>
      </w:r>
      <w:bookmarkEnd w:id="92"/>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2023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No. 58 of 2004 s. 11; amended: No. 21 of 2023 s. 709(2).]</w:t>
      </w:r>
    </w:p>
    <w:p>
      <w:pPr>
        <w:pStyle w:val="Heading2"/>
      </w:pPr>
      <w:bookmarkStart w:id="93" w:name="_Toc180138673"/>
      <w:bookmarkStart w:id="94" w:name="_Toc180139008"/>
      <w:bookmarkStart w:id="95" w:name="_Toc180147984"/>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3"/>
      <w:bookmarkEnd w:id="94"/>
      <w:bookmarkEnd w:id="95"/>
      <w:r>
        <w:rPr>
          <w:rStyle w:val="CharPartText"/>
        </w:rPr>
        <w:t xml:space="preserve"> </w:t>
      </w:r>
    </w:p>
    <w:p>
      <w:pPr>
        <w:pStyle w:val="Ednotesection"/>
      </w:pPr>
      <w:r>
        <w:t>[</w:t>
      </w:r>
      <w:r>
        <w:rPr>
          <w:b/>
        </w:rPr>
        <w:t>18.</w:t>
      </w:r>
      <w:r>
        <w:tab/>
        <w:t xml:space="preserve">Deleted: No. 50 of 2000 s. 30.] </w:t>
      </w:r>
    </w:p>
    <w:p>
      <w:pPr>
        <w:pStyle w:val="Heading5"/>
        <w:rPr>
          <w:snapToGrid w:val="0"/>
        </w:rPr>
      </w:pPr>
      <w:bookmarkStart w:id="96" w:name="_Toc180147985"/>
      <w:r>
        <w:rPr>
          <w:rStyle w:val="CharSectno"/>
        </w:rPr>
        <w:t>19</w:t>
      </w:r>
      <w:r>
        <w:rPr>
          <w:snapToGrid w:val="0"/>
        </w:rPr>
        <w:t>.</w:t>
      </w:r>
      <w:r>
        <w:rPr>
          <w:snapToGrid w:val="0"/>
        </w:rPr>
        <w:tab/>
      </w:r>
      <w:r>
        <w:t>Detention of young persons apprehended by police</w:t>
      </w:r>
      <w:bookmarkEnd w:id="9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t>
      </w:r>
      <w:r>
        <w:t>who is under 18 years old and</w:t>
      </w:r>
      <w:r>
        <w:rPr>
          <w:snapToGrid w:val="0"/>
        </w:rPr>
        <w:t xml:space="preserve">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 xml:space="preserve">A young person </w:t>
      </w:r>
      <w:r>
        <w:t>who is under 18 years old</w:t>
      </w:r>
      <w:r>
        <w:rPr>
          <w:snapToGrid w:val="0"/>
        </w:rPr>
        <w:t xml:space="preserve"> may be held in the custody of the police until arrangements can be made for the person to be taken to and placed in a detention centre in accordance with subsection (2).</w:t>
      </w:r>
    </w:p>
    <w:p>
      <w:pPr>
        <w:pStyle w:val="Footnotesection"/>
        <w:spacing w:before="100"/>
        <w:ind w:left="890" w:hanging="890"/>
      </w:pPr>
      <w:r>
        <w:tab/>
        <w:t>[Section 19 amended: No. 15 of 2023 s. 5.]</w:t>
      </w:r>
    </w:p>
    <w:p>
      <w:pPr>
        <w:pStyle w:val="Heading5"/>
        <w:rPr>
          <w:snapToGrid w:val="0"/>
        </w:rPr>
      </w:pPr>
      <w:bookmarkStart w:id="97" w:name="_Toc180147986"/>
      <w:r>
        <w:rPr>
          <w:rStyle w:val="CharSectno"/>
        </w:rPr>
        <w:t>20</w:t>
      </w:r>
      <w:r>
        <w:rPr>
          <w:snapToGrid w:val="0"/>
        </w:rPr>
        <w:t>.</w:t>
      </w:r>
      <w:r>
        <w:rPr>
          <w:snapToGrid w:val="0"/>
        </w:rPr>
        <w:tab/>
        <w:t>Responsible adult to be notified</w:t>
      </w:r>
      <w:bookmarkEnd w:id="97"/>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lastRenderedPageBreak/>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98" w:name="_Toc180147987"/>
      <w:r>
        <w:rPr>
          <w:rStyle w:val="CharSectno"/>
        </w:rPr>
        <w:lastRenderedPageBreak/>
        <w:t>21</w:t>
      </w:r>
      <w:r>
        <w:rPr>
          <w:snapToGrid w:val="0"/>
        </w:rPr>
        <w:t>.</w:t>
      </w:r>
      <w:r>
        <w:rPr>
          <w:snapToGrid w:val="0"/>
        </w:rPr>
        <w:tab/>
        <w:t>Young person in custody awaiting trial</w:t>
      </w:r>
      <w:bookmarkEnd w:id="98"/>
      <w:r>
        <w:rPr>
          <w:snapToGrid w:val="0"/>
        </w:rPr>
        <w:t xml:space="preserve"> </w:t>
      </w:r>
    </w:p>
    <w:p>
      <w:pPr>
        <w:pStyle w:val="Subsection"/>
        <w:keepNext/>
        <w:rPr>
          <w:snapToGrid w:val="0"/>
        </w:rPr>
      </w:pPr>
      <w:r>
        <w:rPr>
          <w:snapToGrid w:val="0"/>
        </w:rPr>
        <w:tab/>
        <w:t>(1)</w:t>
      </w:r>
      <w:r>
        <w:rPr>
          <w:snapToGrid w:val="0"/>
        </w:rPr>
        <w:tab/>
      </w:r>
      <w:r>
        <w:t>Subject</w:t>
      </w:r>
      <w:r>
        <w:rPr>
          <w:snapToGrid w:val="0"/>
        </w:rPr>
        <w:t xml:space="preserve"> to the </w:t>
      </w:r>
      <w:r>
        <w:rPr>
          <w:i/>
          <w:snapToGrid w:val="0"/>
        </w:rPr>
        <w:t>Bail Act 1982</w:t>
      </w:r>
      <w:r>
        <w:rPr>
          <w:snapToGrid w:val="0"/>
        </w:rPr>
        <w:t xml:space="preserve"> — </w:t>
      </w:r>
    </w:p>
    <w:p>
      <w:pPr>
        <w:pStyle w:val="Indenta"/>
        <w:rPr>
          <w:snapToGrid w:val="0"/>
        </w:rPr>
      </w:pPr>
      <w:r>
        <w:rPr>
          <w:snapToGrid w:val="0"/>
        </w:rPr>
        <w:tab/>
        <w:t>(a)</w:t>
      </w:r>
      <w:r>
        <w:rPr>
          <w:snapToGrid w:val="0"/>
        </w:rPr>
        <w:tab/>
        <w:t xml:space="preserve">a </w:t>
      </w:r>
      <w:r>
        <w:t>young</w:t>
      </w:r>
      <w:r>
        <w:rPr>
          <w:snapToGrid w:val="0"/>
        </w:rPr>
        <w:t xml:space="preserve"> person who is under 18 years old may be detained in a detention centre during the period for which the person has been remanded by a court, or during the period of the person’s detention on committal for trial in the Supreme Court or the District Court; and</w:t>
      </w:r>
    </w:p>
    <w:p>
      <w:pPr>
        <w:pStyle w:val="Indenta"/>
        <w:rPr>
          <w:snapToGrid w:val="0"/>
        </w:rPr>
      </w:pPr>
      <w:r>
        <w:rPr>
          <w:snapToGrid w:val="0"/>
        </w:rPr>
        <w:tab/>
        <w:t>(b)</w:t>
      </w:r>
      <w:r>
        <w:rPr>
          <w:snapToGrid w:val="0"/>
        </w:rPr>
        <w:tab/>
        <w:t xml:space="preserve">a </w:t>
      </w:r>
      <w:r>
        <w:t>young</w:t>
      </w:r>
      <w:r>
        <w:rPr>
          <w:snapToGrid w:val="0"/>
        </w:rPr>
        <w:t xml:space="preserve"> person who has reached the age of 18 years must not be detained in a detention centre during either of the periods described in paragraph (a) unless a direction under section 21A(1) or 178B(1) in respect of the young person is in force.</w:t>
      </w:r>
    </w:p>
    <w:p>
      <w:pPr>
        <w:pStyle w:val="Subsection"/>
        <w:rPr>
          <w:snapToGrid w:val="0"/>
        </w:rPr>
      </w:pPr>
      <w:r>
        <w:rPr>
          <w:snapToGrid w:val="0"/>
        </w:rPr>
        <w:tab/>
        <w:t>(2)</w:t>
      </w:r>
      <w:r>
        <w:rPr>
          <w:snapToGrid w:val="0"/>
        </w:rPr>
        <w:tab/>
        <w:t xml:space="preserve">If a young person reaches the age of 18 years while detained in a detention centre as described in </w:t>
      </w:r>
      <w:r>
        <w:t xml:space="preserve">subsection (1)(a), the chief executive officer must transfer the young person to a prison under the </w:t>
      </w:r>
      <w:r>
        <w:rPr>
          <w:i/>
        </w:rPr>
        <w:t>Prisons Act 1981</w:t>
      </w:r>
      <w:r>
        <w:t xml:space="preserve"> unless a direction under section 21A(1) or 178B(1) in respect of the young person is in force.</w:t>
      </w:r>
    </w:p>
    <w:p>
      <w:pPr>
        <w:pStyle w:val="Subsection"/>
      </w:pPr>
      <w:r>
        <w:tab/>
        <w:t>(3)</w:t>
      </w:r>
      <w:r>
        <w:tab/>
        <w:t xml:space="preserve">A transfer under subsection (2) must be made within 30 days after — </w:t>
      </w:r>
    </w:p>
    <w:p>
      <w:pPr>
        <w:pStyle w:val="Indenta"/>
      </w:pPr>
      <w:r>
        <w:tab/>
        <w:t>(a)</w:t>
      </w:r>
      <w:r>
        <w:tab/>
        <w:t>the day on which the young person reaches the age of 18 years; or</w:t>
      </w:r>
    </w:p>
    <w:p>
      <w:pPr>
        <w:pStyle w:val="Indenta"/>
      </w:pPr>
      <w:r>
        <w:tab/>
        <w:t>(b)</w:t>
      </w:r>
      <w:r>
        <w:tab/>
        <w:t>if the chief executive officer revokes under section 21A(3) or 178B(3) a direction in respect of the young person — the day on which the direction is revoked.</w:t>
      </w:r>
    </w:p>
    <w:p>
      <w:pPr>
        <w:pStyle w:val="Subsection"/>
      </w:pPr>
      <w:r>
        <w:tab/>
        <w:t>(4)</w:t>
      </w:r>
      <w:r>
        <w:tab/>
        <w:t>A failure to comply with subsection (3) does not invalidate the transfer.</w:t>
      </w:r>
    </w:p>
    <w:p>
      <w:pPr>
        <w:pStyle w:val="Subsection"/>
      </w:pPr>
      <w:r>
        <w:tab/>
        <w:t>(5)</w:t>
      </w:r>
      <w:r>
        <w:tab/>
        <w:t>A young person transferred to a prison under subsection (2) is taken to be an adult prisoner on remand.</w:t>
      </w:r>
    </w:p>
    <w:p>
      <w:pPr>
        <w:pStyle w:val="Footnotesection"/>
        <w:spacing w:before="100"/>
        <w:ind w:left="890" w:hanging="890"/>
      </w:pPr>
      <w:r>
        <w:tab/>
        <w:t>[Section 21 amended: No. 15 of 2023 s. 6.]</w:t>
      </w:r>
    </w:p>
    <w:p>
      <w:pPr>
        <w:pStyle w:val="Heading5"/>
        <w:rPr>
          <w:snapToGrid w:val="0"/>
        </w:rPr>
      </w:pPr>
      <w:bookmarkStart w:id="99" w:name="_Toc180147988"/>
      <w:r>
        <w:rPr>
          <w:rStyle w:val="CharSectno"/>
        </w:rPr>
        <w:lastRenderedPageBreak/>
        <w:t>21A</w:t>
      </w:r>
      <w:r>
        <w:rPr>
          <w:snapToGrid w:val="0"/>
        </w:rPr>
        <w:t>.</w:t>
      </w:r>
      <w:r>
        <w:rPr>
          <w:snapToGrid w:val="0"/>
        </w:rPr>
        <w:tab/>
        <w:t>Chief executive officer may direct that mandatory transfer does not apply</w:t>
      </w:r>
      <w:bookmarkEnd w:id="99"/>
    </w:p>
    <w:p>
      <w:pPr>
        <w:pStyle w:val="Subsection"/>
        <w:rPr>
          <w:snapToGrid w:val="0"/>
        </w:rPr>
      </w:pPr>
      <w:r>
        <w:rPr>
          <w:snapToGrid w:val="0"/>
        </w:rPr>
        <w:tab/>
        <w:t>(1)</w:t>
      </w:r>
      <w:r>
        <w:rPr>
          <w:snapToGrid w:val="0"/>
        </w:rPr>
        <w:tab/>
        <w:t>The chief executive officer may, in writing, direct that a transfer under section 21(2) does not apply in relation to a particular young person.</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young person;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rPr>
          <w:snapToGrid w:val="0"/>
        </w:rPr>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young person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spacing w:before="100"/>
        <w:ind w:left="890" w:hanging="890"/>
      </w:pPr>
      <w:r>
        <w:tab/>
        <w:t>[Section 21A inserted: No. 15 of 2023 s. 7.]</w:t>
      </w:r>
    </w:p>
    <w:p>
      <w:pPr>
        <w:pStyle w:val="Heading2"/>
      </w:pPr>
      <w:bookmarkStart w:id="100" w:name="_Toc180138678"/>
      <w:bookmarkStart w:id="101" w:name="_Toc180139013"/>
      <w:bookmarkStart w:id="102" w:name="_Toc180147989"/>
      <w:r>
        <w:rPr>
          <w:rStyle w:val="CharPartNo"/>
        </w:rPr>
        <w:lastRenderedPageBreak/>
        <w:t>Part 5</w:t>
      </w:r>
      <w:r>
        <w:t> — </w:t>
      </w:r>
      <w:r>
        <w:rPr>
          <w:rStyle w:val="CharPartText"/>
        </w:rPr>
        <w:t>Dealing with young offenders without taking court proceedings</w:t>
      </w:r>
      <w:bookmarkEnd w:id="100"/>
      <w:bookmarkEnd w:id="101"/>
      <w:bookmarkEnd w:id="102"/>
      <w:r>
        <w:rPr>
          <w:rStyle w:val="CharPartText"/>
        </w:rPr>
        <w:t xml:space="preserve"> </w:t>
      </w:r>
    </w:p>
    <w:p>
      <w:pPr>
        <w:pStyle w:val="Heading3"/>
        <w:rPr>
          <w:snapToGrid w:val="0"/>
        </w:rPr>
      </w:pPr>
      <w:bookmarkStart w:id="103" w:name="_Toc180138679"/>
      <w:bookmarkStart w:id="104" w:name="_Toc180139014"/>
      <w:bookmarkStart w:id="105" w:name="_Toc180147990"/>
      <w:r>
        <w:rPr>
          <w:rStyle w:val="CharDivNo"/>
        </w:rPr>
        <w:t>Division 1</w:t>
      </w:r>
      <w:r>
        <w:rPr>
          <w:snapToGrid w:val="0"/>
        </w:rPr>
        <w:t> — </w:t>
      </w:r>
      <w:r>
        <w:rPr>
          <w:rStyle w:val="CharDivText"/>
        </w:rPr>
        <w:t>Cautioning</w:t>
      </w:r>
      <w:bookmarkEnd w:id="103"/>
      <w:bookmarkEnd w:id="104"/>
      <w:bookmarkEnd w:id="105"/>
      <w:r>
        <w:rPr>
          <w:rStyle w:val="CharDivText"/>
        </w:rPr>
        <w:t xml:space="preserve"> </w:t>
      </w:r>
    </w:p>
    <w:p>
      <w:pPr>
        <w:pStyle w:val="Heading5"/>
        <w:rPr>
          <w:snapToGrid w:val="0"/>
        </w:rPr>
      </w:pPr>
      <w:bookmarkStart w:id="106" w:name="_Toc180147991"/>
      <w:r>
        <w:rPr>
          <w:rStyle w:val="CharSectno"/>
        </w:rPr>
        <w:t>22A</w:t>
      </w:r>
      <w:r>
        <w:rPr>
          <w:snapToGrid w:val="0"/>
        </w:rPr>
        <w:t>.</w:t>
      </w:r>
      <w:r>
        <w:rPr>
          <w:snapToGrid w:val="0"/>
        </w:rPr>
        <w:tab/>
        <w:t>Purpose of this Division</w:t>
      </w:r>
      <w:bookmarkEnd w:id="106"/>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107" w:name="_Toc180147992"/>
      <w:r>
        <w:rPr>
          <w:rStyle w:val="CharSectno"/>
        </w:rPr>
        <w:t>22B</w:t>
      </w:r>
      <w:r>
        <w:rPr>
          <w:snapToGrid w:val="0"/>
        </w:rPr>
        <w:t>.</w:t>
      </w:r>
      <w:r>
        <w:rPr>
          <w:snapToGrid w:val="0"/>
        </w:rPr>
        <w:tab/>
        <w:t>Police officer to consider alternatives to court proceedings</w:t>
      </w:r>
      <w:bookmarkEnd w:id="107"/>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108" w:name="_Toc180147993"/>
      <w:r>
        <w:rPr>
          <w:rStyle w:val="CharSectno"/>
        </w:rPr>
        <w:t>22</w:t>
      </w:r>
      <w:r>
        <w:rPr>
          <w:snapToGrid w:val="0"/>
        </w:rPr>
        <w:t>.</w:t>
      </w:r>
      <w:r>
        <w:rPr>
          <w:snapToGrid w:val="0"/>
        </w:rPr>
        <w:tab/>
        <w:t>Cautions may be given except for Sch. 1 or 2 offences</w:t>
      </w:r>
      <w:bookmarkEnd w:id="108"/>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109" w:name="_Toc180147994"/>
      <w:r>
        <w:rPr>
          <w:rStyle w:val="CharSectno"/>
        </w:rPr>
        <w:lastRenderedPageBreak/>
        <w:t>23</w:t>
      </w:r>
      <w:r>
        <w:rPr>
          <w:snapToGrid w:val="0"/>
        </w:rPr>
        <w:t>.</w:t>
      </w:r>
      <w:r>
        <w:rPr>
          <w:snapToGrid w:val="0"/>
        </w:rPr>
        <w:tab/>
        <w:t>Cautioning to be preferred in certain cases</w:t>
      </w:r>
      <w:bookmarkEnd w:id="109"/>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rPr>
          <w:snapToGrid w:val="0"/>
        </w:rPr>
      </w:pPr>
      <w:bookmarkStart w:id="110" w:name="_Toc180147995"/>
      <w:r>
        <w:rPr>
          <w:rStyle w:val="CharSectno"/>
        </w:rPr>
        <w:t>23A</w:t>
      </w:r>
      <w:r>
        <w:rPr>
          <w:snapToGrid w:val="0"/>
        </w:rPr>
        <w:t>.</w:t>
      </w:r>
      <w:r>
        <w:rPr>
          <w:snapToGrid w:val="0"/>
        </w:rPr>
        <w:tab/>
        <w:t>Caution certificate to be given</w:t>
      </w:r>
      <w:bookmarkEnd w:id="110"/>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lastRenderedPageBreak/>
        <w:tab/>
        <w:t>[Section 23A amended: No. 47 of 1998 s. 8.]</w:t>
      </w:r>
    </w:p>
    <w:p>
      <w:pPr>
        <w:pStyle w:val="Heading5"/>
        <w:rPr>
          <w:snapToGrid w:val="0"/>
        </w:rPr>
      </w:pPr>
      <w:bookmarkStart w:id="111" w:name="_Toc180147996"/>
      <w:r>
        <w:rPr>
          <w:rStyle w:val="CharSectno"/>
        </w:rPr>
        <w:t>23B</w:t>
      </w:r>
      <w:r>
        <w:rPr>
          <w:snapToGrid w:val="0"/>
        </w:rPr>
        <w:t>.</w:t>
      </w:r>
      <w:r>
        <w:rPr>
          <w:snapToGrid w:val="0"/>
        </w:rPr>
        <w:tab/>
        <w:t>Police officer may retain a thing relating to an offence</w:t>
      </w:r>
      <w:bookmarkEnd w:id="111"/>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No. 47 of 1998 s. 9.]</w:t>
      </w:r>
    </w:p>
    <w:p>
      <w:pPr>
        <w:pStyle w:val="Heading3"/>
        <w:rPr>
          <w:snapToGrid w:val="0"/>
        </w:rPr>
      </w:pPr>
      <w:bookmarkStart w:id="112" w:name="_Toc180138686"/>
      <w:bookmarkStart w:id="113" w:name="_Toc180139021"/>
      <w:bookmarkStart w:id="114" w:name="_Toc180147997"/>
      <w:r>
        <w:rPr>
          <w:rStyle w:val="CharDivNo"/>
        </w:rPr>
        <w:t>Division 2</w:t>
      </w:r>
      <w:r>
        <w:rPr>
          <w:snapToGrid w:val="0"/>
        </w:rPr>
        <w:t> — </w:t>
      </w:r>
      <w:r>
        <w:rPr>
          <w:rStyle w:val="CharDivText"/>
        </w:rPr>
        <w:t>Referral to juvenile justice team</w:t>
      </w:r>
      <w:bookmarkEnd w:id="112"/>
      <w:bookmarkEnd w:id="113"/>
      <w:bookmarkEnd w:id="114"/>
      <w:r>
        <w:rPr>
          <w:rStyle w:val="CharDivText"/>
        </w:rPr>
        <w:t xml:space="preserve"> </w:t>
      </w:r>
    </w:p>
    <w:p>
      <w:pPr>
        <w:pStyle w:val="Heading5"/>
        <w:rPr>
          <w:snapToGrid w:val="0"/>
        </w:rPr>
      </w:pPr>
      <w:bookmarkStart w:id="115" w:name="_Toc180147998"/>
      <w:r>
        <w:rPr>
          <w:rStyle w:val="CharSectno"/>
        </w:rPr>
        <w:t>24</w:t>
      </w:r>
      <w:r>
        <w:rPr>
          <w:snapToGrid w:val="0"/>
        </w:rPr>
        <w:t>.</w:t>
      </w:r>
      <w:r>
        <w:rPr>
          <w:snapToGrid w:val="0"/>
        </w:rPr>
        <w:tab/>
        <w:t>Principles</w:t>
      </w:r>
      <w:bookmarkEnd w:id="115"/>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lastRenderedPageBreak/>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spacing w:before="180"/>
        <w:rPr>
          <w:snapToGrid w:val="0"/>
        </w:rPr>
      </w:pPr>
      <w:bookmarkStart w:id="116" w:name="_Toc180147999"/>
      <w:r>
        <w:rPr>
          <w:rStyle w:val="CharSectno"/>
        </w:rPr>
        <w:t>25</w:t>
      </w:r>
      <w:r>
        <w:rPr>
          <w:snapToGrid w:val="0"/>
        </w:rPr>
        <w:t>.</w:t>
      </w:r>
      <w:r>
        <w:rPr>
          <w:snapToGrid w:val="0"/>
        </w:rPr>
        <w:tab/>
        <w:t>Only certain matters may be referred to teams</w:t>
      </w:r>
      <w:bookmarkEnd w:id="116"/>
      <w:r>
        <w:rPr>
          <w:snapToGrid w:val="0"/>
        </w:rPr>
        <w:t xml:space="preserve"> </w:t>
      </w:r>
    </w:p>
    <w:p>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 xml:space="preserve">a notice issued under a written law to a person alleging the commission of an offence and offering the person an opportunity, by paying an amount of money prescribed </w:t>
      </w:r>
      <w:r>
        <w:lastRenderedPageBreak/>
        <w:t>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No. 58 of 2004 s. 12; No. 45 of 2010 s. 12.]</w:t>
      </w:r>
    </w:p>
    <w:p>
      <w:pPr>
        <w:pStyle w:val="Heading5"/>
        <w:rPr>
          <w:snapToGrid w:val="0"/>
        </w:rPr>
      </w:pPr>
      <w:bookmarkStart w:id="117" w:name="_Toc180148000"/>
      <w:r>
        <w:rPr>
          <w:rStyle w:val="CharSectno"/>
        </w:rPr>
        <w:t>26</w:t>
      </w:r>
      <w:r>
        <w:rPr>
          <w:snapToGrid w:val="0"/>
        </w:rPr>
        <w:t>.</w:t>
      </w:r>
      <w:r>
        <w:rPr>
          <w:snapToGrid w:val="0"/>
        </w:rPr>
        <w:tab/>
        <w:t>Release of young person under arrest</w:t>
      </w:r>
      <w:bookmarkEnd w:id="117"/>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118" w:name="_Toc180148001"/>
      <w:r>
        <w:rPr>
          <w:rStyle w:val="CharSectno"/>
        </w:rPr>
        <w:t>27</w:t>
      </w:r>
      <w:r>
        <w:rPr>
          <w:snapToGrid w:val="0"/>
        </w:rPr>
        <w:t>.</w:t>
      </w:r>
      <w:r>
        <w:rPr>
          <w:snapToGrid w:val="0"/>
        </w:rPr>
        <w:tab/>
        <w:t>Referral to team by prosecutor</w:t>
      </w:r>
      <w:bookmarkEnd w:id="118"/>
      <w:r>
        <w:rPr>
          <w:snapToGrid w:val="0"/>
        </w:rPr>
        <w:t xml:space="preserve"> </w:t>
      </w:r>
    </w:p>
    <w:p>
      <w:pPr>
        <w:pStyle w:val="Subsection"/>
        <w:rPr>
          <w:snapToGrid w:val="0"/>
        </w:rPr>
      </w:pPr>
      <w:r>
        <w:rPr>
          <w:snapToGrid w:val="0"/>
        </w:rPr>
        <w:tab/>
      </w:r>
      <w:r>
        <w:rPr>
          <w:snapToGrid w:val="0"/>
        </w:rPr>
        <w:tab/>
        <w:t xml:space="preserve">Where there is sufficient evidence to justify charging a young person with the commission of an offence, a person who could </w:t>
      </w:r>
      <w:r>
        <w:rPr>
          <w:snapToGrid w:val="0"/>
        </w:rPr>
        <w:lastRenderedPageBreak/>
        <w:t>lay the charge may, having regard to the circumstances, refer the matter for consideration by a juvenile justice team instead of laying a charge.</w:t>
      </w:r>
    </w:p>
    <w:p>
      <w:pPr>
        <w:pStyle w:val="Heading5"/>
      </w:pPr>
      <w:bookmarkStart w:id="119" w:name="_Toc180148002"/>
      <w:r>
        <w:rPr>
          <w:rStyle w:val="CharSectno"/>
        </w:rPr>
        <w:t>28</w:t>
      </w:r>
      <w:r>
        <w:t>.</w:t>
      </w:r>
      <w:r>
        <w:tab/>
      </w:r>
      <w:r>
        <w:rPr>
          <w:snapToGrid w:val="0"/>
        </w:rPr>
        <w:t>Referral to team by court</w:t>
      </w:r>
      <w:bookmarkEnd w:id="119"/>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No. 58 of 2004 s. 13.]</w:t>
      </w:r>
    </w:p>
    <w:p>
      <w:pPr>
        <w:pStyle w:val="Heading5"/>
        <w:rPr>
          <w:snapToGrid w:val="0"/>
        </w:rPr>
      </w:pPr>
      <w:bookmarkStart w:id="120" w:name="_Toc180148003"/>
      <w:r>
        <w:rPr>
          <w:rStyle w:val="CharSectno"/>
        </w:rPr>
        <w:t>29</w:t>
      </w:r>
      <w:r>
        <w:rPr>
          <w:snapToGrid w:val="0"/>
        </w:rPr>
        <w:t>.</w:t>
      </w:r>
      <w:r>
        <w:rPr>
          <w:snapToGrid w:val="0"/>
        </w:rPr>
        <w:tab/>
        <w:t>First offenders usually should be referred to team</w:t>
      </w:r>
      <w:bookmarkEnd w:id="120"/>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r>
        <w:lastRenderedPageBreak/>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No. 58 of 2004 s. 14; No. 45 of 2010 s. 13.]</w:t>
      </w:r>
    </w:p>
    <w:p>
      <w:pPr>
        <w:pStyle w:val="Heading5"/>
        <w:rPr>
          <w:snapToGrid w:val="0"/>
        </w:rPr>
      </w:pPr>
      <w:bookmarkStart w:id="121" w:name="_Toc180148004"/>
      <w:r>
        <w:rPr>
          <w:rStyle w:val="CharSectno"/>
        </w:rPr>
        <w:t>30</w:t>
      </w:r>
      <w:r>
        <w:rPr>
          <w:snapToGrid w:val="0"/>
        </w:rPr>
        <w:t>.</w:t>
      </w:r>
      <w:r>
        <w:rPr>
          <w:snapToGrid w:val="0"/>
        </w:rPr>
        <w:tab/>
        <w:t>Role of responsible adult</w:t>
      </w:r>
      <w:bookmarkEnd w:id="121"/>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lastRenderedPageBreak/>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122" w:name="_Toc180148005"/>
      <w:r>
        <w:rPr>
          <w:rStyle w:val="CharSectno"/>
        </w:rPr>
        <w:t>31</w:t>
      </w:r>
      <w:r>
        <w:rPr>
          <w:snapToGrid w:val="0"/>
        </w:rPr>
        <w:t>.</w:t>
      </w:r>
      <w:r>
        <w:rPr>
          <w:snapToGrid w:val="0"/>
        </w:rPr>
        <w:tab/>
        <w:t>Role of victim</w:t>
      </w:r>
      <w:bookmarkEnd w:id="122"/>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No. 58 of 2004 s. 15.]</w:t>
      </w:r>
    </w:p>
    <w:p>
      <w:pPr>
        <w:pStyle w:val="Heading5"/>
        <w:rPr>
          <w:snapToGrid w:val="0"/>
        </w:rPr>
      </w:pPr>
      <w:bookmarkStart w:id="123" w:name="_Toc180148006"/>
      <w:r>
        <w:rPr>
          <w:rStyle w:val="CharSectno"/>
        </w:rPr>
        <w:t>32</w:t>
      </w:r>
      <w:r>
        <w:rPr>
          <w:snapToGrid w:val="0"/>
        </w:rPr>
        <w:t>.</w:t>
      </w:r>
      <w:r>
        <w:rPr>
          <w:snapToGrid w:val="0"/>
        </w:rPr>
        <w:tab/>
        <w:t>Powers of juvenile justice team</w:t>
      </w:r>
      <w:bookmarkEnd w:id="123"/>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lastRenderedPageBreak/>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lastRenderedPageBreak/>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keepNext/>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No. 58 of 2004 s. 16.]</w:t>
      </w:r>
    </w:p>
    <w:p>
      <w:pPr>
        <w:pStyle w:val="Heading5"/>
        <w:rPr>
          <w:snapToGrid w:val="0"/>
        </w:rPr>
      </w:pPr>
      <w:bookmarkStart w:id="124" w:name="_Toc180148007"/>
      <w:r>
        <w:rPr>
          <w:rStyle w:val="CharSectno"/>
        </w:rPr>
        <w:t>33</w:t>
      </w:r>
      <w:r>
        <w:rPr>
          <w:snapToGrid w:val="0"/>
        </w:rPr>
        <w:t>.</w:t>
      </w:r>
      <w:r>
        <w:rPr>
          <w:snapToGrid w:val="0"/>
        </w:rPr>
        <w:tab/>
        <w:t>Effect on liability to be dealt with by court</w:t>
      </w:r>
      <w:bookmarkEnd w:id="124"/>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lastRenderedPageBreak/>
        <w:tab/>
        <w:t>[Section 33 amended: No. 84 of 2004 s. 80.]</w:t>
      </w:r>
    </w:p>
    <w:p>
      <w:pPr>
        <w:pStyle w:val="Heading5"/>
        <w:rPr>
          <w:snapToGrid w:val="0"/>
        </w:rPr>
      </w:pPr>
      <w:bookmarkStart w:id="125" w:name="_Toc180148008"/>
      <w:r>
        <w:rPr>
          <w:rStyle w:val="CharSectno"/>
        </w:rPr>
        <w:t>34</w:t>
      </w:r>
      <w:r>
        <w:rPr>
          <w:snapToGrid w:val="0"/>
        </w:rPr>
        <w:t>.</w:t>
      </w:r>
      <w:r>
        <w:rPr>
          <w:snapToGrid w:val="0"/>
        </w:rPr>
        <w:tab/>
        <w:t>Civil liability not affected</w:t>
      </w:r>
      <w:bookmarkEnd w:id="125"/>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126" w:name="_Toc180138698"/>
      <w:bookmarkStart w:id="127" w:name="_Toc180139033"/>
      <w:bookmarkStart w:id="128" w:name="_Toc180148009"/>
      <w:r>
        <w:rPr>
          <w:rStyle w:val="CharDivNo"/>
        </w:rPr>
        <w:t>Division 3</w:t>
      </w:r>
      <w:r>
        <w:rPr>
          <w:snapToGrid w:val="0"/>
        </w:rPr>
        <w:t> — </w:t>
      </w:r>
      <w:r>
        <w:rPr>
          <w:rStyle w:val="CharDivText"/>
        </w:rPr>
        <w:t>Juvenile justice teams</w:t>
      </w:r>
      <w:bookmarkEnd w:id="126"/>
      <w:bookmarkEnd w:id="127"/>
      <w:bookmarkEnd w:id="128"/>
      <w:r>
        <w:rPr>
          <w:rStyle w:val="CharDivText"/>
        </w:rPr>
        <w:t xml:space="preserve"> </w:t>
      </w:r>
    </w:p>
    <w:p>
      <w:pPr>
        <w:pStyle w:val="Heading5"/>
        <w:spacing w:before="180"/>
        <w:rPr>
          <w:snapToGrid w:val="0"/>
        </w:rPr>
      </w:pPr>
      <w:bookmarkStart w:id="129" w:name="_Toc180148010"/>
      <w:r>
        <w:rPr>
          <w:rStyle w:val="CharSectno"/>
        </w:rPr>
        <w:t>35</w:t>
      </w:r>
      <w:r>
        <w:rPr>
          <w:snapToGrid w:val="0"/>
        </w:rPr>
        <w:t>.</w:t>
      </w:r>
      <w:r>
        <w:rPr>
          <w:snapToGrid w:val="0"/>
        </w:rPr>
        <w:tab/>
        <w:t>Terms used</w:t>
      </w:r>
      <w:bookmarkEnd w:id="129"/>
    </w:p>
    <w:p>
      <w:pPr>
        <w:pStyle w:val="Subsection"/>
        <w:keepNext/>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No. 58 of 2004 s. 17.]</w:t>
      </w:r>
    </w:p>
    <w:p>
      <w:pPr>
        <w:pStyle w:val="Heading5"/>
        <w:spacing w:before="180"/>
        <w:rPr>
          <w:snapToGrid w:val="0"/>
        </w:rPr>
      </w:pPr>
      <w:bookmarkStart w:id="130" w:name="_Toc180148011"/>
      <w:r>
        <w:rPr>
          <w:rStyle w:val="CharSectno"/>
        </w:rPr>
        <w:t>36</w:t>
      </w:r>
      <w:r>
        <w:rPr>
          <w:snapToGrid w:val="0"/>
        </w:rPr>
        <w:t>.</w:t>
      </w:r>
      <w:r>
        <w:rPr>
          <w:snapToGrid w:val="0"/>
        </w:rPr>
        <w:tab/>
        <w:t>Juvenile Justice Team Coordinator, appointment of</w:t>
      </w:r>
      <w:bookmarkEnd w:id="130"/>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r>
        <w:tab/>
        <w:t>(2)</w:t>
      </w:r>
      <w:r>
        <w:tab/>
        <w:t>The chief executive officer may appoint a member of an approved Aboriginal community to be a Juvenile Justice Team Coordinator on a paid or honorary basis, and may revoke any such appointment.</w:t>
      </w:r>
    </w:p>
    <w:p>
      <w:pPr>
        <w:pStyle w:val="Footnotesection"/>
        <w:spacing w:before="100"/>
        <w:ind w:left="890" w:hanging="890"/>
      </w:pPr>
      <w:r>
        <w:tab/>
        <w:t>[Section 36 amended: No. 58 of 2004 s. 18.]</w:t>
      </w:r>
    </w:p>
    <w:p>
      <w:pPr>
        <w:pStyle w:val="Footnotesection"/>
        <w:spacing w:before="100"/>
        <w:ind w:left="890" w:hanging="890"/>
      </w:pPr>
      <w:r>
        <w:tab/>
        <w:t>[Section 36. Modifications to be applied in order to give effect to Cross-border Justice Act 2008: section altered 1 Dec 2009. See endnote 1M.]</w:t>
      </w:r>
    </w:p>
    <w:p>
      <w:pPr>
        <w:pStyle w:val="Heading5"/>
        <w:spacing w:before="180"/>
        <w:rPr>
          <w:snapToGrid w:val="0"/>
        </w:rPr>
      </w:pPr>
      <w:bookmarkStart w:id="131" w:name="_Toc180148012"/>
      <w:r>
        <w:rPr>
          <w:rStyle w:val="CharSectno"/>
        </w:rPr>
        <w:t>37</w:t>
      </w:r>
      <w:r>
        <w:rPr>
          <w:snapToGrid w:val="0"/>
        </w:rPr>
        <w:t>.</w:t>
      </w:r>
      <w:r>
        <w:rPr>
          <w:snapToGrid w:val="0"/>
        </w:rPr>
        <w:tab/>
        <w:t>Establishing juvenile justice teams</w:t>
      </w:r>
      <w:bookmarkEnd w:id="131"/>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w:t>
      </w:r>
      <w:r>
        <w:rPr>
          <w:snapToGrid w:val="0"/>
        </w:rPr>
        <w:lastRenderedPageBreak/>
        <w:t>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No. 36 of 1999 s. 247; No. 58 of 2004 s. 19.]</w:t>
      </w:r>
    </w:p>
    <w:p>
      <w:pPr>
        <w:pStyle w:val="Heading5"/>
      </w:pPr>
      <w:bookmarkStart w:id="132" w:name="_Toc180148013"/>
      <w:r>
        <w:rPr>
          <w:rStyle w:val="CharSectno"/>
        </w:rPr>
        <w:lastRenderedPageBreak/>
        <w:t>37A</w:t>
      </w:r>
      <w:r>
        <w:t>.</w:t>
      </w:r>
      <w:r>
        <w:tab/>
        <w:t>No representation by lawyer or agent</w:t>
      </w:r>
      <w:bookmarkEnd w:id="132"/>
    </w:p>
    <w:p>
      <w:pPr>
        <w:pStyle w:val="Ednotesubsection"/>
        <w:keepNext/>
      </w:pPr>
      <w:r>
        <w:tab/>
        <w:t>[(1)</w:t>
      </w:r>
      <w:r>
        <w:tab/>
        <w:t>deleted]</w:t>
      </w:r>
    </w:p>
    <w:p>
      <w:pPr>
        <w:pStyle w:val="Subsection"/>
      </w:pPr>
      <w:r>
        <w:tab/>
        <w:t>(2)</w:t>
      </w:r>
      <w:r>
        <w:tab/>
        <w:t>During the consideration of a matter by a juvenile justice team, a participant in the proceedings of the team is not to be represented in those proceedings by a lawyer or other agent.</w:t>
      </w:r>
    </w:p>
    <w:p>
      <w:pPr>
        <w:pStyle w:val="Footnotesection"/>
        <w:ind w:left="890" w:hanging="890"/>
      </w:pPr>
      <w:r>
        <w:tab/>
        <w:t>[Section 37A inserted: No. 58 of 2004 s. 20; amended: No. 21 of 2008 s. 714(2) and (3); No. 9 of 2022 s. 422.]</w:t>
      </w:r>
    </w:p>
    <w:p>
      <w:pPr>
        <w:pStyle w:val="Heading5"/>
        <w:keepNext w:val="0"/>
        <w:keepLines w:val="0"/>
        <w:spacing w:before="240"/>
        <w:rPr>
          <w:snapToGrid w:val="0"/>
        </w:rPr>
      </w:pPr>
      <w:bookmarkStart w:id="133" w:name="_Toc180148014"/>
      <w:r>
        <w:rPr>
          <w:rStyle w:val="CharSectno"/>
        </w:rPr>
        <w:t>38</w:t>
      </w:r>
      <w:r>
        <w:rPr>
          <w:snapToGrid w:val="0"/>
        </w:rPr>
        <w:t>.</w:t>
      </w:r>
      <w:r>
        <w:rPr>
          <w:snapToGrid w:val="0"/>
        </w:rPr>
        <w:tab/>
        <w:t>Decisions to be unanimous</w:t>
      </w:r>
      <w:bookmarkEnd w:id="133"/>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134" w:name="_Toc180148015"/>
      <w:r>
        <w:rPr>
          <w:rStyle w:val="CharSectno"/>
        </w:rPr>
        <w:t>39</w:t>
      </w:r>
      <w:r>
        <w:rPr>
          <w:snapToGrid w:val="0"/>
        </w:rPr>
        <w:t>.</w:t>
      </w:r>
      <w:r>
        <w:rPr>
          <w:snapToGrid w:val="0"/>
        </w:rPr>
        <w:tab/>
        <w:t>Records to be kept</w:t>
      </w:r>
      <w:bookmarkEnd w:id="134"/>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135" w:name="_Toc180148016"/>
      <w:r>
        <w:rPr>
          <w:rStyle w:val="CharSectno"/>
        </w:rPr>
        <w:t>40</w:t>
      </w:r>
      <w:r>
        <w:rPr>
          <w:snapToGrid w:val="0"/>
        </w:rPr>
        <w:t>.</w:t>
      </w:r>
      <w:r>
        <w:rPr>
          <w:snapToGrid w:val="0"/>
        </w:rPr>
        <w:tab/>
        <w:t>No report of proceedings to be published</w:t>
      </w:r>
      <w:bookmarkEnd w:id="135"/>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lastRenderedPageBreak/>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136" w:name="_Toc180138706"/>
      <w:bookmarkStart w:id="137" w:name="_Toc180139041"/>
      <w:bookmarkStart w:id="138" w:name="_Toc180148017"/>
      <w:r>
        <w:rPr>
          <w:rStyle w:val="CharPartNo"/>
        </w:rPr>
        <w:lastRenderedPageBreak/>
        <w:t>Part 6</w:t>
      </w:r>
      <w:r>
        <w:rPr>
          <w:rStyle w:val="CharDivNo"/>
        </w:rPr>
        <w:t> </w:t>
      </w:r>
      <w:r>
        <w:t>—</w:t>
      </w:r>
      <w:r>
        <w:rPr>
          <w:rStyle w:val="CharDivText"/>
        </w:rPr>
        <w:t> </w:t>
      </w:r>
      <w:r>
        <w:rPr>
          <w:rStyle w:val="CharPartText"/>
        </w:rPr>
        <w:t>Court proceedings</w:t>
      </w:r>
      <w:bookmarkEnd w:id="136"/>
      <w:bookmarkEnd w:id="137"/>
      <w:bookmarkEnd w:id="138"/>
      <w:r>
        <w:rPr>
          <w:rStyle w:val="CharPartText"/>
        </w:rPr>
        <w:t xml:space="preserve"> </w:t>
      </w:r>
    </w:p>
    <w:p>
      <w:pPr>
        <w:pStyle w:val="Heading5"/>
        <w:rPr>
          <w:snapToGrid w:val="0"/>
        </w:rPr>
      </w:pPr>
      <w:bookmarkStart w:id="139" w:name="_Toc180148018"/>
      <w:r>
        <w:rPr>
          <w:rStyle w:val="CharSectno"/>
        </w:rPr>
        <w:t>41</w:t>
      </w:r>
      <w:r>
        <w:rPr>
          <w:snapToGrid w:val="0"/>
        </w:rPr>
        <w:t>.</w:t>
      </w:r>
      <w:r>
        <w:rPr>
          <w:snapToGrid w:val="0"/>
        </w:rPr>
        <w:tab/>
        <w:t>Preliminary considerations for police before prosecuting</w:t>
      </w:r>
      <w:bookmarkEnd w:id="139"/>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40" w:name="_Toc180148019"/>
      <w:r>
        <w:rPr>
          <w:rStyle w:val="CharSectno"/>
        </w:rPr>
        <w:t>42</w:t>
      </w:r>
      <w:r>
        <w:rPr>
          <w:snapToGrid w:val="0"/>
        </w:rPr>
        <w:t>.</w:t>
      </w:r>
      <w:r>
        <w:rPr>
          <w:snapToGrid w:val="0"/>
        </w:rPr>
        <w:tab/>
        <w:t>Notice to attend court usually preferable to summons</w:t>
      </w:r>
      <w:bookmarkEnd w:id="140"/>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40"/>
        <w:rPr>
          <w:snapToGrid w:val="0"/>
        </w:rPr>
      </w:pPr>
      <w:r>
        <w:rPr>
          <w:snapToGrid w:val="0"/>
        </w:rPr>
        <w:tab/>
      </w:r>
      <w:r>
        <w:rPr>
          <w:snapToGrid w:val="0"/>
        </w:rPr>
        <w:tab/>
        <w:t>may instead issue to the young person a notice to attend court.</w:t>
      </w:r>
    </w:p>
    <w:p>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lastRenderedPageBreak/>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No. 84 of 2004 s. 80.]</w:t>
      </w:r>
    </w:p>
    <w:p>
      <w:pPr>
        <w:pStyle w:val="Heading5"/>
        <w:rPr>
          <w:snapToGrid w:val="0"/>
        </w:rPr>
      </w:pPr>
      <w:bookmarkStart w:id="141" w:name="_Toc180148020"/>
      <w:r>
        <w:rPr>
          <w:rStyle w:val="CharSectno"/>
        </w:rPr>
        <w:t>43</w:t>
      </w:r>
      <w:r>
        <w:rPr>
          <w:snapToGrid w:val="0"/>
        </w:rPr>
        <w:t>.</w:t>
      </w:r>
      <w:r>
        <w:rPr>
          <w:snapToGrid w:val="0"/>
        </w:rPr>
        <w:tab/>
        <w:t>Notices to attend court, general provisions about</w:t>
      </w:r>
      <w:bookmarkEnd w:id="141"/>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lastRenderedPageBreak/>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lastRenderedPageBreak/>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42" w:name="_Toc180148021"/>
      <w:r>
        <w:rPr>
          <w:rStyle w:val="CharSectno"/>
        </w:rPr>
        <w:t>44</w:t>
      </w:r>
      <w:r>
        <w:rPr>
          <w:snapToGrid w:val="0"/>
        </w:rPr>
        <w:t>.</w:t>
      </w:r>
      <w:r>
        <w:rPr>
          <w:snapToGrid w:val="0"/>
        </w:rPr>
        <w:tab/>
        <w:t>Proceedings to be explained to young persons</w:t>
      </w:r>
      <w:bookmarkEnd w:id="142"/>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 xml:space="preserve">If a young person is sentenced to a fine or ordered to make any other payment of money, the court must give the young person a notice stating in simple language the amount the young person </w:t>
      </w:r>
      <w:r>
        <w:rPr>
          <w:snapToGrid w:val="0"/>
        </w:rPr>
        <w:lastRenderedPageBreak/>
        <w:t>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43" w:name="_Toc180148022"/>
      <w:r>
        <w:rPr>
          <w:rStyle w:val="CharSectno"/>
        </w:rPr>
        <w:t>45</w:t>
      </w:r>
      <w:r>
        <w:rPr>
          <w:snapToGrid w:val="0"/>
        </w:rPr>
        <w:t>.</w:t>
      </w:r>
      <w:r>
        <w:rPr>
          <w:snapToGrid w:val="0"/>
        </w:rPr>
        <w:tab/>
        <w:t>Responsible adult may be required to attend court</w:t>
      </w:r>
      <w:bookmarkEnd w:id="143"/>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keepNext/>
        <w:spacing w:before="120"/>
        <w:rPr>
          <w:snapToGrid w:val="0"/>
        </w:rPr>
      </w:pPr>
      <w:r>
        <w:rPr>
          <w:snapToGrid w:val="0"/>
        </w:rPr>
        <w:tab/>
        <w:t>(5)</w:t>
      </w:r>
      <w:r>
        <w:rPr>
          <w:snapToGrid w:val="0"/>
        </w:rPr>
        <w:tab/>
        <w:t xml:space="preserve">If the court proceeds with the hearing and determination of the matter in the absence of a responsible adult, the court is to do </w:t>
      </w:r>
      <w:r>
        <w:rPr>
          <w:snapToGrid w:val="0"/>
        </w:rPr>
        <w:lastRenderedPageBreak/>
        <w:t>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44" w:name="_Toc180138712"/>
      <w:bookmarkStart w:id="145" w:name="_Toc180139047"/>
      <w:bookmarkStart w:id="146" w:name="_Toc180148023"/>
      <w:r>
        <w:rPr>
          <w:rStyle w:val="CharPartNo"/>
        </w:rPr>
        <w:lastRenderedPageBreak/>
        <w:t>Part 7</w:t>
      </w:r>
      <w:r>
        <w:t> — </w:t>
      </w:r>
      <w:r>
        <w:rPr>
          <w:rStyle w:val="CharPartText"/>
        </w:rPr>
        <w:t>Sentencing and related matters</w:t>
      </w:r>
      <w:bookmarkEnd w:id="144"/>
      <w:bookmarkEnd w:id="145"/>
      <w:bookmarkEnd w:id="146"/>
      <w:r>
        <w:rPr>
          <w:rStyle w:val="CharPartText"/>
        </w:rPr>
        <w:t xml:space="preserve"> </w:t>
      </w:r>
    </w:p>
    <w:p>
      <w:pPr>
        <w:pStyle w:val="Heading3"/>
        <w:rPr>
          <w:snapToGrid w:val="0"/>
        </w:rPr>
      </w:pPr>
      <w:bookmarkStart w:id="147" w:name="_Toc180138713"/>
      <w:bookmarkStart w:id="148" w:name="_Toc180139048"/>
      <w:bookmarkStart w:id="149" w:name="_Toc180148024"/>
      <w:r>
        <w:rPr>
          <w:rStyle w:val="CharDivNo"/>
        </w:rPr>
        <w:t>Division 1</w:t>
      </w:r>
      <w:r>
        <w:rPr>
          <w:snapToGrid w:val="0"/>
        </w:rPr>
        <w:t> — </w:t>
      </w:r>
      <w:r>
        <w:rPr>
          <w:rStyle w:val="CharDivText"/>
        </w:rPr>
        <w:t>General</w:t>
      </w:r>
      <w:bookmarkEnd w:id="147"/>
      <w:bookmarkEnd w:id="148"/>
      <w:bookmarkEnd w:id="149"/>
      <w:r>
        <w:rPr>
          <w:rStyle w:val="CharDivText"/>
        </w:rPr>
        <w:t xml:space="preserve"> </w:t>
      </w:r>
    </w:p>
    <w:p>
      <w:pPr>
        <w:pStyle w:val="Heading5"/>
        <w:spacing w:before="120"/>
        <w:rPr>
          <w:snapToGrid w:val="0"/>
        </w:rPr>
      </w:pPr>
      <w:bookmarkStart w:id="150" w:name="_Toc180148025"/>
      <w:r>
        <w:rPr>
          <w:rStyle w:val="CharSectno"/>
        </w:rPr>
        <w:t>46</w:t>
      </w:r>
      <w:r>
        <w:rPr>
          <w:snapToGrid w:val="0"/>
        </w:rPr>
        <w:t>.</w:t>
      </w:r>
      <w:r>
        <w:rPr>
          <w:snapToGrid w:val="0"/>
        </w:rPr>
        <w:tab/>
        <w:t>Principles and considerations to be applied to young offenders</w:t>
      </w:r>
      <w:bookmarkEnd w:id="150"/>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No. 78 of 1995 s. 145; No. 8 of 2012 s. 201; No. 23 of 2015 s. 23; No. 16 of 2016 s. 44.] </w:t>
      </w:r>
    </w:p>
    <w:p>
      <w:pPr>
        <w:pStyle w:val="Heading5"/>
        <w:rPr>
          <w:snapToGrid w:val="0"/>
        </w:rPr>
      </w:pPr>
      <w:bookmarkStart w:id="151" w:name="_Toc180148026"/>
      <w:r>
        <w:rPr>
          <w:rStyle w:val="CharSectno"/>
        </w:rPr>
        <w:t>46A</w:t>
      </w:r>
      <w:r>
        <w:rPr>
          <w:snapToGrid w:val="0"/>
        </w:rPr>
        <w:t>.</w:t>
      </w:r>
      <w:r>
        <w:rPr>
          <w:snapToGrid w:val="0"/>
        </w:rPr>
        <w:tab/>
        <w:t xml:space="preserve">Application of </w:t>
      </w:r>
      <w:r>
        <w:rPr>
          <w:i/>
          <w:snapToGrid w:val="0"/>
        </w:rPr>
        <w:t>Sentencing Act 1995</w:t>
      </w:r>
      <w:bookmarkEnd w:id="151"/>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keepNext/>
        <w:rPr>
          <w:snapToGrid w:val="0"/>
        </w:rPr>
      </w:pPr>
      <w:r>
        <w:rPr>
          <w:snapToGrid w:val="0"/>
        </w:rPr>
        <w:tab/>
        <w:t>(b)</w:t>
      </w:r>
      <w:r>
        <w:rPr>
          <w:snapToGrid w:val="0"/>
        </w:rPr>
        <w:tab/>
        <w:t>in a case to which section 50B applies.</w:t>
      </w:r>
    </w:p>
    <w:p>
      <w:pPr>
        <w:pStyle w:val="Footnotesection"/>
      </w:pPr>
      <w:r>
        <w:tab/>
        <w:t xml:space="preserve">[Section 46A inserted: No. 78 of 1995 s. 140.] </w:t>
      </w:r>
    </w:p>
    <w:p>
      <w:pPr>
        <w:pStyle w:val="Heading5"/>
        <w:rPr>
          <w:snapToGrid w:val="0"/>
        </w:rPr>
      </w:pPr>
      <w:bookmarkStart w:id="152" w:name="_Toc180148027"/>
      <w:r>
        <w:rPr>
          <w:rStyle w:val="CharSectno"/>
        </w:rPr>
        <w:t>47</w:t>
      </w:r>
      <w:r>
        <w:rPr>
          <w:snapToGrid w:val="0"/>
        </w:rPr>
        <w:t>.</w:t>
      </w:r>
      <w:r>
        <w:rPr>
          <w:snapToGrid w:val="0"/>
        </w:rPr>
        <w:tab/>
        <w:t>Court may request information</w:t>
      </w:r>
      <w:bookmarkEnd w:id="152"/>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53" w:name="_Toc180148028"/>
      <w:r>
        <w:rPr>
          <w:rStyle w:val="CharSectno"/>
        </w:rPr>
        <w:t>48</w:t>
      </w:r>
      <w:r>
        <w:rPr>
          <w:snapToGrid w:val="0"/>
        </w:rPr>
        <w:t>.</w:t>
      </w:r>
      <w:r>
        <w:rPr>
          <w:snapToGrid w:val="0"/>
        </w:rPr>
        <w:tab/>
        <w:t>Certain reports required</w:t>
      </w:r>
      <w:bookmarkEnd w:id="153"/>
      <w:r>
        <w:rPr>
          <w:snapToGrid w:val="0"/>
        </w:rPr>
        <w:t xml:space="preserve"> </w:t>
      </w:r>
    </w:p>
    <w:p>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keepNext/>
        <w:rPr>
          <w:snapToGrid w:val="0"/>
        </w:rPr>
      </w:pPr>
      <w:r>
        <w:rPr>
          <w:snapToGrid w:val="0"/>
        </w:rPr>
        <w:lastRenderedPageBreak/>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54" w:name="_Toc180148029"/>
      <w:r>
        <w:rPr>
          <w:rStyle w:val="CharSectno"/>
        </w:rPr>
        <w:t>49</w:t>
      </w:r>
      <w:r>
        <w:rPr>
          <w:snapToGrid w:val="0"/>
        </w:rPr>
        <w:t>.</w:t>
      </w:r>
      <w:r>
        <w:rPr>
          <w:snapToGrid w:val="0"/>
        </w:rPr>
        <w:tab/>
        <w:t>Remand for observation</w:t>
      </w:r>
      <w:bookmarkEnd w:id="154"/>
      <w:r>
        <w:rPr>
          <w:snapToGrid w:val="0"/>
        </w:rPr>
        <w:t xml:space="preserve"> </w:t>
      </w:r>
    </w:p>
    <w:p>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spacing w:before="180"/>
        <w:rPr>
          <w:snapToGrid w:val="0"/>
        </w:rPr>
      </w:pPr>
      <w:bookmarkStart w:id="155" w:name="_Toc180148030"/>
      <w:r>
        <w:rPr>
          <w:rStyle w:val="CharSectno"/>
        </w:rPr>
        <w:t>50</w:t>
      </w:r>
      <w:r>
        <w:rPr>
          <w:snapToGrid w:val="0"/>
        </w:rPr>
        <w:t>.</w:t>
      </w:r>
      <w:r>
        <w:rPr>
          <w:snapToGrid w:val="0"/>
        </w:rPr>
        <w:tab/>
        <w:t>Offender aged under 17 at time of sentence, options</w:t>
      </w:r>
      <w:bookmarkEnd w:id="155"/>
      <w:r>
        <w:rPr>
          <w:snapToGrid w:val="0"/>
        </w:rPr>
        <w:t xml:space="preserve"> </w:t>
      </w:r>
    </w:p>
    <w:p>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spacing w:before="80"/>
        <w:ind w:left="890" w:hanging="890"/>
      </w:pPr>
      <w:r>
        <w:tab/>
        <w:t xml:space="preserve">[Section 50 inserted: No. 78 of 1995 s. 142.] </w:t>
      </w:r>
    </w:p>
    <w:p>
      <w:pPr>
        <w:pStyle w:val="Heading5"/>
        <w:spacing w:before="180"/>
        <w:rPr>
          <w:snapToGrid w:val="0"/>
        </w:rPr>
      </w:pPr>
      <w:bookmarkStart w:id="156" w:name="_Toc180148031"/>
      <w:r>
        <w:rPr>
          <w:rStyle w:val="CharSectno"/>
        </w:rPr>
        <w:lastRenderedPageBreak/>
        <w:t>50A</w:t>
      </w:r>
      <w:r>
        <w:rPr>
          <w:snapToGrid w:val="0"/>
        </w:rPr>
        <w:t>.</w:t>
      </w:r>
      <w:r>
        <w:rPr>
          <w:snapToGrid w:val="0"/>
        </w:rPr>
        <w:tab/>
        <w:t>Offender aged 17 or over but under 18 at time of sentence, options</w:t>
      </w:r>
      <w:bookmarkEnd w:id="156"/>
      <w:r>
        <w:rPr>
          <w:snapToGrid w:val="0"/>
        </w:rPr>
        <w:t xml:space="preserve"> </w:t>
      </w:r>
    </w:p>
    <w:p>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pPr>
        <w:pStyle w:val="Subsection"/>
        <w:spacing w:before="140"/>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No. 78 of 1995 s. 142; amended: No. 50 of 2003 s. 29(3).] </w:t>
      </w:r>
    </w:p>
    <w:p>
      <w:pPr>
        <w:pStyle w:val="Heading5"/>
        <w:rPr>
          <w:snapToGrid w:val="0"/>
        </w:rPr>
      </w:pPr>
      <w:bookmarkStart w:id="157" w:name="_Toc180148032"/>
      <w:r>
        <w:rPr>
          <w:rStyle w:val="CharSectno"/>
        </w:rPr>
        <w:lastRenderedPageBreak/>
        <w:t>50B</w:t>
      </w:r>
      <w:r>
        <w:rPr>
          <w:snapToGrid w:val="0"/>
        </w:rPr>
        <w:t>.</w:t>
      </w:r>
      <w:r>
        <w:rPr>
          <w:snapToGrid w:val="0"/>
        </w:rPr>
        <w:tab/>
        <w:t>Offender aged 18 or over at time of sentence, options</w:t>
      </w:r>
      <w:bookmarkEnd w:id="157"/>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No. 78 of 1995 s. 142; amended: No. 50 of 2003 s. 29(3).] </w:t>
      </w:r>
    </w:p>
    <w:p>
      <w:pPr>
        <w:pStyle w:val="Heading5"/>
        <w:rPr>
          <w:snapToGrid w:val="0"/>
        </w:rPr>
      </w:pPr>
      <w:bookmarkStart w:id="158" w:name="_Toc180148033"/>
      <w:r>
        <w:rPr>
          <w:rStyle w:val="CharSectno"/>
        </w:rPr>
        <w:t>51</w:t>
      </w:r>
      <w:r>
        <w:rPr>
          <w:snapToGrid w:val="0"/>
        </w:rPr>
        <w:t>.</w:t>
      </w:r>
      <w:r>
        <w:rPr>
          <w:snapToGrid w:val="0"/>
        </w:rPr>
        <w:tab/>
        <w:t>Responsible adult to be present for certain orders</w:t>
      </w:r>
      <w:bookmarkEnd w:id="158"/>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59" w:name="_Toc180148034"/>
      <w:r>
        <w:rPr>
          <w:rStyle w:val="CharSectno"/>
        </w:rPr>
        <w:lastRenderedPageBreak/>
        <w:t>52</w:t>
      </w:r>
      <w:r>
        <w:rPr>
          <w:snapToGrid w:val="0"/>
        </w:rPr>
        <w:t>.</w:t>
      </w:r>
      <w:r>
        <w:rPr>
          <w:snapToGrid w:val="0"/>
        </w:rPr>
        <w:tab/>
        <w:t>Order requiring consent to be explained</w:t>
      </w:r>
      <w:bookmarkEnd w:id="159"/>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240"/>
      </w:pPr>
      <w:r>
        <w:t>[</w:t>
      </w:r>
      <w:r>
        <w:rPr>
          <w:b/>
        </w:rPr>
        <w:t>53.</w:t>
      </w:r>
      <w:r>
        <w:t xml:space="preserve"> </w:t>
      </w:r>
      <w:r>
        <w:tab/>
        <w:t xml:space="preserve">Deleted: No. 78 of 1995 s. 145.] </w:t>
      </w:r>
    </w:p>
    <w:p>
      <w:pPr>
        <w:pStyle w:val="Heading5"/>
        <w:spacing w:before="240"/>
        <w:rPr>
          <w:snapToGrid w:val="0"/>
        </w:rPr>
      </w:pPr>
      <w:bookmarkStart w:id="160" w:name="_Toc180148035"/>
      <w:r>
        <w:rPr>
          <w:rStyle w:val="CharSectno"/>
        </w:rPr>
        <w:t>54</w:t>
      </w:r>
      <w:r>
        <w:rPr>
          <w:snapToGrid w:val="0"/>
        </w:rPr>
        <w:t>.</w:t>
      </w:r>
      <w:r>
        <w:rPr>
          <w:snapToGrid w:val="0"/>
        </w:rPr>
        <w:tab/>
        <w:t>Body samples may be required to be provided</w:t>
      </w:r>
      <w:bookmarkEnd w:id="160"/>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No. 58 of 2004 s. 21.]</w:t>
      </w:r>
    </w:p>
    <w:p>
      <w:pPr>
        <w:pStyle w:val="Heading5"/>
        <w:rPr>
          <w:snapToGrid w:val="0"/>
        </w:rPr>
      </w:pPr>
      <w:bookmarkStart w:id="161" w:name="_Toc180148036"/>
      <w:r>
        <w:rPr>
          <w:rStyle w:val="CharSectno"/>
        </w:rPr>
        <w:lastRenderedPageBreak/>
        <w:t>55</w:t>
      </w:r>
      <w:r>
        <w:rPr>
          <w:snapToGrid w:val="0"/>
        </w:rPr>
        <w:t>.</w:t>
      </w:r>
      <w:r>
        <w:rPr>
          <w:snapToGrid w:val="0"/>
        </w:rPr>
        <w:tab/>
        <w:t>Conviction, when to be recorded</w:t>
      </w:r>
      <w:bookmarkEnd w:id="161"/>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keepNext/>
      </w:pPr>
      <w:r>
        <w:lastRenderedPageBreak/>
        <w:tab/>
        <w:t>(6)</w:t>
      </w:r>
      <w:r>
        <w:tab/>
        <w:t xml:space="preserve">The powers in this section may be exercised despite section 147(1) of the </w:t>
      </w:r>
      <w:r>
        <w:rPr>
          <w:i/>
        </w:rPr>
        <w:t>Criminal Procedure Act 2004</w:t>
      </w:r>
      <w:r>
        <w:t>.</w:t>
      </w:r>
    </w:p>
    <w:p>
      <w:pPr>
        <w:pStyle w:val="Footnotesection"/>
      </w:pPr>
      <w:r>
        <w:tab/>
        <w:t>[Section 55 amended: No. 84 of 2004 s. 74; No. 8 of 2012 s. 202.]</w:t>
      </w:r>
    </w:p>
    <w:p>
      <w:pPr>
        <w:pStyle w:val="Heading5"/>
        <w:spacing w:before="180"/>
        <w:rPr>
          <w:snapToGrid w:val="0"/>
        </w:rPr>
      </w:pPr>
      <w:bookmarkStart w:id="162" w:name="_Toc180148037"/>
      <w:r>
        <w:rPr>
          <w:rStyle w:val="CharSectno"/>
        </w:rPr>
        <w:t>56</w:t>
      </w:r>
      <w:r>
        <w:rPr>
          <w:snapToGrid w:val="0"/>
        </w:rPr>
        <w:t>.</w:t>
      </w:r>
      <w:r>
        <w:rPr>
          <w:snapToGrid w:val="0"/>
        </w:rPr>
        <w:tab/>
        <w:t>Compensation and restitution, orders for</w:t>
      </w:r>
      <w:bookmarkEnd w:id="162"/>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r>
        <w:tab/>
        <w:t>[Section 56 amended: No. 59 of 2004 s. 141.]</w:t>
      </w:r>
    </w:p>
    <w:p>
      <w:pPr>
        <w:pStyle w:val="Heading5"/>
        <w:rPr>
          <w:snapToGrid w:val="0"/>
        </w:rPr>
      </w:pPr>
      <w:bookmarkStart w:id="163" w:name="_Toc180148038"/>
      <w:r>
        <w:rPr>
          <w:rStyle w:val="CharSectno"/>
        </w:rPr>
        <w:lastRenderedPageBreak/>
        <w:t>57</w:t>
      </w:r>
      <w:r>
        <w:rPr>
          <w:snapToGrid w:val="0"/>
        </w:rPr>
        <w:t>.</w:t>
      </w:r>
      <w:r>
        <w:rPr>
          <w:snapToGrid w:val="0"/>
        </w:rPr>
        <w:tab/>
        <w:t>Costs may be ordered to be paid</w:t>
      </w:r>
      <w:bookmarkEnd w:id="163"/>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64" w:name="_Toc180148039"/>
      <w:r>
        <w:rPr>
          <w:rStyle w:val="CharSectno"/>
        </w:rPr>
        <w:t>58</w:t>
      </w:r>
      <w:r>
        <w:rPr>
          <w:snapToGrid w:val="0"/>
        </w:rPr>
        <w:t>.</w:t>
      </w:r>
      <w:r>
        <w:rPr>
          <w:snapToGrid w:val="0"/>
        </w:rPr>
        <w:tab/>
        <w:t>Responsible adult may be made liable for fine etc.</w:t>
      </w:r>
      <w:bookmarkEnd w:id="164"/>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spacing w:before="120"/>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spacing w:before="120"/>
        <w:rPr>
          <w:snapToGrid w:val="0"/>
        </w:rPr>
      </w:pPr>
      <w:r>
        <w:rPr>
          <w:snapToGrid w:val="0"/>
        </w:rPr>
        <w:tab/>
        <w:t>(6)</w:t>
      </w:r>
      <w:r>
        <w:rPr>
          <w:snapToGrid w:val="0"/>
        </w:rPr>
        <w:tab/>
        <w:t>An order under subsection (2) or (5) may be made against more than one responsible adult.</w:t>
      </w:r>
    </w:p>
    <w:p>
      <w:pPr>
        <w:pStyle w:val="Subsection"/>
        <w:spacing w:before="120"/>
        <w:rPr>
          <w:snapToGrid w:val="0"/>
        </w:rPr>
      </w:pPr>
      <w:r>
        <w:rPr>
          <w:snapToGrid w:val="0"/>
        </w:rPr>
        <w:lastRenderedPageBreak/>
        <w:tab/>
        <w:t>(7)</w:t>
      </w:r>
      <w:r>
        <w:rPr>
          <w:snapToGrid w:val="0"/>
        </w:rPr>
        <w:tab/>
        <w:t>Obligations to pay imposed on 2 or more persons by an order under this section or by a security given as ordered under this section are joint and several.</w:t>
      </w:r>
    </w:p>
    <w:p>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spacing w:before="180"/>
        <w:rPr>
          <w:snapToGrid w:val="0"/>
        </w:rPr>
      </w:pPr>
      <w:bookmarkStart w:id="165" w:name="_Toc180148040"/>
      <w:r>
        <w:rPr>
          <w:rStyle w:val="CharSectno"/>
        </w:rPr>
        <w:t>59</w:t>
      </w:r>
      <w:r>
        <w:rPr>
          <w:snapToGrid w:val="0"/>
        </w:rPr>
        <w:t>.</w:t>
      </w:r>
      <w:r>
        <w:rPr>
          <w:snapToGrid w:val="0"/>
        </w:rPr>
        <w:tab/>
        <w:t>Court orders to be provided in writing</w:t>
      </w:r>
      <w:bookmarkEnd w:id="165"/>
      <w:r>
        <w:rPr>
          <w:snapToGrid w:val="0"/>
        </w:rPr>
        <w:t xml:space="preserve"> </w:t>
      </w:r>
    </w:p>
    <w:p>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lastRenderedPageBreak/>
        <w:tab/>
        <w:t>(4)</w:t>
      </w:r>
      <w:r>
        <w:rPr>
          <w:snapToGrid w:val="0"/>
        </w:rPr>
        <w:tab/>
        <w:t>An order of the court is not defective on the ground of failure to comply with this section.</w:t>
      </w:r>
    </w:p>
    <w:p>
      <w:pPr>
        <w:pStyle w:val="Footnotesection"/>
      </w:pPr>
      <w:r>
        <w:tab/>
        <w:t>[Section 59 amended: No. 59 of 2004 s. 141.]</w:t>
      </w:r>
    </w:p>
    <w:p>
      <w:pPr>
        <w:pStyle w:val="Heading5"/>
      </w:pPr>
      <w:bookmarkStart w:id="166" w:name="_Toc180148041"/>
      <w:r>
        <w:rPr>
          <w:rStyle w:val="CharSectno"/>
        </w:rPr>
        <w:t>60</w:t>
      </w:r>
      <w:r>
        <w:t>.</w:t>
      </w:r>
      <w:r>
        <w:tab/>
        <w:t>Orders etc. under this Part are sentences</w:t>
      </w:r>
      <w:bookmarkEnd w:id="166"/>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No. 84 of 2004 s. 75.]</w:t>
      </w:r>
    </w:p>
    <w:p>
      <w:pPr>
        <w:pStyle w:val="Ednotesection"/>
      </w:pPr>
      <w:r>
        <w:t>[</w:t>
      </w:r>
      <w:r>
        <w:rPr>
          <w:b/>
        </w:rPr>
        <w:t>61.</w:t>
      </w:r>
      <w:r>
        <w:tab/>
        <w:t xml:space="preserve">Deleted: No. 92 of 1994 s. 44.] </w:t>
      </w:r>
    </w:p>
    <w:p>
      <w:pPr>
        <w:pStyle w:val="Heading5"/>
        <w:rPr>
          <w:snapToGrid w:val="0"/>
        </w:rPr>
      </w:pPr>
      <w:bookmarkStart w:id="167" w:name="_Toc180148042"/>
      <w:r>
        <w:rPr>
          <w:rStyle w:val="CharSectno"/>
        </w:rPr>
        <w:t>62</w:t>
      </w:r>
      <w:r>
        <w:rPr>
          <w:snapToGrid w:val="0"/>
        </w:rPr>
        <w:t>.</w:t>
      </w:r>
      <w:r>
        <w:rPr>
          <w:snapToGrid w:val="0"/>
        </w:rPr>
        <w:tab/>
        <w:t>Workers’ compensation for compulsory work</w:t>
      </w:r>
      <w:bookmarkEnd w:id="167"/>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rPr>
        <w:t>Workers Compensation and Injury Management Act 2023</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w:t>
      </w:r>
      <w:r>
        <w:rPr>
          <w:snapToGrid w:val="0"/>
        </w:rPr>
        <w:lastRenderedPageBreak/>
        <w:t>earnings are to be regarded as being equal to the weekly earnings of the person in the person’s lawful employment at the relevant time.</w:t>
      </w:r>
    </w:p>
    <w:p>
      <w:pPr>
        <w:pStyle w:val="Footnotesection"/>
      </w:pPr>
      <w:r>
        <w:tab/>
        <w:t>[Section 62 amended: No. 42 of 2004 s. 174; No. 21 of 2023 s. 709(2).]</w:t>
      </w:r>
    </w:p>
    <w:p>
      <w:pPr>
        <w:pStyle w:val="Heading5"/>
        <w:rPr>
          <w:snapToGrid w:val="0"/>
        </w:rPr>
      </w:pPr>
      <w:bookmarkStart w:id="168" w:name="_Toc180148043"/>
      <w:r>
        <w:rPr>
          <w:rStyle w:val="CharSectno"/>
        </w:rPr>
        <w:t>63</w:t>
      </w:r>
      <w:r>
        <w:rPr>
          <w:snapToGrid w:val="0"/>
        </w:rPr>
        <w:t>.</w:t>
      </w:r>
      <w:r>
        <w:rPr>
          <w:snapToGrid w:val="0"/>
        </w:rPr>
        <w:tab/>
        <w:t>Terms used</w:t>
      </w:r>
      <w:bookmarkEnd w:id="16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No. 92 of 1994 s. 45.] </w:t>
      </w:r>
    </w:p>
    <w:p>
      <w:pPr>
        <w:pStyle w:val="Heading5"/>
        <w:rPr>
          <w:snapToGrid w:val="0"/>
        </w:rPr>
      </w:pPr>
      <w:bookmarkStart w:id="169" w:name="_Toc180148044"/>
      <w:r>
        <w:rPr>
          <w:rStyle w:val="CharSectno"/>
        </w:rPr>
        <w:t>64</w:t>
      </w:r>
      <w:r>
        <w:rPr>
          <w:snapToGrid w:val="0"/>
        </w:rPr>
        <w:t>.</w:t>
      </w:r>
      <w:r>
        <w:rPr>
          <w:snapToGrid w:val="0"/>
        </w:rPr>
        <w:tab/>
        <w:t>Enforcing payment by young person who has reached 18</w:t>
      </w:r>
      <w:bookmarkEnd w:id="169"/>
    </w:p>
    <w:p>
      <w:pPr>
        <w:pStyle w:val="Subsection"/>
        <w:keepNext/>
        <w:rPr>
          <w:snapToGrid w:val="0"/>
        </w:rPr>
      </w:pPr>
      <w:r>
        <w:rPr>
          <w:snapToGrid w:val="0"/>
        </w:rPr>
        <w:tab/>
      </w:r>
      <w:r>
        <w:t>(1)</w:t>
      </w:r>
      <w:r>
        <w:tab/>
        <w:t>If a young person</w:t>
      </w:r>
      <w:r>
        <w:rPr>
          <w:snapToGrid w:val="0"/>
        </w:rPr>
        <w:t xml:space="preserve">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Subsection"/>
        <w:keepNext/>
      </w:pPr>
      <w:r>
        <w:tab/>
        <w:t>(2)</w:t>
      </w:r>
      <w:r>
        <w:tab/>
        <w:t xml:space="preserve">Without limiting subsection (1) — </w:t>
      </w:r>
    </w:p>
    <w:p>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pPr>
        <w:pStyle w:val="Indenta"/>
        <w:keepNext/>
      </w:pPr>
      <w:r>
        <w:lastRenderedPageBreak/>
        <w:tab/>
        <w:t>(b)</w:t>
      </w:r>
      <w:r>
        <w:tab/>
        <w:t xml:space="preserve">section 59A(2) of that Act applies to and in relation to — </w:t>
      </w:r>
    </w:p>
    <w:p>
      <w:pPr>
        <w:pStyle w:val="Indenti"/>
      </w:pPr>
      <w:r>
        <w:tab/>
        <w:t>(i)</w:t>
      </w:r>
      <w:r>
        <w:tab/>
        <w:t>a forfeited bail undertaking to which subsection (1)(b) applies; and</w:t>
      </w:r>
    </w:p>
    <w:p>
      <w:pPr>
        <w:pStyle w:val="Indenti"/>
        <w:rPr>
          <w:snapToGrid w:val="0"/>
        </w:rPr>
      </w:pPr>
      <w:r>
        <w:tab/>
        <w:t>(ii)</w:t>
      </w:r>
      <w:r>
        <w:tab/>
        <w:t>a forfeited recognisance to which subsection (1)(c) applies.</w:t>
      </w:r>
    </w:p>
    <w:p>
      <w:pPr>
        <w:pStyle w:val="Footnotesection"/>
        <w:ind w:left="890" w:hanging="890"/>
      </w:pPr>
      <w:r>
        <w:tab/>
        <w:t xml:space="preserve">[Section 64 inserted: No. 92 of 1994 s. 45; amended: No. 20 of 2013 s. 140.] </w:t>
      </w:r>
    </w:p>
    <w:p>
      <w:pPr>
        <w:pStyle w:val="Heading5"/>
        <w:rPr>
          <w:snapToGrid w:val="0"/>
        </w:rPr>
      </w:pPr>
      <w:bookmarkStart w:id="170" w:name="_Toc180148045"/>
      <w:r>
        <w:rPr>
          <w:rStyle w:val="CharSectno"/>
        </w:rPr>
        <w:t>65</w:t>
      </w:r>
      <w:r>
        <w:rPr>
          <w:snapToGrid w:val="0"/>
        </w:rPr>
        <w:t>.</w:t>
      </w:r>
      <w:r>
        <w:rPr>
          <w:snapToGrid w:val="0"/>
        </w:rPr>
        <w:tab/>
        <w:t>Enforcing payment by young person who has not reached 18</w:t>
      </w:r>
      <w:bookmarkEnd w:id="170"/>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pPr>
        <w:pStyle w:val="Subsection"/>
        <w:keepNext/>
        <w:spacing w:before="180"/>
        <w:rPr>
          <w:snapToGrid w:val="0"/>
        </w:rPr>
      </w:pPr>
      <w:r>
        <w:rPr>
          <w:snapToGrid w:val="0"/>
        </w:rPr>
        <w:lastRenderedPageBreak/>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pPr>
        <w:pStyle w:val="Indenta"/>
      </w:pPr>
      <w:r>
        <w:tab/>
        <w:t>(a)</w:t>
      </w:r>
      <w:r>
        <w:tab/>
        <w:t>in the case of a fine, section 32(2) of that Act applies to and in relation to the fine; and</w:t>
      </w:r>
    </w:p>
    <w:p>
      <w:pPr>
        <w:pStyle w:val="Indenta"/>
      </w:pPr>
      <w:r>
        <w:tab/>
        <w:t>(b)</w:t>
      </w:r>
      <w:r>
        <w:tab/>
        <w:t>in the case of a forfeited undertaking or forfeited recognisance, section 59A(3) of that Act applies to and in relation to the amount forfeited.</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xml:space="preserve">, the court cannot make any further order in respect of the payment and the </w:t>
      </w:r>
      <w:r>
        <w:rPr>
          <w:snapToGrid w:val="0"/>
        </w:rPr>
        <w:lastRenderedPageBreak/>
        <w:t>enforcement of the payment of the fine or the forfeited undertaking or recognisance.</w:t>
      </w:r>
    </w:p>
    <w:p>
      <w:pPr>
        <w:pStyle w:val="Footnotesection"/>
        <w:ind w:left="890" w:hanging="890"/>
      </w:pPr>
      <w:r>
        <w:tab/>
        <w:t xml:space="preserve">[Section 65 inserted: No. 92 of 1994 s. 45; amended: No. 20 of 2013 s. 141.] </w:t>
      </w:r>
    </w:p>
    <w:p>
      <w:pPr>
        <w:pStyle w:val="Heading5"/>
        <w:rPr>
          <w:snapToGrid w:val="0"/>
        </w:rPr>
      </w:pPr>
      <w:bookmarkStart w:id="171" w:name="_Toc180148046"/>
      <w:r>
        <w:rPr>
          <w:rStyle w:val="CharSectno"/>
        </w:rPr>
        <w:t>65A</w:t>
      </w:r>
      <w:r>
        <w:rPr>
          <w:snapToGrid w:val="0"/>
        </w:rPr>
        <w:t>.</w:t>
      </w:r>
      <w:r>
        <w:rPr>
          <w:snapToGrid w:val="0"/>
        </w:rPr>
        <w:tab/>
        <w:t>Court’s powers to deal with defaulter</w:t>
      </w:r>
      <w:bookmarkEnd w:id="171"/>
      <w:r>
        <w:rPr>
          <w:snapToGrid w:val="0"/>
        </w:rPr>
        <w:t xml:space="preserve"> </w:t>
      </w:r>
    </w:p>
    <w:p>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72" w:name="_Toc180148047"/>
      <w:r>
        <w:rPr>
          <w:rStyle w:val="CharSectno"/>
        </w:rPr>
        <w:lastRenderedPageBreak/>
        <w:t>65B</w:t>
      </w:r>
      <w:r>
        <w:rPr>
          <w:snapToGrid w:val="0"/>
        </w:rPr>
        <w:t>.</w:t>
      </w:r>
      <w:r>
        <w:rPr>
          <w:snapToGrid w:val="0"/>
        </w:rPr>
        <w:tab/>
        <w:t>Community work order</w:t>
      </w:r>
      <w:bookmarkEnd w:id="172"/>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No. 92 of 1994 s. 45.] </w:t>
      </w:r>
    </w:p>
    <w:p>
      <w:pPr>
        <w:pStyle w:val="Heading5"/>
        <w:spacing w:before="240"/>
        <w:rPr>
          <w:snapToGrid w:val="0"/>
        </w:rPr>
      </w:pPr>
      <w:bookmarkStart w:id="173" w:name="_Toc180148048"/>
      <w:r>
        <w:rPr>
          <w:rStyle w:val="CharSectno"/>
        </w:rPr>
        <w:t>65C</w:t>
      </w:r>
      <w:r>
        <w:rPr>
          <w:snapToGrid w:val="0"/>
        </w:rPr>
        <w:t>.</w:t>
      </w:r>
      <w:r>
        <w:rPr>
          <w:snapToGrid w:val="0"/>
        </w:rPr>
        <w:tab/>
        <w:t>Detention order</w:t>
      </w:r>
      <w:bookmarkEnd w:id="17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No. 92 of 1994 s. 45.] </w:t>
      </w:r>
    </w:p>
    <w:p>
      <w:pPr>
        <w:pStyle w:val="Footnotesection"/>
      </w:pPr>
      <w:r>
        <w:tab/>
        <w:t>[Section 65C. Modifications to be applied in order to give effect to Cross-border Justice Act 2008: section altered 1 Dec 2009. See endnote 1M.]</w:t>
      </w:r>
    </w:p>
    <w:p>
      <w:pPr>
        <w:pStyle w:val="Heading3"/>
        <w:spacing w:before="180"/>
        <w:rPr>
          <w:snapToGrid w:val="0"/>
        </w:rPr>
      </w:pPr>
      <w:bookmarkStart w:id="174" w:name="_Toc180138738"/>
      <w:bookmarkStart w:id="175" w:name="_Toc180139073"/>
      <w:bookmarkStart w:id="176" w:name="_Toc180148049"/>
      <w:r>
        <w:rPr>
          <w:rStyle w:val="CharDivNo"/>
        </w:rPr>
        <w:lastRenderedPageBreak/>
        <w:t>Division 2</w:t>
      </w:r>
      <w:r>
        <w:rPr>
          <w:snapToGrid w:val="0"/>
        </w:rPr>
        <w:t> — </w:t>
      </w:r>
      <w:r>
        <w:rPr>
          <w:rStyle w:val="CharDivText"/>
        </w:rPr>
        <w:t>No punishment and no conditions</w:t>
      </w:r>
      <w:bookmarkEnd w:id="174"/>
      <w:bookmarkEnd w:id="175"/>
      <w:bookmarkEnd w:id="176"/>
      <w:r>
        <w:rPr>
          <w:rStyle w:val="CharDivText"/>
        </w:rPr>
        <w:t xml:space="preserve"> </w:t>
      </w:r>
    </w:p>
    <w:p>
      <w:pPr>
        <w:pStyle w:val="Heading5"/>
        <w:spacing w:before="180"/>
        <w:rPr>
          <w:snapToGrid w:val="0"/>
        </w:rPr>
      </w:pPr>
      <w:bookmarkStart w:id="177" w:name="_Toc180148050"/>
      <w:r>
        <w:rPr>
          <w:rStyle w:val="CharSectno"/>
        </w:rPr>
        <w:t>66</w:t>
      </w:r>
      <w:r>
        <w:rPr>
          <w:snapToGrid w:val="0"/>
        </w:rPr>
        <w:t>.</w:t>
      </w:r>
      <w:r>
        <w:rPr>
          <w:snapToGrid w:val="0"/>
        </w:rPr>
        <w:tab/>
        <w:t>Court may refrain from punishing in some cases</w:t>
      </w:r>
      <w:bookmarkEnd w:id="177"/>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spacing w:before="180"/>
        <w:rPr>
          <w:snapToGrid w:val="0"/>
        </w:rPr>
      </w:pPr>
      <w:bookmarkStart w:id="178" w:name="_Toc180138740"/>
      <w:bookmarkStart w:id="179" w:name="_Toc180139075"/>
      <w:bookmarkStart w:id="180" w:name="_Toc180148051"/>
      <w:r>
        <w:rPr>
          <w:rStyle w:val="CharDivNo"/>
        </w:rPr>
        <w:t>Division 3</w:t>
      </w:r>
      <w:r>
        <w:rPr>
          <w:snapToGrid w:val="0"/>
        </w:rPr>
        <w:t> — </w:t>
      </w:r>
      <w:r>
        <w:rPr>
          <w:rStyle w:val="CharDivText"/>
        </w:rPr>
        <w:t>No punishment but conditions</w:t>
      </w:r>
      <w:bookmarkEnd w:id="178"/>
      <w:bookmarkEnd w:id="179"/>
      <w:bookmarkEnd w:id="180"/>
      <w:r>
        <w:rPr>
          <w:rStyle w:val="CharDivText"/>
        </w:rPr>
        <w:t xml:space="preserve"> </w:t>
      </w:r>
    </w:p>
    <w:p>
      <w:pPr>
        <w:pStyle w:val="Heading5"/>
        <w:spacing w:before="180"/>
        <w:rPr>
          <w:snapToGrid w:val="0"/>
        </w:rPr>
      </w:pPr>
      <w:bookmarkStart w:id="181" w:name="_Toc180148052"/>
      <w:r>
        <w:rPr>
          <w:rStyle w:val="CharSectno"/>
        </w:rPr>
        <w:t>67</w:t>
      </w:r>
      <w:r>
        <w:rPr>
          <w:snapToGrid w:val="0"/>
        </w:rPr>
        <w:t>.</w:t>
      </w:r>
      <w:r>
        <w:rPr>
          <w:snapToGrid w:val="0"/>
        </w:rPr>
        <w:tab/>
        <w:t>Undertakings and informal punishment</w:t>
      </w:r>
      <w:bookmarkEnd w:id="181"/>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keepNext w:val="0"/>
        <w:keepLines w:val="0"/>
        <w:spacing w:before="180"/>
        <w:rPr>
          <w:snapToGrid w:val="0"/>
        </w:rPr>
      </w:pPr>
      <w:bookmarkStart w:id="182" w:name="_Toc180148053"/>
      <w:r>
        <w:rPr>
          <w:rStyle w:val="CharSectno"/>
        </w:rPr>
        <w:t>68</w:t>
      </w:r>
      <w:r>
        <w:rPr>
          <w:snapToGrid w:val="0"/>
        </w:rPr>
        <w:t>.</w:t>
      </w:r>
      <w:r>
        <w:rPr>
          <w:snapToGrid w:val="0"/>
        </w:rPr>
        <w:tab/>
        <w:t>Adjournment</w:t>
      </w:r>
      <w:bookmarkEnd w:id="182"/>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83" w:name="_Toc180138743"/>
      <w:bookmarkStart w:id="184" w:name="_Toc180139078"/>
      <w:bookmarkStart w:id="185" w:name="_Toc180148054"/>
      <w:r>
        <w:rPr>
          <w:rStyle w:val="CharDivNo"/>
        </w:rPr>
        <w:lastRenderedPageBreak/>
        <w:t>Division 4</w:t>
      </w:r>
      <w:r>
        <w:rPr>
          <w:snapToGrid w:val="0"/>
        </w:rPr>
        <w:t> — </w:t>
      </w:r>
      <w:r>
        <w:rPr>
          <w:rStyle w:val="CharDivText"/>
        </w:rPr>
        <w:t>No punishment but security or recognisance</w:t>
      </w:r>
      <w:bookmarkEnd w:id="183"/>
      <w:bookmarkEnd w:id="184"/>
      <w:bookmarkEnd w:id="185"/>
      <w:r>
        <w:rPr>
          <w:rStyle w:val="CharDivText"/>
        </w:rPr>
        <w:t xml:space="preserve"> </w:t>
      </w:r>
    </w:p>
    <w:p>
      <w:pPr>
        <w:pStyle w:val="Heading5"/>
        <w:rPr>
          <w:snapToGrid w:val="0"/>
        </w:rPr>
      </w:pPr>
      <w:bookmarkStart w:id="186" w:name="_Toc180148055"/>
      <w:r>
        <w:rPr>
          <w:rStyle w:val="CharSectno"/>
        </w:rPr>
        <w:t>69</w:t>
      </w:r>
      <w:r>
        <w:rPr>
          <w:snapToGrid w:val="0"/>
        </w:rPr>
        <w:t>.</w:t>
      </w:r>
      <w:r>
        <w:rPr>
          <w:snapToGrid w:val="0"/>
        </w:rPr>
        <w:tab/>
        <w:t>Recognisance by offender to be of good behaviour etc.</w:t>
      </w:r>
      <w:bookmarkEnd w:id="18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87" w:name="_Toc180148056"/>
      <w:r>
        <w:rPr>
          <w:rStyle w:val="CharSectno"/>
        </w:rPr>
        <w:t>70</w:t>
      </w:r>
      <w:r>
        <w:rPr>
          <w:snapToGrid w:val="0"/>
        </w:rPr>
        <w:t>.</w:t>
      </w:r>
      <w:r>
        <w:rPr>
          <w:snapToGrid w:val="0"/>
        </w:rPr>
        <w:tab/>
        <w:t>Responsible adult may give security for offender’s good behaviour etc.</w:t>
      </w:r>
      <w:bookmarkEnd w:id="187"/>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88" w:name="_Toc180138746"/>
      <w:bookmarkStart w:id="189" w:name="_Toc180139081"/>
      <w:bookmarkStart w:id="190" w:name="_Toc180148057"/>
      <w:r>
        <w:rPr>
          <w:rStyle w:val="CharDivNo"/>
        </w:rPr>
        <w:t>Division 5</w:t>
      </w:r>
      <w:r>
        <w:rPr>
          <w:snapToGrid w:val="0"/>
        </w:rPr>
        <w:t> — </w:t>
      </w:r>
      <w:r>
        <w:rPr>
          <w:rStyle w:val="CharDivText"/>
        </w:rPr>
        <w:t>Fine</w:t>
      </w:r>
      <w:bookmarkEnd w:id="188"/>
      <w:bookmarkEnd w:id="189"/>
      <w:bookmarkEnd w:id="190"/>
      <w:r>
        <w:rPr>
          <w:rStyle w:val="CharDivText"/>
        </w:rPr>
        <w:t xml:space="preserve"> </w:t>
      </w:r>
    </w:p>
    <w:p>
      <w:pPr>
        <w:pStyle w:val="Heading5"/>
        <w:rPr>
          <w:snapToGrid w:val="0"/>
        </w:rPr>
      </w:pPr>
      <w:bookmarkStart w:id="191" w:name="_Toc180148058"/>
      <w:r>
        <w:rPr>
          <w:rStyle w:val="CharSectno"/>
        </w:rPr>
        <w:t>71</w:t>
      </w:r>
      <w:r>
        <w:rPr>
          <w:snapToGrid w:val="0"/>
        </w:rPr>
        <w:t>.</w:t>
      </w:r>
      <w:r>
        <w:rPr>
          <w:snapToGrid w:val="0"/>
        </w:rPr>
        <w:tab/>
        <w:t>Fine instead of imprisonment</w:t>
      </w:r>
      <w:bookmarkEnd w:id="19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92" w:name="_Toc180148059"/>
      <w:r>
        <w:rPr>
          <w:rStyle w:val="CharSectno"/>
        </w:rPr>
        <w:t>72</w:t>
      </w:r>
      <w:r>
        <w:rPr>
          <w:snapToGrid w:val="0"/>
        </w:rPr>
        <w:t>.</w:t>
      </w:r>
      <w:r>
        <w:rPr>
          <w:snapToGrid w:val="0"/>
        </w:rPr>
        <w:tab/>
        <w:t>Offender must be able to pay</w:t>
      </w:r>
      <w:bookmarkEnd w:id="19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93" w:name="_Toc180138749"/>
      <w:bookmarkStart w:id="194" w:name="_Toc180139084"/>
      <w:bookmarkStart w:id="195" w:name="_Toc180148060"/>
      <w:r>
        <w:rPr>
          <w:rStyle w:val="CharDivNo"/>
        </w:rPr>
        <w:lastRenderedPageBreak/>
        <w:t>Division 6</w:t>
      </w:r>
      <w:r>
        <w:rPr>
          <w:snapToGrid w:val="0"/>
        </w:rPr>
        <w:t> — </w:t>
      </w:r>
      <w:r>
        <w:rPr>
          <w:rStyle w:val="CharDivText"/>
        </w:rPr>
        <w:t>Youth community based order</w:t>
      </w:r>
      <w:bookmarkEnd w:id="193"/>
      <w:bookmarkEnd w:id="194"/>
      <w:bookmarkEnd w:id="195"/>
      <w:r>
        <w:rPr>
          <w:rStyle w:val="CharDivText"/>
        </w:rPr>
        <w:t xml:space="preserve"> </w:t>
      </w:r>
    </w:p>
    <w:p>
      <w:pPr>
        <w:pStyle w:val="Heading5"/>
        <w:rPr>
          <w:snapToGrid w:val="0"/>
        </w:rPr>
      </w:pPr>
      <w:bookmarkStart w:id="196" w:name="_Toc180148061"/>
      <w:r>
        <w:rPr>
          <w:rStyle w:val="CharSectno"/>
        </w:rPr>
        <w:t>73</w:t>
      </w:r>
      <w:r>
        <w:rPr>
          <w:snapToGrid w:val="0"/>
        </w:rPr>
        <w:t>.</w:t>
      </w:r>
      <w:r>
        <w:rPr>
          <w:snapToGrid w:val="0"/>
        </w:rPr>
        <w:tab/>
        <w:t>Youth community based order, nature of</w:t>
      </w:r>
      <w:bookmarkEnd w:id="196"/>
      <w:r>
        <w:rPr>
          <w:snapToGrid w:val="0"/>
        </w:rPr>
        <w:t xml:space="preserve"> </w:t>
      </w:r>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97" w:name="_Toc180148062"/>
      <w:r>
        <w:rPr>
          <w:rStyle w:val="CharSectno"/>
        </w:rPr>
        <w:t>74</w:t>
      </w:r>
      <w:r>
        <w:rPr>
          <w:snapToGrid w:val="0"/>
        </w:rPr>
        <w:t>.</w:t>
      </w:r>
      <w:r>
        <w:rPr>
          <w:snapToGrid w:val="0"/>
        </w:rPr>
        <w:tab/>
        <w:t>Offender must be suitable and consent</w:t>
      </w:r>
      <w:bookmarkEnd w:id="197"/>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98" w:name="_Toc180148063"/>
      <w:r>
        <w:rPr>
          <w:rStyle w:val="CharSectno"/>
        </w:rPr>
        <w:t>75</w:t>
      </w:r>
      <w:r>
        <w:rPr>
          <w:snapToGrid w:val="0"/>
        </w:rPr>
        <w:t>.</w:t>
      </w:r>
      <w:r>
        <w:rPr>
          <w:snapToGrid w:val="0"/>
        </w:rPr>
        <w:tab/>
        <w:t>Proposed agenda required for suitable person</w:t>
      </w:r>
      <w:bookmarkEnd w:id="19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spacing w:before="180"/>
        <w:rPr>
          <w:snapToGrid w:val="0"/>
        </w:rPr>
      </w:pPr>
      <w:bookmarkStart w:id="199" w:name="_Toc180148064"/>
      <w:r>
        <w:rPr>
          <w:rStyle w:val="CharSectno"/>
        </w:rPr>
        <w:t>76</w:t>
      </w:r>
      <w:r>
        <w:rPr>
          <w:snapToGrid w:val="0"/>
        </w:rPr>
        <w:t>.</w:t>
      </w:r>
      <w:r>
        <w:rPr>
          <w:snapToGrid w:val="0"/>
        </w:rPr>
        <w:tab/>
        <w:t>Duration of order</w:t>
      </w:r>
      <w:bookmarkEnd w:id="199"/>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lastRenderedPageBreak/>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200" w:name="_Toc180148065"/>
      <w:r>
        <w:rPr>
          <w:rStyle w:val="CharSectno"/>
        </w:rPr>
        <w:t>77</w:t>
      </w:r>
      <w:r>
        <w:rPr>
          <w:snapToGrid w:val="0"/>
        </w:rPr>
        <w:t>.</w:t>
      </w:r>
      <w:r>
        <w:rPr>
          <w:snapToGrid w:val="0"/>
        </w:rPr>
        <w:tab/>
        <w:t>Supervising officer</w:t>
      </w:r>
      <w:bookmarkEnd w:id="200"/>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201" w:name="_Toc180148066"/>
      <w:r>
        <w:rPr>
          <w:rStyle w:val="CharSectno"/>
        </w:rPr>
        <w:t>78</w:t>
      </w:r>
      <w:r>
        <w:rPr>
          <w:snapToGrid w:val="0"/>
        </w:rPr>
        <w:t>.</w:t>
      </w:r>
      <w:r>
        <w:rPr>
          <w:snapToGrid w:val="0"/>
        </w:rPr>
        <w:tab/>
        <w:t>Conditions implied in order</w:t>
      </w:r>
      <w:bookmarkEnd w:id="201"/>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202" w:name="_Toc180148067"/>
      <w:r>
        <w:rPr>
          <w:rStyle w:val="CharSectno"/>
        </w:rPr>
        <w:t>79</w:t>
      </w:r>
      <w:r>
        <w:rPr>
          <w:snapToGrid w:val="0"/>
        </w:rPr>
        <w:t>.</w:t>
      </w:r>
      <w:r>
        <w:rPr>
          <w:snapToGrid w:val="0"/>
        </w:rPr>
        <w:tab/>
        <w:t>Obligations under order may be suspended</w:t>
      </w:r>
      <w:bookmarkEnd w:id="202"/>
      <w:r>
        <w:rPr>
          <w:snapToGrid w:val="0"/>
        </w:rPr>
        <w:t xml:space="preserve"> </w:t>
      </w:r>
    </w:p>
    <w:p>
      <w:pPr>
        <w:pStyle w:val="Subsection"/>
        <w:rPr>
          <w:snapToGrid w:val="0"/>
        </w:rPr>
      </w:pPr>
      <w:r>
        <w:rPr>
          <w:snapToGrid w:val="0"/>
        </w:rPr>
        <w:tab/>
        <w:t>(1)</w:t>
      </w:r>
      <w:r>
        <w:rPr>
          <w:snapToGrid w:val="0"/>
        </w:rPr>
        <w:tab/>
        <w:t xml:space="preserve">If the chief executive officer is satisfied that it would be appropriate in the circumstances to do so, the chief executive officer may give the offender notice in writing that the </w:t>
      </w:r>
      <w:r>
        <w:rPr>
          <w:snapToGrid w:val="0"/>
        </w:rPr>
        <w:lastRenderedPageBreak/>
        <w:t>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203" w:name="_Toc180148068"/>
      <w:r>
        <w:rPr>
          <w:rStyle w:val="CharSectno"/>
        </w:rPr>
        <w:t>80</w:t>
      </w:r>
      <w:r>
        <w:rPr>
          <w:snapToGrid w:val="0"/>
        </w:rPr>
        <w:t>.</w:t>
      </w:r>
      <w:r>
        <w:rPr>
          <w:snapToGrid w:val="0"/>
        </w:rPr>
        <w:tab/>
        <w:t>Amendment of order, extent of power</w:t>
      </w:r>
      <w:bookmarkEnd w:id="20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204" w:name="_Toc180148069"/>
      <w:r>
        <w:rPr>
          <w:rStyle w:val="CharSectno"/>
        </w:rPr>
        <w:t>81</w:t>
      </w:r>
      <w:r>
        <w:rPr>
          <w:snapToGrid w:val="0"/>
        </w:rPr>
        <w:t>.</w:t>
      </w:r>
      <w:r>
        <w:rPr>
          <w:snapToGrid w:val="0"/>
        </w:rPr>
        <w:tab/>
        <w:t>Amendment of order</w:t>
      </w:r>
      <w:bookmarkEnd w:id="204"/>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205" w:name="_Toc180148070"/>
      <w:r>
        <w:rPr>
          <w:rStyle w:val="CharSectno"/>
        </w:rPr>
        <w:t>82</w:t>
      </w:r>
      <w:r>
        <w:rPr>
          <w:snapToGrid w:val="0"/>
        </w:rPr>
        <w:t>.</w:t>
      </w:r>
      <w:r>
        <w:rPr>
          <w:snapToGrid w:val="0"/>
        </w:rPr>
        <w:tab/>
        <w:t>Breach of order, CEO may require offender to attend court</w:t>
      </w:r>
      <w:bookmarkEnd w:id="205"/>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lastRenderedPageBreak/>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06" w:name="_Toc180148071"/>
      <w:r>
        <w:rPr>
          <w:rStyle w:val="CharSectno"/>
        </w:rPr>
        <w:t>83</w:t>
      </w:r>
      <w:r>
        <w:rPr>
          <w:snapToGrid w:val="0"/>
        </w:rPr>
        <w:t>.</w:t>
      </w:r>
      <w:r>
        <w:rPr>
          <w:snapToGrid w:val="0"/>
        </w:rPr>
        <w:tab/>
        <w:t>Breach of order, powers to deal with</w:t>
      </w:r>
      <w:bookmarkEnd w:id="206"/>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lastRenderedPageBreak/>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207" w:name="_Toc180148072"/>
      <w:r>
        <w:rPr>
          <w:rStyle w:val="CharSectno"/>
        </w:rPr>
        <w:t>84</w:t>
      </w:r>
      <w:r>
        <w:rPr>
          <w:snapToGrid w:val="0"/>
        </w:rPr>
        <w:t>.</w:t>
      </w:r>
      <w:r>
        <w:rPr>
          <w:snapToGrid w:val="0"/>
        </w:rPr>
        <w:tab/>
        <w:t>Breach of order by re</w:t>
      </w:r>
      <w:r>
        <w:rPr>
          <w:snapToGrid w:val="0"/>
        </w:rPr>
        <w:noBreakHyphen/>
        <w:t>offending, new order may be made</w:t>
      </w:r>
      <w:bookmarkEnd w:id="207"/>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208" w:name="_Toc180148073"/>
      <w:r>
        <w:rPr>
          <w:rStyle w:val="CharSectno"/>
        </w:rPr>
        <w:t>85</w:t>
      </w:r>
      <w:r>
        <w:rPr>
          <w:snapToGrid w:val="0"/>
        </w:rPr>
        <w:t>.</w:t>
      </w:r>
      <w:r>
        <w:rPr>
          <w:snapToGrid w:val="0"/>
        </w:rPr>
        <w:tab/>
        <w:t>Discharge or fulfillment of order, effect of</w:t>
      </w:r>
      <w:bookmarkEnd w:id="20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209" w:name="_Toc180148074"/>
      <w:r>
        <w:rPr>
          <w:rStyle w:val="CharSectno"/>
        </w:rPr>
        <w:lastRenderedPageBreak/>
        <w:t>86</w:t>
      </w:r>
      <w:r>
        <w:rPr>
          <w:snapToGrid w:val="0"/>
        </w:rPr>
        <w:t>.</w:t>
      </w:r>
      <w:r>
        <w:rPr>
          <w:snapToGrid w:val="0"/>
        </w:rPr>
        <w:tab/>
        <w:t>Proof of identity in proceedings for breach of order</w:t>
      </w:r>
      <w:bookmarkEnd w:id="209"/>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spacing w:before="180"/>
        <w:rPr>
          <w:snapToGrid w:val="0"/>
        </w:rPr>
      </w:pPr>
      <w:bookmarkStart w:id="210" w:name="_Toc180148075"/>
      <w:r>
        <w:rPr>
          <w:rStyle w:val="CharSectno"/>
        </w:rPr>
        <w:t>87</w:t>
      </w:r>
      <w:r>
        <w:rPr>
          <w:snapToGrid w:val="0"/>
        </w:rPr>
        <w:t>.</w:t>
      </w:r>
      <w:r>
        <w:rPr>
          <w:snapToGrid w:val="0"/>
        </w:rPr>
        <w:tab/>
        <w:t>Notice of court applications</w:t>
      </w:r>
      <w:bookmarkEnd w:id="210"/>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spacing w:before="180"/>
        <w:rPr>
          <w:snapToGrid w:val="0"/>
        </w:rPr>
      </w:pPr>
      <w:bookmarkStart w:id="211" w:name="_Toc180138765"/>
      <w:bookmarkStart w:id="212" w:name="_Toc180139100"/>
      <w:bookmarkStart w:id="213" w:name="_Toc180148076"/>
      <w:r>
        <w:rPr>
          <w:snapToGrid w:val="0"/>
        </w:rPr>
        <w:t>Subdivision 1 — Attendance conditions</w:t>
      </w:r>
      <w:bookmarkEnd w:id="211"/>
      <w:bookmarkEnd w:id="212"/>
      <w:bookmarkEnd w:id="213"/>
      <w:r>
        <w:rPr>
          <w:snapToGrid w:val="0"/>
        </w:rPr>
        <w:t xml:space="preserve"> </w:t>
      </w:r>
    </w:p>
    <w:p>
      <w:pPr>
        <w:pStyle w:val="Heading5"/>
        <w:spacing w:before="180"/>
        <w:rPr>
          <w:snapToGrid w:val="0"/>
        </w:rPr>
      </w:pPr>
      <w:bookmarkStart w:id="214" w:name="_Toc180148077"/>
      <w:r>
        <w:rPr>
          <w:rStyle w:val="CharSectno"/>
        </w:rPr>
        <w:t>88</w:t>
      </w:r>
      <w:r>
        <w:rPr>
          <w:snapToGrid w:val="0"/>
        </w:rPr>
        <w:t>.</w:t>
      </w:r>
      <w:r>
        <w:rPr>
          <w:snapToGrid w:val="0"/>
        </w:rPr>
        <w:tab/>
        <w:t>Requirement to attend courses</w:t>
      </w:r>
      <w:bookmarkEnd w:id="214"/>
      <w:r>
        <w:rPr>
          <w:snapToGrid w:val="0"/>
        </w:rPr>
        <w:t xml:space="preserve"> </w:t>
      </w:r>
    </w:p>
    <w:p>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spacing w:before="120"/>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lastRenderedPageBreak/>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spacing w:before="180"/>
        <w:rPr>
          <w:snapToGrid w:val="0"/>
        </w:rPr>
      </w:pPr>
      <w:bookmarkStart w:id="215" w:name="_Toc180138767"/>
      <w:bookmarkStart w:id="216" w:name="_Toc180139102"/>
      <w:bookmarkStart w:id="217" w:name="_Toc180148078"/>
      <w:r>
        <w:rPr>
          <w:snapToGrid w:val="0"/>
        </w:rPr>
        <w:t>Subdivision 2 — Community work conditions</w:t>
      </w:r>
      <w:bookmarkEnd w:id="215"/>
      <w:bookmarkEnd w:id="216"/>
      <w:bookmarkEnd w:id="217"/>
      <w:r>
        <w:rPr>
          <w:snapToGrid w:val="0"/>
        </w:rPr>
        <w:t xml:space="preserve"> </w:t>
      </w:r>
    </w:p>
    <w:p>
      <w:pPr>
        <w:pStyle w:val="Heading5"/>
        <w:spacing w:before="180"/>
        <w:rPr>
          <w:snapToGrid w:val="0"/>
        </w:rPr>
      </w:pPr>
      <w:bookmarkStart w:id="218" w:name="_Toc180148079"/>
      <w:r>
        <w:rPr>
          <w:rStyle w:val="CharSectno"/>
        </w:rPr>
        <w:t>89</w:t>
      </w:r>
      <w:r>
        <w:rPr>
          <w:snapToGrid w:val="0"/>
        </w:rPr>
        <w:t>.</w:t>
      </w:r>
      <w:r>
        <w:rPr>
          <w:snapToGrid w:val="0"/>
        </w:rPr>
        <w:tab/>
        <w:t>Requirement to perform unpaid work</w:t>
      </w:r>
      <w:bookmarkEnd w:id="218"/>
      <w:r>
        <w:rPr>
          <w:snapToGrid w:val="0"/>
        </w:rPr>
        <w:t xml:space="preserve"> </w:t>
      </w:r>
    </w:p>
    <w:p>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219" w:name="_Toc180148080"/>
      <w:r>
        <w:rPr>
          <w:rStyle w:val="CharSectno"/>
        </w:rPr>
        <w:t>90</w:t>
      </w:r>
      <w:r>
        <w:rPr>
          <w:snapToGrid w:val="0"/>
        </w:rPr>
        <w:t>.</w:t>
      </w:r>
      <w:r>
        <w:rPr>
          <w:snapToGrid w:val="0"/>
        </w:rPr>
        <w:tab/>
        <w:t>Conditions cannot be imposed on child under 12</w:t>
      </w:r>
      <w:bookmarkEnd w:id="219"/>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220" w:name="_Toc180148081"/>
      <w:r>
        <w:rPr>
          <w:rStyle w:val="CharSectno"/>
        </w:rPr>
        <w:t>91</w:t>
      </w:r>
      <w:r>
        <w:rPr>
          <w:snapToGrid w:val="0"/>
        </w:rPr>
        <w:t>.</w:t>
      </w:r>
      <w:r>
        <w:rPr>
          <w:snapToGrid w:val="0"/>
        </w:rPr>
        <w:tab/>
        <w:t>Community work, minimum and maximum hours of</w:t>
      </w:r>
      <w:bookmarkEnd w:id="22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221" w:name="_Toc180148082"/>
      <w:r>
        <w:rPr>
          <w:rStyle w:val="CharSectno"/>
        </w:rPr>
        <w:t>92</w:t>
      </w:r>
      <w:r>
        <w:rPr>
          <w:snapToGrid w:val="0"/>
        </w:rPr>
        <w:t>.</w:t>
      </w:r>
      <w:r>
        <w:rPr>
          <w:snapToGrid w:val="0"/>
        </w:rPr>
        <w:tab/>
        <w:t>Offender to attend before Departmental officer</w:t>
      </w:r>
      <w:bookmarkEnd w:id="221"/>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222" w:name="_Toc180148083"/>
      <w:r>
        <w:rPr>
          <w:rStyle w:val="CharSectno"/>
        </w:rPr>
        <w:lastRenderedPageBreak/>
        <w:t>93</w:t>
      </w:r>
      <w:r>
        <w:rPr>
          <w:snapToGrid w:val="0"/>
        </w:rPr>
        <w:t>.</w:t>
      </w:r>
      <w:r>
        <w:rPr>
          <w:snapToGrid w:val="0"/>
        </w:rPr>
        <w:tab/>
        <w:t>Performing the work</w:t>
      </w:r>
      <w:bookmarkEnd w:id="222"/>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223" w:name="_Toc180148084"/>
      <w:r>
        <w:rPr>
          <w:rStyle w:val="CharSectno"/>
        </w:rPr>
        <w:t>94</w:t>
      </w:r>
      <w:r>
        <w:rPr>
          <w:snapToGrid w:val="0"/>
        </w:rPr>
        <w:t>.</w:t>
      </w:r>
      <w:r>
        <w:rPr>
          <w:snapToGrid w:val="0"/>
        </w:rPr>
        <w:tab/>
        <w:t>Regulations relating to community work conditions</w:t>
      </w:r>
      <w:bookmarkEnd w:id="223"/>
      <w:r>
        <w:rPr>
          <w:snapToGrid w:val="0"/>
        </w:rPr>
        <w:t xml:space="preserve"> </w:t>
      </w:r>
    </w:p>
    <w:p>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lastRenderedPageBreak/>
        <w:tab/>
        <w:t>(g)</w:t>
      </w:r>
      <w:r>
        <w:rPr>
          <w:snapToGrid w:val="0"/>
        </w:rPr>
        <w:tab/>
        <w:t>prescribe periods to be taken into account in computing the number of hours of work performed by a person under community work conditions.</w:t>
      </w:r>
    </w:p>
    <w:p>
      <w:pPr>
        <w:pStyle w:val="Heading4"/>
        <w:spacing w:before="180"/>
        <w:rPr>
          <w:snapToGrid w:val="0"/>
        </w:rPr>
      </w:pPr>
      <w:bookmarkStart w:id="224" w:name="_Toc180138774"/>
      <w:bookmarkStart w:id="225" w:name="_Toc180139109"/>
      <w:bookmarkStart w:id="226" w:name="_Toc180148085"/>
      <w:r>
        <w:rPr>
          <w:snapToGrid w:val="0"/>
        </w:rPr>
        <w:t>Subdivision 3 — Supervision conditions</w:t>
      </w:r>
      <w:bookmarkEnd w:id="224"/>
      <w:bookmarkEnd w:id="225"/>
      <w:bookmarkEnd w:id="226"/>
      <w:r>
        <w:rPr>
          <w:snapToGrid w:val="0"/>
        </w:rPr>
        <w:t xml:space="preserve"> </w:t>
      </w:r>
    </w:p>
    <w:p>
      <w:pPr>
        <w:pStyle w:val="Heading5"/>
        <w:spacing w:before="180"/>
        <w:rPr>
          <w:snapToGrid w:val="0"/>
        </w:rPr>
      </w:pPr>
      <w:bookmarkStart w:id="227" w:name="_Toc180148086"/>
      <w:r>
        <w:rPr>
          <w:rStyle w:val="CharSectno"/>
        </w:rPr>
        <w:t>95</w:t>
      </w:r>
      <w:r>
        <w:rPr>
          <w:snapToGrid w:val="0"/>
        </w:rPr>
        <w:t>.</w:t>
      </w:r>
      <w:r>
        <w:rPr>
          <w:snapToGrid w:val="0"/>
        </w:rPr>
        <w:tab/>
        <w:t>Requirement to be supervised</w:t>
      </w:r>
      <w:bookmarkEnd w:id="227"/>
      <w:r>
        <w:rPr>
          <w:snapToGrid w:val="0"/>
        </w:rPr>
        <w:t xml:space="preserve"> </w:t>
      </w:r>
    </w:p>
    <w:p>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28" w:name="_Toc180148087"/>
      <w:r>
        <w:rPr>
          <w:rStyle w:val="CharSectno"/>
        </w:rPr>
        <w:t>96</w:t>
      </w:r>
      <w:r>
        <w:rPr>
          <w:snapToGrid w:val="0"/>
        </w:rPr>
        <w:t>.</w:t>
      </w:r>
      <w:r>
        <w:rPr>
          <w:snapToGrid w:val="0"/>
        </w:rPr>
        <w:tab/>
        <w:t>Duration of supervision</w:t>
      </w:r>
      <w:bookmarkEnd w:id="228"/>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No. 5 of 2008 s. 132(2).]</w:t>
      </w:r>
    </w:p>
    <w:p>
      <w:pPr>
        <w:pStyle w:val="Heading5"/>
        <w:rPr>
          <w:snapToGrid w:val="0"/>
        </w:rPr>
      </w:pPr>
      <w:bookmarkStart w:id="229" w:name="_Toc180148088"/>
      <w:r>
        <w:rPr>
          <w:rStyle w:val="CharSectno"/>
        </w:rPr>
        <w:t>97</w:t>
      </w:r>
      <w:r>
        <w:rPr>
          <w:snapToGrid w:val="0"/>
        </w:rPr>
        <w:t>.</w:t>
      </w:r>
      <w:r>
        <w:rPr>
          <w:snapToGrid w:val="0"/>
        </w:rPr>
        <w:tab/>
        <w:t>Changing duration of supervision</w:t>
      </w:r>
      <w:bookmarkEnd w:id="229"/>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 xml:space="preserve">In applying subsection (2) to the case of an order that is for more than one offence, the time beyond which supervision </w:t>
      </w:r>
      <w:r>
        <w:rPr>
          <w:snapToGrid w:val="0"/>
        </w:rPr>
        <w:lastRenderedPageBreak/>
        <w:t>conditions cannot run is the latest time that could be, or could have been, specified upon making a youth community based order for any of those offences.</w:t>
      </w:r>
    </w:p>
    <w:p>
      <w:pPr>
        <w:pStyle w:val="Heading3"/>
        <w:rPr>
          <w:snapToGrid w:val="0"/>
        </w:rPr>
      </w:pPr>
      <w:bookmarkStart w:id="230" w:name="_Toc180138778"/>
      <w:bookmarkStart w:id="231" w:name="_Toc180139113"/>
      <w:bookmarkStart w:id="232" w:name="_Toc180148089"/>
      <w:r>
        <w:rPr>
          <w:rStyle w:val="CharDivNo"/>
        </w:rPr>
        <w:t>Division 7</w:t>
      </w:r>
      <w:r>
        <w:rPr>
          <w:snapToGrid w:val="0"/>
        </w:rPr>
        <w:t> — </w:t>
      </w:r>
      <w:r>
        <w:rPr>
          <w:rStyle w:val="CharDivText"/>
        </w:rPr>
        <w:t>Intensive youth supervision order</w:t>
      </w:r>
      <w:bookmarkEnd w:id="230"/>
      <w:bookmarkEnd w:id="231"/>
      <w:bookmarkEnd w:id="232"/>
      <w:r>
        <w:rPr>
          <w:rStyle w:val="CharDivText"/>
        </w:rPr>
        <w:t xml:space="preserve"> </w:t>
      </w:r>
    </w:p>
    <w:p>
      <w:pPr>
        <w:pStyle w:val="Heading5"/>
        <w:rPr>
          <w:snapToGrid w:val="0"/>
        </w:rPr>
      </w:pPr>
      <w:bookmarkStart w:id="233" w:name="_Toc180148090"/>
      <w:r>
        <w:rPr>
          <w:rStyle w:val="CharSectno"/>
        </w:rPr>
        <w:t>98</w:t>
      </w:r>
      <w:r>
        <w:rPr>
          <w:snapToGrid w:val="0"/>
        </w:rPr>
        <w:t>.</w:t>
      </w:r>
      <w:r>
        <w:rPr>
          <w:snapToGrid w:val="0"/>
        </w:rPr>
        <w:tab/>
        <w:t>Intensive youth supervision order, nature of</w:t>
      </w:r>
      <w:bookmarkEnd w:id="233"/>
      <w:r>
        <w:rPr>
          <w:snapToGrid w:val="0"/>
        </w:rPr>
        <w:t xml:space="preserve"> </w:t>
      </w:r>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34" w:name="_Toc180148091"/>
      <w:r>
        <w:rPr>
          <w:rStyle w:val="CharSectno"/>
        </w:rPr>
        <w:t>99</w:t>
      </w:r>
      <w:r>
        <w:rPr>
          <w:snapToGrid w:val="0"/>
        </w:rPr>
        <w:t>.</w:t>
      </w:r>
      <w:r>
        <w:rPr>
          <w:snapToGrid w:val="0"/>
        </w:rPr>
        <w:tab/>
        <w:t>Order may be made with or without custodial sentence</w:t>
      </w:r>
      <w:bookmarkEnd w:id="234"/>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235" w:name="_Toc180148092"/>
      <w:r>
        <w:rPr>
          <w:rStyle w:val="CharSectno"/>
        </w:rPr>
        <w:t>100</w:t>
      </w:r>
      <w:r>
        <w:rPr>
          <w:snapToGrid w:val="0"/>
        </w:rPr>
        <w:t>.</w:t>
      </w:r>
      <w:r>
        <w:rPr>
          <w:snapToGrid w:val="0"/>
        </w:rPr>
        <w:tab/>
        <w:t>Order without custodial sentence</w:t>
      </w:r>
      <w:bookmarkEnd w:id="2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236" w:name="_Toc180148093"/>
      <w:r>
        <w:rPr>
          <w:rStyle w:val="CharSectno"/>
        </w:rPr>
        <w:t>101</w:t>
      </w:r>
      <w:r>
        <w:rPr>
          <w:snapToGrid w:val="0"/>
        </w:rPr>
        <w:t>.</w:t>
      </w:r>
      <w:r>
        <w:rPr>
          <w:snapToGrid w:val="0"/>
        </w:rPr>
        <w:tab/>
        <w:t>Order with custodial sentence (conditional release order)</w:t>
      </w:r>
      <w:bookmarkEnd w:id="236"/>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lastRenderedPageBreak/>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rPr>
          <w:snapToGrid w:val="0"/>
        </w:rPr>
      </w:pPr>
      <w:bookmarkStart w:id="237" w:name="_Toc180148094"/>
      <w:r>
        <w:rPr>
          <w:rStyle w:val="CharSectno"/>
        </w:rPr>
        <w:t>102</w:t>
      </w:r>
      <w:r>
        <w:rPr>
          <w:snapToGrid w:val="0"/>
        </w:rPr>
        <w:t>.</w:t>
      </w:r>
      <w:r>
        <w:rPr>
          <w:snapToGrid w:val="0"/>
        </w:rPr>
        <w:tab/>
        <w:t>Conditional release order to include agenda of conditions</w:t>
      </w:r>
      <w:bookmarkEnd w:id="23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38" w:name="_Toc180148095"/>
      <w:r>
        <w:rPr>
          <w:rStyle w:val="CharSectno"/>
        </w:rPr>
        <w:t>103</w:t>
      </w:r>
      <w:r>
        <w:rPr>
          <w:snapToGrid w:val="0"/>
        </w:rPr>
        <w:t>.</w:t>
      </w:r>
      <w:r>
        <w:rPr>
          <w:snapToGrid w:val="0"/>
        </w:rPr>
        <w:tab/>
        <w:t>Offender must be suitable and consent</w:t>
      </w:r>
      <w:bookmarkEnd w:id="238"/>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spacing w:before="100"/>
        <w:ind w:left="890" w:hanging="890"/>
      </w:pPr>
      <w:r>
        <w:tab/>
        <w:t>[Section 103 amended: No. 58 of 2004 s. 22.]</w:t>
      </w:r>
    </w:p>
    <w:p>
      <w:pPr>
        <w:pStyle w:val="Heading5"/>
        <w:spacing w:before="180"/>
        <w:rPr>
          <w:snapToGrid w:val="0"/>
        </w:rPr>
      </w:pPr>
      <w:bookmarkStart w:id="239" w:name="_Toc180148096"/>
      <w:r>
        <w:rPr>
          <w:rStyle w:val="CharSectno"/>
        </w:rPr>
        <w:t>104</w:t>
      </w:r>
      <w:r>
        <w:rPr>
          <w:snapToGrid w:val="0"/>
        </w:rPr>
        <w:t>.</w:t>
      </w:r>
      <w:r>
        <w:rPr>
          <w:snapToGrid w:val="0"/>
        </w:rPr>
        <w:tab/>
        <w:t>Agenda proposal required for suitable person</w:t>
      </w:r>
      <w:bookmarkEnd w:id="239"/>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Lines w:val="0"/>
        <w:spacing w:before="180"/>
        <w:rPr>
          <w:snapToGrid w:val="0"/>
        </w:rPr>
      </w:pPr>
      <w:bookmarkStart w:id="240" w:name="_Toc180148097"/>
      <w:r>
        <w:rPr>
          <w:rStyle w:val="CharSectno"/>
        </w:rPr>
        <w:lastRenderedPageBreak/>
        <w:t>105</w:t>
      </w:r>
      <w:r>
        <w:rPr>
          <w:snapToGrid w:val="0"/>
        </w:rPr>
        <w:t>.</w:t>
      </w:r>
      <w:r>
        <w:rPr>
          <w:snapToGrid w:val="0"/>
        </w:rPr>
        <w:tab/>
        <w:t>Conditional release order, duration of</w:t>
      </w:r>
      <w:bookmarkEnd w:id="240"/>
      <w:r>
        <w:rPr>
          <w:snapToGrid w:val="0"/>
        </w:rPr>
        <w:t xml:space="preserve"> </w:t>
      </w:r>
    </w:p>
    <w:p>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80"/>
        <w:rPr>
          <w:snapToGrid w:val="0"/>
        </w:rPr>
      </w:pPr>
      <w:bookmarkStart w:id="241" w:name="_Toc180148098"/>
      <w:r>
        <w:rPr>
          <w:rStyle w:val="CharSectno"/>
        </w:rPr>
        <w:t>106</w:t>
      </w:r>
      <w:r>
        <w:rPr>
          <w:snapToGrid w:val="0"/>
        </w:rPr>
        <w:t>.</w:t>
      </w:r>
      <w:r>
        <w:rPr>
          <w:snapToGrid w:val="0"/>
        </w:rPr>
        <w:tab/>
        <w:t>Conditional release order may relate to several sentences</w:t>
      </w:r>
      <w:bookmarkEnd w:id="24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42" w:name="_Toc180148099"/>
      <w:r>
        <w:rPr>
          <w:rStyle w:val="CharSectno"/>
        </w:rPr>
        <w:t>107</w:t>
      </w:r>
      <w:r>
        <w:rPr>
          <w:snapToGrid w:val="0"/>
        </w:rPr>
        <w:t>.</w:t>
      </w:r>
      <w:r>
        <w:rPr>
          <w:snapToGrid w:val="0"/>
        </w:rPr>
        <w:tab/>
        <w:t>Conditional release not to exceed 12 months</w:t>
      </w:r>
      <w:bookmarkEnd w:id="24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43" w:name="_Toc180148100"/>
      <w:r>
        <w:rPr>
          <w:rStyle w:val="CharSectno"/>
        </w:rPr>
        <w:t>108</w:t>
      </w:r>
      <w:r>
        <w:rPr>
          <w:snapToGrid w:val="0"/>
        </w:rPr>
        <w:t>.</w:t>
      </w:r>
      <w:r>
        <w:rPr>
          <w:snapToGrid w:val="0"/>
        </w:rPr>
        <w:tab/>
        <w:t>Supervising officer</w:t>
      </w:r>
      <w:bookmarkEnd w:id="24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108. Modifications to be applied in order to give effect to Cross-border Justice Act 2008: section altered 1 Dec 2009. See endnote 1M.]</w:t>
      </w:r>
    </w:p>
    <w:p>
      <w:pPr>
        <w:pStyle w:val="Heading5"/>
        <w:rPr>
          <w:snapToGrid w:val="0"/>
        </w:rPr>
      </w:pPr>
      <w:bookmarkStart w:id="244" w:name="_Toc180148101"/>
      <w:r>
        <w:rPr>
          <w:rStyle w:val="CharSectno"/>
        </w:rPr>
        <w:lastRenderedPageBreak/>
        <w:t>109</w:t>
      </w:r>
      <w:r>
        <w:rPr>
          <w:snapToGrid w:val="0"/>
        </w:rPr>
        <w:t>.</w:t>
      </w:r>
      <w:r>
        <w:rPr>
          <w:snapToGrid w:val="0"/>
        </w:rPr>
        <w:tab/>
        <w:t>Conditional release order, implied conditions of</w:t>
      </w:r>
      <w:bookmarkEnd w:id="244"/>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45" w:name="_Toc180148102"/>
      <w:r>
        <w:rPr>
          <w:rStyle w:val="CharSectno"/>
        </w:rPr>
        <w:t>109A</w:t>
      </w:r>
      <w:r>
        <w:rPr>
          <w:snapToGrid w:val="0"/>
        </w:rPr>
        <w:t>.</w:t>
      </w:r>
      <w:r>
        <w:rPr>
          <w:snapToGrid w:val="0"/>
        </w:rPr>
        <w:tab/>
        <w:t>Conditional release order: specified places</w:t>
      </w:r>
      <w:bookmarkEnd w:id="24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lastRenderedPageBreak/>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lastRenderedPageBreak/>
        <w:tab/>
        <w:t>(c)</w:t>
      </w:r>
      <w:r>
        <w:rPr>
          <w:snapToGrid w:val="0"/>
        </w:rPr>
        <w:tab/>
        <w:t>question any person at any place referred to in paragraph (a) or (b).</w:t>
      </w:r>
    </w:p>
    <w:p>
      <w:pPr>
        <w:pStyle w:val="Subsection"/>
        <w:spacing w:before="120"/>
        <w:rPr>
          <w:snapToGrid w:val="0"/>
        </w:rPr>
      </w:pPr>
      <w:r>
        <w:rPr>
          <w:snapToGrid w:val="0"/>
        </w:rPr>
        <w:tab/>
        <w:t>(5)</w:t>
      </w:r>
      <w:r>
        <w:rPr>
          <w:snapToGrid w:val="0"/>
        </w:rPr>
        <w:tab/>
        <w:t>A person who hinders a person exercising powers under subsection (4) commits an offence.</w:t>
      </w:r>
    </w:p>
    <w:p>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No. 58 of 2004 s. 23.]</w:t>
      </w:r>
    </w:p>
    <w:p>
      <w:pPr>
        <w:pStyle w:val="Heading5"/>
        <w:spacing w:before="180"/>
        <w:rPr>
          <w:snapToGrid w:val="0"/>
        </w:rPr>
      </w:pPr>
      <w:bookmarkStart w:id="246" w:name="_Toc180148103"/>
      <w:r>
        <w:rPr>
          <w:rStyle w:val="CharSectno"/>
        </w:rPr>
        <w:t>109B</w:t>
      </w:r>
      <w:r>
        <w:rPr>
          <w:snapToGrid w:val="0"/>
        </w:rPr>
        <w:t>.</w:t>
      </w:r>
      <w:r>
        <w:rPr>
          <w:snapToGrid w:val="0"/>
        </w:rPr>
        <w:tab/>
        <w:t>Conditional release order: devices</w:t>
      </w:r>
      <w:bookmarkEnd w:id="246"/>
    </w:p>
    <w:p>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lastRenderedPageBreak/>
        <w:tab/>
        <w:t>(7)</w:t>
      </w:r>
      <w:r>
        <w:rPr>
          <w:snapToGrid w:val="0"/>
        </w:rPr>
        <w:tab/>
        <w:t>A person who wilfully and unlawfully destroys or damages a device commits an offence.</w:t>
      </w:r>
    </w:p>
    <w:p>
      <w:pPr>
        <w:pStyle w:val="Footnotesection"/>
        <w:ind w:left="890" w:hanging="890"/>
      </w:pPr>
      <w:r>
        <w:tab/>
        <w:t>[Section 109B inserted: No. 58 of 2004 s. 23.]</w:t>
      </w:r>
    </w:p>
    <w:p>
      <w:pPr>
        <w:pStyle w:val="Heading5"/>
        <w:spacing w:before="240"/>
        <w:rPr>
          <w:snapToGrid w:val="0"/>
        </w:rPr>
      </w:pPr>
      <w:bookmarkStart w:id="247" w:name="_Toc180148104"/>
      <w:r>
        <w:rPr>
          <w:rStyle w:val="CharSectno"/>
        </w:rPr>
        <w:t>110</w:t>
      </w:r>
      <w:r>
        <w:rPr>
          <w:snapToGrid w:val="0"/>
        </w:rPr>
        <w:t>.</w:t>
      </w:r>
      <w:r>
        <w:rPr>
          <w:snapToGrid w:val="0"/>
        </w:rPr>
        <w:tab/>
        <w:t>Obligations under order may be suspended</w:t>
      </w:r>
      <w:bookmarkEnd w:id="247"/>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keepNext w:val="0"/>
        <w:keepLines w:val="0"/>
        <w:spacing w:before="240"/>
        <w:rPr>
          <w:snapToGrid w:val="0"/>
        </w:rPr>
      </w:pPr>
      <w:bookmarkStart w:id="248" w:name="_Toc180148105"/>
      <w:r>
        <w:rPr>
          <w:rStyle w:val="CharSectno"/>
        </w:rPr>
        <w:t>111</w:t>
      </w:r>
      <w:r>
        <w:rPr>
          <w:snapToGrid w:val="0"/>
        </w:rPr>
        <w:t>.</w:t>
      </w:r>
      <w:r>
        <w:rPr>
          <w:snapToGrid w:val="0"/>
        </w:rPr>
        <w:tab/>
        <w:t>Amendment of order, extent of power</w:t>
      </w:r>
      <w:bookmarkEnd w:id="248"/>
      <w:r>
        <w:rPr>
          <w:snapToGrid w:val="0"/>
        </w:rPr>
        <w:t xml:space="preserve"> </w:t>
      </w:r>
    </w:p>
    <w:p>
      <w:pPr>
        <w:pStyle w:val="Subsection"/>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249" w:name="_Toc180148106"/>
      <w:r>
        <w:rPr>
          <w:rStyle w:val="CharSectno"/>
        </w:rPr>
        <w:t>112</w:t>
      </w:r>
      <w:r>
        <w:rPr>
          <w:snapToGrid w:val="0"/>
        </w:rPr>
        <w:t>.</w:t>
      </w:r>
      <w:r>
        <w:rPr>
          <w:snapToGrid w:val="0"/>
        </w:rPr>
        <w:tab/>
        <w:t>Amendment or cancellation of order</w:t>
      </w:r>
      <w:bookmarkEnd w:id="249"/>
      <w:r>
        <w:rPr>
          <w:snapToGrid w:val="0"/>
        </w:rPr>
        <w:t xml:space="preserve"> </w:t>
      </w:r>
    </w:p>
    <w:p>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rPr>
          <w:snapToGrid w:val="0"/>
        </w:rPr>
      </w:pPr>
      <w:r>
        <w:rPr>
          <w:snapToGrid w:val="0"/>
        </w:rPr>
        <w:lastRenderedPageBreak/>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50" w:name="_Toc180148107"/>
      <w:r>
        <w:rPr>
          <w:rStyle w:val="CharSectno"/>
        </w:rPr>
        <w:t>113</w:t>
      </w:r>
      <w:r>
        <w:rPr>
          <w:snapToGrid w:val="0"/>
        </w:rPr>
        <w:t>.</w:t>
      </w:r>
      <w:r>
        <w:rPr>
          <w:snapToGrid w:val="0"/>
        </w:rPr>
        <w:tab/>
        <w:t>Breach of order, CEO may require offender to attend court</w:t>
      </w:r>
      <w:bookmarkEnd w:id="250"/>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51" w:name="_Toc180148108"/>
      <w:r>
        <w:rPr>
          <w:rStyle w:val="CharSectno"/>
        </w:rPr>
        <w:t>114</w:t>
      </w:r>
      <w:r>
        <w:rPr>
          <w:snapToGrid w:val="0"/>
        </w:rPr>
        <w:t>.</w:t>
      </w:r>
      <w:r>
        <w:rPr>
          <w:snapToGrid w:val="0"/>
        </w:rPr>
        <w:tab/>
        <w:t>Breach of order, powers to deal with</w:t>
      </w:r>
      <w:bookmarkEnd w:id="251"/>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lastRenderedPageBreak/>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keepNext/>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No. 58 of 2004 s. 24.]</w:t>
      </w:r>
    </w:p>
    <w:p>
      <w:pPr>
        <w:pStyle w:val="Heading5"/>
        <w:rPr>
          <w:snapToGrid w:val="0"/>
        </w:rPr>
      </w:pPr>
      <w:bookmarkStart w:id="252" w:name="_Toc180148109"/>
      <w:r>
        <w:rPr>
          <w:rStyle w:val="CharSectno"/>
        </w:rPr>
        <w:t>115</w:t>
      </w:r>
      <w:r>
        <w:rPr>
          <w:snapToGrid w:val="0"/>
        </w:rPr>
        <w:t>.</w:t>
      </w:r>
      <w:r>
        <w:rPr>
          <w:snapToGrid w:val="0"/>
        </w:rPr>
        <w:tab/>
        <w:t>Conditional release order, effect of expiry of</w:t>
      </w:r>
      <w:bookmarkEnd w:id="252"/>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 xml:space="preserve">proceedings for an offence are commenced within 6 months of the day on which the conditional release order expired and the court finds that the offender </w:t>
      </w:r>
      <w:r>
        <w:lastRenderedPageBreak/>
        <w:t>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r>
        <w:tab/>
        <w:t>[Section 115 amended: No. 58 of 2004 s. 25.]</w:t>
      </w:r>
    </w:p>
    <w:p>
      <w:pPr>
        <w:pStyle w:val="Heading5"/>
        <w:rPr>
          <w:snapToGrid w:val="0"/>
        </w:rPr>
      </w:pPr>
      <w:bookmarkStart w:id="253" w:name="_Toc180148110"/>
      <w:r>
        <w:rPr>
          <w:rStyle w:val="CharSectno"/>
        </w:rPr>
        <w:t>116</w:t>
      </w:r>
      <w:r>
        <w:rPr>
          <w:snapToGrid w:val="0"/>
        </w:rPr>
        <w:t>.</w:t>
      </w:r>
      <w:r>
        <w:rPr>
          <w:snapToGrid w:val="0"/>
        </w:rPr>
        <w:tab/>
        <w:t>Cancellation of conditional release order, effect of</w:t>
      </w:r>
      <w:bookmarkEnd w:id="25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116 amended: No. 78 of 1995 s. 145.] </w:t>
      </w:r>
    </w:p>
    <w:p>
      <w:pPr>
        <w:pStyle w:val="Heading5"/>
        <w:spacing w:before="180"/>
        <w:rPr>
          <w:snapToGrid w:val="0"/>
        </w:rPr>
      </w:pPr>
      <w:bookmarkStart w:id="254" w:name="_Toc180148111"/>
      <w:r>
        <w:rPr>
          <w:rStyle w:val="CharSectno"/>
        </w:rPr>
        <w:lastRenderedPageBreak/>
        <w:t>117</w:t>
      </w:r>
      <w:r>
        <w:rPr>
          <w:snapToGrid w:val="0"/>
        </w:rPr>
        <w:t>.</w:t>
      </w:r>
      <w:r>
        <w:rPr>
          <w:snapToGrid w:val="0"/>
        </w:rPr>
        <w:tab/>
        <w:t>Notice of court applications</w:t>
      </w:r>
      <w:bookmarkEnd w:id="254"/>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55" w:name="_Toc180138801"/>
      <w:bookmarkStart w:id="256" w:name="_Toc180139136"/>
      <w:bookmarkStart w:id="257" w:name="_Toc180148112"/>
      <w:r>
        <w:rPr>
          <w:rStyle w:val="CharDivNo"/>
        </w:rPr>
        <w:t>Division 8</w:t>
      </w:r>
      <w:r>
        <w:rPr>
          <w:snapToGrid w:val="0"/>
        </w:rPr>
        <w:t> — </w:t>
      </w:r>
      <w:r>
        <w:rPr>
          <w:rStyle w:val="CharDivText"/>
        </w:rPr>
        <w:t>Custodial sentence</w:t>
      </w:r>
      <w:bookmarkEnd w:id="255"/>
      <w:bookmarkEnd w:id="256"/>
      <w:bookmarkEnd w:id="257"/>
      <w:r>
        <w:rPr>
          <w:rStyle w:val="CharDivText"/>
        </w:rPr>
        <w:t xml:space="preserve"> </w:t>
      </w:r>
    </w:p>
    <w:p>
      <w:pPr>
        <w:pStyle w:val="Heading5"/>
        <w:spacing w:before="180"/>
        <w:rPr>
          <w:snapToGrid w:val="0"/>
        </w:rPr>
      </w:pPr>
      <w:bookmarkStart w:id="258" w:name="_Toc180148113"/>
      <w:r>
        <w:rPr>
          <w:rStyle w:val="CharSectno"/>
        </w:rPr>
        <w:t>118</w:t>
      </w:r>
      <w:r>
        <w:rPr>
          <w:snapToGrid w:val="0"/>
        </w:rPr>
        <w:t>.</w:t>
      </w:r>
      <w:r>
        <w:rPr>
          <w:snapToGrid w:val="0"/>
        </w:rPr>
        <w:tab/>
      </w:r>
      <w:r>
        <w:t>Sentencing for offences punishable by imprisonment</w:t>
      </w:r>
      <w:bookmarkEnd w:id="258"/>
      <w:r>
        <w:rPr>
          <w:snapToGrid w:val="0"/>
        </w:rPr>
        <w:t xml:space="preserve"> </w:t>
      </w:r>
    </w:p>
    <w:p>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rPr>
          <w:snapToGrid w:val="0"/>
        </w:rPr>
      </w:pPr>
      <w:r>
        <w:rPr>
          <w:snapToGrid w:val="0"/>
        </w:rPr>
        <w:lastRenderedPageBreak/>
        <w:tab/>
        <w:t>(4)</w:t>
      </w:r>
      <w:r>
        <w:rPr>
          <w:snapToGrid w:val="0"/>
        </w:rPr>
        <w:tab/>
        <w:t xml:space="preserve">If the court sentences an offender to imprisonment it may, if the offender is at least 16 and under 18 years old and having regard to the matters in </w:t>
      </w:r>
      <w:r>
        <w:t>section 178(4),</w:t>
      </w:r>
      <w:r>
        <w:rPr>
          <w:snapToGrid w:val="0"/>
        </w:rPr>
        <w:t xml:space="preserve"> direct that the offender serve the sentence in a prison under the </w:t>
      </w:r>
      <w:r>
        <w:rPr>
          <w:i/>
          <w:snapToGrid w:val="0"/>
        </w:rPr>
        <w:t>Prisons Act 1981</w:t>
      </w:r>
      <w:r>
        <w:rPr>
          <w:snapToGrid w:val="0"/>
        </w:rPr>
        <w:t>.</w:t>
      </w:r>
    </w:p>
    <w:p>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No. 78 of 1995 s. 143; amended: No. 29 of 1998 s. 21; No. 50 of 2003 s. 29(3) and 104(2); No. 27 of 2004 s. 17; No. 5 of 2008 s. 132(3); No. 15 of 2023 s. 8.] </w:t>
      </w:r>
    </w:p>
    <w:p>
      <w:pPr>
        <w:pStyle w:val="Heading5"/>
        <w:rPr>
          <w:snapToGrid w:val="0"/>
        </w:rPr>
      </w:pPr>
      <w:bookmarkStart w:id="259" w:name="_Toc180148114"/>
      <w:r>
        <w:rPr>
          <w:rStyle w:val="CharSectno"/>
        </w:rPr>
        <w:t>118A</w:t>
      </w:r>
      <w:r>
        <w:rPr>
          <w:snapToGrid w:val="0"/>
        </w:rPr>
        <w:t>.</w:t>
      </w:r>
      <w:r>
        <w:rPr>
          <w:snapToGrid w:val="0"/>
        </w:rPr>
        <w:tab/>
        <w:t>Where sentence of imprisonment to be served</w:t>
      </w:r>
      <w:bookmarkEnd w:id="259"/>
      <w:r>
        <w:rPr>
          <w:snapToGrid w:val="0"/>
        </w:rPr>
        <w:t xml:space="preserve"> </w:t>
      </w:r>
    </w:p>
    <w:p>
      <w:pPr>
        <w:pStyle w:val="Subsection"/>
        <w:keepNext/>
        <w:rPr>
          <w:snapToGrid w:val="0"/>
        </w:rPr>
      </w:pPr>
      <w:r>
        <w:rPr>
          <w:snapToGrid w:val="0"/>
        </w:rPr>
        <w:tab/>
        <w:t>(1)</w:t>
      </w:r>
      <w:r>
        <w:rPr>
          <w:snapToGrid w:val="0"/>
        </w:rPr>
        <w:tab/>
      </w:r>
      <w:r>
        <w:t>Subsection (1A)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is under 18 years old at the time when under that sentence </w:t>
      </w:r>
      <w:r>
        <w:t>the young person is to be imprisoned.</w:t>
      </w:r>
    </w:p>
    <w:p>
      <w:pPr>
        <w:pStyle w:val="Subsection"/>
      </w:pPr>
      <w:r>
        <w:tab/>
        <w:t>(1A)</w:t>
      </w:r>
      <w:r>
        <w:tab/>
        <w:t xml:space="preserve">The young person must serve the sentence in a detention centre and not in a prison unless — </w:t>
      </w:r>
    </w:p>
    <w:p>
      <w:pPr>
        <w:pStyle w:val="Indenta"/>
      </w:pPr>
      <w:r>
        <w:tab/>
        <w:t>(a)</w:t>
      </w:r>
      <w:r>
        <w:tab/>
        <w:t>a direction is made in respect of the young person under section 118(4) or 178(3); or</w:t>
      </w:r>
    </w:p>
    <w:p>
      <w:pPr>
        <w:pStyle w:val="Indenta"/>
      </w:pPr>
      <w:r>
        <w:tab/>
        <w:t>(b)</w:t>
      </w:r>
      <w:r>
        <w:tab/>
        <w:t>the young person is transferred under section 178A(2).</w:t>
      </w:r>
    </w:p>
    <w:p>
      <w:pPr>
        <w:pStyle w:val="Subsection"/>
        <w:keepNext/>
        <w:rPr>
          <w:snapToGrid w:val="0"/>
        </w:rPr>
      </w:pPr>
      <w:r>
        <w:rPr>
          <w:snapToGrid w:val="0"/>
        </w:rPr>
        <w:tab/>
        <w:t>(2)</w:t>
      </w:r>
      <w:r>
        <w:rPr>
          <w:snapToGrid w:val="0"/>
        </w:rPr>
        <w:tab/>
      </w:r>
      <w:r>
        <w:t>Subsection (2A) applies if —</w:t>
      </w:r>
      <w:r>
        <w:rPr>
          <w:snapToGrid w:val="0"/>
        </w:rPr>
        <w:t>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 xml:space="preserve">the young person has reached the age of 18 years at the time when under that sentence </w:t>
      </w:r>
      <w:r>
        <w:t>the young person is to be imprisoned.</w:t>
      </w:r>
    </w:p>
    <w:p>
      <w:pPr>
        <w:pStyle w:val="Subsection"/>
      </w:pPr>
      <w:r>
        <w:tab/>
        <w:t>(2A)</w:t>
      </w:r>
      <w:r>
        <w:tab/>
        <w:t>The young person must serve the sentence in a prison.</w:t>
      </w:r>
    </w:p>
    <w:p>
      <w:pPr>
        <w:pStyle w:val="Subsection"/>
        <w:rPr>
          <w:snapToGrid w:val="0"/>
        </w:rPr>
      </w:pPr>
      <w:r>
        <w:rPr>
          <w:snapToGrid w:val="0"/>
        </w:rPr>
        <w:lastRenderedPageBreak/>
        <w:tab/>
        <w:t>(3)</w:t>
      </w:r>
      <w:r>
        <w:rPr>
          <w:snapToGrid w:val="0"/>
        </w:rPr>
        <w:tab/>
        <w:t xml:space="preserve">If it is not practicable to immediately transport a young person to a detention centre in accordance with </w:t>
      </w:r>
      <w:r>
        <w:t>subsection (1A),</w:t>
      </w:r>
      <w:r>
        <w:rPr>
          <w:snapToGrid w:val="0"/>
        </w:rPr>
        <w:t xml:space="preserve"> the </w:t>
      </w:r>
      <w:r>
        <w:t>young person</w:t>
      </w:r>
      <w:r>
        <w:rPr>
          <w:snapToGrid w:val="0"/>
        </w:rPr>
        <w:t xml:space="preserve"> may be held in a prison or a lock</w:t>
      </w:r>
      <w:r>
        <w:rPr>
          <w:snapToGrid w:val="0"/>
        </w:rPr>
        <w:noBreakHyphen/>
        <w:t>up until transport to a detention centre is practicable.</w:t>
      </w:r>
    </w:p>
    <w:p>
      <w:pPr>
        <w:pStyle w:val="Footnotesection"/>
      </w:pPr>
      <w:r>
        <w:tab/>
        <w:t xml:space="preserve">[Section 118A inserted: No. 78 of 1995 s. 143; amended: No. 47 of 1999 s. 43; No. 15 of 2023 s. 9.] </w:t>
      </w:r>
    </w:p>
    <w:p>
      <w:pPr>
        <w:pStyle w:val="Heading5"/>
        <w:rPr>
          <w:b w:val="0"/>
          <w:spacing w:val="-2"/>
        </w:rPr>
      </w:pPr>
      <w:bookmarkStart w:id="260" w:name="_Toc180148115"/>
      <w:r>
        <w:rPr>
          <w:rStyle w:val="CharSectno"/>
        </w:rPr>
        <w:t>119</w:t>
      </w:r>
      <w:r>
        <w:t>.</w:t>
      </w:r>
      <w:r>
        <w:tab/>
        <w:t>Taking time on remand into account</w:t>
      </w:r>
      <w:bookmarkEnd w:id="260"/>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No. 29 of 1998 s. 22.]</w:t>
      </w:r>
    </w:p>
    <w:p>
      <w:pPr>
        <w:pStyle w:val="Heading5"/>
      </w:pPr>
      <w:bookmarkStart w:id="261" w:name="_Toc180148116"/>
      <w:r>
        <w:rPr>
          <w:rStyle w:val="CharSectno"/>
        </w:rPr>
        <w:t>119A</w:t>
      </w:r>
      <w:r>
        <w:t>.</w:t>
      </w:r>
      <w:r>
        <w:tab/>
        <w:t>Effect of not being in custody</w:t>
      </w:r>
      <w:bookmarkEnd w:id="261"/>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No. 58 of 2004 s. 26.]</w:t>
      </w:r>
    </w:p>
    <w:p>
      <w:pPr>
        <w:pStyle w:val="Heading5"/>
        <w:rPr>
          <w:snapToGrid w:val="0"/>
        </w:rPr>
      </w:pPr>
      <w:bookmarkStart w:id="262" w:name="_Toc180148117"/>
      <w:r>
        <w:rPr>
          <w:rStyle w:val="CharSectno"/>
        </w:rPr>
        <w:lastRenderedPageBreak/>
        <w:t>120</w:t>
      </w:r>
      <w:r>
        <w:rPr>
          <w:snapToGrid w:val="0"/>
        </w:rPr>
        <w:t>.</w:t>
      </w:r>
      <w:r>
        <w:rPr>
          <w:snapToGrid w:val="0"/>
        </w:rPr>
        <w:tab/>
        <w:t>Custodial sentence is sentence of last resort</w:t>
      </w:r>
      <w:bookmarkEnd w:id="26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pPr>
        <w:pStyle w:val="Subsection"/>
      </w:pPr>
      <w:r>
        <w:tab/>
        <w:t>(3)</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Footnotesection"/>
      </w:pPr>
      <w:r>
        <w:tab/>
        <w:t>[Section 120 amended: No. 20 of 2013 s. 142.]</w:t>
      </w:r>
    </w:p>
    <w:p>
      <w:pPr>
        <w:pStyle w:val="Heading5"/>
        <w:rPr>
          <w:snapToGrid w:val="0"/>
        </w:rPr>
      </w:pPr>
      <w:bookmarkStart w:id="263" w:name="_Toc180148118"/>
      <w:r>
        <w:rPr>
          <w:rStyle w:val="CharSectno"/>
        </w:rPr>
        <w:t>121</w:t>
      </w:r>
      <w:r>
        <w:rPr>
          <w:snapToGrid w:val="0"/>
        </w:rPr>
        <w:t>.</w:t>
      </w:r>
      <w:r>
        <w:rPr>
          <w:snapToGrid w:val="0"/>
        </w:rPr>
        <w:tab/>
        <w:t>Minimum period before release from detention</w:t>
      </w:r>
      <w:bookmarkEnd w:id="263"/>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lastRenderedPageBreak/>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No. 29 of 1998 s. 23.]</w:t>
      </w:r>
    </w:p>
    <w:p>
      <w:pPr>
        <w:pStyle w:val="Heading5"/>
        <w:rPr>
          <w:snapToGrid w:val="0"/>
        </w:rPr>
      </w:pPr>
      <w:bookmarkStart w:id="264" w:name="_Toc180148119"/>
      <w:r>
        <w:rPr>
          <w:rStyle w:val="CharSectno"/>
        </w:rPr>
        <w:t>122</w:t>
      </w:r>
      <w:r>
        <w:rPr>
          <w:snapToGrid w:val="0"/>
        </w:rPr>
        <w:t>.</w:t>
      </w:r>
      <w:r>
        <w:rPr>
          <w:snapToGrid w:val="0"/>
        </w:rPr>
        <w:tab/>
        <w:t>Aggregation of multiple sentences of detention</w:t>
      </w:r>
      <w:bookmarkEnd w:id="264"/>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65" w:name="_Toc180148120"/>
      <w:r>
        <w:rPr>
          <w:rStyle w:val="CharSectno"/>
        </w:rPr>
        <w:t>123</w:t>
      </w:r>
      <w:r>
        <w:rPr>
          <w:snapToGrid w:val="0"/>
        </w:rPr>
        <w:t>.</w:t>
      </w:r>
      <w:r>
        <w:rPr>
          <w:snapToGrid w:val="0"/>
        </w:rPr>
        <w:tab/>
        <w:t>Cumulative sentences of detention, service of</w:t>
      </w:r>
      <w:bookmarkEnd w:id="265"/>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pPr>
        <w:pStyle w:val="Subsection"/>
        <w:keepNext/>
        <w:rPr>
          <w:snapToGrid w:val="0"/>
        </w:rPr>
      </w:pPr>
      <w:r>
        <w:rPr>
          <w:snapToGrid w:val="0"/>
        </w:rPr>
        <w:tab/>
        <w:t>(2)</w:t>
      </w:r>
      <w:r>
        <w:rPr>
          <w:snapToGrid w:val="0"/>
        </w:rPr>
        <w:tab/>
        <w:t xml:space="preserve">In determining whether a person has been in custody under a sentence for the minimum period required before the offender </w:t>
      </w:r>
      <w:r>
        <w:rPr>
          <w:snapToGrid w:val="0"/>
        </w:rPr>
        <w:lastRenderedPageBreak/>
        <w:t>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spacing w:before="200"/>
        <w:rPr>
          <w:snapToGrid w:val="0"/>
        </w:rPr>
      </w:pPr>
      <w:bookmarkStart w:id="266" w:name="_Toc180138810"/>
      <w:bookmarkStart w:id="267" w:name="_Toc180139145"/>
      <w:bookmarkStart w:id="268" w:name="_Toc180148121"/>
      <w:r>
        <w:rPr>
          <w:rStyle w:val="CharDivNo"/>
        </w:rPr>
        <w:t>Division 9</w:t>
      </w:r>
      <w:r>
        <w:rPr>
          <w:snapToGrid w:val="0"/>
        </w:rPr>
        <w:t> — </w:t>
      </w:r>
      <w:r>
        <w:rPr>
          <w:rStyle w:val="CharDivText"/>
        </w:rPr>
        <w:t>Dealing with young person who repeatedly commits serious offences</w:t>
      </w:r>
      <w:bookmarkEnd w:id="266"/>
      <w:bookmarkEnd w:id="267"/>
      <w:bookmarkEnd w:id="268"/>
      <w:r>
        <w:rPr>
          <w:rStyle w:val="CharDivText"/>
        </w:rPr>
        <w:t xml:space="preserve"> </w:t>
      </w:r>
    </w:p>
    <w:p>
      <w:pPr>
        <w:pStyle w:val="Heading5"/>
        <w:spacing w:before="180"/>
        <w:rPr>
          <w:snapToGrid w:val="0"/>
        </w:rPr>
      </w:pPr>
      <w:bookmarkStart w:id="269" w:name="_Toc180148122"/>
      <w:r>
        <w:rPr>
          <w:rStyle w:val="CharSectno"/>
        </w:rPr>
        <w:t>124</w:t>
      </w:r>
      <w:r>
        <w:rPr>
          <w:snapToGrid w:val="0"/>
        </w:rPr>
        <w:t>.</w:t>
      </w:r>
      <w:r>
        <w:rPr>
          <w:snapToGrid w:val="0"/>
        </w:rPr>
        <w:tab/>
        <w:t>When this Division applies</w:t>
      </w:r>
      <w:bookmarkEnd w:id="269"/>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lastRenderedPageBreak/>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70" w:name="_Toc180148123"/>
      <w:r>
        <w:rPr>
          <w:rStyle w:val="CharSectno"/>
        </w:rPr>
        <w:t>125</w:t>
      </w:r>
      <w:r>
        <w:rPr>
          <w:snapToGrid w:val="0"/>
        </w:rPr>
        <w:t>.</w:t>
      </w:r>
      <w:r>
        <w:rPr>
          <w:snapToGrid w:val="0"/>
        </w:rPr>
        <w:tab/>
        <w:t>Protection of the community paramount</w:t>
      </w:r>
      <w:bookmarkEnd w:id="270"/>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71" w:name="_Toc180148124"/>
      <w:r>
        <w:rPr>
          <w:rStyle w:val="CharSectno"/>
        </w:rPr>
        <w:t>126</w:t>
      </w:r>
      <w:r>
        <w:rPr>
          <w:snapToGrid w:val="0"/>
        </w:rPr>
        <w:t>.</w:t>
      </w:r>
      <w:r>
        <w:rPr>
          <w:snapToGrid w:val="0"/>
        </w:rPr>
        <w:tab/>
        <w:t>Special order, making of</w:t>
      </w:r>
      <w:bookmarkEnd w:id="2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lastRenderedPageBreak/>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No. 78 of 1995 s. 145.] </w:t>
      </w:r>
    </w:p>
    <w:p>
      <w:pPr>
        <w:pStyle w:val="Heading5"/>
        <w:spacing w:before="180"/>
        <w:rPr>
          <w:snapToGrid w:val="0"/>
        </w:rPr>
      </w:pPr>
      <w:bookmarkStart w:id="272" w:name="_Toc180148125"/>
      <w:r>
        <w:rPr>
          <w:rStyle w:val="CharSectno"/>
        </w:rPr>
        <w:t>127</w:t>
      </w:r>
      <w:r>
        <w:rPr>
          <w:snapToGrid w:val="0"/>
        </w:rPr>
        <w:t>.</w:t>
      </w:r>
      <w:r>
        <w:rPr>
          <w:snapToGrid w:val="0"/>
        </w:rPr>
        <w:tab/>
        <w:t>Special order, time of operation</w:t>
      </w:r>
      <w:bookmarkEnd w:id="272"/>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73" w:name="_Toc180148126"/>
      <w:r>
        <w:rPr>
          <w:rStyle w:val="CharSectno"/>
        </w:rPr>
        <w:lastRenderedPageBreak/>
        <w:t>128</w:t>
      </w:r>
      <w:r>
        <w:rPr>
          <w:snapToGrid w:val="0"/>
        </w:rPr>
        <w:t>.</w:t>
      </w:r>
      <w:r>
        <w:rPr>
          <w:snapToGrid w:val="0"/>
        </w:rPr>
        <w:tab/>
        <w:t>Special order, effect of</w:t>
      </w:r>
      <w:bookmarkEnd w:id="27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74" w:name="_Toc180148127"/>
      <w:r>
        <w:rPr>
          <w:rStyle w:val="CharSectno"/>
        </w:rPr>
        <w:t>129</w:t>
      </w:r>
      <w:r>
        <w:rPr>
          <w:snapToGrid w:val="0"/>
        </w:rPr>
        <w:t>.</w:t>
      </w:r>
      <w:r>
        <w:rPr>
          <w:snapToGrid w:val="0"/>
        </w:rPr>
        <w:tab/>
        <w:t>Special order, application to discharge</w:t>
      </w:r>
      <w:bookmarkEnd w:id="274"/>
      <w:r>
        <w:rPr>
          <w:snapToGrid w:val="0"/>
        </w:rPr>
        <w:t xml:space="preserve"> </w:t>
      </w:r>
    </w:p>
    <w:p>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lastRenderedPageBreak/>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75" w:name="_Toc180148128"/>
      <w:r>
        <w:rPr>
          <w:rStyle w:val="CharSectno"/>
        </w:rPr>
        <w:t>130</w:t>
      </w:r>
      <w:r>
        <w:rPr>
          <w:snapToGrid w:val="0"/>
        </w:rPr>
        <w:t>.</w:t>
      </w:r>
      <w:r>
        <w:rPr>
          <w:snapToGrid w:val="0"/>
        </w:rPr>
        <w:tab/>
        <w:t>Special order, effect of expiry of</w:t>
      </w:r>
      <w:bookmarkEnd w:id="27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76" w:name="_Toc180138818"/>
      <w:bookmarkStart w:id="277" w:name="_Toc180139153"/>
      <w:bookmarkStart w:id="278" w:name="_Toc180148129"/>
      <w:r>
        <w:rPr>
          <w:rStyle w:val="CharPartNo"/>
        </w:rPr>
        <w:lastRenderedPageBreak/>
        <w:t>Part 8</w:t>
      </w:r>
      <w:r>
        <w:t> — </w:t>
      </w:r>
      <w:r>
        <w:rPr>
          <w:rStyle w:val="CharPartText"/>
        </w:rPr>
        <w:t>Supervised release orders</w:t>
      </w:r>
      <w:bookmarkEnd w:id="276"/>
      <w:bookmarkEnd w:id="277"/>
      <w:bookmarkEnd w:id="278"/>
      <w:r>
        <w:rPr>
          <w:rStyle w:val="CharPartText"/>
        </w:rPr>
        <w:t xml:space="preserve"> </w:t>
      </w:r>
    </w:p>
    <w:p>
      <w:pPr>
        <w:pStyle w:val="Heading3"/>
        <w:rPr>
          <w:snapToGrid w:val="0"/>
        </w:rPr>
      </w:pPr>
      <w:bookmarkStart w:id="279" w:name="_Toc180138819"/>
      <w:bookmarkStart w:id="280" w:name="_Toc180139154"/>
      <w:bookmarkStart w:id="281" w:name="_Toc180148130"/>
      <w:r>
        <w:rPr>
          <w:rStyle w:val="CharDivNo"/>
        </w:rPr>
        <w:t>Division 1</w:t>
      </w:r>
      <w:r>
        <w:rPr>
          <w:snapToGrid w:val="0"/>
        </w:rPr>
        <w:t> — </w:t>
      </w:r>
      <w:r>
        <w:rPr>
          <w:rStyle w:val="CharDivText"/>
        </w:rPr>
        <w:t>Definitions</w:t>
      </w:r>
      <w:bookmarkEnd w:id="279"/>
      <w:bookmarkEnd w:id="280"/>
      <w:bookmarkEnd w:id="281"/>
      <w:r>
        <w:rPr>
          <w:rStyle w:val="CharDivText"/>
        </w:rPr>
        <w:t xml:space="preserve"> </w:t>
      </w:r>
    </w:p>
    <w:p>
      <w:pPr>
        <w:pStyle w:val="Heading5"/>
        <w:rPr>
          <w:snapToGrid w:val="0"/>
        </w:rPr>
      </w:pPr>
      <w:bookmarkStart w:id="282" w:name="_Toc180148131"/>
      <w:r>
        <w:rPr>
          <w:rStyle w:val="CharSectno"/>
        </w:rPr>
        <w:t>131</w:t>
      </w:r>
      <w:r>
        <w:rPr>
          <w:snapToGrid w:val="0"/>
        </w:rPr>
        <w:t>.</w:t>
      </w:r>
      <w:r>
        <w:rPr>
          <w:snapToGrid w:val="0"/>
        </w:rPr>
        <w:tab/>
        <w:t>Terms used</w:t>
      </w:r>
      <w:bookmarkEnd w:id="282"/>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83" w:name="_Toc180138821"/>
      <w:bookmarkStart w:id="284" w:name="_Toc180139156"/>
      <w:bookmarkStart w:id="285" w:name="_Toc180148132"/>
      <w:r>
        <w:rPr>
          <w:rStyle w:val="CharDivNo"/>
        </w:rPr>
        <w:t>Division 2</w:t>
      </w:r>
      <w:r>
        <w:rPr>
          <w:snapToGrid w:val="0"/>
        </w:rPr>
        <w:t> — </w:t>
      </w:r>
      <w:r>
        <w:rPr>
          <w:rStyle w:val="CharDivText"/>
        </w:rPr>
        <w:t>The order</w:t>
      </w:r>
      <w:bookmarkEnd w:id="283"/>
      <w:bookmarkEnd w:id="284"/>
      <w:bookmarkEnd w:id="285"/>
      <w:r>
        <w:rPr>
          <w:rStyle w:val="CharDivText"/>
        </w:rPr>
        <w:t xml:space="preserve"> </w:t>
      </w:r>
    </w:p>
    <w:p>
      <w:pPr>
        <w:pStyle w:val="Heading5"/>
        <w:rPr>
          <w:snapToGrid w:val="0"/>
        </w:rPr>
      </w:pPr>
      <w:bookmarkStart w:id="286" w:name="_Toc180148133"/>
      <w:r>
        <w:rPr>
          <w:rStyle w:val="CharSectno"/>
        </w:rPr>
        <w:t>132</w:t>
      </w:r>
      <w:r>
        <w:rPr>
          <w:snapToGrid w:val="0"/>
        </w:rPr>
        <w:t>.</w:t>
      </w:r>
      <w:r>
        <w:rPr>
          <w:snapToGrid w:val="0"/>
        </w:rPr>
        <w:tab/>
        <w:t>Supervised release order, Board may make</w:t>
      </w:r>
      <w:bookmarkEnd w:id="286"/>
      <w:r>
        <w:rPr>
          <w:snapToGrid w:val="0"/>
        </w:rPr>
        <w:t xml:space="preserve"> </w:t>
      </w:r>
    </w:p>
    <w:p>
      <w:pPr>
        <w:pStyle w:val="Subsection"/>
        <w:rPr>
          <w:snapToGrid w:val="0"/>
        </w:rPr>
      </w:pPr>
      <w:r>
        <w:rPr>
          <w:snapToGrid w:val="0"/>
        </w:rPr>
        <w:tab/>
        <w:t>(1)</w:t>
      </w:r>
      <w:r>
        <w:rPr>
          <w:snapToGrid w:val="0"/>
        </w:rPr>
        <w:tab/>
      </w:r>
      <w:r>
        <w:t>Except as provided in Division 2A, if</w:t>
      </w:r>
      <w:r>
        <w:rPr>
          <w:snapToGrid w:val="0"/>
        </w:rPr>
        <w:t xml:space="preserve">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lastRenderedPageBreak/>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No. 58 of 2004 s. 27; No. 14 of 2022 s. 32.]</w:t>
      </w:r>
    </w:p>
    <w:p>
      <w:pPr>
        <w:pStyle w:val="Heading5"/>
        <w:rPr>
          <w:snapToGrid w:val="0"/>
        </w:rPr>
      </w:pPr>
      <w:bookmarkStart w:id="287" w:name="_Toc180148134"/>
      <w:r>
        <w:rPr>
          <w:rStyle w:val="CharSectno"/>
        </w:rPr>
        <w:t>133</w:t>
      </w:r>
      <w:r>
        <w:rPr>
          <w:snapToGrid w:val="0"/>
        </w:rPr>
        <w:t>.</w:t>
      </w:r>
      <w:r>
        <w:rPr>
          <w:snapToGrid w:val="0"/>
        </w:rPr>
        <w:tab/>
        <w:t>Supervised release order, when can be made</w:t>
      </w:r>
      <w:bookmarkEnd w:id="287"/>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 xml:space="preserve">a person who has suffered injury, loss or damage as a direct result of the offence, whether or not that injury, </w:t>
      </w:r>
      <w:r>
        <w:lastRenderedPageBreak/>
        <w:t>loss or damage was reasonably foreseeable by the offender; or</w:t>
      </w:r>
    </w:p>
    <w:p>
      <w:pPr>
        <w:pStyle w:val="Defpara"/>
        <w:keepNext/>
      </w:pPr>
      <w:r>
        <w:tab/>
        <w:t>(b)</w:t>
      </w:r>
      <w:r>
        <w:tab/>
        <w:t>where the offence results in a death, any member of the immediate family of the deceased.</w:t>
      </w:r>
    </w:p>
    <w:p>
      <w:pPr>
        <w:pStyle w:val="Footnotesection"/>
      </w:pPr>
      <w:r>
        <w:tab/>
        <w:t>[Section 133 amended: No. 41 of 2006 s. 87.]</w:t>
      </w:r>
    </w:p>
    <w:p>
      <w:pPr>
        <w:pStyle w:val="Heading5"/>
        <w:rPr>
          <w:snapToGrid w:val="0"/>
        </w:rPr>
      </w:pPr>
      <w:bookmarkStart w:id="288" w:name="_Toc180148135"/>
      <w:r>
        <w:rPr>
          <w:rStyle w:val="CharSectno"/>
        </w:rPr>
        <w:t>134</w:t>
      </w:r>
      <w:r>
        <w:rPr>
          <w:snapToGrid w:val="0"/>
        </w:rPr>
        <w:t>.</w:t>
      </w:r>
      <w:r>
        <w:rPr>
          <w:snapToGrid w:val="0"/>
        </w:rPr>
        <w:tab/>
        <w:t>Duration of order</w:t>
      </w:r>
      <w:bookmarkEnd w:id="288"/>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89" w:name="_Toc180148136"/>
      <w:r>
        <w:rPr>
          <w:rStyle w:val="CharSectno"/>
        </w:rPr>
        <w:t>135</w:t>
      </w:r>
      <w:r>
        <w:rPr>
          <w:snapToGrid w:val="0"/>
        </w:rPr>
        <w:t>.</w:t>
      </w:r>
      <w:r>
        <w:rPr>
          <w:snapToGrid w:val="0"/>
        </w:rPr>
        <w:tab/>
        <w:t>Order may relate to more than one sentence</w:t>
      </w:r>
      <w:bookmarkEnd w:id="289"/>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90" w:name="_Toc180148137"/>
      <w:r>
        <w:rPr>
          <w:rStyle w:val="CharSectno"/>
        </w:rPr>
        <w:t>136</w:t>
      </w:r>
      <w:r>
        <w:rPr>
          <w:snapToGrid w:val="0"/>
        </w:rPr>
        <w:t>.</w:t>
      </w:r>
      <w:r>
        <w:rPr>
          <w:snapToGrid w:val="0"/>
        </w:rPr>
        <w:tab/>
        <w:t>Conditions implied in order</w:t>
      </w:r>
      <w:bookmarkEnd w:id="290"/>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lastRenderedPageBreak/>
        <w:tab/>
      </w:r>
      <w:r>
        <w:rPr>
          <w:snapToGrid w:val="0"/>
        </w:rPr>
        <w:tab/>
        <w:t>and</w:t>
      </w:r>
    </w:p>
    <w:p>
      <w:pPr>
        <w:pStyle w:val="Indenta"/>
        <w:keepNext/>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91" w:name="_Toc180148138"/>
      <w:r>
        <w:rPr>
          <w:rStyle w:val="CharSectno"/>
        </w:rPr>
        <w:t>136A</w:t>
      </w:r>
      <w:r>
        <w:rPr>
          <w:snapToGrid w:val="0"/>
        </w:rPr>
        <w:t>.</w:t>
      </w:r>
      <w:r>
        <w:rPr>
          <w:snapToGrid w:val="0"/>
        </w:rPr>
        <w:tab/>
        <w:t>Express conditions: specified places</w:t>
      </w:r>
      <w:bookmarkEnd w:id="291"/>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lastRenderedPageBreak/>
        <w:tab/>
        <w:t>(vi)</w:t>
      </w:r>
      <w:r>
        <w:tab/>
        <w:t>for a purpose approved of by the officer supervising the offender; or</w:t>
      </w:r>
    </w:p>
    <w:p>
      <w:pPr>
        <w:pStyle w:val="Indenti"/>
      </w:pPr>
      <w:r>
        <w:tab/>
        <w:t>(vii)</w:t>
      </w:r>
      <w:r>
        <w:tab/>
        <w:t>with the permission of the chief executive officer.</w:t>
      </w:r>
    </w:p>
    <w:p>
      <w:pPr>
        <w:pStyle w:val="Subsection"/>
        <w:keepNext/>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No. 58 of 2004 s. 28.]</w:t>
      </w:r>
    </w:p>
    <w:p>
      <w:pPr>
        <w:pStyle w:val="Heading5"/>
      </w:pPr>
      <w:bookmarkStart w:id="292" w:name="_Toc180148139"/>
      <w:r>
        <w:rPr>
          <w:rStyle w:val="CharSectno"/>
        </w:rPr>
        <w:lastRenderedPageBreak/>
        <w:t>136B</w:t>
      </w:r>
      <w:r>
        <w:t>.</w:t>
      </w:r>
      <w:r>
        <w:tab/>
        <w:t>Express conditions: devices</w:t>
      </w:r>
      <w:bookmarkEnd w:id="292"/>
      <w:r>
        <w:t xml:space="preserve"> </w:t>
      </w:r>
    </w:p>
    <w:p>
      <w:pPr>
        <w:pStyle w:val="Subsection"/>
        <w:keepNext/>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keepNext/>
      </w:pPr>
      <w:r>
        <w:tab/>
        <w:t>(7)</w:t>
      </w:r>
      <w:r>
        <w:tab/>
        <w:t>A person who wilfully and unlawfully destroys or damages a device commits an offence.</w:t>
      </w:r>
    </w:p>
    <w:p>
      <w:pPr>
        <w:pStyle w:val="Footnotesection"/>
      </w:pPr>
      <w:r>
        <w:tab/>
        <w:t>[Section 136B inserted: No. 58 of 2004 s. 28.]</w:t>
      </w:r>
    </w:p>
    <w:p>
      <w:pPr>
        <w:pStyle w:val="Heading5"/>
        <w:rPr>
          <w:snapToGrid w:val="0"/>
        </w:rPr>
      </w:pPr>
      <w:bookmarkStart w:id="293" w:name="_Toc180148140"/>
      <w:r>
        <w:rPr>
          <w:rStyle w:val="CharSectno"/>
        </w:rPr>
        <w:t>137</w:t>
      </w:r>
      <w:r>
        <w:rPr>
          <w:snapToGrid w:val="0"/>
        </w:rPr>
        <w:t>.</w:t>
      </w:r>
      <w:r>
        <w:rPr>
          <w:snapToGrid w:val="0"/>
        </w:rPr>
        <w:tab/>
        <w:t>Effect of proposed order to be explained to offender</w:t>
      </w:r>
      <w:bookmarkEnd w:id="293"/>
      <w:r>
        <w:rPr>
          <w:snapToGrid w:val="0"/>
        </w:rPr>
        <w:t xml:space="preserve"> </w:t>
      </w:r>
    </w:p>
    <w:p>
      <w:pPr>
        <w:pStyle w:val="Subsection"/>
        <w:keepNext/>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lastRenderedPageBreak/>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94" w:name="_Toc180148141"/>
      <w:r>
        <w:rPr>
          <w:rStyle w:val="CharSectno"/>
        </w:rPr>
        <w:t>138</w:t>
      </w:r>
      <w:r>
        <w:rPr>
          <w:snapToGrid w:val="0"/>
        </w:rPr>
        <w:t>.</w:t>
      </w:r>
      <w:r>
        <w:rPr>
          <w:snapToGrid w:val="0"/>
        </w:rPr>
        <w:tab/>
        <w:t>Order to be provided in writing</w:t>
      </w:r>
      <w:bookmarkEnd w:id="294"/>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95" w:name="_Toc180148142"/>
      <w:r>
        <w:rPr>
          <w:rStyle w:val="CharSectno"/>
        </w:rPr>
        <w:t>139</w:t>
      </w:r>
      <w:r>
        <w:rPr>
          <w:snapToGrid w:val="0"/>
        </w:rPr>
        <w:t>.</w:t>
      </w:r>
      <w:r>
        <w:rPr>
          <w:snapToGrid w:val="0"/>
        </w:rPr>
        <w:tab/>
        <w:t>Supervising officer</w:t>
      </w:r>
      <w:bookmarkEnd w:id="295"/>
      <w:r>
        <w:rPr>
          <w:snapToGrid w:val="0"/>
        </w:rPr>
        <w:t xml:space="preserve"> </w:t>
      </w:r>
    </w:p>
    <w:p>
      <w:pPr>
        <w:pStyle w:val="Subsection"/>
        <w:keepNext/>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139. Modifications to be applied in order to give effect to Cross-border Justice Act 2008: section altered 1 Dec 2009. See endnote 1M.]</w:t>
      </w:r>
    </w:p>
    <w:p>
      <w:pPr>
        <w:pStyle w:val="Heading5"/>
        <w:rPr>
          <w:snapToGrid w:val="0"/>
        </w:rPr>
      </w:pPr>
      <w:bookmarkStart w:id="296" w:name="_Toc180148143"/>
      <w:r>
        <w:rPr>
          <w:rStyle w:val="CharSectno"/>
        </w:rPr>
        <w:lastRenderedPageBreak/>
        <w:t>140</w:t>
      </w:r>
      <w:r>
        <w:rPr>
          <w:snapToGrid w:val="0"/>
        </w:rPr>
        <w:t>.</w:t>
      </w:r>
      <w:r>
        <w:rPr>
          <w:snapToGrid w:val="0"/>
        </w:rPr>
        <w:tab/>
        <w:t>Obligations under order may be suspended</w:t>
      </w:r>
      <w:bookmarkEnd w:id="296"/>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97" w:name="_Toc180148144"/>
      <w:r>
        <w:rPr>
          <w:rStyle w:val="CharSectno"/>
        </w:rPr>
        <w:t>141</w:t>
      </w:r>
      <w:r>
        <w:rPr>
          <w:snapToGrid w:val="0"/>
        </w:rPr>
        <w:t>.</w:t>
      </w:r>
      <w:r>
        <w:rPr>
          <w:snapToGrid w:val="0"/>
        </w:rPr>
        <w:tab/>
        <w:t>Amendment of order, extent of power</w:t>
      </w:r>
      <w:bookmarkEnd w:id="2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98" w:name="_Toc180148145"/>
      <w:r>
        <w:rPr>
          <w:rStyle w:val="CharSectno"/>
        </w:rPr>
        <w:t>142</w:t>
      </w:r>
      <w:r>
        <w:rPr>
          <w:snapToGrid w:val="0"/>
        </w:rPr>
        <w:t>.</w:t>
      </w:r>
      <w:r>
        <w:rPr>
          <w:snapToGrid w:val="0"/>
        </w:rPr>
        <w:tab/>
        <w:t>Amendment or cancellation of order</w:t>
      </w:r>
      <w:bookmarkEnd w:id="298"/>
      <w:r>
        <w:rPr>
          <w:snapToGrid w:val="0"/>
        </w:rPr>
        <w:t xml:space="preserve"> </w:t>
      </w:r>
    </w:p>
    <w:p>
      <w:pPr>
        <w:pStyle w:val="Subsection"/>
        <w:rPr>
          <w:snapToGrid w:val="0"/>
        </w:rPr>
      </w:pPr>
      <w:r>
        <w:rPr>
          <w:snapToGrid w:val="0"/>
        </w:rPr>
        <w:tab/>
        <w:t>(1)</w:t>
      </w:r>
      <w:r>
        <w:rPr>
          <w:snapToGrid w:val="0"/>
        </w:rPr>
        <w:tab/>
        <w:t xml:space="preserve">Subject to </w:t>
      </w:r>
      <w:r>
        <w:t xml:space="preserve">subsection (2) and section 142A, </w:t>
      </w:r>
      <w:r>
        <w:rPr>
          <w:snapToGrid w:val="0"/>
        </w:rPr>
        <w:t>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 xml:space="preserve">A supervised release order can only be cancelled under this section with the consent of the offender and, except so far as it diminishes or removes an obligation of the offender, an </w:t>
      </w:r>
      <w:r>
        <w:rPr>
          <w:snapToGrid w:val="0"/>
        </w:rPr>
        <w:lastRenderedPageBreak/>
        <w:t>amendment can only be made under this section with the consent of the offender.</w:t>
      </w:r>
    </w:p>
    <w:p>
      <w:pPr>
        <w:pStyle w:val="Footnotesection"/>
      </w:pPr>
      <w:r>
        <w:tab/>
        <w:t>[Section 142 amended: No. 14 of 2022 s. 33.]</w:t>
      </w:r>
    </w:p>
    <w:p>
      <w:pPr>
        <w:pStyle w:val="Heading5"/>
      </w:pPr>
      <w:bookmarkStart w:id="299" w:name="_Toc180148146"/>
      <w:r>
        <w:rPr>
          <w:rStyle w:val="CharSectno"/>
        </w:rPr>
        <w:t>142A</w:t>
      </w:r>
      <w:r>
        <w:t>.</w:t>
      </w:r>
      <w:r>
        <w:tab/>
        <w:t>Cancellation automatic in case of offender with links to terrorism</w:t>
      </w:r>
      <w:bookmarkEnd w:id="299"/>
    </w:p>
    <w:p>
      <w:pPr>
        <w:pStyle w:val="Subsection"/>
      </w:pPr>
      <w:r>
        <w:tab/>
        <w:t>(1)</w:t>
      </w:r>
      <w:r>
        <w:tab/>
        <w:t xml:space="preserve">In this section, a reference to the </w:t>
      </w:r>
      <w:r>
        <w:rPr>
          <w:rStyle w:val="CharDefText"/>
        </w:rPr>
        <w:t>Board</w:t>
      </w:r>
      <w:r>
        <w:t xml:space="preserve"> is a reference to </w:t>
      </w:r>
      <w:r>
        <w:rPr>
          <w:szCs w:val="24"/>
        </w:rPr>
        <w:t>the Board as constituted by the chairperson alone.</w:t>
      </w:r>
    </w:p>
    <w:p>
      <w:pPr>
        <w:pStyle w:val="Subsection"/>
      </w:pPr>
      <w:r>
        <w:tab/>
        <w:t>(2)</w:t>
      </w:r>
      <w:r>
        <w:tab/>
        <w:t>The Board must cancel a supervised release order in respect of any of the following offenders —</w:t>
      </w:r>
    </w:p>
    <w:p>
      <w:pPr>
        <w:pStyle w:val="Indenta"/>
      </w:pPr>
      <w:r>
        <w:tab/>
        <w:t>(a)</w:t>
      </w:r>
      <w:r>
        <w:tab/>
        <w:t>an offender who, during the period the offender is subject to the supervised release order —</w:t>
      </w:r>
    </w:p>
    <w:p>
      <w:pPr>
        <w:pStyle w:val="Indenti"/>
      </w:pPr>
      <w:r>
        <w:tab/>
        <w:t>(i)</w:t>
      </w:r>
      <w:r>
        <w:tab/>
      </w:r>
      <w:r>
        <w:rPr>
          <w:szCs w:val="24"/>
        </w:rPr>
        <w:t>is charged with, or convicted of, a terrorism offence; or</w:t>
      </w:r>
    </w:p>
    <w:p>
      <w:pPr>
        <w:pStyle w:val="Indenti"/>
      </w:pPr>
      <w:r>
        <w:tab/>
        <w:t>(ii)</w:t>
      </w:r>
      <w:r>
        <w:tab/>
      </w:r>
      <w:r>
        <w:rPr>
          <w:szCs w:val="24"/>
        </w:rPr>
        <w:t xml:space="preserve">is </w:t>
      </w:r>
      <w:r>
        <w:t>charged with, or convicted of, an offence against the Commonwealth Criminal Code section 80.2C(1)</w:t>
      </w:r>
      <w:r>
        <w:rPr>
          <w:szCs w:val="24"/>
        </w:rPr>
        <w:t>; or</w:t>
      </w:r>
    </w:p>
    <w:p>
      <w:pPr>
        <w:pStyle w:val="Indenti"/>
      </w:pPr>
      <w:r>
        <w:tab/>
        <w:t>(iii)</w:t>
      </w:r>
      <w:r>
        <w:tab/>
      </w:r>
      <w:r>
        <w:rPr>
          <w:szCs w:val="24"/>
        </w:rPr>
        <w:t>becomes subject to an interim control order or confirmed control order; or</w:t>
      </w:r>
    </w:p>
    <w:p>
      <w:pPr>
        <w:pStyle w:val="Indenti"/>
        <w:rPr>
          <w:szCs w:val="24"/>
        </w:rPr>
      </w:pPr>
      <w:r>
        <w:tab/>
        <w:t>(iv)</w:t>
      </w:r>
      <w:r>
        <w:tab/>
        <w:t xml:space="preserve">becomes subject to a Commissioner of Police report </w:t>
      </w:r>
      <w:r>
        <w:rPr>
          <w:szCs w:val="24"/>
        </w:rPr>
        <w:t xml:space="preserve">and who the </w:t>
      </w:r>
      <w:r>
        <w:t>Board</w:t>
      </w:r>
      <w:r>
        <w:rPr>
          <w:szCs w:val="24"/>
        </w:rPr>
        <w:t xml:space="preserve"> is satisfied has</w:t>
      </w:r>
      <w:r>
        <w:t xml:space="preserve"> made statements or carried out activities that support, or advocate support for, terrorist acts</w:t>
      </w:r>
      <w:r>
        <w:rPr>
          <w:szCs w:val="24"/>
        </w:rPr>
        <w:t xml:space="preserve">; </w:t>
      </w:r>
    </w:p>
    <w:p>
      <w:pPr>
        <w:pStyle w:val="Indenta"/>
      </w:pPr>
      <w:r>
        <w:tab/>
        <w:t>(b)</w:t>
      </w:r>
      <w:r>
        <w:tab/>
        <w:t xml:space="preserve">an offender for whom, during the period the offender is subject to the supervised release order, an interim control order is being sought under the </w:t>
      </w:r>
      <w:r>
        <w:rPr>
          <w:szCs w:val="24"/>
        </w:rPr>
        <w:t>Commonwealth Criminal Code section 104.3(1)</w:t>
      </w:r>
      <w:r>
        <w:t xml:space="preserve">; </w:t>
      </w:r>
    </w:p>
    <w:p>
      <w:pPr>
        <w:pStyle w:val="Indenta"/>
      </w:pPr>
      <w:r>
        <w:tab/>
        <w:t>(c)</w:t>
      </w:r>
      <w:r>
        <w:tab/>
        <w:t xml:space="preserve">an offender who the Board is satisfied — </w:t>
      </w:r>
    </w:p>
    <w:p>
      <w:pPr>
        <w:pStyle w:val="Indenti"/>
      </w:pPr>
      <w:r>
        <w:rPr>
          <w:szCs w:val="24"/>
        </w:rPr>
        <w:tab/>
        <w:t>(i)</w:t>
      </w:r>
      <w:r>
        <w:rPr>
          <w:szCs w:val="24"/>
        </w:rPr>
        <w:tab/>
        <w:t xml:space="preserve">at the time that the supervised release order in respect of the offender was made, </w:t>
      </w:r>
      <w:r>
        <w:t>was a category 1 offender or a category 2 offender; and</w:t>
      </w:r>
    </w:p>
    <w:p>
      <w:pPr>
        <w:pStyle w:val="Indenti"/>
      </w:pPr>
      <w:r>
        <w:rPr>
          <w:szCs w:val="24"/>
        </w:rPr>
        <w:lastRenderedPageBreak/>
        <w:tab/>
        <w:t>(ii)</w:t>
      </w:r>
      <w:r>
        <w:rPr>
          <w:szCs w:val="24"/>
        </w:rPr>
        <w:tab/>
      </w:r>
      <w:r>
        <w:t>in respect of whom, this fact was not known by the person who made the order at the time that the order was made.</w:t>
      </w:r>
    </w:p>
    <w:p>
      <w:pPr>
        <w:pStyle w:val="Footnotesection"/>
      </w:pPr>
      <w:r>
        <w:tab/>
        <w:t>[Section 142A inserted: No. 14 of 2022 s. 34.]</w:t>
      </w:r>
    </w:p>
    <w:p>
      <w:pPr>
        <w:pStyle w:val="Heading5"/>
      </w:pPr>
      <w:bookmarkStart w:id="300" w:name="_Toc180148147"/>
      <w:r>
        <w:rPr>
          <w:rStyle w:val="CharSectno"/>
        </w:rPr>
        <w:t>142B</w:t>
      </w:r>
      <w:r>
        <w:t>.</w:t>
      </w:r>
      <w:r>
        <w:tab/>
        <w:t>Supervised release order, when cancellation under s. 142A takes effect</w:t>
      </w:r>
      <w:bookmarkEnd w:id="300"/>
      <w:r>
        <w:t xml:space="preserve"> </w:t>
      </w:r>
    </w:p>
    <w:p>
      <w:pPr>
        <w:pStyle w:val="Subsection"/>
      </w:pPr>
      <w:r>
        <w:tab/>
        <w:t>(1)</w:t>
      </w:r>
      <w:r>
        <w:tab/>
        <w:t>If a supervised release order in respect of an offender is cancelled under section 142A, the supervised release order is taken to be cancelled —</w:t>
      </w:r>
    </w:p>
    <w:p>
      <w:pPr>
        <w:pStyle w:val="Indenta"/>
      </w:pPr>
      <w:r>
        <w:tab/>
        <w:t>(a)</w:t>
      </w:r>
      <w:r>
        <w:tab/>
      </w:r>
      <w:r>
        <w:rPr>
          <w:szCs w:val="24"/>
        </w:rPr>
        <w:t>if the cancellation results from a charge or conviction </w:t>
      </w:r>
      <w:r>
        <w:t xml:space="preserve">— </w:t>
      </w:r>
      <w:r>
        <w:rPr>
          <w:szCs w:val="24"/>
        </w:rPr>
        <w:t>on the day when the offence that resulted in the charge or conviction was committed; or</w:t>
      </w:r>
    </w:p>
    <w:p>
      <w:pPr>
        <w:pStyle w:val="Indenta"/>
      </w:pPr>
      <w:r>
        <w:tab/>
        <w:t>(b)</w:t>
      </w:r>
      <w:r>
        <w:tab/>
        <w:t>if the cancellation results from an offender becoming subject to an interim control order or confirmed control order — on the day when the offender became subject to the order; or</w:t>
      </w:r>
    </w:p>
    <w:p>
      <w:pPr>
        <w:pStyle w:val="Indenta"/>
      </w:pPr>
      <w:r>
        <w:tab/>
        <w:t>(c)</w:t>
      </w:r>
      <w:r>
        <w:tab/>
        <w:t>if the cancellation results from an interim control order or confirmed control order being sought in respect of an offender— on the day when the order was sought; or</w:t>
      </w:r>
    </w:p>
    <w:p>
      <w:pPr>
        <w:pStyle w:val="Indenta"/>
      </w:pPr>
      <w:r>
        <w:tab/>
        <w:t>(d)</w:t>
      </w:r>
      <w:r>
        <w:tab/>
        <w:t>if the cancellation results from a decision by the Board — the day when the decision was made.</w:t>
      </w:r>
    </w:p>
    <w:p>
      <w:pPr>
        <w:pStyle w:val="Subsection"/>
      </w:pPr>
      <w:r>
        <w:tab/>
        <w:t>(2)</w:t>
      </w:r>
      <w:r>
        <w:tab/>
        <w:t>If the day when an offence was committed cannot be ascertained — the day is taken, for the purposes of subsection (1)(a), to be the latest day on which that offence could have been committed, as determined by the chief executive officer.</w:t>
      </w:r>
    </w:p>
    <w:p>
      <w:pPr>
        <w:pStyle w:val="Footnotesection"/>
      </w:pPr>
      <w:r>
        <w:tab/>
        <w:t>[Section 142B inserted: No. 14 of 2022 s. 34; amended: No. 15 of 2023 s. 10.]</w:t>
      </w:r>
    </w:p>
    <w:p>
      <w:pPr>
        <w:pStyle w:val="Heading5"/>
        <w:rPr>
          <w:snapToGrid w:val="0"/>
        </w:rPr>
      </w:pPr>
      <w:bookmarkStart w:id="301" w:name="_Toc180148148"/>
      <w:r>
        <w:rPr>
          <w:rStyle w:val="CharSectno"/>
        </w:rPr>
        <w:t>143</w:t>
      </w:r>
      <w:r>
        <w:rPr>
          <w:snapToGrid w:val="0"/>
        </w:rPr>
        <w:t>.</w:t>
      </w:r>
      <w:r>
        <w:rPr>
          <w:snapToGrid w:val="0"/>
        </w:rPr>
        <w:tab/>
        <w:t>Cancellation of certain obligations after 6 months’ release</w:t>
      </w:r>
      <w:bookmarkEnd w:id="301"/>
      <w:r>
        <w:rPr>
          <w:snapToGrid w:val="0"/>
        </w:rPr>
        <w:t xml:space="preserve"> </w:t>
      </w:r>
    </w:p>
    <w:p>
      <w:pPr>
        <w:pStyle w:val="Subsection"/>
        <w:rPr>
          <w:snapToGrid w:val="0"/>
        </w:rPr>
      </w:pPr>
      <w:r>
        <w:rPr>
          <w:snapToGrid w:val="0"/>
        </w:rPr>
        <w:tab/>
        <w:t>(1)</w:t>
      </w:r>
      <w:r>
        <w:rPr>
          <w:snapToGrid w:val="0"/>
        </w:rPr>
        <w:tab/>
        <w:t xml:space="preserve">If the offender has been the subject of a supervised release order for at least 6 months and the Board is satisfied that it would be </w:t>
      </w:r>
      <w:r>
        <w:rPr>
          <w:snapToGrid w:val="0"/>
        </w:rPr>
        <w:lastRenderedPageBreak/>
        <w:t>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302" w:name="_Toc180148149"/>
      <w:r>
        <w:rPr>
          <w:rStyle w:val="CharSectno"/>
        </w:rPr>
        <w:t>144</w:t>
      </w:r>
      <w:r>
        <w:rPr>
          <w:snapToGrid w:val="0"/>
        </w:rPr>
        <w:t>.</w:t>
      </w:r>
      <w:r>
        <w:rPr>
          <w:snapToGrid w:val="0"/>
        </w:rPr>
        <w:tab/>
        <w:t>Breach of order other than by re</w:t>
      </w:r>
      <w:r>
        <w:rPr>
          <w:snapToGrid w:val="0"/>
        </w:rPr>
        <w:noBreakHyphen/>
        <w:t>offending, report to CEO</w:t>
      </w:r>
      <w:bookmarkEnd w:id="30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303" w:name="_Toc180148150"/>
      <w:r>
        <w:rPr>
          <w:rStyle w:val="CharSectno"/>
        </w:rPr>
        <w:t>145</w:t>
      </w:r>
      <w:r>
        <w:rPr>
          <w:snapToGrid w:val="0"/>
        </w:rPr>
        <w:t>.</w:t>
      </w:r>
      <w:r>
        <w:rPr>
          <w:snapToGrid w:val="0"/>
        </w:rPr>
        <w:tab/>
        <w:t>Courts to notify Board and CEO of re</w:t>
      </w:r>
      <w:r>
        <w:rPr>
          <w:snapToGrid w:val="0"/>
        </w:rPr>
        <w:noBreakHyphen/>
        <w:t>offending</w:t>
      </w:r>
      <w:bookmarkEnd w:id="30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lastRenderedPageBreak/>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keepNext/>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No. 58 of 2004 s. 29.]</w:t>
      </w:r>
    </w:p>
    <w:p>
      <w:pPr>
        <w:pStyle w:val="Heading5"/>
        <w:rPr>
          <w:snapToGrid w:val="0"/>
        </w:rPr>
      </w:pPr>
      <w:bookmarkStart w:id="304" w:name="_Toc180148151"/>
      <w:r>
        <w:rPr>
          <w:rStyle w:val="CharSectno"/>
        </w:rPr>
        <w:t>146</w:t>
      </w:r>
      <w:r>
        <w:rPr>
          <w:snapToGrid w:val="0"/>
        </w:rPr>
        <w:t>.</w:t>
      </w:r>
      <w:r>
        <w:rPr>
          <w:snapToGrid w:val="0"/>
        </w:rPr>
        <w:tab/>
        <w:t>Report to be provided when referring matter to Board</w:t>
      </w:r>
      <w:bookmarkEnd w:id="304"/>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305" w:name="_Toc180148152"/>
      <w:r>
        <w:rPr>
          <w:rStyle w:val="CharSectno"/>
        </w:rPr>
        <w:t>147</w:t>
      </w:r>
      <w:r>
        <w:rPr>
          <w:snapToGrid w:val="0"/>
        </w:rPr>
        <w:t>.</w:t>
      </w:r>
      <w:r>
        <w:rPr>
          <w:snapToGrid w:val="0"/>
        </w:rPr>
        <w:tab/>
        <w:t>Breach of order, how Board may deal with</w:t>
      </w:r>
      <w:bookmarkEnd w:id="305"/>
      <w:r>
        <w:rPr>
          <w:snapToGrid w:val="0"/>
        </w:rPr>
        <w:t xml:space="preserve"> </w:t>
      </w:r>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lastRenderedPageBreak/>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306" w:name="_Toc180148153"/>
      <w:r>
        <w:rPr>
          <w:rStyle w:val="CharSectno"/>
        </w:rPr>
        <w:t>147A</w:t>
      </w:r>
      <w:r>
        <w:t>.</w:t>
      </w:r>
      <w:r>
        <w:tab/>
      </w:r>
      <w:r>
        <w:rPr>
          <w:snapToGrid w:val="0"/>
        </w:rPr>
        <w:t>Offending while on supervised release order: automatic cancellation</w:t>
      </w:r>
      <w:bookmarkEnd w:id="306"/>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No. 58 of 2004 s. 30.]</w:t>
      </w:r>
    </w:p>
    <w:p>
      <w:pPr>
        <w:pStyle w:val="Heading5"/>
        <w:rPr>
          <w:snapToGrid w:val="0"/>
        </w:rPr>
      </w:pPr>
      <w:bookmarkStart w:id="307" w:name="_Toc180148154"/>
      <w:r>
        <w:rPr>
          <w:rStyle w:val="CharSectno"/>
        </w:rPr>
        <w:lastRenderedPageBreak/>
        <w:t>148</w:t>
      </w:r>
      <w:r>
        <w:rPr>
          <w:snapToGrid w:val="0"/>
        </w:rPr>
        <w:t>.</w:t>
      </w:r>
      <w:r>
        <w:rPr>
          <w:snapToGrid w:val="0"/>
        </w:rPr>
        <w:tab/>
        <w:t>Compliance with order, effect of</w:t>
      </w:r>
      <w:bookmarkEnd w:id="307"/>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308" w:name="_Toc180148155"/>
      <w:r>
        <w:rPr>
          <w:rStyle w:val="CharSectno"/>
        </w:rPr>
        <w:t>149</w:t>
      </w:r>
      <w:r>
        <w:rPr>
          <w:snapToGrid w:val="0"/>
        </w:rPr>
        <w:t>.</w:t>
      </w:r>
      <w:r>
        <w:rPr>
          <w:snapToGrid w:val="0"/>
        </w:rPr>
        <w:tab/>
        <w:t>Suspension or cancellation of order, effect of</w:t>
      </w:r>
      <w:bookmarkEnd w:id="308"/>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operation of </w:t>
      </w:r>
      <w:r>
        <w:t xml:space="preserve">section 142A(2) or 147A, </w:t>
      </w:r>
      <w:r>
        <w:rPr>
          <w:snapToGrid w:val="0"/>
        </w:rPr>
        <w:t>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lastRenderedPageBreak/>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No. 58 of 2004 s. 31; No. 14 of 2022 s. 35.]</w:t>
      </w:r>
    </w:p>
    <w:p>
      <w:pPr>
        <w:pStyle w:val="Heading5"/>
        <w:spacing w:before="240"/>
        <w:rPr>
          <w:snapToGrid w:val="0"/>
        </w:rPr>
      </w:pPr>
      <w:bookmarkStart w:id="309" w:name="_Toc180148156"/>
      <w:r>
        <w:rPr>
          <w:rStyle w:val="CharSectno"/>
        </w:rPr>
        <w:t>150</w:t>
      </w:r>
      <w:r>
        <w:rPr>
          <w:snapToGrid w:val="0"/>
        </w:rPr>
        <w:t>.</w:t>
      </w:r>
      <w:r>
        <w:rPr>
          <w:snapToGrid w:val="0"/>
        </w:rPr>
        <w:tab/>
        <w:t>Cancellation of order after offender reaches 18</w:t>
      </w:r>
      <w:bookmarkEnd w:id="309"/>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No. 78 of 1995 s. 145; amended: No. 58 of 2004 s. 32.] </w:t>
      </w:r>
    </w:p>
    <w:p>
      <w:pPr>
        <w:pStyle w:val="Heading3"/>
      </w:pPr>
      <w:bookmarkStart w:id="310" w:name="_Toc180138846"/>
      <w:bookmarkStart w:id="311" w:name="_Toc180139181"/>
      <w:bookmarkStart w:id="312" w:name="_Toc180148157"/>
      <w:r>
        <w:rPr>
          <w:rStyle w:val="CharDivNo"/>
        </w:rPr>
        <w:t>Division 2A</w:t>
      </w:r>
      <w:r>
        <w:t> — </w:t>
      </w:r>
      <w:r>
        <w:rPr>
          <w:rStyle w:val="CharDivText"/>
        </w:rPr>
        <w:t>Offenders with links to terrorism or subject to Commissioner of Police reports</w:t>
      </w:r>
      <w:bookmarkEnd w:id="310"/>
      <w:bookmarkEnd w:id="311"/>
      <w:bookmarkEnd w:id="312"/>
    </w:p>
    <w:p>
      <w:pPr>
        <w:pStyle w:val="Footnoteheading"/>
      </w:pPr>
      <w:r>
        <w:tab/>
        <w:t>[Heading inserted: No. 14 of 2022 s. 36.]</w:t>
      </w:r>
    </w:p>
    <w:p>
      <w:pPr>
        <w:pStyle w:val="Heading4"/>
      </w:pPr>
      <w:bookmarkStart w:id="313" w:name="_Toc180138847"/>
      <w:bookmarkStart w:id="314" w:name="_Toc180139182"/>
      <w:bookmarkStart w:id="315" w:name="_Toc180148158"/>
      <w:r>
        <w:t>Subdivision 1 — Preliminary</w:t>
      </w:r>
      <w:bookmarkEnd w:id="313"/>
      <w:bookmarkEnd w:id="314"/>
      <w:bookmarkEnd w:id="315"/>
    </w:p>
    <w:p>
      <w:pPr>
        <w:pStyle w:val="Footnoteheading"/>
      </w:pPr>
      <w:r>
        <w:tab/>
        <w:t>[Heading inserted: No. 14 of 2022 s. 36.]</w:t>
      </w:r>
    </w:p>
    <w:p>
      <w:pPr>
        <w:pStyle w:val="Heading5"/>
      </w:pPr>
      <w:bookmarkStart w:id="316" w:name="_Toc180148159"/>
      <w:r>
        <w:rPr>
          <w:rStyle w:val="CharSectno"/>
        </w:rPr>
        <w:t>150A</w:t>
      </w:r>
      <w:r>
        <w:t>.</w:t>
      </w:r>
      <w:r>
        <w:tab/>
        <w:t>Release considerations</w:t>
      </w:r>
      <w:bookmarkEnd w:id="316"/>
    </w:p>
    <w:p>
      <w:pPr>
        <w:pStyle w:val="Subsection"/>
      </w:pPr>
      <w:r>
        <w:tab/>
      </w:r>
      <w:r>
        <w:tab/>
        <w:t>In this Division, a</w:t>
      </w:r>
      <w:r>
        <w:rPr>
          <w:szCs w:val="24"/>
        </w:rPr>
        <w:t xml:space="preserve"> reference to the </w:t>
      </w:r>
      <w:r>
        <w:rPr>
          <w:rStyle w:val="CharDefText"/>
        </w:rPr>
        <w:t>release considerations</w:t>
      </w:r>
      <w:r>
        <w:rPr>
          <w:szCs w:val="24"/>
        </w:rPr>
        <w:t xml:space="preserve"> relating to an offender is a reference to the following considerations —</w:t>
      </w:r>
    </w:p>
    <w:p>
      <w:pPr>
        <w:pStyle w:val="Indenta"/>
      </w:pPr>
      <w:r>
        <w:tab/>
        <w:t>(a)</w:t>
      </w:r>
      <w:r>
        <w:tab/>
        <w:t xml:space="preserve">if the offender has made statements or carried out activities that support, or advocate support for, terrorist </w:t>
      </w:r>
      <w:r>
        <w:lastRenderedPageBreak/>
        <w:t>acts — the nature and seriousness of the statements made or activities carried out;</w:t>
      </w:r>
    </w:p>
    <w:p>
      <w:pPr>
        <w:pStyle w:val="Indenta"/>
      </w:pPr>
      <w:r>
        <w:tab/>
        <w:t>(b)</w:t>
      </w:r>
      <w:r>
        <w:tab/>
        <w:t xml:space="preserve">if the offender is sentenced for a terrorism offence — any remarks made by the court that sentenced the offender that are relevant to paragraph (a); </w:t>
      </w:r>
    </w:p>
    <w:p>
      <w:pPr>
        <w:pStyle w:val="Indenta"/>
        <w:keepNext/>
      </w:pPr>
      <w:r>
        <w:tab/>
        <w:t>(c)</w:t>
      </w:r>
      <w:r>
        <w:tab/>
        <w:t>if the offender is, or was, subject to an interim control order or confirmed control order relating to a terrorism offence —</w:t>
      </w:r>
    </w:p>
    <w:p>
      <w:pPr>
        <w:pStyle w:val="Indenti"/>
      </w:pPr>
      <w:r>
        <w:tab/>
        <w:t>(i)</w:t>
      </w:r>
      <w:r>
        <w:tab/>
        <w:t>any remarks made by the court that made the order that are relevant to paragraph (a); and</w:t>
      </w:r>
    </w:p>
    <w:p>
      <w:pPr>
        <w:pStyle w:val="Indenti"/>
      </w:pPr>
      <w:r>
        <w:tab/>
        <w:t>(ii)</w:t>
      </w:r>
      <w:r>
        <w:tab/>
        <w:t>the behaviour of the offender while subject to the order;</w:t>
      </w:r>
    </w:p>
    <w:p>
      <w:pPr>
        <w:pStyle w:val="Indenta"/>
      </w:pPr>
      <w:r>
        <w:tab/>
        <w:t>(d)</w:t>
      </w:r>
      <w:r>
        <w:tab/>
        <w:t>the behaviour of the offender when in custody to the extent that it may be relevant to paragraph (a);</w:t>
      </w:r>
    </w:p>
    <w:p>
      <w:pPr>
        <w:pStyle w:val="Indenta"/>
      </w:pPr>
      <w:r>
        <w:tab/>
        <w:t>(e)</w:t>
      </w:r>
      <w:r>
        <w:tab/>
        <w:t>whether the offender has participated in any programme or activity that addresses the offender’s risk of committing a terrorism offence and the offender’s performance in the programme or activity;</w:t>
      </w:r>
    </w:p>
    <w:p>
      <w:pPr>
        <w:pStyle w:val="Indenta"/>
      </w:pPr>
      <w:r>
        <w:tab/>
        <w:t>(f)</w:t>
      </w:r>
      <w:r>
        <w:tab/>
        <w:t>whether the offender is, or was, associated with 1 or more persons who have made statements or carried out activities that support, or advocate support for, terrorist acts, and the nature of the association.</w:t>
      </w:r>
    </w:p>
    <w:p>
      <w:pPr>
        <w:pStyle w:val="Footnotesection"/>
      </w:pPr>
      <w:r>
        <w:tab/>
        <w:t>[Section 150A inserted: No. 14 of 2022 s. 36.]</w:t>
      </w:r>
    </w:p>
    <w:p>
      <w:pPr>
        <w:pStyle w:val="Heading4"/>
      </w:pPr>
      <w:bookmarkStart w:id="317" w:name="_Toc180138849"/>
      <w:bookmarkStart w:id="318" w:name="_Toc180139184"/>
      <w:bookmarkStart w:id="319" w:name="_Toc180148160"/>
      <w:r>
        <w:t>Subdivision 2 — Supervised release orders in cases of offenders with links to terrorism</w:t>
      </w:r>
      <w:bookmarkEnd w:id="317"/>
      <w:bookmarkEnd w:id="318"/>
      <w:bookmarkEnd w:id="319"/>
    </w:p>
    <w:p>
      <w:pPr>
        <w:pStyle w:val="Footnoteheading"/>
      </w:pPr>
      <w:r>
        <w:tab/>
        <w:t>[Heading inserted: No. 14 of 2022 s. 36.]</w:t>
      </w:r>
    </w:p>
    <w:p>
      <w:pPr>
        <w:pStyle w:val="Heading5"/>
      </w:pPr>
      <w:bookmarkStart w:id="320" w:name="_Toc180148161"/>
      <w:r>
        <w:rPr>
          <w:rStyle w:val="CharSectno"/>
        </w:rPr>
        <w:t>150B</w:t>
      </w:r>
      <w:r>
        <w:t>.</w:t>
      </w:r>
      <w:r>
        <w:tab/>
        <w:t>References to Board</w:t>
      </w:r>
      <w:bookmarkEnd w:id="320"/>
    </w:p>
    <w:p>
      <w:pPr>
        <w:pStyle w:val="Subsection"/>
      </w:pPr>
      <w:r>
        <w:tab/>
      </w:r>
      <w:r>
        <w:tab/>
        <w:t xml:space="preserve">In this Subdivision, a reference to the </w:t>
      </w:r>
      <w:r>
        <w:rPr>
          <w:rStyle w:val="CharDefText"/>
        </w:rPr>
        <w:t>Board</w:t>
      </w:r>
      <w:r>
        <w:t xml:space="preserve"> is a reference to </w:t>
      </w:r>
      <w:r>
        <w:rPr>
          <w:szCs w:val="24"/>
        </w:rPr>
        <w:t>the Board as constituted by the chairperson alone.</w:t>
      </w:r>
    </w:p>
    <w:p>
      <w:pPr>
        <w:pStyle w:val="Footnotesection"/>
      </w:pPr>
      <w:r>
        <w:tab/>
        <w:t>[Section 150B inserted: No. 14 of 2022 s. 36.]</w:t>
      </w:r>
    </w:p>
    <w:p>
      <w:pPr>
        <w:pStyle w:val="Heading5"/>
      </w:pPr>
      <w:bookmarkStart w:id="321" w:name="_Toc180148162"/>
      <w:r>
        <w:rPr>
          <w:rStyle w:val="CharSectno"/>
        </w:rPr>
        <w:lastRenderedPageBreak/>
        <w:t>150C</w:t>
      </w:r>
      <w:r>
        <w:t>.</w:t>
      </w:r>
      <w:r>
        <w:tab/>
        <w:t>Making supervised release orders</w:t>
      </w:r>
      <w:bookmarkEnd w:id="321"/>
    </w:p>
    <w:p>
      <w:pPr>
        <w:pStyle w:val="Subsection"/>
      </w:pPr>
      <w:r>
        <w:tab/>
        <w:t>(1)</w:t>
      </w:r>
      <w:r>
        <w:tab/>
        <w:t>The Board must not order the release of an offender with links to terrorism unless the Board is satisfied that there are exceptional reasons why the offender should be released.</w:t>
      </w:r>
    </w:p>
    <w:p>
      <w:pPr>
        <w:pStyle w:val="Subsection"/>
      </w:pPr>
      <w:r>
        <w:tab/>
        <w:t>(2)</w:t>
      </w:r>
      <w:r>
        <w:tab/>
        <w:t>The Board must, in making any decision for the purposes of subsection (1) —</w:t>
      </w:r>
    </w:p>
    <w:p>
      <w:pPr>
        <w:pStyle w:val="Indenta"/>
      </w:pPr>
      <w:r>
        <w:tab/>
        <w:t>(a)</w:t>
      </w:r>
      <w:r>
        <w:tab/>
        <w:t xml:space="preserve">regard </w:t>
      </w:r>
      <w:r>
        <w:rPr>
          <w:szCs w:val="24"/>
        </w:rPr>
        <w:t>the personal safety of people in the community or of any individual in the community</w:t>
      </w:r>
      <w:r>
        <w:t xml:space="preserve"> as the paramount consideration; and</w:t>
      </w:r>
    </w:p>
    <w:p>
      <w:pPr>
        <w:pStyle w:val="Indenta"/>
      </w:pPr>
      <w:r>
        <w:tab/>
        <w:t>(b)</w:t>
      </w:r>
      <w:r>
        <w:tab/>
        <w:t xml:space="preserve">apply the </w:t>
      </w:r>
      <w:r>
        <w:rPr>
          <w:szCs w:val="24"/>
        </w:rPr>
        <w:t>general principles of juvenile justice in section 7, other than the principles referred to in paragraphs (h) and (k); and</w:t>
      </w:r>
    </w:p>
    <w:p>
      <w:pPr>
        <w:pStyle w:val="Indenta"/>
        <w:rPr>
          <w:szCs w:val="24"/>
        </w:rPr>
      </w:pPr>
      <w:r>
        <w:rPr>
          <w:szCs w:val="24"/>
        </w:rPr>
        <w:tab/>
        <w:t>(c)</w:t>
      </w:r>
      <w:r>
        <w:rPr>
          <w:szCs w:val="24"/>
        </w:rPr>
        <w:tab/>
        <w:t xml:space="preserve">have regard to all of the following — </w:t>
      </w:r>
    </w:p>
    <w:p>
      <w:pPr>
        <w:pStyle w:val="Indenti"/>
      </w:pPr>
      <w:r>
        <w:tab/>
        <w:t>(i)</w:t>
      </w:r>
      <w:r>
        <w:tab/>
        <w:t xml:space="preserve">the release considerations relating to the offender; </w:t>
      </w:r>
    </w:p>
    <w:p>
      <w:pPr>
        <w:pStyle w:val="Indenti"/>
      </w:pPr>
      <w:r>
        <w:tab/>
        <w:t>(ii)</w:t>
      </w:r>
      <w:r>
        <w:tab/>
        <w:t>the Commissioner of Police report about the offender;</w:t>
      </w:r>
    </w:p>
    <w:p>
      <w:pPr>
        <w:pStyle w:val="Indenti"/>
      </w:pPr>
      <w:r>
        <w:tab/>
        <w:t>(iii)</w:t>
      </w:r>
      <w:r>
        <w:tab/>
        <w:t>any other information about the offender brought to the attention of the Board.</w:t>
      </w:r>
    </w:p>
    <w:p>
      <w:pPr>
        <w:pStyle w:val="Subsection"/>
      </w:pPr>
      <w:r>
        <w:tab/>
        <w:t>(3)</w:t>
      </w:r>
      <w:r>
        <w:tab/>
        <w:t>Subsection (2) does not limit the matters that the Board may have regard to in making a decision for the purposes of subsection (1).</w:t>
      </w:r>
    </w:p>
    <w:p>
      <w:pPr>
        <w:pStyle w:val="Subsection"/>
      </w:pPr>
      <w:r>
        <w:tab/>
        <w:t>(4)</w:t>
      </w:r>
      <w:r>
        <w:tab/>
        <w:t>Despite subsections (2) and (3), the Board must not have regard to a Commissioner of Police report about the offender if the report has been withdrawn under section 150E(2).</w:t>
      </w:r>
    </w:p>
    <w:p>
      <w:pPr>
        <w:pStyle w:val="Footnotesection"/>
      </w:pPr>
      <w:r>
        <w:tab/>
        <w:t>[Section 150C inserted: No. 14 of 2022 s. 36.]</w:t>
      </w:r>
    </w:p>
    <w:p>
      <w:pPr>
        <w:pStyle w:val="Heading5"/>
      </w:pPr>
      <w:bookmarkStart w:id="322" w:name="_Toc180148163"/>
      <w:r>
        <w:rPr>
          <w:rStyle w:val="CharSectno"/>
        </w:rPr>
        <w:t>150D</w:t>
      </w:r>
      <w:r>
        <w:t>.</w:t>
      </w:r>
      <w:r>
        <w:tab/>
        <w:t>Commissioner of Police reports</w:t>
      </w:r>
      <w:bookmarkEnd w:id="322"/>
    </w:p>
    <w:p>
      <w:pPr>
        <w:pStyle w:val="Subsection"/>
      </w:pPr>
      <w:r>
        <w:tab/>
        <w:t>(1)</w:t>
      </w:r>
      <w:r>
        <w:tab/>
        <w:t xml:space="preserve">If the Board is </w:t>
      </w:r>
      <w:r>
        <w:rPr>
          <w:szCs w:val="24"/>
        </w:rPr>
        <w:t>required to consider whether to order the release of a category 1 offender from custody, the Board must make a written request to the Commissioner of Police for a written report about the offender.</w:t>
      </w:r>
    </w:p>
    <w:p>
      <w:pPr>
        <w:pStyle w:val="Subsection"/>
        <w:keepNext/>
        <w:rPr>
          <w:szCs w:val="24"/>
        </w:rPr>
      </w:pPr>
      <w:r>
        <w:lastRenderedPageBreak/>
        <w:tab/>
        <w:t>(2)</w:t>
      </w:r>
      <w:r>
        <w:tab/>
      </w:r>
      <w:r>
        <w:rPr>
          <w:szCs w:val="24"/>
        </w:rPr>
        <w:t>The report must deal with the release considerations relating to the offender to the extent that the information is within the knowledge of the Commissioner of Police and may —</w:t>
      </w:r>
    </w:p>
    <w:p>
      <w:pPr>
        <w:pStyle w:val="Indenta"/>
      </w:pPr>
      <w:r>
        <w:tab/>
        <w:t>(a)</w:t>
      </w:r>
      <w:r>
        <w:tab/>
      </w:r>
      <w:r>
        <w:rPr>
          <w:szCs w:val="24"/>
        </w:rPr>
        <w:t>include any other information that the Commissioner of Police considers is, or may be, relevant to whether the offender should be released; and</w:t>
      </w:r>
    </w:p>
    <w:p>
      <w:pPr>
        <w:pStyle w:val="Indenta"/>
        <w:rPr>
          <w:szCs w:val="24"/>
        </w:rPr>
      </w:pPr>
      <w:r>
        <w:tab/>
        <w:t>(b)</w:t>
      </w:r>
      <w:r>
        <w:tab/>
      </w:r>
      <w:r>
        <w:rPr>
          <w:szCs w:val="24"/>
        </w:rPr>
        <w:t>declare that some or all of the information in the report is, in the opinion of the Commissioner of Police, terrorist intelligence information.</w:t>
      </w:r>
      <w:r>
        <w:t xml:space="preserve"> </w:t>
      </w:r>
    </w:p>
    <w:p>
      <w:pPr>
        <w:pStyle w:val="Subsection"/>
      </w:pPr>
      <w:r>
        <w:tab/>
        <w:t>(3)</w:t>
      </w:r>
      <w:r>
        <w:tab/>
      </w:r>
      <w:r>
        <w:rPr>
          <w:szCs w:val="24"/>
        </w:rPr>
        <w:t>The Commissioner of Police must give to the Board the report within a reasonable period after receiving the request.</w:t>
      </w:r>
    </w:p>
    <w:p>
      <w:pPr>
        <w:pStyle w:val="Subsection"/>
      </w:pPr>
      <w:r>
        <w:tab/>
        <w:t>(4)</w:t>
      </w:r>
      <w:r>
        <w:tab/>
        <w:t>The Commissioner of Police may give to the Board a written report dealing with the matters referred to in subsection (2) in relation to any other offender.</w:t>
      </w:r>
    </w:p>
    <w:p>
      <w:pPr>
        <w:pStyle w:val="Footnotesection"/>
      </w:pPr>
      <w:r>
        <w:tab/>
        <w:t>[Section 150D inserted: No. 14 of 2022 s. 36.]</w:t>
      </w:r>
    </w:p>
    <w:p>
      <w:pPr>
        <w:pStyle w:val="Heading5"/>
      </w:pPr>
      <w:bookmarkStart w:id="323" w:name="_Toc180148164"/>
      <w:r>
        <w:rPr>
          <w:rStyle w:val="CharSectno"/>
        </w:rPr>
        <w:t>150E</w:t>
      </w:r>
      <w:r>
        <w:t>.</w:t>
      </w:r>
      <w:r>
        <w:tab/>
        <w:t>Withdrawing Commissioner of Police reports</w:t>
      </w:r>
      <w:bookmarkEnd w:id="323"/>
    </w:p>
    <w:p>
      <w:pPr>
        <w:pStyle w:val="Subsection"/>
      </w:pPr>
      <w:r>
        <w:tab/>
        <w:t>(1)</w:t>
      </w:r>
      <w:r>
        <w:tab/>
        <w:t xml:space="preserve">This section applies if the Board, as constituted by the chairperson alone — </w:t>
      </w:r>
    </w:p>
    <w:p>
      <w:pPr>
        <w:pStyle w:val="Indenta"/>
      </w:pPr>
      <w:r>
        <w:tab/>
        <w:t>(a)</w:t>
      </w:r>
      <w:r>
        <w:tab/>
        <w:t>is satisfied that an offender subject to a Commissioner of Police report is not an offender with links to terrorism; or</w:t>
      </w:r>
    </w:p>
    <w:p>
      <w:pPr>
        <w:pStyle w:val="Indenta"/>
      </w:pPr>
      <w:r>
        <w:tab/>
        <w:t>(b)</w:t>
      </w:r>
      <w:r>
        <w:tab/>
        <w:t>after consulting with the Commissioner of Police, is satisfied that a Commissioner of Police report about an offender does not include terrorist intelligence information.</w:t>
      </w:r>
    </w:p>
    <w:p>
      <w:pPr>
        <w:pStyle w:val="Subsection"/>
      </w:pPr>
      <w:r>
        <w:tab/>
        <w:t>(2)</w:t>
      </w:r>
      <w:r>
        <w:tab/>
        <w:t xml:space="preserve">Before the Board decides whether to order the release of the offender, the Board, as constituted by the chairperson alone, must give the Commissioner of Police an opportunity to withdraw the report. </w:t>
      </w:r>
    </w:p>
    <w:p>
      <w:pPr>
        <w:pStyle w:val="Subsection"/>
        <w:keepNext/>
      </w:pPr>
      <w:r>
        <w:lastRenderedPageBreak/>
        <w:tab/>
        <w:t>(3)</w:t>
      </w:r>
      <w:r>
        <w:tab/>
        <w:t xml:space="preserve">If </w:t>
      </w:r>
      <w:r>
        <w:rPr>
          <w:szCs w:val="24"/>
        </w:rPr>
        <w:t xml:space="preserve">the report is withdrawn under subsection (2), </w:t>
      </w:r>
      <w:r>
        <w:t xml:space="preserve">the Board — </w:t>
      </w:r>
    </w:p>
    <w:p>
      <w:pPr>
        <w:pStyle w:val="Indenta"/>
      </w:pPr>
      <w:r>
        <w:tab/>
        <w:t>(a)</w:t>
      </w:r>
      <w:r>
        <w:tab/>
        <w:t>must not have regard to the report for the purposes of deciding whether to order the release of the offender; and</w:t>
      </w:r>
    </w:p>
    <w:p>
      <w:pPr>
        <w:pStyle w:val="Indenta"/>
      </w:pPr>
      <w:r>
        <w:tab/>
        <w:t>(b)</w:t>
      </w:r>
      <w:r>
        <w:tab/>
        <w:t>must prohibit the publication of, or a reference to, the report.</w:t>
      </w:r>
    </w:p>
    <w:p>
      <w:pPr>
        <w:pStyle w:val="Footnotesection"/>
      </w:pPr>
      <w:r>
        <w:tab/>
        <w:t>[Section 150E inserted: No. 14 of 2022 s. 36.]</w:t>
      </w:r>
    </w:p>
    <w:p>
      <w:pPr>
        <w:pStyle w:val="Heading4"/>
      </w:pPr>
      <w:bookmarkStart w:id="324" w:name="_Toc180138854"/>
      <w:bookmarkStart w:id="325" w:name="_Toc180139189"/>
      <w:bookmarkStart w:id="326" w:name="_Toc180148165"/>
      <w:r>
        <w:t>Subdivision 3 — Supervised release orders for other offenders subject to Commissioner of Police reports</w:t>
      </w:r>
      <w:bookmarkEnd w:id="324"/>
      <w:bookmarkEnd w:id="325"/>
      <w:bookmarkEnd w:id="326"/>
    </w:p>
    <w:p>
      <w:pPr>
        <w:pStyle w:val="Footnoteheading"/>
      </w:pPr>
      <w:r>
        <w:tab/>
        <w:t>[Heading inserted: No. 14 of 2022 s. 36.]</w:t>
      </w:r>
    </w:p>
    <w:p>
      <w:pPr>
        <w:pStyle w:val="Heading5"/>
      </w:pPr>
      <w:bookmarkStart w:id="327" w:name="_Toc180148166"/>
      <w:r>
        <w:rPr>
          <w:rStyle w:val="CharSectno"/>
        </w:rPr>
        <w:t>150F</w:t>
      </w:r>
      <w:r>
        <w:t>.</w:t>
      </w:r>
      <w:r>
        <w:tab/>
        <w:t>Releasing offender subject to Commissioner of Police report under supervised release order</w:t>
      </w:r>
      <w:bookmarkEnd w:id="327"/>
      <w:r>
        <w:t xml:space="preserve"> </w:t>
      </w:r>
    </w:p>
    <w:p>
      <w:pPr>
        <w:pStyle w:val="Subsection"/>
      </w:pPr>
      <w:r>
        <w:tab/>
        <w:t>(1)</w:t>
      </w:r>
      <w:r>
        <w:tab/>
        <w:t xml:space="preserve">In this section — </w:t>
      </w:r>
    </w:p>
    <w:p>
      <w:pPr>
        <w:pStyle w:val="Defstart"/>
      </w:pPr>
      <w:r>
        <w:tab/>
      </w:r>
      <w:r>
        <w:rPr>
          <w:rStyle w:val="CharDefText"/>
        </w:rPr>
        <w:t>offender</w:t>
      </w:r>
      <w:r>
        <w:t xml:space="preserve"> does not include an offender with links to terrorism.</w:t>
      </w:r>
    </w:p>
    <w:p>
      <w:pPr>
        <w:pStyle w:val="Subsection"/>
      </w:pPr>
      <w:r>
        <w:tab/>
        <w:t>(2)</w:t>
      </w:r>
      <w:r>
        <w:tab/>
        <w:t xml:space="preserve">This section applies if — </w:t>
      </w:r>
    </w:p>
    <w:p>
      <w:pPr>
        <w:pStyle w:val="Indenta"/>
      </w:pPr>
      <w:r>
        <w:tab/>
        <w:t>(a)</w:t>
      </w:r>
      <w:r>
        <w:tab/>
        <w:t xml:space="preserve">the Board is deciding whether to order the release of an offender under section 132(1); and </w:t>
      </w:r>
    </w:p>
    <w:p>
      <w:pPr>
        <w:pStyle w:val="Indenta"/>
      </w:pPr>
      <w:r>
        <w:tab/>
        <w:t>(b)</w:t>
      </w:r>
      <w:r>
        <w:tab/>
        <w:t xml:space="preserve">the offender is subject to a Commissioner of Police report that the Board, as constituted by the chairperson alone, is satisfied includes terrorist intelligence information. </w:t>
      </w:r>
    </w:p>
    <w:p>
      <w:pPr>
        <w:pStyle w:val="Subsection"/>
      </w:pPr>
      <w:r>
        <w:tab/>
        <w:t>(3)</w:t>
      </w:r>
      <w:r>
        <w:tab/>
        <w:t>The Board, as constituted by the chairperson alone, must decide whether to order the rel</w:t>
      </w:r>
      <w:r>
        <w:rPr>
          <w:szCs w:val="24"/>
        </w:rPr>
        <w:t>ease of the offender</w:t>
      </w:r>
      <w:r>
        <w:t xml:space="preserve"> in accordance with Division 2. </w:t>
      </w:r>
    </w:p>
    <w:p>
      <w:pPr>
        <w:pStyle w:val="Footnotesection"/>
      </w:pPr>
      <w:r>
        <w:tab/>
        <w:t>[Section 150F inserted: No. 14 of 2022 s. 36.]</w:t>
      </w:r>
    </w:p>
    <w:p>
      <w:pPr>
        <w:pStyle w:val="Heading4"/>
      </w:pPr>
      <w:bookmarkStart w:id="328" w:name="_Toc180138856"/>
      <w:bookmarkStart w:id="329" w:name="_Toc180139191"/>
      <w:bookmarkStart w:id="330" w:name="_Toc180148167"/>
      <w:r>
        <w:lastRenderedPageBreak/>
        <w:t>Subdivision 4 — Review</w:t>
      </w:r>
      <w:bookmarkEnd w:id="328"/>
      <w:bookmarkEnd w:id="329"/>
      <w:bookmarkEnd w:id="330"/>
    </w:p>
    <w:p>
      <w:pPr>
        <w:pStyle w:val="Footnoteheading"/>
        <w:keepNext/>
      </w:pPr>
      <w:r>
        <w:tab/>
        <w:t>[Heading inserted: No. 14 of 2022 s. 36.]</w:t>
      </w:r>
    </w:p>
    <w:p>
      <w:pPr>
        <w:pStyle w:val="Heading5"/>
      </w:pPr>
      <w:bookmarkStart w:id="331" w:name="_Toc180148168"/>
      <w:r>
        <w:rPr>
          <w:rStyle w:val="CharSectno"/>
        </w:rPr>
        <w:t>150G</w:t>
      </w:r>
      <w:r>
        <w:t>.</w:t>
      </w:r>
      <w:r>
        <w:tab/>
        <w:t>Review of Division</w:t>
      </w:r>
      <w:bookmarkEnd w:id="331"/>
    </w:p>
    <w:p>
      <w:pPr>
        <w:pStyle w:val="Subsection"/>
        <w:rPr>
          <w:snapToGrid w:val="0"/>
        </w:rPr>
      </w:pPr>
      <w:r>
        <w:tab/>
        <w:t>(1)</w:t>
      </w:r>
      <w:r>
        <w:tab/>
      </w:r>
      <w:r>
        <w:rPr>
          <w:snapToGrid w:val="0"/>
        </w:rPr>
        <w:t>The Minister must review the operation and effectiveness of this Division, and prepare a report based on the review —</w:t>
      </w:r>
    </w:p>
    <w:p>
      <w:pPr>
        <w:pStyle w:val="Indenta"/>
      </w:pPr>
      <w:r>
        <w:tab/>
        <w:t>(a)</w:t>
      </w:r>
      <w:r>
        <w:tab/>
      </w:r>
      <w:r>
        <w:rPr>
          <w:snapToGrid w:val="0"/>
        </w:rPr>
        <w:t>as soon as practicable after the 5</w:t>
      </w:r>
      <w:r>
        <w:rPr>
          <w:snapToGrid w:val="0"/>
          <w:vertAlign w:val="superscript"/>
        </w:rPr>
        <w:t>th</w:t>
      </w:r>
      <w:r>
        <w:rPr>
          <w:snapToGrid w:val="0"/>
        </w:rPr>
        <w:t xml:space="preserve"> anniversary of the day on which the </w:t>
      </w:r>
      <w:r>
        <w:rPr>
          <w:i/>
          <w:snapToGrid w:val="0"/>
        </w:rPr>
        <w:t>Sentencing Legislation Amendment (Persons Linked to Terrorism) Act 2022</w:t>
      </w:r>
      <w:r>
        <w:rPr>
          <w:snapToGrid w:val="0"/>
        </w:rPr>
        <w:t xml:space="preserve"> section 36 comes into operation; and</w:t>
      </w:r>
    </w:p>
    <w:p>
      <w:pPr>
        <w:pStyle w:val="Indenta"/>
        <w:rPr>
          <w:snapToGrid w:val="0"/>
        </w:rPr>
      </w:pPr>
      <w:r>
        <w:tab/>
        <w:t>(b)</w:t>
      </w:r>
      <w:r>
        <w:tab/>
      </w:r>
      <w:r>
        <w:rPr>
          <w:snapToGrid w:val="0"/>
        </w:rPr>
        <w:t>after that, at intervals of not more than 5 years.</w:t>
      </w:r>
    </w:p>
    <w:p>
      <w:pPr>
        <w:pStyle w:val="Subsection"/>
      </w:pPr>
      <w:r>
        <w:tab/>
        <w:t>(2)</w:t>
      </w:r>
      <w:r>
        <w:tab/>
        <w:t xml:space="preserve">The Minister must cause the report to be laid before each House of Parliament as soon as practicable after it is prepared, but not </w:t>
      </w:r>
      <w:r>
        <w:rPr>
          <w:snapToGrid w:val="0"/>
        </w:rPr>
        <w:t>later than 12 months after the 5</w:t>
      </w:r>
      <w:r>
        <w:rPr>
          <w:snapToGrid w:val="0"/>
          <w:vertAlign w:val="superscript"/>
        </w:rPr>
        <w:t>th</w:t>
      </w:r>
      <w:r>
        <w:rPr>
          <w:snapToGrid w:val="0"/>
        </w:rPr>
        <w:t xml:space="preserve"> anniversary or the expiry of the period of 5 years, as the case may be.</w:t>
      </w:r>
    </w:p>
    <w:p>
      <w:pPr>
        <w:pStyle w:val="Footnotesection"/>
      </w:pPr>
      <w:r>
        <w:tab/>
        <w:t>[Section 150G inserted: No. 14 of 2022 s. 36.]</w:t>
      </w:r>
    </w:p>
    <w:p>
      <w:pPr>
        <w:pStyle w:val="Heading3"/>
        <w:rPr>
          <w:snapToGrid w:val="0"/>
        </w:rPr>
      </w:pPr>
      <w:bookmarkStart w:id="332" w:name="_Toc180138858"/>
      <w:bookmarkStart w:id="333" w:name="_Toc180139193"/>
      <w:bookmarkStart w:id="334" w:name="_Toc180148169"/>
      <w:r>
        <w:rPr>
          <w:rStyle w:val="CharDivNo"/>
        </w:rPr>
        <w:t>Division 3</w:t>
      </w:r>
      <w:r>
        <w:rPr>
          <w:snapToGrid w:val="0"/>
        </w:rPr>
        <w:t> — </w:t>
      </w:r>
      <w:r>
        <w:rPr>
          <w:rStyle w:val="CharDivText"/>
        </w:rPr>
        <w:t>The Supervised Release Review Board</w:t>
      </w:r>
      <w:bookmarkEnd w:id="332"/>
      <w:bookmarkEnd w:id="333"/>
      <w:bookmarkEnd w:id="334"/>
      <w:r>
        <w:rPr>
          <w:rStyle w:val="CharDivText"/>
        </w:rPr>
        <w:t xml:space="preserve"> </w:t>
      </w:r>
    </w:p>
    <w:p>
      <w:pPr>
        <w:pStyle w:val="Heading5"/>
        <w:rPr>
          <w:snapToGrid w:val="0"/>
        </w:rPr>
      </w:pPr>
      <w:bookmarkStart w:id="335" w:name="_Toc180148170"/>
      <w:r>
        <w:rPr>
          <w:rStyle w:val="CharSectno"/>
        </w:rPr>
        <w:t>151</w:t>
      </w:r>
      <w:r>
        <w:rPr>
          <w:snapToGrid w:val="0"/>
        </w:rPr>
        <w:t>.</w:t>
      </w:r>
      <w:r>
        <w:rPr>
          <w:snapToGrid w:val="0"/>
        </w:rPr>
        <w:tab/>
        <w:t>Board established</w:t>
      </w:r>
      <w:bookmarkEnd w:id="335"/>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No. 65 of 2006 s. 78.]</w:t>
      </w:r>
    </w:p>
    <w:p>
      <w:pPr>
        <w:pStyle w:val="Heading5"/>
        <w:rPr>
          <w:snapToGrid w:val="0"/>
        </w:rPr>
      </w:pPr>
      <w:bookmarkStart w:id="336" w:name="_Toc180148171"/>
      <w:r>
        <w:rPr>
          <w:rStyle w:val="CharSectno"/>
        </w:rPr>
        <w:lastRenderedPageBreak/>
        <w:t>152</w:t>
      </w:r>
      <w:r>
        <w:rPr>
          <w:snapToGrid w:val="0"/>
        </w:rPr>
        <w:t>.</w:t>
      </w:r>
      <w:r>
        <w:rPr>
          <w:snapToGrid w:val="0"/>
        </w:rPr>
        <w:tab/>
        <w:t>Board members</w:t>
      </w:r>
      <w:bookmarkEnd w:id="336"/>
      <w:r>
        <w:rPr>
          <w:snapToGrid w:val="0"/>
        </w:rPr>
        <w:t xml:space="preserve"> </w:t>
      </w:r>
    </w:p>
    <w:p>
      <w:pPr>
        <w:pStyle w:val="Subsection"/>
        <w:keepNext/>
      </w:pPr>
      <w:r>
        <w:tab/>
        <w:t>(1)</w:t>
      </w:r>
      <w:r>
        <w:tab/>
      </w:r>
      <w:r>
        <w:rPr>
          <w:snapToGrid w:val="0"/>
        </w:rPr>
        <w:t>There are to be 6 members of the Board comprising —</w:t>
      </w:r>
    </w:p>
    <w:p>
      <w:pPr>
        <w:pStyle w:val="Indenta"/>
      </w:pPr>
      <w:r>
        <w:tab/>
        <w:t>(a)</w:t>
      </w:r>
      <w:r>
        <w:tab/>
        <w:t>a person to be chairperson,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 xml:space="preserve">The </w:t>
      </w:r>
      <w:r>
        <w:t>chairperson</w:t>
      </w:r>
      <w:r>
        <w:rPr>
          <w:snapToGrid w:val="0"/>
        </w:rPr>
        <w:t xml:space="preserve">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a lawyer.</w:t>
      </w:r>
    </w:p>
    <w:p>
      <w:pPr>
        <w:pStyle w:val="Subsection"/>
        <w:keepNext/>
        <w:rPr>
          <w:snapToGrid w:val="0"/>
        </w:rPr>
      </w:pPr>
      <w:r>
        <w:rPr>
          <w:snapToGrid w:val="0"/>
        </w:rPr>
        <w:lastRenderedPageBreak/>
        <w:tab/>
        <w:t>(6)</w:t>
      </w:r>
      <w:r>
        <w:rPr>
          <w:snapToGrid w:val="0"/>
        </w:rPr>
        <w:tab/>
        <w:t>The members appointed under subsection (3)(a) and (b) are to have such skills and experience with young persons as the Minister considers appropriate.</w:t>
      </w:r>
    </w:p>
    <w:p>
      <w:pPr>
        <w:pStyle w:val="Footnotesection"/>
      </w:pPr>
      <w:r>
        <w:tab/>
        <w:t>[Section 152 amended: No. 65 of 2003 s. 73; No. 58 of 2004 s. 33; No. 41 of 2006 s. 88; No. 21 of 2008 s. 714(4); No. 9 of 2022 s. 423; No. 14 of 2022 s. 40.]</w:t>
      </w:r>
    </w:p>
    <w:p>
      <w:pPr>
        <w:pStyle w:val="Heading5"/>
        <w:rPr>
          <w:snapToGrid w:val="0"/>
        </w:rPr>
      </w:pPr>
      <w:bookmarkStart w:id="337" w:name="_Toc180148172"/>
      <w:r>
        <w:rPr>
          <w:rStyle w:val="CharSectno"/>
        </w:rPr>
        <w:t>153</w:t>
      </w:r>
      <w:r>
        <w:rPr>
          <w:snapToGrid w:val="0"/>
        </w:rPr>
        <w:t>.</w:t>
      </w:r>
      <w:r>
        <w:rPr>
          <w:snapToGrid w:val="0"/>
        </w:rPr>
        <w:tab/>
        <w:t>Term of office</w:t>
      </w:r>
      <w:bookmarkEnd w:id="337"/>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keepNext/>
        <w:rPr>
          <w:snapToGrid w:val="0"/>
        </w:rPr>
      </w:pPr>
      <w:r>
        <w:rPr>
          <w:snapToGrid w:val="0"/>
        </w:rPr>
        <w:lastRenderedPageBreak/>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No. 58 of 2004 s. 34.]</w:t>
      </w:r>
    </w:p>
    <w:p>
      <w:pPr>
        <w:pStyle w:val="Heading5"/>
        <w:rPr>
          <w:snapToGrid w:val="0"/>
        </w:rPr>
      </w:pPr>
      <w:bookmarkStart w:id="338" w:name="_Toc180148173"/>
      <w:r>
        <w:rPr>
          <w:rStyle w:val="CharSectno"/>
        </w:rPr>
        <w:t>154</w:t>
      </w:r>
      <w:r>
        <w:rPr>
          <w:snapToGrid w:val="0"/>
        </w:rPr>
        <w:t>.</w:t>
      </w:r>
      <w:r>
        <w:rPr>
          <w:snapToGrid w:val="0"/>
        </w:rPr>
        <w:tab/>
        <w:t>Alternate members</w:t>
      </w:r>
      <w:bookmarkEnd w:id="338"/>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w:t>
      </w:r>
      <w:r>
        <w:t>chairperson</w:t>
      </w:r>
      <w:r>
        <w:rPr>
          <w:snapToGrid w:val="0"/>
        </w:rPr>
        <w:t xml:space="preserve">,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keepNext/>
        <w:rPr>
          <w:snapToGrid w:val="0"/>
        </w:rPr>
      </w:pPr>
      <w:r>
        <w:rPr>
          <w:snapToGrid w:val="0"/>
        </w:rPr>
        <w:lastRenderedPageBreak/>
        <w:tab/>
        <w:t>(5)</w:t>
      </w:r>
      <w:r>
        <w:rPr>
          <w:snapToGrid w:val="0"/>
        </w:rPr>
        <w:tab/>
        <w:t>The Minister may, at any time, cancel a nomination made under subsection (3).</w:t>
      </w:r>
    </w:p>
    <w:p>
      <w:pPr>
        <w:pStyle w:val="Footnotesection"/>
      </w:pPr>
      <w:r>
        <w:tab/>
        <w:t>[Section 154 amended: No. 58 of 2004 s. 35; No. 14 of 2022 s. 40.]</w:t>
      </w:r>
    </w:p>
    <w:p>
      <w:pPr>
        <w:pStyle w:val="Heading5"/>
        <w:rPr>
          <w:snapToGrid w:val="0"/>
        </w:rPr>
      </w:pPr>
      <w:bookmarkStart w:id="339" w:name="_Toc180148174"/>
      <w:r>
        <w:rPr>
          <w:rStyle w:val="CharSectno"/>
        </w:rPr>
        <w:t>155</w:t>
      </w:r>
      <w:r>
        <w:rPr>
          <w:snapToGrid w:val="0"/>
        </w:rPr>
        <w:t>.</w:t>
      </w:r>
      <w:r>
        <w:rPr>
          <w:snapToGrid w:val="0"/>
        </w:rPr>
        <w:tab/>
        <w:t>Remuneration and allowances</w:t>
      </w:r>
      <w:bookmarkEnd w:id="339"/>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340" w:name="_Toc180148175"/>
      <w:r>
        <w:rPr>
          <w:rStyle w:val="CharSectno"/>
        </w:rPr>
        <w:t>156</w:t>
      </w:r>
      <w:r>
        <w:rPr>
          <w:snapToGrid w:val="0"/>
        </w:rPr>
        <w:t>.</w:t>
      </w:r>
      <w:r>
        <w:rPr>
          <w:snapToGrid w:val="0"/>
        </w:rPr>
        <w:tab/>
        <w:t>Meetings</w:t>
      </w:r>
      <w:bookmarkEnd w:id="340"/>
      <w:r>
        <w:rPr>
          <w:snapToGrid w:val="0"/>
        </w:rPr>
        <w:t xml:space="preserve"> </w:t>
      </w:r>
    </w:p>
    <w:p>
      <w:pPr>
        <w:pStyle w:val="Subsection"/>
        <w:rPr>
          <w:snapToGrid w:val="0"/>
        </w:rPr>
      </w:pPr>
      <w:r>
        <w:rPr>
          <w:snapToGrid w:val="0"/>
        </w:rPr>
        <w:tab/>
      </w:r>
      <w:r>
        <w:rPr>
          <w:snapToGrid w:val="0"/>
        </w:rPr>
        <w:tab/>
        <w:t xml:space="preserve">Meetings of the Board are to be convened at such times and places as the </w:t>
      </w:r>
      <w:r>
        <w:t>chairperson</w:t>
      </w:r>
      <w:r>
        <w:rPr>
          <w:snapToGrid w:val="0"/>
        </w:rPr>
        <w:t xml:space="preserve"> determines, but at least once a month.</w:t>
      </w:r>
    </w:p>
    <w:p>
      <w:pPr>
        <w:pStyle w:val="Footnotesection"/>
      </w:pPr>
      <w:r>
        <w:tab/>
        <w:t>[Section 156 amended: No. 14 of 2022 s. 40.]</w:t>
      </w:r>
    </w:p>
    <w:p>
      <w:pPr>
        <w:pStyle w:val="Heading5"/>
        <w:rPr>
          <w:snapToGrid w:val="0"/>
        </w:rPr>
      </w:pPr>
      <w:bookmarkStart w:id="341" w:name="_Toc180148176"/>
      <w:r>
        <w:rPr>
          <w:rStyle w:val="CharSectno"/>
        </w:rPr>
        <w:t>157</w:t>
      </w:r>
      <w:r>
        <w:rPr>
          <w:snapToGrid w:val="0"/>
        </w:rPr>
        <w:t>.</w:t>
      </w:r>
      <w:r>
        <w:rPr>
          <w:snapToGrid w:val="0"/>
        </w:rPr>
        <w:tab/>
        <w:t>Quorum</w:t>
      </w:r>
      <w:bookmarkEnd w:id="34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Subsection"/>
      </w:pPr>
      <w:r>
        <w:tab/>
        <w:t>(2)</w:t>
      </w:r>
      <w:r>
        <w:tab/>
        <w:t xml:space="preserve">This section does not apply in relation to a meeting of the Board held for the purposes of section 16B, 16C or 142A or Part 8 Division 2A. </w:t>
      </w:r>
    </w:p>
    <w:p>
      <w:pPr>
        <w:pStyle w:val="Footnotesection"/>
      </w:pPr>
      <w:r>
        <w:tab/>
        <w:t>[Section 157 amended: No. 58 of 2004 s. 36; No. 14 of 2022 s. 37.]</w:t>
      </w:r>
    </w:p>
    <w:p>
      <w:pPr>
        <w:pStyle w:val="Heading5"/>
        <w:rPr>
          <w:snapToGrid w:val="0"/>
        </w:rPr>
      </w:pPr>
      <w:bookmarkStart w:id="342" w:name="_Toc180148177"/>
      <w:r>
        <w:rPr>
          <w:rStyle w:val="CharSectno"/>
        </w:rPr>
        <w:lastRenderedPageBreak/>
        <w:t>158</w:t>
      </w:r>
      <w:r>
        <w:rPr>
          <w:snapToGrid w:val="0"/>
        </w:rPr>
        <w:t>.</w:t>
      </w:r>
      <w:r>
        <w:rPr>
          <w:snapToGrid w:val="0"/>
        </w:rPr>
        <w:tab/>
        <w:t>Presiding at meetings</w:t>
      </w:r>
      <w:bookmarkEnd w:id="342"/>
      <w:r>
        <w:rPr>
          <w:snapToGrid w:val="0"/>
        </w:rPr>
        <w:t xml:space="preserve"> </w:t>
      </w:r>
    </w:p>
    <w:p>
      <w:pPr>
        <w:pStyle w:val="Subsection"/>
        <w:rPr>
          <w:snapToGrid w:val="0"/>
        </w:rPr>
      </w:pPr>
      <w:r>
        <w:rPr>
          <w:snapToGrid w:val="0"/>
        </w:rPr>
        <w:tab/>
        <w:t>(1)</w:t>
      </w:r>
      <w:r>
        <w:rPr>
          <w:snapToGrid w:val="0"/>
        </w:rPr>
        <w:tab/>
        <w:t xml:space="preserve">At a meeting of the Board the </w:t>
      </w:r>
      <w:r>
        <w:t>chairperson</w:t>
      </w:r>
      <w:r>
        <w:rPr>
          <w:snapToGrid w:val="0"/>
        </w:rPr>
        <w:t xml:space="preserve">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 xml:space="preserve">If more than one member is eligible to preside in the absence of the </w:t>
      </w:r>
      <w:r>
        <w:t>chairperson</w:t>
      </w:r>
      <w:r>
        <w:rPr>
          <w:snapToGrid w:val="0"/>
        </w:rPr>
        <w:t>, the members present at the meeting are to appoint one of the eligible members to preside.</w:t>
      </w:r>
    </w:p>
    <w:p>
      <w:pPr>
        <w:pStyle w:val="Footnotesection"/>
      </w:pPr>
      <w:r>
        <w:tab/>
        <w:t>[Section 158 amended: No. 14 of 2022 s. 40.]</w:t>
      </w:r>
    </w:p>
    <w:p>
      <w:pPr>
        <w:pStyle w:val="Heading5"/>
        <w:rPr>
          <w:snapToGrid w:val="0"/>
        </w:rPr>
      </w:pPr>
      <w:bookmarkStart w:id="343" w:name="_Toc180148178"/>
      <w:r>
        <w:rPr>
          <w:rStyle w:val="CharSectno"/>
        </w:rPr>
        <w:t>159</w:t>
      </w:r>
      <w:r>
        <w:rPr>
          <w:snapToGrid w:val="0"/>
        </w:rPr>
        <w:t>.</w:t>
      </w:r>
      <w:r>
        <w:rPr>
          <w:snapToGrid w:val="0"/>
        </w:rPr>
        <w:tab/>
        <w:t>Board may request reports</w:t>
      </w:r>
      <w:bookmarkEnd w:id="343"/>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344" w:name="_Toc180148179"/>
      <w:r>
        <w:rPr>
          <w:rStyle w:val="CharSectno"/>
        </w:rPr>
        <w:t>160</w:t>
      </w:r>
      <w:r>
        <w:rPr>
          <w:snapToGrid w:val="0"/>
        </w:rPr>
        <w:t>.</w:t>
      </w:r>
      <w:r>
        <w:rPr>
          <w:snapToGrid w:val="0"/>
        </w:rPr>
        <w:tab/>
        <w:t>Determination of questions</w:t>
      </w:r>
      <w:bookmarkEnd w:id="344"/>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 xml:space="preserve">If the </w:t>
      </w:r>
      <w:r>
        <w:t>chairperson</w:t>
      </w:r>
      <w:r>
        <w:rPr>
          <w:snapToGrid w:val="0"/>
        </w:rPr>
        <w:t xml:space="preserve">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Footnotesection"/>
      </w:pPr>
      <w:r>
        <w:tab/>
        <w:t>[Section 160 amended: No. 14 of 2022 s. 40.]</w:t>
      </w:r>
    </w:p>
    <w:p>
      <w:pPr>
        <w:pStyle w:val="Heading5"/>
        <w:rPr>
          <w:snapToGrid w:val="0"/>
        </w:rPr>
      </w:pPr>
      <w:bookmarkStart w:id="345" w:name="_Toc180148180"/>
      <w:r>
        <w:rPr>
          <w:rStyle w:val="CharSectno"/>
        </w:rPr>
        <w:lastRenderedPageBreak/>
        <w:t>161</w:t>
      </w:r>
      <w:r>
        <w:rPr>
          <w:snapToGrid w:val="0"/>
        </w:rPr>
        <w:t>.</w:t>
      </w:r>
      <w:r>
        <w:rPr>
          <w:snapToGrid w:val="0"/>
        </w:rPr>
        <w:tab/>
        <w:t>Procedure</w:t>
      </w:r>
      <w:bookmarkEnd w:id="345"/>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keepNext/>
        <w:rPr>
          <w:snapToGrid w:val="0"/>
        </w:rPr>
      </w:pPr>
      <w:r>
        <w:rPr>
          <w:snapToGrid w:val="0"/>
        </w:rPr>
        <w:tab/>
        <w:t>(3)</w:t>
      </w:r>
      <w:r>
        <w:rPr>
          <w:snapToGrid w:val="0"/>
        </w:rPr>
        <w:tab/>
        <w:t>The Board may, subject to this Act, determine its own procedure.</w:t>
      </w:r>
    </w:p>
    <w:p>
      <w:pPr>
        <w:pStyle w:val="Footnotesection"/>
      </w:pPr>
      <w:r>
        <w:tab/>
        <w:t>[Section 161. Modifications to be applied in order to give effect to Cross-border Justice Act 2008: section altered 1 Dec 2009. See endnote 1M.]</w:t>
      </w:r>
    </w:p>
    <w:p>
      <w:pPr>
        <w:pStyle w:val="Heading5"/>
        <w:rPr>
          <w:snapToGrid w:val="0"/>
        </w:rPr>
      </w:pPr>
      <w:bookmarkStart w:id="346" w:name="_Toc180148181"/>
      <w:r>
        <w:rPr>
          <w:rStyle w:val="CharSectno"/>
        </w:rPr>
        <w:t>162</w:t>
      </w:r>
      <w:r>
        <w:rPr>
          <w:snapToGrid w:val="0"/>
        </w:rPr>
        <w:t>.</w:t>
      </w:r>
      <w:r>
        <w:rPr>
          <w:snapToGrid w:val="0"/>
        </w:rPr>
        <w:tab/>
        <w:t>Board may reconsider its decision</w:t>
      </w:r>
      <w:bookmarkEnd w:id="34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347" w:name="_Toc180148182"/>
      <w:r>
        <w:rPr>
          <w:rStyle w:val="CharSectno"/>
        </w:rPr>
        <w:t>163</w:t>
      </w:r>
      <w:r>
        <w:rPr>
          <w:snapToGrid w:val="0"/>
        </w:rPr>
        <w:t>.</w:t>
      </w:r>
      <w:r>
        <w:rPr>
          <w:snapToGrid w:val="0"/>
        </w:rPr>
        <w:tab/>
        <w:t>Rules of natural justice excluded</w:t>
      </w:r>
      <w:bookmarkEnd w:id="347"/>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348" w:name="_Toc180148183"/>
      <w:r>
        <w:rPr>
          <w:rStyle w:val="CharSectno"/>
        </w:rPr>
        <w:t>164</w:t>
      </w:r>
      <w:r>
        <w:rPr>
          <w:snapToGrid w:val="0"/>
        </w:rPr>
        <w:t>.</w:t>
      </w:r>
      <w:r>
        <w:rPr>
          <w:snapToGrid w:val="0"/>
        </w:rPr>
        <w:tab/>
        <w:t>Judicial notice of Board’s documents</w:t>
      </w:r>
      <w:bookmarkEnd w:id="348"/>
      <w:r>
        <w:rPr>
          <w:snapToGrid w:val="0"/>
        </w:rPr>
        <w:t xml:space="preserve"> </w:t>
      </w:r>
    </w:p>
    <w:p>
      <w:pPr>
        <w:pStyle w:val="Subsection"/>
        <w:rPr>
          <w:snapToGrid w:val="0"/>
        </w:rPr>
      </w:pPr>
      <w:r>
        <w:rPr>
          <w:snapToGrid w:val="0"/>
        </w:rPr>
        <w:tab/>
        <w:t>(1)</w:t>
      </w:r>
      <w:r>
        <w:rPr>
          <w:snapToGrid w:val="0"/>
        </w:rPr>
        <w:tab/>
        <w:t xml:space="preserve">Judicial notice is to be taken of the signature of every person who is or was a member of the Board or the Secretary when it is </w:t>
      </w:r>
      <w:r>
        <w:rPr>
          <w:snapToGrid w:val="0"/>
        </w:rPr>
        <w:lastRenderedPageBreak/>
        <w:t>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349" w:name="_Toc180148184"/>
      <w:r>
        <w:rPr>
          <w:rStyle w:val="CharSectno"/>
        </w:rPr>
        <w:t>165</w:t>
      </w:r>
      <w:r>
        <w:rPr>
          <w:snapToGrid w:val="0"/>
        </w:rPr>
        <w:t>.</w:t>
      </w:r>
      <w:r>
        <w:rPr>
          <w:snapToGrid w:val="0"/>
        </w:rPr>
        <w:tab/>
        <w:t>Annual report</w:t>
      </w:r>
      <w:bookmarkEnd w:id="349"/>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5"/>
      </w:pPr>
      <w:bookmarkStart w:id="350" w:name="_Toc180148185"/>
      <w:r>
        <w:rPr>
          <w:rStyle w:val="CharSectno"/>
        </w:rPr>
        <w:t>165A</w:t>
      </w:r>
      <w:r>
        <w:t>.</w:t>
      </w:r>
      <w:r>
        <w:tab/>
        <w:t>Information to be excluded from annual reports</w:t>
      </w:r>
      <w:bookmarkEnd w:id="350"/>
    </w:p>
    <w:p>
      <w:pPr>
        <w:pStyle w:val="Subsection"/>
      </w:pPr>
      <w:r>
        <w:tab/>
        <w:t>(1)</w:t>
      </w:r>
      <w:r>
        <w:tab/>
        <w:t xml:space="preserve">In this section — </w:t>
      </w:r>
    </w:p>
    <w:p>
      <w:pPr>
        <w:pStyle w:val="Defstart"/>
      </w:pPr>
      <w:r>
        <w:tab/>
      </w:r>
      <w:r>
        <w:rPr>
          <w:rStyle w:val="CharDefText"/>
        </w:rPr>
        <w:t>protected information</w:t>
      </w:r>
      <w:r>
        <w:t xml:space="preserve"> means information the disclosure of which would contravene a written law or an order of a court;</w:t>
      </w:r>
    </w:p>
    <w:p>
      <w:pPr>
        <w:pStyle w:val="Defstart"/>
      </w:pPr>
      <w:r>
        <w:tab/>
      </w:r>
      <w:r>
        <w:rPr>
          <w:rStyle w:val="CharDefText"/>
        </w:rPr>
        <w:t>sensitive information</w:t>
      </w:r>
      <w:r>
        <w:t xml:space="preserve"> means information the disclosure of which could reasonably be expected to — </w:t>
      </w:r>
    </w:p>
    <w:p>
      <w:pPr>
        <w:pStyle w:val="Defpara"/>
      </w:pPr>
      <w:r>
        <w:tab/>
        <w:t>(a)</w:t>
      </w:r>
      <w:r>
        <w:tab/>
        <w:t>prejudice national security; or</w:t>
      </w:r>
    </w:p>
    <w:p>
      <w:pPr>
        <w:pStyle w:val="Defpara"/>
      </w:pPr>
      <w:r>
        <w:tab/>
        <w:t>(b)</w:t>
      </w:r>
      <w:r>
        <w:tab/>
        <w:t>endanger a person’s life or physical safety; or</w:t>
      </w:r>
    </w:p>
    <w:p>
      <w:pPr>
        <w:pStyle w:val="Defpara"/>
      </w:pPr>
      <w:r>
        <w:tab/>
        <w:t>(c)</w:t>
      </w:r>
      <w:r>
        <w:tab/>
        <w:t>threaten significant damage to infrastructure or property; or</w:t>
      </w:r>
    </w:p>
    <w:p>
      <w:pPr>
        <w:pStyle w:val="Defpara"/>
      </w:pPr>
      <w:r>
        <w:tab/>
        <w:t>(d)</w:t>
      </w:r>
      <w:r>
        <w:tab/>
        <w:t>prejudice a criminal investigation; or</w:t>
      </w:r>
    </w:p>
    <w:p>
      <w:pPr>
        <w:pStyle w:val="Defpara"/>
      </w:pPr>
      <w:r>
        <w:lastRenderedPageBreak/>
        <w:tab/>
        <w:t>(e)</w:t>
      </w:r>
      <w:r>
        <w:tab/>
        <w:t>reveal intelligence gathering methodologies, investigative techniques or technologies or covert practices; or</w:t>
      </w:r>
    </w:p>
    <w:p>
      <w:pPr>
        <w:pStyle w:val="Defpara"/>
      </w:pPr>
      <w:r>
        <w:tab/>
        <w:t>(f)</w:t>
      </w:r>
      <w:r>
        <w:tab/>
        <w:t>enable the discovery of the existence or identity of a confidential source of information relevant to law enforcement.</w:t>
      </w:r>
    </w:p>
    <w:p>
      <w:pPr>
        <w:pStyle w:val="Subsection"/>
        <w:keepNext/>
      </w:pPr>
      <w:r>
        <w:tab/>
        <w:t>(2)</w:t>
      </w:r>
      <w:r>
        <w:tab/>
        <w:t xml:space="preserve">This section applies if, </w:t>
      </w:r>
      <w:r>
        <w:rPr>
          <w:snapToGrid w:val="0"/>
        </w:rPr>
        <w:t xml:space="preserve">during the year ending on the last preceding 30 June, </w:t>
      </w:r>
      <w:r>
        <w:t>the chairperson</w:t>
      </w:r>
      <w:r>
        <w:rPr>
          <w:snapToGrid w:val="0"/>
        </w:rPr>
        <w:t xml:space="preserve"> decides</w:t>
      </w:r>
      <w:r>
        <w:t> —</w:t>
      </w:r>
    </w:p>
    <w:p>
      <w:pPr>
        <w:pStyle w:val="Indenta"/>
      </w:pPr>
      <w:r>
        <w:tab/>
        <w:t>(a)</w:t>
      </w:r>
      <w:r>
        <w:tab/>
        <w:t xml:space="preserve">to make a </w:t>
      </w:r>
      <w:r>
        <w:rPr>
          <w:szCs w:val="24"/>
        </w:rPr>
        <w:t xml:space="preserve">supervised release order </w:t>
      </w:r>
      <w:r>
        <w:t>under Part 8 Division 2A</w:t>
      </w:r>
      <w:r>
        <w:rPr>
          <w:szCs w:val="24"/>
        </w:rPr>
        <w:t>; or</w:t>
      </w:r>
    </w:p>
    <w:p>
      <w:pPr>
        <w:pStyle w:val="Indenta"/>
      </w:pPr>
      <w:r>
        <w:tab/>
        <w:t>(b)</w:t>
      </w:r>
      <w:r>
        <w:tab/>
        <w:t>to refuse to make a supervised release order under Part 8 Division 2A; or</w:t>
      </w:r>
    </w:p>
    <w:p>
      <w:pPr>
        <w:pStyle w:val="Indenta"/>
      </w:pPr>
      <w:r>
        <w:tab/>
        <w:t>(c)</w:t>
      </w:r>
      <w:r>
        <w:tab/>
        <w:t>to cancel a supervised release order under section 142A.</w:t>
      </w:r>
    </w:p>
    <w:p>
      <w:pPr>
        <w:pStyle w:val="Subsection"/>
      </w:pPr>
      <w:r>
        <w:tab/>
        <w:t>(3)</w:t>
      </w:r>
      <w:r>
        <w:tab/>
        <w:t xml:space="preserve">Before giving an annual report for the financial year, the chairperson must notify the Commissioner of Police and the Minister of the number of decisions referred to in subsection (2) that are made </w:t>
      </w:r>
      <w:r>
        <w:rPr>
          <w:snapToGrid w:val="0"/>
        </w:rPr>
        <w:t>during the year ending on the last preceding 30 June</w:t>
      </w:r>
      <w:r>
        <w:t xml:space="preserve"> (</w:t>
      </w:r>
      <w:r>
        <w:rPr>
          <w:rStyle w:val="CharDefText"/>
        </w:rPr>
        <w:t>notifiable information</w:t>
      </w:r>
      <w:r>
        <w:t xml:space="preserve">). </w:t>
      </w:r>
    </w:p>
    <w:p>
      <w:pPr>
        <w:pStyle w:val="Subsection"/>
      </w:pPr>
      <w:r>
        <w:tab/>
        <w:t>(4)</w:t>
      </w:r>
      <w:r>
        <w:tab/>
        <w:t>The Commissioner of Police must advise the Minister whether, in the Commissioner’s opinion, some or all of the notifiable information is, or is likely to be, sensitive information.</w:t>
      </w:r>
    </w:p>
    <w:p>
      <w:pPr>
        <w:pStyle w:val="Subsection"/>
      </w:pPr>
      <w:r>
        <w:tab/>
        <w:t>(5)</w:t>
      </w:r>
      <w:r>
        <w:tab/>
        <w:t xml:space="preserve">If the Minister is satisfied that some or all of the notifiable information is protected information or, on advice given under subsection (4), is satisfied that some or all of the notifiable information is sensitive information, the Minister must direct the chairperson to — </w:t>
      </w:r>
    </w:p>
    <w:p>
      <w:pPr>
        <w:pStyle w:val="Indenta"/>
      </w:pPr>
      <w:r>
        <w:tab/>
        <w:t>(a)</w:t>
      </w:r>
      <w:r>
        <w:tab/>
        <w:t>exclude the information from the annual report; and</w:t>
      </w:r>
    </w:p>
    <w:p>
      <w:pPr>
        <w:pStyle w:val="Indenta"/>
      </w:pPr>
      <w:r>
        <w:tab/>
        <w:t>(b)</w:t>
      </w:r>
      <w:r>
        <w:tab/>
        <w:t xml:space="preserve">insert a statement in the annual report to the effect that the information is excluded from the annual report under this section. </w:t>
      </w:r>
    </w:p>
    <w:p>
      <w:pPr>
        <w:pStyle w:val="Subsection"/>
      </w:pPr>
      <w:r>
        <w:tab/>
        <w:t>(6)</w:t>
      </w:r>
      <w:r>
        <w:tab/>
        <w:t>The chairperson must comply with a direction given under subsection (5).</w:t>
      </w:r>
    </w:p>
    <w:p>
      <w:pPr>
        <w:pStyle w:val="Subsection"/>
      </w:pPr>
      <w:r>
        <w:lastRenderedPageBreak/>
        <w:tab/>
        <w:t>(7)</w:t>
      </w:r>
      <w:r>
        <w:tab/>
        <w:t>The Minister may obtain legal advice as to the matters in subsection (5).</w:t>
      </w:r>
    </w:p>
    <w:p>
      <w:pPr>
        <w:pStyle w:val="Subsection"/>
      </w:pPr>
      <w:r>
        <w:tab/>
        <w:t>(8)</w:t>
      </w:r>
      <w:r>
        <w:tab/>
        <w:t>If the Minister does not give a direction under subsection (5), the Board must include the notifiable information in the annual report.</w:t>
      </w:r>
    </w:p>
    <w:p>
      <w:pPr>
        <w:pStyle w:val="Footnotesection"/>
      </w:pPr>
      <w:r>
        <w:tab/>
        <w:t>[Section 165A inserted: No. 14 of 2022 s. 38.]</w:t>
      </w:r>
    </w:p>
    <w:p>
      <w:pPr>
        <w:pStyle w:val="Heading2"/>
      </w:pPr>
      <w:bookmarkStart w:id="351" w:name="_Toc180138875"/>
      <w:bookmarkStart w:id="352" w:name="_Toc180139210"/>
      <w:bookmarkStart w:id="353" w:name="_Toc180148186"/>
      <w:r>
        <w:rPr>
          <w:rStyle w:val="CharPartNo"/>
        </w:rPr>
        <w:lastRenderedPageBreak/>
        <w:t>Part 9</w:t>
      </w:r>
      <w:r>
        <w:rPr>
          <w:rStyle w:val="CharDivNo"/>
        </w:rPr>
        <w:t> </w:t>
      </w:r>
      <w:r>
        <w:t>—</w:t>
      </w:r>
      <w:r>
        <w:rPr>
          <w:rStyle w:val="CharDivText"/>
        </w:rPr>
        <w:t> </w:t>
      </w:r>
      <w:r>
        <w:rPr>
          <w:rStyle w:val="CharPartText"/>
        </w:rPr>
        <w:t>Detention centres</w:t>
      </w:r>
      <w:bookmarkEnd w:id="351"/>
      <w:bookmarkEnd w:id="352"/>
      <w:bookmarkEnd w:id="353"/>
      <w:r>
        <w:rPr>
          <w:rStyle w:val="CharPartText"/>
        </w:rPr>
        <w:t xml:space="preserve"> </w:t>
      </w:r>
    </w:p>
    <w:p>
      <w:pPr>
        <w:pStyle w:val="Heading5"/>
      </w:pPr>
      <w:bookmarkStart w:id="354" w:name="_Toc180148187"/>
      <w:r>
        <w:rPr>
          <w:rStyle w:val="CharSectno"/>
        </w:rPr>
        <w:t>166</w:t>
      </w:r>
      <w:r>
        <w:t>.</w:t>
      </w:r>
      <w:r>
        <w:tab/>
        <w:t>Appointment of visiting justices</w:t>
      </w:r>
      <w:bookmarkEnd w:id="354"/>
    </w:p>
    <w:p>
      <w:pPr>
        <w:pStyle w:val="Subsection"/>
      </w:pPr>
      <w:r>
        <w:tab/>
        <w:t>(1)</w:t>
      </w:r>
      <w:r>
        <w:tab/>
        <w:t>The Minister may, for every detention centre, appoint visitors to be known as visiting justices.</w:t>
      </w:r>
    </w:p>
    <w:p>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No. 75 of 2003 s. 56(1); amended: No. 59 of 2004 s. 141.]</w:t>
      </w:r>
    </w:p>
    <w:p>
      <w:pPr>
        <w:pStyle w:val="Ednotesection"/>
      </w:pPr>
      <w:r>
        <w:t>[</w:t>
      </w:r>
      <w:r>
        <w:rPr>
          <w:b/>
        </w:rPr>
        <w:t>167.</w:t>
      </w:r>
      <w:r>
        <w:tab/>
        <w:t>Deleted: No. 75 of 2003 s. 56(1).]</w:t>
      </w:r>
    </w:p>
    <w:p>
      <w:pPr>
        <w:pStyle w:val="Heading5"/>
        <w:rPr>
          <w:snapToGrid w:val="0"/>
        </w:rPr>
      </w:pPr>
      <w:bookmarkStart w:id="355" w:name="_Toc180148188"/>
      <w:r>
        <w:rPr>
          <w:rStyle w:val="CharSectno"/>
        </w:rPr>
        <w:t>168</w:t>
      </w:r>
      <w:r>
        <w:rPr>
          <w:snapToGrid w:val="0"/>
        </w:rPr>
        <w:t>.</w:t>
      </w:r>
      <w:r>
        <w:rPr>
          <w:snapToGrid w:val="0"/>
        </w:rPr>
        <w:tab/>
        <w:t>Visiting justices, functions of</w:t>
      </w:r>
      <w:bookmarkEnd w:id="355"/>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w:t>
      </w:r>
      <w:r>
        <w:rPr>
          <w:snapToGrid w:val="0"/>
        </w:rPr>
        <w:lastRenderedPageBreak/>
        <w:t>other detention centre has the powers and duties in relation to that detainee and that charge as if the charge had been laid at that other detention centre.</w:t>
      </w:r>
    </w:p>
    <w:p>
      <w:pPr>
        <w:pStyle w:val="Heading5"/>
        <w:rPr>
          <w:snapToGrid w:val="0"/>
        </w:rPr>
      </w:pPr>
      <w:bookmarkStart w:id="356" w:name="_Toc180148189"/>
      <w:r>
        <w:rPr>
          <w:rStyle w:val="CharSectno"/>
        </w:rPr>
        <w:t>169</w:t>
      </w:r>
      <w:r>
        <w:rPr>
          <w:snapToGrid w:val="0"/>
        </w:rPr>
        <w:t>.</w:t>
      </w:r>
      <w:r>
        <w:rPr>
          <w:snapToGrid w:val="0"/>
        </w:rPr>
        <w:tab/>
        <w:t>Right of certain persons to enter detention centre</w:t>
      </w:r>
      <w:bookmarkEnd w:id="35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No. 75 of 2003 s. 56(1); No. 59 of 2004 s. 141.]</w:t>
      </w:r>
    </w:p>
    <w:p>
      <w:pPr>
        <w:pStyle w:val="Heading5"/>
        <w:rPr>
          <w:snapToGrid w:val="0"/>
        </w:rPr>
      </w:pPr>
      <w:bookmarkStart w:id="357" w:name="_Toc180148190"/>
      <w:r>
        <w:rPr>
          <w:rStyle w:val="CharSectno"/>
        </w:rPr>
        <w:t>169A</w:t>
      </w:r>
      <w:r>
        <w:t>.</w:t>
      </w:r>
      <w:r>
        <w:tab/>
      </w:r>
      <w:r>
        <w:rPr>
          <w:snapToGrid w:val="0"/>
        </w:rPr>
        <w:t>Investigation of alleged incident at detention centre</w:t>
      </w:r>
      <w:bookmarkEnd w:id="357"/>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custodial officer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lastRenderedPageBreak/>
        <w:tab/>
        <w:t>(c)</w:t>
      </w:r>
      <w:r>
        <w:tab/>
        <w:t>declare any direct or indirect interest related to the alleged incident that the person has or acquires, that conflicts or may conflict with the person’s duties.</w:t>
      </w:r>
    </w:p>
    <w:p>
      <w:pPr>
        <w:pStyle w:val="Subsection"/>
      </w:pPr>
      <w:r>
        <w:tab/>
        <w:t>(5)</w:t>
      </w:r>
      <w:r>
        <w:tab/>
        <w:t>A custodial officer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No. 58 of 2004 s. 37; amended: No. 29 of 2014 s. 22.]</w:t>
      </w:r>
    </w:p>
    <w:p>
      <w:pPr>
        <w:pStyle w:val="Heading5"/>
        <w:rPr>
          <w:snapToGrid w:val="0"/>
        </w:rPr>
      </w:pPr>
      <w:bookmarkStart w:id="358" w:name="_Toc180148191"/>
      <w:r>
        <w:rPr>
          <w:rStyle w:val="CharSectno"/>
        </w:rPr>
        <w:t>170</w:t>
      </w:r>
      <w:r>
        <w:rPr>
          <w:snapToGrid w:val="0"/>
        </w:rPr>
        <w:t>.</w:t>
      </w:r>
      <w:r>
        <w:rPr>
          <w:snapToGrid w:val="0"/>
        </w:rPr>
        <w:tab/>
        <w:t>Detention offences</w:t>
      </w:r>
      <w:bookmarkEnd w:id="358"/>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lastRenderedPageBreak/>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No. 58 of 2004 s. 38.]</w:t>
      </w:r>
    </w:p>
    <w:p>
      <w:pPr>
        <w:pStyle w:val="Heading5"/>
        <w:rPr>
          <w:snapToGrid w:val="0"/>
        </w:rPr>
      </w:pPr>
      <w:bookmarkStart w:id="359" w:name="_Toc180148192"/>
      <w:r>
        <w:rPr>
          <w:rStyle w:val="CharSectno"/>
        </w:rPr>
        <w:t>171</w:t>
      </w:r>
      <w:r>
        <w:rPr>
          <w:snapToGrid w:val="0"/>
        </w:rPr>
        <w:t>.</w:t>
      </w:r>
      <w:r>
        <w:rPr>
          <w:snapToGrid w:val="0"/>
        </w:rPr>
        <w:tab/>
        <w:t>Detention offence charge, procedure on</w:t>
      </w:r>
      <w:bookmarkEnd w:id="359"/>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No. 47 of 1999 s. 44.]</w:t>
      </w:r>
    </w:p>
    <w:p>
      <w:pPr>
        <w:pStyle w:val="Heading5"/>
        <w:rPr>
          <w:snapToGrid w:val="0"/>
        </w:rPr>
      </w:pPr>
      <w:bookmarkStart w:id="360" w:name="_Toc180148193"/>
      <w:r>
        <w:rPr>
          <w:rStyle w:val="CharSectno"/>
        </w:rPr>
        <w:t>172</w:t>
      </w:r>
      <w:r>
        <w:rPr>
          <w:snapToGrid w:val="0"/>
        </w:rPr>
        <w:t>.</w:t>
      </w:r>
      <w:r>
        <w:rPr>
          <w:snapToGrid w:val="0"/>
        </w:rPr>
        <w:tab/>
        <w:t>Visiting justice may deal with referred charges</w:t>
      </w:r>
      <w:bookmarkEnd w:id="360"/>
      <w:r>
        <w:rPr>
          <w:snapToGrid w:val="0"/>
        </w:rPr>
        <w:t xml:space="preserve"> </w:t>
      </w:r>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361" w:name="_Toc180148194"/>
      <w:r>
        <w:rPr>
          <w:rStyle w:val="CharSectno"/>
        </w:rPr>
        <w:t>173</w:t>
      </w:r>
      <w:r>
        <w:rPr>
          <w:snapToGrid w:val="0"/>
        </w:rPr>
        <w:t>.</w:t>
      </w:r>
      <w:r>
        <w:rPr>
          <w:snapToGrid w:val="0"/>
        </w:rPr>
        <w:tab/>
        <w:t>Detention offences, dealing with</w:t>
      </w:r>
      <w:bookmarkEnd w:id="361"/>
      <w:r>
        <w:rPr>
          <w:snapToGrid w:val="0"/>
        </w:rPr>
        <w:t xml:space="preserve"> </w:t>
      </w:r>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pPr>
        <w:pStyle w:val="Footnotesection"/>
      </w:pPr>
      <w:r>
        <w:tab/>
        <w:t>[Section 173 amended: No. 58 of 2004 s. 39.]</w:t>
      </w:r>
    </w:p>
    <w:p>
      <w:pPr>
        <w:pStyle w:val="Heading5"/>
        <w:rPr>
          <w:snapToGrid w:val="0"/>
        </w:rPr>
      </w:pPr>
      <w:bookmarkStart w:id="362" w:name="_Toc180148195"/>
      <w:r>
        <w:rPr>
          <w:rStyle w:val="CharSectno"/>
        </w:rPr>
        <w:t>174</w:t>
      </w:r>
      <w:r>
        <w:rPr>
          <w:snapToGrid w:val="0"/>
        </w:rPr>
        <w:t>.</w:t>
      </w:r>
      <w:r>
        <w:rPr>
          <w:snapToGrid w:val="0"/>
        </w:rPr>
        <w:tab/>
        <w:t>Detention offence charges, hearing of</w:t>
      </w:r>
      <w:bookmarkEnd w:id="362"/>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63" w:name="_Toc180148196"/>
      <w:r>
        <w:rPr>
          <w:rStyle w:val="CharSectno"/>
        </w:rPr>
        <w:t>175</w:t>
      </w:r>
      <w:r>
        <w:rPr>
          <w:snapToGrid w:val="0"/>
        </w:rPr>
        <w:t>.</w:t>
      </w:r>
      <w:r>
        <w:rPr>
          <w:snapToGrid w:val="0"/>
        </w:rPr>
        <w:tab/>
        <w:t>Visiting justice may direct prosecution for detention offence</w:t>
      </w:r>
      <w:bookmarkEnd w:id="363"/>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No. 84 of 2004 s. 80.]</w:t>
      </w:r>
    </w:p>
    <w:p>
      <w:pPr>
        <w:pStyle w:val="Heading5"/>
        <w:rPr>
          <w:snapToGrid w:val="0"/>
        </w:rPr>
      </w:pPr>
      <w:bookmarkStart w:id="364" w:name="_Toc180148197"/>
      <w:r>
        <w:rPr>
          <w:rStyle w:val="CharSectno"/>
        </w:rPr>
        <w:t>176</w:t>
      </w:r>
      <w:r>
        <w:rPr>
          <w:snapToGrid w:val="0"/>
        </w:rPr>
        <w:t>.</w:t>
      </w:r>
      <w:r>
        <w:rPr>
          <w:snapToGrid w:val="0"/>
        </w:rPr>
        <w:tab/>
        <w:t>Early discharge from detention</w:t>
      </w:r>
      <w:bookmarkEnd w:id="364"/>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No. 78 of 1995 s. 145.] </w:t>
      </w:r>
    </w:p>
    <w:p>
      <w:pPr>
        <w:pStyle w:val="Heading5"/>
        <w:rPr>
          <w:snapToGrid w:val="0"/>
        </w:rPr>
      </w:pPr>
      <w:bookmarkStart w:id="365" w:name="_Toc180148198"/>
      <w:r>
        <w:rPr>
          <w:rStyle w:val="CharSectno"/>
        </w:rPr>
        <w:lastRenderedPageBreak/>
        <w:t>178</w:t>
      </w:r>
      <w:r>
        <w:rPr>
          <w:snapToGrid w:val="0"/>
        </w:rPr>
        <w:t>.</w:t>
      </w:r>
      <w:r>
        <w:rPr>
          <w:snapToGrid w:val="0"/>
        </w:rPr>
        <w:tab/>
      </w:r>
      <w:r>
        <w:t>Transfer of offender who is 16 or 17 years old from detention centre to prison</w:t>
      </w:r>
      <w:bookmarkEnd w:id="365"/>
      <w:r>
        <w:rPr>
          <w:snapToGrid w:val="0"/>
        </w:rPr>
        <w:t xml:space="preserve"> </w:t>
      </w:r>
    </w:p>
    <w:p>
      <w:pPr>
        <w:pStyle w:val="Subsection"/>
      </w:pPr>
      <w:r>
        <w:tab/>
        <w:t>(1A)</w:t>
      </w:r>
      <w:r>
        <w:tab/>
        <w:t>This section applies to an offender who has reached the age of 16 years but is under 18 years old.</w:t>
      </w:r>
    </w:p>
    <w:p>
      <w:pPr>
        <w:pStyle w:val="Subsection"/>
        <w:rPr>
          <w:snapToGrid w:val="0"/>
        </w:rPr>
      </w:pPr>
      <w:r>
        <w:rPr>
          <w:snapToGrid w:val="0"/>
        </w:rPr>
        <w:tab/>
        <w:t>(1)</w:t>
      </w:r>
      <w:r>
        <w:rPr>
          <w:snapToGrid w:val="0"/>
        </w:rPr>
        <w:tab/>
        <w:t xml:space="preserve">If </w:t>
      </w:r>
      <w:r>
        <w:t>the offender</w:t>
      </w:r>
      <w:r>
        <w:rPr>
          <w:snapToGrid w:val="0"/>
        </w:rPr>
        <w:t xml:space="preserve"> is in a detention centre serving a sentence of detention or a sentence of imprisonment, the chief executive officer may apply to the Children’s Court, constituted so as to consist of or include a judge, for a direction under subsection (3).</w:t>
      </w:r>
    </w:p>
    <w:p>
      <w:pPr>
        <w:pStyle w:val="Ednotesubsection"/>
      </w:pPr>
      <w:r>
        <w:tab/>
        <w:t>[(2)</w:t>
      </w:r>
      <w:r>
        <w:tab/>
        <w:t>deleted]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w:t>
      </w:r>
      <w:r>
        <w:t>sentence.</w:t>
      </w:r>
    </w:p>
    <w:p>
      <w:pPr>
        <w:pStyle w:val="Subsection"/>
      </w:pPr>
      <w:r>
        <w:tab/>
        <w:t>(4)</w:t>
      </w:r>
      <w:r>
        <w:tab/>
        <w:t xml:space="preserve">A direction under subsection (3) can be made only if the Court is satisfied that the offender should be transferred to a prison because — </w:t>
      </w:r>
    </w:p>
    <w:p>
      <w:pPr>
        <w:pStyle w:val="Indenta"/>
      </w:pPr>
      <w:r>
        <w:tab/>
        <w:t>(a)</w:t>
      </w:r>
      <w:r>
        <w:tab/>
        <w:t>the offender’s behaviour in the detention centre (including when serving a previous sentence) is or has been a significant risk to the safety or welfare of other people in custody in, or of the staff of, the centre; or</w:t>
      </w:r>
    </w:p>
    <w:p>
      <w:pPr>
        <w:pStyle w:val="Indenta"/>
      </w:pPr>
      <w:r>
        <w:tab/>
        <w:t>(b)</w:t>
      </w:r>
      <w:r>
        <w:tab/>
        <w:t>of the offender’s antecedents; or</w:t>
      </w:r>
    </w:p>
    <w:p>
      <w:pPr>
        <w:pStyle w:val="Indenta"/>
      </w:pPr>
      <w:r>
        <w:tab/>
        <w:t>(c)</w:t>
      </w:r>
      <w:r>
        <w:tab/>
        <w:t>of any other reason the Court thinks is relevant.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r>
      <w:r>
        <w:t>Part 7 Division 8 and Part 8</w:t>
      </w:r>
      <w:r>
        <w:rPr>
          <w:snapToGrid w:val="0"/>
        </w:rPr>
        <w:t xml:space="preserve">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lastRenderedPageBreak/>
        <w:t>Criminal Appeals Act 2004</w:t>
      </w:r>
      <w:r>
        <w:t xml:space="preserve"> which, with any necessary changes, applies as if the direction were an order that might be made as a result of a conviction.</w:t>
      </w:r>
    </w:p>
    <w:p>
      <w:pPr>
        <w:pStyle w:val="Footnotesection"/>
      </w:pPr>
      <w:r>
        <w:tab/>
        <w:t xml:space="preserve">[Section 178 inserted: No. 78 of 1995 s. 144; amended: No. 84 of 2004 s. 76; amended: No. 15 of 2023 s. 11.] </w:t>
      </w:r>
    </w:p>
    <w:p>
      <w:pPr>
        <w:pStyle w:val="Footnotesection"/>
      </w:pPr>
      <w:r>
        <w:tab/>
        <w:t>[Section 178. Modifications to be applied in order to give effect to Cross-border Justice Act 2008: section altered 1 Dec 2009. See endnote 1M.]</w:t>
      </w:r>
    </w:p>
    <w:p>
      <w:pPr>
        <w:pStyle w:val="Heading5"/>
      </w:pPr>
      <w:bookmarkStart w:id="366" w:name="_Toc180148199"/>
      <w:r>
        <w:rPr>
          <w:rStyle w:val="CharSectno"/>
        </w:rPr>
        <w:t>178A</w:t>
      </w:r>
      <w:r>
        <w:t>.</w:t>
      </w:r>
      <w:r>
        <w:tab/>
        <w:t>Transfer of offender who has reached age of 18 years from detention centre to prison</w:t>
      </w:r>
      <w:bookmarkEnd w:id="366"/>
    </w:p>
    <w:p>
      <w:pPr>
        <w:pStyle w:val="Subsection"/>
        <w:rPr>
          <w:snapToGrid w:val="0"/>
        </w:rPr>
      </w:pPr>
      <w:r>
        <w:rPr>
          <w:snapToGrid w:val="0"/>
        </w:rPr>
        <w:tab/>
        <w:t>(1)</w:t>
      </w:r>
      <w:r>
        <w:rPr>
          <w:snapToGrid w:val="0"/>
        </w:rPr>
        <w:tab/>
        <w:t>This section applies to an offender who has reached the age of 18 years.</w:t>
      </w:r>
    </w:p>
    <w:p>
      <w:pPr>
        <w:pStyle w:val="Subsection"/>
        <w:rPr>
          <w:snapToGrid w:val="0"/>
        </w:rPr>
      </w:pPr>
      <w:r>
        <w:rPr>
          <w:snapToGrid w:val="0"/>
        </w:rPr>
        <w:tab/>
        <w:t>(2)</w:t>
      </w:r>
      <w:r>
        <w:rPr>
          <w:snapToGrid w:val="0"/>
        </w:rPr>
        <w:tab/>
        <w:t xml:space="preserve">If the offender is in a detention centre serving a sentence of detention or a sentence of imprisonment, the chief executive officer must transfer the offender to a prison under the </w:t>
      </w:r>
      <w:r>
        <w:rPr>
          <w:i/>
          <w:snapToGrid w:val="0"/>
        </w:rPr>
        <w:t>Prisons Act 1981</w:t>
      </w:r>
      <w:r>
        <w:rPr>
          <w:snapToGrid w:val="0"/>
        </w:rPr>
        <w:t xml:space="preserve"> to serve the unserved portion of the sentence unless a direction under section 178B(1) in respect of the offender is in force.</w:t>
      </w:r>
    </w:p>
    <w:p>
      <w:pPr>
        <w:pStyle w:val="Subsection"/>
        <w:rPr>
          <w:snapToGrid w:val="0"/>
        </w:rPr>
      </w:pPr>
      <w:r>
        <w:rPr>
          <w:snapToGrid w:val="0"/>
        </w:rPr>
        <w:tab/>
        <w:t>(3)</w:t>
      </w:r>
      <w:r>
        <w:rPr>
          <w:snapToGrid w:val="0"/>
        </w:rPr>
        <w:tab/>
        <w:t xml:space="preserve">A transfer under subsection (2) must be made within 30 days after — </w:t>
      </w:r>
    </w:p>
    <w:p>
      <w:pPr>
        <w:pStyle w:val="Indenta"/>
      </w:pPr>
      <w:r>
        <w:tab/>
        <w:t>(a)</w:t>
      </w:r>
      <w:r>
        <w:tab/>
        <w:t>the day on which the offender reaches the age of 18 years; or</w:t>
      </w:r>
    </w:p>
    <w:p>
      <w:pPr>
        <w:pStyle w:val="Indenta"/>
      </w:pPr>
      <w:r>
        <w:tab/>
        <w:t>(b)</w:t>
      </w:r>
      <w:r>
        <w:tab/>
        <w:t>if the chief executive officer revokes under section 178B(3) a direction in respect of the offender — the day on which the direction is revoked.</w:t>
      </w:r>
    </w:p>
    <w:p>
      <w:pPr>
        <w:pStyle w:val="Subsection"/>
        <w:rPr>
          <w:snapToGrid w:val="0"/>
        </w:rPr>
      </w:pPr>
      <w:r>
        <w:rPr>
          <w:snapToGrid w:val="0"/>
        </w:rPr>
        <w:tab/>
        <w:t>(4)</w:t>
      </w:r>
      <w:r>
        <w:rPr>
          <w:snapToGrid w:val="0"/>
        </w:rPr>
        <w:tab/>
        <w:t>A failure to comply with subsection (3) does not invalidate the transfer.</w:t>
      </w:r>
    </w:p>
    <w:p>
      <w:pPr>
        <w:pStyle w:val="Subsection"/>
        <w:rPr>
          <w:snapToGrid w:val="0"/>
        </w:rPr>
      </w:pPr>
      <w:r>
        <w:rPr>
          <w:snapToGrid w:val="0"/>
        </w:rPr>
        <w:tab/>
        <w:t>(5)</w:t>
      </w:r>
      <w:r>
        <w:rPr>
          <w:snapToGrid w:val="0"/>
        </w:rPr>
        <w:tab/>
        <w:t xml:space="preserve">If the chief executive officer transfers under subsection (2) an offender who is serving a sentence of detention — </w:t>
      </w:r>
    </w:p>
    <w:p>
      <w:pPr>
        <w:pStyle w:val="Indenta"/>
      </w:pPr>
      <w:r>
        <w:tab/>
        <w:t>(a)</w:t>
      </w:r>
      <w:r>
        <w:tab/>
        <w:t xml:space="preserve">the </w:t>
      </w:r>
      <w:r>
        <w:rPr>
          <w:i/>
        </w:rPr>
        <w:t>Prisons Act 1981</w:t>
      </w:r>
      <w:r>
        <w:t xml:space="preserve"> applies to and in respect of the offender while in prison; and</w:t>
      </w:r>
    </w:p>
    <w:p>
      <w:pPr>
        <w:pStyle w:val="Indenta"/>
      </w:pPr>
      <w:r>
        <w:lastRenderedPageBreak/>
        <w:tab/>
        <w:t>(b)</w:t>
      </w:r>
      <w:r>
        <w:tab/>
        <w:t>Part 7 Division 8 and Part 8 continue to apply to the sentence of detention.</w:t>
      </w:r>
    </w:p>
    <w:p>
      <w:pPr>
        <w:pStyle w:val="Footnotesection"/>
      </w:pPr>
      <w:r>
        <w:tab/>
        <w:t xml:space="preserve">[Section 178A inserted: No. 15 of 2023 s. 12.] </w:t>
      </w:r>
    </w:p>
    <w:p>
      <w:pPr>
        <w:pStyle w:val="Heading5"/>
      </w:pPr>
      <w:bookmarkStart w:id="367" w:name="_Toc180148200"/>
      <w:r>
        <w:rPr>
          <w:rStyle w:val="CharSectno"/>
        </w:rPr>
        <w:t>178B</w:t>
      </w:r>
      <w:r>
        <w:t>.</w:t>
      </w:r>
      <w:r>
        <w:tab/>
        <w:t>Chief executive officer may direct that mandatory transfer does not apply</w:t>
      </w:r>
      <w:bookmarkEnd w:id="367"/>
    </w:p>
    <w:p>
      <w:pPr>
        <w:pStyle w:val="Subsection"/>
        <w:rPr>
          <w:snapToGrid w:val="0"/>
        </w:rPr>
      </w:pPr>
      <w:r>
        <w:rPr>
          <w:snapToGrid w:val="0"/>
        </w:rPr>
        <w:tab/>
        <w:t>(1)</w:t>
      </w:r>
      <w:r>
        <w:rPr>
          <w:snapToGrid w:val="0"/>
        </w:rPr>
        <w:tab/>
        <w:t>The chief executive officer may, in writing, direct that a transfer under section 178A(2) does not apply in relation to a particular offender.</w:t>
      </w:r>
    </w:p>
    <w:p>
      <w:pPr>
        <w:pStyle w:val="Subsection"/>
        <w:rPr>
          <w:snapToGrid w:val="0"/>
        </w:rPr>
      </w:pPr>
      <w:r>
        <w:rPr>
          <w:snapToGrid w:val="0"/>
        </w:rPr>
        <w:tab/>
        <w:t>(2)</w:t>
      </w:r>
      <w:r>
        <w:rPr>
          <w:snapToGrid w:val="0"/>
        </w:rPr>
        <w:tab/>
        <w:t xml:space="preserve">In giving a direction under subsection (1), the chief executive officer — </w:t>
      </w:r>
    </w:p>
    <w:p>
      <w:pPr>
        <w:pStyle w:val="Indenta"/>
      </w:pPr>
      <w:r>
        <w:tab/>
        <w:t>(a)</w:t>
      </w:r>
      <w:r>
        <w:tab/>
        <w:t xml:space="preserve">must have regard to — </w:t>
      </w:r>
    </w:p>
    <w:p>
      <w:pPr>
        <w:pStyle w:val="Indenti"/>
      </w:pPr>
      <w:r>
        <w:tab/>
        <w:t>(i)</w:t>
      </w:r>
      <w:r>
        <w:tab/>
        <w:t>the interests of the offender; and</w:t>
      </w:r>
    </w:p>
    <w:p>
      <w:pPr>
        <w:pStyle w:val="Indenti"/>
      </w:pPr>
      <w:r>
        <w:tab/>
        <w:t>(ii)</w:t>
      </w:r>
      <w:r>
        <w:tab/>
        <w:t>the interests of other persons detained in the detention centre;</w:t>
      </w:r>
    </w:p>
    <w:p>
      <w:pPr>
        <w:pStyle w:val="Indenta"/>
      </w:pPr>
      <w:r>
        <w:tab/>
      </w:r>
      <w:r>
        <w:tab/>
        <w:t>and</w:t>
      </w:r>
    </w:p>
    <w:p>
      <w:pPr>
        <w:pStyle w:val="Indenta"/>
      </w:pPr>
      <w:r>
        <w:tab/>
        <w:t>(b)</w:t>
      </w:r>
      <w:r>
        <w:tab/>
        <w:t>may have regard to any other matter the chief executive officer considers appropriate.</w:t>
      </w:r>
    </w:p>
    <w:p>
      <w:pPr>
        <w:pStyle w:val="Subsection"/>
      </w:pPr>
      <w:r>
        <w:tab/>
        <w:t>(3)</w:t>
      </w:r>
      <w:r>
        <w:tab/>
      </w:r>
      <w:r>
        <w:rPr>
          <w:snapToGrid w:val="0"/>
        </w:rPr>
        <w:t>The chief executive officer may, in writing, revoke a direction given under subsection (1).</w:t>
      </w:r>
    </w:p>
    <w:p>
      <w:pPr>
        <w:pStyle w:val="Subsection"/>
      </w:pPr>
      <w:r>
        <w:tab/>
        <w:t>(4)</w:t>
      </w:r>
      <w:r>
        <w:tab/>
      </w:r>
      <w:r>
        <w:rPr>
          <w:snapToGrid w:val="0"/>
        </w:rPr>
        <w:t>The rules known as the rules of natural justice (including any duty of procedural fairness) do not apply to or in relation to the doing or omission of any act, matter or thing under this section by the chief executive officer.</w:t>
      </w:r>
    </w:p>
    <w:p>
      <w:pPr>
        <w:pStyle w:val="Subsection"/>
        <w:rPr>
          <w:snapToGrid w:val="0"/>
        </w:rPr>
      </w:pPr>
      <w:r>
        <w:rPr>
          <w:snapToGrid w:val="0"/>
        </w:rPr>
        <w:tab/>
        <w:t>(5)</w:t>
      </w:r>
      <w:r>
        <w:rPr>
          <w:snapToGrid w:val="0"/>
        </w:rPr>
        <w:tab/>
        <w:t>The offender cannot apply for a review of, or an appeal against, a decision under this section.</w:t>
      </w:r>
    </w:p>
    <w:p>
      <w:pPr>
        <w:pStyle w:val="Subsection"/>
        <w:rPr>
          <w:snapToGrid w:val="0"/>
        </w:rPr>
      </w:pPr>
      <w:r>
        <w:rPr>
          <w:snapToGrid w:val="0"/>
        </w:rPr>
        <w:tab/>
        <w:t>(6)</w:t>
      </w:r>
      <w:r>
        <w:rPr>
          <w:snapToGrid w:val="0"/>
        </w:rPr>
        <w:tab/>
        <w:t>Subsection (5) does not limit judicial review for jurisdictional error.</w:t>
      </w:r>
    </w:p>
    <w:p>
      <w:pPr>
        <w:pStyle w:val="Footnotesection"/>
      </w:pPr>
      <w:r>
        <w:tab/>
        <w:t xml:space="preserve">[Section 178B inserted: No. 15 of 2023 s. 12.] </w:t>
      </w:r>
    </w:p>
    <w:p>
      <w:pPr>
        <w:pStyle w:val="Heading5"/>
        <w:rPr>
          <w:snapToGrid w:val="0"/>
        </w:rPr>
      </w:pPr>
      <w:bookmarkStart w:id="368" w:name="_Toc180148201"/>
      <w:r>
        <w:rPr>
          <w:rStyle w:val="CharSectno"/>
        </w:rPr>
        <w:lastRenderedPageBreak/>
        <w:t>179</w:t>
      </w:r>
      <w:r>
        <w:rPr>
          <w:snapToGrid w:val="0"/>
        </w:rPr>
        <w:t>.</w:t>
      </w:r>
      <w:r>
        <w:rPr>
          <w:snapToGrid w:val="0"/>
        </w:rPr>
        <w:tab/>
        <w:t>Medical treatment, removal for</w:t>
      </w:r>
      <w:bookmarkEnd w:id="3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 xml:space="preserve">Court </w:t>
      </w:r>
      <w:r>
        <w:rPr>
          <w:i/>
        </w:rPr>
        <w:lastRenderedPageBreak/>
        <w:t>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No. 69 of 1996 s. 94; No. 47 of 1999 s. 45; No. 22 of 2008 Sch. 3 cl. 55; No. 29 of 2008 s. 41(2); No. 35 of 2010 s. 166; No. 25 of 2014 s. 90.]</w:t>
      </w:r>
    </w:p>
    <w:p>
      <w:pPr>
        <w:pStyle w:val="Heading5"/>
        <w:rPr>
          <w:snapToGrid w:val="0"/>
        </w:rPr>
      </w:pPr>
      <w:bookmarkStart w:id="369" w:name="_Toc180148202"/>
      <w:r>
        <w:rPr>
          <w:rStyle w:val="CharSectno"/>
        </w:rPr>
        <w:lastRenderedPageBreak/>
        <w:t>180</w:t>
      </w:r>
      <w:r>
        <w:rPr>
          <w:snapToGrid w:val="0"/>
        </w:rPr>
        <w:t>.</w:t>
      </w:r>
      <w:r>
        <w:rPr>
          <w:snapToGrid w:val="0"/>
        </w:rPr>
        <w:tab/>
        <w:t>Death of detainee, coroner to investigate</w:t>
      </w:r>
      <w:bookmarkEnd w:id="369"/>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No. 2 of 1996 s. 61.] </w:t>
      </w:r>
    </w:p>
    <w:p>
      <w:pPr>
        <w:pStyle w:val="Heading5"/>
        <w:rPr>
          <w:snapToGrid w:val="0"/>
        </w:rPr>
      </w:pPr>
      <w:bookmarkStart w:id="370" w:name="_Toc180148203"/>
      <w:r>
        <w:rPr>
          <w:rStyle w:val="CharSectno"/>
        </w:rPr>
        <w:t>181</w:t>
      </w:r>
      <w:r>
        <w:rPr>
          <w:snapToGrid w:val="0"/>
        </w:rPr>
        <w:t>.</w:t>
      </w:r>
      <w:r>
        <w:rPr>
          <w:snapToGrid w:val="0"/>
        </w:rPr>
        <w:tab/>
        <w:t>Rules for detention centres, CEO may make</w:t>
      </w:r>
      <w:bookmarkEnd w:id="370"/>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lastRenderedPageBreak/>
        <w:tab/>
        <w:t>(5)</w:t>
      </w:r>
      <w:r>
        <w:rPr>
          <w:snapToGrid w:val="0"/>
        </w:rPr>
        <w:tab/>
        <w:t>If there is any inconsistency between a rule made under this section and a regulation, the rule has effect, to the extent of the inconsistency, subject to the regulation.</w:t>
      </w:r>
    </w:p>
    <w:p>
      <w:pPr>
        <w:pStyle w:val="Footnotesection"/>
      </w:pPr>
      <w:r>
        <w:tab/>
        <w:t xml:space="preserve">[Section 181 amended: No. 58 of 2004 s. 40.] </w:t>
      </w:r>
    </w:p>
    <w:p>
      <w:pPr>
        <w:pStyle w:val="Heading2"/>
      </w:pPr>
      <w:bookmarkStart w:id="371" w:name="_Toc180138893"/>
      <w:bookmarkStart w:id="372" w:name="_Toc180139228"/>
      <w:bookmarkStart w:id="373" w:name="_Toc180148204"/>
      <w:r>
        <w:rPr>
          <w:rStyle w:val="CharPartNo"/>
        </w:rPr>
        <w:lastRenderedPageBreak/>
        <w:t>Part 10</w:t>
      </w:r>
      <w:r>
        <w:rPr>
          <w:rStyle w:val="CharDivNo"/>
        </w:rPr>
        <w:t> </w:t>
      </w:r>
      <w:r>
        <w:t>—</w:t>
      </w:r>
      <w:r>
        <w:rPr>
          <w:rStyle w:val="CharDivText"/>
        </w:rPr>
        <w:t> </w:t>
      </w:r>
      <w:r>
        <w:rPr>
          <w:rStyle w:val="CharPartText"/>
        </w:rPr>
        <w:t>Miscellaneous</w:t>
      </w:r>
      <w:bookmarkEnd w:id="371"/>
      <w:bookmarkEnd w:id="372"/>
      <w:bookmarkEnd w:id="373"/>
      <w:r>
        <w:rPr>
          <w:rStyle w:val="CharPartText"/>
        </w:rPr>
        <w:t xml:space="preserve"> </w:t>
      </w:r>
    </w:p>
    <w:p>
      <w:pPr>
        <w:pStyle w:val="Heading5"/>
        <w:rPr>
          <w:snapToGrid w:val="0"/>
        </w:rPr>
      </w:pPr>
      <w:bookmarkStart w:id="374" w:name="_Toc180148205"/>
      <w:r>
        <w:rPr>
          <w:rStyle w:val="CharSectno"/>
        </w:rPr>
        <w:t>182</w:t>
      </w:r>
      <w:r>
        <w:rPr>
          <w:snapToGrid w:val="0"/>
        </w:rPr>
        <w:t>.</w:t>
      </w:r>
      <w:r>
        <w:rPr>
          <w:snapToGrid w:val="0"/>
        </w:rPr>
        <w:tab/>
        <w:t>Protection from legal liability</w:t>
      </w:r>
      <w:bookmarkEnd w:id="374"/>
      <w:r>
        <w:rPr>
          <w:snapToGrid w:val="0"/>
        </w:rPr>
        <w:t xml:space="preserve"> </w:t>
      </w:r>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75" w:name="_Toc180148206"/>
      <w:r>
        <w:rPr>
          <w:rStyle w:val="CharSectno"/>
        </w:rPr>
        <w:t>183</w:t>
      </w:r>
      <w:r>
        <w:rPr>
          <w:snapToGrid w:val="0"/>
        </w:rPr>
        <w:t>.</w:t>
      </w:r>
      <w:r>
        <w:rPr>
          <w:snapToGrid w:val="0"/>
        </w:rPr>
        <w:tab/>
        <w:t>Order to be defence to actions</w:t>
      </w:r>
      <w:bookmarkEnd w:id="375"/>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76" w:name="_Toc180148207"/>
      <w:r>
        <w:rPr>
          <w:rStyle w:val="CharSectno"/>
        </w:rPr>
        <w:lastRenderedPageBreak/>
        <w:t>184</w:t>
      </w:r>
      <w:r>
        <w:rPr>
          <w:snapToGrid w:val="0"/>
        </w:rPr>
        <w:t>.</w:t>
      </w:r>
      <w:r>
        <w:rPr>
          <w:snapToGrid w:val="0"/>
        </w:rPr>
        <w:tab/>
        <w:t>CEO may give consent in relation to detainee</w:t>
      </w:r>
      <w:bookmarkEnd w:id="376"/>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77" w:name="_Toc180148208"/>
      <w:r>
        <w:rPr>
          <w:rStyle w:val="CharSectno"/>
        </w:rPr>
        <w:t>185</w:t>
      </w:r>
      <w:r>
        <w:rPr>
          <w:snapToGrid w:val="0"/>
        </w:rPr>
        <w:t>.</w:t>
      </w:r>
      <w:r>
        <w:rPr>
          <w:snapToGrid w:val="0"/>
        </w:rPr>
        <w:tab/>
        <w:t>Minister may make certain payments</w:t>
      </w:r>
      <w:bookmarkEnd w:id="37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78" w:name="_Toc180148209"/>
      <w:r>
        <w:rPr>
          <w:rStyle w:val="CharSectno"/>
        </w:rPr>
        <w:t>186</w:t>
      </w:r>
      <w:r>
        <w:rPr>
          <w:snapToGrid w:val="0"/>
        </w:rPr>
        <w:t>.</w:t>
      </w:r>
      <w:r>
        <w:rPr>
          <w:snapToGrid w:val="0"/>
        </w:rPr>
        <w:tab/>
        <w:t>Officer of Department may conduct cases</w:t>
      </w:r>
      <w:bookmarkEnd w:id="378"/>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No. 84 of 2004 s. 80.]</w:t>
      </w:r>
    </w:p>
    <w:p>
      <w:pPr>
        <w:pStyle w:val="Heading5"/>
        <w:rPr>
          <w:snapToGrid w:val="0"/>
        </w:rPr>
      </w:pPr>
      <w:bookmarkStart w:id="379" w:name="_Toc180148210"/>
      <w:r>
        <w:rPr>
          <w:rStyle w:val="CharSectno"/>
        </w:rPr>
        <w:t>187</w:t>
      </w:r>
      <w:r>
        <w:rPr>
          <w:snapToGrid w:val="0"/>
        </w:rPr>
        <w:t>.</w:t>
      </w:r>
      <w:r>
        <w:rPr>
          <w:snapToGrid w:val="0"/>
        </w:rPr>
        <w:tab/>
        <w:t>Certificate of superintendent to be evidence</w:t>
      </w:r>
      <w:bookmarkEnd w:id="379"/>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lastRenderedPageBreak/>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rPr>
          <w:snapToGrid w:val="0"/>
        </w:rPr>
      </w:pPr>
      <w:bookmarkStart w:id="380" w:name="_Toc180148211"/>
      <w:r>
        <w:rPr>
          <w:rStyle w:val="CharSectno"/>
        </w:rPr>
        <w:t>188</w:t>
      </w:r>
      <w:r>
        <w:rPr>
          <w:snapToGrid w:val="0"/>
        </w:rPr>
        <w:t>.</w:t>
      </w:r>
      <w:r>
        <w:rPr>
          <w:snapToGrid w:val="0"/>
        </w:rPr>
        <w:tab/>
        <w:t>Person having charge of detainee has legal custody</w:t>
      </w:r>
      <w:bookmarkEnd w:id="380"/>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 xml:space="preserve">whilst attending, or travelling directly to or from, any activity organised or supervised by officers of the </w:t>
      </w:r>
      <w:r>
        <w:rPr>
          <w:snapToGrid w:val="0"/>
        </w:rPr>
        <w:lastRenderedPageBreak/>
        <w:t>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No. 47 of 1999 s. 46.]</w:t>
      </w:r>
    </w:p>
    <w:p>
      <w:pPr>
        <w:pStyle w:val="Heading5"/>
        <w:rPr>
          <w:snapToGrid w:val="0"/>
        </w:rPr>
      </w:pPr>
      <w:bookmarkStart w:id="381" w:name="_Toc180148212"/>
      <w:r>
        <w:rPr>
          <w:rStyle w:val="CharSectno"/>
        </w:rPr>
        <w:t>189</w:t>
      </w:r>
      <w:r>
        <w:rPr>
          <w:snapToGrid w:val="0"/>
        </w:rPr>
        <w:t>.</w:t>
      </w:r>
      <w:r>
        <w:rPr>
          <w:snapToGrid w:val="0"/>
        </w:rPr>
        <w:tab/>
        <w:t>Certain offenders to be regarded as not convicted</w:t>
      </w:r>
      <w:bookmarkEnd w:id="381"/>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pPr>
      <w:r>
        <w:tab/>
        <w:t>(c)</w:t>
      </w:r>
      <w:r>
        <w:tab/>
        <w:t xml:space="preserve">a court having regard to a conviction for the purposes of the </w:t>
      </w:r>
      <w:r>
        <w:rPr>
          <w:i/>
          <w:szCs w:val="24"/>
        </w:rPr>
        <w:t xml:space="preserve">High Risk Serious Offenders Act 2020 </w:t>
      </w:r>
      <w:r>
        <w:t>section 7(3); or</w:t>
      </w:r>
    </w:p>
    <w:p>
      <w:pPr>
        <w:pStyle w:val="Indenta"/>
      </w:pPr>
      <w:r>
        <w:tab/>
        <w:t>(d)</w:t>
      </w:r>
      <w:r>
        <w:tab/>
        <w:t>the making of a record of anything that paragraph (a), (b) or (c)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pPr>
        <w:pStyle w:val="Indenta"/>
        <w:rPr>
          <w:snapToGrid w:val="0"/>
        </w:rPr>
      </w:pPr>
      <w:r>
        <w:rPr>
          <w:snapToGrid w:val="0"/>
        </w:rPr>
        <w:lastRenderedPageBreak/>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No. 29 of 2008 s. 41(3); No. 8 of 2012 s. 203; No. 17 of 2016 s. 57; No. 29 of 2020 s. 121.]</w:t>
      </w:r>
    </w:p>
    <w:p>
      <w:pPr>
        <w:pStyle w:val="Heading5"/>
        <w:spacing w:before="180"/>
        <w:rPr>
          <w:snapToGrid w:val="0"/>
        </w:rPr>
      </w:pPr>
      <w:bookmarkStart w:id="382" w:name="_Toc180148213"/>
      <w:r>
        <w:rPr>
          <w:rStyle w:val="CharSectno"/>
        </w:rPr>
        <w:t>190</w:t>
      </w:r>
      <w:r>
        <w:rPr>
          <w:snapToGrid w:val="0"/>
        </w:rPr>
        <w:t>.</w:t>
      </w:r>
      <w:r>
        <w:rPr>
          <w:snapToGrid w:val="0"/>
        </w:rPr>
        <w:tab/>
        <w:t>Disclosure of certain convictions</w:t>
      </w:r>
      <w:bookmarkEnd w:id="38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pPr>
      <w:r>
        <w:tab/>
        <w:t>(2A)</w:t>
      </w:r>
      <w:r>
        <w:tab/>
        <w:t xml:space="preserve">This section does not prevent evidence of a conviction being received in proceedings under the </w:t>
      </w:r>
      <w:r>
        <w:rPr>
          <w:i/>
          <w:szCs w:val="24"/>
        </w:rPr>
        <w:t>High Risk Serious Offenders Act 2020</w:t>
      </w:r>
      <w:r>
        <w:t>.</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Footnotesection"/>
        <w:spacing w:before="80"/>
        <w:ind w:left="890" w:hanging="890"/>
      </w:pPr>
      <w:r>
        <w:tab/>
        <w:t>[Section 190 amended: No. 17 of 2016 s. 58; No. 29 of 2020 s. 121.]</w:t>
      </w:r>
    </w:p>
    <w:p>
      <w:pPr>
        <w:pStyle w:val="Heading5"/>
        <w:spacing w:before="180"/>
        <w:rPr>
          <w:snapToGrid w:val="0"/>
        </w:rPr>
      </w:pPr>
      <w:bookmarkStart w:id="383" w:name="_Toc180148214"/>
      <w:r>
        <w:rPr>
          <w:rStyle w:val="CharSectno"/>
        </w:rPr>
        <w:t>191</w:t>
      </w:r>
      <w:r>
        <w:rPr>
          <w:snapToGrid w:val="0"/>
        </w:rPr>
        <w:t>.</w:t>
      </w:r>
      <w:r>
        <w:rPr>
          <w:snapToGrid w:val="0"/>
        </w:rPr>
        <w:tab/>
        <w:t>Unlawfully communicating with detainee</w:t>
      </w:r>
      <w:bookmarkEnd w:id="383"/>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spacing w:before="180"/>
        <w:rPr>
          <w:snapToGrid w:val="0"/>
        </w:rPr>
      </w:pPr>
      <w:bookmarkStart w:id="384" w:name="_Toc180148215"/>
      <w:r>
        <w:rPr>
          <w:rStyle w:val="CharSectno"/>
        </w:rPr>
        <w:t>192</w:t>
      </w:r>
      <w:r>
        <w:rPr>
          <w:snapToGrid w:val="0"/>
        </w:rPr>
        <w:t>.</w:t>
      </w:r>
      <w:r>
        <w:rPr>
          <w:snapToGrid w:val="0"/>
        </w:rPr>
        <w:tab/>
        <w:t>Unlawfully remaining in detention centre</w:t>
      </w:r>
      <w:bookmarkEnd w:id="384"/>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spacing w:before="180"/>
        <w:rPr>
          <w:snapToGrid w:val="0"/>
        </w:rPr>
      </w:pPr>
      <w:bookmarkStart w:id="385" w:name="_Toc180148216"/>
      <w:r>
        <w:rPr>
          <w:rStyle w:val="CharSectno"/>
        </w:rPr>
        <w:lastRenderedPageBreak/>
        <w:t>193</w:t>
      </w:r>
      <w:r>
        <w:rPr>
          <w:snapToGrid w:val="0"/>
        </w:rPr>
        <w:t>.</w:t>
      </w:r>
      <w:r>
        <w:rPr>
          <w:snapToGrid w:val="0"/>
        </w:rPr>
        <w:tab/>
        <w:t>Escape from custody</w:t>
      </w:r>
      <w:bookmarkEnd w:id="385"/>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86" w:name="_Toc180148217"/>
      <w:r>
        <w:rPr>
          <w:rStyle w:val="CharSectno"/>
        </w:rPr>
        <w:t>193A</w:t>
      </w:r>
      <w:r>
        <w:t>.</w:t>
      </w:r>
      <w:r>
        <w:tab/>
        <w:t>Arrest warrant may be issued if warrant of commitment in force</w:t>
      </w:r>
      <w:bookmarkEnd w:id="386"/>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No. 58 of 2004 s. 41.]</w:t>
      </w:r>
    </w:p>
    <w:p>
      <w:pPr>
        <w:pStyle w:val="Heading5"/>
        <w:spacing w:before="180"/>
        <w:rPr>
          <w:snapToGrid w:val="0"/>
        </w:rPr>
      </w:pPr>
      <w:bookmarkStart w:id="387" w:name="_Toc180148218"/>
      <w:r>
        <w:rPr>
          <w:rStyle w:val="CharSectno"/>
        </w:rPr>
        <w:t>194</w:t>
      </w:r>
      <w:r>
        <w:rPr>
          <w:snapToGrid w:val="0"/>
        </w:rPr>
        <w:t>.</w:t>
      </w:r>
      <w:r>
        <w:rPr>
          <w:snapToGrid w:val="0"/>
        </w:rPr>
        <w:tab/>
        <w:t>Personating an officer</w:t>
      </w:r>
      <w:bookmarkEnd w:id="387"/>
      <w:r>
        <w:rPr>
          <w:snapToGrid w:val="0"/>
        </w:rPr>
        <w:t xml:space="preserve"> </w:t>
      </w:r>
    </w:p>
    <w:p>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pPr>
        <w:pStyle w:val="Footnotesection"/>
      </w:pPr>
      <w:r>
        <w:tab/>
        <w:t>[Section 194. Modifications to be applied in order to give effect to Cross-border Justice Act 2008: section altered 1 Dec 2009. See endnote 1M.]</w:t>
      </w:r>
    </w:p>
    <w:p>
      <w:pPr>
        <w:pStyle w:val="Heading5"/>
        <w:spacing w:before="180"/>
        <w:rPr>
          <w:snapToGrid w:val="0"/>
        </w:rPr>
      </w:pPr>
      <w:bookmarkStart w:id="388" w:name="_Toc180148219"/>
      <w:r>
        <w:rPr>
          <w:rStyle w:val="CharSectno"/>
        </w:rPr>
        <w:t>195</w:t>
      </w:r>
      <w:r>
        <w:rPr>
          <w:snapToGrid w:val="0"/>
        </w:rPr>
        <w:t>.</w:t>
      </w:r>
      <w:r>
        <w:rPr>
          <w:snapToGrid w:val="0"/>
        </w:rPr>
        <w:tab/>
        <w:t>General penalty</w:t>
      </w:r>
      <w:bookmarkEnd w:id="388"/>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89" w:name="_Toc180148220"/>
      <w:r>
        <w:rPr>
          <w:rStyle w:val="CharSectno"/>
        </w:rPr>
        <w:t>196</w:t>
      </w:r>
      <w:r>
        <w:rPr>
          <w:snapToGrid w:val="0"/>
        </w:rPr>
        <w:t>.</w:t>
      </w:r>
      <w:r>
        <w:rPr>
          <w:snapToGrid w:val="0"/>
        </w:rPr>
        <w:tab/>
        <w:t>Regulations</w:t>
      </w:r>
      <w:bookmarkEnd w:id="389"/>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lastRenderedPageBreak/>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No. 58 of 2004 s. 42.]</w:t>
      </w:r>
    </w:p>
    <w:p>
      <w:pPr>
        <w:pStyle w:val="Heading5"/>
        <w:rPr>
          <w:snapToGrid w:val="0"/>
        </w:rPr>
      </w:pPr>
      <w:bookmarkStart w:id="390" w:name="_Toc180148221"/>
      <w:r>
        <w:rPr>
          <w:rStyle w:val="CharSectno"/>
        </w:rPr>
        <w:t>197</w:t>
      </w:r>
      <w:r>
        <w:t>.</w:t>
      </w:r>
      <w:r>
        <w:tab/>
      </w:r>
      <w:r>
        <w:rPr>
          <w:snapToGrid w:val="0"/>
        </w:rPr>
        <w:t>Delegation of prescribed functions</w:t>
      </w:r>
      <w:bookmarkEnd w:id="39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No. 58 of 2004 s. 43.]</w:t>
      </w:r>
    </w:p>
    <w:p>
      <w:pPr>
        <w:pStyle w:val="Heading5"/>
      </w:pPr>
      <w:bookmarkStart w:id="391" w:name="_Toc180148222"/>
      <w:r>
        <w:rPr>
          <w:rStyle w:val="CharSectno"/>
        </w:rPr>
        <w:t>197A</w:t>
      </w:r>
      <w:r>
        <w:t>.</w:t>
      </w:r>
      <w:r>
        <w:tab/>
        <w:t>Delegation by Commissioner of Police</w:t>
      </w:r>
      <w:bookmarkEnd w:id="391"/>
    </w:p>
    <w:p>
      <w:pPr>
        <w:pStyle w:val="Subsection"/>
      </w:pPr>
      <w:r>
        <w:tab/>
        <w:t>(1)</w:t>
      </w:r>
      <w:r>
        <w:tab/>
        <w:t>The Commissioner of Police may, in writing signed by the Commissioner, delegate any of the Commissioner’s powers or duties under this Act to a police officer of or above the rank of Commander.</w:t>
      </w:r>
    </w:p>
    <w:p>
      <w:pPr>
        <w:pStyle w:val="Subsection"/>
      </w:pPr>
      <w:r>
        <w:tab/>
        <w:t>(2)</w:t>
      </w:r>
      <w:r>
        <w:tab/>
        <w:t>For the purposes of this Act, the exercise of a power or duty by a delegate under this section is taken to be the exercise of the power or duty by the Commissioner of Police.</w:t>
      </w:r>
    </w:p>
    <w:p>
      <w:pPr>
        <w:pStyle w:val="Subsection"/>
      </w:pPr>
      <w:r>
        <w:tab/>
        <w:t>(3)</w:t>
      </w:r>
      <w:r>
        <w:tab/>
        <w:t>A police officer to whom a power or duty is delegated under this section cannot delegate that power or duty to any other person.</w:t>
      </w:r>
    </w:p>
    <w:p>
      <w:pPr>
        <w:pStyle w:val="Footnotesection"/>
      </w:pPr>
      <w:r>
        <w:tab/>
        <w:t>[Section 197A inserted: No. 14 of 2022 s. 39.]</w:t>
      </w:r>
    </w:p>
    <w:p>
      <w:pPr>
        <w:pStyle w:val="Heading2"/>
      </w:pPr>
      <w:bookmarkStart w:id="392" w:name="_Toc180138912"/>
      <w:bookmarkStart w:id="393" w:name="_Toc180139247"/>
      <w:bookmarkStart w:id="394" w:name="_Toc180148223"/>
      <w:r>
        <w:rPr>
          <w:rStyle w:val="CharPartNo"/>
        </w:rPr>
        <w:lastRenderedPageBreak/>
        <w:t>Part 11</w:t>
      </w:r>
      <w:r>
        <w:t> — </w:t>
      </w:r>
      <w:r>
        <w:rPr>
          <w:rStyle w:val="CharPartText"/>
        </w:rPr>
        <w:t>Amendment of certain other Acts and transitional provisions</w:t>
      </w:r>
      <w:bookmarkEnd w:id="392"/>
      <w:bookmarkEnd w:id="393"/>
      <w:bookmarkEnd w:id="39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pPr>
      <w:bookmarkStart w:id="395" w:name="_Toc180138913"/>
      <w:bookmarkStart w:id="396" w:name="_Toc180139248"/>
      <w:bookmarkStart w:id="397" w:name="_Toc180148224"/>
      <w:r>
        <w:rPr>
          <w:rStyle w:val="CharDivNo"/>
        </w:rPr>
        <w:t>Division 3</w:t>
      </w:r>
      <w:r>
        <w:t> — </w:t>
      </w:r>
      <w:r>
        <w:rPr>
          <w:rStyle w:val="CharDivText"/>
        </w:rPr>
        <w:t>Transitional provisions</w:t>
      </w:r>
      <w:bookmarkEnd w:id="395"/>
      <w:bookmarkEnd w:id="396"/>
      <w:bookmarkEnd w:id="397"/>
    </w:p>
    <w:p>
      <w:pPr>
        <w:pStyle w:val="Footnoteheading"/>
        <w:tabs>
          <w:tab w:val="left" w:pos="851"/>
        </w:tabs>
      </w:pPr>
      <w:r>
        <w:tab/>
        <w:t>[Heading inserted: No. 15 of 2023 s. 13.]</w:t>
      </w:r>
    </w:p>
    <w:p>
      <w:pPr>
        <w:pStyle w:val="Heading4"/>
      </w:pPr>
      <w:bookmarkStart w:id="398" w:name="_Toc180138914"/>
      <w:bookmarkStart w:id="399" w:name="_Toc180139249"/>
      <w:bookmarkStart w:id="400" w:name="_Toc180148225"/>
      <w:r>
        <w:t>Subdivision 1 — General</w:t>
      </w:r>
      <w:bookmarkEnd w:id="398"/>
      <w:bookmarkEnd w:id="399"/>
      <w:bookmarkEnd w:id="400"/>
    </w:p>
    <w:p>
      <w:pPr>
        <w:pStyle w:val="Footnoteheading"/>
        <w:tabs>
          <w:tab w:val="left" w:pos="851"/>
        </w:tabs>
      </w:pPr>
      <w:r>
        <w:tab/>
        <w:t>[Heading inserted: No. 15 of 2023 s. 13.]</w:t>
      </w:r>
    </w:p>
    <w:p>
      <w:pPr>
        <w:pStyle w:val="Heading5"/>
        <w:rPr>
          <w:snapToGrid w:val="0"/>
        </w:rPr>
      </w:pPr>
      <w:bookmarkStart w:id="401" w:name="_Toc180148226"/>
      <w:r>
        <w:rPr>
          <w:rStyle w:val="CharSectno"/>
        </w:rPr>
        <w:t>231</w:t>
      </w:r>
      <w:r>
        <w:rPr>
          <w:snapToGrid w:val="0"/>
        </w:rPr>
        <w:t>.</w:t>
      </w:r>
      <w:r>
        <w:rPr>
          <w:snapToGrid w:val="0"/>
        </w:rPr>
        <w:tab/>
      </w:r>
      <w:r>
        <w:rPr>
          <w:i/>
          <w:snapToGrid w:val="0"/>
        </w:rPr>
        <w:t>Interpretation Act 1984</w:t>
      </w:r>
      <w:r>
        <w:rPr>
          <w:snapToGrid w:val="0"/>
        </w:rPr>
        <w:t xml:space="preserve"> applies</w:t>
      </w:r>
      <w:bookmarkEnd w:id="401"/>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402" w:name="_Toc180148227"/>
      <w:r>
        <w:rPr>
          <w:rStyle w:val="CharSectno"/>
        </w:rPr>
        <w:t>232</w:t>
      </w:r>
      <w:r>
        <w:rPr>
          <w:snapToGrid w:val="0"/>
        </w:rPr>
        <w:t>.</w:t>
      </w:r>
      <w:r>
        <w:rPr>
          <w:snapToGrid w:val="0"/>
        </w:rPr>
        <w:tab/>
        <w:t>Orders for past matters</w:t>
      </w:r>
      <w:bookmarkEnd w:id="402"/>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lastRenderedPageBreak/>
        <w:tab/>
      </w:r>
      <w:r>
        <w:rPr>
          <w:snapToGrid w:val="0"/>
        </w:rPr>
        <w:tab/>
        <w:t>as the case requires, before the commencement of the provision of this Act under which the order is made.</w:t>
      </w:r>
    </w:p>
    <w:p>
      <w:pPr>
        <w:pStyle w:val="Heading5"/>
        <w:rPr>
          <w:snapToGrid w:val="0"/>
        </w:rPr>
      </w:pPr>
      <w:bookmarkStart w:id="403" w:name="_Toc180148228"/>
      <w:r>
        <w:rPr>
          <w:rStyle w:val="CharSectno"/>
        </w:rPr>
        <w:t>233</w:t>
      </w:r>
      <w:r>
        <w:rPr>
          <w:snapToGrid w:val="0"/>
        </w:rPr>
        <w:t>.</w:t>
      </w:r>
      <w:r>
        <w:rPr>
          <w:snapToGrid w:val="0"/>
        </w:rPr>
        <w:tab/>
        <w:t>Orders under former provisions</w:t>
      </w:r>
      <w:bookmarkEnd w:id="403"/>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404" w:name="_Toc180148229"/>
      <w:r>
        <w:rPr>
          <w:rStyle w:val="CharSectno"/>
        </w:rPr>
        <w:t>234</w:t>
      </w:r>
      <w:r>
        <w:rPr>
          <w:snapToGrid w:val="0"/>
        </w:rPr>
        <w:t>.</w:t>
      </w:r>
      <w:r>
        <w:rPr>
          <w:snapToGrid w:val="0"/>
        </w:rPr>
        <w:tab/>
        <w:t xml:space="preserve">Detention centres under </w:t>
      </w:r>
      <w:r>
        <w:rPr>
          <w:i/>
          <w:snapToGrid w:val="0"/>
        </w:rPr>
        <w:t>Child Welfare Act 1947</w:t>
      </w:r>
      <w:bookmarkEnd w:id="40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405" w:name="_Toc180148230"/>
      <w:r>
        <w:rPr>
          <w:rStyle w:val="CharSectno"/>
        </w:rPr>
        <w:t>235</w:t>
      </w:r>
      <w:r>
        <w:rPr>
          <w:snapToGrid w:val="0"/>
        </w:rPr>
        <w:t>.</w:t>
      </w:r>
      <w:r>
        <w:rPr>
          <w:snapToGrid w:val="0"/>
        </w:rPr>
        <w:tab/>
        <w:t>Proceedings pending before children’s panels</w:t>
      </w:r>
      <w:bookmarkEnd w:id="40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4"/>
      </w:pPr>
      <w:bookmarkStart w:id="406" w:name="_Toc180138920"/>
      <w:bookmarkStart w:id="407" w:name="_Toc180139255"/>
      <w:bookmarkStart w:id="408" w:name="_Toc180148231"/>
      <w:r>
        <w:lastRenderedPageBreak/>
        <w:t xml:space="preserve">Subdivision 2 — Transitional provisions for </w:t>
      </w:r>
      <w:r>
        <w:rPr>
          <w:i/>
        </w:rPr>
        <w:t>Young Offenders Amendment Act 2023</w:t>
      </w:r>
      <w:bookmarkEnd w:id="406"/>
      <w:bookmarkEnd w:id="407"/>
      <w:bookmarkEnd w:id="408"/>
    </w:p>
    <w:p>
      <w:pPr>
        <w:pStyle w:val="Footnoteheading"/>
        <w:keepNext/>
        <w:tabs>
          <w:tab w:val="left" w:pos="851"/>
        </w:tabs>
      </w:pPr>
      <w:r>
        <w:tab/>
        <w:t>[Heading inserted: No. 15 of 2023 s. 14.]</w:t>
      </w:r>
    </w:p>
    <w:p>
      <w:pPr>
        <w:pStyle w:val="Heading5"/>
      </w:pPr>
      <w:bookmarkStart w:id="409" w:name="_Toc180148232"/>
      <w:r>
        <w:rPr>
          <w:rStyle w:val="CharSectno"/>
        </w:rPr>
        <w:t>235A</w:t>
      </w:r>
      <w:r>
        <w:t>.</w:t>
      </w:r>
      <w:r>
        <w:tab/>
        <w:t>Term used: commencement day</w:t>
      </w:r>
      <w:bookmarkEnd w:id="409"/>
    </w:p>
    <w:p>
      <w:pPr>
        <w:pStyle w:val="Subsection"/>
        <w:rPr>
          <w:snapToGrid w:val="0"/>
        </w:rPr>
      </w:pPr>
      <w:r>
        <w:rPr>
          <w:snapToGrid w:val="0"/>
        </w:rPr>
        <w:tab/>
      </w:r>
      <w:r>
        <w:rPr>
          <w:snapToGrid w:val="0"/>
        </w:rPr>
        <w:tab/>
        <w:t xml:space="preserve">In this Division — </w:t>
      </w:r>
    </w:p>
    <w:p>
      <w:pPr>
        <w:pStyle w:val="Defstart"/>
      </w:pPr>
      <w:r>
        <w:tab/>
      </w:r>
      <w:r>
        <w:rPr>
          <w:rStyle w:val="CharDefText"/>
        </w:rPr>
        <w:t>commencement day</w:t>
      </w:r>
      <w:r>
        <w:t xml:space="preserve"> means the day on which the </w:t>
      </w:r>
      <w:r>
        <w:rPr>
          <w:i/>
        </w:rPr>
        <w:t>Young Offenders Amendment Act 2023</w:t>
      </w:r>
      <w:r>
        <w:t xml:space="preserve"> section 4 comes into operation.</w:t>
      </w:r>
    </w:p>
    <w:p>
      <w:pPr>
        <w:pStyle w:val="Footnoteheading"/>
        <w:tabs>
          <w:tab w:val="left" w:pos="851"/>
        </w:tabs>
      </w:pPr>
      <w:r>
        <w:tab/>
        <w:t>[Section 235A inserted: No. 15 of 2023 s. 14.]</w:t>
      </w:r>
    </w:p>
    <w:p>
      <w:pPr>
        <w:pStyle w:val="Heading5"/>
      </w:pPr>
      <w:bookmarkStart w:id="410" w:name="_Toc180148233"/>
      <w:r>
        <w:rPr>
          <w:rStyle w:val="CharSectno"/>
        </w:rPr>
        <w:t>235B</w:t>
      </w:r>
      <w:r>
        <w:t>.</w:t>
      </w:r>
      <w:r>
        <w:tab/>
        <w:t>Young persons in detention on commencement day who have reached age of 18 years</w:t>
      </w:r>
      <w:bookmarkEnd w:id="410"/>
    </w:p>
    <w:p>
      <w:pPr>
        <w:pStyle w:val="Subsection"/>
      </w:pPr>
      <w:r>
        <w:tab/>
        <w:t>(1)</w:t>
      </w:r>
      <w:r>
        <w:tab/>
        <w:t xml:space="preserve">This section applies to a young person who — </w:t>
      </w:r>
    </w:p>
    <w:p>
      <w:pPr>
        <w:pStyle w:val="Indenta"/>
      </w:pPr>
      <w:r>
        <w:tab/>
        <w:t>(a)</w:t>
      </w:r>
      <w:r>
        <w:tab/>
        <w:t>has reached the age of 18 years before commencement day; and</w:t>
      </w:r>
    </w:p>
    <w:p>
      <w:pPr>
        <w:pStyle w:val="Indenta"/>
      </w:pPr>
      <w:r>
        <w:tab/>
        <w:t>(b)</w:t>
      </w:r>
      <w:r>
        <w:tab/>
        <w:t>is, on commencement day, detained in a detention centre under section 21(1) as in force immediately before commencement day.</w:t>
      </w:r>
    </w:p>
    <w:p>
      <w:pPr>
        <w:pStyle w:val="Subsection"/>
        <w:rPr>
          <w:snapToGrid w:val="0"/>
        </w:rPr>
      </w:pPr>
      <w:r>
        <w:tab/>
        <w:t>(2)</w:t>
      </w:r>
      <w:r>
        <w:tab/>
        <w:t xml:space="preserve">Section 21 applies to the young person </w:t>
      </w:r>
      <w:r>
        <w:rPr>
          <w:snapToGrid w:val="0"/>
        </w:rPr>
        <w:t>as if they reached the age of 18 years on commencement day.</w:t>
      </w:r>
    </w:p>
    <w:p>
      <w:pPr>
        <w:pStyle w:val="Footnoteheading"/>
        <w:tabs>
          <w:tab w:val="left" w:pos="851"/>
        </w:tabs>
      </w:pPr>
      <w:r>
        <w:tab/>
        <w:t>[Section 235B inserted: No. 15 of 2023 s. 14.]</w:t>
      </w:r>
    </w:p>
    <w:p>
      <w:pPr>
        <w:pStyle w:val="Heading5"/>
      </w:pPr>
      <w:bookmarkStart w:id="411" w:name="_Toc180148234"/>
      <w:r>
        <w:rPr>
          <w:rStyle w:val="CharSectno"/>
        </w:rPr>
        <w:t>235C</w:t>
      </w:r>
      <w:r>
        <w:t>.</w:t>
      </w:r>
      <w:r>
        <w:tab/>
        <w:t>Offenders in detention on commencement day who have reached age of 18 years</w:t>
      </w:r>
      <w:bookmarkEnd w:id="411"/>
    </w:p>
    <w:p>
      <w:pPr>
        <w:pStyle w:val="Subsection"/>
      </w:pPr>
      <w:r>
        <w:tab/>
        <w:t>(1)</w:t>
      </w:r>
      <w:r>
        <w:tab/>
        <w:t xml:space="preserve">This section applies to an offender who — </w:t>
      </w:r>
    </w:p>
    <w:p>
      <w:pPr>
        <w:pStyle w:val="Indenta"/>
      </w:pPr>
      <w:r>
        <w:tab/>
        <w:t>(a)</w:t>
      </w:r>
      <w:r>
        <w:tab/>
        <w:t>has reached the age of 18 years before commencement day; and</w:t>
      </w:r>
    </w:p>
    <w:p>
      <w:pPr>
        <w:pStyle w:val="Indenta"/>
      </w:pPr>
      <w:r>
        <w:tab/>
        <w:t>(b)</w:t>
      </w:r>
      <w:r>
        <w:tab/>
        <w:t>is, on commencement day, in a detention centre serving a sentence of detention or a sentence of imprisonment.</w:t>
      </w:r>
    </w:p>
    <w:p>
      <w:pPr>
        <w:pStyle w:val="Subsection"/>
        <w:rPr>
          <w:snapToGrid w:val="0"/>
        </w:rPr>
      </w:pPr>
      <w:r>
        <w:tab/>
        <w:t>(2)</w:t>
      </w:r>
      <w:r>
        <w:tab/>
        <w:t xml:space="preserve">Section 178A applies to the offender </w:t>
      </w:r>
      <w:r>
        <w:rPr>
          <w:snapToGrid w:val="0"/>
        </w:rPr>
        <w:t>as if they reached the age of 18 years on commencement day.</w:t>
      </w:r>
    </w:p>
    <w:p>
      <w:pPr>
        <w:pStyle w:val="Footnoteheading"/>
        <w:tabs>
          <w:tab w:val="left" w:pos="851"/>
        </w:tabs>
      </w:pPr>
      <w:r>
        <w:lastRenderedPageBreak/>
        <w:tab/>
        <w:t>[Section 235C inserted: No. 15 of 2023 s. 14.]</w:t>
      </w:r>
    </w:p>
    <w:p>
      <w:pPr>
        <w:pStyle w:val="Heading5"/>
      </w:pPr>
      <w:bookmarkStart w:id="412" w:name="_Toc180148235"/>
      <w:r>
        <w:rPr>
          <w:rStyle w:val="CharSectno"/>
        </w:rPr>
        <w:t>235D</w:t>
      </w:r>
      <w:r>
        <w:t>.</w:t>
      </w:r>
      <w:r>
        <w:tab/>
        <w:t>Applications not yet determined taken to be withdrawn</w:t>
      </w:r>
      <w:bookmarkEnd w:id="412"/>
    </w:p>
    <w:p>
      <w:pPr>
        <w:pStyle w:val="Subsection"/>
      </w:pPr>
      <w:r>
        <w:tab/>
        <w:t>(1)</w:t>
      </w:r>
      <w:r>
        <w:tab/>
        <w:t>An application under section 21(2) as in force immediately before commencement day that is made but not determined before commencement day is, on and from commencement day, taken to be withdrawn.</w:t>
      </w:r>
    </w:p>
    <w:p>
      <w:pPr>
        <w:pStyle w:val="Subsection"/>
      </w:pPr>
      <w:r>
        <w:tab/>
        <w:t>(2)</w:t>
      </w:r>
      <w:r>
        <w:tab/>
        <w:t>An application under section 178(1) as in force immediately before commencement day in relation to an offender who has reached the age of 18 years that is made but not determined before commencement day is, on and from commencement day, taken to be withdrawn.</w:t>
      </w:r>
    </w:p>
    <w:p>
      <w:pPr>
        <w:pStyle w:val="Footnoteheading"/>
        <w:tabs>
          <w:tab w:val="left" w:pos="851"/>
        </w:tabs>
      </w:pPr>
      <w:r>
        <w:tab/>
        <w:t>[Section 235D inserted: No. 15 of 2023 s. 14.]</w:t>
      </w:r>
    </w:p>
    <w:p>
      <w:pPr>
        <w:pStyle w:val="Heading3"/>
      </w:pPr>
      <w:bookmarkStart w:id="413" w:name="_Toc180138925"/>
      <w:bookmarkStart w:id="414" w:name="_Toc180139260"/>
      <w:bookmarkStart w:id="415" w:name="_Toc180148236"/>
      <w:r>
        <w:rPr>
          <w:rStyle w:val="CharDivNo"/>
        </w:rPr>
        <w:t>Division 4</w:t>
      </w:r>
      <w:r>
        <w:rPr>
          <w:snapToGrid w:val="0"/>
        </w:rPr>
        <w:t> — </w:t>
      </w:r>
      <w:r>
        <w:rPr>
          <w:rStyle w:val="CharDivText"/>
        </w:rPr>
        <w:t>Miscellaneous</w:t>
      </w:r>
      <w:bookmarkEnd w:id="413"/>
      <w:bookmarkEnd w:id="414"/>
      <w:bookmarkEnd w:id="415"/>
    </w:p>
    <w:p>
      <w:pPr>
        <w:pStyle w:val="Ednotesection"/>
      </w:pPr>
      <w:r>
        <w:t>[</w:t>
      </w:r>
      <w:r>
        <w:rPr>
          <w:b/>
        </w:rPr>
        <w:t>236.</w:t>
      </w:r>
      <w:r>
        <w:rPr>
          <w:b/>
        </w:rPr>
        <w:tab/>
      </w:r>
      <w:r>
        <w:t>Omitted under the Reprints Act 1984 s. 7(4)(e).]</w:t>
      </w:r>
    </w:p>
    <w:p>
      <w:pPr>
        <w:pStyle w:val="Heading5"/>
        <w:rPr>
          <w:snapToGrid w:val="0"/>
        </w:rPr>
      </w:pPr>
      <w:bookmarkStart w:id="416" w:name="_Toc180148237"/>
      <w:r>
        <w:rPr>
          <w:rStyle w:val="CharSectno"/>
        </w:rPr>
        <w:t>237</w:t>
      </w:r>
      <w:r>
        <w:rPr>
          <w:snapToGrid w:val="0"/>
        </w:rPr>
        <w:t>.</w:t>
      </w:r>
      <w:r>
        <w:rPr>
          <w:snapToGrid w:val="0"/>
        </w:rPr>
        <w:tab/>
        <w:t>Review of Act</w:t>
      </w:r>
      <w:bookmarkEnd w:id="416"/>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headerReference w:type="first" r:id="rId24"/>
          <w:pgSz w:w="11907" w:h="16840" w:code="9"/>
          <w:pgMar w:top="2376" w:right="2405" w:bottom="3542" w:left="2405" w:header="706" w:footer="3544" w:gutter="0"/>
          <w:pgNumType w:start="1"/>
          <w:cols w:space="720"/>
          <w:noEndnote/>
          <w:titlePg/>
          <w:docGrid w:linePitch="326"/>
        </w:sectPr>
      </w:pPr>
    </w:p>
    <w:p>
      <w:pPr>
        <w:pStyle w:val="yScheduleHeading"/>
        <w:outlineLvl w:val="0"/>
      </w:pPr>
      <w:bookmarkStart w:id="417" w:name="_Toc180138927"/>
      <w:bookmarkStart w:id="418" w:name="_Toc180139262"/>
      <w:bookmarkStart w:id="419" w:name="_Toc180148238"/>
      <w:r>
        <w:rPr>
          <w:rStyle w:val="CharSchNo"/>
        </w:rPr>
        <w:lastRenderedPageBreak/>
        <w:t>Schedule 1</w:t>
      </w:r>
      <w:r>
        <w:t> — </w:t>
      </w:r>
      <w:r>
        <w:rPr>
          <w:rStyle w:val="CharSchText"/>
        </w:rPr>
        <w:t>Schedule 1 offences</w:t>
      </w:r>
      <w:bookmarkEnd w:id="417"/>
      <w:bookmarkEnd w:id="418"/>
      <w:bookmarkEnd w:id="419"/>
    </w:p>
    <w:p>
      <w:pPr>
        <w:pStyle w:val="yShoulderClause"/>
        <w:rPr>
          <w:snapToGrid w:val="0"/>
        </w:rPr>
      </w:pPr>
      <w:r>
        <w:rPr>
          <w:snapToGrid w:val="0"/>
        </w:rPr>
        <w:t>[s. 3, 22, 25 and 55]</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Heading"/>
        <w:ind w:left="284" w:hanging="284"/>
        <w:jc w:val="left"/>
        <w:outlineLvl w:val="0"/>
        <w:rPr>
          <w:b/>
          <w:snapToGrid w:val="0"/>
        </w:rPr>
      </w:pPr>
      <w:r>
        <w:rPr>
          <w:b/>
          <w:snapToGrid w:val="0"/>
        </w:rPr>
        <w:t>•</w:t>
      </w:r>
      <w:r>
        <w:rPr>
          <w:b/>
          <w:snapToGrid w:val="0"/>
        </w:rPr>
        <w:tab/>
        <w:t>for which a caution cannot be given, and</w:t>
      </w:r>
    </w:p>
    <w:p>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pPr>
        <w:pStyle w:val="yMiscellaneousHeading"/>
        <w:spacing w:after="160"/>
        <w:ind w:left="284" w:hanging="284"/>
        <w:jc w:val="left"/>
        <w:outlineLvl w:val="0"/>
        <w:rPr>
          <w:b/>
          <w:snapToGrid w:val="0"/>
        </w:rPr>
      </w:pPr>
      <w:r>
        <w:rPr>
          <w:b/>
          <w:snapToGrid w:val="0"/>
        </w:rPr>
        <w:t>•</w:t>
      </w:r>
      <w:r>
        <w:rPr>
          <w:b/>
          <w:snapToGrid w:val="0"/>
        </w:rPr>
        <w:tab/>
        <w:t>for which a conviction will normally be recorded</w:t>
      </w:r>
    </w:p>
    <w:tbl>
      <w:tblPr>
        <w:tblW w:w="7088" w:type="dxa"/>
        <w:tblInd w:w="425" w:type="dxa"/>
        <w:tblLayout w:type="fixed"/>
        <w:tblCellMar>
          <w:left w:w="425" w:type="dxa"/>
          <w:right w:w="425" w:type="dxa"/>
        </w:tblCellMar>
        <w:tblLook w:val="0000" w:firstRow="0" w:lastRow="0" w:firstColumn="0" w:lastColumn="0" w:noHBand="0" w:noVBand="0"/>
      </w:tblPr>
      <w:tblGrid>
        <w:gridCol w:w="2492"/>
        <w:gridCol w:w="16"/>
        <w:gridCol w:w="44"/>
        <w:gridCol w:w="4536"/>
      </w:tblGrid>
      <w:tr>
        <w:trPr>
          <w:cantSplit/>
          <w:tblHeader/>
        </w:trPr>
        <w:tc>
          <w:tcPr>
            <w:tcW w:w="2552" w:type="dxa"/>
            <w:gridSpan w:val="3"/>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gridSpan w:val="3"/>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gridSpan w:val="3"/>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gridSpan w:val="3"/>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gridSpan w:val="3"/>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gridSpan w:val="3"/>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gridSpan w:val="3"/>
          </w:tcPr>
          <w:p>
            <w:pPr>
              <w:pStyle w:val="yTable"/>
              <w:ind w:firstLine="142"/>
            </w:pPr>
            <w:r>
              <w:t>s. 288</w:t>
            </w:r>
          </w:p>
        </w:tc>
        <w:tc>
          <w:tcPr>
            <w:tcW w:w="4536" w:type="dxa"/>
          </w:tcPr>
          <w:p>
            <w:pPr>
              <w:pStyle w:val="yTable"/>
              <w:ind w:right="-283" w:hanging="425"/>
            </w:pPr>
            <w:r>
              <w:t>Aiding suicide</w:t>
            </w:r>
          </w:p>
        </w:tc>
      </w:tr>
      <w:tr>
        <w:tc>
          <w:tcPr>
            <w:tcW w:w="2552" w:type="dxa"/>
            <w:gridSpan w:val="3"/>
          </w:tcPr>
          <w:p>
            <w:pPr>
              <w:pStyle w:val="yTable"/>
              <w:ind w:firstLine="142"/>
            </w:pPr>
            <w:r>
              <w:t>s. 290</w:t>
            </w:r>
          </w:p>
        </w:tc>
        <w:tc>
          <w:tcPr>
            <w:tcW w:w="4536" w:type="dxa"/>
          </w:tcPr>
          <w:p>
            <w:pPr>
              <w:pStyle w:val="yTable"/>
              <w:ind w:right="-283" w:hanging="425"/>
            </w:pPr>
            <w:r>
              <w:t>Killing unborn child</w:t>
            </w:r>
          </w:p>
        </w:tc>
      </w:tr>
      <w:tr>
        <w:tc>
          <w:tcPr>
            <w:tcW w:w="2552" w:type="dxa"/>
            <w:gridSpan w:val="3"/>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gridSpan w:val="3"/>
          </w:tcPr>
          <w:p>
            <w:pPr>
              <w:pStyle w:val="yTable"/>
              <w:ind w:firstLine="142"/>
            </w:pPr>
            <w:r>
              <w:t>s. 295</w:t>
            </w:r>
          </w:p>
        </w:tc>
        <w:tc>
          <w:tcPr>
            <w:tcW w:w="4536" w:type="dxa"/>
          </w:tcPr>
          <w:p>
            <w:pPr>
              <w:pStyle w:val="yTable"/>
              <w:ind w:right="-283" w:hanging="425"/>
            </w:pPr>
            <w:r>
              <w:t>Preventing escape from wreck</w:t>
            </w:r>
          </w:p>
        </w:tc>
      </w:tr>
      <w:tr>
        <w:tc>
          <w:tcPr>
            <w:tcW w:w="2552" w:type="dxa"/>
            <w:gridSpan w:val="3"/>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gridSpan w:val="3"/>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gridSpan w:val="3"/>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gridSpan w:val="3"/>
          </w:tcPr>
          <w:p>
            <w:pPr>
              <w:pStyle w:val="yTable"/>
              <w:ind w:firstLine="142"/>
            </w:pPr>
            <w:r>
              <w:lastRenderedPageBreak/>
              <w:t>s. 320(2)</w:t>
            </w:r>
          </w:p>
        </w:tc>
        <w:tc>
          <w:tcPr>
            <w:tcW w:w="4536" w:type="dxa"/>
          </w:tcPr>
          <w:p>
            <w:pPr>
              <w:pStyle w:val="yTable"/>
              <w:ind w:right="-283" w:hanging="425"/>
            </w:pPr>
            <w:r>
              <w:t>Sexually penetrating a child under 13</w:t>
            </w:r>
          </w:p>
        </w:tc>
      </w:tr>
      <w:tr>
        <w:trPr>
          <w:cantSplit/>
        </w:trPr>
        <w:tc>
          <w:tcPr>
            <w:tcW w:w="2552" w:type="dxa"/>
            <w:gridSpan w:val="3"/>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gridSpan w:val="3"/>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gridSpan w:val="3"/>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gridSpan w:val="3"/>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gridSpan w:val="3"/>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gridSpan w:val="3"/>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gridSpan w:val="3"/>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gridSpan w:val="3"/>
          </w:tcPr>
          <w:p>
            <w:pPr>
              <w:pStyle w:val="yTable"/>
              <w:ind w:firstLine="142"/>
            </w:pPr>
            <w:r>
              <w:t>s. 331B</w:t>
            </w:r>
          </w:p>
        </w:tc>
        <w:tc>
          <w:tcPr>
            <w:tcW w:w="4536" w:type="dxa"/>
          </w:tcPr>
          <w:p>
            <w:pPr>
              <w:pStyle w:val="yTable"/>
              <w:ind w:right="-283" w:hanging="425"/>
            </w:pPr>
            <w:r>
              <w:t>Sexual servitude</w:t>
            </w:r>
          </w:p>
        </w:tc>
      </w:tr>
      <w:tr>
        <w:tc>
          <w:tcPr>
            <w:tcW w:w="2552" w:type="dxa"/>
            <w:gridSpan w:val="3"/>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gridSpan w:val="3"/>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gridSpan w:val="3"/>
          </w:tcPr>
          <w:p>
            <w:pPr>
              <w:pStyle w:val="yTable"/>
              <w:ind w:firstLine="142"/>
            </w:pPr>
            <w:r>
              <w:t>s. 343</w:t>
            </w:r>
          </w:p>
        </w:tc>
        <w:tc>
          <w:tcPr>
            <w:tcW w:w="4536" w:type="dxa"/>
          </w:tcPr>
          <w:p>
            <w:pPr>
              <w:pStyle w:val="yTable"/>
              <w:ind w:right="-283" w:hanging="425"/>
            </w:pPr>
            <w:r>
              <w:t>Child stealing</w:t>
            </w:r>
          </w:p>
        </w:tc>
      </w:tr>
      <w:tr>
        <w:tc>
          <w:tcPr>
            <w:tcW w:w="2552" w:type="dxa"/>
            <w:gridSpan w:val="3"/>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gridSpan w:val="3"/>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gridSpan w:val="3"/>
          </w:tcPr>
          <w:p>
            <w:pPr>
              <w:pStyle w:val="yTable"/>
              <w:ind w:firstLine="142"/>
            </w:pPr>
            <w:r>
              <w:t>s. 449</w:t>
            </w:r>
          </w:p>
        </w:tc>
        <w:tc>
          <w:tcPr>
            <w:tcW w:w="4536" w:type="dxa"/>
          </w:tcPr>
          <w:p>
            <w:pPr>
              <w:pStyle w:val="yTable"/>
              <w:ind w:right="-283" w:hanging="425"/>
            </w:pPr>
            <w:r>
              <w:t>Casting away ships</w:t>
            </w:r>
          </w:p>
        </w:tc>
      </w:tr>
      <w:tr>
        <w:tc>
          <w:tcPr>
            <w:tcW w:w="2552" w:type="dxa"/>
            <w:gridSpan w:val="3"/>
          </w:tcPr>
          <w:p>
            <w:pPr>
              <w:pStyle w:val="yTable"/>
              <w:ind w:firstLine="142"/>
            </w:pPr>
            <w:r>
              <w:t>s. 451</w:t>
            </w:r>
          </w:p>
        </w:tc>
        <w:tc>
          <w:tcPr>
            <w:tcW w:w="4536" w:type="dxa"/>
          </w:tcPr>
          <w:p>
            <w:pPr>
              <w:pStyle w:val="yTable"/>
              <w:ind w:right="-283" w:hanging="425"/>
            </w:pPr>
            <w:r>
              <w:t>Obstructing and injuring railways</w:t>
            </w:r>
          </w:p>
        </w:tc>
      </w:tr>
      <w:tr>
        <w:tc>
          <w:tcPr>
            <w:tcW w:w="2552" w:type="dxa"/>
            <w:gridSpan w:val="3"/>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gridSpan w:val="3"/>
          </w:tcPr>
          <w:p>
            <w:pPr>
              <w:pStyle w:val="yTable"/>
              <w:keepNext/>
              <w:keepLines/>
              <w:ind w:firstLine="142"/>
            </w:pPr>
            <w:r>
              <w:lastRenderedPageBreak/>
              <w:t>s. 454</w:t>
            </w:r>
          </w:p>
        </w:tc>
        <w:tc>
          <w:tcPr>
            <w:tcW w:w="4536" w:type="dxa"/>
          </w:tcPr>
          <w:p>
            <w:pPr>
              <w:pStyle w:val="yTable"/>
              <w:keepNext/>
              <w:keepLines/>
              <w:ind w:right="-283" w:hanging="425"/>
            </w:pPr>
            <w:r>
              <w:t>Causing explosion likely to do serious injury to property</w:t>
            </w:r>
          </w:p>
        </w:tc>
      </w:tr>
      <w:tr>
        <w:tc>
          <w:tcPr>
            <w:tcW w:w="2552" w:type="dxa"/>
            <w:gridSpan w:val="3"/>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gridSpan w:val="3"/>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gridSpan w:val="3"/>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gridSpan w:val="3"/>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gridSpan w:val="3"/>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gridSpan w:val="3"/>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gridSpan w:val="3"/>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gridSpan w:val="3"/>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4"/>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gridSpan w:val="3"/>
          </w:tcPr>
          <w:p>
            <w:pPr>
              <w:pStyle w:val="yTable"/>
              <w:ind w:left="142"/>
            </w:pPr>
            <w:r>
              <w:t>s. 49</w:t>
            </w:r>
          </w:p>
        </w:tc>
        <w:tc>
          <w:tcPr>
            <w:tcW w:w="4536" w:type="dxa"/>
          </w:tcPr>
          <w:p>
            <w:pPr>
              <w:pStyle w:val="yTable"/>
              <w:ind w:right="-283" w:hanging="425"/>
            </w:pPr>
            <w:r>
              <w:t>Driving without the appropriate driver’s licence</w:t>
            </w:r>
          </w:p>
        </w:tc>
      </w:tr>
      <w:tr>
        <w:tc>
          <w:tcPr>
            <w:tcW w:w="2552" w:type="dxa"/>
            <w:gridSpan w:val="3"/>
          </w:tcPr>
          <w:p>
            <w:pPr>
              <w:pStyle w:val="yTable"/>
              <w:ind w:left="142"/>
            </w:pPr>
            <w:r>
              <w:t>s. 60</w:t>
            </w:r>
          </w:p>
        </w:tc>
        <w:tc>
          <w:tcPr>
            <w:tcW w:w="4536" w:type="dxa"/>
          </w:tcPr>
          <w:p>
            <w:pPr>
              <w:pStyle w:val="yTable"/>
              <w:ind w:right="-283" w:hanging="425"/>
            </w:pPr>
            <w:r>
              <w:t>Driving in reckless manner</w:t>
            </w:r>
          </w:p>
        </w:tc>
      </w:tr>
      <w:tr>
        <w:tc>
          <w:tcPr>
            <w:tcW w:w="2552" w:type="dxa"/>
            <w:gridSpan w:val="3"/>
          </w:tcPr>
          <w:p>
            <w:pPr>
              <w:pStyle w:val="yTable"/>
              <w:ind w:left="142"/>
            </w:pPr>
            <w:r>
              <w:t>s. 60A</w:t>
            </w:r>
          </w:p>
        </w:tc>
        <w:tc>
          <w:tcPr>
            <w:tcW w:w="4536" w:type="dxa"/>
          </w:tcPr>
          <w:p>
            <w:pPr>
              <w:pStyle w:val="yTable"/>
              <w:ind w:right="-283" w:hanging="425"/>
            </w:pPr>
            <w:r>
              <w:t xml:space="preserve">Driving at reckless speed </w:t>
            </w:r>
          </w:p>
        </w:tc>
      </w:tr>
      <w:tr>
        <w:tc>
          <w:tcPr>
            <w:tcW w:w="2552" w:type="dxa"/>
            <w:gridSpan w:val="3"/>
          </w:tcPr>
          <w:p>
            <w:pPr>
              <w:pStyle w:val="yTable"/>
              <w:ind w:left="142"/>
            </w:pPr>
            <w:r>
              <w:t>s. 61</w:t>
            </w:r>
          </w:p>
        </w:tc>
        <w:tc>
          <w:tcPr>
            <w:tcW w:w="4536" w:type="dxa"/>
          </w:tcPr>
          <w:p>
            <w:pPr>
              <w:pStyle w:val="yTable"/>
              <w:ind w:right="-283" w:hanging="425"/>
            </w:pPr>
            <w:r>
              <w:t>Dangerous driving</w:t>
            </w:r>
          </w:p>
        </w:tc>
      </w:tr>
      <w:tr>
        <w:tc>
          <w:tcPr>
            <w:tcW w:w="2552" w:type="dxa"/>
            <w:gridSpan w:val="3"/>
          </w:tcPr>
          <w:p>
            <w:pPr>
              <w:pStyle w:val="yTable"/>
              <w:ind w:left="142"/>
            </w:pPr>
            <w:r>
              <w:t>s. 62</w:t>
            </w:r>
          </w:p>
        </w:tc>
        <w:tc>
          <w:tcPr>
            <w:tcW w:w="4536" w:type="dxa"/>
          </w:tcPr>
          <w:p>
            <w:pPr>
              <w:pStyle w:val="yTable"/>
              <w:ind w:right="-283" w:hanging="425"/>
            </w:pPr>
            <w:r>
              <w:t>Careless driving</w:t>
            </w:r>
          </w:p>
        </w:tc>
      </w:tr>
      <w:tr>
        <w:tc>
          <w:tcPr>
            <w:tcW w:w="2552" w:type="dxa"/>
            <w:gridSpan w:val="3"/>
          </w:tcPr>
          <w:p>
            <w:pPr>
              <w:pStyle w:val="yTable"/>
              <w:ind w:left="142"/>
            </w:pPr>
            <w:r>
              <w:t>s. 62A</w:t>
            </w:r>
          </w:p>
        </w:tc>
        <w:tc>
          <w:tcPr>
            <w:tcW w:w="4536" w:type="dxa"/>
          </w:tcPr>
          <w:p>
            <w:pPr>
              <w:pStyle w:val="yTable"/>
              <w:ind w:right="-283" w:hanging="425"/>
            </w:pPr>
            <w:r>
              <w:t>Causing excessive noise or smoke from vehicle’s tyres</w:t>
            </w:r>
          </w:p>
        </w:tc>
      </w:tr>
      <w:tr>
        <w:tc>
          <w:tcPr>
            <w:tcW w:w="2552" w:type="dxa"/>
            <w:gridSpan w:val="3"/>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gridSpan w:val="3"/>
          </w:tcPr>
          <w:p>
            <w:pPr>
              <w:pStyle w:val="yTable"/>
              <w:ind w:left="142"/>
            </w:pPr>
            <w:r>
              <w:t>s. 64AB</w:t>
            </w:r>
          </w:p>
        </w:tc>
        <w:tc>
          <w:tcPr>
            <w:tcW w:w="4536" w:type="dxa"/>
          </w:tcPr>
          <w:p>
            <w:pPr>
              <w:pStyle w:val="yTable"/>
              <w:ind w:right="-283" w:hanging="425"/>
            </w:pPr>
            <w:r>
              <w:t>Driving while impaired by drugs</w:t>
            </w:r>
          </w:p>
        </w:tc>
      </w:tr>
      <w:tr>
        <w:tc>
          <w:tcPr>
            <w:tcW w:w="2552" w:type="dxa"/>
            <w:gridSpan w:val="3"/>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gridSpan w:val="3"/>
          </w:tcPr>
          <w:p>
            <w:pPr>
              <w:pStyle w:val="yTable"/>
              <w:ind w:left="142"/>
            </w:pPr>
            <w:r>
              <w:t>s. 64</w:t>
            </w:r>
          </w:p>
        </w:tc>
        <w:tc>
          <w:tcPr>
            <w:tcW w:w="4536" w:type="dxa"/>
          </w:tcPr>
          <w:p>
            <w:pPr>
              <w:pStyle w:val="yTable"/>
              <w:ind w:right="-283" w:hanging="425"/>
            </w:pPr>
            <w:r>
              <w:t>Driving with 0.08g/100ml blood alcohol content</w:t>
            </w:r>
          </w:p>
        </w:tc>
      </w:tr>
      <w:tr>
        <w:tc>
          <w:tcPr>
            <w:tcW w:w="2552" w:type="dxa"/>
            <w:gridSpan w:val="3"/>
          </w:tcPr>
          <w:p>
            <w:pPr>
              <w:pStyle w:val="yTable"/>
              <w:ind w:left="142"/>
            </w:pPr>
            <w:r>
              <w:lastRenderedPageBreak/>
              <w:t>s. 64AA</w:t>
            </w:r>
          </w:p>
        </w:tc>
        <w:tc>
          <w:tcPr>
            <w:tcW w:w="4536" w:type="dxa"/>
          </w:tcPr>
          <w:p>
            <w:pPr>
              <w:pStyle w:val="yTable"/>
              <w:ind w:right="-283" w:hanging="425"/>
            </w:pPr>
            <w:r>
              <w:t>Driving with 0.05g/100ml blood alcohol content</w:t>
            </w:r>
          </w:p>
        </w:tc>
      </w:tr>
      <w:tr>
        <w:tc>
          <w:tcPr>
            <w:tcW w:w="2552" w:type="dxa"/>
            <w:gridSpan w:val="3"/>
          </w:tcPr>
          <w:p>
            <w:pPr>
              <w:pStyle w:val="yTable"/>
              <w:ind w:left="142"/>
            </w:pPr>
            <w:r>
              <w:t>s. 64A</w:t>
            </w:r>
          </w:p>
        </w:tc>
        <w:tc>
          <w:tcPr>
            <w:tcW w:w="4536" w:type="dxa"/>
          </w:tcPr>
          <w:p>
            <w:pPr>
              <w:pStyle w:val="yTable"/>
              <w:ind w:right="-283" w:hanging="425"/>
            </w:pPr>
            <w:r>
              <w:t>Driving with 0.02g/100ml blood alcohol content</w:t>
            </w:r>
          </w:p>
        </w:tc>
      </w:tr>
      <w:tr>
        <w:tc>
          <w:tcPr>
            <w:tcW w:w="2552" w:type="dxa"/>
            <w:gridSpan w:val="3"/>
          </w:tcPr>
          <w:p>
            <w:pPr>
              <w:pStyle w:val="yTable"/>
              <w:ind w:left="142"/>
            </w:pPr>
            <w:r>
              <w:t>s. 64B</w:t>
            </w:r>
          </w:p>
        </w:tc>
        <w:tc>
          <w:tcPr>
            <w:tcW w:w="4536" w:type="dxa"/>
          </w:tcPr>
          <w:p>
            <w:pPr>
              <w:pStyle w:val="yTable"/>
              <w:ind w:right="-283" w:hanging="425"/>
            </w:pPr>
            <w:r>
              <w:t>Driving with blood alcohol content of or above 0.05g/100ml with prescribed illicit drug in oral fluid or blood</w:t>
            </w:r>
          </w:p>
        </w:tc>
      </w:tr>
      <w:tr>
        <w:tc>
          <w:tcPr>
            <w:tcW w:w="2552" w:type="dxa"/>
            <w:gridSpan w:val="3"/>
          </w:tcPr>
          <w:p>
            <w:pPr>
              <w:pStyle w:val="yTable"/>
              <w:ind w:left="142"/>
            </w:pPr>
            <w:r>
              <w:t>s. 64C</w:t>
            </w:r>
          </w:p>
        </w:tc>
        <w:tc>
          <w:tcPr>
            <w:tcW w:w="4536" w:type="dxa"/>
          </w:tcPr>
          <w:p>
            <w:pPr>
              <w:pStyle w:val="yTable"/>
              <w:ind w:right="-283" w:hanging="425"/>
            </w:pPr>
            <w:r>
              <w:t>Certain persons driving with any blood alcohol content with prescribed illicit drug in oral fluid or blood</w:t>
            </w:r>
          </w:p>
        </w:tc>
      </w:tr>
      <w:tr>
        <w:tc>
          <w:tcPr>
            <w:tcW w:w="2552" w:type="dxa"/>
            <w:gridSpan w:val="3"/>
          </w:tcPr>
          <w:p>
            <w:pPr>
              <w:pStyle w:val="yTable"/>
              <w:ind w:left="142"/>
            </w:pPr>
            <w:r>
              <w:t>s. 67</w:t>
            </w:r>
          </w:p>
        </w:tc>
        <w:tc>
          <w:tcPr>
            <w:tcW w:w="4536" w:type="dxa"/>
          </w:tcPr>
          <w:p>
            <w:pPr>
              <w:pStyle w:val="yTable"/>
              <w:ind w:right="-283" w:hanging="425"/>
            </w:pPr>
            <w:r>
              <w:t>Failure to comply with s. 66 requirement to provide sample, allow sample to be taken or to accompany police officer</w:t>
            </w:r>
          </w:p>
        </w:tc>
      </w:tr>
      <w:tr>
        <w:trPr>
          <w:cantSplit/>
        </w:trPr>
        <w:tc>
          <w:tcPr>
            <w:tcW w:w="2552" w:type="dxa"/>
            <w:gridSpan w:val="3"/>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gridSpan w:val="3"/>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r>
        <w:tc>
          <w:tcPr>
            <w:tcW w:w="2552" w:type="dxa"/>
            <w:gridSpan w:val="3"/>
          </w:tcPr>
          <w:p>
            <w:pPr>
              <w:pStyle w:val="yTable"/>
              <w:ind w:left="142"/>
            </w:pPr>
            <w:r>
              <w:t>s. 67AC</w:t>
            </w:r>
          </w:p>
        </w:tc>
        <w:tc>
          <w:tcPr>
            <w:tcW w:w="4536" w:type="dxa"/>
          </w:tcPr>
          <w:p>
            <w:pPr>
              <w:pStyle w:val="yTable"/>
              <w:ind w:right="-283" w:hanging="425"/>
              <w:rPr>
                <w:snapToGrid w:val="0"/>
              </w:rPr>
            </w:pPr>
            <w:r>
              <w:t>Failure to comply with drug test requirement for certain persons with any blood alcohol content</w:t>
            </w:r>
          </w:p>
        </w:tc>
      </w:tr>
      <w:tr>
        <w:tc>
          <w:tcPr>
            <w:tcW w:w="2552" w:type="dxa"/>
            <w:gridSpan w:val="3"/>
          </w:tcPr>
          <w:p>
            <w:pPr>
              <w:pStyle w:val="yTable"/>
              <w:ind w:left="142"/>
            </w:pPr>
            <w:r>
              <w:t>s. 67AD</w:t>
            </w:r>
          </w:p>
        </w:tc>
        <w:tc>
          <w:tcPr>
            <w:tcW w:w="4536" w:type="dxa"/>
          </w:tcPr>
          <w:p>
            <w:pPr>
              <w:pStyle w:val="yTable"/>
              <w:ind w:right="-283" w:hanging="425"/>
              <w:rPr>
                <w:snapToGrid w:val="0"/>
              </w:rPr>
            </w:pPr>
            <w:r>
              <w:t>Failure to comply with drug test requirement for persons with blood alcohol content of or above 0.05g/100ml</w:t>
            </w:r>
          </w:p>
        </w:tc>
      </w:tr>
      <w:tr>
        <w:tc>
          <w:tcPr>
            <w:tcW w:w="2552" w:type="dxa"/>
            <w:gridSpan w:val="3"/>
          </w:tcPr>
          <w:p>
            <w:pPr>
              <w:pStyle w:val="yTable"/>
              <w:ind w:left="142"/>
            </w:pPr>
            <w:r>
              <w:t>s. 67A</w:t>
            </w:r>
          </w:p>
        </w:tc>
        <w:tc>
          <w:tcPr>
            <w:tcW w:w="4536" w:type="dxa"/>
          </w:tcPr>
          <w:p>
            <w:pPr>
              <w:pStyle w:val="yTable"/>
              <w:ind w:right="-283" w:hanging="425"/>
              <w:rPr>
                <w:snapToGrid w:val="0"/>
              </w:rPr>
            </w:pPr>
            <w:r>
              <w:t>Failure to comply with other requirements made under s. 66 to 66E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88" w:type="dxa"/>
            <w:gridSpan w:val="4"/>
            <w:tcBorders>
              <w:top w:val="nil"/>
              <w:left w:val="nil"/>
              <w:bottom w:val="nil"/>
              <w:right w:val="nil"/>
            </w:tcBorders>
            <w:noWrap/>
          </w:tcPr>
          <w:p>
            <w:pPr>
              <w:pStyle w:val="yTableNAm"/>
              <w:keepNext/>
              <w:rPr>
                <w:b/>
              </w:rPr>
            </w:pPr>
            <w:r>
              <w:rPr>
                <w:b/>
              </w:rPr>
              <w:t>4.</w:t>
            </w:r>
            <w:r>
              <w:rPr>
                <w:b/>
              </w:rPr>
              <w:tab/>
            </w:r>
            <w:r>
              <w:rPr>
                <w:b/>
                <w:i/>
              </w:rPr>
              <w:t>Western Australian Marine Act 1982</w:t>
            </w:r>
          </w:p>
        </w:tc>
      </w:tr>
      <w:tr>
        <w:tc>
          <w:tcPr>
            <w:tcW w:w="2508" w:type="dxa"/>
            <w:gridSpan w:val="2"/>
            <w:noWrap/>
          </w:tcPr>
          <w:p>
            <w:pPr>
              <w:pStyle w:val="yTable"/>
              <w:ind w:left="142"/>
            </w:pPr>
            <w:r>
              <w:t>s. 75BD(1)</w:t>
            </w:r>
          </w:p>
        </w:tc>
        <w:tc>
          <w:tcPr>
            <w:tcW w:w="4580" w:type="dxa"/>
            <w:gridSpan w:val="2"/>
            <w:noWrap/>
          </w:tcPr>
          <w:p>
            <w:pPr>
              <w:pStyle w:val="yTable"/>
              <w:ind w:right="-283" w:hanging="425"/>
            </w:pPr>
            <w:r>
              <w:t>Reckless navigation of vessel</w:t>
            </w:r>
          </w:p>
        </w:tc>
      </w:tr>
      <w:tr>
        <w:tc>
          <w:tcPr>
            <w:tcW w:w="2492" w:type="dxa"/>
            <w:noWrap/>
          </w:tcPr>
          <w:p>
            <w:pPr>
              <w:pStyle w:val="yTable"/>
              <w:ind w:left="142"/>
            </w:pPr>
            <w:r>
              <w:t>s. 75BE(1)</w:t>
            </w:r>
          </w:p>
        </w:tc>
        <w:tc>
          <w:tcPr>
            <w:tcW w:w="4596" w:type="dxa"/>
            <w:gridSpan w:val="3"/>
            <w:noWrap/>
          </w:tcPr>
          <w:p>
            <w:pPr>
              <w:pStyle w:val="yTable"/>
              <w:ind w:right="-283" w:hanging="425"/>
            </w:pPr>
            <w:r>
              <w:t>Dangerous navigation of vessel</w:t>
            </w:r>
          </w:p>
        </w:tc>
      </w:tr>
      <w:tr>
        <w:tc>
          <w:tcPr>
            <w:tcW w:w="2492" w:type="dxa"/>
            <w:noWrap/>
          </w:tcPr>
          <w:p>
            <w:pPr>
              <w:pStyle w:val="yTable"/>
              <w:ind w:left="142"/>
            </w:pPr>
            <w:r>
              <w:t>s. 75BF</w:t>
            </w:r>
          </w:p>
        </w:tc>
        <w:tc>
          <w:tcPr>
            <w:tcW w:w="4596" w:type="dxa"/>
            <w:gridSpan w:val="3"/>
            <w:noWrap/>
          </w:tcPr>
          <w:p>
            <w:pPr>
              <w:pStyle w:val="yTable"/>
              <w:ind w:right="-283" w:hanging="425"/>
            </w:pPr>
            <w:r>
              <w:t>Careless navigation of vessel</w:t>
            </w:r>
          </w:p>
        </w:tc>
      </w:tr>
      <w:tr>
        <w:tc>
          <w:tcPr>
            <w:tcW w:w="2492" w:type="dxa"/>
            <w:noWrap/>
          </w:tcPr>
          <w:p>
            <w:pPr>
              <w:pStyle w:val="yTable"/>
              <w:ind w:left="142"/>
            </w:pPr>
            <w:r>
              <w:t>s. 75C(1)</w:t>
            </w:r>
          </w:p>
        </w:tc>
        <w:tc>
          <w:tcPr>
            <w:tcW w:w="4596" w:type="dxa"/>
            <w:gridSpan w:val="3"/>
            <w:noWrap/>
          </w:tcPr>
          <w:p>
            <w:pPr>
              <w:pStyle w:val="yTable"/>
              <w:ind w:right="-283" w:hanging="425"/>
            </w:pPr>
            <w:r>
              <w:t>Navigation or attempted operation of vessel while under influence of alcohol or drugs</w:t>
            </w:r>
          </w:p>
        </w:tc>
      </w:tr>
      <w:tr>
        <w:tc>
          <w:tcPr>
            <w:tcW w:w="2492" w:type="dxa"/>
            <w:noWrap/>
          </w:tcPr>
          <w:p>
            <w:pPr>
              <w:pStyle w:val="yTable"/>
              <w:ind w:left="142"/>
            </w:pPr>
            <w:r>
              <w:t>s. 75CA(1)</w:t>
            </w:r>
          </w:p>
        </w:tc>
        <w:tc>
          <w:tcPr>
            <w:tcW w:w="4596" w:type="dxa"/>
            <w:gridSpan w:val="3"/>
            <w:noWrap/>
          </w:tcPr>
          <w:p>
            <w:pPr>
              <w:pStyle w:val="yTable"/>
              <w:ind w:right="-283" w:hanging="425"/>
            </w:pPr>
            <w:r>
              <w:t>Navigation or attempted operation of vessel while under influence of alcohol and drugs</w:t>
            </w:r>
          </w:p>
        </w:tc>
      </w:tr>
      <w:tr>
        <w:tc>
          <w:tcPr>
            <w:tcW w:w="2508" w:type="dxa"/>
            <w:gridSpan w:val="2"/>
            <w:noWrap/>
          </w:tcPr>
          <w:p>
            <w:pPr>
              <w:pStyle w:val="yTable"/>
              <w:ind w:left="142"/>
            </w:pPr>
            <w:r>
              <w:t>s. 75CD(1)</w:t>
            </w:r>
          </w:p>
        </w:tc>
        <w:tc>
          <w:tcPr>
            <w:tcW w:w="4580" w:type="dxa"/>
            <w:gridSpan w:val="2"/>
            <w:noWrap/>
          </w:tcPr>
          <w:p>
            <w:pPr>
              <w:pStyle w:val="yTable"/>
              <w:ind w:right="-283" w:hanging="425"/>
            </w:pPr>
            <w:r>
              <w:t>Navigation or attempted operation of vessel while impaired by drug</w:t>
            </w:r>
          </w:p>
        </w:tc>
      </w:tr>
      <w:tr>
        <w:tc>
          <w:tcPr>
            <w:tcW w:w="2492" w:type="dxa"/>
            <w:noWrap/>
          </w:tcPr>
          <w:p>
            <w:pPr>
              <w:pStyle w:val="yTable"/>
              <w:ind w:left="142"/>
            </w:pPr>
            <w:r>
              <w:lastRenderedPageBreak/>
              <w:t>s. 75D(1)</w:t>
            </w:r>
          </w:p>
        </w:tc>
        <w:tc>
          <w:tcPr>
            <w:tcW w:w="4596" w:type="dxa"/>
            <w:gridSpan w:val="3"/>
            <w:noWrap/>
          </w:tcPr>
          <w:p>
            <w:pPr>
              <w:pStyle w:val="yTable"/>
              <w:ind w:right="-283" w:hanging="425"/>
            </w:pPr>
            <w:r>
              <w:t>Navigation or attempted operation of vessel while BAC is 0.05 or above</w:t>
            </w:r>
          </w:p>
        </w:tc>
      </w:tr>
      <w:tr>
        <w:tc>
          <w:tcPr>
            <w:tcW w:w="2508" w:type="dxa"/>
            <w:gridSpan w:val="2"/>
            <w:noWrap/>
          </w:tcPr>
          <w:p>
            <w:pPr>
              <w:pStyle w:val="yTable"/>
              <w:ind w:left="142"/>
            </w:pPr>
            <w:r>
              <w:t>s. 75DA(1)</w:t>
            </w:r>
          </w:p>
        </w:tc>
        <w:tc>
          <w:tcPr>
            <w:tcW w:w="4580" w:type="dxa"/>
            <w:gridSpan w:val="2"/>
            <w:noWrap/>
          </w:tcPr>
          <w:p>
            <w:pPr>
              <w:pStyle w:val="yTable"/>
              <w:ind w:right="-283" w:hanging="425"/>
            </w:pPr>
            <w:r>
              <w:t>Navigation or attempted operation of vessel while BAC is 0.08 or above</w:t>
            </w:r>
          </w:p>
        </w:tc>
      </w:tr>
      <w:tr>
        <w:tc>
          <w:tcPr>
            <w:tcW w:w="2508" w:type="dxa"/>
            <w:gridSpan w:val="2"/>
            <w:noWrap/>
          </w:tcPr>
          <w:p>
            <w:pPr>
              <w:pStyle w:val="yTable"/>
              <w:ind w:left="142"/>
            </w:pPr>
            <w:r>
              <w:t>s. 75DB(1)</w:t>
            </w:r>
          </w:p>
        </w:tc>
        <w:tc>
          <w:tcPr>
            <w:tcW w:w="4580" w:type="dxa"/>
            <w:gridSpan w:val="2"/>
            <w:noWrap/>
          </w:tcPr>
          <w:p>
            <w:pPr>
              <w:pStyle w:val="yTable"/>
              <w:ind w:right="-283" w:hanging="425"/>
            </w:pPr>
            <w:r>
              <w:t>Navigation of vessel while prescribed illicit drug present in body</w:t>
            </w:r>
          </w:p>
        </w:tc>
      </w:tr>
      <w:tr>
        <w:tc>
          <w:tcPr>
            <w:tcW w:w="2508" w:type="dxa"/>
            <w:gridSpan w:val="2"/>
            <w:noWrap/>
          </w:tcPr>
          <w:p>
            <w:pPr>
              <w:pStyle w:val="yTable"/>
              <w:ind w:left="142"/>
            </w:pPr>
            <w:r>
              <w:t>s. 75DC(1)</w:t>
            </w:r>
          </w:p>
        </w:tc>
        <w:tc>
          <w:tcPr>
            <w:tcW w:w="4580" w:type="dxa"/>
            <w:gridSpan w:val="2"/>
            <w:noWrap/>
          </w:tcPr>
          <w:p>
            <w:pPr>
              <w:pStyle w:val="yTable"/>
              <w:ind w:right="-283" w:hanging="425"/>
            </w:pPr>
            <w:r>
              <w:t>Navigation of vessel while BAC is 0.05 or above and prescribed illicit drug is present in body</w:t>
            </w:r>
          </w:p>
        </w:tc>
      </w:tr>
      <w:tr>
        <w:tc>
          <w:tcPr>
            <w:tcW w:w="2508" w:type="dxa"/>
            <w:gridSpan w:val="2"/>
            <w:noWrap/>
          </w:tcPr>
          <w:p>
            <w:pPr>
              <w:pStyle w:val="yTable"/>
              <w:ind w:left="142"/>
            </w:pPr>
            <w:r>
              <w:t>s. 75DD(1)</w:t>
            </w:r>
          </w:p>
        </w:tc>
        <w:tc>
          <w:tcPr>
            <w:tcW w:w="4580" w:type="dxa"/>
            <w:gridSpan w:val="2"/>
            <w:noWrap/>
          </w:tcPr>
          <w:p>
            <w:pPr>
              <w:pStyle w:val="yTable"/>
              <w:ind w:right="-283" w:hanging="425"/>
            </w:pPr>
            <w:r>
              <w:t>Navigation of vessel while BAC is 0.08 or above and prescribed illicit drug is present in body</w:t>
            </w:r>
          </w:p>
        </w:tc>
      </w:tr>
      <w:tr>
        <w:tc>
          <w:tcPr>
            <w:tcW w:w="2508" w:type="dxa"/>
            <w:gridSpan w:val="2"/>
            <w:noWrap/>
          </w:tcPr>
          <w:p>
            <w:pPr>
              <w:pStyle w:val="yTable"/>
              <w:ind w:left="142"/>
            </w:pPr>
            <w:r>
              <w:t>s. 75H(1)</w:t>
            </w:r>
          </w:p>
        </w:tc>
        <w:tc>
          <w:tcPr>
            <w:tcW w:w="4580" w:type="dxa"/>
            <w:gridSpan w:val="2"/>
            <w:noWrap/>
          </w:tcPr>
          <w:p>
            <w:pPr>
              <w:pStyle w:val="yTable"/>
              <w:ind w:right="-283" w:hanging="425"/>
            </w:pPr>
            <w:r>
              <w:t>Failure to comply with requirement relating to preliminary breath test, preliminary oral fluid test or boarding or moving vessel</w:t>
            </w:r>
          </w:p>
        </w:tc>
      </w:tr>
      <w:tr>
        <w:tc>
          <w:tcPr>
            <w:tcW w:w="2508" w:type="dxa"/>
            <w:gridSpan w:val="2"/>
            <w:noWrap/>
          </w:tcPr>
          <w:p>
            <w:pPr>
              <w:pStyle w:val="yTable"/>
              <w:ind w:left="142"/>
            </w:pPr>
            <w:r>
              <w:t>s. 75HB(1)</w:t>
            </w:r>
          </w:p>
        </w:tc>
        <w:tc>
          <w:tcPr>
            <w:tcW w:w="4580" w:type="dxa"/>
            <w:gridSpan w:val="2"/>
            <w:noWrap/>
          </w:tcPr>
          <w:p>
            <w:pPr>
              <w:pStyle w:val="yTable"/>
              <w:ind w:right="-283" w:hanging="425"/>
            </w:pPr>
            <w:r>
              <w:t>Failure to comply with requirement relating to breath analysis, blood sample or stop vessel or navigate to specified place</w:t>
            </w:r>
          </w:p>
        </w:tc>
      </w:tr>
      <w:tr>
        <w:tc>
          <w:tcPr>
            <w:tcW w:w="2508" w:type="dxa"/>
            <w:gridSpan w:val="2"/>
            <w:noWrap/>
          </w:tcPr>
          <w:p>
            <w:pPr>
              <w:pStyle w:val="yTable"/>
              <w:ind w:left="142"/>
            </w:pPr>
            <w:r>
              <w:t>s. 75HC(1)</w:t>
            </w:r>
          </w:p>
        </w:tc>
        <w:tc>
          <w:tcPr>
            <w:tcW w:w="4580" w:type="dxa"/>
            <w:gridSpan w:val="2"/>
            <w:noWrap/>
          </w:tcPr>
          <w:p>
            <w:pPr>
              <w:pStyle w:val="yTable"/>
              <w:ind w:right="-283" w:hanging="425"/>
            </w:pPr>
            <w:r>
              <w:t>Failure to comply with requirement relating to incident occasioning death, grievous bodily harm or bodily harm</w:t>
            </w:r>
          </w:p>
        </w:tc>
      </w:tr>
      <w:tr>
        <w:tc>
          <w:tcPr>
            <w:tcW w:w="2508" w:type="dxa"/>
            <w:gridSpan w:val="2"/>
            <w:noWrap/>
          </w:tcPr>
          <w:p>
            <w:pPr>
              <w:pStyle w:val="yTable"/>
              <w:ind w:left="142"/>
            </w:pPr>
            <w:r>
              <w:t>s. 75HD(1)</w:t>
            </w:r>
          </w:p>
        </w:tc>
        <w:tc>
          <w:tcPr>
            <w:tcW w:w="4580" w:type="dxa"/>
            <w:gridSpan w:val="2"/>
            <w:noWrap/>
          </w:tcPr>
          <w:p>
            <w:pPr>
              <w:pStyle w:val="yTable"/>
              <w:ind w:right="-283" w:hanging="425"/>
            </w:pPr>
            <w:r>
              <w:t>Failure to comply with requirement relating to oral fluid sample for drug testing or blood sample for analysis</w:t>
            </w:r>
          </w:p>
        </w:tc>
      </w:tr>
      <w:tr>
        <w:tc>
          <w:tcPr>
            <w:tcW w:w="2508" w:type="dxa"/>
            <w:gridSpan w:val="2"/>
            <w:noWrap/>
          </w:tcPr>
          <w:p>
            <w:pPr>
              <w:pStyle w:val="yTable"/>
              <w:ind w:left="142"/>
            </w:pPr>
            <w:r>
              <w:t>s. 75HE(1)</w:t>
            </w:r>
          </w:p>
        </w:tc>
        <w:tc>
          <w:tcPr>
            <w:tcW w:w="4580" w:type="dxa"/>
            <w:gridSpan w:val="2"/>
            <w:noWrap/>
          </w:tcPr>
          <w:p>
            <w:pPr>
              <w:pStyle w:val="yTable"/>
              <w:ind w:right="-283" w:hanging="425"/>
            </w:pPr>
            <w:r>
              <w:t>Failure to comply with requirements relating to assessment of drug impairment</w:t>
            </w:r>
          </w:p>
        </w:tc>
      </w:tr>
      <w:tr>
        <w:tc>
          <w:tcPr>
            <w:tcW w:w="2508" w:type="dxa"/>
            <w:gridSpan w:val="2"/>
            <w:noWrap/>
          </w:tcPr>
          <w:p>
            <w:pPr>
              <w:pStyle w:val="yTable"/>
              <w:ind w:left="142"/>
            </w:pPr>
            <w:r>
              <w:t>s. 75HG(1)</w:t>
            </w:r>
          </w:p>
        </w:tc>
        <w:tc>
          <w:tcPr>
            <w:tcW w:w="4580" w:type="dxa"/>
            <w:gridSpan w:val="2"/>
            <w:noWrap/>
          </w:tcPr>
          <w:p>
            <w:pPr>
              <w:pStyle w:val="yTable"/>
              <w:ind w:right="-283" w:hanging="425"/>
            </w:pPr>
            <w:r>
              <w:t>Failure to comply with drug testing requirement when BAC of 0.05 or above</w:t>
            </w:r>
          </w:p>
        </w:tc>
      </w:tr>
      <w:tr>
        <w:tc>
          <w:tcPr>
            <w:tcW w:w="2508" w:type="dxa"/>
            <w:gridSpan w:val="2"/>
            <w:noWrap/>
          </w:tcPr>
          <w:p>
            <w:pPr>
              <w:pStyle w:val="yTable"/>
              <w:ind w:left="142"/>
            </w:pPr>
            <w:r>
              <w:t>s. 75HH(1)</w:t>
            </w:r>
          </w:p>
        </w:tc>
        <w:tc>
          <w:tcPr>
            <w:tcW w:w="4580" w:type="dxa"/>
            <w:gridSpan w:val="2"/>
            <w:noWrap/>
          </w:tcPr>
          <w:p>
            <w:pPr>
              <w:pStyle w:val="yTable"/>
              <w:ind w:right="-283" w:hanging="425"/>
            </w:pPr>
            <w:r>
              <w:t>Failure to comply with drug testing requirement when BAC of 0.08 or above</w:t>
            </w:r>
          </w:p>
        </w:tc>
      </w:tr>
      <w:tr>
        <w:tc>
          <w:tcPr>
            <w:tcW w:w="2508" w:type="dxa"/>
            <w:gridSpan w:val="2"/>
            <w:noWrap/>
          </w:tcPr>
          <w:p>
            <w:pPr>
              <w:pStyle w:val="yTable"/>
              <w:ind w:left="142"/>
            </w:pPr>
            <w:r>
              <w:t>s. 75HI(1)</w:t>
            </w:r>
          </w:p>
        </w:tc>
        <w:tc>
          <w:tcPr>
            <w:tcW w:w="4580" w:type="dxa"/>
            <w:gridSpan w:val="2"/>
            <w:noWrap/>
          </w:tcPr>
          <w:p>
            <w:pPr>
              <w:pStyle w:val="yTable"/>
              <w:ind w:right="-283" w:hanging="425"/>
            </w:pPr>
            <w:r>
              <w:t>Failure to comply with drug testing requirement when BAC of 0.15 or above</w:t>
            </w:r>
          </w:p>
        </w:tc>
      </w:tr>
    </w:tbl>
    <w:p>
      <w:pPr>
        <w:pStyle w:val="yFootnotesection"/>
      </w:pPr>
      <w:r>
        <w:tab/>
        <w:t xml:space="preserve">[Schedule 1 amended: No. 82 of 1994 s. 13(6); No. 4 of 2004 s. 24 and 26; No. 58 of 2004 s. 44; No. 62 of 2004 s. 9(4); No. 6 of 2007 s. 23; No. 39 of 2007 s. 42; No. 29 of 2008 s. 41(4); No. 25 of 2016 s. 21(2); No. 51 of 2016 s. 56; No. 27 of 2020 s. 52; No. 31 of 2023 s. 39(2).] </w:t>
      </w:r>
    </w:p>
    <w:p>
      <w:pPr>
        <w:pStyle w:val="yScheduleHeading"/>
        <w:outlineLvl w:val="0"/>
      </w:pPr>
      <w:bookmarkStart w:id="420" w:name="_Toc180138928"/>
      <w:bookmarkStart w:id="421" w:name="_Toc180139263"/>
      <w:bookmarkStart w:id="422" w:name="_Toc180148239"/>
      <w:r>
        <w:rPr>
          <w:rStyle w:val="CharSchNo"/>
        </w:rPr>
        <w:lastRenderedPageBreak/>
        <w:t>Schedule 2</w:t>
      </w:r>
      <w:r>
        <w:t> — </w:t>
      </w:r>
      <w:r>
        <w:rPr>
          <w:rStyle w:val="CharSchText"/>
        </w:rPr>
        <w:t>Schedule 2 offences</w:t>
      </w:r>
      <w:bookmarkEnd w:id="420"/>
      <w:bookmarkEnd w:id="421"/>
      <w:bookmarkEnd w:id="422"/>
    </w:p>
    <w:p>
      <w:pPr>
        <w:pStyle w:val="yShoulderClause"/>
        <w:rPr>
          <w:snapToGrid w:val="0"/>
        </w:rPr>
      </w:pPr>
      <w:r>
        <w:rPr>
          <w:snapToGrid w:val="0"/>
        </w:rPr>
        <w:t>[s. 3, 22, 25, 55 and 124]</w:t>
      </w:r>
    </w:p>
    <w:p>
      <w:pPr>
        <w:pStyle w:val="yFootnoteheading"/>
        <w:rPr>
          <w:b/>
          <w:snapToGrid w:val="0"/>
        </w:rPr>
      </w:pPr>
      <w:r>
        <w:tab/>
        <w:t>[Heading amended: No. 19 of 2010 s. 4.]</w:t>
      </w:r>
    </w:p>
    <w:p>
      <w:pPr>
        <w:pStyle w:val="yMiscellaneousHeading"/>
        <w:jc w:val="left"/>
        <w:outlineLvl w:val="0"/>
        <w:rPr>
          <w:b/>
          <w:snapToGrid w:val="0"/>
        </w:rPr>
      </w:pPr>
      <w:r>
        <w:rPr>
          <w:b/>
          <w:snapToGrid w:val="0"/>
        </w:rPr>
        <w:t>Offences — </w:t>
      </w:r>
    </w:p>
    <w:p>
      <w:pPr>
        <w:pStyle w:val="yMiscellaneousBody"/>
        <w:numPr>
          <w:ilvl w:val="0"/>
          <w:numId w:val="1"/>
        </w:numPr>
        <w:tabs>
          <w:tab w:val="clear" w:pos="720"/>
        </w:tabs>
        <w:ind w:left="426" w:hanging="426"/>
        <w:rPr>
          <w:b/>
          <w:snapToGrid w:val="0"/>
        </w:rPr>
      </w:pPr>
      <w:r>
        <w:rPr>
          <w:b/>
          <w:snapToGrid w:val="0"/>
        </w:rPr>
        <w:t>for which a caution cannot be given, and</w:t>
      </w:r>
    </w:p>
    <w:p>
      <w:pPr>
        <w:pStyle w:val="yMiscellaneousBody"/>
        <w:numPr>
          <w:ilvl w:val="0"/>
          <w:numId w:val="1"/>
        </w:numPr>
        <w:tabs>
          <w:tab w:val="clear" w:pos="720"/>
        </w:tabs>
        <w:ind w:left="426" w:hanging="426"/>
        <w:rPr>
          <w:b/>
          <w:snapToGrid w:val="0"/>
        </w:rPr>
      </w:pPr>
      <w:r>
        <w:rPr>
          <w:b/>
          <w:snapToGrid w:val="0"/>
        </w:rPr>
        <w:t>which cannot be referred to a juvenile justice team, and</w:t>
      </w:r>
    </w:p>
    <w:p>
      <w:pPr>
        <w:pStyle w:val="yMiscellaneousBody"/>
        <w:numPr>
          <w:ilvl w:val="0"/>
          <w:numId w:val="1"/>
        </w:numPr>
        <w:tabs>
          <w:tab w:val="clear" w:pos="720"/>
        </w:tabs>
        <w:ind w:left="426" w:hanging="426"/>
        <w:rPr>
          <w:b/>
          <w:snapToGrid w:val="0"/>
        </w:rPr>
      </w:pPr>
      <w:r>
        <w:rPr>
          <w:b/>
          <w:snapToGrid w:val="0"/>
        </w:rPr>
        <w:t>for which a conviction will normally be recorded, and</w:t>
      </w:r>
    </w:p>
    <w:p>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7090" w:type="dxa"/>
        <w:tblInd w:w="425" w:type="dxa"/>
        <w:tblLayout w:type="fixed"/>
        <w:tblCellMar>
          <w:left w:w="425" w:type="dxa"/>
          <w:right w:w="425" w:type="dxa"/>
        </w:tblCellMar>
        <w:tblLook w:val="0000" w:firstRow="0" w:lastRow="0" w:firstColumn="0" w:lastColumn="0" w:noHBand="0" w:noVBand="0"/>
      </w:tblPr>
      <w:tblGrid>
        <w:gridCol w:w="2492"/>
        <w:gridCol w:w="16"/>
        <w:gridCol w:w="4582"/>
      </w:tblGrid>
      <w:tr>
        <w:trPr>
          <w:tblHeader/>
        </w:trPr>
        <w:tc>
          <w:tcPr>
            <w:tcW w:w="2508" w:type="dxa"/>
            <w:gridSpan w:val="2"/>
            <w:tcBorders>
              <w:top w:val="single" w:sz="4" w:space="0" w:color="auto"/>
              <w:bottom w:val="single" w:sz="4" w:space="0" w:color="auto"/>
            </w:tcBorders>
          </w:tcPr>
          <w:p>
            <w:pPr>
              <w:pStyle w:val="yTableNAm"/>
              <w:rPr>
                <w:b/>
              </w:rPr>
            </w:pPr>
            <w:r>
              <w:rPr>
                <w:b/>
              </w:rPr>
              <w:t>Enactment</w:t>
            </w:r>
          </w:p>
        </w:tc>
        <w:tc>
          <w:tcPr>
            <w:tcW w:w="4582" w:type="dxa"/>
            <w:tcBorders>
              <w:top w:val="single" w:sz="4" w:space="0" w:color="auto"/>
              <w:bottom w:val="single" w:sz="4" w:space="0" w:color="auto"/>
            </w:tcBorders>
          </w:tcPr>
          <w:p>
            <w:pPr>
              <w:pStyle w:val="yTableNAm"/>
              <w:tabs>
                <w:tab w:val="clear" w:pos="567"/>
              </w:tabs>
              <w:ind w:left="-239"/>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rPr>
            </w:pPr>
            <w:r>
              <w:rPr>
                <w:b/>
              </w:rPr>
              <w:t>1.</w:t>
            </w:r>
            <w:r>
              <w:rPr>
                <w:b/>
              </w:rPr>
              <w:tab/>
            </w:r>
            <w:r>
              <w:rPr>
                <w:b/>
                <w:i/>
              </w:rPr>
              <w:t>The Criminal Code</w:t>
            </w:r>
          </w:p>
        </w:tc>
      </w:tr>
      <w:tr>
        <w:tc>
          <w:tcPr>
            <w:tcW w:w="2508" w:type="dxa"/>
            <w:gridSpan w:val="2"/>
          </w:tcPr>
          <w:p>
            <w:pPr>
              <w:pStyle w:val="yTableNAm"/>
              <w:rPr>
                <w:szCs w:val="22"/>
              </w:rPr>
            </w:pPr>
            <w:r>
              <w:t>s. 221E(1)</w:t>
            </w:r>
          </w:p>
        </w:tc>
        <w:tc>
          <w:tcPr>
            <w:tcW w:w="4582" w:type="dxa"/>
          </w:tcPr>
          <w:p>
            <w:pPr>
              <w:pStyle w:val="yTableNAm"/>
              <w:tabs>
                <w:tab w:val="clear" w:pos="567"/>
              </w:tabs>
              <w:ind w:left="-239"/>
              <w:jc w:val="both"/>
            </w:pPr>
            <w:r>
              <w:t>Participating in activities of criminal organisation</w:t>
            </w:r>
          </w:p>
        </w:tc>
      </w:tr>
      <w:tr>
        <w:tc>
          <w:tcPr>
            <w:tcW w:w="2508" w:type="dxa"/>
            <w:gridSpan w:val="2"/>
          </w:tcPr>
          <w:p>
            <w:pPr>
              <w:pStyle w:val="yTableNAm"/>
            </w:pPr>
            <w:r>
              <w:t>s. 221F(1)</w:t>
            </w:r>
          </w:p>
        </w:tc>
        <w:tc>
          <w:tcPr>
            <w:tcW w:w="4582" w:type="dxa"/>
          </w:tcPr>
          <w:p>
            <w:pPr>
              <w:pStyle w:val="yTableNAm"/>
              <w:tabs>
                <w:tab w:val="clear" w:pos="567"/>
              </w:tabs>
              <w:ind w:left="-239"/>
            </w:pPr>
            <w:r>
              <w:t>Instructing commission of offence for benefit of criminal organisation</w:t>
            </w:r>
          </w:p>
        </w:tc>
      </w:tr>
      <w:tr>
        <w:tc>
          <w:tcPr>
            <w:tcW w:w="2508" w:type="dxa"/>
            <w:gridSpan w:val="2"/>
          </w:tcPr>
          <w:p>
            <w:pPr>
              <w:pStyle w:val="yTableNAm"/>
              <w:rPr>
                <w:szCs w:val="22"/>
              </w:rPr>
            </w:pPr>
            <w:r>
              <w:rPr>
                <w:szCs w:val="22"/>
              </w:rPr>
              <w:t>s. 279</w:t>
            </w:r>
          </w:p>
        </w:tc>
        <w:tc>
          <w:tcPr>
            <w:tcW w:w="4582" w:type="dxa"/>
          </w:tcPr>
          <w:p>
            <w:pPr>
              <w:pStyle w:val="yTableNAm"/>
              <w:tabs>
                <w:tab w:val="clear" w:pos="567"/>
              </w:tabs>
              <w:ind w:left="-239"/>
            </w:pPr>
            <w:r>
              <w:t>Murder</w:t>
            </w:r>
          </w:p>
        </w:tc>
      </w:tr>
      <w:tr>
        <w:tc>
          <w:tcPr>
            <w:tcW w:w="2508" w:type="dxa"/>
            <w:gridSpan w:val="2"/>
          </w:tcPr>
          <w:p>
            <w:pPr>
              <w:pStyle w:val="yTableNAm"/>
              <w:rPr>
                <w:szCs w:val="22"/>
              </w:rPr>
            </w:pPr>
            <w:r>
              <w:rPr>
                <w:szCs w:val="22"/>
              </w:rPr>
              <w:t>s. 280</w:t>
            </w:r>
          </w:p>
        </w:tc>
        <w:tc>
          <w:tcPr>
            <w:tcW w:w="4582" w:type="dxa"/>
          </w:tcPr>
          <w:p>
            <w:pPr>
              <w:pStyle w:val="yTableNAm"/>
              <w:tabs>
                <w:tab w:val="clear" w:pos="567"/>
              </w:tabs>
              <w:ind w:left="-239"/>
            </w:pPr>
            <w:r>
              <w:t>Manslaughter</w:t>
            </w:r>
          </w:p>
        </w:tc>
      </w:tr>
      <w:tr>
        <w:tc>
          <w:tcPr>
            <w:tcW w:w="2508" w:type="dxa"/>
            <w:gridSpan w:val="2"/>
          </w:tcPr>
          <w:p>
            <w:pPr>
              <w:pStyle w:val="yTableNAm"/>
              <w:rPr>
                <w:szCs w:val="22"/>
              </w:rPr>
            </w:pPr>
            <w:r>
              <w:rPr>
                <w:szCs w:val="22"/>
              </w:rPr>
              <w:t>s. 281</w:t>
            </w:r>
          </w:p>
        </w:tc>
        <w:tc>
          <w:tcPr>
            <w:tcW w:w="4582" w:type="dxa"/>
          </w:tcPr>
          <w:p>
            <w:pPr>
              <w:pStyle w:val="yTableNAm"/>
              <w:tabs>
                <w:tab w:val="clear" w:pos="567"/>
              </w:tabs>
              <w:ind w:left="-239"/>
            </w:pPr>
            <w:r>
              <w:t>Unlawful assault causing death</w:t>
            </w:r>
          </w:p>
        </w:tc>
      </w:tr>
      <w:tr>
        <w:tc>
          <w:tcPr>
            <w:tcW w:w="2508" w:type="dxa"/>
            <w:gridSpan w:val="2"/>
          </w:tcPr>
          <w:p>
            <w:pPr>
              <w:pStyle w:val="yTableNAm"/>
              <w:rPr>
                <w:szCs w:val="22"/>
              </w:rPr>
            </w:pPr>
            <w:r>
              <w:rPr>
                <w:szCs w:val="22"/>
              </w:rPr>
              <w:t>s. 283</w:t>
            </w:r>
          </w:p>
        </w:tc>
        <w:tc>
          <w:tcPr>
            <w:tcW w:w="4582" w:type="dxa"/>
          </w:tcPr>
          <w:p>
            <w:pPr>
              <w:pStyle w:val="yTableNAm"/>
              <w:tabs>
                <w:tab w:val="clear" w:pos="567"/>
              </w:tabs>
              <w:ind w:left="-239"/>
            </w:pPr>
            <w:r>
              <w:t>Attempt to murder</w:t>
            </w:r>
          </w:p>
        </w:tc>
      </w:tr>
      <w:tr>
        <w:tc>
          <w:tcPr>
            <w:tcW w:w="2508" w:type="dxa"/>
            <w:gridSpan w:val="2"/>
          </w:tcPr>
          <w:p>
            <w:pPr>
              <w:pStyle w:val="yTableNAm"/>
              <w:rPr>
                <w:szCs w:val="22"/>
              </w:rPr>
            </w:pPr>
            <w:r>
              <w:rPr>
                <w:szCs w:val="22"/>
              </w:rPr>
              <w:t>s. 292</w:t>
            </w:r>
          </w:p>
        </w:tc>
        <w:tc>
          <w:tcPr>
            <w:tcW w:w="4582" w:type="dxa"/>
          </w:tcPr>
          <w:p>
            <w:pPr>
              <w:pStyle w:val="yTableNAm"/>
              <w:tabs>
                <w:tab w:val="clear" w:pos="567"/>
              </w:tabs>
              <w:ind w:left="-239"/>
            </w:pPr>
            <w:r>
              <w:t>Disabling in order to commit indictable offence</w:t>
            </w:r>
          </w:p>
        </w:tc>
      </w:tr>
      <w:tr>
        <w:tc>
          <w:tcPr>
            <w:tcW w:w="2508" w:type="dxa"/>
            <w:gridSpan w:val="2"/>
          </w:tcPr>
          <w:p>
            <w:pPr>
              <w:pStyle w:val="yTableNAm"/>
              <w:rPr>
                <w:szCs w:val="22"/>
              </w:rPr>
            </w:pPr>
            <w:r>
              <w:rPr>
                <w:szCs w:val="22"/>
              </w:rPr>
              <w:t>s. 294</w:t>
            </w:r>
          </w:p>
        </w:tc>
        <w:tc>
          <w:tcPr>
            <w:tcW w:w="4582" w:type="dxa"/>
          </w:tcPr>
          <w:p>
            <w:pPr>
              <w:pStyle w:val="yTableNAm"/>
              <w:tabs>
                <w:tab w:val="clear" w:pos="567"/>
              </w:tabs>
              <w:ind w:left="-239"/>
            </w:pPr>
            <w:r>
              <w:t xml:space="preserve">Acts intended to cause grievous bodily harm or to </w:t>
            </w:r>
            <w:r>
              <w:rPr>
                <w:szCs w:val="22"/>
              </w:rPr>
              <w:t>resist</w:t>
            </w:r>
            <w:r>
              <w:t xml:space="preserve"> or prevent arrest</w:t>
            </w:r>
          </w:p>
        </w:tc>
      </w:tr>
      <w:tr>
        <w:tc>
          <w:tcPr>
            <w:tcW w:w="2508" w:type="dxa"/>
            <w:gridSpan w:val="2"/>
          </w:tcPr>
          <w:p>
            <w:pPr>
              <w:pStyle w:val="yTableNAm"/>
              <w:rPr>
                <w:szCs w:val="22"/>
              </w:rPr>
            </w:pPr>
            <w:r>
              <w:rPr>
                <w:szCs w:val="22"/>
              </w:rPr>
              <w:t>s. 297</w:t>
            </w:r>
          </w:p>
        </w:tc>
        <w:tc>
          <w:tcPr>
            <w:tcW w:w="4582" w:type="dxa"/>
          </w:tcPr>
          <w:p>
            <w:pPr>
              <w:pStyle w:val="yTableNAm"/>
              <w:tabs>
                <w:tab w:val="clear" w:pos="567"/>
              </w:tabs>
              <w:ind w:left="-239"/>
            </w:pPr>
            <w:r>
              <w:t>Grievous bodily harm</w:t>
            </w:r>
          </w:p>
        </w:tc>
      </w:tr>
      <w:tr>
        <w:tc>
          <w:tcPr>
            <w:tcW w:w="2508" w:type="dxa"/>
            <w:gridSpan w:val="2"/>
          </w:tcPr>
          <w:p>
            <w:pPr>
              <w:pStyle w:val="yTableNAm"/>
              <w:rPr>
                <w:szCs w:val="22"/>
              </w:rPr>
            </w:pPr>
            <w:r>
              <w:rPr>
                <w:szCs w:val="22"/>
              </w:rPr>
              <w:t>s. 301</w:t>
            </w:r>
          </w:p>
        </w:tc>
        <w:tc>
          <w:tcPr>
            <w:tcW w:w="4582" w:type="dxa"/>
          </w:tcPr>
          <w:p>
            <w:pPr>
              <w:pStyle w:val="yTableNAm"/>
              <w:tabs>
                <w:tab w:val="clear" w:pos="567"/>
              </w:tabs>
              <w:ind w:left="-239"/>
            </w:pPr>
            <w:r>
              <w:t>Wounding and similar acts</w:t>
            </w:r>
          </w:p>
        </w:tc>
      </w:tr>
      <w:tr>
        <w:tc>
          <w:tcPr>
            <w:tcW w:w="2508" w:type="dxa"/>
            <w:gridSpan w:val="2"/>
          </w:tcPr>
          <w:p>
            <w:pPr>
              <w:pStyle w:val="yTableNAm"/>
              <w:rPr>
                <w:szCs w:val="22"/>
              </w:rPr>
            </w:pPr>
            <w:r>
              <w:rPr>
                <w:szCs w:val="22"/>
              </w:rPr>
              <w:t>s. 304(2)</w:t>
            </w:r>
          </w:p>
        </w:tc>
        <w:tc>
          <w:tcPr>
            <w:tcW w:w="4582" w:type="dxa"/>
          </w:tcPr>
          <w:p>
            <w:pPr>
              <w:pStyle w:val="yTableNAm"/>
              <w:tabs>
                <w:tab w:val="clear" w:pos="567"/>
              </w:tabs>
              <w:ind w:left="-239"/>
            </w:pPr>
            <w:r>
              <w:t>Acts or omissions, with intent to harm, causing bodily harm or danger</w:t>
            </w:r>
          </w:p>
        </w:tc>
      </w:tr>
      <w:tr>
        <w:tc>
          <w:tcPr>
            <w:tcW w:w="2508" w:type="dxa"/>
            <w:gridSpan w:val="2"/>
          </w:tcPr>
          <w:p>
            <w:pPr>
              <w:pStyle w:val="yTableNAm"/>
              <w:rPr>
                <w:szCs w:val="22"/>
              </w:rPr>
            </w:pPr>
            <w:r>
              <w:rPr>
                <w:szCs w:val="22"/>
              </w:rPr>
              <w:t>s. 317</w:t>
            </w:r>
          </w:p>
        </w:tc>
        <w:tc>
          <w:tcPr>
            <w:tcW w:w="4582" w:type="dxa"/>
          </w:tcPr>
          <w:p>
            <w:pPr>
              <w:pStyle w:val="yTableNAm"/>
              <w:tabs>
                <w:tab w:val="clear" w:pos="567"/>
              </w:tabs>
              <w:ind w:left="-239"/>
            </w:pPr>
            <w:r>
              <w:t>Assault occasioning bodily harm</w:t>
            </w:r>
          </w:p>
        </w:tc>
      </w:tr>
      <w:tr>
        <w:tc>
          <w:tcPr>
            <w:tcW w:w="2508" w:type="dxa"/>
            <w:gridSpan w:val="2"/>
          </w:tcPr>
          <w:p>
            <w:pPr>
              <w:pStyle w:val="yTableNAm"/>
              <w:rPr>
                <w:szCs w:val="22"/>
              </w:rPr>
            </w:pPr>
            <w:r>
              <w:rPr>
                <w:szCs w:val="22"/>
              </w:rPr>
              <w:lastRenderedPageBreak/>
              <w:t>s. 317A(a)</w:t>
            </w:r>
          </w:p>
        </w:tc>
        <w:tc>
          <w:tcPr>
            <w:tcW w:w="4582" w:type="dxa"/>
          </w:tcPr>
          <w:p>
            <w:pPr>
              <w:pStyle w:val="yTableNAm"/>
              <w:tabs>
                <w:tab w:val="clear" w:pos="567"/>
              </w:tabs>
              <w:ind w:left="-239"/>
            </w:pPr>
            <w:r>
              <w:t>Assault with intent to commit or facilitate a crime</w:t>
            </w:r>
          </w:p>
        </w:tc>
      </w:tr>
      <w:tr>
        <w:tc>
          <w:tcPr>
            <w:tcW w:w="2508" w:type="dxa"/>
            <w:gridSpan w:val="2"/>
          </w:tcPr>
          <w:p>
            <w:pPr>
              <w:pStyle w:val="yTableNAm"/>
              <w:rPr>
                <w:szCs w:val="22"/>
              </w:rPr>
            </w:pPr>
            <w:r>
              <w:rPr>
                <w:szCs w:val="22"/>
              </w:rPr>
              <w:t>s. 317A(b)</w:t>
            </w:r>
          </w:p>
        </w:tc>
        <w:tc>
          <w:tcPr>
            <w:tcW w:w="4582" w:type="dxa"/>
          </w:tcPr>
          <w:p>
            <w:pPr>
              <w:pStyle w:val="yTableNAm"/>
              <w:tabs>
                <w:tab w:val="clear" w:pos="567"/>
              </w:tabs>
              <w:ind w:left="-239"/>
            </w:pPr>
            <w:r>
              <w:t>Assault with intent to do grievous bodily harm</w:t>
            </w:r>
          </w:p>
        </w:tc>
      </w:tr>
      <w:tr>
        <w:tc>
          <w:tcPr>
            <w:tcW w:w="2508" w:type="dxa"/>
            <w:gridSpan w:val="2"/>
          </w:tcPr>
          <w:p>
            <w:pPr>
              <w:pStyle w:val="yTableNAm"/>
              <w:rPr>
                <w:szCs w:val="22"/>
              </w:rPr>
            </w:pPr>
            <w:r>
              <w:rPr>
                <w:szCs w:val="22"/>
              </w:rPr>
              <w:t>s. 318</w:t>
            </w:r>
          </w:p>
        </w:tc>
        <w:tc>
          <w:tcPr>
            <w:tcW w:w="4582" w:type="dxa"/>
          </w:tcPr>
          <w:p>
            <w:pPr>
              <w:pStyle w:val="yTableNAm"/>
              <w:tabs>
                <w:tab w:val="clear" w:pos="567"/>
              </w:tabs>
              <w:ind w:left="-239"/>
            </w:pPr>
            <w:r>
              <w:t>Serious assaults</w:t>
            </w:r>
          </w:p>
        </w:tc>
      </w:tr>
      <w:tr>
        <w:tc>
          <w:tcPr>
            <w:tcW w:w="2508" w:type="dxa"/>
            <w:gridSpan w:val="2"/>
          </w:tcPr>
          <w:p>
            <w:pPr>
              <w:pStyle w:val="yTableNAm"/>
              <w:rPr>
                <w:szCs w:val="22"/>
              </w:rPr>
            </w:pPr>
            <w:r>
              <w:t>s. 318B</w:t>
            </w:r>
          </w:p>
        </w:tc>
        <w:tc>
          <w:tcPr>
            <w:tcW w:w="4582" w:type="dxa"/>
          </w:tcPr>
          <w:p>
            <w:pPr>
              <w:pStyle w:val="yTableNAm"/>
              <w:tabs>
                <w:tab w:val="clear" w:pos="567"/>
              </w:tabs>
              <w:ind w:left="-239"/>
            </w:pPr>
            <w:r>
              <w:t>Assault on retail workers</w:t>
            </w:r>
          </w:p>
        </w:tc>
      </w:tr>
      <w:tr>
        <w:tc>
          <w:tcPr>
            <w:tcW w:w="2508" w:type="dxa"/>
            <w:gridSpan w:val="2"/>
          </w:tcPr>
          <w:p>
            <w:pPr>
              <w:pStyle w:val="yTableNAm"/>
              <w:rPr>
                <w:szCs w:val="22"/>
              </w:rPr>
            </w:pPr>
            <w:r>
              <w:rPr>
                <w:szCs w:val="22"/>
              </w:rPr>
              <w:t>s. 323</w:t>
            </w:r>
          </w:p>
        </w:tc>
        <w:tc>
          <w:tcPr>
            <w:tcW w:w="4582" w:type="dxa"/>
          </w:tcPr>
          <w:p>
            <w:pPr>
              <w:pStyle w:val="yTableNAm"/>
              <w:tabs>
                <w:tab w:val="clear" w:pos="567"/>
              </w:tabs>
              <w:ind w:left="-239"/>
            </w:pPr>
            <w:r>
              <w:t>Indecent assault</w:t>
            </w:r>
          </w:p>
        </w:tc>
      </w:tr>
      <w:tr>
        <w:tc>
          <w:tcPr>
            <w:tcW w:w="2508" w:type="dxa"/>
            <w:gridSpan w:val="2"/>
          </w:tcPr>
          <w:p>
            <w:pPr>
              <w:pStyle w:val="yTableNAm"/>
              <w:rPr>
                <w:szCs w:val="22"/>
              </w:rPr>
            </w:pPr>
            <w:r>
              <w:rPr>
                <w:szCs w:val="22"/>
              </w:rPr>
              <w:t>s. 324</w:t>
            </w:r>
          </w:p>
        </w:tc>
        <w:tc>
          <w:tcPr>
            <w:tcW w:w="4582" w:type="dxa"/>
          </w:tcPr>
          <w:p>
            <w:pPr>
              <w:pStyle w:val="yTableNAm"/>
              <w:tabs>
                <w:tab w:val="clear" w:pos="567"/>
              </w:tabs>
              <w:ind w:left="-239"/>
            </w:pPr>
            <w:r>
              <w:t>Aggravated indecent assault</w:t>
            </w:r>
          </w:p>
        </w:tc>
      </w:tr>
      <w:tr>
        <w:tc>
          <w:tcPr>
            <w:tcW w:w="2508" w:type="dxa"/>
            <w:gridSpan w:val="2"/>
          </w:tcPr>
          <w:p>
            <w:pPr>
              <w:pStyle w:val="yTableNAm"/>
              <w:rPr>
                <w:szCs w:val="22"/>
              </w:rPr>
            </w:pPr>
            <w:r>
              <w:rPr>
                <w:szCs w:val="22"/>
              </w:rPr>
              <w:t>s. 325</w:t>
            </w:r>
          </w:p>
        </w:tc>
        <w:tc>
          <w:tcPr>
            <w:tcW w:w="4582" w:type="dxa"/>
          </w:tcPr>
          <w:p>
            <w:pPr>
              <w:pStyle w:val="yTableNAm"/>
              <w:tabs>
                <w:tab w:val="clear" w:pos="567"/>
              </w:tabs>
              <w:ind w:left="-239"/>
            </w:pPr>
            <w:r>
              <w:t>Sexual penetration without consent</w:t>
            </w:r>
          </w:p>
        </w:tc>
      </w:tr>
      <w:tr>
        <w:tc>
          <w:tcPr>
            <w:tcW w:w="2508" w:type="dxa"/>
            <w:gridSpan w:val="2"/>
          </w:tcPr>
          <w:p>
            <w:pPr>
              <w:pStyle w:val="yTableNAm"/>
              <w:rPr>
                <w:szCs w:val="22"/>
              </w:rPr>
            </w:pPr>
            <w:r>
              <w:rPr>
                <w:szCs w:val="22"/>
              </w:rPr>
              <w:t>s. 326</w:t>
            </w:r>
          </w:p>
        </w:tc>
        <w:tc>
          <w:tcPr>
            <w:tcW w:w="4582" w:type="dxa"/>
          </w:tcPr>
          <w:p>
            <w:pPr>
              <w:pStyle w:val="yTableNAm"/>
              <w:tabs>
                <w:tab w:val="clear" w:pos="567"/>
              </w:tabs>
              <w:ind w:left="-239"/>
            </w:pPr>
            <w:r>
              <w:t>Aggravated sexual penetration without consent</w:t>
            </w:r>
          </w:p>
        </w:tc>
      </w:tr>
      <w:tr>
        <w:tc>
          <w:tcPr>
            <w:tcW w:w="2508" w:type="dxa"/>
            <w:gridSpan w:val="2"/>
          </w:tcPr>
          <w:p>
            <w:pPr>
              <w:pStyle w:val="yTableNAm"/>
              <w:rPr>
                <w:szCs w:val="22"/>
              </w:rPr>
            </w:pPr>
            <w:r>
              <w:rPr>
                <w:szCs w:val="22"/>
              </w:rPr>
              <w:t>s. 331B</w:t>
            </w:r>
          </w:p>
        </w:tc>
        <w:tc>
          <w:tcPr>
            <w:tcW w:w="4582" w:type="dxa"/>
          </w:tcPr>
          <w:p>
            <w:pPr>
              <w:pStyle w:val="yTableNAm"/>
              <w:tabs>
                <w:tab w:val="clear" w:pos="567"/>
              </w:tabs>
              <w:ind w:left="-239"/>
            </w:pPr>
            <w:r>
              <w:t>Sexual servitude</w:t>
            </w:r>
          </w:p>
        </w:tc>
      </w:tr>
      <w:tr>
        <w:tc>
          <w:tcPr>
            <w:tcW w:w="2508" w:type="dxa"/>
            <w:gridSpan w:val="2"/>
          </w:tcPr>
          <w:p>
            <w:pPr>
              <w:pStyle w:val="yTableNAm"/>
              <w:rPr>
                <w:szCs w:val="22"/>
              </w:rPr>
            </w:pPr>
            <w:r>
              <w:rPr>
                <w:szCs w:val="22"/>
              </w:rPr>
              <w:t>s. 331C</w:t>
            </w:r>
          </w:p>
        </w:tc>
        <w:tc>
          <w:tcPr>
            <w:tcW w:w="4582" w:type="dxa"/>
          </w:tcPr>
          <w:p>
            <w:pPr>
              <w:pStyle w:val="yTableNAm"/>
              <w:tabs>
                <w:tab w:val="clear" w:pos="567"/>
              </w:tabs>
              <w:ind w:left="-239"/>
            </w:pPr>
            <w:r>
              <w:t>Conducting business involving sexual servitude</w:t>
            </w:r>
          </w:p>
        </w:tc>
      </w:tr>
      <w:tr>
        <w:trPr>
          <w:cantSplit/>
        </w:trPr>
        <w:tc>
          <w:tcPr>
            <w:tcW w:w="2508" w:type="dxa"/>
            <w:gridSpan w:val="2"/>
          </w:tcPr>
          <w:p>
            <w:pPr>
              <w:pStyle w:val="yTableNAm"/>
              <w:rPr>
                <w:szCs w:val="22"/>
              </w:rPr>
            </w:pPr>
            <w:r>
              <w:rPr>
                <w:szCs w:val="22"/>
              </w:rPr>
              <w:t>s. 331D</w:t>
            </w:r>
          </w:p>
        </w:tc>
        <w:tc>
          <w:tcPr>
            <w:tcW w:w="4582" w:type="dxa"/>
          </w:tcPr>
          <w:p>
            <w:pPr>
              <w:pStyle w:val="yTableNAm"/>
              <w:tabs>
                <w:tab w:val="clear" w:pos="567"/>
              </w:tabs>
              <w:ind w:left="-239"/>
            </w:pPr>
            <w:r>
              <w:t>Deceptive recruiting for commercial sexual services</w:t>
            </w:r>
          </w:p>
        </w:tc>
      </w:tr>
      <w:tr>
        <w:tc>
          <w:tcPr>
            <w:tcW w:w="2508" w:type="dxa"/>
            <w:gridSpan w:val="2"/>
          </w:tcPr>
          <w:p>
            <w:pPr>
              <w:pStyle w:val="yTableNAm"/>
              <w:rPr>
                <w:szCs w:val="22"/>
              </w:rPr>
            </w:pPr>
            <w:r>
              <w:rPr>
                <w:szCs w:val="22"/>
              </w:rPr>
              <w:t>s. 332</w:t>
            </w:r>
          </w:p>
        </w:tc>
        <w:tc>
          <w:tcPr>
            <w:tcW w:w="4582" w:type="dxa"/>
          </w:tcPr>
          <w:p>
            <w:pPr>
              <w:pStyle w:val="yTableNAm"/>
              <w:tabs>
                <w:tab w:val="clear" w:pos="567"/>
              </w:tabs>
              <w:ind w:left="-239"/>
            </w:pPr>
            <w:r>
              <w:t>Kidnapping</w:t>
            </w:r>
          </w:p>
        </w:tc>
      </w:tr>
      <w:tr>
        <w:tc>
          <w:tcPr>
            <w:tcW w:w="2508" w:type="dxa"/>
            <w:gridSpan w:val="2"/>
          </w:tcPr>
          <w:p>
            <w:pPr>
              <w:pStyle w:val="yTableNAm"/>
              <w:rPr>
                <w:szCs w:val="22"/>
              </w:rPr>
            </w:pPr>
            <w:r>
              <w:rPr>
                <w:szCs w:val="22"/>
              </w:rPr>
              <w:t>s. 333</w:t>
            </w:r>
          </w:p>
        </w:tc>
        <w:tc>
          <w:tcPr>
            <w:tcW w:w="4582" w:type="dxa"/>
          </w:tcPr>
          <w:p>
            <w:pPr>
              <w:pStyle w:val="yTableNAm"/>
              <w:tabs>
                <w:tab w:val="clear" w:pos="567"/>
              </w:tabs>
              <w:ind w:left="-239"/>
            </w:pPr>
            <w:r>
              <w:t>Deprivation of liberty</w:t>
            </w:r>
          </w:p>
        </w:tc>
      </w:tr>
      <w:tr>
        <w:tc>
          <w:tcPr>
            <w:tcW w:w="2508" w:type="dxa"/>
            <w:gridSpan w:val="2"/>
          </w:tcPr>
          <w:p>
            <w:pPr>
              <w:pStyle w:val="yTableNAm"/>
              <w:rPr>
                <w:szCs w:val="22"/>
              </w:rPr>
            </w:pPr>
            <w:r>
              <w:rPr>
                <w:szCs w:val="22"/>
              </w:rPr>
              <w:t>s. 378(2)</w:t>
            </w:r>
          </w:p>
        </w:tc>
        <w:tc>
          <w:tcPr>
            <w:tcW w:w="4582" w:type="dxa"/>
          </w:tcPr>
          <w:p>
            <w:pPr>
              <w:pStyle w:val="yTableNAm"/>
              <w:tabs>
                <w:tab w:val="clear" w:pos="567"/>
              </w:tabs>
              <w:ind w:left="-239"/>
            </w:pPr>
            <w:r>
              <w:t>Stealing a motor vehicle, aggravated by reckless or dangerous driving</w:t>
            </w:r>
          </w:p>
        </w:tc>
      </w:tr>
      <w:tr>
        <w:tc>
          <w:tcPr>
            <w:tcW w:w="2508" w:type="dxa"/>
            <w:gridSpan w:val="2"/>
          </w:tcPr>
          <w:p>
            <w:pPr>
              <w:pStyle w:val="yTableNAm"/>
              <w:rPr>
                <w:szCs w:val="22"/>
              </w:rPr>
            </w:pPr>
            <w:r>
              <w:rPr>
                <w:szCs w:val="22"/>
              </w:rPr>
              <w:t>s. 392</w:t>
            </w:r>
          </w:p>
        </w:tc>
        <w:tc>
          <w:tcPr>
            <w:tcW w:w="4582" w:type="dxa"/>
          </w:tcPr>
          <w:p>
            <w:pPr>
              <w:pStyle w:val="yTableNAm"/>
              <w:tabs>
                <w:tab w:val="clear" w:pos="567"/>
              </w:tabs>
              <w:ind w:left="-239"/>
            </w:pPr>
            <w:r>
              <w:t>Robbery</w:t>
            </w:r>
          </w:p>
        </w:tc>
      </w:tr>
      <w:tr>
        <w:tc>
          <w:tcPr>
            <w:tcW w:w="2508" w:type="dxa"/>
            <w:gridSpan w:val="2"/>
          </w:tcPr>
          <w:p>
            <w:pPr>
              <w:pStyle w:val="yTableNAm"/>
              <w:rPr>
                <w:szCs w:val="22"/>
              </w:rPr>
            </w:pPr>
            <w:r>
              <w:rPr>
                <w:szCs w:val="22"/>
              </w:rPr>
              <w:t>s. 393</w:t>
            </w:r>
          </w:p>
        </w:tc>
        <w:tc>
          <w:tcPr>
            <w:tcW w:w="4582" w:type="dxa"/>
          </w:tcPr>
          <w:p>
            <w:pPr>
              <w:pStyle w:val="yTableNAm"/>
              <w:tabs>
                <w:tab w:val="clear" w:pos="567"/>
              </w:tabs>
              <w:ind w:left="-239"/>
            </w:pPr>
            <w:r>
              <w:t>Assault with intent to rob</w:t>
            </w:r>
          </w:p>
        </w:tc>
      </w:tr>
      <w:tr>
        <w:tc>
          <w:tcPr>
            <w:tcW w:w="2508" w:type="dxa"/>
            <w:gridSpan w:val="2"/>
          </w:tcPr>
          <w:p>
            <w:pPr>
              <w:pStyle w:val="yTableNAm"/>
              <w:rPr>
                <w:szCs w:val="22"/>
              </w:rPr>
            </w:pPr>
            <w:r>
              <w:rPr>
                <w:szCs w:val="22"/>
              </w:rPr>
              <w:t>s. 444</w:t>
            </w:r>
          </w:p>
        </w:tc>
        <w:tc>
          <w:tcPr>
            <w:tcW w:w="4582" w:type="dxa"/>
          </w:tcPr>
          <w:p>
            <w:pPr>
              <w:pStyle w:val="yTableNAm"/>
              <w:tabs>
                <w:tab w:val="clear" w:pos="567"/>
              </w:tabs>
              <w:ind w:left="-239"/>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2.</w:t>
            </w:r>
            <w:r>
              <w:rPr>
                <w:b/>
                <w:i/>
                <w:szCs w:val="22"/>
              </w:rPr>
              <w:tab/>
              <w:t>Bush Fires Act 1954</w:t>
            </w:r>
          </w:p>
        </w:tc>
      </w:tr>
      <w:tr>
        <w:tc>
          <w:tcPr>
            <w:tcW w:w="2508" w:type="dxa"/>
            <w:gridSpan w:val="2"/>
          </w:tcPr>
          <w:p>
            <w:pPr>
              <w:pStyle w:val="yTableNAm"/>
              <w:rPr>
                <w:szCs w:val="22"/>
              </w:rPr>
            </w:pPr>
            <w:r>
              <w:rPr>
                <w:szCs w:val="22"/>
              </w:rPr>
              <w:t>s. 32</w:t>
            </w:r>
          </w:p>
        </w:tc>
        <w:tc>
          <w:tcPr>
            <w:tcW w:w="4582" w:type="dxa"/>
          </w:tcPr>
          <w:p>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90" w:type="dxa"/>
            <w:gridSpan w:val="3"/>
          </w:tcPr>
          <w:p>
            <w:pPr>
              <w:pStyle w:val="yTableNAm"/>
              <w:keepNext/>
              <w:rPr>
                <w:b/>
                <w:i/>
                <w:szCs w:val="22"/>
              </w:rPr>
            </w:pPr>
            <w:r>
              <w:rPr>
                <w:b/>
                <w:szCs w:val="22"/>
              </w:rPr>
              <w:lastRenderedPageBreak/>
              <w:t>2AA.</w:t>
            </w:r>
            <w:r>
              <w:rPr>
                <w:b/>
                <w:i/>
                <w:szCs w:val="22"/>
              </w:rPr>
              <w:tab/>
            </w:r>
            <w:r>
              <w:rPr>
                <w:b/>
                <w:bCs/>
                <w:i/>
              </w:rPr>
              <w:t>Criminal Organisations Control Act 2012</w:t>
            </w:r>
          </w:p>
        </w:tc>
      </w:tr>
      <w:tr>
        <w:tc>
          <w:tcPr>
            <w:tcW w:w="2508" w:type="dxa"/>
            <w:gridSpan w:val="2"/>
          </w:tcPr>
          <w:p>
            <w:pPr>
              <w:pStyle w:val="yTableNAm"/>
              <w:rPr>
                <w:szCs w:val="22"/>
              </w:rPr>
            </w:pPr>
            <w:r>
              <w:t>s. 99(1)</w:t>
            </w:r>
          </w:p>
        </w:tc>
        <w:tc>
          <w:tcPr>
            <w:tcW w:w="4582" w:type="dxa"/>
          </w:tcPr>
          <w:p>
            <w:pPr>
              <w:pStyle w:val="yTableNAm"/>
              <w:tabs>
                <w:tab w:val="clear" w:pos="567"/>
              </w:tabs>
              <w:ind w:left="-239"/>
              <w:rPr>
                <w:szCs w:val="22"/>
              </w:rPr>
            </w:pPr>
            <w:r>
              <w:t>Association by controlled person with another controlled person</w:t>
            </w:r>
          </w:p>
        </w:tc>
      </w:tr>
      <w:tr>
        <w:tc>
          <w:tcPr>
            <w:tcW w:w="2508" w:type="dxa"/>
            <w:gridSpan w:val="2"/>
          </w:tcPr>
          <w:p>
            <w:pPr>
              <w:pStyle w:val="yTableNAm"/>
            </w:pPr>
            <w:r>
              <w:t>s. 99(3)</w:t>
            </w:r>
          </w:p>
        </w:tc>
        <w:tc>
          <w:tcPr>
            <w:tcW w:w="4582" w:type="dxa"/>
          </w:tcPr>
          <w:p>
            <w:pPr>
              <w:pStyle w:val="yTableNAm"/>
              <w:tabs>
                <w:tab w:val="clear" w:pos="567"/>
              </w:tabs>
              <w:ind w:left="-239"/>
            </w:pPr>
            <w:r>
              <w:t>Association by controlled person with another controlled person on 3 or more occasions within 3 month period</w:t>
            </w:r>
          </w:p>
        </w:tc>
      </w:tr>
      <w:tr>
        <w:tc>
          <w:tcPr>
            <w:tcW w:w="2508" w:type="dxa"/>
            <w:gridSpan w:val="2"/>
          </w:tcPr>
          <w:p>
            <w:pPr>
              <w:pStyle w:val="yTableNAm"/>
            </w:pPr>
            <w:r>
              <w:t>s. 102</w:t>
            </w:r>
          </w:p>
        </w:tc>
        <w:tc>
          <w:tcPr>
            <w:tcW w:w="4582" w:type="dxa"/>
          </w:tcPr>
          <w:p>
            <w:pPr>
              <w:pStyle w:val="yTableNAm"/>
              <w:tabs>
                <w:tab w:val="clear" w:pos="567"/>
              </w:tabs>
              <w:ind w:left="-239"/>
            </w:pPr>
            <w:r>
              <w:t>Offence for controlled person to get funds to, from or for declared criminal organisation</w:t>
            </w:r>
          </w:p>
        </w:tc>
      </w:tr>
      <w:tr>
        <w:tc>
          <w:tcPr>
            <w:tcW w:w="2508" w:type="dxa"/>
            <w:gridSpan w:val="2"/>
          </w:tcPr>
          <w:p>
            <w:pPr>
              <w:pStyle w:val="yTableNAm"/>
            </w:pPr>
            <w:r>
              <w:t>s. 103</w:t>
            </w:r>
          </w:p>
        </w:tc>
        <w:tc>
          <w:tcPr>
            <w:tcW w:w="4582" w:type="dxa"/>
          </w:tcPr>
          <w:p>
            <w:pPr>
              <w:pStyle w:val="yTableNAm"/>
              <w:tabs>
                <w:tab w:val="clear" w:pos="567"/>
              </w:tabs>
              <w:ind w:left="-239"/>
            </w:pPr>
            <w:r>
              <w:t>Other contravention of interim control order or control order</w:t>
            </w:r>
          </w:p>
        </w:tc>
      </w:tr>
      <w:tr>
        <w:tc>
          <w:tcPr>
            <w:tcW w:w="2508" w:type="dxa"/>
            <w:gridSpan w:val="2"/>
          </w:tcPr>
          <w:p>
            <w:pPr>
              <w:pStyle w:val="yTableNAm"/>
            </w:pPr>
            <w:r>
              <w:t>s. 106</w:t>
            </w:r>
          </w:p>
        </w:tc>
        <w:tc>
          <w:tcPr>
            <w:tcW w:w="4582" w:type="dxa"/>
          </w:tcPr>
          <w:p>
            <w:pPr>
              <w:pStyle w:val="yTableNAm"/>
              <w:tabs>
                <w:tab w:val="clear" w:pos="567"/>
              </w:tabs>
              <w:ind w:left="-239"/>
            </w:pPr>
            <w:r>
              <w:t>Recruiting members for declared criminal organisation</w:t>
            </w:r>
          </w:p>
        </w:tc>
      </w:tr>
      <w:tr>
        <w:tc>
          <w:tcPr>
            <w:tcW w:w="2508" w:type="dxa"/>
            <w:gridSpan w:val="2"/>
          </w:tcPr>
          <w:p>
            <w:pPr>
              <w:pStyle w:val="yTableNAm"/>
            </w:pPr>
            <w:r>
              <w:t>s. 107(2)</w:t>
            </w:r>
          </w:p>
        </w:tc>
        <w:tc>
          <w:tcPr>
            <w:tcW w:w="4582" w:type="dxa"/>
          </w:tcPr>
          <w:p>
            <w:pPr>
              <w:pStyle w:val="yTableNAm"/>
              <w:tabs>
                <w:tab w:val="clear" w:pos="567"/>
              </w:tabs>
              <w:ind w:left="-239"/>
            </w:pPr>
            <w:r>
              <w:t>Permitting premises to be habitually used as place of resort by members of declared criminal organisation</w:t>
            </w:r>
          </w:p>
        </w:tc>
      </w:tr>
      <w:tr>
        <w:trPr>
          <w:cantSplit/>
        </w:trPr>
        <w:tc>
          <w:tcPr>
            <w:tcW w:w="2508" w:type="dxa"/>
            <w:gridSpan w:val="2"/>
          </w:tcPr>
          <w:p>
            <w:pPr>
              <w:pStyle w:val="yTableNAm"/>
            </w:pPr>
            <w:r>
              <w:t>s. 107(3)</w:t>
            </w:r>
          </w:p>
        </w:tc>
        <w:tc>
          <w:tcPr>
            <w:tcW w:w="4582" w:type="dxa"/>
          </w:tcPr>
          <w:p>
            <w:pPr>
              <w:pStyle w:val="yTableNAm"/>
              <w:tabs>
                <w:tab w:val="clear" w:pos="567"/>
              </w:tabs>
              <w:ind w:left="-239"/>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90" w:type="dxa"/>
            <w:gridSpan w:val="3"/>
          </w:tcPr>
          <w:p>
            <w:pPr>
              <w:pStyle w:val="yTableNAm"/>
              <w:rPr>
                <w:b/>
                <w:i/>
                <w:szCs w:val="22"/>
              </w:rPr>
            </w:pPr>
            <w:r>
              <w:rPr>
                <w:b/>
                <w:szCs w:val="22"/>
              </w:rPr>
              <w:t>2A.</w:t>
            </w:r>
            <w:r>
              <w:rPr>
                <w:b/>
                <w:i/>
                <w:szCs w:val="22"/>
              </w:rPr>
              <w:tab/>
              <w:t>Prostitution Act 2000</w:t>
            </w:r>
          </w:p>
        </w:tc>
      </w:tr>
      <w:tr>
        <w:tc>
          <w:tcPr>
            <w:tcW w:w="2508" w:type="dxa"/>
            <w:gridSpan w:val="2"/>
          </w:tcPr>
          <w:p>
            <w:pPr>
              <w:pStyle w:val="yTableNAm"/>
              <w:rPr>
                <w:szCs w:val="22"/>
              </w:rPr>
            </w:pPr>
            <w:r>
              <w:rPr>
                <w:szCs w:val="22"/>
              </w:rPr>
              <w:t>s. 7</w:t>
            </w:r>
          </w:p>
        </w:tc>
        <w:tc>
          <w:tcPr>
            <w:tcW w:w="4582" w:type="dxa"/>
          </w:tcPr>
          <w:p>
            <w:pPr>
              <w:pStyle w:val="yTableNAm"/>
              <w:tabs>
                <w:tab w:val="clear" w:pos="567"/>
              </w:tabs>
              <w:ind w:left="-239"/>
            </w:pPr>
            <w:r>
              <w:t>Seeking to induce person to act as prostitute</w:t>
            </w:r>
          </w:p>
        </w:tc>
      </w:tr>
      <w:tr>
        <w:tc>
          <w:tcPr>
            <w:tcW w:w="2508" w:type="dxa"/>
            <w:gridSpan w:val="2"/>
          </w:tcPr>
          <w:p>
            <w:pPr>
              <w:pStyle w:val="yTableNAm"/>
              <w:rPr>
                <w:szCs w:val="22"/>
              </w:rPr>
            </w:pPr>
            <w:r>
              <w:rPr>
                <w:szCs w:val="22"/>
              </w:rPr>
              <w:t>s. 16</w:t>
            </w:r>
          </w:p>
        </w:tc>
        <w:tc>
          <w:tcPr>
            <w:tcW w:w="4582" w:type="dxa"/>
          </w:tcPr>
          <w:p>
            <w:pPr>
              <w:pStyle w:val="yTableNAm"/>
              <w:tabs>
                <w:tab w:val="clear" w:pos="567"/>
              </w:tabs>
              <w:ind w:left="-239"/>
            </w:pPr>
            <w:r>
              <w:t>Causing, permitting, or seeking to induce child to act as prostitute</w:t>
            </w:r>
          </w:p>
        </w:tc>
      </w:tr>
      <w:tr>
        <w:tc>
          <w:tcPr>
            <w:tcW w:w="2508" w:type="dxa"/>
            <w:gridSpan w:val="2"/>
          </w:tcPr>
          <w:p>
            <w:pPr>
              <w:pStyle w:val="yTableNAm"/>
              <w:rPr>
                <w:szCs w:val="22"/>
              </w:rPr>
            </w:pPr>
            <w:r>
              <w:rPr>
                <w:szCs w:val="22"/>
              </w:rPr>
              <w:t>s. 17</w:t>
            </w:r>
          </w:p>
        </w:tc>
        <w:tc>
          <w:tcPr>
            <w:tcW w:w="4582" w:type="dxa"/>
          </w:tcPr>
          <w:p>
            <w:pPr>
              <w:pStyle w:val="yTableNAm"/>
              <w:tabs>
                <w:tab w:val="clear" w:pos="567"/>
              </w:tabs>
              <w:ind w:left="-239"/>
            </w:pPr>
            <w:r>
              <w:t>Obtaining payment for prostitution by a child</w:t>
            </w:r>
          </w:p>
        </w:tc>
      </w:tr>
      <w:tr>
        <w:tc>
          <w:tcPr>
            <w:tcW w:w="2508" w:type="dxa"/>
            <w:gridSpan w:val="2"/>
          </w:tcPr>
          <w:p>
            <w:pPr>
              <w:pStyle w:val="yTableNAm"/>
              <w:rPr>
                <w:szCs w:val="22"/>
              </w:rPr>
            </w:pPr>
            <w:r>
              <w:rPr>
                <w:szCs w:val="22"/>
              </w:rPr>
              <w:t>s. 18</w:t>
            </w:r>
          </w:p>
        </w:tc>
        <w:tc>
          <w:tcPr>
            <w:tcW w:w="4582" w:type="dxa"/>
          </w:tcPr>
          <w:p>
            <w:pPr>
              <w:pStyle w:val="yTableNAm"/>
              <w:tabs>
                <w:tab w:val="clear" w:pos="567"/>
              </w:tabs>
              <w:ind w:left="-239"/>
            </w:pPr>
            <w: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pPr>
              <w:pStyle w:val="yTableNAm"/>
              <w:rPr>
                <w:b/>
                <w:i/>
                <w:szCs w:val="22"/>
              </w:rPr>
            </w:pPr>
            <w:r>
              <w:rPr>
                <w:b/>
                <w:szCs w:val="22"/>
              </w:rPr>
              <w:t>3.</w:t>
            </w:r>
            <w:r>
              <w:rPr>
                <w:b/>
                <w:i/>
                <w:szCs w:val="22"/>
              </w:rPr>
              <w:tab/>
              <w:t>Road Traffic Act 1974</w:t>
            </w:r>
          </w:p>
        </w:tc>
      </w:tr>
      <w:tr>
        <w:tc>
          <w:tcPr>
            <w:tcW w:w="2508" w:type="dxa"/>
            <w:gridSpan w:val="2"/>
          </w:tcPr>
          <w:p>
            <w:pPr>
              <w:pStyle w:val="yTableNAm"/>
              <w:rPr>
                <w:szCs w:val="22"/>
              </w:rPr>
            </w:pPr>
            <w:r>
              <w:rPr>
                <w:szCs w:val="22"/>
              </w:rPr>
              <w:t>s. 54</w:t>
            </w:r>
          </w:p>
        </w:tc>
        <w:tc>
          <w:tcPr>
            <w:tcW w:w="4582" w:type="dxa"/>
          </w:tcPr>
          <w:p>
            <w:pPr>
              <w:pStyle w:val="yTableNAm"/>
              <w:tabs>
                <w:tab w:val="clear" w:pos="567"/>
              </w:tabs>
              <w:ind w:left="-239"/>
            </w:pPr>
            <w:r>
              <w:t>Driver in incident occasioning bodily harm to stop, ensure assistance and give information</w:t>
            </w:r>
          </w:p>
        </w:tc>
      </w:tr>
      <w:tr>
        <w:tc>
          <w:tcPr>
            <w:tcW w:w="2492" w:type="dxa"/>
          </w:tcPr>
          <w:p>
            <w:pPr>
              <w:pStyle w:val="yTableNAm"/>
            </w:pPr>
            <w:r>
              <w:lastRenderedPageBreak/>
              <w:t>s. 59</w:t>
            </w:r>
          </w:p>
        </w:tc>
        <w:tc>
          <w:tcPr>
            <w:tcW w:w="4598" w:type="dxa"/>
            <w:gridSpan w:val="2"/>
          </w:tcPr>
          <w:p>
            <w:pPr>
              <w:pStyle w:val="yTableNAm"/>
              <w:tabs>
                <w:tab w:val="clear" w:pos="567"/>
              </w:tabs>
              <w:ind w:left="-239"/>
            </w:pPr>
            <w:r>
              <w:t>Dangerous driving causing death or grievous bodily harm</w:t>
            </w:r>
          </w:p>
        </w:tc>
      </w:tr>
      <w:tr>
        <w:tc>
          <w:tcPr>
            <w:tcW w:w="2508" w:type="dxa"/>
            <w:gridSpan w:val="2"/>
          </w:tcPr>
          <w:p>
            <w:pPr>
              <w:pStyle w:val="yTableNAm"/>
              <w:rPr>
                <w:szCs w:val="22"/>
              </w:rPr>
            </w:pPr>
            <w:r>
              <w:rPr>
                <w:szCs w:val="22"/>
              </w:rPr>
              <w:t>s. 59A</w:t>
            </w:r>
          </w:p>
        </w:tc>
        <w:tc>
          <w:tcPr>
            <w:tcW w:w="4582" w:type="dxa"/>
          </w:tcPr>
          <w:p>
            <w:pPr>
              <w:pStyle w:val="yTableNAm"/>
              <w:tabs>
                <w:tab w:val="clear" w:pos="567"/>
              </w:tabs>
              <w:ind w:left="-239"/>
            </w:pPr>
            <w:r>
              <w:t>Dangerous driving causing bodily harm</w:t>
            </w:r>
          </w:p>
        </w:tc>
      </w:tr>
      <w:tr>
        <w:tc>
          <w:tcPr>
            <w:tcW w:w="2508" w:type="dxa"/>
            <w:gridSpan w:val="2"/>
          </w:tcPr>
          <w:p>
            <w:pPr>
              <w:pStyle w:val="yTableNAm"/>
              <w:keepNext/>
            </w:pPr>
            <w:r>
              <w:t>s. 59BA(1)</w:t>
            </w:r>
          </w:p>
        </w:tc>
        <w:tc>
          <w:tcPr>
            <w:tcW w:w="4582" w:type="dxa"/>
          </w:tcPr>
          <w:p>
            <w:pPr>
              <w:pStyle w:val="yTableNAm"/>
              <w:tabs>
                <w:tab w:val="clear" w:pos="567"/>
              </w:tabs>
              <w:ind w:left="-239"/>
            </w:pPr>
            <w:r>
              <w:t>Careless driving causing death, grievous bodily harm or bodily harm</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0" w:type="dxa"/>
            <w:gridSpan w:val="3"/>
            <w:tcBorders>
              <w:top w:val="nil"/>
              <w:left w:val="nil"/>
              <w:bottom w:val="nil"/>
              <w:right w:val="nil"/>
            </w:tcBorders>
            <w:noWrap/>
          </w:tcPr>
          <w:p>
            <w:pPr>
              <w:pStyle w:val="yTableNAm"/>
              <w:rPr>
                <w:b/>
              </w:rPr>
            </w:pPr>
            <w:r>
              <w:rPr>
                <w:b/>
              </w:rPr>
              <w:t>4.</w:t>
            </w:r>
            <w:r>
              <w:rPr>
                <w:b/>
              </w:rPr>
              <w:tab/>
            </w:r>
            <w:r>
              <w:rPr>
                <w:b/>
                <w:i/>
              </w:rPr>
              <w:t>Western Australian Marine Act 1982</w:t>
            </w:r>
          </w:p>
        </w:tc>
      </w:tr>
      <w:tr>
        <w:tc>
          <w:tcPr>
            <w:tcW w:w="2508" w:type="dxa"/>
            <w:gridSpan w:val="2"/>
            <w:noWrap/>
          </w:tcPr>
          <w:p>
            <w:pPr>
              <w:pStyle w:val="yTableNAm"/>
            </w:pPr>
            <w:r>
              <w:t>s. 64A(2)</w:t>
            </w:r>
          </w:p>
        </w:tc>
        <w:tc>
          <w:tcPr>
            <w:tcW w:w="4582" w:type="dxa"/>
            <w:noWrap/>
          </w:tcPr>
          <w:p>
            <w:pPr>
              <w:pStyle w:val="yTableNAm"/>
              <w:ind w:left="-239"/>
            </w:pPr>
            <w:r>
              <w:t>Failure of master to comply with render assistance duties in relation to marine incident occasioning death, grievous bodily harm or bodily harm</w:t>
            </w:r>
          </w:p>
        </w:tc>
      </w:tr>
      <w:tr>
        <w:tc>
          <w:tcPr>
            <w:tcW w:w="2508" w:type="dxa"/>
            <w:gridSpan w:val="2"/>
            <w:noWrap/>
          </w:tcPr>
          <w:p>
            <w:pPr>
              <w:pStyle w:val="yTableNAm"/>
            </w:pPr>
            <w:r>
              <w:t>s. 75B(1)</w:t>
            </w:r>
          </w:p>
        </w:tc>
        <w:tc>
          <w:tcPr>
            <w:tcW w:w="4582" w:type="dxa"/>
            <w:noWrap/>
          </w:tcPr>
          <w:p>
            <w:pPr>
              <w:pStyle w:val="yTableNAm"/>
              <w:ind w:left="-239"/>
            </w:pPr>
            <w:r>
              <w:t>Navigation of vessel occasioning death while under influence of alcohol, a drug or alcohol and a drug</w:t>
            </w:r>
          </w:p>
        </w:tc>
      </w:tr>
      <w:tr>
        <w:tc>
          <w:tcPr>
            <w:tcW w:w="2508" w:type="dxa"/>
            <w:gridSpan w:val="2"/>
            <w:noWrap/>
          </w:tcPr>
          <w:p>
            <w:pPr>
              <w:pStyle w:val="yTableNAm"/>
            </w:pPr>
            <w:r>
              <w:t>s. 75B(2)</w:t>
            </w:r>
          </w:p>
        </w:tc>
        <w:tc>
          <w:tcPr>
            <w:tcW w:w="4582" w:type="dxa"/>
            <w:noWrap/>
          </w:tcPr>
          <w:p>
            <w:pPr>
              <w:pStyle w:val="yTableNAm"/>
              <w:ind w:left="-239"/>
            </w:pPr>
            <w:r>
              <w:t xml:space="preserve">Dangerous navigation of vessel occasioning death </w:t>
            </w:r>
          </w:p>
        </w:tc>
      </w:tr>
      <w:tr>
        <w:tc>
          <w:tcPr>
            <w:tcW w:w="2508" w:type="dxa"/>
            <w:gridSpan w:val="2"/>
            <w:noWrap/>
          </w:tcPr>
          <w:p>
            <w:pPr>
              <w:pStyle w:val="yTableNAm"/>
            </w:pPr>
            <w:r>
              <w:t>s. 75BA(1)</w:t>
            </w:r>
          </w:p>
        </w:tc>
        <w:tc>
          <w:tcPr>
            <w:tcW w:w="4582" w:type="dxa"/>
            <w:noWrap/>
          </w:tcPr>
          <w:p>
            <w:pPr>
              <w:pStyle w:val="yTableNAm"/>
              <w:ind w:left="-239"/>
            </w:pPr>
            <w:r>
              <w:t>Navigation of vessel occasioning grievous bodily harm while under influence of alcohol, a drug or alcohol and a drug</w:t>
            </w:r>
          </w:p>
        </w:tc>
      </w:tr>
      <w:tr>
        <w:tc>
          <w:tcPr>
            <w:tcW w:w="2508" w:type="dxa"/>
            <w:gridSpan w:val="2"/>
            <w:noWrap/>
          </w:tcPr>
          <w:p>
            <w:pPr>
              <w:pStyle w:val="yTableNAm"/>
            </w:pPr>
            <w:r>
              <w:t>s. 75BA(2)</w:t>
            </w:r>
          </w:p>
        </w:tc>
        <w:tc>
          <w:tcPr>
            <w:tcW w:w="4582" w:type="dxa"/>
            <w:noWrap/>
          </w:tcPr>
          <w:p>
            <w:pPr>
              <w:pStyle w:val="yTableNAm"/>
              <w:ind w:left="-239"/>
            </w:pPr>
            <w:r>
              <w:t>Dangerous navigation of vessel occasioning grievous bodily harm</w:t>
            </w:r>
          </w:p>
        </w:tc>
      </w:tr>
      <w:tr>
        <w:tc>
          <w:tcPr>
            <w:tcW w:w="2508" w:type="dxa"/>
            <w:gridSpan w:val="2"/>
            <w:noWrap/>
          </w:tcPr>
          <w:p>
            <w:pPr>
              <w:pStyle w:val="yTableNAm"/>
            </w:pPr>
            <w:r>
              <w:t>s. 75BB(1)</w:t>
            </w:r>
          </w:p>
        </w:tc>
        <w:tc>
          <w:tcPr>
            <w:tcW w:w="4582" w:type="dxa"/>
            <w:noWrap/>
          </w:tcPr>
          <w:p>
            <w:pPr>
              <w:pStyle w:val="yTableNAm"/>
              <w:ind w:left="-239"/>
            </w:pPr>
            <w:r>
              <w:t>Navigation of vessel occasioning bodily harm while under influence of alcohol, a drug or alcohol and a drug</w:t>
            </w:r>
          </w:p>
        </w:tc>
      </w:tr>
      <w:tr>
        <w:tc>
          <w:tcPr>
            <w:tcW w:w="2508" w:type="dxa"/>
            <w:gridSpan w:val="2"/>
            <w:noWrap/>
          </w:tcPr>
          <w:p>
            <w:pPr>
              <w:pStyle w:val="yTableNAm"/>
            </w:pPr>
            <w:r>
              <w:t>s. 75BB(3)</w:t>
            </w:r>
          </w:p>
        </w:tc>
        <w:tc>
          <w:tcPr>
            <w:tcW w:w="4582" w:type="dxa"/>
            <w:noWrap/>
          </w:tcPr>
          <w:p>
            <w:pPr>
              <w:pStyle w:val="yTableNAm"/>
              <w:ind w:left="-239"/>
            </w:pPr>
            <w:r>
              <w:t>Dangerous navigation of vessel occasioning bodily harm</w:t>
            </w:r>
          </w:p>
        </w:tc>
      </w:tr>
      <w:tr>
        <w:trPr>
          <w:trHeight w:val="665"/>
        </w:trPr>
        <w:tc>
          <w:tcPr>
            <w:tcW w:w="2508" w:type="dxa"/>
            <w:gridSpan w:val="2"/>
            <w:noWrap/>
          </w:tcPr>
          <w:p>
            <w:pPr>
              <w:pStyle w:val="yTableNAm"/>
            </w:pPr>
            <w:r>
              <w:t>s. 75BC(1)</w:t>
            </w:r>
          </w:p>
        </w:tc>
        <w:tc>
          <w:tcPr>
            <w:tcW w:w="4582" w:type="dxa"/>
            <w:noWrap/>
          </w:tcPr>
          <w:p>
            <w:pPr>
              <w:pStyle w:val="yTableNAm"/>
              <w:ind w:left="-239"/>
            </w:pPr>
            <w:r>
              <w:t>Careless navigation of vessel occasioning death, grievous bodily harm or bodily harm</w:t>
            </w:r>
          </w:p>
        </w:tc>
      </w:tr>
    </w:tbl>
    <w:p>
      <w:pPr>
        <w:pStyle w:val="yFootnotesection"/>
      </w:pPr>
      <w:r>
        <w:tab/>
        <w:t xml:space="preserve">[Schedule 2 amended: No. 82 of 1994 s. 13(6); No. 17 of 2000 s. 64; No. 23 of 2001 s. 10(4); No. 4 of 2004 s. 24 and 26; No. 58 of 2004 s. 45; No. 29 of 2008 s. 41(5); No. 49 of 2012 s. 182; No. 25 of 2016 s. 21(3) and 29; No. 31 of 2023 s. 39(3); No. 16 of 2024 s. 9.] </w:t>
      </w:r>
    </w:p>
    <w:p>
      <w:pPr>
        <w:pStyle w:val="yScheduleHeading"/>
        <w:outlineLvl w:val="0"/>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yScheduleHeading"/>
        <w:outlineLvl w:val="0"/>
      </w:pPr>
      <w:bookmarkStart w:id="424" w:name="_Toc180138929"/>
      <w:bookmarkStart w:id="425" w:name="_Toc180139264"/>
      <w:bookmarkStart w:id="426" w:name="_Toc180148240"/>
      <w:r>
        <w:rPr>
          <w:rStyle w:val="CharSchNo"/>
        </w:rPr>
        <w:lastRenderedPageBreak/>
        <w:t>Schedule 3</w:t>
      </w:r>
      <w:r>
        <w:t> — </w:t>
      </w:r>
      <w:r>
        <w:rPr>
          <w:rStyle w:val="CharSchText"/>
        </w:rPr>
        <w:t>Adaptations for community work in default of payment</w:t>
      </w:r>
      <w:bookmarkEnd w:id="424"/>
      <w:bookmarkEnd w:id="425"/>
      <w:bookmarkEnd w:id="426"/>
    </w:p>
    <w:p>
      <w:pPr>
        <w:pStyle w:val="yShoulderClause"/>
        <w:rPr>
          <w:snapToGrid w:val="0"/>
        </w:rPr>
      </w:pPr>
      <w:r>
        <w:rPr>
          <w:snapToGrid w:val="0"/>
        </w:rPr>
        <w:t>[s. 61]</w:t>
      </w:r>
    </w:p>
    <w:p>
      <w:pPr>
        <w:pStyle w:val="yFootnoteheading"/>
        <w:rPr>
          <w:b/>
          <w:snapToGrid w:val="0"/>
        </w:rPr>
      </w:pPr>
      <w:r>
        <w:tab/>
        <w:t>[Heading amended: No. 19 of 2010 s. 4.]</w:t>
      </w:r>
    </w:p>
    <w:p>
      <w:pPr>
        <w:pStyle w:val="yHeading5"/>
      </w:pPr>
      <w:bookmarkStart w:id="427" w:name="_Toc180148241"/>
      <w:r>
        <w:rPr>
          <w:rStyle w:val="CharSClsNo"/>
        </w:rPr>
        <w:t>1</w:t>
      </w:r>
      <w:r>
        <w:t>.</w:t>
      </w:r>
      <w:r>
        <w:tab/>
        <w:t>References to offender</w:t>
      </w:r>
      <w:bookmarkEnd w:id="42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pPr>
      <w:bookmarkStart w:id="428" w:name="_Toc180148242"/>
      <w:r>
        <w:rPr>
          <w:rStyle w:val="CharSClsNo"/>
        </w:rPr>
        <w:t>2</w:t>
      </w:r>
      <w:r>
        <w:t>.</w:t>
      </w:r>
      <w:r>
        <w:tab/>
        <w:t>Conditions</w:t>
      </w:r>
      <w:bookmarkEnd w:id="428"/>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pPr>
      <w:bookmarkStart w:id="429" w:name="_Toc180148243"/>
      <w:r>
        <w:rPr>
          <w:rStyle w:val="CharSClsNo"/>
        </w:rPr>
        <w:t>3</w:t>
      </w:r>
      <w:r>
        <w:t>.</w:t>
      </w:r>
      <w:r>
        <w:tab/>
        <w:t>Duration of order</w:t>
      </w:r>
      <w:bookmarkEnd w:id="429"/>
      <w: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pPr>
      <w:bookmarkStart w:id="430" w:name="_Toc180148244"/>
      <w:r>
        <w:rPr>
          <w:rStyle w:val="CharSClsNo"/>
        </w:rPr>
        <w:t>4</w:t>
      </w:r>
      <w:r>
        <w:t>.</w:t>
      </w:r>
      <w:r>
        <w:tab/>
        <w:t>Powers of court in dealing with breach</w:t>
      </w:r>
      <w:bookmarkEnd w:id="430"/>
      <w: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pPr>
      <w:bookmarkStart w:id="431" w:name="_Toc180148245"/>
      <w:r>
        <w:rPr>
          <w:rStyle w:val="CharSClsNo"/>
        </w:rPr>
        <w:t>5</w:t>
      </w:r>
      <w:r>
        <w:t>.</w:t>
      </w:r>
      <w:r>
        <w:tab/>
        <w:t>Effect of partially performing work ordered in default of payment</w:t>
      </w:r>
      <w:bookmarkEnd w:id="431"/>
      <w: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No. 92 of 1994 s. 46.]</w:t>
      </w:r>
    </w:p>
    <w:p>
      <w:pPr>
        <w:pStyle w:val="yHeading5"/>
      </w:pPr>
      <w:bookmarkStart w:id="432" w:name="_Toc180148246"/>
      <w:r>
        <w:rPr>
          <w:rStyle w:val="CharSClsNo"/>
        </w:rPr>
        <w:lastRenderedPageBreak/>
        <w:t>6</w:t>
      </w:r>
      <w:r>
        <w:t>.</w:t>
      </w:r>
      <w:r>
        <w:tab/>
        <w:t>Proof of identity</w:t>
      </w:r>
      <w:bookmarkEnd w:id="432"/>
      <w: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nHeading2"/>
      </w:pPr>
      <w:bookmarkStart w:id="433" w:name="_Toc180138936"/>
      <w:bookmarkStart w:id="434" w:name="_Toc180139271"/>
      <w:bookmarkStart w:id="435" w:name="_Toc180148247"/>
      <w:r>
        <w:lastRenderedPageBreak/>
        <w:t>Notes</w:t>
      </w:r>
      <w:bookmarkEnd w:id="433"/>
      <w:bookmarkEnd w:id="434"/>
      <w:bookmarkEnd w:id="435"/>
    </w:p>
    <w:p>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pPr>
        <w:pStyle w:val="nHeading3"/>
      </w:pPr>
      <w:bookmarkStart w:id="436" w:name="_Toc180148248"/>
      <w:r>
        <w:t>Compilation table</w:t>
      </w:r>
      <w:bookmarkEnd w:id="436"/>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trPr>
          <w:cantSplit/>
          <w:tblHeader/>
        </w:trPr>
        <w:tc>
          <w:tcPr>
            <w:tcW w:w="2267"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7" w:type="dxa"/>
            <w:tcBorders>
              <w:top w:val="single" w:sz="8" w:space="0" w:color="auto"/>
            </w:tcBorders>
          </w:tcPr>
          <w:p>
            <w:pPr>
              <w:pStyle w:val="nTable"/>
              <w:spacing w:after="40"/>
              <w:ind w:right="113"/>
            </w:pPr>
            <w:r>
              <w:rPr>
                <w:i/>
              </w:rPr>
              <w:t>Young Offenders Act 1994</w:t>
            </w:r>
          </w:p>
        </w:tc>
        <w:tc>
          <w:tcPr>
            <w:tcW w:w="1134" w:type="dxa"/>
            <w:tcBorders>
              <w:top w:val="single" w:sz="8" w:space="0" w:color="auto"/>
            </w:tcBorders>
          </w:tcPr>
          <w:p>
            <w:pPr>
              <w:pStyle w:val="nTable"/>
              <w:spacing w:after="40"/>
            </w:pPr>
            <w:r>
              <w:t>104 of 1994</w:t>
            </w:r>
          </w:p>
        </w:tc>
        <w:tc>
          <w:tcPr>
            <w:tcW w:w="1136" w:type="dxa"/>
            <w:tcBorders>
              <w:top w:val="single" w:sz="8" w:space="0" w:color="auto"/>
            </w:tcBorders>
          </w:tcPr>
          <w:p>
            <w:pPr>
              <w:pStyle w:val="nTable"/>
              <w:spacing w:after="40"/>
            </w:pPr>
            <w:r>
              <w:t>11 Jan 1995</w:t>
            </w:r>
          </w:p>
        </w:tc>
        <w:tc>
          <w:tcPr>
            <w:tcW w:w="2551" w:type="dxa"/>
            <w:tcBorders>
              <w:top w:val="single" w:sz="8" w:space="0" w:color="auto"/>
            </w:tcBorders>
          </w:tcPr>
          <w:p>
            <w:pPr>
              <w:pStyle w:val="nTable"/>
              <w:spacing w:after="40"/>
            </w:pPr>
            <w:r>
              <w:t xml:space="preserve">s. 1 and 2: 11 Jan 1995; </w:t>
            </w:r>
            <w:r>
              <w:br/>
              <w:t xml:space="preserve">Act other than s. 1 and 2: 13 Mar 1995 (see s. 2 and </w:t>
            </w:r>
            <w:r>
              <w:rPr>
                <w:i/>
              </w:rPr>
              <w:t>Gazette</w:t>
            </w:r>
            <w:r>
              <w:t xml:space="preserve"> 10 Mar 1995 p. 895)</w:t>
            </w:r>
          </w:p>
        </w:tc>
      </w:tr>
      <w:tr>
        <w:trPr>
          <w:cantSplit/>
        </w:trPr>
        <w:tc>
          <w:tcPr>
            <w:tcW w:w="2267" w:type="dxa"/>
          </w:tcPr>
          <w:p>
            <w:pPr>
              <w:pStyle w:val="nTable"/>
              <w:spacing w:after="40"/>
              <w:ind w:right="113"/>
            </w:pPr>
            <w:r>
              <w:rPr>
                <w:i/>
              </w:rPr>
              <w:t>Criminal Law Amendment Act 1994</w:t>
            </w:r>
            <w:r>
              <w:t xml:space="preserve"> s. 13(6) and 20</w:t>
            </w:r>
          </w:p>
        </w:tc>
        <w:tc>
          <w:tcPr>
            <w:tcW w:w="1134" w:type="dxa"/>
          </w:tcPr>
          <w:p>
            <w:pPr>
              <w:pStyle w:val="nTable"/>
              <w:spacing w:after="40"/>
            </w:pPr>
            <w:r>
              <w:t>82 of 1994</w:t>
            </w:r>
          </w:p>
        </w:tc>
        <w:tc>
          <w:tcPr>
            <w:tcW w:w="1136" w:type="dxa"/>
          </w:tcPr>
          <w:p>
            <w:pPr>
              <w:pStyle w:val="nTable"/>
              <w:spacing w:after="40"/>
            </w:pPr>
            <w:r>
              <w:t>23 Dec 1994</w:t>
            </w:r>
          </w:p>
        </w:tc>
        <w:tc>
          <w:tcPr>
            <w:tcW w:w="2551" w:type="dxa"/>
          </w:tcPr>
          <w:p>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trPr>
          <w:cantSplit/>
        </w:trPr>
        <w:tc>
          <w:tcPr>
            <w:tcW w:w="2267" w:type="dxa"/>
          </w:tcPr>
          <w:p>
            <w:pPr>
              <w:pStyle w:val="nTable"/>
              <w:spacing w:after="40"/>
              <w:ind w:right="113"/>
            </w:pPr>
            <w:r>
              <w:rPr>
                <w:i/>
              </w:rPr>
              <w:t>Acts Amendment (Fines, Penalties and Infringement Notices) Act 1994</w:t>
            </w:r>
            <w:r>
              <w:t xml:space="preserve"> Pt. 22</w:t>
            </w:r>
          </w:p>
        </w:tc>
        <w:tc>
          <w:tcPr>
            <w:tcW w:w="1134" w:type="dxa"/>
          </w:tcPr>
          <w:p>
            <w:pPr>
              <w:pStyle w:val="nTable"/>
              <w:spacing w:after="40"/>
            </w:pPr>
            <w:r>
              <w:t>92 of 1994</w:t>
            </w:r>
          </w:p>
        </w:tc>
        <w:tc>
          <w:tcPr>
            <w:tcW w:w="1136" w:type="dxa"/>
          </w:tcPr>
          <w:p>
            <w:pPr>
              <w:pStyle w:val="nTable"/>
              <w:spacing w:after="40"/>
            </w:pPr>
            <w:r>
              <w:t>23 Dec 1994</w:t>
            </w:r>
          </w:p>
        </w:tc>
        <w:tc>
          <w:tcPr>
            <w:tcW w:w="2551" w:type="dxa"/>
          </w:tcPr>
          <w:p>
            <w:pPr>
              <w:pStyle w:val="nTable"/>
              <w:spacing w:after="40"/>
            </w:pPr>
            <w:r>
              <w:t>11 Jan 1995 (see s. 2(2))</w:t>
            </w:r>
          </w:p>
        </w:tc>
      </w:tr>
      <w:tr>
        <w:trPr>
          <w:cantSplit/>
        </w:trPr>
        <w:tc>
          <w:tcPr>
            <w:tcW w:w="2267" w:type="dxa"/>
          </w:tcPr>
          <w:p>
            <w:pPr>
              <w:pStyle w:val="nTable"/>
              <w:spacing w:after="40"/>
              <w:ind w:right="113"/>
            </w:pPr>
            <w:r>
              <w:rPr>
                <w:i/>
              </w:rPr>
              <w:t>Sentencing (Consequential Provisions) Act 1995</w:t>
            </w:r>
            <w:r>
              <w:t xml:space="preserve"> Pt. 86</w:t>
            </w:r>
          </w:p>
        </w:tc>
        <w:tc>
          <w:tcPr>
            <w:tcW w:w="1134" w:type="dxa"/>
          </w:tcPr>
          <w:p>
            <w:pPr>
              <w:pStyle w:val="nTable"/>
              <w:spacing w:after="40"/>
            </w:pPr>
            <w:r>
              <w:t>78 of 1995</w:t>
            </w:r>
          </w:p>
        </w:tc>
        <w:tc>
          <w:tcPr>
            <w:tcW w:w="1136"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cantSplit/>
        </w:trPr>
        <w:tc>
          <w:tcPr>
            <w:tcW w:w="2267" w:type="dxa"/>
          </w:tcPr>
          <w:p>
            <w:pPr>
              <w:pStyle w:val="nTable"/>
              <w:spacing w:after="40"/>
              <w:ind w:right="113"/>
            </w:pPr>
            <w:r>
              <w:rPr>
                <w:i/>
              </w:rPr>
              <w:t>Coroners Act 1996</w:t>
            </w:r>
            <w:r>
              <w:t xml:space="preserve"> s. 61</w:t>
            </w:r>
          </w:p>
        </w:tc>
        <w:tc>
          <w:tcPr>
            <w:tcW w:w="1134" w:type="dxa"/>
          </w:tcPr>
          <w:p>
            <w:pPr>
              <w:pStyle w:val="nTable"/>
              <w:spacing w:after="40"/>
            </w:pPr>
            <w:r>
              <w:t>2 of 1996</w:t>
            </w:r>
          </w:p>
        </w:tc>
        <w:tc>
          <w:tcPr>
            <w:tcW w:w="1136"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cantSplit/>
        </w:trPr>
        <w:tc>
          <w:tcPr>
            <w:tcW w:w="2267" w:type="dxa"/>
          </w:tcPr>
          <w:p>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pPr>
              <w:pStyle w:val="nTable"/>
              <w:spacing w:after="40"/>
            </w:pPr>
            <w:r>
              <w:t>69 of 1996</w:t>
            </w:r>
          </w:p>
        </w:tc>
        <w:tc>
          <w:tcPr>
            <w:tcW w:w="1136" w:type="dxa"/>
          </w:tcPr>
          <w:p>
            <w:pPr>
              <w:pStyle w:val="nTable"/>
              <w:spacing w:after="40"/>
            </w:pPr>
            <w:r>
              <w:t>13 Nov 1996</w:t>
            </w:r>
          </w:p>
        </w:tc>
        <w:tc>
          <w:tcPr>
            <w:tcW w:w="2551" w:type="dxa"/>
          </w:tcPr>
          <w:p>
            <w:pPr>
              <w:pStyle w:val="nTable"/>
              <w:spacing w:after="40"/>
            </w:pPr>
            <w:r>
              <w:t>13 Nov 1997 (see s. 2)</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trPr>
          <w:cantSplit/>
        </w:trPr>
        <w:tc>
          <w:tcPr>
            <w:tcW w:w="2267" w:type="dxa"/>
          </w:tcPr>
          <w:p>
            <w:pPr>
              <w:pStyle w:val="nTable"/>
              <w:spacing w:after="40"/>
              <w:ind w:right="113"/>
            </w:pPr>
            <w:r>
              <w:rPr>
                <w:i/>
              </w:rPr>
              <w:t>Criminal Law Amendment Act (No. 2) 1998</w:t>
            </w:r>
            <w:r>
              <w:t xml:space="preserve"> Pt. 7</w:t>
            </w:r>
          </w:p>
        </w:tc>
        <w:tc>
          <w:tcPr>
            <w:tcW w:w="1134" w:type="dxa"/>
          </w:tcPr>
          <w:p>
            <w:pPr>
              <w:pStyle w:val="nTable"/>
              <w:keepNext/>
              <w:spacing w:after="40"/>
            </w:pPr>
            <w:r>
              <w:t>29 of 1998</w:t>
            </w:r>
          </w:p>
        </w:tc>
        <w:tc>
          <w:tcPr>
            <w:tcW w:w="1136" w:type="dxa"/>
          </w:tcPr>
          <w:p>
            <w:pPr>
              <w:pStyle w:val="nTable"/>
              <w:keepNext/>
              <w:spacing w:after="40"/>
            </w:pPr>
            <w:r>
              <w:t>6 Jul 1998</w:t>
            </w:r>
          </w:p>
        </w:tc>
        <w:tc>
          <w:tcPr>
            <w:tcW w:w="2551" w:type="dxa"/>
          </w:tcPr>
          <w:p>
            <w:pPr>
              <w:pStyle w:val="nTable"/>
              <w:keepNext/>
              <w:spacing w:after="40"/>
            </w:pPr>
            <w:r>
              <w:t>3 Aug 1998</w:t>
            </w:r>
          </w:p>
        </w:tc>
      </w:tr>
      <w:tr>
        <w:trPr>
          <w:cantSplit/>
        </w:trPr>
        <w:tc>
          <w:tcPr>
            <w:tcW w:w="2267" w:type="dxa"/>
          </w:tcPr>
          <w:p>
            <w:pPr>
              <w:pStyle w:val="nTable"/>
              <w:spacing w:after="40"/>
              <w:ind w:right="113"/>
            </w:pPr>
            <w:r>
              <w:rPr>
                <w:i/>
              </w:rPr>
              <w:t>Police Amendment Act 1998</w:t>
            </w:r>
            <w:r>
              <w:t xml:space="preserve"> Pt. 3</w:t>
            </w:r>
          </w:p>
        </w:tc>
        <w:tc>
          <w:tcPr>
            <w:tcW w:w="1134" w:type="dxa"/>
          </w:tcPr>
          <w:p>
            <w:pPr>
              <w:pStyle w:val="nTable"/>
              <w:keepNext/>
              <w:spacing w:after="40"/>
            </w:pPr>
            <w:r>
              <w:t>47 of 1998</w:t>
            </w:r>
          </w:p>
        </w:tc>
        <w:tc>
          <w:tcPr>
            <w:tcW w:w="1136" w:type="dxa"/>
          </w:tcPr>
          <w:p>
            <w:pPr>
              <w:pStyle w:val="nTable"/>
              <w:keepNext/>
              <w:spacing w:after="40"/>
            </w:pPr>
            <w:r>
              <w:t>19 Nov 1998</w:t>
            </w:r>
          </w:p>
        </w:tc>
        <w:tc>
          <w:tcPr>
            <w:tcW w:w="2551" w:type="dxa"/>
          </w:tcPr>
          <w:p>
            <w:pPr>
              <w:pStyle w:val="nTable"/>
              <w:keepNext/>
              <w:spacing w:after="40"/>
            </w:pPr>
            <w:r>
              <w:t xml:space="preserve">5 Dec 1998 (see s. 2 and </w:t>
            </w:r>
            <w:r>
              <w:rPr>
                <w:i/>
              </w:rPr>
              <w:t>Gazette</w:t>
            </w:r>
            <w:r>
              <w:t xml:space="preserve"> 4 Dec 1998 p. 6447)</w:t>
            </w:r>
          </w:p>
        </w:tc>
      </w:tr>
      <w:tr>
        <w:trPr>
          <w:cantSplit/>
        </w:trPr>
        <w:tc>
          <w:tcPr>
            <w:tcW w:w="2267" w:type="dxa"/>
          </w:tcPr>
          <w:p>
            <w:pPr>
              <w:pStyle w:val="nTable"/>
              <w:spacing w:after="40"/>
              <w:ind w:right="113"/>
              <w:rPr>
                <w:i/>
              </w:rPr>
            </w:pPr>
            <w:r>
              <w:rPr>
                <w:i/>
              </w:rPr>
              <w:t>School Education Act 1999</w:t>
            </w:r>
            <w:r>
              <w:t xml:space="preserve"> s. 247</w:t>
            </w:r>
          </w:p>
        </w:tc>
        <w:tc>
          <w:tcPr>
            <w:tcW w:w="1134" w:type="dxa"/>
          </w:tcPr>
          <w:p>
            <w:pPr>
              <w:pStyle w:val="nTable"/>
              <w:keepNext/>
              <w:spacing w:after="40"/>
            </w:pPr>
            <w:r>
              <w:t>36 of 1999</w:t>
            </w:r>
          </w:p>
        </w:tc>
        <w:tc>
          <w:tcPr>
            <w:tcW w:w="1136" w:type="dxa"/>
          </w:tcPr>
          <w:p>
            <w:pPr>
              <w:pStyle w:val="nTable"/>
              <w:keepNext/>
              <w:spacing w:after="40"/>
            </w:pPr>
            <w:r>
              <w:t>2 Nov 1999</w:t>
            </w:r>
          </w:p>
        </w:tc>
        <w:tc>
          <w:tcPr>
            <w:tcW w:w="2551" w:type="dxa"/>
          </w:tcPr>
          <w:p>
            <w:pPr>
              <w:pStyle w:val="nTable"/>
              <w:keepNext/>
              <w:spacing w:after="40"/>
            </w:pPr>
            <w:r>
              <w:t xml:space="preserve">1 Jan 2001 (see s. 2 and </w:t>
            </w:r>
            <w:r>
              <w:rPr>
                <w:i/>
              </w:rPr>
              <w:t>Gazette</w:t>
            </w:r>
            <w:r>
              <w:t xml:space="preserve"> 29 Dec 2000 p. 7904)</w:t>
            </w:r>
          </w:p>
        </w:tc>
      </w:tr>
      <w:tr>
        <w:trPr>
          <w:cantSplit/>
        </w:trPr>
        <w:tc>
          <w:tcPr>
            <w:tcW w:w="2267" w:type="dxa"/>
          </w:tcPr>
          <w:p>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pPr>
              <w:pStyle w:val="nTable"/>
              <w:keepNext/>
              <w:keepLines/>
              <w:spacing w:after="40"/>
            </w:pPr>
            <w:r>
              <w:t>47 of 1999</w:t>
            </w:r>
          </w:p>
        </w:tc>
        <w:tc>
          <w:tcPr>
            <w:tcW w:w="1136" w:type="dxa"/>
          </w:tcPr>
          <w:p>
            <w:pPr>
              <w:pStyle w:val="nTable"/>
              <w:keepNext/>
              <w:keepLines/>
              <w:spacing w:after="40"/>
            </w:pPr>
            <w:r>
              <w:t>8 Dec 1999</w:t>
            </w:r>
          </w:p>
        </w:tc>
        <w:tc>
          <w:tcPr>
            <w:tcW w:w="2551" w:type="dxa"/>
          </w:tcPr>
          <w:p>
            <w:pPr>
              <w:pStyle w:val="nTable"/>
              <w:keepNext/>
              <w:keepLines/>
              <w:spacing w:after="40"/>
              <w:ind w:right="58"/>
            </w:pPr>
            <w:r>
              <w:t xml:space="preserve">18 Dec 1999 (see s. 2 and </w:t>
            </w:r>
            <w:r>
              <w:rPr>
                <w:i/>
              </w:rPr>
              <w:t>Gazette</w:t>
            </w:r>
            <w:r>
              <w:t xml:space="preserve"> 17 Dec 1999 p. 6175</w:t>
            </w:r>
            <w:r>
              <w:noBreakHyphen/>
              <w:t>6)</w:t>
            </w:r>
          </w:p>
        </w:tc>
      </w:tr>
      <w:tr>
        <w:trPr>
          <w:cantSplit/>
        </w:trPr>
        <w:tc>
          <w:tcPr>
            <w:tcW w:w="2267" w:type="dxa"/>
          </w:tcPr>
          <w:p>
            <w:pPr>
              <w:pStyle w:val="nTable"/>
              <w:spacing w:after="40"/>
              <w:ind w:right="113"/>
            </w:pPr>
            <w:r>
              <w:rPr>
                <w:i/>
              </w:rPr>
              <w:t>Prostitution Act 2000</w:t>
            </w:r>
            <w:r>
              <w:t xml:space="preserve"> s. 64</w:t>
            </w:r>
          </w:p>
        </w:tc>
        <w:tc>
          <w:tcPr>
            <w:tcW w:w="1134" w:type="dxa"/>
          </w:tcPr>
          <w:p>
            <w:pPr>
              <w:pStyle w:val="nTable"/>
              <w:keepNext/>
              <w:keepLines/>
              <w:spacing w:after="40"/>
            </w:pPr>
            <w:r>
              <w:t>17 of 2000</w:t>
            </w:r>
          </w:p>
        </w:tc>
        <w:tc>
          <w:tcPr>
            <w:tcW w:w="1136" w:type="dxa"/>
          </w:tcPr>
          <w:p>
            <w:pPr>
              <w:pStyle w:val="nTable"/>
              <w:keepNext/>
              <w:keepLines/>
              <w:spacing w:after="40"/>
            </w:pPr>
            <w:r>
              <w:t xml:space="preserve">22 Jun 2000 </w:t>
            </w:r>
          </w:p>
        </w:tc>
        <w:tc>
          <w:tcPr>
            <w:tcW w:w="2551" w:type="dxa"/>
          </w:tcPr>
          <w:p>
            <w:pPr>
              <w:pStyle w:val="nTable"/>
              <w:keepNext/>
              <w:keepLines/>
              <w:spacing w:after="40"/>
            </w:pPr>
            <w:r>
              <w:t xml:space="preserve">29 Jul 2000 (see s. 2 and </w:t>
            </w:r>
            <w:r>
              <w:rPr>
                <w:i/>
              </w:rPr>
              <w:t>Gazette</w:t>
            </w:r>
            <w:r>
              <w:t xml:space="preserve"> 28 Jul 2000 p. 3987)</w:t>
            </w:r>
          </w:p>
        </w:tc>
      </w:tr>
      <w:tr>
        <w:trPr>
          <w:cantSplit/>
        </w:trPr>
        <w:tc>
          <w:tcPr>
            <w:tcW w:w="2267" w:type="dxa"/>
          </w:tcPr>
          <w:p>
            <w:pPr>
              <w:pStyle w:val="nTable"/>
              <w:spacing w:after="40"/>
              <w:ind w:right="113"/>
            </w:pPr>
            <w:r>
              <w:rPr>
                <w:i/>
              </w:rPr>
              <w:t xml:space="preserve">Protective Custody Act 2000 </w:t>
            </w:r>
            <w:r>
              <w:t>s. 30</w:t>
            </w:r>
          </w:p>
        </w:tc>
        <w:tc>
          <w:tcPr>
            <w:tcW w:w="1134" w:type="dxa"/>
          </w:tcPr>
          <w:p>
            <w:pPr>
              <w:pStyle w:val="nTable"/>
              <w:keepNext/>
              <w:keepLines/>
              <w:spacing w:after="40"/>
            </w:pPr>
            <w:r>
              <w:t>50 of 2000</w:t>
            </w:r>
          </w:p>
        </w:tc>
        <w:tc>
          <w:tcPr>
            <w:tcW w:w="1136" w:type="dxa"/>
          </w:tcPr>
          <w:p>
            <w:pPr>
              <w:pStyle w:val="nTable"/>
              <w:keepNext/>
              <w:keepLines/>
              <w:spacing w:after="40"/>
            </w:pPr>
            <w:r>
              <w:t>28 Nov 2000</w:t>
            </w:r>
          </w:p>
        </w:tc>
        <w:tc>
          <w:tcPr>
            <w:tcW w:w="2551" w:type="dxa"/>
          </w:tcPr>
          <w:p>
            <w:pPr>
              <w:pStyle w:val="nTable"/>
              <w:keepNext/>
              <w:keepLines/>
              <w:spacing w:after="40"/>
            </w:pPr>
            <w:r>
              <w:t xml:space="preserve">1 Jan 2001 (see s. 2 and </w:t>
            </w:r>
            <w:r>
              <w:rPr>
                <w:i/>
              </w:rPr>
              <w:t>Gazette</w:t>
            </w:r>
            <w:r>
              <w:t xml:space="preserve"> 29 Dec 2000 p. 7903)</w:t>
            </w:r>
          </w:p>
        </w:tc>
      </w:tr>
      <w:tr>
        <w:trPr>
          <w:cantSplit/>
        </w:trPr>
        <w:tc>
          <w:tcPr>
            <w:tcW w:w="7088" w:type="dxa"/>
            <w:gridSpan w:val="4"/>
          </w:tcPr>
          <w:p>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trPr>
          <w:cantSplit/>
        </w:trPr>
        <w:tc>
          <w:tcPr>
            <w:tcW w:w="2267" w:type="dxa"/>
          </w:tcPr>
          <w:p>
            <w:pPr>
              <w:pStyle w:val="nTable"/>
              <w:spacing w:after="40"/>
              <w:ind w:right="113"/>
            </w:pPr>
            <w:r>
              <w:rPr>
                <w:i/>
              </w:rPr>
              <w:t>Criminal Law Amendment Act 2001</w:t>
            </w:r>
            <w:r>
              <w:t xml:space="preserve"> s. 10(4)</w:t>
            </w:r>
          </w:p>
        </w:tc>
        <w:tc>
          <w:tcPr>
            <w:tcW w:w="1134" w:type="dxa"/>
          </w:tcPr>
          <w:p>
            <w:pPr>
              <w:pStyle w:val="nTable"/>
              <w:keepNext/>
              <w:keepLines/>
              <w:spacing w:after="40"/>
            </w:pPr>
            <w:r>
              <w:t>23 of 2001</w:t>
            </w:r>
          </w:p>
        </w:tc>
        <w:tc>
          <w:tcPr>
            <w:tcW w:w="1136" w:type="dxa"/>
          </w:tcPr>
          <w:p>
            <w:pPr>
              <w:pStyle w:val="nTable"/>
              <w:keepNext/>
              <w:keepLines/>
              <w:spacing w:after="40"/>
            </w:pPr>
            <w:r>
              <w:t>26 Nov 2001</w:t>
            </w:r>
          </w:p>
        </w:tc>
        <w:tc>
          <w:tcPr>
            <w:tcW w:w="2551" w:type="dxa"/>
          </w:tcPr>
          <w:p>
            <w:pPr>
              <w:pStyle w:val="nTable"/>
              <w:keepNext/>
              <w:keepLines/>
              <w:spacing w:after="40"/>
            </w:pPr>
            <w:r>
              <w:t>24 Dec 2001</w:t>
            </w:r>
          </w:p>
        </w:tc>
      </w:tr>
      <w:tr>
        <w:trPr>
          <w:cantSplit/>
        </w:trPr>
        <w:tc>
          <w:tcPr>
            <w:tcW w:w="2267" w:type="dxa"/>
          </w:tcPr>
          <w:p>
            <w:pPr>
              <w:pStyle w:val="nTable"/>
              <w:spacing w:after="40"/>
              <w:ind w:right="113"/>
              <w:rPr>
                <w:i/>
              </w:rPr>
            </w:pPr>
            <w:r>
              <w:rPr>
                <w:i/>
              </w:rPr>
              <w:t xml:space="preserve">Sentencing Legislation Amendment and Repeal Act 2003 </w:t>
            </w:r>
            <w:r>
              <w:t>s. 29(3) and 104</w:t>
            </w:r>
          </w:p>
        </w:tc>
        <w:tc>
          <w:tcPr>
            <w:tcW w:w="1134" w:type="dxa"/>
          </w:tcPr>
          <w:p>
            <w:pPr>
              <w:pStyle w:val="nTable"/>
              <w:keepNext/>
              <w:keepLines/>
              <w:spacing w:after="40"/>
            </w:pPr>
            <w:r>
              <w:t>50 of 2003</w:t>
            </w:r>
          </w:p>
        </w:tc>
        <w:tc>
          <w:tcPr>
            <w:tcW w:w="1136" w:type="dxa"/>
          </w:tcPr>
          <w:p>
            <w:pPr>
              <w:pStyle w:val="nTable"/>
              <w:keepNext/>
              <w:keepLines/>
              <w:spacing w:after="40"/>
            </w:pPr>
            <w:r>
              <w:t>9 Jul 2003</w:t>
            </w:r>
          </w:p>
        </w:tc>
        <w:tc>
          <w:tcPr>
            <w:tcW w:w="2551" w:type="dxa"/>
          </w:tcPr>
          <w:p>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trPr>
          <w:cantSplit/>
        </w:trPr>
        <w:tc>
          <w:tcPr>
            <w:tcW w:w="2267" w:type="dxa"/>
          </w:tcPr>
          <w:p>
            <w:pPr>
              <w:pStyle w:val="nTable"/>
              <w:spacing w:after="40"/>
              <w:ind w:right="113"/>
            </w:pPr>
            <w:r>
              <w:rPr>
                <w:i/>
              </w:rPr>
              <w:t>Acts Amendment and Repeal (Courts and Legal Practice) Act 2003</w:t>
            </w:r>
            <w:r>
              <w:t xml:space="preserve"> s. 73</w:t>
            </w:r>
          </w:p>
        </w:tc>
        <w:tc>
          <w:tcPr>
            <w:tcW w:w="1134" w:type="dxa"/>
          </w:tcPr>
          <w:p>
            <w:pPr>
              <w:pStyle w:val="nTable"/>
              <w:keepNext/>
              <w:keepLines/>
              <w:spacing w:after="40"/>
            </w:pPr>
            <w:r>
              <w:t>65 of 2003</w:t>
            </w:r>
          </w:p>
        </w:tc>
        <w:tc>
          <w:tcPr>
            <w:tcW w:w="1136" w:type="dxa"/>
          </w:tcPr>
          <w:p>
            <w:pPr>
              <w:pStyle w:val="nTable"/>
              <w:keepNext/>
              <w:keepLines/>
              <w:spacing w:after="40"/>
            </w:pPr>
            <w:r>
              <w:t>4 Dec 2003</w:t>
            </w:r>
          </w:p>
        </w:tc>
        <w:tc>
          <w:tcPr>
            <w:tcW w:w="2551" w:type="dxa"/>
          </w:tcPr>
          <w:p>
            <w:pPr>
              <w:pStyle w:val="nTable"/>
              <w:keepNext/>
              <w:keepLines/>
              <w:spacing w:after="40"/>
            </w:pPr>
            <w:r>
              <w:t xml:space="preserve">1 Jan 2004 (see s. 2 and </w:t>
            </w:r>
            <w:r>
              <w:rPr>
                <w:i/>
              </w:rPr>
              <w:t>Gazette</w:t>
            </w:r>
            <w:r>
              <w:t xml:space="preserve"> 30 Dec 2003 p. 5722)</w:t>
            </w:r>
          </w:p>
        </w:tc>
      </w:tr>
      <w:tr>
        <w:tc>
          <w:tcPr>
            <w:tcW w:w="2267" w:type="dxa"/>
          </w:tcPr>
          <w:p>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pPr>
              <w:pStyle w:val="nTable"/>
              <w:keepNext/>
              <w:keepLines/>
              <w:spacing w:after="40"/>
            </w:pPr>
            <w:r>
              <w:t>75 of 2003</w:t>
            </w:r>
          </w:p>
        </w:tc>
        <w:tc>
          <w:tcPr>
            <w:tcW w:w="1136" w:type="dxa"/>
          </w:tcPr>
          <w:p>
            <w:pPr>
              <w:pStyle w:val="nTable"/>
              <w:keepNext/>
              <w:keepLines/>
              <w:spacing w:after="40"/>
            </w:pPr>
            <w:r>
              <w:t>15 Dec 2003</w:t>
            </w:r>
          </w:p>
        </w:tc>
        <w:tc>
          <w:tcPr>
            <w:tcW w:w="2551" w:type="dxa"/>
          </w:tcPr>
          <w:p>
            <w:pPr>
              <w:pStyle w:val="nTable"/>
              <w:keepNext/>
              <w:keepLines/>
              <w:spacing w:after="40"/>
            </w:pPr>
            <w:r>
              <w:t>15 Dec 2003 (see s. 2)</w:t>
            </w:r>
          </w:p>
        </w:tc>
      </w:tr>
      <w:tr>
        <w:trPr>
          <w:cantSplit/>
        </w:trPr>
        <w:tc>
          <w:tcPr>
            <w:tcW w:w="2267" w:type="dxa"/>
          </w:tcPr>
          <w:p>
            <w:pPr>
              <w:pStyle w:val="nTable"/>
              <w:spacing w:after="40"/>
              <w:ind w:right="113"/>
              <w:rPr>
                <w:vertAlign w:val="superscript"/>
              </w:rPr>
            </w:pPr>
            <w:r>
              <w:rPr>
                <w:i/>
              </w:rPr>
              <w:t xml:space="preserve">Criminal Code Amendment Act 2004 </w:t>
            </w:r>
            <w:r>
              <w:t>s. 24 and 26</w:t>
            </w:r>
          </w:p>
        </w:tc>
        <w:tc>
          <w:tcPr>
            <w:tcW w:w="1134" w:type="dxa"/>
          </w:tcPr>
          <w:p>
            <w:pPr>
              <w:pStyle w:val="nTable"/>
              <w:keepNext/>
              <w:keepLines/>
              <w:spacing w:after="40"/>
            </w:pPr>
            <w:r>
              <w:t>4 of 2004</w:t>
            </w:r>
          </w:p>
        </w:tc>
        <w:tc>
          <w:tcPr>
            <w:tcW w:w="1136" w:type="dxa"/>
          </w:tcPr>
          <w:p>
            <w:pPr>
              <w:pStyle w:val="nTable"/>
              <w:keepNext/>
              <w:keepLines/>
              <w:spacing w:after="40"/>
            </w:pPr>
            <w:r>
              <w:t>23 Apr 2004</w:t>
            </w:r>
          </w:p>
        </w:tc>
        <w:tc>
          <w:tcPr>
            <w:tcW w:w="2551" w:type="dxa"/>
          </w:tcPr>
          <w:p>
            <w:pPr>
              <w:pStyle w:val="nTable"/>
              <w:keepNext/>
              <w:keepLines/>
              <w:spacing w:after="40"/>
            </w:pPr>
            <w:r>
              <w:t>21 May 2004 (see s. 2)</w:t>
            </w:r>
          </w:p>
        </w:tc>
      </w:tr>
      <w:tr>
        <w:trPr>
          <w:cantSplit/>
        </w:trPr>
        <w:tc>
          <w:tcPr>
            <w:tcW w:w="2267" w:type="dxa"/>
          </w:tcPr>
          <w:p>
            <w:pPr>
              <w:pStyle w:val="nTable"/>
              <w:spacing w:after="40"/>
              <w:ind w:right="113"/>
              <w:rPr>
                <w:i/>
              </w:rPr>
            </w:pPr>
            <w:r>
              <w:rPr>
                <w:i/>
              </w:rPr>
              <w:t>Sentencing Legislation Amendment Act 2004</w:t>
            </w:r>
            <w:r>
              <w:t xml:space="preserve"> s. 17</w:t>
            </w:r>
            <w:r>
              <w:rPr>
                <w:i/>
              </w:rPr>
              <w:t xml:space="preserve"> </w:t>
            </w:r>
          </w:p>
        </w:tc>
        <w:tc>
          <w:tcPr>
            <w:tcW w:w="1134" w:type="dxa"/>
          </w:tcPr>
          <w:p>
            <w:pPr>
              <w:pStyle w:val="nTable"/>
              <w:keepNext/>
              <w:keepLines/>
              <w:spacing w:after="40"/>
            </w:pPr>
            <w:r>
              <w:t>27 of 2004</w:t>
            </w:r>
          </w:p>
        </w:tc>
        <w:tc>
          <w:tcPr>
            <w:tcW w:w="1136" w:type="dxa"/>
          </w:tcPr>
          <w:p>
            <w:pPr>
              <w:pStyle w:val="nTable"/>
              <w:keepNext/>
              <w:keepLines/>
              <w:spacing w:after="40"/>
            </w:pPr>
            <w:r>
              <w:t>14 Oct 2004</w:t>
            </w:r>
          </w:p>
        </w:tc>
        <w:tc>
          <w:tcPr>
            <w:tcW w:w="2551" w:type="dxa"/>
          </w:tcPr>
          <w:p>
            <w:pPr>
              <w:pStyle w:val="nTable"/>
              <w:keepNext/>
              <w:keepLines/>
              <w:spacing w:after="40"/>
            </w:pPr>
            <w:r>
              <w:t xml:space="preserve">31 May 2006 (see s. 2 and </w:t>
            </w:r>
            <w:r>
              <w:rPr>
                <w:i/>
              </w:rPr>
              <w:t>Gazette</w:t>
            </w:r>
            <w:r>
              <w:t xml:space="preserve"> 30 May 2006 p. 1965)</w:t>
            </w:r>
          </w:p>
        </w:tc>
      </w:tr>
      <w:tr>
        <w:trPr>
          <w:cantSplit/>
        </w:trPr>
        <w:tc>
          <w:tcPr>
            <w:tcW w:w="2267" w:type="dxa"/>
          </w:tcPr>
          <w:p>
            <w:pPr>
              <w:pStyle w:val="nTable"/>
              <w:spacing w:after="40"/>
              <w:ind w:right="113"/>
              <w:rPr>
                <w:i/>
              </w:rPr>
            </w:pPr>
            <w:r>
              <w:rPr>
                <w:i/>
                <w:snapToGrid w:val="0"/>
              </w:rPr>
              <w:t>Children and Community Services Act 2004</w:t>
            </w:r>
            <w:r>
              <w:rPr>
                <w:snapToGrid w:val="0"/>
              </w:rPr>
              <w:t xml:space="preserve"> s. 251</w:t>
            </w:r>
          </w:p>
        </w:tc>
        <w:tc>
          <w:tcPr>
            <w:tcW w:w="1134" w:type="dxa"/>
          </w:tcPr>
          <w:p>
            <w:pPr>
              <w:pStyle w:val="nTable"/>
              <w:keepNext/>
              <w:keepLines/>
              <w:spacing w:after="40"/>
            </w:pPr>
            <w:r>
              <w:rPr>
                <w:snapToGrid w:val="0"/>
              </w:rPr>
              <w:t>34 of 2004</w:t>
            </w:r>
          </w:p>
        </w:tc>
        <w:tc>
          <w:tcPr>
            <w:tcW w:w="1136" w:type="dxa"/>
          </w:tcPr>
          <w:p>
            <w:pPr>
              <w:pStyle w:val="nTable"/>
              <w:keepNext/>
              <w:keepLines/>
              <w:spacing w:after="40"/>
            </w:pPr>
            <w:r>
              <w:t>20 Oct 2004</w:t>
            </w:r>
          </w:p>
        </w:tc>
        <w:tc>
          <w:tcPr>
            <w:tcW w:w="2551" w:type="dxa"/>
          </w:tcPr>
          <w:p>
            <w:pPr>
              <w:pStyle w:val="nTable"/>
              <w:keepNext/>
              <w:keepLines/>
              <w:spacing w:after="40"/>
            </w:pPr>
            <w:r>
              <w:t xml:space="preserve">1 Mar 2006 (see s. 2 and </w:t>
            </w:r>
            <w:r>
              <w:rPr>
                <w:i/>
              </w:rPr>
              <w:t>Gazette</w:t>
            </w:r>
            <w:r>
              <w:t xml:space="preserve"> 14 Feb 2006 p. 695)</w:t>
            </w:r>
          </w:p>
        </w:tc>
      </w:tr>
      <w:tr>
        <w:trPr>
          <w:cantSplit/>
        </w:trPr>
        <w:tc>
          <w:tcPr>
            <w:tcW w:w="2267" w:type="dxa"/>
          </w:tcPr>
          <w:p>
            <w:pPr>
              <w:pStyle w:val="nTable"/>
              <w:spacing w:after="40"/>
              <w:rPr>
                <w:i/>
                <w:snapToGrid w:val="0"/>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6" w:type="dxa"/>
          </w:tcPr>
          <w:p>
            <w:pPr>
              <w:pStyle w:val="nTable"/>
              <w:spacing w:after="40"/>
            </w:pPr>
            <w:r>
              <w:t>9 Nov 2004</w:t>
            </w:r>
          </w:p>
        </w:tc>
        <w:tc>
          <w:tcPr>
            <w:tcW w:w="2551" w:type="dxa"/>
          </w:tcPr>
          <w:p>
            <w:pPr>
              <w:pStyle w:val="nTable"/>
              <w:spacing w:after="40"/>
              <w:rPr>
                <w:snapToGrid w:val="0"/>
              </w:rPr>
            </w:pPr>
            <w:r>
              <w:t xml:space="preserve">4 Jan 2005 (see s. 2 and </w:t>
            </w:r>
            <w:r>
              <w:rPr>
                <w:i/>
              </w:rPr>
              <w:t>Gazette</w:t>
            </w:r>
            <w:r>
              <w:t xml:space="preserve"> 31 Dec 2004 p. 7131)</w:t>
            </w:r>
          </w:p>
        </w:tc>
      </w:tr>
      <w:tr>
        <w:tc>
          <w:tcPr>
            <w:tcW w:w="2267" w:type="dxa"/>
          </w:tcPr>
          <w:p>
            <w:pPr>
              <w:pStyle w:val="nTable"/>
              <w:spacing w:after="40"/>
              <w:ind w:right="113"/>
            </w:pPr>
            <w:r>
              <w:rPr>
                <w:i/>
              </w:rPr>
              <w:t>Young Offenders Amendment Act 2004</w:t>
            </w:r>
            <w:r>
              <w:rPr>
                <w:vertAlign w:val="superscript"/>
              </w:rPr>
              <w:t> 10</w:t>
            </w:r>
            <w:r>
              <w:t xml:space="preserve"> </w:t>
            </w:r>
          </w:p>
        </w:tc>
        <w:tc>
          <w:tcPr>
            <w:tcW w:w="1134" w:type="dxa"/>
          </w:tcPr>
          <w:p>
            <w:pPr>
              <w:pStyle w:val="nTable"/>
              <w:keepNext/>
              <w:keepLines/>
              <w:spacing w:after="40"/>
            </w:pPr>
            <w:r>
              <w:t>58 of 2004</w:t>
            </w:r>
          </w:p>
        </w:tc>
        <w:tc>
          <w:tcPr>
            <w:tcW w:w="1136" w:type="dxa"/>
          </w:tcPr>
          <w:p>
            <w:pPr>
              <w:pStyle w:val="nTable"/>
              <w:keepNext/>
              <w:keepLines/>
              <w:spacing w:after="40"/>
            </w:pPr>
            <w:r>
              <w:t>22 Nov 2004</w:t>
            </w:r>
          </w:p>
        </w:tc>
        <w:tc>
          <w:tcPr>
            <w:tcW w:w="2551" w:type="dxa"/>
          </w:tcPr>
          <w:p>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trPr>
          <w:cantSplit/>
        </w:trPr>
        <w:tc>
          <w:tcPr>
            <w:tcW w:w="2267" w:type="dxa"/>
          </w:tcPr>
          <w:p>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pPr>
              <w:pStyle w:val="nTable"/>
              <w:keepNext/>
              <w:keepLines/>
              <w:spacing w:after="40"/>
            </w:pPr>
            <w:r>
              <w:rPr>
                <w:snapToGrid w:val="0"/>
              </w:rPr>
              <w:t>59 of 2004</w:t>
            </w:r>
          </w:p>
        </w:tc>
        <w:tc>
          <w:tcPr>
            <w:tcW w:w="1136" w:type="dxa"/>
          </w:tcPr>
          <w:p>
            <w:pPr>
              <w:pStyle w:val="nTable"/>
              <w:keepNext/>
              <w:keepLines/>
              <w:spacing w:after="40"/>
            </w:pPr>
            <w:r>
              <w:t>23 Nov 2004</w:t>
            </w:r>
          </w:p>
        </w:tc>
        <w:tc>
          <w:tcPr>
            <w:tcW w:w="2551" w:type="dxa"/>
          </w:tcPr>
          <w:p>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7" w:type="dxa"/>
          </w:tcPr>
          <w:p>
            <w:pPr>
              <w:pStyle w:val="nTable"/>
              <w:spacing w:after="40"/>
              <w:ind w:right="113"/>
              <w:rPr>
                <w:i/>
              </w:rPr>
            </w:pPr>
            <w:r>
              <w:rPr>
                <w:i/>
                <w:snapToGrid w:val="0"/>
              </w:rPr>
              <w:t>Misuse of Drugs Amendment Act 2004</w:t>
            </w:r>
            <w:r>
              <w:rPr>
                <w:snapToGrid w:val="0"/>
              </w:rPr>
              <w:t xml:space="preserve"> s. 9(4)</w:t>
            </w:r>
          </w:p>
        </w:tc>
        <w:tc>
          <w:tcPr>
            <w:tcW w:w="1134" w:type="dxa"/>
          </w:tcPr>
          <w:p>
            <w:pPr>
              <w:pStyle w:val="nTable"/>
              <w:keepNext/>
              <w:keepLines/>
              <w:spacing w:after="40"/>
            </w:pPr>
            <w:r>
              <w:rPr>
                <w:snapToGrid w:val="0"/>
              </w:rPr>
              <w:t>62 of 2004</w:t>
            </w:r>
          </w:p>
        </w:tc>
        <w:tc>
          <w:tcPr>
            <w:tcW w:w="1136" w:type="dxa"/>
          </w:tcPr>
          <w:p>
            <w:pPr>
              <w:pStyle w:val="nTable"/>
              <w:keepNext/>
              <w:keepLines/>
              <w:spacing w:after="40"/>
            </w:pPr>
            <w:r>
              <w:t>24 Nov 2004</w:t>
            </w:r>
          </w:p>
        </w:tc>
        <w:tc>
          <w:tcPr>
            <w:tcW w:w="2551" w:type="dxa"/>
          </w:tcPr>
          <w:p>
            <w:pPr>
              <w:pStyle w:val="nTable"/>
              <w:keepNext/>
              <w:keepLines/>
              <w:spacing w:after="40"/>
            </w:pPr>
            <w:r>
              <w:t xml:space="preserve">1 Jan 2005 (see s. 2 and </w:t>
            </w:r>
            <w:r>
              <w:rPr>
                <w:i/>
              </w:rPr>
              <w:t>Gazette</w:t>
            </w:r>
            <w:r>
              <w:t xml:space="preserve"> 10 Dec 2004 p. 5965)</w:t>
            </w:r>
          </w:p>
        </w:tc>
      </w:tr>
      <w:tr>
        <w:trPr>
          <w:cantSplit/>
        </w:trPr>
        <w:tc>
          <w:tcPr>
            <w:tcW w:w="2267" w:type="dxa"/>
          </w:tcPr>
          <w:p>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pPr>
              <w:pStyle w:val="nTable"/>
              <w:keepNext/>
              <w:keepLines/>
              <w:spacing w:after="40"/>
              <w:rPr>
                <w:snapToGrid w:val="0"/>
              </w:rPr>
            </w:pPr>
            <w:r>
              <w:rPr>
                <w:snapToGrid w:val="0"/>
              </w:rPr>
              <w:t>84 of 2004</w:t>
            </w:r>
          </w:p>
        </w:tc>
        <w:tc>
          <w:tcPr>
            <w:tcW w:w="1136" w:type="dxa"/>
          </w:tcPr>
          <w:p>
            <w:pPr>
              <w:pStyle w:val="nTable"/>
              <w:keepNext/>
              <w:keepLines/>
              <w:spacing w:after="40"/>
            </w:pPr>
            <w:r>
              <w:t>16 Dec 2004</w:t>
            </w:r>
          </w:p>
        </w:tc>
        <w:tc>
          <w:tcPr>
            <w:tcW w:w="2551" w:type="dxa"/>
          </w:tcPr>
          <w:p>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8" w:type="dxa"/>
            <w:gridSpan w:val="4"/>
          </w:tcPr>
          <w:p>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trPr>
          <w:cantSplit/>
        </w:trPr>
        <w:tc>
          <w:tcPr>
            <w:tcW w:w="2267" w:type="dxa"/>
          </w:tcPr>
          <w:p>
            <w:pPr>
              <w:pStyle w:val="nTable"/>
              <w:spacing w:after="40"/>
              <w:ind w:right="113"/>
              <w:rPr>
                <w:i/>
              </w:rPr>
            </w:pPr>
            <w:r>
              <w:rPr>
                <w:i/>
                <w:snapToGrid w:val="0"/>
              </w:rPr>
              <w:t xml:space="preserve">Parole and Sentencing Legislation Amendment Act 2006 </w:t>
            </w:r>
            <w:r>
              <w:rPr>
                <w:snapToGrid w:val="0"/>
              </w:rPr>
              <w:t>Pt. 5</w:t>
            </w:r>
          </w:p>
        </w:tc>
        <w:tc>
          <w:tcPr>
            <w:tcW w:w="1134" w:type="dxa"/>
          </w:tcPr>
          <w:p>
            <w:pPr>
              <w:pStyle w:val="nTable"/>
              <w:keepNext/>
              <w:keepLines/>
              <w:spacing w:after="40"/>
            </w:pPr>
            <w:r>
              <w:t>41 of 2006</w:t>
            </w:r>
          </w:p>
        </w:tc>
        <w:tc>
          <w:tcPr>
            <w:tcW w:w="1136" w:type="dxa"/>
          </w:tcPr>
          <w:p>
            <w:pPr>
              <w:pStyle w:val="nTable"/>
              <w:keepNext/>
              <w:keepLines/>
              <w:spacing w:after="40"/>
            </w:pPr>
            <w:r>
              <w:t>22 Sep 2006</w:t>
            </w:r>
          </w:p>
        </w:tc>
        <w:tc>
          <w:tcPr>
            <w:tcW w:w="2551" w:type="dxa"/>
          </w:tcPr>
          <w:p>
            <w:pPr>
              <w:pStyle w:val="nTable"/>
              <w:keepNext/>
              <w:keepLines/>
              <w:spacing w:after="40"/>
            </w:pPr>
            <w:r>
              <w:t xml:space="preserve">28 Jan 2007 (see s. 2 and </w:t>
            </w:r>
            <w:r>
              <w:rPr>
                <w:i/>
              </w:rPr>
              <w:t>Gazette</w:t>
            </w:r>
            <w:r>
              <w:t xml:space="preserve"> 29 Dec 2006 p. 5867)</w:t>
            </w:r>
          </w:p>
        </w:tc>
      </w:tr>
      <w:tr>
        <w:trPr>
          <w:cantSplit/>
        </w:trPr>
        <w:tc>
          <w:tcPr>
            <w:tcW w:w="2267" w:type="dxa"/>
          </w:tcPr>
          <w:p>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pPr>
              <w:pStyle w:val="nTable"/>
              <w:keepNext/>
              <w:keepLines/>
              <w:spacing w:after="40"/>
            </w:pPr>
            <w:r>
              <w:rPr>
                <w:snapToGrid w:val="0"/>
              </w:rPr>
              <w:t>65 of 2006</w:t>
            </w:r>
          </w:p>
        </w:tc>
        <w:tc>
          <w:tcPr>
            <w:tcW w:w="1136" w:type="dxa"/>
          </w:tcPr>
          <w:p>
            <w:pPr>
              <w:pStyle w:val="nTable"/>
              <w:keepNext/>
              <w:keepLines/>
              <w:spacing w:after="40"/>
            </w:pPr>
            <w:r>
              <w:rPr>
                <w:snapToGrid w:val="0"/>
              </w:rPr>
              <w:t>8 Dec 2006</w:t>
            </w:r>
          </w:p>
        </w:tc>
        <w:tc>
          <w:tcPr>
            <w:tcW w:w="2551" w:type="dxa"/>
          </w:tcPr>
          <w:p>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trPr>
          <w:cantSplit/>
        </w:trPr>
        <w:tc>
          <w:tcPr>
            <w:tcW w:w="2267" w:type="dxa"/>
          </w:tcPr>
          <w:p>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pPr>
              <w:pStyle w:val="nTable"/>
              <w:keepNext/>
              <w:keepLines/>
              <w:spacing w:after="40"/>
              <w:rPr>
                <w:snapToGrid w:val="0"/>
              </w:rPr>
            </w:pPr>
            <w:r>
              <w:rPr>
                <w:snapToGrid w:val="0"/>
              </w:rPr>
              <w:t>6 of 2007</w:t>
            </w:r>
          </w:p>
        </w:tc>
        <w:tc>
          <w:tcPr>
            <w:tcW w:w="1136" w:type="dxa"/>
          </w:tcPr>
          <w:p>
            <w:pPr>
              <w:pStyle w:val="nTable"/>
              <w:keepNext/>
              <w:keepLines/>
              <w:spacing w:after="40"/>
              <w:rPr>
                <w:snapToGrid w:val="0"/>
              </w:rPr>
            </w:pPr>
            <w:r>
              <w:rPr>
                <w:snapToGrid w:val="0"/>
              </w:rPr>
              <w:t>23 May 2007</w:t>
            </w:r>
          </w:p>
        </w:tc>
        <w:tc>
          <w:tcPr>
            <w:tcW w:w="2551" w:type="dxa"/>
          </w:tcPr>
          <w:p>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trPr>
          <w:cantSplit/>
        </w:trPr>
        <w:tc>
          <w:tcPr>
            <w:tcW w:w="2267" w:type="dxa"/>
          </w:tcPr>
          <w:p>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pPr>
              <w:pStyle w:val="nTable"/>
              <w:keepNext/>
              <w:keepLines/>
              <w:spacing w:after="40"/>
              <w:rPr>
                <w:snapToGrid w:val="0"/>
              </w:rPr>
            </w:pPr>
            <w:r>
              <w:rPr>
                <w:snapToGrid w:val="0"/>
              </w:rPr>
              <w:t>39 of 2007</w:t>
            </w:r>
          </w:p>
        </w:tc>
        <w:tc>
          <w:tcPr>
            <w:tcW w:w="1136" w:type="dxa"/>
          </w:tcPr>
          <w:p>
            <w:pPr>
              <w:pStyle w:val="nTable"/>
              <w:keepNext/>
              <w:keepLines/>
              <w:spacing w:after="40"/>
              <w:rPr>
                <w:snapToGrid w:val="0"/>
              </w:rPr>
            </w:pPr>
            <w:r>
              <w:rPr>
                <w:snapToGrid w:val="0"/>
              </w:rPr>
              <w:t>21 Dec 2007</w:t>
            </w:r>
          </w:p>
        </w:tc>
        <w:tc>
          <w:tcPr>
            <w:tcW w:w="2551" w:type="dxa"/>
          </w:tcPr>
          <w:p>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trPr>
          <w:cantSplit/>
        </w:trPr>
        <w:tc>
          <w:tcPr>
            <w:tcW w:w="2267" w:type="dxa"/>
          </w:tcPr>
          <w:p>
            <w:pPr>
              <w:pStyle w:val="nTable"/>
              <w:spacing w:after="40"/>
              <w:ind w:right="113"/>
              <w:rPr>
                <w:i/>
                <w:snapToGrid w:val="0"/>
              </w:rPr>
            </w:pPr>
            <w:r>
              <w:rPr>
                <w:i/>
                <w:iCs/>
              </w:rPr>
              <w:t>Acts Amendment (Justice) Act 2008</w:t>
            </w:r>
            <w:r>
              <w:t xml:space="preserve"> s. 132 </w:t>
            </w:r>
          </w:p>
        </w:tc>
        <w:tc>
          <w:tcPr>
            <w:tcW w:w="1134" w:type="dxa"/>
          </w:tcPr>
          <w:p>
            <w:pPr>
              <w:pStyle w:val="nTable"/>
              <w:keepNext/>
              <w:keepLines/>
              <w:spacing w:after="40"/>
              <w:rPr>
                <w:snapToGrid w:val="0"/>
              </w:rPr>
            </w:pPr>
            <w:r>
              <w:t>5 of 2008</w:t>
            </w:r>
          </w:p>
        </w:tc>
        <w:tc>
          <w:tcPr>
            <w:tcW w:w="1136" w:type="dxa"/>
          </w:tcPr>
          <w:p>
            <w:pPr>
              <w:pStyle w:val="nTable"/>
              <w:keepNext/>
              <w:keepLines/>
              <w:spacing w:after="40"/>
              <w:rPr>
                <w:snapToGrid w:val="0"/>
              </w:rPr>
            </w:pPr>
            <w:r>
              <w:t>31 Mar 2008</w:t>
            </w:r>
          </w:p>
        </w:tc>
        <w:tc>
          <w:tcPr>
            <w:tcW w:w="2551" w:type="dxa"/>
          </w:tcPr>
          <w:p>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trPr>
          <w:cantSplit/>
        </w:trPr>
        <w:tc>
          <w:tcPr>
            <w:tcW w:w="2267" w:type="dxa"/>
          </w:tcPr>
          <w:p>
            <w:pPr>
              <w:pStyle w:val="nTable"/>
              <w:spacing w:after="40"/>
              <w:ind w:right="113"/>
              <w:rPr>
                <w:i/>
                <w:iCs/>
              </w:rPr>
            </w:pPr>
            <w:r>
              <w:rPr>
                <w:i/>
                <w:iCs/>
              </w:rPr>
              <w:t xml:space="preserve">Parental Support and Responsibility Act 2008 </w:t>
            </w:r>
            <w:r>
              <w:t>Pt. 7 Div. 2</w:t>
            </w:r>
          </w:p>
        </w:tc>
        <w:tc>
          <w:tcPr>
            <w:tcW w:w="1134" w:type="dxa"/>
          </w:tcPr>
          <w:p>
            <w:pPr>
              <w:pStyle w:val="nTable"/>
              <w:keepNext/>
              <w:keepLines/>
              <w:spacing w:after="40"/>
            </w:pPr>
            <w:r>
              <w:t>14 of 2008</w:t>
            </w:r>
          </w:p>
        </w:tc>
        <w:tc>
          <w:tcPr>
            <w:tcW w:w="1136" w:type="dxa"/>
          </w:tcPr>
          <w:p>
            <w:pPr>
              <w:pStyle w:val="nTable"/>
              <w:keepNext/>
              <w:keepLines/>
              <w:spacing w:after="40"/>
            </w:pPr>
            <w:r>
              <w:t>15 Apr 2008</w:t>
            </w:r>
          </w:p>
        </w:tc>
        <w:tc>
          <w:tcPr>
            <w:tcW w:w="2551" w:type="dxa"/>
          </w:tcPr>
          <w:p>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trPr>
          <w:cantSplit/>
        </w:trPr>
        <w:tc>
          <w:tcPr>
            <w:tcW w:w="2267" w:type="dxa"/>
          </w:tcPr>
          <w:p>
            <w:pPr>
              <w:pStyle w:val="nTable"/>
              <w:spacing w:after="40"/>
              <w:ind w:right="113"/>
              <w:rPr>
                <w:i/>
                <w:iCs/>
              </w:rPr>
            </w:pPr>
            <w:r>
              <w:rPr>
                <w:i/>
                <w:iCs/>
                <w:snapToGrid w:val="0"/>
              </w:rPr>
              <w:t xml:space="preserve">Legal Profession Act 2008 </w:t>
            </w:r>
            <w:r>
              <w:rPr>
                <w:snapToGrid w:val="0"/>
              </w:rPr>
              <w:t>s. 714</w:t>
            </w:r>
          </w:p>
        </w:tc>
        <w:tc>
          <w:tcPr>
            <w:tcW w:w="1134" w:type="dxa"/>
          </w:tcPr>
          <w:p>
            <w:pPr>
              <w:pStyle w:val="nTable"/>
              <w:keepNext/>
              <w:keepLines/>
              <w:spacing w:after="40"/>
            </w:pPr>
            <w:r>
              <w:t>21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7" w:type="dxa"/>
          </w:tcPr>
          <w:p>
            <w:pPr>
              <w:pStyle w:val="nTable"/>
              <w:spacing w:after="40"/>
              <w:ind w:right="113"/>
              <w:rPr>
                <w:i/>
                <w:iCs/>
              </w:rPr>
            </w:pPr>
            <w:r>
              <w:rPr>
                <w:i/>
                <w:snapToGrid w:val="0"/>
              </w:rPr>
              <w:t xml:space="preserve">Medical Practitioners Act 2008 </w:t>
            </w:r>
            <w:r>
              <w:rPr>
                <w:iCs/>
                <w:snapToGrid w:val="0"/>
              </w:rPr>
              <w:t>Sch. 3 cl. 55</w:t>
            </w:r>
          </w:p>
        </w:tc>
        <w:tc>
          <w:tcPr>
            <w:tcW w:w="1134" w:type="dxa"/>
          </w:tcPr>
          <w:p>
            <w:pPr>
              <w:pStyle w:val="nTable"/>
              <w:keepNext/>
              <w:keepLines/>
              <w:spacing w:after="40"/>
            </w:pPr>
            <w:r>
              <w:t>22 of 2008</w:t>
            </w:r>
          </w:p>
        </w:tc>
        <w:tc>
          <w:tcPr>
            <w:tcW w:w="1136" w:type="dxa"/>
          </w:tcPr>
          <w:p>
            <w:pPr>
              <w:pStyle w:val="nTable"/>
              <w:keepNext/>
              <w:keepLines/>
              <w:spacing w:after="40"/>
            </w:pPr>
            <w:r>
              <w:t>27 May 2008</w:t>
            </w:r>
          </w:p>
        </w:tc>
        <w:tc>
          <w:tcPr>
            <w:tcW w:w="2551" w:type="dxa"/>
          </w:tcPr>
          <w:p>
            <w:pPr>
              <w:pStyle w:val="nTable"/>
              <w:keepNext/>
              <w:keepLines/>
              <w:spacing w:after="40"/>
              <w:rPr>
                <w:snapToGrid w:val="0"/>
              </w:rPr>
            </w:pPr>
            <w:r>
              <w:t xml:space="preserve">1 Dec 2008 (see s. 2 and </w:t>
            </w:r>
            <w:r>
              <w:rPr>
                <w:i/>
                <w:iCs/>
              </w:rPr>
              <w:t xml:space="preserve">Gazette </w:t>
            </w:r>
            <w:r>
              <w:t>25 Nov 2008 p. 4989)</w:t>
            </w:r>
          </w:p>
        </w:tc>
      </w:tr>
      <w:tr>
        <w:trPr>
          <w:cantSplit/>
        </w:trPr>
        <w:tc>
          <w:tcPr>
            <w:tcW w:w="2267" w:type="dxa"/>
          </w:tcPr>
          <w:p>
            <w:pPr>
              <w:pStyle w:val="nTable"/>
              <w:spacing w:after="40"/>
              <w:ind w:right="113"/>
              <w:rPr>
                <w:i/>
                <w:iCs/>
              </w:rPr>
            </w:pPr>
            <w:r>
              <w:rPr>
                <w:i/>
                <w:snapToGrid w:val="0"/>
              </w:rPr>
              <w:t>Criminal Law Amendment (Homicide) Act 2008</w:t>
            </w:r>
            <w:r>
              <w:rPr>
                <w:iCs/>
                <w:snapToGrid w:val="0"/>
              </w:rPr>
              <w:t xml:space="preserve"> s. 41</w:t>
            </w:r>
          </w:p>
        </w:tc>
        <w:tc>
          <w:tcPr>
            <w:tcW w:w="1134" w:type="dxa"/>
          </w:tcPr>
          <w:p>
            <w:pPr>
              <w:pStyle w:val="nTable"/>
              <w:keepNext/>
              <w:keepLines/>
              <w:spacing w:after="40"/>
            </w:pPr>
            <w:r>
              <w:t>29 of 2008</w:t>
            </w:r>
          </w:p>
        </w:tc>
        <w:tc>
          <w:tcPr>
            <w:tcW w:w="1136" w:type="dxa"/>
          </w:tcPr>
          <w:p>
            <w:pPr>
              <w:pStyle w:val="nTable"/>
              <w:keepNext/>
              <w:keepLines/>
              <w:spacing w:after="40"/>
            </w:pPr>
            <w:r>
              <w:t>27 Jun 2008</w:t>
            </w:r>
          </w:p>
        </w:tc>
        <w:tc>
          <w:tcPr>
            <w:tcW w:w="2551" w:type="dxa"/>
          </w:tcPr>
          <w:p>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trPr>
          <w:cantSplit/>
        </w:trPr>
        <w:tc>
          <w:tcPr>
            <w:tcW w:w="2267" w:type="dxa"/>
          </w:tcPr>
          <w:p>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7" w:type="dxa"/>
          </w:tcPr>
          <w:p>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7" w:type="dxa"/>
          </w:tcPr>
          <w:p>
            <w:pPr>
              <w:pStyle w:val="nTable"/>
              <w:spacing w:after="40"/>
              <w:ind w:right="113"/>
              <w:rPr>
                <w:i/>
                <w:snapToGrid w:val="0"/>
              </w:rPr>
            </w:pPr>
            <w:r>
              <w:rPr>
                <w:i/>
                <w:iCs/>
              </w:rPr>
              <w:t xml:space="preserve">Cannabis Law Reform Act 2010 </w:t>
            </w:r>
            <w:r>
              <w:t>Pt. 5</w:t>
            </w:r>
          </w:p>
        </w:tc>
        <w:tc>
          <w:tcPr>
            <w:tcW w:w="1134" w:type="dxa"/>
          </w:tcPr>
          <w:p>
            <w:pPr>
              <w:pStyle w:val="nTable"/>
              <w:spacing w:after="40"/>
              <w:rPr>
                <w:snapToGrid w:val="0"/>
              </w:rPr>
            </w:pPr>
            <w:r>
              <w:t>45 of 2010</w:t>
            </w:r>
          </w:p>
        </w:tc>
        <w:tc>
          <w:tcPr>
            <w:tcW w:w="1136" w:type="dxa"/>
          </w:tcPr>
          <w:p>
            <w:pPr>
              <w:pStyle w:val="nTable"/>
              <w:spacing w:after="40"/>
              <w:rPr>
                <w:snapToGrid w:val="0"/>
              </w:rPr>
            </w:pPr>
            <w:r>
              <w:t>28 Oct 2010</w:t>
            </w:r>
          </w:p>
        </w:tc>
        <w:tc>
          <w:tcPr>
            <w:tcW w:w="2551"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7" w:type="dxa"/>
            <w:shd w:val="clear" w:color="auto" w:fill="auto"/>
          </w:tcPr>
          <w:p>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pPr>
              <w:pStyle w:val="nTable"/>
              <w:spacing w:after="40"/>
              <w:rPr>
                <w:snapToGrid w:val="0"/>
              </w:rPr>
            </w:pPr>
            <w:r>
              <w:rPr>
                <w:snapToGrid w:val="0"/>
              </w:rPr>
              <w:t>26 of 2011</w:t>
            </w:r>
          </w:p>
        </w:tc>
        <w:tc>
          <w:tcPr>
            <w:tcW w:w="1136" w:type="dxa"/>
            <w:shd w:val="clear" w:color="auto" w:fill="auto"/>
          </w:tcPr>
          <w:p>
            <w:pPr>
              <w:pStyle w:val="nTable"/>
              <w:spacing w:after="40"/>
              <w:rPr>
                <w:snapToGrid w:val="0"/>
              </w:rPr>
            </w:pPr>
            <w:r>
              <w:rPr>
                <w:snapToGrid w:val="0"/>
              </w:rPr>
              <w:t>11 Jul 2011</w:t>
            </w:r>
          </w:p>
        </w:tc>
        <w:tc>
          <w:tcPr>
            <w:tcW w:w="2551" w:type="dxa"/>
            <w:shd w:val="clear" w:color="auto" w:fill="auto"/>
          </w:tcPr>
          <w:p>
            <w:pPr>
              <w:pStyle w:val="nTable"/>
              <w:spacing w:after="40"/>
              <w:rPr>
                <w:snapToGrid w:val="0"/>
              </w:rPr>
            </w:pPr>
            <w:r>
              <w:rPr>
                <w:snapToGrid w:val="0"/>
              </w:rPr>
              <w:t>12 Jul 2011 (see s. 2(b))</w:t>
            </w:r>
          </w:p>
        </w:tc>
      </w:tr>
      <w:tr>
        <w:trPr>
          <w:cantSplit/>
        </w:trPr>
        <w:tc>
          <w:tcPr>
            <w:tcW w:w="2267" w:type="dxa"/>
            <w:shd w:val="clear" w:color="auto" w:fill="auto"/>
          </w:tcPr>
          <w:p>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pPr>
              <w:pStyle w:val="nTable"/>
              <w:spacing w:after="40"/>
              <w:rPr>
                <w:snapToGrid w:val="0"/>
              </w:rPr>
            </w:pPr>
            <w:r>
              <w:rPr>
                <w:snapToGrid w:val="0"/>
              </w:rPr>
              <w:t>8 of 2012</w:t>
            </w:r>
          </w:p>
        </w:tc>
        <w:tc>
          <w:tcPr>
            <w:tcW w:w="1136" w:type="dxa"/>
            <w:shd w:val="clear" w:color="auto" w:fill="auto"/>
          </w:tcPr>
          <w:p>
            <w:pPr>
              <w:pStyle w:val="nTable"/>
              <w:spacing w:after="40"/>
              <w:rPr>
                <w:snapToGrid w:val="0"/>
              </w:rPr>
            </w:pPr>
            <w:r>
              <w:t>21 May 2012</w:t>
            </w:r>
          </w:p>
        </w:tc>
        <w:tc>
          <w:tcPr>
            <w:tcW w:w="2551" w:type="dxa"/>
            <w:shd w:val="clear" w:color="auto" w:fill="auto"/>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cantSplit/>
        </w:trPr>
        <w:tc>
          <w:tcPr>
            <w:tcW w:w="7088" w:type="dxa"/>
            <w:gridSpan w:val="4"/>
            <w:shd w:val="clear" w:color="auto" w:fill="auto"/>
          </w:tcPr>
          <w:p>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trPr>
          <w:cantSplit/>
        </w:trPr>
        <w:tc>
          <w:tcPr>
            <w:tcW w:w="2267" w:type="dxa"/>
            <w:shd w:val="clear" w:color="auto" w:fill="auto"/>
          </w:tcPr>
          <w:p>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t>29 Nov 2012</w:t>
            </w:r>
          </w:p>
        </w:tc>
        <w:tc>
          <w:tcPr>
            <w:tcW w:w="2551" w:type="dxa"/>
            <w:shd w:val="clear" w:color="auto" w:fill="auto"/>
          </w:tcPr>
          <w:p>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trPr>
          <w:cantSplit/>
        </w:trPr>
        <w:tc>
          <w:tcPr>
            <w:tcW w:w="2267" w:type="dxa"/>
            <w:shd w:val="clear" w:color="auto" w:fill="auto"/>
          </w:tcPr>
          <w:p>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pPr>
              <w:pStyle w:val="nTable"/>
              <w:spacing w:after="40"/>
              <w:rPr>
                <w:snapToGrid w:val="0"/>
              </w:rPr>
            </w:pPr>
            <w:r>
              <w:t>20 of 2013</w:t>
            </w:r>
          </w:p>
        </w:tc>
        <w:tc>
          <w:tcPr>
            <w:tcW w:w="1136" w:type="dxa"/>
            <w:shd w:val="clear" w:color="auto" w:fill="auto"/>
          </w:tcPr>
          <w:p>
            <w:pPr>
              <w:pStyle w:val="nTable"/>
              <w:spacing w:after="40"/>
            </w:pPr>
            <w:r>
              <w:t>4 Nov 2013</w:t>
            </w:r>
          </w:p>
        </w:tc>
        <w:tc>
          <w:tcPr>
            <w:tcW w:w="2551" w:type="dxa"/>
            <w:shd w:val="clear" w:color="auto" w:fill="auto"/>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c>
          <w:tcPr>
            <w:tcW w:w="2267" w:type="dxa"/>
            <w:tcBorders>
              <w:top w:val="nil"/>
              <w:bottom w:val="nil"/>
            </w:tcBorders>
          </w:tcPr>
          <w:p>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pPr>
              <w:pStyle w:val="nTable"/>
              <w:spacing w:after="40"/>
              <w:rPr>
                <w:snapToGrid w:val="0"/>
              </w:rPr>
            </w:pPr>
            <w:r>
              <w:rPr>
                <w:snapToGrid w:val="0"/>
              </w:rPr>
              <w:t>25 of 2014</w:t>
            </w:r>
          </w:p>
        </w:tc>
        <w:tc>
          <w:tcPr>
            <w:tcW w:w="1136" w:type="dxa"/>
            <w:tcBorders>
              <w:top w:val="nil"/>
              <w:bottom w:val="nil"/>
            </w:tcBorders>
          </w:tcPr>
          <w:p>
            <w:pPr>
              <w:pStyle w:val="nTable"/>
              <w:spacing w:after="40"/>
              <w:rPr>
                <w:snapToGrid w:val="0"/>
              </w:rPr>
            </w:pPr>
            <w:r>
              <w:t>3 Nov 2014</w:t>
            </w:r>
          </w:p>
        </w:tc>
        <w:tc>
          <w:tcPr>
            <w:tcW w:w="2551" w:type="dxa"/>
            <w:tcBorders>
              <w:top w:val="nil"/>
              <w:bottom w:val="nil"/>
            </w:tcBorders>
          </w:tcPr>
          <w:p>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trPr>
          <w:cantSplit/>
        </w:trPr>
        <w:tc>
          <w:tcPr>
            <w:tcW w:w="2267" w:type="dxa"/>
            <w:shd w:val="clear" w:color="auto" w:fill="auto"/>
          </w:tcPr>
          <w:p>
            <w:pPr>
              <w:pStyle w:val="nTable"/>
              <w:spacing w:after="40"/>
              <w:ind w:right="113"/>
              <w:rPr>
                <w:i/>
              </w:rPr>
            </w:pPr>
            <w:r>
              <w:rPr>
                <w:i/>
              </w:rPr>
              <w:t>Custodial Legislation (Officers Discipline) Amendment Act 2014</w:t>
            </w:r>
            <w:r>
              <w:t xml:space="preserve"> Pt. 3</w:t>
            </w:r>
          </w:p>
        </w:tc>
        <w:tc>
          <w:tcPr>
            <w:tcW w:w="1134" w:type="dxa"/>
            <w:shd w:val="clear" w:color="auto" w:fill="auto"/>
          </w:tcPr>
          <w:p>
            <w:pPr>
              <w:pStyle w:val="nTable"/>
              <w:spacing w:after="40"/>
            </w:pPr>
            <w:r>
              <w:rPr>
                <w:snapToGrid w:val="0"/>
              </w:rPr>
              <w:t>29 of 2014</w:t>
            </w:r>
          </w:p>
        </w:tc>
        <w:tc>
          <w:tcPr>
            <w:tcW w:w="1136" w:type="dxa"/>
            <w:shd w:val="clear" w:color="auto" w:fill="auto"/>
          </w:tcPr>
          <w:p>
            <w:pPr>
              <w:pStyle w:val="nTable"/>
              <w:spacing w:after="40"/>
            </w:pPr>
            <w:r>
              <w:t>3 Dec 2014</w:t>
            </w:r>
          </w:p>
        </w:tc>
        <w:tc>
          <w:tcPr>
            <w:tcW w:w="2551" w:type="dxa"/>
            <w:shd w:val="clear" w:color="auto" w:fill="auto"/>
          </w:tcPr>
          <w:p>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trPr>
          <w:cantSplit/>
        </w:trPr>
        <w:tc>
          <w:tcPr>
            <w:tcW w:w="2267" w:type="dxa"/>
            <w:shd w:val="clear" w:color="auto" w:fill="auto"/>
          </w:tcPr>
          <w:p>
            <w:pPr>
              <w:pStyle w:val="nTable"/>
              <w:spacing w:after="40"/>
              <w:ind w:right="113"/>
              <w:rPr>
                <w:i/>
              </w:rPr>
            </w:pPr>
            <w:r>
              <w:rPr>
                <w:i/>
              </w:rPr>
              <w:t>Declared Places (Mentally Impaired Accused) Act 2015</w:t>
            </w:r>
            <w:r>
              <w:t xml:space="preserve"> s. 89</w:t>
            </w:r>
          </w:p>
        </w:tc>
        <w:tc>
          <w:tcPr>
            <w:tcW w:w="1134" w:type="dxa"/>
            <w:shd w:val="clear" w:color="auto" w:fill="auto"/>
          </w:tcPr>
          <w:p>
            <w:pPr>
              <w:pStyle w:val="nTable"/>
              <w:spacing w:after="40"/>
            </w:pPr>
            <w:r>
              <w:t>4 of 2015</w:t>
            </w:r>
          </w:p>
        </w:tc>
        <w:tc>
          <w:tcPr>
            <w:tcW w:w="1136" w:type="dxa"/>
            <w:shd w:val="clear" w:color="auto" w:fill="auto"/>
          </w:tcPr>
          <w:p>
            <w:pPr>
              <w:pStyle w:val="nTable"/>
              <w:spacing w:after="40"/>
            </w:pPr>
            <w:r>
              <w:t>3 Mar 2015</w:t>
            </w:r>
          </w:p>
        </w:tc>
        <w:tc>
          <w:tcPr>
            <w:tcW w:w="2551" w:type="dxa"/>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cantSplit/>
        </w:trPr>
        <w:tc>
          <w:tcPr>
            <w:tcW w:w="2267" w:type="dxa"/>
            <w:shd w:val="clear" w:color="auto" w:fill="auto"/>
          </w:tcPr>
          <w:p>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pPr>
              <w:pStyle w:val="nTable"/>
              <w:spacing w:after="40"/>
            </w:pPr>
            <w:r>
              <w:t>23 of 2015</w:t>
            </w:r>
          </w:p>
        </w:tc>
        <w:tc>
          <w:tcPr>
            <w:tcW w:w="1136" w:type="dxa"/>
            <w:shd w:val="clear" w:color="auto" w:fill="auto"/>
          </w:tcPr>
          <w:p>
            <w:pPr>
              <w:pStyle w:val="nTable"/>
              <w:spacing w:after="40"/>
            </w:pPr>
            <w:r>
              <w:t>17 Sep 2015</w:t>
            </w:r>
          </w:p>
        </w:tc>
        <w:tc>
          <w:tcPr>
            <w:tcW w:w="2551" w:type="dxa"/>
            <w:shd w:val="clear" w:color="auto" w:fill="auto"/>
          </w:tcPr>
          <w:p>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trPr>
          <w:cantSplit/>
        </w:trPr>
        <w:tc>
          <w:tcPr>
            <w:tcW w:w="7088" w:type="dxa"/>
            <w:gridSpan w:val="4"/>
            <w:shd w:val="clear" w:color="auto" w:fill="auto"/>
          </w:tcPr>
          <w:p>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trPr>
          <w:cantSplit/>
        </w:trPr>
        <w:tc>
          <w:tcPr>
            <w:tcW w:w="2267" w:type="dxa"/>
            <w:shd w:val="clear" w:color="auto" w:fill="auto"/>
          </w:tcPr>
          <w:p>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pPr>
              <w:pStyle w:val="nTable"/>
              <w:spacing w:after="40"/>
            </w:pPr>
            <w:r>
              <w:t>16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trPr>
          <w:cantSplit/>
        </w:trPr>
        <w:tc>
          <w:tcPr>
            <w:tcW w:w="2267" w:type="dxa"/>
            <w:shd w:val="clear" w:color="auto" w:fill="auto"/>
          </w:tcPr>
          <w:p>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pPr>
              <w:pStyle w:val="nTable"/>
              <w:spacing w:after="40"/>
            </w:pPr>
            <w:r>
              <w:t>17 of 2016</w:t>
            </w:r>
          </w:p>
        </w:tc>
        <w:tc>
          <w:tcPr>
            <w:tcW w:w="1136" w:type="dxa"/>
            <w:shd w:val="clear" w:color="auto" w:fill="auto"/>
          </w:tcPr>
          <w:p>
            <w:pPr>
              <w:pStyle w:val="nTable"/>
              <w:spacing w:after="40"/>
            </w:pPr>
            <w:r>
              <w:t>11 Jul 2016</w:t>
            </w:r>
          </w:p>
        </w:tc>
        <w:tc>
          <w:tcPr>
            <w:tcW w:w="2551" w:type="dxa"/>
            <w:shd w:val="clear" w:color="auto" w:fill="auto"/>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7" w:type="dxa"/>
            <w:shd w:val="clear" w:color="auto" w:fill="auto"/>
          </w:tcPr>
          <w:p>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pPr>
              <w:pStyle w:val="nTable"/>
              <w:spacing w:after="40"/>
            </w:pPr>
            <w:r>
              <w:t>25 of 2016</w:t>
            </w:r>
          </w:p>
        </w:tc>
        <w:tc>
          <w:tcPr>
            <w:tcW w:w="1136" w:type="dxa"/>
            <w:shd w:val="clear" w:color="auto" w:fill="auto"/>
          </w:tcPr>
          <w:p>
            <w:pPr>
              <w:pStyle w:val="nTable"/>
              <w:spacing w:after="40"/>
            </w:pPr>
            <w:r>
              <w:t>21 Sep 2016</w:t>
            </w:r>
          </w:p>
        </w:tc>
        <w:tc>
          <w:tcPr>
            <w:tcW w:w="2551" w:type="dxa"/>
            <w:shd w:val="clear" w:color="auto" w:fill="auto"/>
          </w:tcPr>
          <w:p>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trPr>
          <w:cantSplit/>
        </w:trPr>
        <w:tc>
          <w:tcPr>
            <w:tcW w:w="2267" w:type="dxa"/>
            <w:shd w:val="clear" w:color="auto" w:fill="auto"/>
          </w:tcPr>
          <w:p>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pPr>
              <w:pStyle w:val="nTable"/>
              <w:spacing w:after="40"/>
            </w:pPr>
            <w:r>
              <w:t>51 of 2016</w:t>
            </w:r>
          </w:p>
        </w:tc>
        <w:tc>
          <w:tcPr>
            <w:tcW w:w="1136" w:type="dxa"/>
            <w:shd w:val="clear" w:color="auto" w:fill="auto"/>
          </w:tcPr>
          <w:p>
            <w:pPr>
              <w:pStyle w:val="nTable"/>
              <w:spacing w:after="40"/>
            </w:pPr>
            <w:r>
              <w:t>28 Nov 2016</w:t>
            </w:r>
          </w:p>
        </w:tc>
        <w:tc>
          <w:tcPr>
            <w:tcW w:w="2551" w:type="dxa"/>
            <w:shd w:val="clear" w:color="auto" w:fill="auto"/>
          </w:tcPr>
          <w:p>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trPr>
          <w:cantSplit/>
        </w:trPr>
        <w:tc>
          <w:tcPr>
            <w:tcW w:w="7088" w:type="dxa"/>
            <w:gridSpan w:val="4"/>
            <w:shd w:val="clear" w:color="auto" w:fill="auto"/>
          </w:tcPr>
          <w:p>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trPr>
          <w:cantSplit/>
        </w:trPr>
        <w:tc>
          <w:tcPr>
            <w:tcW w:w="2267" w:type="dxa"/>
            <w:shd w:val="clear" w:color="auto" w:fill="auto"/>
          </w:tcPr>
          <w:p>
            <w:pPr>
              <w:pStyle w:val="nTable"/>
              <w:spacing w:after="40"/>
              <w:ind w:right="113"/>
              <w:rPr>
                <w:i/>
              </w:rPr>
            </w:pPr>
            <w:r>
              <w:rPr>
                <w:i/>
              </w:rPr>
              <w:t>Industrial Relations Amendment Act 2018</w:t>
            </w:r>
            <w:r>
              <w:t xml:space="preserve"> s. 72</w:t>
            </w:r>
          </w:p>
        </w:tc>
        <w:tc>
          <w:tcPr>
            <w:tcW w:w="1134" w:type="dxa"/>
            <w:shd w:val="clear" w:color="auto" w:fill="auto"/>
          </w:tcPr>
          <w:p>
            <w:pPr>
              <w:pStyle w:val="nTable"/>
              <w:spacing w:after="40"/>
            </w:pPr>
            <w:r>
              <w:t>39 of 2018</w:t>
            </w:r>
          </w:p>
        </w:tc>
        <w:tc>
          <w:tcPr>
            <w:tcW w:w="1136" w:type="dxa"/>
            <w:shd w:val="clear" w:color="auto" w:fill="auto"/>
          </w:tcPr>
          <w:p>
            <w:pPr>
              <w:pStyle w:val="nTable"/>
              <w:spacing w:after="40"/>
            </w:pPr>
            <w:r>
              <w:t>12 Dec 2018</w:t>
            </w:r>
          </w:p>
        </w:tc>
        <w:tc>
          <w:tcPr>
            <w:tcW w:w="2551" w:type="dxa"/>
            <w:shd w:val="clear" w:color="auto" w:fill="auto"/>
          </w:tcPr>
          <w:p>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trPr>
          <w:cantSplit/>
        </w:trPr>
        <w:tc>
          <w:tcPr>
            <w:tcW w:w="2267" w:type="dxa"/>
            <w:shd w:val="clear" w:color="auto" w:fill="auto"/>
          </w:tcPr>
          <w:p>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pPr>
              <w:pStyle w:val="nTable"/>
              <w:spacing w:after="40"/>
            </w:pPr>
            <w:r>
              <w:t>27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1 Jul 2021 (see s. 2(1)(b) and SL 2021/54 cl. 2(d))</w:t>
            </w:r>
          </w:p>
        </w:tc>
      </w:tr>
      <w:tr>
        <w:trPr>
          <w:cantSplit/>
        </w:trPr>
        <w:tc>
          <w:tcPr>
            <w:tcW w:w="2267" w:type="dxa"/>
            <w:shd w:val="clear" w:color="auto" w:fill="auto"/>
          </w:tcPr>
          <w:p>
            <w:pPr>
              <w:pStyle w:val="nTable"/>
              <w:spacing w:after="40"/>
              <w:ind w:right="113"/>
              <w:rPr>
                <w:i/>
              </w:rPr>
            </w:pPr>
            <w:r>
              <w:rPr>
                <w:i/>
              </w:rPr>
              <w:t>High Risk Serious Offenders Act 2020</w:t>
            </w:r>
            <w:r>
              <w:t xml:space="preserve"> s. 121</w:t>
            </w:r>
          </w:p>
        </w:tc>
        <w:tc>
          <w:tcPr>
            <w:tcW w:w="1134" w:type="dxa"/>
            <w:shd w:val="clear" w:color="auto" w:fill="auto"/>
          </w:tcPr>
          <w:p>
            <w:pPr>
              <w:pStyle w:val="nTable"/>
              <w:spacing w:after="40"/>
            </w:pPr>
            <w:r>
              <w:t>29 of 2020</w:t>
            </w:r>
          </w:p>
        </w:tc>
        <w:tc>
          <w:tcPr>
            <w:tcW w:w="1136" w:type="dxa"/>
            <w:shd w:val="clear" w:color="auto" w:fill="auto"/>
          </w:tcPr>
          <w:p>
            <w:pPr>
              <w:pStyle w:val="nTable"/>
              <w:spacing w:after="40"/>
            </w:pPr>
            <w:r>
              <w:t>9 Jul 2020</w:t>
            </w:r>
          </w:p>
        </w:tc>
        <w:tc>
          <w:tcPr>
            <w:tcW w:w="2551" w:type="dxa"/>
            <w:shd w:val="clear" w:color="auto" w:fill="auto"/>
          </w:tcPr>
          <w:p>
            <w:pPr>
              <w:pStyle w:val="nTable"/>
              <w:spacing w:after="40"/>
              <w:rPr>
                <w:snapToGrid w:val="0"/>
              </w:rPr>
            </w:pPr>
            <w:r>
              <w:t>26 Aug 2020 (see s. 2(1)(c) and SL 2020/131 cl. 2)</w:t>
            </w:r>
          </w:p>
        </w:tc>
      </w:tr>
      <w:tr>
        <w:trPr>
          <w:cantSplit/>
        </w:trPr>
        <w:tc>
          <w:tcPr>
            <w:tcW w:w="2267" w:type="dxa"/>
            <w:shd w:val="clear" w:color="auto" w:fill="auto"/>
          </w:tcPr>
          <w:p>
            <w:pPr>
              <w:pStyle w:val="nTable"/>
              <w:spacing w:after="40"/>
              <w:ind w:right="113"/>
              <w:rPr>
                <w:i/>
              </w:rPr>
            </w:pPr>
            <w:r>
              <w:rPr>
                <w:i/>
              </w:rPr>
              <w:t>Legal Profession Uniform Law Application Act 2022</w:t>
            </w:r>
            <w:r>
              <w:t xml:space="preserve"> Pt. 17 Div. 23</w:t>
            </w:r>
          </w:p>
        </w:tc>
        <w:tc>
          <w:tcPr>
            <w:tcW w:w="1134" w:type="dxa"/>
            <w:shd w:val="clear" w:color="auto" w:fill="auto"/>
          </w:tcPr>
          <w:p>
            <w:pPr>
              <w:pStyle w:val="nTable"/>
              <w:spacing w:after="40"/>
            </w:pPr>
            <w:r>
              <w:t>9 of 2022</w:t>
            </w:r>
          </w:p>
        </w:tc>
        <w:tc>
          <w:tcPr>
            <w:tcW w:w="1136" w:type="dxa"/>
            <w:shd w:val="clear" w:color="auto" w:fill="auto"/>
          </w:tcPr>
          <w:p>
            <w:pPr>
              <w:pStyle w:val="nTable"/>
              <w:spacing w:after="40"/>
            </w:pPr>
            <w:r>
              <w:t>14 Apr 2022</w:t>
            </w:r>
          </w:p>
        </w:tc>
        <w:tc>
          <w:tcPr>
            <w:tcW w:w="2551" w:type="dxa"/>
            <w:shd w:val="clear" w:color="auto" w:fill="auto"/>
          </w:tcPr>
          <w:p>
            <w:pPr>
              <w:pStyle w:val="nTable"/>
              <w:spacing w:after="40"/>
            </w:pPr>
            <w:r>
              <w:rPr>
                <w:snapToGrid w:val="0"/>
              </w:rPr>
              <w:t>1 Jul 2022 (see s. 2(c) and SL 2022/113 cl. 2)</w:t>
            </w:r>
          </w:p>
        </w:tc>
      </w:tr>
      <w:tr>
        <w:trPr>
          <w:cantSplit/>
        </w:trPr>
        <w:tc>
          <w:tcPr>
            <w:tcW w:w="2267" w:type="dxa"/>
            <w:shd w:val="clear" w:color="auto" w:fill="auto"/>
          </w:tcPr>
          <w:p>
            <w:pPr>
              <w:pStyle w:val="nTable"/>
              <w:spacing w:after="40"/>
              <w:ind w:right="113"/>
              <w:rPr>
                <w:i/>
              </w:rPr>
            </w:pPr>
            <w:r>
              <w:rPr>
                <w:i/>
              </w:rPr>
              <w:t xml:space="preserve">Sentencing Legislation Amendment (Persons Linked to Terrorism) Act 2022 </w:t>
            </w:r>
            <w:r>
              <w:t>Pt. 3</w:t>
            </w:r>
          </w:p>
        </w:tc>
        <w:tc>
          <w:tcPr>
            <w:tcW w:w="1134" w:type="dxa"/>
            <w:shd w:val="clear" w:color="auto" w:fill="auto"/>
          </w:tcPr>
          <w:p>
            <w:pPr>
              <w:pStyle w:val="nTable"/>
              <w:spacing w:after="40"/>
            </w:pPr>
            <w:r>
              <w:t>14 of 2022</w:t>
            </w:r>
          </w:p>
        </w:tc>
        <w:tc>
          <w:tcPr>
            <w:tcW w:w="1136" w:type="dxa"/>
            <w:shd w:val="clear" w:color="auto" w:fill="auto"/>
          </w:tcPr>
          <w:p>
            <w:pPr>
              <w:pStyle w:val="nTable"/>
              <w:spacing w:after="40"/>
            </w:pPr>
            <w:r>
              <w:t>18 May 2022</w:t>
            </w:r>
          </w:p>
        </w:tc>
        <w:tc>
          <w:tcPr>
            <w:tcW w:w="2551" w:type="dxa"/>
            <w:shd w:val="clear" w:color="auto" w:fill="auto"/>
          </w:tcPr>
          <w:p>
            <w:pPr>
              <w:pStyle w:val="nTable"/>
              <w:spacing w:after="40"/>
              <w:rPr>
                <w:snapToGrid w:val="0"/>
              </w:rPr>
            </w:pPr>
            <w:r>
              <w:rPr>
                <w:snapToGrid w:val="0"/>
              </w:rPr>
              <w:t>11 Nov 2022 (see s. 2(b) and SL 2022/182 cl. 2)</w:t>
            </w:r>
          </w:p>
        </w:tc>
      </w:tr>
      <w:tr>
        <w:trPr>
          <w:cantSplit/>
        </w:trPr>
        <w:tc>
          <w:tcPr>
            <w:tcW w:w="2267" w:type="dxa"/>
            <w:shd w:val="clear" w:color="auto" w:fill="auto"/>
          </w:tcPr>
          <w:p>
            <w:pPr>
              <w:pStyle w:val="nTable"/>
              <w:spacing w:after="40"/>
              <w:ind w:right="113"/>
              <w:rPr>
                <w:i/>
              </w:rPr>
            </w:pPr>
            <w:r>
              <w:rPr>
                <w:i/>
              </w:rPr>
              <w:t>Criminal Law (Mental Impairment) Act 2023</w:t>
            </w:r>
            <w:r>
              <w:t xml:space="preserve"> Pt. 15 Div. 29 and s. 409</w:t>
            </w:r>
            <w:r>
              <w:noBreakHyphen/>
              <w:t>411</w:t>
            </w:r>
          </w:p>
        </w:tc>
        <w:tc>
          <w:tcPr>
            <w:tcW w:w="1134" w:type="dxa"/>
            <w:shd w:val="clear" w:color="auto" w:fill="auto"/>
          </w:tcPr>
          <w:p>
            <w:pPr>
              <w:pStyle w:val="nTable"/>
              <w:spacing w:after="40"/>
            </w:pPr>
            <w:r>
              <w:t>10 of 2023</w:t>
            </w:r>
          </w:p>
        </w:tc>
        <w:tc>
          <w:tcPr>
            <w:tcW w:w="1136" w:type="dxa"/>
            <w:shd w:val="clear" w:color="auto" w:fill="auto"/>
          </w:tcPr>
          <w:p>
            <w:pPr>
              <w:pStyle w:val="nTable"/>
              <w:spacing w:after="40"/>
            </w:pPr>
            <w:r>
              <w:t>13 Apr 2023</w:t>
            </w:r>
          </w:p>
        </w:tc>
        <w:tc>
          <w:tcPr>
            <w:tcW w:w="2551" w:type="dxa"/>
            <w:shd w:val="clear" w:color="auto" w:fill="auto"/>
          </w:tcPr>
          <w:p>
            <w:pPr>
              <w:pStyle w:val="nTable"/>
              <w:spacing w:after="40"/>
              <w:rPr>
                <w:snapToGrid w:val="0"/>
              </w:rPr>
            </w:pPr>
            <w:r>
              <w:rPr>
                <w:snapToGrid w:val="0"/>
              </w:rPr>
              <w:t>1 Sep 2024 (see s. 2(b) and SL 2024/175 cl. 2)</w:t>
            </w:r>
          </w:p>
        </w:tc>
      </w:tr>
      <w:tr>
        <w:trPr>
          <w:cantSplit/>
        </w:trPr>
        <w:tc>
          <w:tcPr>
            <w:tcW w:w="2267" w:type="dxa"/>
            <w:shd w:val="clear" w:color="auto" w:fill="auto"/>
          </w:tcPr>
          <w:p>
            <w:pPr>
              <w:pStyle w:val="nTable"/>
              <w:spacing w:after="40"/>
              <w:ind w:right="113"/>
              <w:rPr>
                <w:i/>
              </w:rPr>
            </w:pPr>
            <w:r>
              <w:rPr>
                <w:i/>
              </w:rPr>
              <w:lastRenderedPageBreak/>
              <w:t>Young Offenders Amendment Act 2023</w:t>
            </w:r>
          </w:p>
        </w:tc>
        <w:tc>
          <w:tcPr>
            <w:tcW w:w="1134" w:type="dxa"/>
            <w:shd w:val="clear" w:color="auto" w:fill="auto"/>
          </w:tcPr>
          <w:p>
            <w:pPr>
              <w:pStyle w:val="nTable"/>
              <w:spacing w:after="40"/>
            </w:pPr>
            <w:r>
              <w:t>15 of 2023</w:t>
            </w:r>
          </w:p>
        </w:tc>
        <w:tc>
          <w:tcPr>
            <w:tcW w:w="1136" w:type="dxa"/>
            <w:shd w:val="clear" w:color="auto" w:fill="auto"/>
          </w:tcPr>
          <w:p>
            <w:pPr>
              <w:pStyle w:val="nTable"/>
              <w:spacing w:after="40"/>
            </w:pPr>
            <w:r>
              <w:t>26 Jun 2023</w:t>
            </w:r>
          </w:p>
        </w:tc>
        <w:tc>
          <w:tcPr>
            <w:tcW w:w="2551" w:type="dxa"/>
            <w:shd w:val="clear" w:color="auto" w:fill="auto"/>
          </w:tcPr>
          <w:p>
            <w:pPr>
              <w:pStyle w:val="nTable"/>
              <w:spacing w:after="40"/>
              <w:rPr>
                <w:snapToGrid w:val="0"/>
              </w:rPr>
            </w:pPr>
            <w:r>
              <w:t xml:space="preserve">s. 1 and 2: 26 Jun 2023 (see s. 2(a)); </w:t>
            </w:r>
            <w:r>
              <w:br/>
            </w:r>
            <w:r>
              <w:rPr>
                <w:color w:val="000000"/>
              </w:rPr>
              <w:t>Act other than s. 1 and 2: 27 Jun 2023</w:t>
            </w:r>
            <w:r>
              <w:t xml:space="preserve"> (see s. 2(b))</w:t>
            </w:r>
          </w:p>
        </w:tc>
      </w:tr>
      <w:tr>
        <w:trPr>
          <w:cantSplit/>
        </w:trPr>
        <w:tc>
          <w:tcPr>
            <w:tcW w:w="2267" w:type="dxa"/>
            <w:shd w:val="clear" w:color="auto" w:fill="auto"/>
          </w:tcPr>
          <w:p>
            <w:pPr>
              <w:pStyle w:val="nTable"/>
              <w:spacing w:after="40"/>
              <w:ind w:right="113"/>
              <w:rPr>
                <w:i/>
              </w:rPr>
            </w:pPr>
            <w:r>
              <w:rPr>
                <w:i/>
              </w:rPr>
              <w:t>Workers Compensation and Injury Management Act 2023</w:t>
            </w:r>
            <w:r>
              <w:rPr>
                <w:iCs/>
              </w:rPr>
              <w:t xml:space="preserve"> s. 709</w:t>
            </w:r>
          </w:p>
        </w:tc>
        <w:tc>
          <w:tcPr>
            <w:tcW w:w="1134" w:type="dxa"/>
            <w:shd w:val="clear" w:color="auto" w:fill="auto"/>
          </w:tcPr>
          <w:p>
            <w:pPr>
              <w:pStyle w:val="nTable"/>
              <w:spacing w:after="40"/>
            </w:pPr>
            <w:r>
              <w:t>21 of 2023</w:t>
            </w:r>
          </w:p>
        </w:tc>
        <w:tc>
          <w:tcPr>
            <w:tcW w:w="1136" w:type="dxa"/>
            <w:shd w:val="clear" w:color="auto" w:fill="auto"/>
          </w:tcPr>
          <w:p>
            <w:pPr>
              <w:pStyle w:val="nTable"/>
              <w:spacing w:after="40"/>
            </w:pPr>
            <w:r>
              <w:t>24 Oct 2023</w:t>
            </w:r>
          </w:p>
        </w:tc>
        <w:tc>
          <w:tcPr>
            <w:tcW w:w="2551" w:type="dxa"/>
            <w:shd w:val="clear" w:color="auto" w:fill="auto"/>
          </w:tcPr>
          <w:p>
            <w:pPr>
              <w:pStyle w:val="nTable"/>
              <w:spacing w:after="40"/>
            </w:pPr>
            <w:r>
              <w:rPr>
                <w:noProof/>
              </w:rPr>
              <w:t>1 Jul 2024</w:t>
            </w:r>
            <w:r>
              <w:rPr>
                <w:snapToGrid w:val="0"/>
              </w:rPr>
              <w:t xml:space="preserve"> (see s. 2(d)</w:t>
            </w:r>
            <w:r>
              <w:rPr>
                <w:noProof/>
              </w:rPr>
              <w:t xml:space="preserve"> and SL 2024/34 cl. 2</w:t>
            </w:r>
            <w:r>
              <w:rPr>
                <w:snapToGrid w:val="0"/>
              </w:rPr>
              <w:t>)</w:t>
            </w:r>
          </w:p>
        </w:tc>
      </w:tr>
      <w:tr>
        <w:trPr>
          <w:cantSplit/>
        </w:trPr>
        <w:tc>
          <w:tcPr>
            <w:tcW w:w="2267" w:type="dxa"/>
            <w:shd w:val="clear" w:color="auto" w:fill="auto"/>
          </w:tcPr>
          <w:p>
            <w:pPr>
              <w:pStyle w:val="nTable"/>
              <w:spacing w:after="40"/>
              <w:ind w:right="113"/>
              <w:rPr>
                <w:i/>
              </w:rPr>
            </w:pPr>
            <w:r>
              <w:rPr>
                <w:i/>
              </w:rPr>
              <w:t>Western Australian Marine Amendment Act 2023</w:t>
            </w:r>
            <w:r>
              <w:rPr>
                <w:iCs/>
              </w:rPr>
              <w:t xml:space="preserve"> s. 39</w:t>
            </w:r>
          </w:p>
        </w:tc>
        <w:tc>
          <w:tcPr>
            <w:tcW w:w="1134" w:type="dxa"/>
            <w:shd w:val="clear" w:color="auto" w:fill="auto"/>
          </w:tcPr>
          <w:p>
            <w:pPr>
              <w:pStyle w:val="nTable"/>
              <w:spacing w:after="40"/>
            </w:pPr>
            <w:r>
              <w:t>31 of 2023</w:t>
            </w:r>
          </w:p>
        </w:tc>
        <w:tc>
          <w:tcPr>
            <w:tcW w:w="1136" w:type="dxa"/>
            <w:shd w:val="clear" w:color="auto" w:fill="auto"/>
          </w:tcPr>
          <w:p>
            <w:pPr>
              <w:pStyle w:val="nTable"/>
              <w:spacing w:after="40"/>
            </w:pPr>
            <w:r>
              <w:t>11 Dec 2023</w:t>
            </w:r>
          </w:p>
        </w:tc>
        <w:tc>
          <w:tcPr>
            <w:tcW w:w="2551" w:type="dxa"/>
            <w:shd w:val="clear" w:color="auto" w:fill="auto"/>
          </w:tcPr>
          <w:p>
            <w:pPr>
              <w:pStyle w:val="nTable"/>
              <w:spacing w:after="40"/>
            </w:pPr>
            <w:r>
              <w:t>21 Dec 2023 (see s. 2(c) and SL 2023/202 cl. 2(a))</w:t>
            </w:r>
          </w:p>
        </w:tc>
      </w:tr>
      <w:tr>
        <w:trPr>
          <w:cantSplit/>
        </w:trPr>
        <w:tc>
          <w:tcPr>
            <w:tcW w:w="2267" w:type="dxa"/>
            <w:tcBorders>
              <w:bottom w:val="single" w:sz="4" w:space="0" w:color="auto"/>
            </w:tcBorders>
            <w:shd w:val="clear" w:color="auto" w:fill="auto"/>
          </w:tcPr>
          <w:p>
            <w:pPr>
              <w:pStyle w:val="nTable"/>
              <w:spacing w:after="40"/>
              <w:ind w:right="113"/>
              <w:rPr>
                <w:i/>
              </w:rPr>
            </w:pPr>
            <w:r>
              <w:rPr>
                <w:i/>
              </w:rPr>
              <w:t>Criminal Code Amendment Act 2024</w:t>
            </w:r>
            <w:r>
              <w:rPr>
                <w:iCs/>
              </w:rPr>
              <w:t xml:space="preserve"> s. 9</w:t>
            </w:r>
          </w:p>
        </w:tc>
        <w:tc>
          <w:tcPr>
            <w:tcW w:w="1134" w:type="dxa"/>
            <w:tcBorders>
              <w:bottom w:val="single" w:sz="4" w:space="0" w:color="auto"/>
            </w:tcBorders>
            <w:shd w:val="clear" w:color="auto" w:fill="auto"/>
          </w:tcPr>
          <w:p>
            <w:pPr>
              <w:pStyle w:val="nTable"/>
              <w:spacing w:after="40"/>
            </w:pPr>
            <w:r>
              <w:t>16 of 2024</w:t>
            </w:r>
          </w:p>
        </w:tc>
        <w:tc>
          <w:tcPr>
            <w:tcW w:w="1136" w:type="dxa"/>
            <w:tcBorders>
              <w:bottom w:val="single" w:sz="4" w:space="0" w:color="auto"/>
            </w:tcBorders>
            <w:shd w:val="clear" w:color="auto" w:fill="auto"/>
          </w:tcPr>
          <w:p>
            <w:pPr>
              <w:pStyle w:val="nTable"/>
              <w:spacing w:after="40"/>
            </w:pPr>
            <w:r>
              <w:t>14 May 2024</w:t>
            </w:r>
          </w:p>
        </w:tc>
        <w:tc>
          <w:tcPr>
            <w:tcW w:w="2551" w:type="dxa"/>
            <w:tcBorders>
              <w:bottom w:val="single" w:sz="4" w:space="0" w:color="auto"/>
            </w:tcBorders>
            <w:shd w:val="clear" w:color="auto" w:fill="auto"/>
          </w:tcPr>
          <w:p>
            <w:pPr>
              <w:pStyle w:val="nTable"/>
              <w:spacing w:after="40"/>
            </w:pPr>
            <w:r>
              <w:t>1 Jul 2024 (see s. 2(b) and SL 2024/125 cl. 2)</w:t>
            </w:r>
          </w:p>
        </w:tc>
      </w:tr>
    </w:tbl>
    <w:p>
      <w:pPr>
        <w:pStyle w:val="nHeading3"/>
      </w:pPr>
      <w:bookmarkStart w:id="437" w:name="_Toc180148249"/>
      <w:r>
        <w:t>Uncommenced provisions table</w:t>
      </w:r>
      <w:bookmarkEnd w:id="437"/>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8" w:type="dxa"/>
            <w:tcBorders>
              <w:top w:val="single" w:sz="8" w:space="0" w:color="auto"/>
              <w:bottom w:val="nil"/>
            </w:tcBorders>
          </w:tcPr>
          <w:p>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pPr>
              <w:pStyle w:val="nTable"/>
              <w:spacing w:after="40"/>
            </w:pPr>
            <w:r>
              <w:t>13 of 2008</w:t>
            </w:r>
          </w:p>
        </w:tc>
        <w:tc>
          <w:tcPr>
            <w:tcW w:w="1134" w:type="dxa"/>
            <w:tcBorders>
              <w:top w:val="single" w:sz="8" w:space="0" w:color="auto"/>
              <w:bottom w:val="nil"/>
            </w:tcBorders>
          </w:tcPr>
          <w:p>
            <w:pPr>
              <w:pStyle w:val="nTable"/>
              <w:spacing w:after="40"/>
            </w:pPr>
            <w:r>
              <w:t>14 Apr 2008</w:t>
            </w:r>
          </w:p>
        </w:tc>
        <w:tc>
          <w:tcPr>
            <w:tcW w:w="2552" w:type="dxa"/>
            <w:tcBorders>
              <w:top w:val="single" w:sz="8" w:space="0" w:color="auto"/>
              <w:bottom w:val="nil"/>
            </w:tcBorders>
          </w:tcPr>
          <w:p>
            <w:pPr>
              <w:pStyle w:val="nTable"/>
              <w:spacing w:after="40"/>
              <w:rPr>
                <w:snapToGrid w:val="0"/>
              </w:rPr>
            </w:pPr>
            <w:r>
              <w:rPr>
                <w:snapToGrid w:val="0"/>
              </w:rPr>
              <w:t>To be proclaimed (see s. 2(b))</w:t>
            </w:r>
          </w:p>
        </w:tc>
      </w:tr>
      <w:tr>
        <w:tc>
          <w:tcPr>
            <w:tcW w:w="2268" w:type="dxa"/>
            <w:tcBorders>
              <w:top w:val="nil"/>
              <w:bottom w:val="nil"/>
            </w:tcBorders>
            <w:shd w:val="clear" w:color="auto" w:fill="auto"/>
          </w:tcPr>
          <w:p>
            <w:pPr>
              <w:pStyle w:val="nTable"/>
              <w:keepNext/>
              <w:keepLines/>
              <w:spacing w:after="40"/>
              <w:rPr>
                <w:i/>
                <w:iCs/>
                <w:snapToGrid w:val="0"/>
              </w:rPr>
            </w:pPr>
            <w:r>
              <w:rPr>
                <w:i/>
              </w:rPr>
              <w:t>Courts and Tribunals (Electronic Processes Facilitation) Act 2013</w:t>
            </w:r>
            <w:r>
              <w:t xml:space="preserve"> s. 138 and 139</w:t>
            </w:r>
          </w:p>
        </w:tc>
        <w:tc>
          <w:tcPr>
            <w:tcW w:w="1134" w:type="dxa"/>
            <w:tcBorders>
              <w:top w:val="nil"/>
              <w:bottom w:val="nil"/>
            </w:tcBorders>
            <w:shd w:val="clear" w:color="auto" w:fill="auto"/>
          </w:tcPr>
          <w:p>
            <w:pPr>
              <w:pStyle w:val="nTable"/>
              <w:keepNext/>
              <w:keepLines/>
              <w:spacing w:after="40"/>
              <w:rPr>
                <w:snapToGrid w:val="0"/>
              </w:rPr>
            </w:pPr>
            <w:r>
              <w:t>20 of 2013</w:t>
            </w:r>
          </w:p>
        </w:tc>
        <w:tc>
          <w:tcPr>
            <w:tcW w:w="1134" w:type="dxa"/>
            <w:tcBorders>
              <w:top w:val="nil"/>
              <w:bottom w:val="nil"/>
            </w:tcBorders>
            <w:shd w:val="clear" w:color="auto" w:fill="auto"/>
          </w:tcPr>
          <w:p>
            <w:pPr>
              <w:pStyle w:val="nTable"/>
              <w:keepNext/>
              <w:keepLines/>
              <w:spacing w:after="40"/>
            </w:pPr>
            <w:r>
              <w:t>4 Nov 2013</w:t>
            </w:r>
          </w:p>
        </w:tc>
        <w:tc>
          <w:tcPr>
            <w:tcW w:w="2552" w:type="dxa"/>
            <w:tcBorders>
              <w:top w:val="nil"/>
              <w:bottom w:val="nil"/>
            </w:tcBorders>
            <w:shd w:val="clear" w:color="auto" w:fill="auto"/>
          </w:tcPr>
          <w:p>
            <w:pPr>
              <w:pStyle w:val="nTable"/>
              <w:keepNext/>
              <w:keepLines/>
              <w:spacing w:after="40"/>
              <w:rPr>
                <w:snapToGrid w:val="0"/>
              </w:rPr>
            </w:pPr>
            <w:r>
              <w:rPr>
                <w:snapToGrid w:val="0"/>
              </w:rP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vertAlign w:val="superscript"/>
              </w:rPr>
            </w:pPr>
            <w:r>
              <w:rPr>
                <w:i/>
              </w:rPr>
              <w:t xml:space="preserve">Liquor Legislation Amendment Act 2015 </w:t>
            </w:r>
            <w:r>
              <w:t>Pt. 3</w:t>
            </w:r>
          </w:p>
        </w:tc>
        <w:tc>
          <w:tcPr>
            <w:tcW w:w="1134" w:type="dxa"/>
            <w:tcBorders>
              <w:top w:val="nil"/>
              <w:bottom w:val="nil"/>
            </w:tcBorders>
          </w:tcPr>
          <w:p>
            <w:pPr>
              <w:pStyle w:val="nTable"/>
              <w:spacing w:after="40"/>
            </w:pPr>
            <w:r>
              <w:t>35 of 2015</w:t>
            </w:r>
          </w:p>
        </w:tc>
        <w:tc>
          <w:tcPr>
            <w:tcW w:w="1134" w:type="dxa"/>
            <w:tcBorders>
              <w:top w:val="nil"/>
              <w:bottom w:val="nil"/>
            </w:tcBorders>
          </w:tcPr>
          <w:p>
            <w:pPr>
              <w:pStyle w:val="nTable"/>
              <w:spacing w:after="40"/>
            </w:pPr>
            <w:r>
              <w:t>2 Nov 2015</w:t>
            </w:r>
          </w:p>
        </w:tc>
        <w:tc>
          <w:tcPr>
            <w:tcW w:w="2552" w:type="dxa"/>
            <w:tcBorders>
              <w:top w:val="nil"/>
              <w:bottom w:val="nil"/>
            </w:tcBorders>
          </w:tcPr>
          <w:p>
            <w:pPr>
              <w:pStyle w:val="nTable"/>
              <w:spacing w:after="40"/>
            </w:pPr>
            <w:r>
              <w:t>To be proclaimed (see s. 2(b))</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Cs/>
              </w:rPr>
            </w:pPr>
            <w:r>
              <w:rPr>
                <w:i/>
              </w:rPr>
              <w:t xml:space="preserve">Police Legislation Amendment Act 2024 </w:t>
            </w:r>
            <w:r>
              <w:rPr>
                <w:iCs/>
              </w:rPr>
              <w:t>Pt. 4</w:t>
            </w:r>
          </w:p>
        </w:tc>
        <w:tc>
          <w:tcPr>
            <w:tcW w:w="1134" w:type="dxa"/>
            <w:tcBorders>
              <w:top w:val="nil"/>
              <w:bottom w:val="nil"/>
            </w:tcBorders>
          </w:tcPr>
          <w:p>
            <w:pPr>
              <w:pStyle w:val="nTable"/>
              <w:spacing w:after="40"/>
            </w:pPr>
            <w:r>
              <w:t>33 of 2024</w:t>
            </w:r>
          </w:p>
        </w:tc>
        <w:tc>
          <w:tcPr>
            <w:tcW w:w="1134" w:type="dxa"/>
            <w:tcBorders>
              <w:top w:val="nil"/>
              <w:bottom w:val="nil"/>
            </w:tcBorders>
          </w:tcPr>
          <w:p>
            <w:pPr>
              <w:pStyle w:val="nTable"/>
              <w:spacing w:after="40"/>
            </w:pPr>
            <w:r>
              <w:t>26 Sep 2024</w:t>
            </w:r>
          </w:p>
        </w:tc>
        <w:tc>
          <w:tcPr>
            <w:tcW w:w="2552" w:type="dxa"/>
            <w:tcBorders>
              <w:top w:val="nil"/>
              <w:bottom w:val="nil"/>
            </w:tcBorders>
          </w:tcPr>
          <w:p>
            <w:pPr>
              <w:pStyle w:val="nTable"/>
              <w:spacing w:after="40"/>
            </w:pPr>
            <w:r>
              <w:t>To be proclaimed (see s. 2(1)(b))</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tcBorders>
          </w:tcPr>
          <w:p>
            <w:pPr>
              <w:pStyle w:val="nTable"/>
              <w:spacing w:after="40"/>
              <w:rPr>
                <w:iCs/>
              </w:rPr>
            </w:pPr>
            <w:r>
              <w:rPr>
                <w:i/>
              </w:rPr>
              <w:t xml:space="preserve">Community Protection (Offender Reporting) Amendment Act 2024 </w:t>
            </w:r>
            <w:r>
              <w:rPr>
                <w:iCs/>
              </w:rPr>
              <w:t>Pt. 3 Div. 2 Subdiv. 4</w:t>
            </w:r>
          </w:p>
        </w:tc>
        <w:tc>
          <w:tcPr>
            <w:tcW w:w="1134" w:type="dxa"/>
            <w:tcBorders>
              <w:top w:val="nil"/>
              <w:bottom w:val="single" w:sz="4" w:space="0" w:color="auto"/>
            </w:tcBorders>
          </w:tcPr>
          <w:p>
            <w:pPr>
              <w:pStyle w:val="nTable"/>
              <w:spacing w:after="40"/>
            </w:pPr>
            <w:r>
              <w:t>35 of 2024</w:t>
            </w:r>
          </w:p>
        </w:tc>
        <w:tc>
          <w:tcPr>
            <w:tcW w:w="1134" w:type="dxa"/>
            <w:tcBorders>
              <w:top w:val="nil"/>
              <w:bottom w:val="single" w:sz="4" w:space="0" w:color="auto"/>
            </w:tcBorders>
          </w:tcPr>
          <w:p>
            <w:pPr>
              <w:pStyle w:val="nTable"/>
              <w:spacing w:after="40"/>
            </w:pPr>
            <w:r>
              <w:t>22 Oct 2024</w:t>
            </w:r>
          </w:p>
        </w:tc>
        <w:tc>
          <w:tcPr>
            <w:tcW w:w="2552" w:type="dxa"/>
            <w:tcBorders>
              <w:top w:val="nil"/>
              <w:bottom w:val="single" w:sz="4" w:space="0" w:color="auto"/>
            </w:tcBorders>
          </w:tcPr>
          <w:p>
            <w:pPr>
              <w:pStyle w:val="nTable"/>
              <w:spacing w:after="40"/>
            </w:pPr>
            <w:r>
              <w:t>To be proclaimed (see s. 2(b))</w:t>
            </w:r>
          </w:p>
        </w:tc>
      </w:tr>
    </w:tbl>
    <w:p>
      <w:pPr>
        <w:pStyle w:val="nHeading3"/>
      </w:pPr>
      <w:bookmarkStart w:id="438" w:name="_Toc180148250"/>
      <w:r>
        <w:t>Other notes</w:t>
      </w:r>
      <w:bookmarkEnd w:id="438"/>
    </w:p>
    <w:p>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lastRenderedPageBreak/>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pPr>
        <w:pStyle w:val="nNote"/>
      </w:pPr>
      <w:r>
        <w:rPr>
          <w:vertAlign w:val="superscript"/>
        </w:rPr>
        <w:t>2</w:t>
      </w:r>
      <w:r>
        <w:tab/>
        <w:t xml:space="preserve">Footnote no longer applicable. </w:t>
      </w:r>
    </w:p>
    <w:p>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pPr>
        <w:pStyle w:val="nNote"/>
        <w:keepNext/>
        <w:keepLines/>
      </w:pPr>
      <w:r>
        <w:rPr>
          <w:vertAlign w:val="superscript"/>
        </w:rPr>
        <w:t>9</w:t>
      </w:r>
      <w:r>
        <w:tab/>
        <w:t xml:space="preserve">The </w:t>
      </w:r>
      <w:r>
        <w:rPr>
          <w:i/>
        </w:rPr>
        <w:t>Inspector of Custodial Services Act 2003</w:t>
      </w:r>
      <w:r>
        <w:t xml:space="preserve"> s. 56(1), which gives effect to Sch. 2, reads as follows:</w:t>
      </w:r>
    </w:p>
    <w:p>
      <w:pPr>
        <w:pStyle w:val="BlankOpen"/>
        <w:rPr>
          <w:sz w:val="20"/>
          <w:szCs w:val="20"/>
        </w:rPr>
      </w:pPr>
    </w:p>
    <w:p>
      <w:pPr>
        <w:pStyle w:val="nzHeading5"/>
        <w:spacing w:before="60"/>
        <w:rPr>
          <w:rStyle w:val="CharSectno"/>
        </w:rPr>
      </w:pPr>
      <w:r>
        <w:rPr>
          <w:rStyle w:val="CharSectno"/>
        </w:rPr>
        <w:t>56.</w:t>
      </w:r>
      <w:r>
        <w:rPr>
          <w:rStyle w:val="CharSectno"/>
        </w:rPr>
        <w:tab/>
        <w:t>Consequential amendments to other Acts and regulations</w:t>
      </w:r>
    </w:p>
    <w:p>
      <w:pPr>
        <w:pStyle w:val="nzSubsection"/>
        <w:keepNext/>
        <w:keepLines/>
      </w:pPr>
      <w:r>
        <w:tab/>
        <w:t>(1)</w:t>
      </w:r>
      <w:r>
        <w:tab/>
        <w:t>Schedule 2 has effect.</w:t>
      </w:r>
    </w:p>
    <w:p>
      <w:pPr>
        <w:pStyle w:val="BlankClose"/>
        <w:keepNext/>
        <w:rPr>
          <w:sz w:val="20"/>
          <w:szCs w:val="20"/>
        </w:rPr>
      </w:pPr>
    </w:p>
    <w:p>
      <w:pPr>
        <w:pStyle w:val="nNote"/>
        <w:keepNext/>
        <w:keepLines/>
        <w:spacing w:before="0"/>
      </w:pPr>
      <w:r>
        <w:rPr>
          <w:snapToGrid w:val="0"/>
        </w:rPr>
        <w:tab/>
        <w:t>Schedule 2 cl. 7(3) reads as follows:</w:t>
      </w:r>
    </w:p>
    <w:p>
      <w:pPr>
        <w:pStyle w:val="BlankOpen"/>
        <w:rPr>
          <w:sz w:val="20"/>
          <w:szCs w:val="20"/>
        </w:rPr>
      </w:pPr>
    </w:p>
    <w:p>
      <w:pPr>
        <w:pStyle w:val="nzHeading2"/>
        <w:keepLines/>
        <w:rPr>
          <w:rStyle w:val="CharSchNo"/>
        </w:rPr>
      </w:pPr>
      <w:r>
        <w:rPr>
          <w:rStyle w:val="CharSchNo"/>
        </w:rPr>
        <w:t>Schedule 2 — Consequential amendments to Acts and regulations</w:t>
      </w:r>
    </w:p>
    <w:p>
      <w:pPr>
        <w:pStyle w:val="yShoulderClause"/>
        <w:keepNext/>
        <w:keepLines/>
        <w:rPr>
          <w:sz w:val="20"/>
        </w:rPr>
      </w:pPr>
      <w:r>
        <w:rPr>
          <w:sz w:val="20"/>
        </w:rPr>
        <w:t>[s. 56]</w:t>
      </w:r>
    </w:p>
    <w:p>
      <w:pPr>
        <w:pStyle w:val="BlankOpen"/>
        <w:rPr>
          <w:sz w:val="20"/>
          <w:szCs w:val="20"/>
        </w:rPr>
      </w:pPr>
    </w:p>
    <w:p>
      <w:pPr>
        <w:pStyle w:val="nzSubsection"/>
        <w:keepNext/>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w:t>
      </w:r>
      <w:r>
        <w:lastRenderedPageBreak/>
        <w:t xml:space="preserve">appointed by the Minister, under the </w:t>
      </w:r>
      <w:r>
        <w:rPr>
          <w:i/>
        </w:rPr>
        <w:t>Young Offenders Act 1994</w:t>
      </w:r>
      <w:r>
        <w:t xml:space="preserve"> section 166, as a visiting justice on the same terms and conditions as applied to the person’s appointment by the Governor.</w:t>
      </w:r>
    </w:p>
    <w:p>
      <w:pPr>
        <w:pStyle w:val="BlankClose"/>
        <w:rPr>
          <w:sz w:val="20"/>
          <w:szCs w:val="20"/>
        </w:rPr>
      </w:pPr>
    </w:p>
    <w:p>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sz w:val="20"/>
          <w:szCs w:val="20"/>
        </w:rPr>
      </w:pPr>
    </w:p>
    <w:p>
      <w:pPr>
        <w:pStyle w:val="nzHeading5"/>
        <w:rPr>
          <w:snapToGrid w:val="0"/>
        </w:rPr>
      </w:pPr>
      <w:r>
        <w:t>6.</w:t>
      </w:r>
      <w:r>
        <w:tab/>
        <w:t>Section 11 amended and transitional</w:t>
      </w:r>
    </w:p>
    <w:p>
      <w:pPr>
        <w:pStyle w:val="nzSubsection"/>
      </w:pPr>
      <w:r>
        <w:tab/>
        <w:t>(3)</w:t>
      </w:r>
      <w:r>
        <w:tab/>
        <w:t>Schedule 1 has effect.</w:t>
      </w:r>
    </w:p>
    <w:p>
      <w:pPr>
        <w:pStyle w:val="BlankClose"/>
        <w:rPr>
          <w:sz w:val="20"/>
          <w:szCs w:val="20"/>
        </w:rPr>
      </w:pPr>
    </w:p>
    <w:p>
      <w:pPr>
        <w:pStyle w:val="nNote"/>
        <w:keepNext/>
      </w:pPr>
      <w:r>
        <w:tab/>
        <w:t>Schedule 1 reads as follows:</w:t>
      </w:r>
    </w:p>
    <w:p>
      <w:pPr>
        <w:pStyle w:val="BlankOpen"/>
        <w:rPr>
          <w:sz w:val="20"/>
          <w:szCs w:val="20"/>
        </w:rPr>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 xml:space="preserve">A person who was appointed by the Minister under the Act as an overseer, or as an officer or employee without custodial functions, before commencement, and who is still employed immediately </w:t>
      </w:r>
      <w:r>
        <w:lastRenderedPageBreak/>
        <w:t>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sectPr>
          <w:headerReference w:type="even" r:id="rId31"/>
          <w:headerReference w:type="default" r:id="rId32"/>
          <w:pgSz w:w="11907" w:h="16840" w:code="9"/>
          <w:pgMar w:top="2376" w:right="2405" w:bottom="3542" w:left="2405" w:header="706" w:footer="3544" w:gutter="0"/>
          <w:cols w:space="720"/>
          <w:noEndnote/>
          <w:docGrid w:linePitch="326"/>
        </w:sectPr>
      </w:pPr>
    </w:p>
    <w:p>
      <w:pPr>
        <w:pStyle w:val="nHeading2"/>
        <w:rPr>
          <w:sz w:val="28"/>
        </w:rPr>
      </w:pPr>
      <w:bookmarkStart w:id="440" w:name="_Toc180138940"/>
      <w:bookmarkStart w:id="441" w:name="_Toc180139275"/>
      <w:bookmarkStart w:id="442" w:name="_Toc180148251"/>
      <w:r>
        <w:rPr>
          <w:sz w:val="28"/>
        </w:rPr>
        <w:lastRenderedPageBreak/>
        <w:t>Defined terms</w:t>
      </w:r>
      <w:bookmarkEnd w:id="440"/>
      <w:bookmarkEnd w:id="441"/>
      <w:bookmarkEnd w:id="44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community</w:t>
      </w:r>
      <w:r>
        <w:tab/>
        <w:t>3(1)</w:t>
      </w:r>
    </w:p>
    <w:p>
      <w:pPr>
        <w:pStyle w:val="DefinedTerms"/>
      </w:pPr>
      <w:r>
        <w:t>appeal</w:t>
      </w:r>
      <w:r>
        <w:tab/>
        <w:t>11CA</w:t>
      </w:r>
    </w:p>
    <w:p>
      <w:pPr>
        <w:pStyle w:val="DefinedTerms"/>
      </w:pPr>
      <w:r>
        <w:t>appellant</w:t>
      </w:r>
      <w:r>
        <w:tab/>
        <w:t>11CA</w:t>
      </w:r>
    </w:p>
    <w:p>
      <w:pPr>
        <w:pStyle w:val="DefinedTerms"/>
      </w:pPr>
      <w:r>
        <w:t>appropriate person</w:t>
      </w:r>
      <w:r>
        <w:tab/>
        <w:t>23B(3)</w:t>
      </w:r>
    </w:p>
    <w:p>
      <w:pPr>
        <w:pStyle w:val="DefinedTerms"/>
      </w:pPr>
      <w:r>
        <w:t>approved</w:t>
      </w:r>
      <w:r>
        <w:tab/>
        <w:t>35</w:t>
      </w:r>
    </w:p>
    <w:p>
      <w:pPr>
        <w:pStyle w:val="DefinedTerms"/>
      </w:pPr>
      <w:r>
        <w:t>attendance conditions</w:t>
      </w:r>
      <w:r>
        <w:tab/>
        <w:t>3(1)</w:t>
      </w:r>
    </w:p>
    <w:p>
      <w:pPr>
        <w:pStyle w:val="DefinedTerms"/>
      </w:pPr>
      <w:r>
        <w:t>authorised person</w:t>
      </w:r>
      <w:r>
        <w:tab/>
        <w:t>169A(7)</w:t>
      </w:r>
    </w:p>
    <w:p>
      <w:pPr>
        <w:pStyle w:val="DefinedTerms"/>
      </w:pPr>
      <w:r>
        <w:t>Board</w:t>
      </w:r>
      <w:r>
        <w:tab/>
        <w:t>16B(1), 16C(1), 131, 142A(1), 150B</w:t>
      </w:r>
    </w:p>
    <w:p>
      <w:pPr>
        <w:pStyle w:val="DefinedTerms"/>
      </w:pPr>
      <w:r>
        <w:t>body sample</w:t>
      </w:r>
      <w:r>
        <w:tab/>
        <w:t>3(1)</w:t>
      </w:r>
    </w:p>
    <w:p>
      <w:pPr>
        <w:pStyle w:val="DefinedTerms"/>
      </w:pPr>
      <w:r>
        <w:t>category 1 offender</w:t>
      </w:r>
      <w:r>
        <w:tab/>
        <w:t>3(1)</w:t>
      </w:r>
    </w:p>
    <w:p>
      <w:pPr>
        <w:pStyle w:val="DefinedTerms"/>
      </w:pPr>
      <w:r>
        <w:t>category 2 offender</w:t>
      </w:r>
      <w:r>
        <w:tab/>
        <w:t>3(1)</w:t>
      </w:r>
    </w:p>
    <w:p>
      <w:pPr>
        <w:pStyle w:val="DefinedTerms"/>
      </w:pPr>
      <w:r>
        <w:t>CEO (child welfare)</w:t>
      </w:r>
      <w:r>
        <w:tab/>
        <w:t>15A(2)</w:t>
      </w:r>
    </w:p>
    <w:p>
      <w:pPr>
        <w:pStyle w:val="DefinedTerms"/>
      </w:pPr>
      <w:r>
        <w:t>chairperson</w:t>
      </w:r>
      <w:r>
        <w:tab/>
        <w:t>3(1)</w:t>
      </w:r>
    </w:p>
    <w:p>
      <w:pPr>
        <w:pStyle w:val="DefinedTerms"/>
      </w:pPr>
      <w:r>
        <w:t>Chief Commissioner</w:t>
      </w:r>
      <w:r>
        <w:tab/>
        <w:t>11CA</w:t>
      </w:r>
    </w:p>
    <w:p>
      <w:pPr>
        <w:pStyle w:val="DefinedTerms"/>
      </w:pPr>
      <w:r>
        <w:t>chief executive officer</w:t>
      </w:r>
      <w:r>
        <w:tab/>
        <w:t>3(1)</w:t>
      </w:r>
    </w:p>
    <w:p>
      <w:pPr>
        <w:pStyle w:val="DefinedTerms"/>
      </w:pPr>
      <w:r>
        <w:t>Chief Mental Health Advocate</w:t>
      </w:r>
      <w:r>
        <w:tab/>
        <w:t>16(1)</w:t>
      </w:r>
    </w:p>
    <w:p>
      <w:pPr>
        <w:pStyle w:val="DefinedTerms"/>
      </w:pPr>
      <w:r>
        <w:t>CLMI identified person</w:t>
      </w:r>
      <w:r>
        <w:tab/>
        <w:t>16(1)</w:t>
      </w:r>
    </w:p>
    <w:p>
      <w:pPr>
        <w:pStyle w:val="DefinedTerms"/>
      </w:pPr>
      <w:r>
        <w:t>commencement day</w:t>
      </w:r>
      <w:r>
        <w:tab/>
        <w:t>11CV(1), 235A</w:t>
      </w:r>
    </w:p>
    <w:p>
      <w:pPr>
        <w:pStyle w:val="DefinedTerms"/>
      </w:pPr>
      <w:r>
        <w:t>Commissioner of Police report</w:t>
      </w:r>
      <w:r>
        <w:tab/>
        <w:t>3(1)</w:t>
      </w:r>
    </w:p>
    <w:p>
      <w:pPr>
        <w:pStyle w:val="DefinedTerms"/>
      </w:pPr>
      <w:r>
        <w:t>Commonwealth Criminal Code</w:t>
      </w:r>
      <w:r>
        <w:tab/>
        <w:t>3(1)</w:t>
      </w:r>
    </w:p>
    <w:p>
      <w:pPr>
        <w:pStyle w:val="DefinedTerms"/>
      </w:pPr>
      <w:r>
        <w:t>community work conditions</w:t>
      </w:r>
      <w:r>
        <w:tab/>
        <w:t>3(1)</w:t>
      </w:r>
    </w:p>
    <w:p>
      <w:pPr>
        <w:pStyle w:val="DefinedTerms"/>
      </w:pPr>
      <w:r>
        <w:t>community work order</w:t>
      </w:r>
      <w:r>
        <w:tab/>
        <w:t>63</w:t>
      </w:r>
    </w:p>
    <w:p>
      <w:pPr>
        <w:pStyle w:val="DefinedTerms"/>
      </w:pPr>
      <w:r>
        <w:t>conditional release order</w:t>
      </w:r>
      <w:r>
        <w:tab/>
        <w:t>3(1)</w:t>
      </w:r>
    </w:p>
    <w:p>
      <w:pPr>
        <w:pStyle w:val="DefinedTerms"/>
      </w:pPr>
      <w:r>
        <w:t>confirmed control order</w:t>
      </w:r>
      <w:r>
        <w:tab/>
        <w:t>3(1)</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3(1), 16D(1)</w:t>
      </w:r>
    </w:p>
    <w:p>
      <w:pPr>
        <w:pStyle w:val="DefinedTerms"/>
      </w:pPr>
      <w:r>
        <w:t>current offence</w:t>
      </w:r>
      <w:r>
        <w:tab/>
        <w:t>124(1)</w:t>
      </w:r>
    </w:p>
    <w:p>
      <w:pPr>
        <w:pStyle w:val="DefinedTerms"/>
      </w:pPr>
      <w:r>
        <w:t>current sentence</w:t>
      </w:r>
      <w:r>
        <w:tab/>
        <w:t>3(1)</w:t>
      </w:r>
    </w:p>
    <w:p>
      <w:pPr>
        <w:pStyle w:val="DefinedTerms"/>
      </w:pPr>
      <w:r>
        <w:t>custodial officer</w:t>
      </w:r>
      <w:r>
        <w:tab/>
        <w:t>3(1)</w:t>
      </w:r>
    </w:p>
    <w:p>
      <w:pPr>
        <w:pStyle w:val="DefinedTerms"/>
      </w:pPr>
      <w:r>
        <w:t>decision notice</w:t>
      </w:r>
      <w:r>
        <w:tab/>
        <w:t>11CA, 11CD(3)</w:t>
      </w:r>
    </w:p>
    <w:p>
      <w:pPr>
        <w:pStyle w:val="DefinedTerms"/>
      </w:pPr>
      <w:r>
        <w:t>defaulter</w:t>
      </w:r>
      <w:r>
        <w:tab/>
        <w:t>65A(1)</w:t>
      </w:r>
    </w:p>
    <w:p>
      <w:pPr>
        <w:pStyle w:val="DefinedTerms"/>
      </w:pPr>
      <w:r>
        <w:t>Department</w:t>
      </w:r>
      <w:r>
        <w:tab/>
        <w:t>3(1)</w:t>
      </w:r>
    </w:p>
    <w:p>
      <w:pPr>
        <w:pStyle w:val="DefinedTerms"/>
      </w:pPr>
      <w:r>
        <w:t>detainee</w:t>
      </w:r>
      <w:r>
        <w:tab/>
        <w:t>3(1), 188(1)</w:t>
      </w:r>
    </w:p>
    <w:p>
      <w:pPr>
        <w:pStyle w:val="DefinedTerms"/>
      </w:pPr>
      <w:r>
        <w:t>detention</w:t>
      </w:r>
      <w:r>
        <w:tab/>
        <w:t>3(1)</w:t>
      </w:r>
    </w:p>
    <w:p>
      <w:pPr>
        <w:pStyle w:val="DefinedTerms"/>
      </w:pPr>
      <w:r>
        <w:t>detention centre</w:t>
      </w:r>
      <w:r>
        <w:tab/>
        <w:t>3(1)</w:t>
      </w:r>
    </w:p>
    <w:p>
      <w:pPr>
        <w:pStyle w:val="DefinedTerms"/>
      </w:pPr>
      <w:r>
        <w:t>detention order</w:t>
      </w:r>
      <w:r>
        <w:tab/>
        <w:t>63</w:t>
      </w:r>
    </w:p>
    <w:p>
      <w:pPr>
        <w:pStyle w:val="DefinedTerms"/>
      </w:pPr>
      <w:r>
        <w:t>disclosure requirement</w:t>
      </w:r>
      <w:r>
        <w:tab/>
        <w:t>16D(1)</w:t>
      </w:r>
    </w:p>
    <w:p>
      <w:pPr>
        <w:pStyle w:val="DefinedTerms"/>
      </w:pPr>
      <w:r>
        <w:lastRenderedPageBreak/>
        <w:t>earliest release day</w:t>
      </w:r>
      <w:r>
        <w:tab/>
        <w:t>3(1)</w:t>
      </w:r>
    </w:p>
    <w:p>
      <w:pPr>
        <w:pStyle w:val="DefinedTerms"/>
      </w:pPr>
      <w:r>
        <w:t>exempt responsible adult</w:t>
      </w:r>
      <w:r>
        <w:tab/>
        <w:t>3(1)</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3(1)</w:t>
      </w:r>
    </w:p>
    <w:p>
      <w:pPr>
        <w:pStyle w:val="DefinedTerms"/>
      </w:pPr>
      <w:r>
        <w:t>imprisonment</w:t>
      </w:r>
      <w:r>
        <w:tab/>
        <w:t>3(1)</w:t>
      </w:r>
    </w:p>
    <w:p>
      <w:pPr>
        <w:pStyle w:val="DefinedTerms"/>
      </w:pPr>
      <w:r>
        <w:t>independent young person</w:t>
      </w:r>
      <w:r>
        <w:tab/>
        <w:t>3(1)</w:t>
      </w:r>
    </w:p>
    <w:p>
      <w:pPr>
        <w:pStyle w:val="DefinedTerms"/>
      </w:pPr>
      <w:r>
        <w:t>industrial commissioner</w:t>
      </w:r>
      <w:r>
        <w:tab/>
        <w:t>11CA</w:t>
      </w:r>
    </w:p>
    <w:p>
      <w:pPr>
        <w:pStyle w:val="DefinedTerms"/>
      </w:pPr>
      <w:r>
        <w:t>infringement notice</w:t>
      </w:r>
      <w:r>
        <w:tab/>
        <w:t>25(3)</w:t>
      </w:r>
    </w:p>
    <w:p>
      <w:pPr>
        <w:pStyle w:val="DefinedTerms"/>
      </w:pPr>
      <w:r>
        <w:t>intensive youth supervision order</w:t>
      </w:r>
      <w:r>
        <w:tab/>
        <w:t>3(1)</w:t>
      </w:r>
    </w:p>
    <w:p>
      <w:pPr>
        <w:pStyle w:val="DefinedTerms"/>
      </w:pPr>
      <w:r>
        <w:t>interim control order</w:t>
      </w:r>
      <w:r>
        <w:tab/>
        <w:t>3(1)</w:t>
      </w:r>
    </w:p>
    <w:p>
      <w:pPr>
        <w:pStyle w:val="DefinedTerms"/>
      </w:pPr>
      <w:r>
        <w:t>lock-up</w:t>
      </w:r>
      <w:r>
        <w:tab/>
        <w:t>3(1)</w:t>
      </w:r>
    </w:p>
    <w:p>
      <w:pPr>
        <w:pStyle w:val="DefinedTerms"/>
      </w:pPr>
      <w:r>
        <w:t>maintenance payment</w:t>
      </w:r>
      <w:r>
        <w:tab/>
        <w:t>11CA, 11CE(1)</w:t>
      </w:r>
    </w:p>
    <w:p>
      <w:pPr>
        <w:pStyle w:val="DefinedTerms"/>
      </w:pPr>
      <w:r>
        <w:t>maintenance period</w:t>
      </w:r>
      <w:r>
        <w:tab/>
        <w:t>11CA, 11CE(1)</w:t>
      </w:r>
    </w:p>
    <w:p>
      <w:pPr>
        <w:pStyle w:val="DefinedTerms"/>
      </w:pPr>
      <w:r>
        <w:t>medical officer</w:t>
      </w:r>
      <w:r>
        <w:tab/>
        <w:t>179(1)</w:t>
      </w:r>
    </w:p>
    <w:p>
      <w:pPr>
        <w:pStyle w:val="DefinedTerms"/>
      </w:pPr>
      <w:r>
        <w:t>medical treatment</w:t>
      </w:r>
      <w:r>
        <w:tab/>
        <w:t>179(1)</w:t>
      </w:r>
    </w:p>
    <w:p>
      <w:pPr>
        <w:pStyle w:val="DefinedTerms"/>
      </w:pPr>
      <w:r>
        <w:t>mental health advocate</w:t>
      </w:r>
      <w:r>
        <w:tab/>
        <w:t>16(1)</w:t>
      </w:r>
    </w:p>
    <w:p>
      <w:pPr>
        <w:pStyle w:val="DefinedTerms"/>
      </w:pPr>
      <w:r>
        <w:t>monitor</w:t>
      </w:r>
      <w:r>
        <w:tab/>
        <w:t>17A</w:t>
      </w:r>
    </w:p>
    <w:p>
      <w:pPr>
        <w:pStyle w:val="DefinedTerms"/>
      </w:pPr>
      <w:r>
        <w:t>new evidence</w:t>
      </w:r>
      <w:r>
        <w:tab/>
        <w:t>11CA</w:t>
      </w:r>
    </w:p>
    <w:p>
      <w:pPr>
        <w:pStyle w:val="DefinedTerms"/>
      </w:pPr>
      <w:r>
        <w:t>notice to attend court</w:t>
      </w:r>
      <w:r>
        <w:tab/>
        <w:t>3(1)</w:t>
      </w:r>
    </w:p>
    <w:p>
      <w:pPr>
        <w:pStyle w:val="DefinedTerms"/>
      </w:pPr>
      <w:r>
        <w:t>notifiable information</w:t>
      </w:r>
      <w:r>
        <w:tab/>
        <w:t>165A(3)</w:t>
      </w:r>
    </w:p>
    <w:p>
      <w:pPr>
        <w:pStyle w:val="DefinedTerms"/>
      </w:pPr>
      <w:r>
        <w:t>offender</w:t>
      </w:r>
      <w:r>
        <w:tab/>
        <w:t>50(1), 50A(1), 50B(1), 150F(1)</w:t>
      </w:r>
    </w:p>
    <w:p>
      <w:pPr>
        <w:pStyle w:val="DefinedTerms"/>
      </w:pPr>
      <w:r>
        <w:t>offender with links to terrorism</w:t>
      </w:r>
      <w:r>
        <w:tab/>
        <w:t>3(1)</w:t>
      </w:r>
    </w:p>
    <w:p>
      <w:pPr>
        <w:pStyle w:val="DefinedTerms"/>
      </w:pPr>
      <w:r>
        <w:t>original offence</w:t>
      </w:r>
      <w:r>
        <w:tab/>
        <w:t>83(2)</w:t>
      </w:r>
    </w:p>
    <w:p>
      <w:pPr>
        <w:pStyle w:val="DefinedTerms"/>
      </w:pPr>
      <w:r>
        <w:t>party</w:t>
      </w:r>
      <w:r>
        <w:tab/>
        <w:t>32(3)</w:t>
      </w:r>
    </w:p>
    <w:p>
      <w:pPr>
        <w:pStyle w:val="DefinedTerms"/>
      </w:pPr>
      <w:r>
        <w:t>prohibited act</w:t>
      </w:r>
      <w:r>
        <w:tab/>
        <w:t>3(2)</w:t>
      </w:r>
    </w:p>
    <w:p>
      <w:pPr>
        <w:pStyle w:val="DefinedTerms"/>
      </w:pPr>
      <w:r>
        <w:t>protected information</w:t>
      </w:r>
      <w:r>
        <w:tab/>
        <w:t>165A(1)</w:t>
      </w:r>
    </w:p>
    <w:p>
      <w:pPr>
        <w:pStyle w:val="DefinedTerms"/>
      </w:pPr>
      <w:r>
        <w:t>public authority</w:t>
      </w:r>
      <w:r>
        <w:tab/>
        <w:t>16(1)</w:t>
      </w:r>
    </w:p>
    <w:p>
      <w:pPr>
        <w:pStyle w:val="DefinedTerms"/>
      </w:pPr>
      <w:r>
        <w:t>registrar of the court</w:t>
      </w:r>
      <w:r>
        <w:tab/>
        <w:t>3(1)</w:t>
      </w:r>
    </w:p>
    <w:p>
      <w:pPr>
        <w:pStyle w:val="DefinedTerms"/>
      </w:pPr>
      <w:r>
        <w:t>release considerations</w:t>
      </w:r>
      <w:r>
        <w:tab/>
        <w:t>150A</w:t>
      </w:r>
    </w:p>
    <w:p>
      <w:pPr>
        <w:pStyle w:val="DefinedTerms"/>
      </w:pPr>
      <w:r>
        <w:t>relevant day</w:t>
      </w:r>
      <w:r>
        <w:tab/>
        <w:t>127(1)</w:t>
      </w:r>
    </w:p>
    <w:p>
      <w:pPr>
        <w:pStyle w:val="DefinedTerms"/>
      </w:pPr>
      <w:r>
        <w:t>relevant information</w:t>
      </w:r>
      <w:r>
        <w:tab/>
        <w:t>16(1)</w:t>
      </w:r>
    </w:p>
    <w:p>
      <w:pPr>
        <w:pStyle w:val="DefinedTerms"/>
      </w:pPr>
      <w:r>
        <w:t>removal action</w:t>
      </w:r>
      <w:r>
        <w:tab/>
        <w:t>11CA</w:t>
      </w:r>
    </w:p>
    <w:p>
      <w:pPr>
        <w:pStyle w:val="DefinedTerms"/>
      </w:pPr>
      <w:r>
        <w:t>removal decision</w:t>
      </w:r>
      <w:r>
        <w:tab/>
        <w:t>11CA</w:t>
      </w:r>
    </w:p>
    <w:p>
      <w:pPr>
        <w:pStyle w:val="DefinedTerms"/>
      </w:pPr>
      <w:r>
        <w:t>remove</w:t>
      </w:r>
      <w:r>
        <w:tab/>
        <w:t>3(1)</w:t>
      </w:r>
    </w:p>
    <w:p>
      <w:pPr>
        <w:pStyle w:val="DefinedTerms"/>
      </w:pPr>
      <w:r>
        <w:t>research</w:t>
      </w:r>
      <w:r>
        <w:tab/>
        <w:t>16(1)</w:t>
      </w:r>
    </w:p>
    <w:p>
      <w:pPr>
        <w:pStyle w:val="DefinedTerms"/>
      </w:pPr>
      <w:r>
        <w:t>responsible adult</w:t>
      </w:r>
      <w:r>
        <w:tab/>
        <w:t>3(1), 58(1)</w:t>
      </w:r>
    </w:p>
    <w:p>
      <w:pPr>
        <w:pStyle w:val="DefinedTerms"/>
      </w:pPr>
      <w:r>
        <w:t>Schedule 1 offence</w:t>
      </w:r>
      <w:r>
        <w:tab/>
        <w:t>3(1)</w:t>
      </w:r>
    </w:p>
    <w:p>
      <w:pPr>
        <w:pStyle w:val="DefinedTerms"/>
      </w:pPr>
      <w:r>
        <w:t>Schedule 2 offence</w:t>
      </w:r>
      <w:r>
        <w:tab/>
        <w:t>3(1)</w:t>
      </w:r>
    </w:p>
    <w:p>
      <w:pPr>
        <w:pStyle w:val="DefinedTerms"/>
      </w:pPr>
      <w:r>
        <w:t>second sentence</w:t>
      </w:r>
      <w:r>
        <w:tab/>
        <w:t>123(1)</w:t>
      </w:r>
    </w:p>
    <w:p>
      <w:pPr>
        <w:pStyle w:val="DefinedTerms"/>
      </w:pPr>
      <w:r>
        <w:t>Secretary</w:t>
      </w:r>
      <w:r>
        <w:tab/>
        <w:t>131</w:t>
      </w:r>
    </w:p>
    <w:p>
      <w:pPr>
        <w:pStyle w:val="DefinedTerms"/>
      </w:pPr>
      <w:r>
        <w:t>sensitive information</w:t>
      </w:r>
      <w:r>
        <w:tab/>
        <w:t>165A(1)</w:t>
      </w:r>
    </w:p>
    <w:p>
      <w:pPr>
        <w:pStyle w:val="DefinedTerms"/>
      </w:pPr>
      <w:r>
        <w:t>sentence 1</w:t>
      </w:r>
      <w:r>
        <w:tab/>
        <w:t>124(1)</w:t>
      </w:r>
    </w:p>
    <w:p>
      <w:pPr>
        <w:pStyle w:val="DefinedTerms"/>
      </w:pPr>
      <w:r>
        <w:lastRenderedPageBreak/>
        <w:t>sentence 2</w:t>
      </w:r>
      <w:r>
        <w:tab/>
        <w:t>124(1)</w:t>
      </w:r>
    </w:p>
    <w:p>
      <w:pPr>
        <w:pStyle w:val="DefinedTerms"/>
      </w:pPr>
      <w:r>
        <w:t>sentencing court</w:t>
      </w:r>
      <w:r>
        <w:tab/>
        <w:t>129(1)</w:t>
      </w:r>
    </w:p>
    <w:p>
      <w:pPr>
        <w:pStyle w:val="DefinedTerms"/>
      </w:pPr>
      <w:r>
        <w:t>serious offence</w:t>
      </w:r>
      <w:r>
        <w:tab/>
        <w:t>124(3)</w:t>
      </w:r>
    </w:p>
    <w:p>
      <w:pPr>
        <w:pStyle w:val="DefinedTerms"/>
      </w:pPr>
      <w:r>
        <w:t>special order</w:t>
      </w:r>
      <w:r>
        <w:tab/>
        <w:t>3(1)</w:t>
      </w:r>
    </w:p>
    <w:p>
      <w:pPr>
        <w:pStyle w:val="DefinedTerms"/>
      </w:pPr>
      <w:r>
        <w:t>submission period</w:t>
      </w:r>
      <w:r>
        <w:tab/>
        <w:t>11CD(2)</w:t>
      </w:r>
    </w:p>
    <w:p>
      <w:pPr>
        <w:pStyle w:val="DefinedTerms"/>
      </w:pPr>
      <w:r>
        <w:t>suitability to continue as a custodial officer</w:t>
      </w:r>
      <w:r>
        <w:tab/>
        <w:t>11CA</w:t>
      </w:r>
    </w:p>
    <w:p>
      <w:pPr>
        <w:pStyle w:val="DefinedTerms"/>
      </w:pPr>
      <w:r>
        <w:t>superintendent</w:t>
      </w:r>
      <w:r>
        <w:tab/>
        <w:t>3(1)</w:t>
      </w:r>
    </w:p>
    <w:p>
      <w:pPr>
        <w:pStyle w:val="DefinedTerms"/>
      </w:pPr>
      <w:r>
        <w:t>supervise</w:t>
      </w:r>
      <w:r>
        <w:tab/>
        <w:t>17A</w:t>
      </w:r>
    </w:p>
    <w:p>
      <w:pPr>
        <w:pStyle w:val="DefinedTerms"/>
      </w:pPr>
      <w:r>
        <w:t>supervised release order</w:t>
      </w:r>
      <w:r>
        <w:tab/>
        <w:t>3(1)</w:t>
      </w:r>
    </w:p>
    <w:p>
      <w:pPr>
        <w:pStyle w:val="DefinedTerms"/>
      </w:pPr>
      <w:r>
        <w:t>supervision conditions</w:t>
      </w:r>
      <w:r>
        <w:tab/>
        <w:t>3(1)</w:t>
      </w:r>
    </w:p>
    <w:p>
      <w:pPr>
        <w:pStyle w:val="DefinedTerms"/>
      </w:pPr>
      <w:r>
        <w:t>terrorism offence</w:t>
      </w:r>
      <w:r>
        <w:tab/>
        <w:t>3(1)</w:t>
      </w:r>
    </w:p>
    <w:p>
      <w:pPr>
        <w:pStyle w:val="DefinedTerms"/>
      </w:pPr>
      <w:r>
        <w:t>terrorist act</w:t>
      </w:r>
      <w:r>
        <w:tab/>
        <w:t>3(1)</w:t>
      </w:r>
    </w:p>
    <w:p>
      <w:pPr>
        <w:pStyle w:val="DefinedTerms"/>
      </w:pPr>
      <w:r>
        <w:t>terrorist intelligence information</w:t>
      </w:r>
      <w:r>
        <w:tab/>
        <w:t>3(1)</w:t>
      </w:r>
    </w:p>
    <w:p>
      <w:pPr>
        <w:pStyle w:val="DefinedTerms"/>
      </w:pPr>
      <w:r>
        <w:t>victim</w:t>
      </w:r>
      <w:r>
        <w:tab/>
        <w:t>31(1), 133(3)</w:t>
      </w:r>
    </w:p>
    <w:p>
      <w:pPr>
        <w:pStyle w:val="DefinedTerms"/>
      </w:pPr>
      <w:r>
        <w:t>WAIRC</w:t>
      </w:r>
      <w:r>
        <w:tab/>
        <w:t>11CA</w:t>
      </w:r>
    </w:p>
    <w:p>
      <w:pPr>
        <w:pStyle w:val="DefinedTerms"/>
      </w:pPr>
      <w:r>
        <w:t>welfare agency</w:t>
      </w:r>
      <w:r>
        <w:tab/>
        <w:t>15A(2)</w:t>
      </w:r>
    </w:p>
    <w:p>
      <w:pPr>
        <w:pStyle w:val="DefinedTerms"/>
      </w:pPr>
      <w:r>
        <w:t>work</w:t>
      </w:r>
      <w:r>
        <w:tab/>
        <w:t>3(1)</w:t>
      </w:r>
    </w:p>
    <w:p>
      <w:pPr>
        <w:pStyle w:val="DefinedTerms"/>
      </w:pPr>
      <w:r>
        <w:t>written reasons</w:t>
      </w:r>
      <w:r>
        <w:tab/>
        <w:t>120(3)</w:t>
      </w:r>
    </w:p>
    <w:p>
      <w:pPr>
        <w:pStyle w:val="DefinedTerms"/>
      </w:pPr>
      <w:r>
        <w:t>young person</w:t>
      </w:r>
      <w:r>
        <w:tab/>
        <w:t>3(1)</w:t>
      </w:r>
    </w:p>
    <w:p>
      <w:pPr>
        <w:pStyle w:val="DefinedTerms"/>
      </w:pPr>
      <w:r>
        <w:t>youth community based order</w:t>
      </w:r>
      <w:r>
        <w:tab/>
        <w:t>3(1)</w:t>
      </w:r>
    </w:p>
    <w:p/>
    <w:p>
      <w:pPr>
        <w:sectPr>
          <w:headerReference w:type="even" r:id="rId33"/>
          <w:headerReference w:type="default" r:id="rId34"/>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5A8FFB"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D1F63D7" w14:textId="61E08267" w:rsidR="005E5BEE" w:rsidRDefault="00EE0BA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46503">
                        <w:rPr>
                          <w:sz w:val="16"/>
                        </w:rPr>
                        <w:t>2024</w:t>
                      </w:r>
                      <w:r>
                        <w:rPr>
                          <w:sz w:val="16"/>
                        </w:rPr>
                        <w:fldChar w:fldCharType="end"/>
                      </w:r>
                      <w:r>
                        <w:rPr>
                          <w:sz w:val="16"/>
                        </w:rPr>
                        <w:t>.</w:t>
                      </w:r>
                    </w:p>
                    <w:p w14:paraId="2845EF05" w14:textId="77777777" w:rsidR="005E5BEE" w:rsidRDefault="00EE0BA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DEF6A56" w14:textId="5C902BBE" w:rsidR="005E5BEE" w:rsidRDefault="00EE0BA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46503">
                        <w:rPr>
                          <w:sz w:val="16"/>
                        </w:rPr>
                        <w:t>2024</w:t>
                      </w:r>
                      <w:r>
                        <w:rPr>
                          <w:sz w:val="16"/>
                        </w:rPr>
                        <w:fldChar w:fldCharType="end"/>
                      </w:r>
                      <w:r>
                        <w:rPr>
                          <w:sz w:val="16"/>
                        </w:rPr>
                        <w:t>.</w:t>
                      </w:r>
                    </w:p>
                    <w:p w14:paraId="04CF1EB7" w14:textId="77777777" w:rsidR="005E5BEE" w:rsidRDefault="00EE0BA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22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07-t0-00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423" w:name="Schedule"/>
    <w:bookmarkEnd w:id="42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Schedule 2 offences</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separate"/>
          </w:r>
          <w:r>
            <w:t>Schedule 2 offences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39" w:name="Compilation"/>
    <w:bookmarkEnd w:id="43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Young Offenders Act 1994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43" w:name="DefinedTerms"/>
    <w:bookmarkEnd w:id="443"/>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44" w:name="Coversheet"/>
    <w:bookmarkEnd w:id="44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307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18100619"/>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 w:name="WAFER_20220407154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7154623_GUID" w:val="1cfea661-93e4-4e5a-8759-1cb06501fd3b"/>
    <w:docVar w:name="WAFER_202205191500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50043_GUID" w:val="bc28a85a-d1cd-416c-aaa1-0c5db823a0a4"/>
    <w:docVar w:name="WAFER_20221103093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705_GUID" w:val="680cfadd-ebb6-4d9a-a2c6-3bb586493e85"/>
    <w:docVar w:name="WAFER_2023041213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51_GUID" w:val="74f67cf8-ec90-4d9f-a0b8-80ee44e51514"/>
    <w:docVar w:name="WAFER_20230626165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626165335_GUID" w:val="0d504cd8-59df-4a0c-8271-00ae784c3c98"/>
    <w:docVar w:name="WAFER_202310231033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3103320_GUID" w:val="ecce25dc-0668-4f54-9550-8179061fe037"/>
    <w:docVar w:name="WAFER_202312061556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06155642_GUID" w:val="5f37ca80-64ad-492e-8051-bd7962e5745c"/>
    <w:docVar w:name="WAFER_20231218111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11707_GUID" w:val="ebb173f3-3e31-4788-946a-b23c8f42536f"/>
    <w:docVar w:name="WAFER_202403150926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20_GUID" w:val="14bbf8b0-4b56-4eb8-b47f-004b46a19771"/>
    <w:docVar w:name="WAFER_202403150926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2653_GUID" w:val="6f200055-aec6-4718-8e3a-c288baa6cba5"/>
    <w:docVar w:name="WAFER_202406111437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43732_GUID" w:val="72d57131-ba25-4640-9902-cb5e3756b98d"/>
    <w:docVar w:name="WAFER_20240816113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3148_GUID" w:val="f8be8a3b-ae71-4105-81b8-b88b7c77671d"/>
    <w:docVar w:name="WAFER_202408221138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822113840_GUID" w:val="066b984b-ad68-4449-90b9-787265d9040e"/>
    <w:docVar w:name="WAFER_202409251120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25112006_GUID" w:val="117494ca-33ee-4b9c-95d7-4b8bfbb18052"/>
    <w:docVar w:name="WAFER_202410181006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100619_GUID" w:val="037d38be-f6e1-4287-a87f-d5f0a8857fd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01"/>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03BD09-8117-4261-BA4C-9CCA1439D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53635</Words>
  <Characters>254235</Characters>
  <Application>Microsoft Office Word</Application>
  <DocSecurity>0</DocSecurity>
  <Lines>7062</Lines>
  <Paragraphs>4104</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303766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1994 - 07-t0-00</dc:title>
  <dc:subject/>
  <dc:creator/>
  <cp:keywords/>
  <dc:description/>
  <cp:lastModifiedBy>Master Repository Process</cp:lastModifiedBy>
  <cp:revision>4</cp:revision>
  <cp:lastPrinted>2018-12-13T07:18:00Z</cp:lastPrinted>
  <dcterms:created xsi:type="dcterms:W3CDTF">2025-07-04T04:15:00Z</dcterms:created>
  <dcterms:modified xsi:type="dcterms:W3CDTF">2025-07-04T04:16:00Z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22 Oct 2024</vt:lpwstr>
  </property>
  <property fmtid="{D5CDD505-2E9C-101B-9397-08002B2CF9AE}" pid="9" name="Suffix">
    <vt:lpwstr>07-t0-00</vt:lpwstr>
  </property>
  <property fmtid="{D5CDD505-2E9C-101B-9397-08002B2CF9AE}" pid="10" name="Official">
    <vt:lpwstr/>
  </property>
  <property fmtid="{D5CDD505-2E9C-101B-9397-08002B2CF9AE}" pid="11" name="CommencementDate">
    <vt:lpwstr>20241022</vt:lpwstr>
  </property>
  <property fmtid="{D5CDD505-2E9C-101B-9397-08002B2CF9AE}" pid="12" name="CommencementAsAt">
    <vt:filetime>2024-10-21T16:00:00Z</vt:filetime>
  </property>
  <property fmtid="{D5CDD505-2E9C-101B-9397-08002B2CF9AE}" pid="13" name="CommencementYear">
    <vt:lpwstr>2024</vt:lpwstr>
  </property>
</Properties>
</file>