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Medicines and Poisons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Medicines and Poisons Amendment Regulations (No. 3)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Medicines and Poisons Amendment Regulations (No. 3)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_Toc181094085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_Toc181094086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_Toc181094087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_Toc181094088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6A inserted</w:t>
      </w:r>
      <w:r>
        <w:tab/>
      </w:r>
      <w:r>
        <w:fldChar w:fldCharType="begin"/>
      </w:r>
      <w:r>
        <w:instrText xml:space="preserve"> PAGEREF _Toc181094089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6A.</w:t>
      </w:r>
      <w:r>
        <w:rPr>
          <w:noProof/>
        </w:rPr>
        <w:tab/>
        <w:t>Classification of nicotine as poison (s. 4)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_Toc181094090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Medicines and Poisons Act 2014</w:t>
      </w:r>
    </w:p>
    <w:p>
      <w:pPr>
        <w:pStyle w:val="NameofActReg"/>
      </w:pPr>
      <w:r>
        <w:t>Medicines and Poisons Amendment Regulations (No. 3)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0668804"/>
      <w:bookmarkStart w:id="3" w:name="_Toc18109408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Medicines and Poisons Amendment Regulations (No. 3) 2024</w:t>
      </w:r>
      <w:r>
        <w:t>.</w:t>
      </w:r>
    </w:p>
    <w:p>
      <w:pPr>
        <w:pStyle w:val="Heading5"/>
        <w:rPr>
          <w:spacing w:val="-2"/>
        </w:rPr>
      </w:pPr>
      <w:bookmarkStart w:id="5" w:name="_Toc180668805"/>
      <w:bookmarkStart w:id="6" w:name="_Toc18109408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0668806"/>
      <w:bookmarkStart w:id="8" w:name="_Toc18109408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Medicines and Poisons Regulations 2016</w:t>
      </w:r>
      <w:r>
        <w:t>.</w:t>
      </w:r>
    </w:p>
    <w:p>
      <w:pPr>
        <w:pStyle w:val="Heading5"/>
      </w:pPr>
      <w:bookmarkStart w:id="9" w:name="_Toc180668807"/>
      <w:bookmarkStart w:id="10" w:name="_Toc181094088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6 delete “exempt substance,”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exempt substance or nicotine,</w:t>
      </w:r>
    </w:p>
    <w:p>
      <w:pPr>
        <w:pStyle w:val="BlankClose"/>
      </w:pPr>
    </w:p>
    <w:p>
      <w:pPr>
        <w:pStyle w:val="Heading5"/>
      </w:pPr>
      <w:bookmarkStart w:id="11" w:name="_Toc180668808"/>
      <w:bookmarkStart w:id="12" w:name="_Toc181094089"/>
      <w:r>
        <w:rPr>
          <w:rStyle w:val="CharSectno"/>
        </w:rPr>
        <w:lastRenderedPageBreak/>
        <w:t>5</w:t>
      </w:r>
      <w:r>
        <w:t>.</w:t>
      </w:r>
      <w:r>
        <w:tab/>
        <w:t>Regulation 6A inserted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 xml:space="preserve">After regulation 6 insert: </w:t>
      </w:r>
    </w:p>
    <w:p>
      <w:pPr>
        <w:pStyle w:val="BlankOpen"/>
      </w:pPr>
    </w:p>
    <w:p>
      <w:pPr>
        <w:pStyle w:val="zHeading5"/>
      </w:pPr>
      <w:bookmarkStart w:id="13" w:name="_Toc180668809"/>
      <w:bookmarkStart w:id="14" w:name="_Toc181094090"/>
      <w:r>
        <w:t>6A.</w:t>
      </w:r>
      <w:r>
        <w:tab/>
        <w:t>Classification of nicotine as poison (s. 4)</w:t>
      </w:r>
      <w:bookmarkEnd w:id="13"/>
      <w:bookmarkEnd w:id="14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included in the Register</w:t>
      </w:r>
      <w:r>
        <w:t xml:space="preserve"> has the meaning given in the </w:t>
      </w:r>
      <w:r>
        <w:rPr>
          <w:i/>
          <w:iCs/>
        </w:rPr>
        <w:t>Therapeutic Goods Act 1989</w:t>
      </w:r>
      <w:r>
        <w:t xml:space="preserve"> (Commonwealth) section 3;</w:t>
      </w:r>
    </w:p>
    <w:p>
      <w:pPr>
        <w:pStyle w:val="zDefstart"/>
      </w:pPr>
      <w:r>
        <w:tab/>
      </w:r>
      <w:r>
        <w:rPr>
          <w:rStyle w:val="CharDefText"/>
        </w:rPr>
        <w:t>oromucosal administration</w:t>
      </w:r>
      <w:r>
        <w:t xml:space="preserve"> means oromucosal use as defined in the current Poisons Standard section 6;</w:t>
      </w:r>
    </w:p>
    <w:p>
      <w:pPr>
        <w:pStyle w:val="zDefstart"/>
      </w:pPr>
      <w:r>
        <w:tab/>
      </w:r>
      <w:r>
        <w:rPr>
          <w:rStyle w:val="CharDefText"/>
        </w:rPr>
        <w:t>therapeutic use</w:t>
      </w:r>
      <w:r>
        <w:t xml:space="preserve"> has the meaning given in the current Poisons Standard section 6;</w:t>
      </w:r>
    </w:p>
    <w:p>
      <w:pPr>
        <w:pStyle w:val="zDefstart"/>
      </w:pPr>
      <w:r>
        <w:tab/>
      </w:r>
      <w:r>
        <w:rPr>
          <w:rStyle w:val="CharDefText"/>
        </w:rPr>
        <w:t>transdermal administration</w:t>
      </w:r>
      <w:r>
        <w:t xml:space="preserve"> means transdermal use as defined in the current Poisons Standard section 6.</w:t>
      </w:r>
    </w:p>
    <w:p>
      <w:pPr>
        <w:pStyle w:val="zSubsection"/>
      </w:pPr>
      <w:r>
        <w:tab/>
        <w:t>(2)</w:t>
      </w:r>
      <w:r>
        <w:tab/>
        <w:t>Each substance described in an item in the Table is classified as a poison included in the Schedule specified in that item.</w:t>
      </w: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1418"/>
        <w:gridCol w:w="3743"/>
      </w:tblGrid>
      <w:tr>
        <w:trPr>
          <w:tblHeader/>
        </w:trPr>
        <w:tc>
          <w:tcPr>
            <w:tcW w:w="822" w:type="dxa"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418" w:type="dxa"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Schedule</w:t>
            </w:r>
          </w:p>
        </w:tc>
        <w:tc>
          <w:tcPr>
            <w:tcW w:w="3743" w:type="dxa"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substance</w:t>
            </w:r>
          </w:p>
        </w:tc>
      </w:tr>
      <w:tr>
        <w:tc>
          <w:tcPr>
            <w:tcW w:w="822" w:type="dxa"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1418" w:type="dxa"/>
          </w:tcPr>
          <w:p>
            <w:pPr>
              <w:pStyle w:val="zTableNAm"/>
            </w:pPr>
            <w:r>
              <w:t>Schedule 4</w:t>
            </w:r>
          </w:p>
        </w:tc>
        <w:tc>
          <w:tcPr>
            <w:tcW w:w="3743" w:type="dxa"/>
          </w:tcPr>
          <w:p>
            <w:pPr>
              <w:pStyle w:val="zTableNAm"/>
              <w:tabs>
                <w:tab w:val="clear" w:pos="567"/>
                <w:tab w:val="left" w:pos="0"/>
              </w:tabs>
            </w:pPr>
            <w:r>
              <w:t xml:space="preserve">NICOTINE in preparations for human use </w:t>
            </w:r>
            <w:r>
              <w:rPr>
                <w:b/>
                <w:bCs/>
              </w:rPr>
              <w:t>except</w:t>
            </w:r>
            <w:r>
              <w:t>:</w:t>
            </w:r>
          </w:p>
          <w:p>
            <w:pPr>
              <w:pStyle w:val="zTableNAmLeft008cm"/>
            </w:pPr>
            <w:r>
              <w:tab/>
              <w:t>(a)</w:t>
            </w:r>
            <w:r>
              <w:tab/>
              <w:t>in preparations for oromucosal or transdermal administration for human therapeutic use when included in the Register as an aid in withdrawal either from tobacco smoking or nicotine vaping; or</w:t>
            </w:r>
          </w:p>
          <w:p>
            <w:pPr>
              <w:pStyle w:val="zTableNAmLeft008cm"/>
            </w:pPr>
            <w:r>
              <w:lastRenderedPageBreak/>
              <w:tab/>
              <w:t>(b)</w:t>
            </w:r>
            <w:r>
              <w:tab/>
              <w:t>in tobacco prepared and packed for smoking.</w:t>
            </w:r>
          </w:p>
        </w:tc>
      </w:tr>
      <w:tr>
        <w:tc>
          <w:tcPr>
            <w:tcW w:w="822" w:type="dxa"/>
          </w:tcPr>
          <w:p>
            <w:pPr>
              <w:pStyle w:val="zTableNAm"/>
            </w:pPr>
            <w:r>
              <w:lastRenderedPageBreak/>
              <w:t>2.</w:t>
            </w:r>
          </w:p>
        </w:tc>
        <w:tc>
          <w:tcPr>
            <w:tcW w:w="1418" w:type="dxa"/>
          </w:tcPr>
          <w:p>
            <w:pPr>
              <w:pStyle w:val="zTableNAm"/>
            </w:pPr>
            <w:r>
              <w:t>Schedule 7</w:t>
            </w:r>
          </w:p>
        </w:tc>
        <w:tc>
          <w:tcPr>
            <w:tcW w:w="3743" w:type="dxa"/>
          </w:tcPr>
          <w:p>
            <w:pPr>
              <w:pStyle w:val="zTableNAm"/>
            </w:pPr>
            <w:r>
              <w:t xml:space="preserve">NICOTINE </w:t>
            </w:r>
            <w:r>
              <w:rPr>
                <w:b/>
                <w:bCs/>
              </w:rPr>
              <w:t>except</w:t>
            </w:r>
            <w:r>
              <w:t>:</w:t>
            </w:r>
          </w:p>
          <w:p>
            <w:pPr>
              <w:pStyle w:val="zTableNAmLeft008cm"/>
            </w:pPr>
            <w:r>
              <w:tab/>
              <w:t>(a)</w:t>
            </w:r>
            <w:r>
              <w:tab/>
              <w:t>when included in Schedule 4; or</w:t>
            </w:r>
          </w:p>
          <w:p>
            <w:pPr>
              <w:pStyle w:val="zTableNAmLeft008cm"/>
            </w:pPr>
            <w:r>
              <w:tab/>
              <w:t>(b)</w:t>
            </w:r>
            <w:r>
              <w:tab/>
              <w:t>in preparations for oromucosal or transdermal administration for human therapeutic use when included in the Register as an aid in withdrawal either from tobacco smoking or nicotine vaping; or</w:t>
            </w:r>
          </w:p>
          <w:p>
            <w:pPr>
              <w:pStyle w:val="zTableNAmLeft008cm"/>
            </w:pPr>
            <w:r>
              <w:tab/>
              <w:t>(c)</w:t>
            </w:r>
            <w:r>
              <w:tab/>
              <w:t>in tobacco prepared and packed for smoking.</w:t>
            </w:r>
          </w:p>
        </w:tc>
      </w:tr>
    </w:tbl>
    <w:p>
      <w:pPr>
        <w:pStyle w:val="BlankClose"/>
      </w:pPr>
    </w:p>
    <w:p>
      <w:pPr>
        <w:pStyle w:val="ByCommand"/>
      </w:pPr>
      <w:r>
        <w:t>N. HAGLEY, Clerk of the Executive Council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Medicines and Poisons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Medicines and Poisons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Medicines and Poisons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Medicines and Poisons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02413243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021101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02110116_GUID" w:val="66c4dcb6-e825-4b7c-81a0-9c272d2a80f1"/>
    <w:docVar w:name="WAFER_202410081343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08134329_GUID" w:val="8d88290e-4ef9-4ecf-88cc-2037c2c2fbab"/>
    <w:docVar w:name="WAFER_202410241324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24132438_GUID" w:val="979c0d89-d53c-4adc-a533-a9d6ba89574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5787B062-240C-4E32-8B10-3D82AC0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TableNAmLeft008cm">
    <w:name w:val="zTableNAm + Left:  0.08 cm"/>
    <w:aliases w:val="Hanging:  0.96 cm"/>
    <w:basedOn w:val="TableNAm"/>
    <w:pPr>
      <w:tabs>
        <w:tab w:val="clear" w:pos="567"/>
        <w:tab w:val="left" w:pos="157"/>
      </w:tabs>
      <w:ind w:left="591" w:hanging="546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2534</Characters>
  <Application>Microsoft Office Word</Application>
  <DocSecurity>0</DocSecurity>
  <Lines>120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Medicines and Poisons Amendment Regulations (No. 3) 2024 - 00-00-00</dc:title>
  <dc:subject/>
  <dc:creator/>
  <cp:keywords/>
  <dc:description/>
  <cp:lastModifiedBy>Master Repository Process</cp:lastModifiedBy>
  <cp:revision>4</cp:revision>
  <cp:lastPrinted>2024-09-27T04:26:00Z</cp:lastPrinted>
  <dcterms:created xsi:type="dcterms:W3CDTF">2025-06-16T04:45:00Z</dcterms:created>
  <dcterms:modified xsi:type="dcterms:W3CDTF">2025-06-16T04:45:00Z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55112</vt:lpwstr>
  </property>
  <property fmtid="{D5CDD505-2E9C-101B-9397-08002B2CF9AE}" pid="3" name="DocumentType">
    <vt:lpwstr>Reg</vt:lpwstr>
  </property>
  <property fmtid="{D5CDD505-2E9C-101B-9397-08002B2CF9AE}" pid="4" name="AsAtDate">
    <vt:lpwstr>30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2024-10-29T16:00:00Z</vt:filetime>
  </property>
  <property fmtid="{D5CDD505-2E9C-101B-9397-08002B2CF9AE}" pid="8" name="CommencementYear">
    <vt:lpwstr>2024</vt:lpwstr>
  </property>
  <property fmtid="{D5CDD505-2E9C-101B-9397-08002B2CF9AE}" pid="9" name="SLAPId">
    <vt:lpwstr>2024/218</vt:lpwstr>
  </property>
  <property fmtid="{D5CDD505-2E9C-101B-9397-08002B2CF9AE}" pid="10" name="PublishDate">
    <vt:lpwstr>30 Oct 2024</vt:lpwstr>
  </property>
  <property fmtid="{D5CDD505-2E9C-101B-9397-08002B2CF9AE}" pid="11" name="CommencementDate">
    <vt:lpwstr>20241030</vt:lpwstr>
  </property>
</Properties>
</file>