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4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Building Services (Complaint Resolution and Administration) Amendment Act 2024</w:t>
      </w:r>
      <w:r>
        <w:fldChar w:fldCharType="end"/>
      </w:r>
    </w:p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Building Services (Complaint Resolution and Administration) Amendment Act 2024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Short title</w:t>
      </w:r>
      <w:r>
        <w:tab/>
      </w:r>
      <w:r>
        <w:fldChar w:fldCharType="begin"/>
      </w:r>
      <w:r>
        <w:instrText xml:space="preserve"> PAGEREF _Toc181169671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2.</w:t>
      </w:r>
      <w:r>
        <w:tab/>
        <w:t>Commencement</w:t>
      </w:r>
      <w:r>
        <w:tab/>
      </w:r>
      <w:r>
        <w:fldChar w:fldCharType="begin"/>
      </w:r>
      <w:r>
        <w:instrText xml:space="preserve"> PAGEREF _Toc181169672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</w:t>
      </w:r>
      <w:r>
        <w:rPr>
          <w:snapToGrid w:val="0"/>
        </w:rPr>
        <w:t>.</w:t>
      </w:r>
      <w:r>
        <w:rPr>
          <w:snapToGrid w:val="0"/>
        </w:rPr>
        <w:tab/>
        <w:t>Act amended</w:t>
      </w:r>
      <w:r>
        <w:tab/>
      </w:r>
      <w:r>
        <w:fldChar w:fldCharType="begin"/>
      </w:r>
      <w:r>
        <w:instrText xml:space="preserve"> PAGEREF _Toc181169673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Section 3 amended</w:t>
      </w:r>
      <w:r>
        <w:tab/>
      </w:r>
      <w:r>
        <w:fldChar w:fldCharType="begin"/>
      </w:r>
      <w:r>
        <w:instrText xml:space="preserve"> PAGEREF _Toc181169674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5.</w:t>
      </w:r>
      <w:r>
        <w:tab/>
        <w:t>Section 6 amended</w:t>
      </w:r>
      <w:r>
        <w:tab/>
      </w:r>
      <w:r>
        <w:fldChar w:fldCharType="begin"/>
      </w:r>
      <w:r>
        <w:instrText xml:space="preserve"> PAGEREF _Toc181169675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6.</w:t>
      </w:r>
      <w:r>
        <w:tab/>
        <w:t>Section 6A inserted</w:t>
      </w:r>
      <w:r>
        <w:tab/>
      </w:r>
      <w:r>
        <w:fldChar w:fldCharType="begin"/>
      </w:r>
      <w:r>
        <w:instrText xml:space="preserve"> PAGEREF _Toc181169676 \h </w:instrText>
      </w:r>
      <w:r>
        <w:fldChar w:fldCharType="separate"/>
      </w:r>
      <w:r>
        <w:t>3</w:t>
      </w:r>
      <w:r>
        <w:fldChar w:fldCharType="end"/>
      </w:r>
    </w:p>
    <w:p>
      <w:pPr>
        <w:pStyle w:val="TOC9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6A.</w:t>
      </w:r>
      <w:r>
        <w:rPr>
          <w:noProof/>
        </w:rPr>
        <w:tab/>
        <w:t>Building Commissioner may approve policies for dealing with certain complaints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_Toc181169677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7.</w:t>
      </w:r>
      <w:r>
        <w:tab/>
        <w:t>Section 38 amended</w:t>
      </w:r>
      <w:r>
        <w:tab/>
      </w:r>
      <w:r>
        <w:fldChar w:fldCharType="begin"/>
      </w:r>
      <w:r>
        <w:instrText xml:space="preserve"> PAGEREF _Toc181169678 \h </w:instrText>
      </w:r>
      <w:r>
        <w:fldChar w:fldCharType="separate"/>
      </w:r>
      <w:r>
        <w:t>5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8.</w:t>
      </w:r>
      <w:r>
        <w:tab/>
        <w:t>Section 43 amended</w:t>
      </w:r>
      <w:r>
        <w:tab/>
      </w:r>
      <w:r>
        <w:fldChar w:fldCharType="begin"/>
      </w:r>
      <w:r>
        <w:instrText xml:space="preserve"> PAGEREF _Toc181169679 \h </w:instrText>
      </w:r>
      <w:r>
        <w:fldChar w:fldCharType="separate"/>
      </w:r>
      <w:r>
        <w:t>5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9.</w:t>
      </w:r>
      <w:r>
        <w:tab/>
        <w:t>Section 46 amended</w:t>
      </w:r>
      <w:r>
        <w:tab/>
      </w:r>
      <w:r>
        <w:fldChar w:fldCharType="begin"/>
      </w:r>
      <w:r>
        <w:instrText xml:space="preserve"> PAGEREF _Toc181169680 \h </w:instrText>
      </w:r>
      <w:r>
        <w:fldChar w:fldCharType="separate"/>
      </w:r>
      <w:r>
        <w:t>5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10.</w:t>
      </w:r>
      <w:r>
        <w:tab/>
        <w:t>Section 137A inserted</w:t>
      </w:r>
      <w:r>
        <w:tab/>
      </w:r>
      <w:r>
        <w:fldChar w:fldCharType="begin"/>
      </w:r>
      <w:r>
        <w:instrText xml:space="preserve"> PAGEREF _Toc181169681 \h </w:instrText>
      </w:r>
      <w:r>
        <w:fldChar w:fldCharType="separate"/>
      </w:r>
      <w:r>
        <w:t>6</w:t>
      </w:r>
      <w:r>
        <w:fldChar w:fldCharType="end"/>
      </w:r>
    </w:p>
    <w:p>
      <w:pPr>
        <w:pStyle w:val="TOC9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137A.</w:t>
      </w:r>
      <w:r>
        <w:rPr>
          <w:noProof/>
        </w:rPr>
        <w:tab/>
        <w:t xml:space="preserve">Transitional provisions for </w:t>
      </w:r>
      <w:r>
        <w:rPr>
          <w:i/>
          <w:iCs/>
          <w:noProof/>
        </w:rPr>
        <w:t>Building Services (Complaint Resolution and Administration) Amendment Act 2024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_Toc181169682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WA"/>
        <w:spacing w:after="480"/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-467995</wp:posOffset>
            </wp:positionV>
            <wp:extent cx="471600" cy="417600"/>
            <wp:effectExtent l="0" t="0" r="5080" b="190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600" cy="41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Western Australia</w:t>
      </w:r>
    </w:p>
    <w:p>
      <w:pPr>
        <w:pStyle w:val="NameofActReg"/>
      </w:pPr>
      <w:r>
        <w:t>Building Services (Complaint Resolution and Administration) Amendment Act 2024</w:t>
      </w:r>
    </w:p>
    <w:p>
      <w:pPr>
        <w:pStyle w:val="ABillFor"/>
        <w:pBdr>
          <w:top w:val="single" w:sz="4" w:space="6" w:color="auto"/>
          <w:bottom w:val="single" w:sz="4" w:space="6" w:color="auto"/>
        </w:pBdr>
        <w:spacing w:before="0" w:after="240"/>
        <w:ind w:left="2551" w:right="2551"/>
      </w:pPr>
      <w:bookmarkStart w:id="2" w:name="BillCited"/>
      <w:bookmarkEnd w:id="2"/>
      <w:r>
        <w:t>No. 39 of 2024</w:t>
      </w:r>
    </w:p>
    <w:p>
      <w:pPr>
        <w:pStyle w:val="LongTitle"/>
      </w:pPr>
      <w:r>
        <w:t xml:space="preserve">An Act to amend the </w:t>
      </w:r>
      <w:r>
        <w:rPr>
          <w:i/>
        </w:rPr>
        <w:t>Building Services (Complaint Resolution and Administration) Act 2011</w:t>
      </w:r>
      <w:r>
        <w:t>.</w:t>
      </w:r>
    </w:p>
    <w:p>
      <w:pPr>
        <w:pStyle w:val="AssentDate"/>
        <w:spacing w:before="240" w:after="480"/>
      </w:pPr>
      <w:r>
        <w:t>[</w:t>
      </w:r>
      <w:r>
        <w:rPr>
          <w:i/>
        </w:rPr>
        <w:t>Assented to 29 October 2024</w:t>
      </w:r>
      <w:r>
        <w:t>]</w:t>
      </w:r>
    </w:p>
    <w:p>
      <w:pPr>
        <w:pStyle w:val="Enactment"/>
        <w:spacing w:before="0"/>
      </w:pPr>
      <w:r>
        <w:t>The Parliament of Western Australia enacts as follows:</w:t>
      </w:r>
    </w:p>
    <w:p>
      <w:pPr>
        <w:sectPr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type w:val="oddPage"/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  <w:docGrid w:linePitch="326"/>
        </w:sectPr>
      </w:pPr>
    </w:p>
    <w:p>
      <w:pPr>
        <w:pStyle w:val="Heading5"/>
      </w:pPr>
      <w:bookmarkStart w:id="3" w:name="_Toc181169671"/>
      <w:r>
        <w:rPr>
          <w:rStyle w:val="CharSectno"/>
        </w:rPr>
        <w:t>1</w:t>
      </w:r>
      <w:r>
        <w:t>.</w:t>
      </w:r>
      <w:r>
        <w:tab/>
        <w:t>Short title</w:t>
      </w:r>
      <w:bookmarkEnd w:id="3"/>
    </w:p>
    <w:p>
      <w:pPr>
        <w:pStyle w:val="Subsection"/>
      </w:pPr>
      <w:r>
        <w:tab/>
      </w:r>
      <w:r>
        <w:tab/>
        <w:t>This is the</w:t>
      </w:r>
      <w:r>
        <w:rPr>
          <w:i/>
        </w:rPr>
        <w:t xml:space="preserve"> Building Services (Complaint Resolution and Administration) Amendment Act 2024</w:t>
      </w:r>
      <w:r>
        <w:t>.</w:t>
      </w:r>
    </w:p>
    <w:p>
      <w:pPr>
        <w:pStyle w:val="Heading5"/>
      </w:pPr>
      <w:bookmarkStart w:id="4" w:name="_Toc181169672"/>
      <w:r>
        <w:rPr>
          <w:rStyle w:val="CharSectno"/>
        </w:rPr>
        <w:t>2</w:t>
      </w:r>
      <w:r>
        <w:t>.</w:t>
      </w:r>
      <w:r>
        <w:tab/>
        <w:t>Commencement</w:t>
      </w:r>
      <w:bookmarkEnd w:id="4"/>
    </w:p>
    <w:p>
      <w:pPr>
        <w:pStyle w:val="Subsection"/>
        <w:rPr>
          <w:spacing w:val="-2"/>
        </w:rPr>
      </w:pPr>
      <w:r>
        <w:tab/>
      </w:r>
      <w:r>
        <w:tab/>
        <w:t xml:space="preserve">This Act </w:t>
      </w:r>
      <w:r>
        <w:rPr>
          <w:spacing w:val="-2"/>
        </w:rPr>
        <w:t xml:space="preserve">comes into </w:t>
      </w:r>
      <w:r>
        <w:t>operation</w:t>
      </w:r>
      <w:r>
        <w:rPr>
          <w:spacing w:val="-2"/>
        </w:rPr>
        <w:t xml:space="preserve"> as follows</w:t>
      </w:r>
      <w:r>
        <w:t> —</w:t>
      </w:r>
    </w:p>
    <w:p>
      <w:pPr>
        <w:pStyle w:val="Indenta"/>
      </w:pPr>
      <w:r>
        <w:tab/>
        <w:t>(a)</w:t>
      </w:r>
      <w:r>
        <w:tab/>
        <w:t>sections 1 and 2 — on the day on which this Act receives the Royal Assent;</w:t>
      </w:r>
    </w:p>
    <w:p>
      <w:pPr>
        <w:pStyle w:val="Indenta"/>
      </w:pPr>
      <w:r>
        <w:tab/>
        <w:t>(b)</w:t>
      </w:r>
      <w:r>
        <w:tab/>
        <w:t>the rest of the Act — on the day after that day.</w:t>
      </w:r>
    </w:p>
    <w:p>
      <w:pPr>
        <w:pStyle w:val="Heading5"/>
        <w:rPr>
          <w:snapToGrid w:val="0"/>
        </w:rPr>
      </w:pPr>
      <w:bookmarkStart w:id="5" w:name="_Toc181169673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Act amended</w:t>
      </w:r>
      <w:bookmarkEnd w:id="5"/>
    </w:p>
    <w:p>
      <w:pPr>
        <w:pStyle w:val="Subsection"/>
      </w:pPr>
      <w:r>
        <w:tab/>
      </w:r>
      <w:r>
        <w:tab/>
        <w:t xml:space="preserve">This Act amends the </w:t>
      </w:r>
      <w:r>
        <w:rPr>
          <w:i/>
        </w:rPr>
        <w:t>Building Services (Complaint Resolution and Administration) Act 2011</w:t>
      </w:r>
      <w:r>
        <w:t>.</w:t>
      </w:r>
    </w:p>
    <w:p>
      <w:pPr>
        <w:pStyle w:val="Heading5"/>
      </w:pPr>
      <w:bookmarkStart w:id="6" w:name="_Toc181169674"/>
      <w:r>
        <w:rPr>
          <w:rStyle w:val="CharSectno"/>
        </w:rPr>
        <w:t>4</w:t>
      </w:r>
      <w:r>
        <w:t>.</w:t>
      </w:r>
      <w:r>
        <w:tab/>
        <w:t>Section 3 amended</w:t>
      </w:r>
      <w:bookmarkEnd w:id="6"/>
    </w:p>
    <w:p>
      <w:pPr>
        <w:pStyle w:val="Subsection"/>
      </w:pPr>
      <w:r>
        <w:tab/>
      </w:r>
      <w:r>
        <w:tab/>
        <w:t>In section 3 insert in alphabetical order:</w:t>
      </w:r>
    </w:p>
    <w:p>
      <w:pPr>
        <w:pStyle w:val="BlankOpen"/>
      </w:pPr>
    </w:p>
    <w:p>
      <w:pPr>
        <w:pStyle w:val="zDefstart"/>
      </w:pPr>
      <w:r>
        <w:tab/>
      </w:r>
      <w:r>
        <w:rPr>
          <w:rStyle w:val="CharDefText"/>
        </w:rPr>
        <w:t>approved policy</w:t>
      </w:r>
      <w:r>
        <w:t xml:space="preserve"> means a policy in effect under section 6A;</w:t>
      </w:r>
    </w:p>
    <w:p/>
    <w:p>
      <w:pPr>
        <w:pStyle w:val="Heading5"/>
      </w:pPr>
      <w:bookmarkStart w:id="7" w:name="_Toc181169675"/>
      <w:r>
        <w:rPr>
          <w:rStyle w:val="CharSectno"/>
        </w:rPr>
        <w:t>5</w:t>
      </w:r>
      <w:r>
        <w:t>.</w:t>
      </w:r>
      <w:r>
        <w:tab/>
        <w:t>Section 6 amended</w:t>
      </w:r>
      <w:bookmarkEnd w:id="7"/>
    </w:p>
    <w:p>
      <w:pPr>
        <w:pStyle w:val="Subsection"/>
      </w:pPr>
      <w:r>
        <w:tab/>
        <w:t>(1)</w:t>
      </w:r>
      <w:r>
        <w:tab/>
        <w:t>Delete section 6(1) and insert:</w:t>
      </w:r>
    </w:p>
    <w:p>
      <w:pPr>
        <w:pStyle w:val="BlankOpen"/>
      </w:pPr>
    </w:p>
    <w:p>
      <w:pPr>
        <w:pStyle w:val="zSubsection"/>
      </w:pPr>
      <w:r>
        <w:tab/>
        <w:t>(1)</w:t>
      </w:r>
      <w:r>
        <w:tab/>
        <w:t xml:space="preserve">A building service complaint is made out of time if the complaint is made — </w:t>
      </w:r>
    </w:p>
    <w:p>
      <w:pPr>
        <w:pStyle w:val="zIndenta"/>
      </w:pPr>
      <w:r>
        <w:tab/>
        <w:t>(a)</w:t>
      </w:r>
      <w:r>
        <w:tab/>
        <w:t>for a complaint relating to the installation or use of a Typlex pipe — more than 15 years after the completion of the regulated building service to which the complaint relates; or</w:t>
      </w:r>
    </w:p>
    <w:p>
      <w:pPr>
        <w:pStyle w:val="zIndenta"/>
        <w:keepNext/>
        <w:keepLines/>
      </w:pPr>
      <w:r>
        <w:tab/>
        <w:t>(b)</w:t>
      </w:r>
      <w:r>
        <w:tab/>
        <w:t>for a complaint relating to a matter other than the installation or use of a Typlex pipe — more than 6 years after the completion of the regulated building service to which the complaint relates.</w:t>
      </w:r>
    </w:p>
    <w:p>
      <w:pPr>
        <w:pStyle w:val="zSubsection"/>
      </w:pPr>
      <w:r>
        <w:tab/>
        <w:t>(1A)</w:t>
      </w:r>
      <w:r>
        <w:tab/>
        <w:t>Subsection (1)(a) applies to a building service complaint relating to the installation or use of a Typlex pipe irrespective of whether the making of the complaint would, before the commencement of the</w:t>
      </w:r>
      <w:r>
        <w:rPr>
          <w:i/>
        </w:rPr>
        <w:t xml:space="preserve"> Building Services (Complaint Resolution and Administration) Amendment Act 2024</w:t>
      </w:r>
      <w:r>
        <w:rPr>
          <w:iCs/>
        </w:rPr>
        <w:t xml:space="preserve"> section 5(1), have been out of time.</w:t>
      </w:r>
    </w:p>
    <w:p>
      <w:pPr>
        <w:pStyle w:val="BlankClose"/>
      </w:pPr>
    </w:p>
    <w:p>
      <w:pPr>
        <w:pStyle w:val="Subsection"/>
      </w:pPr>
      <w:r>
        <w:tab/>
        <w:t>(2)</w:t>
      </w:r>
      <w:r>
        <w:tab/>
        <w:t>After section 6(3) insert:</w:t>
      </w:r>
    </w:p>
    <w:p>
      <w:pPr>
        <w:pStyle w:val="BlankOpen"/>
      </w:pPr>
    </w:p>
    <w:p>
      <w:pPr>
        <w:pStyle w:val="zSubsection"/>
      </w:pPr>
      <w:r>
        <w:tab/>
        <w:t>(4)</w:t>
      </w:r>
      <w:r>
        <w:tab/>
        <w:t xml:space="preserve">In this section — </w:t>
      </w:r>
    </w:p>
    <w:p>
      <w:pPr>
        <w:pStyle w:val="zDefstart"/>
      </w:pPr>
      <w:r>
        <w:tab/>
      </w:r>
      <w:r>
        <w:rPr>
          <w:rStyle w:val="CharDefText"/>
        </w:rPr>
        <w:t>related body corporate</w:t>
      </w:r>
      <w:r>
        <w:t xml:space="preserve"> has the meaning given in the </w:t>
      </w:r>
      <w:r>
        <w:rPr>
          <w:i/>
          <w:iCs/>
        </w:rPr>
        <w:t>Corporations Act 2001</w:t>
      </w:r>
      <w:r>
        <w:t xml:space="preserve"> (Commonwealth) section 9;</w:t>
      </w:r>
    </w:p>
    <w:p>
      <w:pPr>
        <w:pStyle w:val="zDefstart"/>
      </w:pPr>
      <w:r>
        <w:tab/>
      </w:r>
      <w:r>
        <w:rPr>
          <w:rStyle w:val="CharDefText"/>
        </w:rPr>
        <w:t>Typlex pipe</w:t>
      </w:r>
      <w:r>
        <w:t xml:space="preserve"> means a polybutylene pipe manufactured with Typlex</w:t>
      </w:r>
      <w:r>
        <w:noBreakHyphen/>
        <w:t>1050 resin by Fletcher Building Limited, ARBN 096 046 936, or a related body corporate of Fletcher Building Limited (including a former related body corporate).</w:t>
      </w:r>
    </w:p>
    <w:p>
      <w:pPr>
        <w:pStyle w:val="BlankClose"/>
      </w:pPr>
    </w:p>
    <w:p>
      <w:pPr>
        <w:pStyle w:val="Heading5"/>
      </w:pPr>
      <w:bookmarkStart w:id="8" w:name="_Toc181169676"/>
      <w:r>
        <w:rPr>
          <w:rStyle w:val="CharSectno"/>
        </w:rPr>
        <w:t>6</w:t>
      </w:r>
      <w:r>
        <w:t>.</w:t>
      </w:r>
      <w:r>
        <w:tab/>
        <w:t>Section 6A inserted</w:t>
      </w:r>
      <w:bookmarkEnd w:id="8"/>
    </w:p>
    <w:p>
      <w:pPr>
        <w:pStyle w:val="Subsection"/>
      </w:pPr>
      <w:r>
        <w:tab/>
      </w:r>
      <w:r>
        <w:tab/>
        <w:t>After section 6 insert:</w:t>
      </w:r>
    </w:p>
    <w:p>
      <w:pPr>
        <w:pStyle w:val="BlankOpen"/>
      </w:pPr>
    </w:p>
    <w:p>
      <w:pPr>
        <w:pStyle w:val="zHeading5"/>
      </w:pPr>
      <w:bookmarkStart w:id="9" w:name="_Toc181169677"/>
      <w:r>
        <w:t>6A.</w:t>
      </w:r>
      <w:r>
        <w:tab/>
        <w:t>Building Commissioner may approve policies for dealing with certain complaints</w:t>
      </w:r>
      <w:bookmarkEnd w:id="9"/>
    </w:p>
    <w:p>
      <w:pPr>
        <w:pStyle w:val="zSubsection"/>
        <w:keepNext/>
      </w:pPr>
      <w:r>
        <w:tab/>
        <w:t>(1)</w:t>
      </w:r>
      <w:r>
        <w:tab/>
        <w:t>The Building Commissioner may approve a policy for the purposes of dealing with building service complaints and HBWC complaints, which may include any of the following —</w:t>
      </w:r>
    </w:p>
    <w:p>
      <w:pPr>
        <w:pStyle w:val="zIndenta"/>
      </w:pPr>
      <w:r>
        <w:tab/>
        <w:t>(a)</w:t>
      </w:r>
      <w:r>
        <w:tab/>
        <w:t>procedures for dealing with the complaints;</w:t>
      </w:r>
    </w:p>
    <w:p>
      <w:pPr>
        <w:pStyle w:val="zIndenta"/>
      </w:pPr>
      <w:r>
        <w:tab/>
        <w:t>(b)</w:t>
      </w:r>
      <w:r>
        <w:tab/>
        <w:t>the kinds of remedies that may be specified in orders under Part 3 in relation to the regulated building services relating to the complaints;</w:t>
      </w:r>
    </w:p>
    <w:p>
      <w:pPr>
        <w:pStyle w:val="zIndenta"/>
      </w:pPr>
      <w:r>
        <w:tab/>
        <w:t>(c)</w:t>
      </w:r>
      <w:r>
        <w:tab/>
        <w:t>other relevant matters.</w:t>
      </w:r>
    </w:p>
    <w:p>
      <w:pPr>
        <w:pStyle w:val="zSubsection"/>
      </w:pPr>
      <w:r>
        <w:tab/>
        <w:t>(2)</w:t>
      </w:r>
      <w:r>
        <w:tab/>
        <w:t xml:space="preserve">The Building Commissioner must not approve a policy under subsection (1) unless satisfied that — </w:t>
      </w:r>
    </w:p>
    <w:p>
      <w:pPr>
        <w:pStyle w:val="zIndenta"/>
      </w:pPr>
      <w:r>
        <w:tab/>
        <w:t>(a)</w:t>
      </w:r>
      <w:r>
        <w:tab/>
        <w:t>there are recurring circumstances or incidents of a similar kind relating to regulated building services; and</w:t>
      </w:r>
    </w:p>
    <w:p>
      <w:pPr>
        <w:pStyle w:val="zIndenta"/>
      </w:pPr>
      <w:r>
        <w:tab/>
        <w:t>(b)</w:t>
      </w:r>
      <w:r>
        <w:tab/>
        <w:t>the policy is likely to assist the Building Commissioner to effectively deal with complaints under section 5 in relation to those circumstances or incidents.</w:t>
      </w:r>
    </w:p>
    <w:p>
      <w:pPr>
        <w:pStyle w:val="zSubsection"/>
      </w:pPr>
      <w:r>
        <w:tab/>
        <w:t>(3)</w:t>
      </w:r>
      <w:r>
        <w:tab/>
        <w:t xml:space="preserve">A policy approved under subsection (1) — </w:t>
      </w:r>
    </w:p>
    <w:p>
      <w:pPr>
        <w:pStyle w:val="zIndenta"/>
      </w:pPr>
      <w:r>
        <w:tab/>
        <w:t>(a)</w:t>
      </w:r>
      <w:r>
        <w:tab/>
        <w:t xml:space="preserve">must be published in accordance with the </w:t>
      </w:r>
      <w:r>
        <w:rPr>
          <w:i/>
        </w:rPr>
        <w:t>Interpretation Act 1984</w:t>
      </w:r>
      <w:r>
        <w:t xml:space="preserve"> section 41(1)(a); and</w:t>
      </w:r>
    </w:p>
    <w:p>
      <w:pPr>
        <w:pStyle w:val="zIndenta"/>
      </w:pPr>
      <w:r>
        <w:tab/>
        <w:t>(b)</w:t>
      </w:r>
      <w:r>
        <w:tab/>
        <w:t>comes into operation on a day, as specified in the policy, occurring on or after the day on which the policy is published under paragraph (a); and</w:t>
      </w:r>
    </w:p>
    <w:p>
      <w:pPr>
        <w:pStyle w:val="zIndenta"/>
      </w:pPr>
      <w:r>
        <w:tab/>
        <w:t>(c)</w:t>
      </w:r>
      <w:r>
        <w:tab/>
        <w:t xml:space="preserve">may be revoked by the Building Commissioner by notice published in accordance with the </w:t>
      </w:r>
      <w:r>
        <w:rPr>
          <w:i/>
        </w:rPr>
        <w:t>Interpretation Act 1984</w:t>
      </w:r>
      <w:r>
        <w:t xml:space="preserve"> section 41(1)(a).</w:t>
      </w:r>
    </w:p>
    <w:p>
      <w:pPr>
        <w:pStyle w:val="zSubsection"/>
      </w:pPr>
      <w:r>
        <w:tab/>
        <w:t>(4)</w:t>
      </w:r>
      <w:r>
        <w:tab/>
        <w:t xml:space="preserve">If an approved policy is in effect at the time the Building Commissioner makes a reviewable decision (as defined in the </w:t>
      </w:r>
      <w:r>
        <w:rPr>
          <w:i/>
        </w:rPr>
        <w:t>State Administrative Tribunal Act 2004</w:t>
      </w:r>
      <w:r>
        <w:t xml:space="preserve"> section 17(3)), the policy is taken to be certified by the Minister as a statement of policy for the purposes of section 28 of that Act.</w:t>
      </w:r>
    </w:p>
    <w:p>
      <w:pPr>
        <w:pStyle w:val="zSubsection"/>
      </w:pPr>
      <w:r>
        <w:tab/>
        <w:t>(5)</w:t>
      </w:r>
      <w:r>
        <w:tab/>
        <w:t>Sections 38(1A) and 43(1A) apply to an approved policy irrespective of whether the State Administrative Tribunal is dealing with a complaint made before or after the approved policy comes into operation.</w:t>
      </w:r>
    </w:p>
    <w:p>
      <w:pPr>
        <w:pStyle w:val="zSubsection"/>
      </w:pPr>
      <w:r>
        <w:tab/>
        <w:t>(6)</w:t>
      </w:r>
      <w:r>
        <w:tab/>
        <w:t>Section 46(1)(ba) applies to an approved policy irrespective of whether the Building Commissioner is dealing with a complaint made before or after the approved policy comes into operation.</w:t>
      </w:r>
    </w:p>
    <w:p>
      <w:pPr>
        <w:pStyle w:val="BlankClose"/>
      </w:pPr>
    </w:p>
    <w:p>
      <w:pPr>
        <w:pStyle w:val="Heading5"/>
      </w:pPr>
      <w:bookmarkStart w:id="10" w:name="_Toc181169678"/>
      <w:r>
        <w:rPr>
          <w:rStyle w:val="CharSectno"/>
        </w:rPr>
        <w:t>7</w:t>
      </w:r>
      <w:r>
        <w:t>.</w:t>
      </w:r>
      <w:r>
        <w:tab/>
        <w:t>Section 38 amended</w:t>
      </w:r>
      <w:bookmarkEnd w:id="10"/>
    </w:p>
    <w:p>
      <w:pPr>
        <w:pStyle w:val="Subsection"/>
      </w:pPr>
      <w:r>
        <w:tab/>
      </w:r>
      <w:r>
        <w:tab/>
        <w:t>After section 38(1) insert:</w:t>
      </w:r>
    </w:p>
    <w:p>
      <w:pPr>
        <w:pStyle w:val="BlankOpen"/>
      </w:pPr>
    </w:p>
    <w:p>
      <w:pPr>
        <w:pStyle w:val="zSubsection"/>
      </w:pPr>
      <w:r>
        <w:tab/>
        <w:t>(1A)</w:t>
      </w:r>
      <w:r>
        <w:tab/>
        <w:t>In dealing with the complaint, the State Administrative Tribunal must have regard to any relevant approved policy in effect at the time.</w:t>
      </w:r>
    </w:p>
    <w:p>
      <w:pPr>
        <w:pStyle w:val="BlankClose"/>
      </w:pPr>
    </w:p>
    <w:p>
      <w:pPr>
        <w:pStyle w:val="Heading5"/>
      </w:pPr>
      <w:bookmarkStart w:id="11" w:name="_Toc181169679"/>
      <w:r>
        <w:rPr>
          <w:rStyle w:val="CharSectno"/>
        </w:rPr>
        <w:t>8</w:t>
      </w:r>
      <w:r>
        <w:t>.</w:t>
      </w:r>
      <w:r>
        <w:tab/>
        <w:t>Section 43 amended</w:t>
      </w:r>
      <w:bookmarkEnd w:id="11"/>
    </w:p>
    <w:p>
      <w:pPr>
        <w:pStyle w:val="Subsection"/>
      </w:pPr>
      <w:r>
        <w:tab/>
      </w:r>
      <w:r>
        <w:tab/>
        <w:t>After section 43(1) insert:</w:t>
      </w:r>
    </w:p>
    <w:p>
      <w:pPr>
        <w:pStyle w:val="BlankOpen"/>
      </w:pPr>
    </w:p>
    <w:p>
      <w:pPr>
        <w:pStyle w:val="zSubsection"/>
      </w:pPr>
      <w:r>
        <w:tab/>
        <w:t>(1A)</w:t>
      </w:r>
      <w:r>
        <w:tab/>
        <w:t>In dealing with the complaint, the State Administrative Tribunal must have regard to any relevant approved policy in effect at the time.</w:t>
      </w:r>
    </w:p>
    <w:p>
      <w:pPr>
        <w:pStyle w:val="BlankClose"/>
      </w:pPr>
    </w:p>
    <w:p>
      <w:pPr>
        <w:pStyle w:val="Heading5"/>
      </w:pPr>
      <w:bookmarkStart w:id="12" w:name="_Toc181169680"/>
      <w:r>
        <w:rPr>
          <w:rStyle w:val="CharSectno"/>
        </w:rPr>
        <w:t>9</w:t>
      </w:r>
      <w:r>
        <w:t>.</w:t>
      </w:r>
      <w:r>
        <w:tab/>
        <w:t>Section 46 amended</w:t>
      </w:r>
      <w:bookmarkEnd w:id="12"/>
    </w:p>
    <w:p>
      <w:pPr>
        <w:pStyle w:val="Subsection"/>
      </w:pPr>
      <w:r>
        <w:tab/>
      </w:r>
      <w:r>
        <w:tab/>
        <w:t>After section 46(1)(b) insert:</w:t>
      </w:r>
    </w:p>
    <w:p>
      <w:pPr>
        <w:pStyle w:val="BlankOpen"/>
      </w:pPr>
    </w:p>
    <w:p>
      <w:pPr>
        <w:pStyle w:val="zIndenta"/>
      </w:pPr>
      <w:r>
        <w:tab/>
        <w:t>(ba)</w:t>
      </w:r>
      <w:r>
        <w:tab/>
        <w:t>must have regard to any relevant approved policy in effect at the time; and</w:t>
      </w:r>
    </w:p>
    <w:p>
      <w:pPr>
        <w:pStyle w:val="BlankClose"/>
      </w:pPr>
    </w:p>
    <w:p>
      <w:pPr>
        <w:pStyle w:val="Heading5"/>
      </w:pPr>
      <w:bookmarkStart w:id="13" w:name="_Toc181169681"/>
      <w:r>
        <w:rPr>
          <w:rStyle w:val="CharSectno"/>
        </w:rPr>
        <w:t>10</w:t>
      </w:r>
      <w:r>
        <w:t>.</w:t>
      </w:r>
      <w:r>
        <w:tab/>
        <w:t>Section 137A inserted</w:t>
      </w:r>
      <w:bookmarkEnd w:id="13"/>
    </w:p>
    <w:p>
      <w:pPr>
        <w:pStyle w:val="Subsection"/>
      </w:pPr>
      <w:r>
        <w:tab/>
      </w:r>
      <w:r>
        <w:tab/>
        <w:t>After section 137 insert:</w:t>
      </w:r>
    </w:p>
    <w:p>
      <w:pPr>
        <w:pStyle w:val="BlankOpen"/>
        <w:rPr>
          <w:sz w:val="20"/>
          <w:szCs w:val="20"/>
        </w:rPr>
      </w:pPr>
    </w:p>
    <w:p>
      <w:pPr>
        <w:pStyle w:val="zHeading5"/>
      </w:pPr>
      <w:bookmarkStart w:id="14" w:name="_Toc181169682"/>
      <w:r>
        <w:t>137A.</w:t>
      </w:r>
      <w:r>
        <w:tab/>
        <w:t xml:space="preserve">Transitional provisions for </w:t>
      </w:r>
      <w:r>
        <w:rPr>
          <w:i/>
          <w:iCs/>
        </w:rPr>
        <w:t>Building Services (Complaint Resolution and Administration) Amendment Act 2024</w:t>
      </w:r>
      <w:bookmarkEnd w:id="14"/>
    </w:p>
    <w:p>
      <w:pPr>
        <w:pStyle w:val="zSubsection"/>
        <w:spacing w:before="120"/>
      </w:pPr>
      <w:r>
        <w:tab/>
        <w:t>(1)</w:t>
      </w:r>
      <w:r>
        <w:tab/>
        <w:t xml:space="preserve">In this section — </w:t>
      </w:r>
    </w:p>
    <w:p>
      <w:pPr>
        <w:pStyle w:val="zDefstart"/>
      </w:pPr>
      <w:r>
        <w:tab/>
      </w:r>
      <w:r>
        <w:rPr>
          <w:rStyle w:val="CharDefText"/>
        </w:rPr>
        <w:t>amendment Act</w:t>
      </w:r>
      <w:r>
        <w:t xml:space="preserve"> means the</w:t>
      </w:r>
      <w:r>
        <w:rPr>
          <w:i/>
        </w:rPr>
        <w:t xml:space="preserve"> Building Services (Complaint Resolution and Administration) Amendment Act 2024</w:t>
      </w:r>
      <w:r>
        <w:rPr>
          <w:iCs/>
        </w:rPr>
        <w:t>;</w:t>
      </w:r>
    </w:p>
    <w:p>
      <w:pPr>
        <w:pStyle w:val="zDefstart"/>
        <w:rPr>
          <w:iCs/>
        </w:rPr>
      </w:pPr>
      <w:r>
        <w:tab/>
      </w:r>
      <w:r>
        <w:rPr>
          <w:rStyle w:val="CharDefText"/>
        </w:rPr>
        <w:t>commencement day</w:t>
      </w:r>
      <w:r>
        <w:t xml:space="preserve"> means the day on which </w:t>
      </w:r>
      <w:r>
        <w:rPr>
          <w:iCs/>
        </w:rPr>
        <w:t>the amendment Act section 5(1) comes into operation;</w:t>
      </w:r>
    </w:p>
    <w:p>
      <w:pPr>
        <w:pStyle w:val="zDefstart"/>
      </w:pPr>
      <w:r>
        <w:tab/>
      </w:r>
      <w:r>
        <w:rPr>
          <w:rStyle w:val="CharDefText"/>
        </w:rPr>
        <w:t>relevant policy</w:t>
      </w:r>
      <w:r>
        <w:t xml:space="preserve"> means a policy of insurance entered into before commencement day to satisfy a requirement of the </w:t>
      </w:r>
      <w:r>
        <w:rPr>
          <w:i/>
        </w:rPr>
        <w:t xml:space="preserve">Home Building Contracts Act 1991 </w:t>
      </w:r>
      <w:r>
        <w:t>Part 3A;</w:t>
      </w:r>
    </w:p>
    <w:p>
      <w:pPr>
        <w:pStyle w:val="zDefstart"/>
      </w:pPr>
      <w:r>
        <w:tab/>
      </w:r>
      <w:r>
        <w:rPr>
          <w:rStyle w:val="CharDefText"/>
        </w:rPr>
        <w:t>residential building work</w:t>
      </w:r>
      <w:r>
        <w:t xml:space="preserve"> has the meaning given in the </w:t>
      </w:r>
      <w:r>
        <w:rPr>
          <w:i/>
        </w:rPr>
        <w:t>Home Building Contracts Act 1991</w:t>
      </w:r>
      <w:r>
        <w:t xml:space="preserve"> section 25A.</w:t>
      </w:r>
    </w:p>
    <w:p>
      <w:pPr>
        <w:pStyle w:val="zSubsection"/>
        <w:spacing w:before="120"/>
        <w:rPr>
          <w:iCs/>
        </w:rPr>
      </w:pPr>
      <w:r>
        <w:tab/>
        <w:t>(2)</w:t>
      </w:r>
      <w:r>
        <w:tab/>
        <w:t>The amendment of section 6(1) by the amendment Act</w:t>
      </w:r>
      <w:r>
        <w:rPr>
          <w:iCs/>
        </w:rPr>
        <w:t xml:space="preserve"> section 5(1) does not — </w:t>
      </w:r>
    </w:p>
    <w:p>
      <w:pPr>
        <w:pStyle w:val="zIndenta"/>
      </w:pPr>
      <w:r>
        <w:tab/>
        <w:t>(a)</w:t>
      </w:r>
      <w:r>
        <w:tab/>
        <w:t>extend or otherwise affect the period during which a relevant policy is in force in relation to residential building work; or</w:t>
      </w:r>
    </w:p>
    <w:p>
      <w:pPr>
        <w:pStyle w:val="zIndenta"/>
      </w:pPr>
      <w:r>
        <w:tab/>
        <w:t>(b)</w:t>
      </w:r>
      <w:r>
        <w:tab/>
        <w:t>revive a relevant policy or a policy holder’s right to claim under a relevant policy; or</w:t>
      </w:r>
    </w:p>
    <w:p>
      <w:pPr>
        <w:pStyle w:val="zIndenta"/>
      </w:pPr>
      <w:r>
        <w:tab/>
        <w:t>(c)</w:t>
      </w:r>
      <w:r>
        <w:tab/>
        <w:t>extend or otherwise affect the period for making a claim under a relevant policy.</w:t>
      </w:r>
    </w:p>
    <w:p>
      <w:pPr>
        <w:pStyle w:val="zSubsection"/>
        <w:keepNext/>
        <w:spacing w:before="120"/>
      </w:pPr>
      <w:r>
        <w:tab/>
        <w:t>(3)</w:t>
      </w:r>
      <w:r>
        <w:tab/>
        <w:t>A policy under section 6A applies in relation to complaints made under section 5, but not finally determined, before commencement day.</w:t>
      </w:r>
    </w:p>
    <w:p>
      <w:pPr>
        <w:pStyle w:val="BlankClose"/>
        <w:keepNext/>
        <w:rPr>
          <w:sz w:val="16"/>
          <w:szCs w:val="16"/>
        </w:rPr>
      </w:pPr>
    </w:p>
    <w:p>
      <w:pPr>
        <w:pStyle w:val="CentredBaseLine"/>
        <w:keepNext/>
        <w:spacing w:before="60"/>
        <w:jc w:val="center"/>
      </w:pPr>
      <w:r>
        <w:rPr>
          <w:noProof/>
        </w:rPr>
        <w:drawing>
          <wp:inline distT="0" distB="0" distL="0" distR="0">
            <wp:extent cx="922671" cy="171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line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spacing w:before="60"/>
        <w:sectPr>
          <w:headerReference w:type="even" r:id="rId25"/>
          <w:headerReference w:type="default" r:id="rId26"/>
          <w:footerReference w:type="first" r:id="rId27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cols w:space="720"/>
          <w:docGrid w:linePitch="326"/>
        </w:sectPr>
      </w:pPr>
    </w:p>
    <w:p>
      <w:pPr>
        <w:keepNext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3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1A26C1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4384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" stroked="f" strokeweight=".5pt">
                <v:textbox>
                  <w:txbxContent>
                    <w:p w14:paraId="1E6A93C0" w14:textId="4D36523F" w:rsidR="007D534A" w:rsidRDefault="007D534A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79B2FF3E" w14:textId="77777777" w:rsidR="007D534A" w:rsidRDefault="007D534A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62F6ED33" w14:textId="786F20D5" w:rsidR="007D534A" w:rsidRDefault="007D534A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35F6AB26" w14:textId="77777777" w:rsidR="007D534A" w:rsidRDefault="007D534A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</w:endnote>
  <w:endnote w:type="continuationSeparator" w:id="0">
    <w:p>
      <w:pPr>
        <w:pStyle w:val="Footer"/>
      </w:pPr>
    </w:p>
  </w:endnote>
  <w:endnote w:type="continuationNotice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1700"/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"ActNoFooter" </w:instrText>
    </w:r>
    <w:r>
      <w:rPr>
        <w:sz w:val="20"/>
      </w:rPr>
      <w:fldChar w:fldCharType="separate"/>
    </w:r>
    <w:r>
      <w:rPr>
        <w:sz w:val="20"/>
      </w:rPr>
      <w:t>No. 39 of 2024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29 Oct 2024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center" w:pos="538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29 Oct 2024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"ActNoFooter" </w:instrText>
    </w:r>
    <w:r>
      <w:rPr>
        <w:sz w:val="20"/>
      </w:rPr>
      <w:fldChar w:fldCharType="separate"/>
    </w:r>
    <w:r>
      <w:rPr>
        <w:sz w:val="20"/>
      </w:rPr>
      <w:t>No. 39 of 2024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center" w:pos="538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29 Oct 2024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"ActNoFooter" </w:instrText>
    </w:r>
    <w:r>
      <w:rPr>
        <w:sz w:val="20"/>
      </w:rPr>
      <w:fldChar w:fldCharType="separate"/>
    </w:r>
    <w:r>
      <w:rPr>
        <w:sz w:val="20"/>
      </w:rPr>
      <w:t>No. 39 of 2024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1700"/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"ActNoFooter" </w:instrText>
    </w:r>
    <w:r>
      <w:rPr>
        <w:sz w:val="20"/>
      </w:rPr>
      <w:fldChar w:fldCharType="separate"/>
    </w:r>
    <w:r>
      <w:rPr>
        <w:sz w:val="20"/>
      </w:rPr>
      <w:t>No. 39 of 2024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29 Oct 2024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center" w:pos="538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29 Oct 2024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"ActNoFooter" </w:instrText>
    </w:r>
    <w:r>
      <w:rPr>
        <w:sz w:val="20"/>
      </w:rPr>
      <w:fldChar w:fldCharType="separate"/>
    </w:r>
    <w:r>
      <w:rPr>
        <w:sz w:val="20"/>
      </w:rPr>
      <w:t>No. 39 of 2024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center" w:pos="538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29 Oct 2024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"ActNoFooter" </w:instrText>
    </w:r>
    <w:r>
      <w:rPr>
        <w:sz w:val="20"/>
      </w:rPr>
      <w:fldChar w:fldCharType="separate"/>
    </w:r>
    <w:r>
      <w:rPr>
        <w:sz w:val="20"/>
      </w:rPr>
      <w:t>No. 39 of 2024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5669"/>
        <w:tab w:val="right" w:pos="7088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ActNoFooter</w:instrText>
    </w:r>
    <w:r>
      <w:rPr>
        <w:sz w:val="20"/>
      </w:rPr>
      <w:fldChar w:fldCharType="separate"/>
    </w:r>
    <w:r>
      <w:rPr>
        <w:sz w:val="20"/>
      </w:rPr>
      <w:t>No. 39 of 2024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rPr>
        <w:sz w:val="16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Building Services (Complaint Resolution and Administration) Amendment Act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Building Services (Complaint Resolution and Administration) Amendment Act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15" w:name="Coversheet"/>
    <w:bookmarkEnd w:id="15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Building Services (Complaint Resolution and Administration) Amendment Act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Building Services (Complaint Resolution and Administration) Amendment Act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Building Services (Complaint Resolution and Administration) Amendment Act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  <w:r>
            <w:rPr>
              <w:b/>
            </w:rPr>
            <w:t xml:space="preserve">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  <w:r>
            <w:rPr>
              <w:b/>
            </w:rPr>
            <w:t xml:space="preserve">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Building Services (Complaint Resolution and Administration) Amendment Act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  <w:r>
            <w:rPr>
              <w:b/>
            </w:rPr>
            <w:t xml:space="preserve">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  <w:r>
            <w:rPr>
              <w:b/>
            </w:rPr>
            <w:t xml:space="preserve">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38D7C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144F87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4C248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7A4E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FC29B5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9EDD4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2D0D50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8EB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B1C8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42CE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3C2808C0"/>
    <w:multiLevelType w:val="singleLevel"/>
    <w:tmpl w:val="B1B4B30E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0"/>
  </w:num>
  <w:num w:numId="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activeWritingStyle w:appName="MSWord" w:lang="en-AU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41030082812"/>
    <w:docVar w:name="WAFER_20150206084435" w:val="77167ae3-b7f9-4ae7-a275-d4dd9db5de8f"/>
    <w:docVar w:name="WAFER_20150206084435_GUID" w:val="UpdateStyles"/>
    <w:docVar w:name="WAFER_20151016134806" w:val="68650fa9-f801-454a-81cb-df6f0a3af691"/>
    <w:docVar w:name="WAFER_20151016134806_GUID" w:val="UpdateStyles"/>
    <w:docVar w:name="WAFER_20151016134831" w:val="c2fb0bb9-fde3-426d-a7f7-1ca211c82009"/>
    <w:docVar w:name="WAFER_20151016134831_GUID" w:val="UsedStyles"/>
    <w:docVar w:name="WAFER_20151016170344" w:val="d4fa4e8d-5c43-4618-b8fe-4523b77d625d"/>
    <w:docVar w:name="WAFER_20151016170344_GUID" w:val="UpdateStyles"/>
    <w:docVar w:name="WAFER_20151016170354" w:val="32c06985-9f0e-42f1-9a8c-d3c43cfa7a80"/>
    <w:docVar w:name="WAFER_20151016170354_GUID" w:val="UpdateStyles,UsedStyles"/>
    <w:docVar w:name="WAFER_20151016170429" w:val="1f665551-9baf-4b15-bb73-b1d91ed3e6c5"/>
    <w:docVar w:name="WAFER_20151016170429_GUID" w:val="UpdateStyles,UsedStyles"/>
    <w:docVar w:name="WAFER_20151019113653" w:val="a899c777-2ec0-4846-a593-74d215570969"/>
    <w:docVar w:name="WAFER_20151019113653_GUID" w:val="UpdateStyles"/>
    <w:docVar w:name="WAFER_20151102150119" w:val="dc5d0076-61d2-4a5a-ade6-d09c39dd39b9"/>
    <w:docVar w:name="WAFER_20151102150119_GUID" w:val="UpdateStyles"/>
    <w:docVar w:name="WAFER_20190125160012" w:val="9dd68532-689a-40c0-9c87-5c2f321a3e4e"/>
    <w:docVar w:name="WAFER_20190125160012_GUID" w:val="UpdateStyles"/>
    <w:docVar w:name="WAFER_20190213151032" w:val="0e6e130b-18da-4239-84b5-f08b99a6e1c9"/>
    <w:docVar w:name="WAFER_20190213151032_GUID" w:val="UpdateStyles.ProcessFixes,UpdateStyles.ProcessFixes,RemoveIncorrectStyles.ProcessStyles,RemoveIncorrectStyles.ProcessStyles"/>
    <w:docVar w:name="WAFER_20190227114526" w:val="592fe921-7416-4a1a-b8d7-41a034b93757"/>
    <w:docVar w:name="WAFER_20190227114526_GUID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Footer.ResetPageFooter"/>
    <w:docVar w:name="WAFER_20200207102225" w:val="c6be0b40-711c-4ff6-b353-501793f44ed0"/>
    <w:docVar w:name="WAFER_20200207102225_GUID" w:val="c6be0b40-711c-4ff6-b353-501793f44ed0"/>
    <w:docVar w:name="WAFER_20230403103322" w:val="c6be0b40-711c-4ff6-b353-501793f44ed0"/>
    <w:docVar w:name="WAFER_20230403103322_GUID" w:val="c6be0b40-711c-4ff6-b353-501793f44ed0"/>
    <w:docVar w:name="WAFER_20240823090439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40823090439_GUID" w:val="7e089118-28ef-4217-afc1-0f50289dc58b"/>
    <w:docVar w:name="WAFER_20240902133408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0902133408_GUID" w:val="61277c10-4b61-410e-9e57-0921c0705de9"/>
    <w:docVar w:name="WAFER_20241030082812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41030082812_GUID" w:val="8f43c5e3-f97c-46c6-b488-763ad86d58cd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C1344B25-7766-4E45-8206-2286F772B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styleId="Header">
    <w:name w:val="header"/>
    <w:rPr>
      <w:rFonts w:ascii="Arial" w:hAnsi="Arial"/>
      <w:noProof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9">
    <w:name w:val="toc 9"/>
    <w:next w:val="Normal"/>
    <w:uiPriority w:val="39"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character" w:customStyle="1" w:styleId="CharSectno">
    <w:name w:val="CharSectno"/>
    <w:rPr>
      <w:noProof w:val="0"/>
    </w:r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styleId="BodyText">
    <w:name w:val="Body Text"/>
    <w:basedOn w:val="Normal"/>
    <w:pPr>
      <w:spacing w:after="120"/>
    </w:p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LongTitle">
    <w:name w:val="Long Title"/>
    <w:rPr>
      <w:b/>
      <w:sz w:val="24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</w:tabs>
    </w:pPr>
  </w:style>
  <w:style w:type="paragraph" w:styleId="ListBullet3">
    <w:name w:val="List Bullet 3"/>
    <w:basedOn w:val="Normal"/>
    <w:autoRedefine/>
    <w:pPr>
      <w:tabs>
        <w:tab w:val="num" w:pos="360"/>
      </w:tabs>
    </w:pPr>
  </w:style>
  <w:style w:type="paragraph" w:styleId="ListBullet4">
    <w:name w:val="List Bullet 4"/>
    <w:basedOn w:val="Normal"/>
    <w:autoRedefine/>
    <w:pPr>
      <w:tabs>
        <w:tab w:val="num" w:pos="360"/>
      </w:tabs>
    </w:pPr>
  </w:style>
  <w:style w:type="paragraph" w:styleId="ListBullet5">
    <w:name w:val="List Bullet 5"/>
    <w:basedOn w:val="Normal"/>
    <w:autoRedefine/>
    <w:pPr>
      <w:tabs>
        <w:tab w:val="num" w:pos="360"/>
      </w:tabs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</w:tabs>
    </w:pPr>
  </w:style>
  <w:style w:type="paragraph" w:styleId="ListNumber3">
    <w:name w:val="List Number 3"/>
    <w:basedOn w:val="Normal"/>
    <w:pPr>
      <w:tabs>
        <w:tab w:val="num" w:pos="360"/>
      </w:tabs>
    </w:pPr>
  </w:style>
  <w:style w:type="paragraph" w:styleId="ListNumber4">
    <w:name w:val="List Number 4"/>
    <w:basedOn w:val="Normal"/>
    <w:pPr>
      <w:tabs>
        <w:tab w:val="num" w:pos="360"/>
      </w:tabs>
    </w:pPr>
  </w:style>
  <w:style w:type="paragraph" w:styleId="ListNumber5">
    <w:name w:val="List Number 5"/>
    <w:basedOn w:val="Normal"/>
    <w:pPr>
      <w:tabs>
        <w:tab w:val="num" w:pos="360"/>
      </w:tabs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character" w:customStyle="1" w:styleId="CharSchText">
    <w:name w:val="CharSchText"/>
    <w:rPr>
      <w:noProof w:val="0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character" w:customStyle="1" w:styleId="CharSClsNo">
    <w:name w:val="CharSClsNo"/>
    <w:basedOn w:val="DefaultParagraphFont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zTHeadingNAm">
    <w:name w:val="zTHeadingNAm"/>
    <w:basedOn w:val="THeadingNAm"/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yTHeadingNAm">
    <w:name w:val="zyTHeadingNAm"/>
    <w:basedOn w:val="yTHeadingNAm"/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zTableNAm">
    <w:name w:val="zTableNAm"/>
    <w:basedOn w:val="TableNAm"/>
  </w:style>
  <w:style w:type="paragraph" w:customStyle="1" w:styleId="yTableNAm">
    <w:name w:val="yTableNAm"/>
    <w:basedOn w:val="TableNAm"/>
    <w:rPr>
      <w:sz w:val="22"/>
    </w:rPr>
  </w:style>
  <w:style w:type="paragraph" w:customStyle="1" w:styleId="zyTableNAm">
    <w:name w:val="zyTableNAm"/>
    <w:basedOn w:val="yTableNAm"/>
  </w:style>
  <w:style w:type="paragraph" w:customStyle="1" w:styleId="SignatureText">
    <w:name w:val="SignatureText"/>
    <w:basedOn w:val="Normal"/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  <w:style w:type="paragraph" w:customStyle="1" w:styleId="ExCo">
    <w:name w:val="ExCo"/>
    <w:qFormat/>
    <w:rPr>
      <w:sz w:val="2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paragraph" w:customStyle="1" w:styleId="zin">
    <w:name w:val="z(in"/>
    <w:basedOn w:val="zIndenta"/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0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0.xml"/><Relationship Id="rId33" Type="http://schemas.openxmlformats.org/officeDocument/2006/relationships/footer" Target="footer10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2.jpeg"/><Relationship Id="rId32" Type="http://schemas.openxmlformats.org/officeDocument/2006/relationships/header" Target="header14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2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footer" Target="footer9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oter" Target="footer7.xml"/><Relationship Id="rId30" Type="http://schemas.openxmlformats.org/officeDocument/2006/relationships/footer" Target="footer8.xml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AB6AE-A437-483B-B37E-66CA1DFDD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1149</Words>
  <Characters>6056</Characters>
  <Application>Microsoft Office Word</Application>
  <DocSecurity>0</DocSecurity>
  <Lines>216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(Bills)</vt:lpstr>
    </vt:vector>
  </TitlesOfParts>
  <Manager/>
  <Company/>
  <LinksUpToDate>false</LinksUpToDate>
  <CharactersWithSpaces>7095</CharactersWithSpaces>
  <SharedDoc>false</SharedDoc>
  <HyperlinkBase/>
  <HLinks>
    <vt:vector size="12" baseType="variant">
      <vt:variant>
        <vt:i4>3276894</vt:i4>
      </vt:variant>
      <vt:variant>
        <vt:i4>140</vt:i4>
      </vt:variant>
      <vt:variant>
        <vt:i4>0</vt:i4>
      </vt:variant>
      <vt:variant>
        <vt:i4>5</vt:i4>
      </vt:variant>
      <vt:variant>
        <vt:lpwstr>mailto:John.Lightowlers@psc.wa.gov.au</vt:lpwstr>
      </vt:variant>
      <vt:variant>
        <vt:lpwstr/>
      </vt:variant>
      <vt:variant>
        <vt:i4>5898351</vt:i4>
      </vt:variant>
      <vt:variant>
        <vt:i4>135</vt:i4>
      </vt:variant>
      <vt:variant>
        <vt:i4>0</vt:i4>
      </vt:variant>
      <vt:variant>
        <vt:i4>5</vt:i4>
      </vt:variant>
      <vt:variant>
        <vt:lpwstr>mailto:DraftLegislation@treasury.wa.gov.au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Building Services (Complaint Resolution and Administration) Amendment Act 2024 - 00-00-00</dc:title>
  <dc:subject/>
  <dc:creator/>
  <cp:keywords/>
  <dc:description/>
  <cp:lastModifiedBy>Master Repository Process</cp:lastModifiedBy>
  <cp:revision>4</cp:revision>
  <cp:lastPrinted>2024-10-29T09:01:00Z</cp:lastPrinted>
  <dcterms:created xsi:type="dcterms:W3CDTF">2025-06-20T04:49:00Z</dcterms:created>
  <dcterms:modified xsi:type="dcterms:W3CDTF">2025-06-20T04:49:00Z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No">
    <vt:lpwstr>39 of 2024</vt:lpwstr>
  </property>
  <property fmtid="{D5CDD505-2E9C-101B-9397-08002B2CF9AE}" pid="3" name="DocumentType">
    <vt:lpwstr>Act</vt:lpwstr>
  </property>
  <property fmtid="{D5CDD505-2E9C-101B-9397-08002B2CF9AE}" pid="4" name="AsAtDate">
    <vt:lpwstr>29 Oct 2024</vt:lpwstr>
  </property>
  <property fmtid="{D5CDD505-2E9C-101B-9397-08002B2CF9AE}" pid="5" name="Suffix">
    <vt:lpwstr>00-00-00</vt:lpwstr>
  </property>
  <property fmtid="{D5CDD505-2E9C-101B-9397-08002B2CF9AE}" pid="6" name="Official">
    <vt:lpwstr/>
  </property>
  <property fmtid="{D5CDD505-2E9C-101B-9397-08002B2CF9AE}" pid="7" name="ActNoFooter">
    <vt:lpwstr>No. 39 of 2024</vt:lpwstr>
  </property>
  <property fmtid="{D5CDD505-2E9C-101B-9397-08002B2CF9AE}" pid="8" name="CommencementDate">
    <vt:lpwstr>20241029</vt:lpwstr>
  </property>
  <property fmtid="{D5CDD505-2E9C-101B-9397-08002B2CF9AE}" pid="9" name="CommencementAsAt">
    <vt:filetime>2024-10-28T16:00:00Z</vt:filetime>
  </property>
  <property fmtid="{D5CDD505-2E9C-101B-9397-08002B2CF9AE}" pid="10" name="CommencementYear">
    <vt:lpwstr>2024</vt:lpwstr>
  </property>
</Properties>
</file>