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_Toc181173245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_Toc181173246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_Toc181173247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Public notices</w:t>
      </w:r>
    </w:p>
    <w:p>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_Toc181173249 \h </w:instrText>
      </w:r>
      <w:r>
        <w:fldChar w:fldCharType="separate"/>
      </w:r>
      <w:r>
        <w:t>3</w:t>
      </w:r>
      <w:r>
        <w:fldChar w:fldCharType="end"/>
      </w:r>
    </w:p>
    <w:p>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_Toc181173250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_Toc181173252 \h </w:instrText>
      </w:r>
      <w:r>
        <w:fldChar w:fldCharType="separate"/>
      </w:r>
      <w:r>
        <w:t>5</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_Toc181173253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_Toc181173254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_Toc181173255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_Toc181173256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_Toc181173257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_Toc181173258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_Toc181173259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_Toc181173260 \h </w:instrText>
      </w:r>
      <w:r>
        <w:fldChar w:fldCharType="separate"/>
      </w:r>
      <w:r>
        <w:t>9</w:t>
      </w:r>
      <w:r>
        <w:fldChar w:fldCharType="end"/>
      </w:r>
    </w:p>
    <w:p>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_Toc181173261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_Toc181173262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_Toc181173263 \h </w:instrText>
      </w:r>
      <w:r>
        <w:fldChar w:fldCharType="separate"/>
      </w:r>
      <w:r>
        <w:t>11</w:t>
      </w:r>
      <w:r>
        <w:fldChar w:fldCharType="end"/>
      </w:r>
    </w:p>
    <w:p>
      <w:pPr>
        <w:pStyle w:val="TOC8"/>
        <w:rPr>
          <w:rFonts w:asciiTheme="minorHAnsi" w:eastAsiaTheme="minorEastAsia" w:hAnsiTheme="minorHAnsi" w:cstheme="minorBidi"/>
          <w:szCs w:val="22"/>
        </w:rPr>
      </w:pPr>
      <w:r>
        <w:t>14C.</w:t>
      </w:r>
      <w:r>
        <w:tab/>
        <w:t>Attendance at meetings by electronic means may be authorised (Act s. 5.25(1)(ba))</w:t>
      </w:r>
      <w:r>
        <w:tab/>
      </w:r>
      <w:r>
        <w:fldChar w:fldCharType="begin"/>
      </w:r>
      <w:r>
        <w:instrText xml:space="preserve"> PAGEREF _Toc181173264 \h </w:instrText>
      </w:r>
      <w:r>
        <w:fldChar w:fldCharType="separate"/>
      </w:r>
      <w:r>
        <w:t>12</w:t>
      </w:r>
      <w:r>
        <w:fldChar w:fldCharType="end"/>
      </w:r>
    </w:p>
    <w:p>
      <w:pPr>
        <w:pStyle w:val="TOC8"/>
        <w:rPr>
          <w:rFonts w:asciiTheme="minorHAnsi" w:eastAsiaTheme="minorEastAsia" w:hAnsiTheme="minorHAnsi" w:cstheme="minorBidi"/>
          <w:szCs w:val="22"/>
        </w:rPr>
      </w:pPr>
      <w:r>
        <w:t>14CA.</w:t>
      </w:r>
      <w:r>
        <w:tab/>
        <w:t>Provisions relating to attendance at meetings by electronic means (Act s. 5.25(1)(ba))</w:t>
      </w:r>
      <w:r>
        <w:tab/>
      </w:r>
      <w:r>
        <w:fldChar w:fldCharType="begin"/>
      </w:r>
      <w:r>
        <w:instrText xml:space="preserve"> PAGEREF _Toc181173265 \h </w:instrText>
      </w:r>
      <w:r>
        <w:fldChar w:fldCharType="separate"/>
      </w:r>
      <w:r>
        <w:t>13</w:t>
      </w:r>
      <w:r>
        <w:fldChar w:fldCharType="end"/>
      </w:r>
    </w:p>
    <w:p>
      <w:pPr>
        <w:pStyle w:val="TOC8"/>
        <w:rPr>
          <w:rFonts w:asciiTheme="minorHAnsi" w:eastAsiaTheme="minorEastAsia" w:hAnsiTheme="minorHAnsi" w:cstheme="minorBidi"/>
          <w:szCs w:val="22"/>
        </w:rPr>
      </w:pPr>
      <w:r>
        <w:t>14D.</w:t>
      </w:r>
      <w:r>
        <w:tab/>
        <w:t>Meetings held by electronic means (Act s. 5.25(1)(ba))</w:t>
      </w:r>
      <w:r>
        <w:tab/>
      </w:r>
      <w:r>
        <w:fldChar w:fldCharType="begin"/>
      </w:r>
      <w:r>
        <w:instrText xml:space="preserve"> PAGEREF _Toc181173266 \h </w:instrText>
      </w:r>
      <w:r>
        <w:fldChar w:fldCharType="separate"/>
      </w:r>
      <w:r>
        <w:t>14</w:t>
      </w:r>
      <w:r>
        <w:fldChar w:fldCharType="end"/>
      </w:r>
    </w:p>
    <w:p>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_Toc181173267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 — Electronic broadcasting and video or audio recording of council meetings (Act s. 5.23A)</w:t>
      </w:r>
    </w:p>
    <w:p>
      <w:pPr>
        <w:pStyle w:val="TOC8"/>
        <w:rPr>
          <w:rFonts w:asciiTheme="minorHAnsi" w:eastAsiaTheme="minorEastAsia" w:hAnsiTheme="minorHAnsi" w:cstheme="minorBidi"/>
          <w:szCs w:val="22"/>
        </w:rPr>
      </w:pPr>
      <w:r>
        <w:t>14F.</w:t>
      </w:r>
      <w:r>
        <w:tab/>
        <w:t>Application of Part</w:t>
      </w:r>
      <w:r>
        <w:tab/>
      </w:r>
      <w:r>
        <w:fldChar w:fldCharType="begin"/>
      </w:r>
      <w:r>
        <w:instrText xml:space="preserve"> PAGEREF _Toc181173269 \h </w:instrText>
      </w:r>
      <w:r>
        <w:fldChar w:fldCharType="separate"/>
      </w:r>
      <w:r>
        <w:t>20</w:t>
      </w:r>
      <w:r>
        <w:fldChar w:fldCharType="end"/>
      </w:r>
    </w:p>
    <w:p>
      <w:pPr>
        <w:pStyle w:val="TOC8"/>
        <w:rPr>
          <w:rFonts w:asciiTheme="minorHAnsi" w:eastAsiaTheme="minorEastAsia" w:hAnsiTheme="minorHAnsi" w:cstheme="minorBidi"/>
          <w:szCs w:val="22"/>
        </w:rPr>
      </w:pPr>
      <w:r>
        <w:t>14G.</w:t>
      </w:r>
      <w:r>
        <w:tab/>
        <w:t>Terms used</w:t>
      </w:r>
      <w:r>
        <w:tab/>
      </w:r>
      <w:r>
        <w:fldChar w:fldCharType="begin"/>
      </w:r>
      <w:r>
        <w:instrText xml:space="preserve"> PAGEREF _Toc181173270 \h </w:instrText>
      </w:r>
      <w:r>
        <w:fldChar w:fldCharType="separate"/>
      </w:r>
      <w:r>
        <w:t>20</w:t>
      </w:r>
      <w:r>
        <w:fldChar w:fldCharType="end"/>
      </w:r>
    </w:p>
    <w:p>
      <w:pPr>
        <w:pStyle w:val="TOC8"/>
        <w:rPr>
          <w:rFonts w:asciiTheme="minorHAnsi" w:eastAsiaTheme="minorEastAsia" w:hAnsiTheme="minorHAnsi" w:cstheme="minorBidi"/>
          <w:szCs w:val="22"/>
        </w:rPr>
      </w:pPr>
      <w:r>
        <w:t>14H.</w:t>
      </w:r>
      <w:r>
        <w:tab/>
        <w:t>Class 1 local governments and class 2 local governments to broadcast council meetings publicly</w:t>
      </w:r>
      <w:r>
        <w:tab/>
      </w:r>
      <w:r>
        <w:fldChar w:fldCharType="begin"/>
      </w:r>
      <w:r>
        <w:instrText xml:space="preserve"> PAGEREF _Toc181173271 \h </w:instrText>
      </w:r>
      <w:r>
        <w:fldChar w:fldCharType="separate"/>
      </w:r>
      <w:r>
        <w:t>22</w:t>
      </w:r>
      <w:r>
        <w:fldChar w:fldCharType="end"/>
      </w:r>
    </w:p>
    <w:p>
      <w:pPr>
        <w:pStyle w:val="TOC8"/>
        <w:rPr>
          <w:rFonts w:asciiTheme="minorHAnsi" w:eastAsiaTheme="minorEastAsia" w:hAnsiTheme="minorHAnsi" w:cstheme="minorBidi"/>
          <w:szCs w:val="22"/>
        </w:rPr>
      </w:pPr>
      <w:r>
        <w:t>14I.</w:t>
      </w:r>
      <w:r>
        <w:tab/>
        <w:t>Local governments to make recordings of council meetings</w:t>
      </w:r>
      <w:r>
        <w:tab/>
      </w:r>
      <w:r>
        <w:fldChar w:fldCharType="begin"/>
      </w:r>
      <w:r>
        <w:instrText xml:space="preserve"> PAGEREF _Toc181173272 \h </w:instrText>
      </w:r>
      <w:r>
        <w:fldChar w:fldCharType="separate"/>
      </w:r>
      <w:r>
        <w:t>23</w:t>
      </w:r>
      <w:r>
        <w:fldChar w:fldCharType="end"/>
      </w:r>
    </w:p>
    <w:p>
      <w:pPr>
        <w:pStyle w:val="TOC8"/>
        <w:rPr>
          <w:rFonts w:asciiTheme="minorHAnsi" w:eastAsiaTheme="minorEastAsia" w:hAnsiTheme="minorHAnsi" w:cstheme="minorBidi"/>
          <w:szCs w:val="22"/>
        </w:rPr>
      </w:pPr>
      <w:r>
        <w:t>14J.</w:t>
      </w:r>
      <w:r>
        <w:tab/>
        <w:t>Informing members of public of broadcasting or recording</w:t>
      </w:r>
      <w:r>
        <w:tab/>
      </w:r>
      <w:r>
        <w:fldChar w:fldCharType="begin"/>
      </w:r>
      <w:r>
        <w:instrText xml:space="preserve"> PAGEREF _Toc181173273 \h </w:instrText>
      </w:r>
      <w:r>
        <w:fldChar w:fldCharType="separate"/>
      </w:r>
      <w:r>
        <w:t>27</w:t>
      </w:r>
      <w:r>
        <w:fldChar w:fldCharType="end"/>
      </w:r>
    </w:p>
    <w:p>
      <w:pPr>
        <w:pStyle w:val="TOC8"/>
        <w:rPr>
          <w:rFonts w:asciiTheme="minorHAnsi" w:eastAsiaTheme="minorEastAsia" w:hAnsiTheme="minorHAnsi" w:cstheme="minorBidi"/>
          <w:szCs w:val="22"/>
        </w:rPr>
      </w:pPr>
      <w:r>
        <w:t>14K.</w:t>
      </w:r>
      <w:r>
        <w:tab/>
        <w:t>Defamation</w:t>
      </w:r>
      <w:r>
        <w:tab/>
      </w:r>
      <w:r>
        <w:fldChar w:fldCharType="begin"/>
      </w:r>
      <w:r>
        <w:instrText xml:space="preserve"> PAGEREF _Toc181173274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_Toc181173276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_Toc181173277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_Toc181173278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_Toc181173279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_Toc181173281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18B.</w:t>
      </w:r>
      <w:r>
        <w:tab/>
        <w:t>Contracts of CEOs and senior employees, content of (Act s. 5.39(3)(c))</w:t>
      </w:r>
      <w:r>
        <w:tab/>
      </w:r>
      <w:r>
        <w:fldChar w:fldCharType="begin"/>
      </w:r>
      <w:r>
        <w:instrText xml:space="preserve"> PAGEREF _Toc181173282 \h </w:instrText>
      </w:r>
      <w:r>
        <w:fldChar w:fldCharType="separate"/>
      </w:r>
      <w:r>
        <w:t>30</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_Toc181173283 \h </w:instrText>
      </w:r>
      <w:r>
        <w:fldChar w:fldCharType="separate"/>
      </w:r>
      <w:r>
        <w:t>30</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_Toc181173284 \h </w:instrText>
      </w:r>
      <w:r>
        <w:fldChar w:fldCharType="separate"/>
      </w:r>
      <w:r>
        <w:t>31</w:t>
      </w:r>
      <w:r>
        <w:fldChar w:fldCharType="end"/>
      </w:r>
    </w:p>
    <w:p>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_Toc181173285 \h </w:instrText>
      </w:r>
      <w:r>
        <w:fldChar w:fldCharType="separate"/>
      </w:r>
      <w:r>
        <w:t>31</w:t>
      </w:r>
      <w:r>
        <w:fldChar w:fldCharType="end"/>
      </w:r>
    </w:p>
    <w:p>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_Toc181173286 \h </w:instrText>
      </w:r>
      <w:r>
        <w:fldChar w:fldCharType="separate"/>
      </w:r>
      <w:r>
        <w:t>31</w:t>
      </w:r>
      <w:r>
        <w:fldChar w:fldCharType="end"/>
      </w:r>
    </w:p>
    <w:p>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_Toc181173287 \h </w:instrText>
      </w:r>
      <w:r>
        <w:fldChar w:fldCharType="separate"/>
      </w:r>
      <w:r>
        <w:t>32</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_Toc181173288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_Toc181173289 \h </w:instrText>
      </w:r>
      <w:r>
        <w:fldChar w:fldCharType="separate"/>
      </w:r>
      <w:r>
        <w:t>33</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_Toc181173290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Codes of conduct for local government employees (Act s. 5.51A(4))</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19AA.</w:t>
      </w:r>
      <w:r>
        <w:tab/>
        <w:t>Terms used</w:t>
      </w:r>
      <w:r>
        <w:tab/>
      </w:r>
      <w:r>
        <w:fldChar w:fldCharType="begin"/>
      </w:r>
      <w:r>
        <w:instrText xml:space="preserve"> PAGEREF _Toc181173293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Content of codes of conduct</w:t>
      </w:r>
    </w:p>
    <w:p>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_Toc181173295 \h </w:instrText>
      </w:r>
      <w:r>
        <w:fldChar w:fldCharType="separate"/>
      </w:r>
      <w:r>
        <w:t>37</w:t>
      </w:r>
      <w:r>
        <w:fldChar w:fldCharType="end"/>
      </w:r>
    </w:p>
    <w:p>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_Toc181173296 \h </w:instrText>
      </w:r>
      <w:r>
        <w:fldChar w:fldCharType="separate"/>
      </w:r>
      <w:r>
        <w:t>37</w:t>
      </w:r>
      <w:r>
        <w:fldChar w:fldCharType="end"/>
      </w:r>
    </w:p>
    <w:p>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_Toc181173297 \h </w:instrText>
      </w:r>
      <w:r>
        <w:fldChar w:fldCharType="separate"/>
      </w:r>
      <w:r>
        <w:t>37</w:t>
      </w:r>
      <w:r>
        <w:fldChar w:fldCharType="end"/>
      </w:r>
    </w:p>
    <w:p>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_Toc181173298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Other matter in relation to codes of conduct</w:t>
      </w:r>
    </w:p>
    <w:p>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_Toc181173300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_Toc181173303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w:t>
      </w:r>
    </w:p>
    <w:p>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_Toc181173305 \h </w:instrText>
      </w:r>
      <w:r>
        <w:fldChar w:fldCharType="separate"/>
      </w:r>
      <w:r>
        <w:t>41</w:t>
      </w:r>
      <w:r>
        <w:fldChar w:fldCharType="end"/>
      </w:r>
    </w:p>
    <w:p>
      <w:pPr>
        <w:pStyle w:val="TOC8"/>
        <w:rPr>
          <w:rFonts w:asciiTheme="minorHAnsi" w:eastAsiaTheme="minorEastAsia" w:hAnsiTheme="minorHAnsi" w:cstheme="minorBidi"/>
          <w:szCs w:val="22"/>
        </w:rPr>
      </w:pPr>
      <w:r>
        <w:t>19BB.</w:t>
      </w:r>
      <w:r>
        <w:tab/>
        <w:t>Information about trading undertakings to be included in annual report (Act s. 5.53(2)(i))</w:t>
      </w:r>
      <w:r>
        <w:tab/>
      </w:r>
      <w:r>
        <w:fldChar w:fldCharType="begin"/>
      </w:r>
      <w:r>
        <w:instrText xml:space="preserve"> PAGEREF _Toc181173306 \h </w:instrText>
      </w:r>
      <w:r>
        <w:fldChar w:fldCharType="separate"/>
      </w:r>
      <w:r>
        <w:t>43</w:t>
      </w:r>
      <w:r>
        <w:fldChar w:fldCharType="end"/>
      </w:r>
    </w:p>
    <w:p>
      <w:pPr>
        <w:pStyle w:val="TOC8"/>
        <w:rPr>
          <w:rFonts w:asciiTheme="minorHAnsi" w:eastAsiaTheme="minorEastAsia" w:hAnsiTheme="minorHAnsi" w:cstheme="minorBidi"/>
          <w:szCs w:val="22"/>
        </w:rPr>
      </w:pPr>
      <w:r>
        <w:t>19BC.</w:t>
      </w:r>
      <w:r>
        <w:tab/>
        <w:t>Information about land transactions to be included in annual report (Act s. 5.53(2)(i))</w:t>
      </w:r>
      <w:r>
        <w:tab/>
      </w:r>
      <w:r>
        <w:fldChar w:fldCharType="begin"/>
      </w:r>
      <w:r>
        <w:instrText xml:space="preserve"> PAGEREF _Toc181173307 \h </w:instrText>
      </w:r>
      <w:r>
        <w:fldChar w:fldCharType="separate"/>
      </w:r>
      <w:r>
        <w:t>44</w:t>
      </w:r>
      <w:r>
        <w:fldChar w:fldCharType="end"/>
      </w:r>
    </w:p>
    <w:p>
      <w:pPr>
        <w:pStyle w:val="TOC8"/>
        <w:rPr>
          <w:rFonts w:asciiTheme="minorHAnsi" w:eastAsiaTheme="minorEastAsia" w:hAnsiTheme="minorHAnsi" w:cstheme="minorBidi"/>
          <w:szCs w:val="22"/>
        </w:rPr>
      </w:pPr>
      <w:r>
        <w:t>19BD.</w:t>
      </w:r>
      <w:r>
        <w:tab/>
        <w:t>Information about fees, expenses and allowances to be included in annual report (Act s. 5.53(2)(i))</w:t>
      </w:r>
      <w:r>
        <w:tab/>
      </w:r>
      <w:r>
        <w:fldChar w:fldCharType="begin"/>
      </w:r>
      <w:r>
        <w:instrText xml:space="preserve"> PAGEREF _Toc181173308 \h </w:instrText>
      </w:r>
      <w:r>
        <w:fldChar w:fldCharType="separate"/>
      </w:r>
      <w:r>
        <w:t>45</w:t>
      </w:r>
      <w:r>
        <w:fldChar w:fldCharType="end"/>
      </w:r>
    </w:p>
    <w:p>
      <w:pPr>
        <w:pStyle w:val="TOC8"/>
        <w:rPr>
          <w:rFonts w:asciiTheme="minorHAnsi" w:eastAsiaTheme="minorEastAsia" w:hAnsiTheme="minorHAnsi" w:cstheme="minorBidi"/>
          <w:szCs w:val="22"/>
        </w:rPr>
      </w:pPr>
      <w:r>
        <w:t>19BE.</w:t>
      </w:r>
      <w:r>
        <w:tab/>
        <w:t>Information about capital grants, subsidies and contributions to be included in annual report (Act s. 5.53(2)(i))</w:t>
      </w:r>
      <w:r>
        <w:tab/>
      </w:r>
      <w:r>
        <w:fldChar w:fldCharType="begin"/>
      </w:r>
      <w:r>
        <w:instrText xml:space="preserve"> PAGEREF _Toc181173309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_Toc181173311 \h </w:instrText>
      </w:r>
      <w:r>
        <w:fldChar w:fldCharType="separate"/>
      </w:r>
      <w:r>
        <w:t>46</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_Toc181173312 \h </w:instrText>
      </w:r>
      <w:r>
        <w:fldChar w:fldCharType="separate"/>
      </w:r>
      <w:r>
        <w:t>48</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_Toc181173313 \h </w:instrText>
      </w:r>
      <w:r>
        <w:fldChar w:fldCharType="separate"/>
      </w:r>
      <w:r>
        <w:t>49</w:t>
      </w:r>
      <w:r>
        <w:fldChar w:fldCharType="end"/>
      </w:r>
    </w:p>
    <w:p>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_Toc181173314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_Toc181173316 \h </w:instrText>
      </w:r>
      <w:r>
        <w:fldChar w:fldCharType="separate"/>
      </w:r>
      <w:r>
        <w:t>51</w:t>
      </w:r>
      <w:r>
        <w:fldChar w:fldCharType="end"/>
      </w:r>
    </w:p>
    <w:p>
      <w:pPr>
        <w:pStyle w:val="TOC8"/>
        <w:rPr>
          <w:rFonts w:asciiTheme="minorHAnsi" w:eastAsiaTheme="minorEastAsia" w:hAnsiTheme="minorHAnsi" w:cstheme="minorBidi"/>
          <w:szCs w:val="22"/>
        </w:rPr>
      </w:pPr>
      <w:r>
        <w:t>20A.</w:t>
      </w:r>
      <w:r>
        <w:tab/>
        <w:t>Amounts relating to gifts prescribed (Act s. 5.62(1A), 5.68(1C), 5.71B(2) and (4), 5.87A(3) and 5.87B(3))</w:t>
      </w:r>
      <w:r>
        <w:tab/>
      </w:r>
      <w:r>
        <w:fldChar w:fldCharType="begin"/>
      </w:r>
      <w:r>
        <w:instrText xml:space="preserve"> PAGEREF _Toc181173317 \h </w:instrText>
      </w:r>
      <w:r>
        <w:fldChar w:fldCharType="separate"/>
      </w:r>
      <w:r>
        <w:t>51</w:t>
      </w:r>
      <w:r>
        <w:fldChar w:fldCharType="end"/>
      </w:r>
    </w:p>
    <w:p>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_Toc181173318 \h </w:instrText>
      </w:r>
      <w:r>
        <w:fldChar w:fldCharType="separate"/>
      </w:r>
      <w:r>
        <w:t>52</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_Toc181173319 \h </w:instrText>
      </w:r>
      <w:r>
        <w:fldChar w:fldCharType="separate"/>
      </w:r>
      <w:r>
        <w:t>52</w:t>
      </w:r>
      <w:r>
        <w:fldChar w:fldCharType="end"/>
      </w:r>
    </w:p>
    <w:p>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_Toc181173320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_Toc181173321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_Toc181173322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_Toc181173323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_Toc181173324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_Toc181173325 \h </w:instrText>
      </w:r>
      <w:r>
        <w:fldChar w:fldCharType="separate"/>
      </w:r>
      <w:r>
        <w:t>55</w:t>
      </w:r>
      <w:r>
        <w:fldChar w:fldCharType="end"/>
      </w:r>
    </w:p>
    <w:p>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_Toc181173326 \h </w:instrText>
      </w:r>
      <w:r>
        <w:fldChar w:fldCharType="separate"/>
      </w:r>
      <w:r>
        <w:t>55</w:t>
      </w:r>
      <w:r>
        <w:fldChar w:fldCharType="end"/>
      </w:r>
    </w:p>
    <w:p>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_Toc181173327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_Toc181173329 \h </w:instrText>
      </w:r>
      <w:r>
        <w:fldChar w:fldCharType="separate"/>
      </w:r>
      <w:r>
        <w:t>57</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_Toc181173330 \h </w:instrText>
      </w:r>
      <w:r>
        <w:fldChar w:fldCharType="separate"/>
      </w:r>
      <w:r>
        <w:t>58</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_Toc181173331 \h </w:instrText>
      </w:r>
      <w:r>
        <w:fldChar w:fldCharType="separate"/>
      </w:r>
      <w:r>
        <w:t>58</w:t>
      </w:r>
      <w:r>
        <w:fldChar w:fldCharType="end"/>
      </w:r>
    </w:p>
    <w:p>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_Toc181173332 \h </w:instrText>
      </w:r>
      <w:r>
        <w:fldChar w:fldCharType="separate"/>
      </w:r>
      <w:r>
        <w:t>59</w:t>
      </w:r>
      <w:r>
        <w:fldChar w:fldCharType="end"/>
      </w:r>
    </w:p>
    <w:p>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_Toc181173333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_Toc181173335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Expenses to be reimbursed (Act s. 5.98(2)(a))</w:t>
      </w:r>
      <w:r>
        <w:tab/>
      </w:r>
      <w:r>
        <w:fldChar w:fldCharType="begin"/>
      </w:r>
      <w:r>
        <w:instrText xml:space="preserve"> PAGEREF _Toc181173336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w:t>
      </w:r>
      <w:r>
        <w:tab/>
      </w:r>
      <w:r>
        <w:fldChar w:fldCharType="begin"/>
      </w:r>
      <w:r>
        <w:instrText xml:space="preserve"> PAGEREF _Toc181173337 \h </w:instrText>
      </w:r>
      <w:r>
        <w:fldChar w:fldCharType="separate"/>
      </w:r>
      <w:r>
        <w:t>64</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_Toc181173338 \h </w:instrText>
      </w:r>
      <w:r>
        <w:fldChar w:fldCharType="separate"/>
      </w:r>
      <w:r>
        <w:t>64</w:t>
      </w:r>
      <w:r>
        <w:fldChar w:fldCharType="end"/>
      </w:r>
    </w:p>
    <w:p>
      <w:pPr>
        <w:pStyle w:val="TOC8"/>
        <w:rPr>
          <w:rFonts w:asciiTheme="minorHAnsi" w:eastAsiaTheme="minorEastAsia" w:hAnsiTheme="minorHAnsi" w:cstheme="minorBidi"/>
          <w:szCs w:val="22"/>
        </w:rPr>
      </w:pPr>
      <w:r>
        <w:t>34ACA.</w:t>
      </w:r>
      <w:r>
        <w:tab/>
        <w:t>Fees paid and expenses reimbursed to committee members (Act s. 5.100)</w:t>
      </w:r>
      <w:r>
        <w:tab/>
      </w:r>
      <w:r>
        <w:fldChar w:fldCharType="begin"/>
      </w:r>
      <w:r>
        <w:instrText xml:space="preserve"> PAGEREF _Toc181173339 \h </w:instrText>
      </w:r>
      <w:r>
        <w:fldChar w:fldCharType="separate"/>
      </w:r>
      <w:r>
        <w:t>65</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_Toc181173340 \h </w:instrText>
      </w:r>
      <w:r>
        <w:fldChar w:fldCharType="separate"/>
      </w:r>
      <w:r>
        <w:t>66</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_Toc181173341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9A — Minor breaches by council members</w:t>
      </w:r>
    </w:p>
    <w:p>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_Toc181173343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_Toc181173345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36.</w:t>
      </w:r>
      <w:r>
        <w:tab/>
        <w:t>Exemption from Act s. 5.126(1) requirement</w:t>
      </w:r>
      <w:r>
        <w:tab/>
      </w:r>
      <w:r>
        <w:fldChar w:fldCharType="begin"/>
      </w:r>
      <w:r>
        <w:instrText xml:space="preserve"> PAGEREF _Toc181173346 \h </w:instrText>
      </w:r>
      <w:r>
        <w:fldChar w:fldCharType="separate"/>
      </w:r>
      <w:r>
        <w:t>71</w:t>
      </w:r>
      <w:r>
        <w:fldChar w:fldCharType="end"/>
      </w:r>
    </w:p>
    <w:p>
      <w:pPr>
        <w:pStyle w:val="TOC8"/>
        <w:rPr>
          <w:rFonts w:asciiTheme="minorHAnsi" w:eastAsiaTheme="minorEastAsia" w:hAnsiTheme="minorHAnsi" w:cstheme="minorBidi"/>
          <w:szCs w:val="22"/>
        </w:rPr>
      </w:pPr>
      <w:r>
        <w:t>37.</w:t>
      </w:r>
      <w:r>
        <w:tab/>
        <w:t>Fees and expenses (Act s. 5.129(4))</w:t>
      </w:r>
      <w:r>
        <w:tab/>
      </w:r>
      <w:r>
        <w:fldChar w:fldCharType="begin"/>
      </w:r>
      <w:r>
        <w:instrText xml:space="preserve"> PAGEREF _Toc181173347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pPr>
        <w:pStyle w:val="TOC4"/>
        <w:tabs>
          <w:tab w:val="right" w:leader="dot" w:pos="7077"/>
        </w:tabs>
        <w:rPr>
          <w:rFonts w:asciiTheme="minorHAnsi" w:eastAsiaTheme="minorEastAsia" w:hAnsiTheme="minorHAnsi" w:cstheme="minorBidi"/>
          <w:b w:val="0"/>
          <w:szCs w:val="22"/>
        </w:rPr>
      </w:pPr>
      <w:r>
        <w:t>Division 1 — Preliminary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_Toc181173351 \h </w:instrText>
      </w:r>
      <w:r>
        <w:fldChar w:fldCharType="separate"/>
      </w:r>
      <w:r>
        <w:t>84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_Toc181173352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Standards for recruitment of CEOs</w:t>
      </w:r>
    </w:p>
    <w:p>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_Toc181173354 \h </w:instrText>
      </w:r>
      <w:r>
        <w:fldChar w:fldCharType="separate"/>
      </w:r>
      <w:r>
        <w:t>85</w:t>
      </w:r>
      <w:r>
        <w:fldChar w:fldCharType="end"/>
      </w:r>
    </w:p>
    <w:p>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_Toc181173355 \h </w:instrText>
      </w:r>
      <w:r>
        <w:fldChar w:fldCharType="separate"/>
      </w:r>
      <w:r>
        <w:t>85</w:t>
      </w:r>
      <w:r>
        <w:fldChar w:fldCharType="end"/>
      </w:r>
    </w:p>
    <w:p>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_Toc181173356 \h </w:instrText>
      </w:r>
      <w:r>
        <w:fldChar w:fldCharType="separate"/>
      </w:r>
      <w:r>
        <w:t>85</w:t>
      </w:r>
      <w:r>
        <w:fldChar w:fldCharType="end"/>
      </w:r>
    </w:p>
    <w:p>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_Toc181173357 \h </w:instrText>
      </w:r>
      <w:r>
        <w:fldChar w:fldCharType="separate"/>
      </w:r>
      <w:r>
        <w:t>86</w:t>
      </w:r>
      <w:r>
        <w:fldChar w:fldCharType="end"/>
      </w:r>
    </w:p>
    <w:p>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_Toc181173358 \h </w:instrText>
      </w:r>
      <w:r>
        <w:fldChar w:fldCharType="separate"/>
      </w:r>
      <w:r>
        <w:t>86</w:t>
      </w:r>
      <w:r>
        <w:fldChar w:fldCharType="end"/>
      </w:r>
    </w:p>
    <w:p>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_Toc181173359 \h </w:instrText>
      </w:r>
      <w:r>
        <w:fldChar w:fldCharType="separate"/>
      </w:r>
      <w:r>
        <w:t>87</w:t>
      </w:r>
      <w:r>
        <w:fldChar w:fldCharType="end"/>
      </w:r>
    </w:p>
    <w:p>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_Toc181173360 \h </w:instrText>
      </w:r>
      <w:r>
        <w:fldChar w:fldCharType="separate"/>
      </w:r>
      <w:r>
        <w:t>87</w:t>
      </w:r>
      <w:r>
        <w:fldChar w:fldCharType="end"/>
      </w:r>
    </w:p>
    <w:p>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_Toc181173361 \h </w:instrText>
      </w:r>
      <w:r>
        <w:fldChar w:fldCharType="separate"/>
      </w:r>
      <w:r>
        <w:t>88</w:t>
      </w:r>
      <w:r>
        <w:fldChar w:fldCharType="end"/>
      </w:r>
    </w:p>
    <w:p>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_Toc181173362 \h </w:instrText>
      </w:r>
      <w:r>
        <w:fldChar w:fldCharType="separate"/>
      </w:r>
      <w:r>
        <w:t>89</w:t>
      </w:r>
      <w:r>
        <w:fldChar w:fldCharType="end"/>
      </w:r>
    </w:p>
    <w:p>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_Toc181173363 \h </w:instrText>
      </w:r>
      <w:r>
        <w:fldChar w:fldCharType="separate"/>
      </w:r>
      <w:r>
        <w:t>89</w:t>
      </w:r>
      <w:r>
        <w:fldChar w:fldCharType="end"/>
      </w:r>
    </w:p>
    <w:p>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_Toc181173364 \h </w:instrText>
      </w:r>
      <w:r>
        <w:fldChar w:fldCharType="separate"/>
      </w:r>
      <w:r>
        <w:t>89</w:t>
      </w:r>
      <w:r>
        <w:fldChar w:fldCharType="end"/>
      </w:r>
    </w:p>
    <w:p>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_Toc181173365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Standards for review of performance of CEOs</w:t>
      </w:r>
    </w:p>
    <w:p>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_Toc181173367 \h </w:instrText>
      </w:r>
      <w:r>
        <w:fldChar w:fldCharType="separate"/>
      </w:r>
      <w:r>
        <w:t>91</w:t>
      </w:r>
      <w:r>
        <w:fldChar w:fldCharType="end"/>
      </w:r>
    </w:p>
    <w:p>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_Toc181173368 \h </w:instrText>
      </w:r>
      <w:r>
        <w:fldChar w:fldCharType="separate"/>
      </w:r>
      <w:r>
        <w:t>91</w:t>
      </w:r>
      <w:r>
        <w:fldChar w:fldCharType="end"/>
      </w:r>
    </w:p>
    <w:p>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_Toc181173369 \h </w:instrText>
      </w:r>
      <w:r>
        <w:fldChar w:fldCharType="separate"/>
      </w:r>
      <w:r>
        <w:t>91</w:t>
      </w:r>
      <w:r>
        <w:fldChar w:fldCharType="end"/>
      </w:r>
    </w:p>
    <w:p>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_Toc181173370 \h </w:instrText>
      </w:r>
      <w:r>
        <w:fldChar w:fldCharType="separate"/>
      </w:r>
      <w:r>
        <w:t>92</w:t>
      </w:r>
      <w:r>
        <w:fldChar w:fldCharType="end"/>
      </w:r>
    </w:p>
    <w:p>
      <w:pPr>
        <w:pStyle w:val="TOC8"/>
        <w:rPr>
          <w:rFonts w:asciiTheme="minorHAnsi" w:eastAsiaTheme="minorEastAsia" w:hAnsiTheme="minorHAnsi" w:cstheme="minorBidi"/>
          <w:szCs w:val="22"/>
        </w:rPr>
      </w:pPr>
      <w:r>
        <w:lastRenderedPageBreak/>
        <w:t>19.</w:t>
      </w:r>
      <w:r>
        <w:tab/>
        <w:t>CEO to be notified of results of performance review</w:t>
      </w:r>
      <w:r>
        <w:tab/>
      </w:r>
      <w:r>
        <w:fldChar w:fldCharType="begin"/>
      </w:r>
      <w:r>
        <w:instrText xml:space="preserve"> PAGEREF _Toc181173371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_Toc181173373 \h </w:instrText>
      </w:r>
      <w:r>
        <w:fldChar w:fldCharType="separate"/>
      </w:r>
      <w:r>
        <w:t>92</w:t>
      </w:r>
      <w:r>
        <w:fldChar w:fldCharType="end"/>
      </w:r>
    </w:p>
    <w:p>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_Toc181173374 \h </w:instrText>
      </w:r>
      <w:r>
        <w:fldChar w:fldCharType="separate"/>
      </w:r>
      <w:r>
        <w:t>92</w:t>
      </w:r>
      <w:r>
        <w:fldChar w:fldCharType="end"/>
      </w:r>
    </w:p>
    <w:p>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_Toc181173375 \h </w:instrText>
      </w:r>
      <w:r>
        <w:fldChar w:fldCharType="separate"/>
      </w:r>
      <w:r>
        <w:t>93</w:t>
      </w:r>
      <w:r>
        <w:fldChar w:fldCharType="end"/>
      </w:r>
    </w:p>
    <w:p>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_Toc181173376 \h </w:instrText>
      </w:r>
      <w:r>
        <w:fldChar w:fldCharType="separate"/>
      </w:r>
      <w:r>
        <w:t>93</w:t>
      </w:r>
      <w:r>
        <w:fldChar w:fldCharType="end"/>
      </w:r>
    </w:p>
    <w:p>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_Toc181173377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_Toc181173379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_Toc181173380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2" w:name="_Toc180768234"/>
      <w:bookmarkStart w:id="3" w:name="_Toc180768975"/>
      <w:bookmarkStart w:id="4" w:name="_Toc18117324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26 Aug 2011 p. 3482.]</w:t>
      </w:r>
    </w:p>
    <w:p>
      <w:pPr>
        <w:pStyle w:val="Heading5"/>
        <w:rPr>
          <w:snapToGrid w:val="0"/>
        </w:rPr>
      </w:pPr>
      <w:bookmarkStart w:id="5" w:name="_Toc181173245"/>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6" w:name="_Toc18117324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7" w:name="_Toc18117324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Ednotesection"/>
        <w:rPr>
          <w:rStyle w:val="CharSectno"/>
          <w:b/>
        </w:rPr>
      </w:pPr>
      <w:r>
        <w:t>[</w:t>
      </w:r>
      <w:r>
        <w:rPr>
          <w:b/>
        </w:rPr>
        <w:t>3AA.</w:t>
      </w:r>
      <w:r>
        <w:tab/>
        <w:t>Deleted: SL 2022/177 r. 5.]</w:t>
      </w:r>
    </w:p>
    <w:p>
      <w:pPr>
        <w:pStyle w:val="Heading2"/>
      </w:pPr>
      <w:bookmarkStart w:id="8" w:name="_Toc180768239"/>
      <w:bookmarkStart w:id="9" w:name="_Toc180768979"/>
      <w:bookmarkStart w:id="10" w:name="_Toc181173248"/>
      <w:r>
        <w:rPr>
          <w:rStyle w:val="CharPartNo"/>
        </w:rPr>
        <w:lastRenderedPageBreak/>
        <w:t>Part 1A</w:t>
      </w:r>
      <w:r>
        <w:rPr>
          <w:b w:val="0"/>
        </w:rPr>
        <w:t> </w:t>
      </w:r>
      <w:r>
        <w:t>—</w:t>
      </w:r>
      <w:r>
        <w:rPr>
          <w:b w:val="0"/>
        </w:rPr>
        <w:t> </w:t>
      </w:r>
      <w:r>
        <w:rPr>
          <w:rStyle w:val="CharPartText"/>
        </w:rPr>
        <w:t>Public notices</w:t>
      </w:r>
      <w:bookmarkEnd w:id="8"/>
      <w:bookmarkEnd w:id="9"/>
      <w:bookmarkEnd w:id="10"/>
    </w:p>
    <w:p>
      <w:pPr>
        <w:pStyle w:val="Footnoteheading"/>
      </w:pPr>
      <w:r>
        <w:tab/>
        <w:t>[Heading inserted: SL 2020/213 r. 15.]</w:t>
      </w:r>
    </w:p>
    <w:p>
      <w:pPr>
        <w:pStyle w:val="Heading5"/>
      </w:pPr>
      <w:bookmarkStart w:id="11" w:name="_Toc181173249"/>
      <w:r>
        <w:rPr>
          <w:rStyle w:val="CharSectno"/>
        </w:rPr>
        <w:t>3A</w:t>
      </w:r>
      <w:r>
        <w:t>.</w:t>
      </w:r>
      <w:r>
        <w:tab/>
        <w:t>Requirements for local public notice (Act s. 1.7)</w:t>
      </w:r>
      <w:bookmarkEnd w:id="11"/>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lastRenderedPageBreak/>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12" w:name="_Toc181173250"/>
      <w:r>
        <w:rPr>
          <w:rStyle w:val="CharSectno"/>
        </w:rPr>
        <w:t>3B</w:t>
      </w:r>
      <w:r>
        <w:t>.</w:t>
      </w:r>
      <w:r>
        <w:tab/>
        <w:t>Requirements for Statewide public notice (Act s. 1.8)</w:t>
      </w:r>
      <w:bookmarkEnd w:id="12"/>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13" w:name="_Toc180768242"/>
      <w:bookmarkStart w:id="14" w:name="_Toc180768982"/>
      <w:bookmarkStart w:id="15" w:name="_Toc181173251"/>
      <w:r>
        <w:rPr>
          <w:rStyle w:val="CharPartNo"/>
        </w:rPr>
        <w:lastRenderedPageBreak/>
        <w:t>Part 2</w:t>
      </w:r>
      <w:r>
        <w:rPr>
          <w:rStyle w:val="CharDivNo"/>
        </w:rPr>
        <w:t> </w:t>
      </w:r>
      <w:r>
        <w:t>—</w:t>
      </w:r>
      <w:r>
        <w:rPr>
          <w:rStyle w:val="CharDivText"/>
        </w:rPr>
        <w:t> </w:t>
      </w:r>
      <w:r>
        <w:rPr>
          <w:rStyle w:val="CharPartText"/>
        </w:rPr>
        <w:t>Council and committee meetings</w:t>
      </w:r>
      <w:bookmarkEnd w:id="13"/>
      <w:bookmarkEnd w:id="14"/>
      <w:bookmarkEnd w:id="15"/>
    </w:p>
    <w:p>
      <w:pPr>
        <w:pStyle w:val="Footnoteheading"/>
      </w:pPr>
      <w:r>
        <w:tab/>
        <w:t>[Heading inserted: Gazette 26 Aug 2011 p. 3482.]</w:t>
      </w:r>
    </w:p>
    <w:p>
      <w:pPr>
        <w:pStyle w:val="Heading5"/>
        <w:spacing w:before="180"/>
        <w:rPr>
          <w:snapToGrid w:val="0"/>
        </w:rPr>
      </w:pPr>
      <w:bookmarkStart w:id="16" w:name="_Toc181173252"/>
      <w:r>
        <w:rPr>
          <w:rStyle w:val="CharSectno"/>
        </w:rPr>
        <w:t>4</w:t>
      </w:r>
      <w:r>
        <w:rPr>
          <w:snapToGrid w:val="0"/>
        </w:rPr>
        <w:t>.</w:t>
      </w:r>
      <w:r>
        <w:rPr>
          <w:snapToGrid w:val="0"/>
        </w:rPr>
        <w:tab/>
        <w:t>Committee members, resignation of</w:t>
      </w:r>
      <w:bookmarkEnd w:id="1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7" w:name="_Toc181173253"/>
      <w:r>
        <w:rPr>
          <w:rStyle w:val="CharSectno"/>
        </w:rPr>
        <w:t>4A</w:t>
      </w:r>
      <w:r>
        <w:t>.</w:t>
      </w:r>
      <w:r>
        <w:tab/>
        <w:t>Matter prescribed for when meeting may be closed to public (Act s. 5.23(2)(h))</w:t>
      </w:r>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8" w:name="_Toc181173254"/>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9" w:name="_Toc181173255"/>
      <w:r>
        <w:rPr>
          <w:rStyle w:val="CharSectno"/>
        </w:rPr>
        <w:t>6</w:t>
      </w:r>
      <w:r>
        <w:rPr>
          <w:snapToGrid w:val="0"/>
        </w:rPr>
        <w:t>.</w:t>
      </w:r>
      <w:r>
        <w:rPr>
          <w:snapToGrid w:val="0"/>
        </w:rPr>
        <w:tab/>
        <w:t xml:space="preserve">Question time for public, minimum time for </w:t>
      </w:r>
      <w:r>
        <w:t>(Act </w:t>
      </w:r>
      <w:r>
        <w:rPr>
          <w:snapToGrid w:val="0"/>
        </w:rPr>
        <w:t>s. 5.24(2))</w:t>
      </w:r>
      <w:bookmarkEnd w:id="19"/>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 xml:space="preserve">Once all the questions raised by members of the public have been asked and responded to at a meeting referred to in subregulation (1), nothing in these regulations prevents the </w:t>
      </w:r>
      <w:r>
        <w:rPr>
          <w:snapToGrid w:val="0"/>
        </w:rPr>
        <w:lastRenderedPageBreak/>
        <w:t>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20" w:name="_Toc181173256"/>
      <w:r>
        <w:rPr>
          <w:rStyle w:val="CharSectno"/>
        </w:rPr>
        <w:t>7</w:t>
      </w:r>
      <w:r>
        <w:rPr>
          <w:snapToGrid w:val="0"/>
        </w:rPr>
        <w:t>.</w:t>
      </w:r>
      <w:r>
        <w:rPr>
          <w:snapToGrid w:val="0"/>
        </w:rPr>
        <w:tab/>
        <w:t xml:space="preserve">Question time for public, procedure for </w:t>
      </w:r>
      <w:r>
        <w:t>(Act </w:t>
      </w:r>
      <w:r>
        <w:rPr>
          <w:snapToGrid w:val="0"/>
        </w:rPr>
        <w:t>s. 5.24(2))</w:t>
      </w:r>
      <w:bookmarkEnd w:id="20"/>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lastRenderedPageBreak/>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21" w:name="_Toc181173257"/>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1"/>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2" w:name="_Toc181173258"/>
      <w:r>
        <w:rPr>
          <w:rStyle w:val="CharSectno"/>
        </w:rPr>
        <w:lastRenderedPageBreak/>
        <w:t>9</w:t>
      </w:r>
      <w:r>
        <w:rPr>
          <w:snapToGrid w:val="0"/>
        </w:rPr>
        <w:t>.</w:t>
      </w:r>
      <w:r>
        <w:rPr>
          <w:snapToGrid w:val="0"/>
        </w:rPr>
        <w:tab/>
        <w:t xml:space="preserve">Voting to be open </w:t>
      </w:r>
      <w:r>
        <w:t>(Act </w:t>
      </w:r>
      <w:r>
        <w:rPr>
          <w:snapToGrid w:val="0"/>
        </w:rPr>
        <w:t>s. 5.25(1)(d))</w:t>
      </w:r>
      <w:bookmarkEnd w:id="22"/>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3" w:name="_Toc181173259"/>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24" w:name="_Toc181173260"/>
      <w:r>
        <w:rPr>
          <w:rStyle w:val="CharSectno"/>
        </w:rPr>
        <w:lastRenderedPageBreak/>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4"/>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25" w:name="_Toc181173261"/>
      <w:r>
        <w:rPr>
          <w:rStyle w:val="CharSectno"/>
        </w:rPr>
        <w:lastRenderedPageBreak/>
        <w:t>12</w:t>
      </w:r>
      <w:r>
        <w:t>.</w:t>
      </w:r>
      <w:r>
        <w:tab/>
        <w:t>Publication of meeting details (Act s. 5.25(1)(g))</w:t>
      </w:r>
      <w:bookmarkEnd w:id="25"/>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26" w:name="_Toc181173262"/>
      <w:r>
        <w:rPr>
          <w:rStyle w:val="CharSectno"/>
        </w:rPr>
        <w:t>13</w:t>
      </w:r>
      <w:r>
        <w:t>.</w:t>
      </w:r>
      <w:r>
        <w:tab/>
        <w:t>Publication of unconfirmed minutes of meetings (Act s. 5.25(1)(i))</w:t>
      </w:r>
      <w:bookmarkEnd w:id="2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lastRenderedPageBreak/>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27" w:name="_Toc181173263"/>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pPr>
      <w:r>
        <w:t>[</w:t>
      </w:r>
      <w:r>
        <w:rPr>
          <w:b/>
        </w:rPr>
        <w:t>14A</w:t>
      </w:r>
      <w:r>
        <w:t xml:space="preserve">, </w:t>
      </w:r>
      <w:r>
        <w:rPr>
          <w:b/>
        </w:rPr>
        <w:t>14B.</w:t>
      </w:r>
      <w:r>
        <w:tab/>
        <w:t>Deleted: SL 2022/185 r. 4.]</w:t>
      </w:r>
    </w:p>
    <w:p>
      <w:pPr>
        <w:pStyle w:val="Heading5"/>
      </w:pPr>
      <w:bookmarkStart w:id="28" w:name="_Toc181173264"/>
      <w:r>
        <w:rPr>
          <w:rStyle w:val="CharSectno"/>
        </w:rPr>
        <w:lastRenderedPageBreak/>
        <w:t>14C</w:t>
      </w:r>
      <w:r>
        <w:t>.</w:t>
      </w:r>
      <w:r>
        <w:tab/>
        <w:t>Attendance at meetings by electronic means may be authorised (Act s. 5.25(1)(ba))</w:t>
      </w:r>
      <w:bookmarkEnd w:id="2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natural disaster</w:t>
      </w:r>
      <w:r>
        <w:t xml:space="preserve"> includes fire, flood, lightning, movement of land and storm;</w:t>
      </w:r>
    </w:p>
    <w:p>
      <w:pPr>
        <w:pStyle w:val="Defstart"/>
      </w:pPr>
      <w:r>
        <w:tab/>
      </w:r>
      <w:r>
        <w:rPr>
          <w:rStyle w:val="CharDefText"/>
        </w:rPr>
        <w:t>relevant period</w:t>
      </w:r>
      <w:r>
        <w:t>, in relation to the proposed meeting referred to in subregulation (3), means the period of 12 months ending on the day on which the proposed meeting is to be held.</w:t>
      </w:r>
    </w:p>
    <w:p>
      <w:pPr>
        <w:pStyle w:val="Subsection"/>
        <w:keepNext/>
      </w:pPr>
      <w:r>
        <w:tab/>
        <w:t>(2)</w:t>
      </w:r>
      <w:r>
        <w:tab/>
        <w:t xml:space="preserve">A member of a council or committee may attend a meeting by electronic means — </w:t>
      </w:r>
    </w:p>
    <w:p>
      <w:pPr>
        <w:pStyle w:val="Indenta"/>
        <w:keepNext/>
      </w:pPr>
      <w:r>
        <w:tab/>
        <w:t>(a)</w:t>
      </w:r>
      <w:r>
        <w:tab/>
        <w:t xml:space="preserve">if — </w:t>
      </w:r>
    </w:p>
    <w:p>
      <w:pPr>
        <w:pStyle w:val="Indenti"/>
      </w:pPr>
      <w:r>
        <w:tab/>
        <w:t>(i)</w:t>
      </w:r>
      <w:r>
        <w:tab/>
        <w:t>a public health emergency or state of emergency exists or a natural disaster has occurred; and</w:t>
      </w:r>
    </w:p>
    <w:p>
      <w:pPr>
        <w:pStyle w:val="Indenti"/>
      </w:pPr>
      <w:r>
        <w:tab/>
        <w:t>(ii)</w:t>
      </w:r>
      <w:r>
        <w:tab/>
        <w:t>because of the public health emergency, state of emergency or natural disaster, the member is unable, or considers it inappropriate, to be present in person at the meeting; and</w:t>
      </w:r>
    </w:p>
    <w:p>
      <w:pPr>
        <w:pStyle w:val="Indenti"/>
        <w:keepNext/>
      </w:pPr>
      <w:r>
        <w:tab/>
        <w:t>(iii)</w:t>
      </w:r>
      <w:r>
        <w:tab/>
        <w:t>the member is authorised to attend the meeting by electronic means by the mayor, president or council;</w:t>
      </w:r>
    </w:p>
    <w:p>
      <w:pPr>
        <w:pStyle w:val="Indenta"/>
      </w:pPr>
      <w:r>
        <w:tab/>
      </w:r>
      <w:r>
        <w:tab/>
        <w:t>or</w:t>
      </w:r>
    </w:p>
    <w:p>
      <w:pPr>
        <w:pStyle w:val="Indenta"/>
      </w:pPr>
      <w:r>
        <w:tab/>
        <w:t>(b)</w:t>
      </w:r>
      <w:r>
        <w:tab/>
        <w:t>if the member is otherwise authorised to attend the meeting by electronic means by the mayor, president or council.</w:t>
      </w:r>
    </w:p>
    <w:p>
      <w:pPr>
        <w:pStyle w:val="Subsection"/>
      </w:pPr>
      <w:r>
        <w:tab/>
        <w:t>(3)</w:t>
      </w:r>
      <w:r>
        <w:tab/>
        <w:t xml:space="preserve">The mayor, president or council cannot authorise a member to attend a meeting (the </w:t>
      </w:r>
      <w:r>
        <w:rPr>
          <w:rStyle w:val="CharDefText"/>
        </w:rPr>
        <w:t>proposed meeting</w:t>
      </w:r>
      <w:r>
        <w:t xml:space="preserve">) under </w:t>
      </w:r>
      <w:r>
        <w:lastRenderedPageBreak/>
        <w:t>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p>
    <w:p>
      <w:pPr>
        <w:pStyle w:val="Subsection"/>
      </w:pPr>
      <w:r>
        <w:tab/>
        <w:t>(4)</w:t>
      </w:r>
      <w:r>
        <w:tab/>
        <w:t xml:space="preserve">Subregulation (3) does not apply to a member who is a person with a disability as defined in the </w:t>
      </w:r>
      <w:r>
        <w:rPr>
          <w:i/>
        </w:rPr>
        <w:t xml:space="preserve">Disability Services Act 1993 </w:t>
      </w:r>
      <w:r>
        <w:t>section 3.</w:t>
      </w:r>
    </w:p>
    <w:p>
      <w:pPr>
        <w:pStyle w:val="Subsection"/>
      </w:pPr>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p>
    <w:p>
      <w:pPr>
        <w:pStyle w:val="Footnotesection"/>
        <w:spacing w:before="80"/>
        <w:ind w:left="890" w:hanging="890"/>
      </w:pPr>
      <w:r>
        <w:tab/>
        <w:t>[Regulation 14C inserted: SL 2020/20 r. 7; amended: SL 2022/185 r. 5.]</w:t>
      </w:r>
    </w:p>
    <w:p>
      <w:pPr>
        <w:pStyle w:val="Heading5"/>
      </w:pPr>
      <w:bookmarkStart w:id="29" w:name="_Toc181173265"/>
      <w:r>
        <w:rPr>
          <w:rStyle w:val="CharSectno"/>
        </w:rPr>
        <w:t>14CA</w:t>
      </w:r>
      <w:r>
        <w:t>.</w:t>
      </w:r>
      <w:r>
        <w:tab/>
        <w:t>Provisions relating to attendance at meetings by electronic means (Act s. 5.25(1)(ba))</w:t>
      </w:r>
      <w:bookmarkEnd w:id="29"/>
    </w:p>
    <w:p>
      <w:pPr>
        <w:pStyle w:val="Subsection"/>
        <w:keepNext/>
      </w:pPr>
      <w:r>
        <w:tab/>
        <w:t>(1)</w:t>
      </w:r>
      <w:r>
        <w:tab/>
        <w:t xml:space="preserve">In this regulation — </w:t>
      </w:r>
    </w:p>
    <w:p>
      <w:pPr>
        <w:pStyle w:val="Defstart"/>
      </w:pPr>
      <w:r>
        <w:tab/>
      </w:r>
      <w:r>
        <w:rPr>
          <w:rStyle w:val="CharDefText"/>
        </w:rPr>
        <w:t>meeting</w:t>
      </w:r>
      <w:r>
        <w:t xml:space="preserve"> has the meaning given in regulation 14C(1).</w:t>
      </w:r>
    </w:p>
    <w:p>
      <w:pPr>
        <w:pStyle w:val="Subsection"/>
      </w:pPr>
      <w:r>
        <w:tab/>
        <w:t>(2)</w:t>
      </w:r>
      <w:r>
        <w:tab/>
        <w:t>The electronic means by which a member may attend a meeting under an authorisation under regulation 14C(2) include telephone, video conference or other means of instantaneous communication, as determined by the mayor, president or council.</w:t>
      </w:r>
    </w:p>
    <w:p>
      <w:pPr>
        <w:pStyle w:val="Subsection"/>
      </w:pPr>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w:t>
      </w:r>
      <w:r>
        <w:lastRenderedPageBreak/>
        <w:t>in contact by those electronic means with each other member present at the meeting.</w:t>
      </w:r>
    </w:p>
    <w:p>
      <w:pPr>
        <w:pStyle w:val="Subsection"/>
        <w:keepNext/>
      </w:pPr>
      <w:r>
        <w:tab/>
        <w:t>(4)</w:t>
      </w:r>
      <w:r>
        <w:tab/>
        <w:t xml:space="preserve">Subregulations (5) to (7) apply if — </w:t>
      </w:r>
    </w:p>
    <w:p>
      <w:pPr>
        <w:pStyle w:val="Indenta"/>
      </w:pPr>
      <w:r>
        <w:tab/>
        <w:t>(a)</w:t>
      </w:r>
      <w:r>
        <w:tab/>
        <w:t>a member has been authorised to attend a meeting by electronic means under regulation 14C(2); and</w:t>
      </w:r>
    </w:p>
    <w:p>
      <w:pPr>
        <w:pStyle w:val="Indenta"/>
      </w:pPr>
      <w:r>
        <w:tab/>
        <w:t>(b)</w:t>
      </w:r>
      <w:r>
        <w:tab/>
        <w:t>the meeting, or part of the meeting, is to be closed to members of the public under section 5.23(2).</w:t>
      </w:r>
    </w:p>
    <w:p>
      <w:pPr>
        <w:pStyle w:val="Subsection"/>
      </w:pPr>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(6)</w:t>
      </w:r>
      <w:r>
        <w:tab/>
        <w:t>If the member makes the declaration under subregulation (5) and subsequently cannot maintain confidentiality, the member must leave the meeting or the closed part of the meeting.</w:t>
      </w:r>
    </w:p>
    <w:p>
      <w:pPr>
        <w:pStyle w:val="Subsection"/>
        <w:keepNext/>
      </w:pPr>
      <w:r>
        <w:tab/>
        <w:t>(7)</w:t>
      </w:r>
      <w:r>
        <w:tab/>
        <w:t>A member’s declaration under subregulation (5) must be recorded in the minutes of the meeting.</w:t>
      </w:r>
    </w:p>
    <w:p>
      <w:pPr>
        <w:pStyle w:val="Footnotesection"/>
        <w:spacing w:before="80"/>
        <w:ind w:left="890" w:hanging="890"/>
      </w:pPr>
      <w:r>
        <w:tab/>
        <w:t>[Regulation 14CA inserted: SL 2022/185 r. 6.]</w:t>
      </w:r>
    </w:p>
    <w:p>
      <w:pPr>
        <w:pStyle w:val="Heading5"/>
      </w:pPr>
      <w:bookmarkStart w:id="30" w:name="_Toc181173266"/>
      <w:r>
        <w:rPr>
          <w:rStyle w:val="CharSectno"/>
        </w:rPr>
        <w:t>14D</w:t>
      </w:r>
      <w:r>
        <w:t>.</w:t>
      </w:r>
      <w:r>
        <w:tab/>
        <w:t>Meetings held by electronic means (Act s. 5.25(1)(ba))</w:t>
      </w:r>
      <w:bookmarkEnd w:id="30"/>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p>
    <w:p>
      <w:pPr>
        <w:pStyle w:val="Defstart"/>
      </w:pPr>
      <w:r>
        <w:tab/>
      </w:r>
      <w:r>
        <w:rPr>
          <w:rStyle w:val="CharDefText"/>
        </w:rPr>
        <w:t>relevant period</w:t>
      </w:r>
      <w:r>
        <w:t>, in relation to the proposed meeting referred to in subregulation (2A), means the period of 12 months ending on the day on which the proposed meeting is to be held.</w:t>
      </w:r>
    </w:p>
    <w:p>
      <w:pPr>
        <w:pStyle w:val="Subsection"/>
        <w:keepNext/>
      </w:pPr>
      <w:r>
        <w:lastRenderedPageBreak/>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r>
        <w:tab/>
        <w:t>(ii)</w:t>
      </w:r>
      <w:r>
        <w:tab/>
        <w:t>the mayor, president or council considers it appropriate for the meeting to be held by electronic means because of the public health emergency or state of emergency and having regard to the matters in subregulation (2B);</w:t>
      </w:r>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p>
    <w:p>
      <w:pPr>
        <w:pStyle w:val="Indenta"/>
      </w:pPr>
      <w:r>
        <w:tab/>
      </w:r>
      <w:r>
        <w:tab/>
        <w:t>or</w:t>
      </w:r>
    </w:p>
    <w:p>
      <w:pPr>
        <w:pStyle w:val="Indenta"/>
      </w:pPr>
      <w:r>
        <w:tab/>
        <w:t>(c)</w:t>
      </w:r>
      <w:r>
        <w:tab/>
        <w:t>if the council otherwise authorises the meeting to be held by electronic means.</w:t>
      </w:r>
    </w:p>
    <w:p>
      <w:pPr>
        <w:pStyle w:val="Subsection"/>
      </w:pPr>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p>
    <w:p>
      <w:pPr>
        <w:pStyle w:val="Subsection"/>
        <w:rPr>
          <w:rStyle w:val="DraftersNotes"/>
          <w:b w:val="0"/>
          <w:i w:val="0"/>
        </w:rPr>
      </w:pPr>
      <w:r>
        <w:tab/>
        <w:t>(2B)</w:t>
      </w:r>
      <w:r>
        <w:tab/>
        <w:t xml:space="preserve">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w:t>
      </w:r>
      <w:r>
        <w:lastRenderedPageBreak/>
        <w:t>meeting, and the equipment that each member intends to use to attend the meeting, are suitable for the member to be able to effectively engage in deliberations and communications during the meeting.</w:t>
      </w:r>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pPr>
      <w:r>
        <w:tab/>
        <w:t>(5)</w:t>
      </w:r>
      <w:r>
        <w:tab/>
        <w:t xml:space="preserve">Subregulations (6) to (8) apply if — </w:t>
      </w:r>
    </w:p>
    <w:p>
      <w:pPr>
        <w:pStyle w:val="Indenta"/>
      </w:pPr>
      <w:r>
        <w:tab/>
        <w:t>(a)</w:t>
      </w:r>
      <w:r>
        <w:tab/>
        <w:t>a meeting is to be held by electronic means under this regulation; and</w:t>
      </w:r>
    </w:p>
    <w:p>
      <w:pPr>
        <w:pStyle w:val="Indenta"/>
      </w:pPr>
      <w:r>
        <w:tab/>
        <w:t>(b)</w:t>
      </w:r>
      <w:r>
        <w:tab/>
        <w:t>the meeting, or part of the meeting, is to be closed to members of the public under section 5.23(2).</w:t>
      </w:r>
    </w:p>
    <w:p>
      <w:pPr>
        <w:pStyle w:val="Subsection"/>
      </w:pPr>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p>
    <w:p>
      <w:pPr>
        <w:pStyle w:val="Subsection"/>
      </w:pPr>
      <w:r>
        <w:tab/>
        <w:t>(7)</w:t>
      </w:r>
      <w:r>
        <w:tab/>
        <w:t>If a member makes the declaration under subregulation (6) and subsequently cannot maintain confidentiality, the member must leave the meeting or the closed part of the meeting.</w:t>
      </w:r>
    </w:p>
    <w:p>
      <w:pPr>
        <w:pStyle w:val="Subsection"/>
        <w:keepNext/>
      </w:pPr>
      <w:r>
        <w:tab/>
        <w:t>(8)</w:t>
      </w:r>
      <w:r>
        <w:tab/>
        <w:t>A member’s declaration under subregulation (6) must be recorded in the minutes of the meeting.</w:t>
      </w:r>
    </w:p>
    <w:p>
      <w:pPr>
        <w:pStyle w:val="Footnotesection"/>
        <w:spacing w:before="80"/>
        <w:ind w:left="890" w:hanging="890"/>
      </w:pPr>
      <w:r>
        <w:tab/>
        <w:t>[Regulation 14D inserted: SL 2020/20 r. 7; amended: SL 2022/185 r. 7.]</w:t>
      </w:r>
    </w:p>
    <w:p>
      <w:pPr>
        <w:pStyle w:val="Heading5"/>
      </w:pPr>
      <w:bookmarkStart w:id="31" w:name="_Toc181173267"/>
      <w:r>
        <w:rPr>
          <w:rStyle w:val="CharSectno"/>
        </w:rPr>
        <w:lastRenderedPageBreak/>
        <w:t>14E</w:t>
      </w:r>
      <w:r>
        <w:t>.</w:t>
      </w:r>
      <w:r>
        <w:tab/>
        <w:t>Modification of Act if meeting held by electronic means (Act s. 5.25(2))</w:t>
      </w:r>
      <w:bookmarkEnd w:id="31"/>
    </w:p>
    <w:p>
      <w:pPr>
        <w:pStyle w:val="Subsection"/>
        <w:keepNext/>
      </w:pPr>
      <w:r>
        <w:tab/>
        <w:t>(1)</w:t>
      </w:r>
      <w:r>
        <w:tab/>
        <w:t xml:space="preserve">In this regulation — </w:t>
      </w:r>
    </w:p>
    <w:p>
      <w:pPr>
        <w:pStyle w:val="Defstart"/>
      </w:pPr>
      <w:r>
        <w:tab/>
      </w:r>
      <w:r>
        <w:rPr>
          <w:rStyle w:val="CharDefText"/>
        </w:rPr>
        <w:t>class 3 or 4 council or committee</w:t>
      </w:r>
      <w:r>
        <w:t xml:space="preserve"> means the council of, or a committee established by, a class 3 local government or a class 4 local government;</w:t>
      </w:r>
    </w:p>
    <w:p>
      <w:pPr>
        <w:pStyle w:val="PermNoteHeading"/>
      </w:pPr>
      <w:r>
        <w:tab/>
        <w:t>Note for this definition:</w:t>
      </w:r>
    </w:p>
    <w:p>
      <w:pPr>
        <w:pStyle w:val="PermNoteText"/>
      </w:pPr>
      <w:r>
        <w:tab/>
      </w:r>
      <w:r>
        <w:tab/>
      </w:r>
      <w:r>
        <w:rPr>
          <w:b/>
          <w:i/>
        </w:rPr>
        <w:t>Class 3 local government</w:t>
      </w:r>
      <w:r>
        <w:t xml:space="preserve"> and </w:t>
      </w:r>
      <w:r>
        <w:rPr>
          <w:b/>
          <w:i/>
        </w:rPr>
        <w:t>class 4 local government</w:t>
      </w:r>
      <w:r>
        <w:t xml:space="preserve"> have the meanings given in the </w:t>
      </w:r>
      <w:r>
        <w:rPr>
          <w:i/>
        </w:rPr>
        <w:t>Local Government (Constitution) Regulations 1998</w:t>
      </w:r>
      <w:r>
        <w:t xml:space="preserve"> regulations 2A and 2B.</w:t>
      </w:r>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pPr>
      <w:r>
        <w:tab/>
        <w:t>(3)</w:t>
      </w:r>
      <w:r>
        <w:tab/>
        <w:t>If a council or a committee holds an electronic meeting, a member of the council or committee who attends the meeting by electronic means determined under regulation 14D(3) is, whether or not the member is physically in the State, taken to attend and be present at the meeting for the purposes of the Act and these regulations while the member is in contact by those electronic means with each other member present at the meeting.</w:t>
      </w:r>
    </w:p>
    <w:p>
      <w:pPr>
        <w:pStyle w:val="Subsection"/>
        <w:keepNext/>
      </w:pPr>
      <w:r>
        <w:tab/>
        <w:t>(3A)</w:t>
      </w:r>
      <w:r>
        <w:tab/>
        <w:t xml:space="preserve">If a council or a committee holds an electronic meeting, the meeting is open to members of the public under section 5.23(1) if — </w:t>
      </w:r>
    </w:p>
    <w:p>
      <w:pPr>
        <w:pStyle w:val="Indenta"/>
      </w:pPr>
      <w:r>
        <w:tab/>
        <w:t>(a)</w:t>
      </w:r>
      <w:r>
        <w:tab/>
        <w:t>in the case of a class 3 or 4 council or committee — the requirement to publish the unconfirmed minutes of the meeting under regulation 13(1)(a) is complied with within the applicable time period set out in regulation 13(2) or (3); or</w:t>
      </w:r>
    </w:p>
    <w:p>
      <w:pPr>
        <w:pStyle w:val="Indenta"/>
      </w:pPr>
      <w:r>
        <w:lastRenderedPageBreak/>
        <w:tab/>
        <w:t>(b)</w:t>
      </w:r>
      <w:r>
        <w:tab/>
        <w:t>in any case — the council or committee publicly broadcasts the meeting on a website or the meeting or a broadcast of the meeting is otherwise accessible to the public.</w:t>
      </w:r>
    </w:p>
    <w:p>
      <w:pPr>
        <w:pStyle w:val="Subsection"/>
        <w:keepNext/>
      </w:pPr>
      <w:r>
        <w:tab/>
        <w:t>(3B)</w:t>
      </w:r>
      <w:r>
        <w:tab/>
        <w:t xml:space="preserve">For the purposes of subregulation (3A)(b), a broadcast must be either — </w:t>
      </w:r>
    </w:p>
    <w:p>
      <w:pPr>
        <w:pStyle w:val="Indenta"/>
      </w:pPr>
      <w:r>
        <w:tab/>
        <w:t>(a)</w:t>
      </w:r>
      <w:r>
        <w:tab/>
        <w:t>both visual and audio; or</w:t>
      </w:r>
    </w:p>
    <w:p>
      <w:pPr>
        <w:pStyle w:val="Indenta"/>
      </w:pPr>
      <w:r>
        <w:tab/>
        <w:t>(b)</w:t>
      </w:r>
      <w:r>
        <w:tab/>
        <w:t>audio only.</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pPr>
      <w:r>
        <w:tab/>
        <w:t>(i)</w:t>
      </w:r>
      <w:r>
        <w:tab/>
        <w:t xml:space="preserve">in the case of a meeting held by electronic means under regulation 14D(2)(a) or (b) — 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 or</w:t>
      </w:r>
    </w:p>
    <w:p>
      <w:pPr>
        <w:pStyle w:val="Indenti"/>
      </w:pPr>
      <w:r>
        <w:tab/>
        <w:t>(ii)</w:t>
      </w:r>
      <w:r>
        <w:tab/>
        <w:t>in any case — to respond to the question at the meeting in accordance with the procedure determined by the council or committee.</w:t>
      </w:r>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lastRenderedPageBreak/>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7; amended: SL 2022/185 r. 8; SL 2023/102 r. 4; SL 2023/158 r. 4.]</w:t>
      </w:r>
    </w:p>
    <w:p>
      <w:pPr>
        <w:pStyle w:val="Heading2"/>
      </w:pPr>
      <w:bookmarkStart w:id="32" w:name="_Toc180768259"/>
      <w:bookmarkStart w:id="33" w:name="_Toc180768999"/>
      <w:bookmarkStart w:id="34" w:name="_Toc181173268"/>
      <w:r>
        <w:rPr>
          <w:rStyle w:val="CharPartNo"/>
        </w:rPr>
        <w:lastRenderedPageBreak/>
        <w:t>Part 2A</w:t>
      </w:r>
      <w:r>
        <w:t> — </w:t>
      </w:r>
      <w:r>
        <w:rPr>
          <w:rStyle w:val="CharPartText"/>
        </w:rPr>
        <w:t>Electronic broadcasting and video or audio recording of council meetings (Act s. 5.23A)</w:t>
      </w:r>
      <w:bookmarkEnd w:id="32"/>
      <w:bookmarkEnd w:id="33"/>
      <w:bookmarkEnd w:id="34"/>
    </w:p>
    <w:p>
      <w:pPr>
        <w:pStyle w:val="Footnoteheading"/>
      </w:pPr>
      <w:r>
        <w:tab/>
        <w:t>[Heading inserted: SL 2023/158 r. 5.]</w:t>
      </w:r>
    </w:p>
    <w:p>
      <w:pPr>
        <w:pStyle w:val="Heading5"/>
      </w:pPr>
      <w:bookmarkStart w:id="35" w:name="_Toc181173269"/>
      <w:r>
        <w:rPr>
          <w:rStyle w:val="CharSectno"/>
        </w:rPr>
        <w:t>14F</w:t>
      </w:r>
      <w:r>
        <w:t>.</w:t>
      </w:r>
      <w:r>
        <w:tab/>
        <w:t>Application of Part</w:t>
      </w:r>
      <w:bookmarkEnd w:id="35"/>
    </w:p>
    <w:p>
      <w:pPr>
        <w:pStyle w:val="Subsection"/>
      </w:pPr>
      <w:r>
        <w:tab/>
        <w:t>(1)</w:t>
      </w:r>
      <w:r>
        <w:tab/>
        <w:t>This Part applies for the purposes of section 5.23A(2).</w:t>
      </w:r>
    </w:p>
    <w:p>
      <w:pPr>
        <w:pStyle w:val="Subsection"/>
      </w:pPr>
      <w:r>
        <w:tab/>
        <w:t>(2)</w:t>
      </w:r>
      <w:r>
        <w:tab/>
        <w:t>This Part applies to meetings of councils held on or after 1 January 2025.</w:t>
      </w:r>
    </w:p>
    <w:p>
      <w:pPr>
        <w:pStyle w:val="PermNoteHeading"/>
      </w:pPr>
      <w:r>
        <w:tab/>
        <w:t>Note for this subregulation:</w:t>
      </w:r>
    </w:p>
    <w:p>
      <w:pPr>
        <w:pStyle w:val="PermNoteText"/>
      </w:pPr>
      <w:r>
        <w:tab/>
      </w:r>
      <w:r>
        <w:tab/>
        <w:t>This Part does not apply to meetings of committees of councils.</w:t>
      </w:r>
    </w:p>
    <w:p>
      <w:pPr>
        <w:pStyle w:val="Footnotesection"/>
      </w:pPr>
      <w:r>
        <w:tab/>
        <w:t>[Regulation 14F inserted: SL 2023/158 r. 5.]</w:t>
      </w:r>
    </w:p>
    <w:p>
      <w:pPr>
        <w:pStyle w:val="Heading5"/>
      </w:pPr>
      <w:bookmarkStart w:id="36" w:name="_Toc181173270"/>
      <w:r>
        <w:rPr>
          <w:rStyle w:val="CharSectno"/>
        </w:rPr>
        <w:t>14G</w:t>
      </w:r>
      <w:r>
        <w:t>.</w:t>
      </w:r>
      <w:r>
        <w:tab/>
        <w:t>Terms used</w:t>
      </w:r>
      <w:bookmarkEnd w:id="36"/>
    </w:p>
    <w:p>
      <w:pPr>
        <w:pStyle w:val="Subsection"/>
      </w:pPr>
      <w:r>
        <w:tab/>
        <w:t>(1)</w:t>
      </w:r>
      <w:r>
        <w:tab/>
        <w:t xml:space="preserve">In this Part — </w:t>
      </w:r>
    </w:p>
    <w:p>
      <w:pPr>
        <w:pStyle w:val="Defstart"/>
      </w:pPr>
      <w:r>
        <w:tab/>
      </w:r>
      <w:r>
        <w:rPr>
          <w:rStyle w:val="CharDefText"/>
        </w:rPr>
        <w:t>broadcast technology</w:t>
      </w:r>
      <w:r>
        <w:t>, in relation to a local government, means the technology by means of which meetings of its council are, or are to be, publicly broadcast under regulation 14H(2);</w:t>
      </w:r>
    </w:p>
    <w:p>
      <w:pPr>
        <w:pStyle w:val="Defstart"/>
      </w:pPr>
      <w:r>
        <w:tab/>
      </w:r>
      <w:r>
        <w:rPr>
          <w:rStyle w:val="CharDefText"/>
        </w:rPr>
        <w:t>closed proceedings</w:t>
      </w:r>
      <w:r>
        <w:t xml:space="preserve">, in relation to a council, means — </w:t>
      </w:r>
    </w:p>
    <w:p>
      <w:pPr>
        <w:pStyle w:val="Defpara"/>
      </w:pPr>
      <w:r>
        <w:tab/>
        <w:t>(a)</w:t>
      </w:r>
      <w:r>
        <w:tab/>
        <w:t>if a meeting of the council is closed to the public — the meeting; or</w:t>
      </w:r>
    </w:p>
    <w:p>
      <w:pPr>
        <w:pStyle w:val="Defpara"/>
      </w:pPr>
      <w:r>
        <w:tab/>
        <w:t>(b)</w:t>
      </w:r>
      <w:r>
        <w:tab/>
        <w:t>if a part of a meeting of the council is closed to the public — that part of the meeting;</w:t>
      </w:r>
    </w:p>
    <w:p>
      <w:pPr>
        <w:pStyle w:val="Defstart"/>
      </w:pPr>
      <w:r>
        <w:tab/>
      </w:r>
      <w:r>
        <w:rPr>
          <w:rStyle w:val="CharDefText"/>
        </w:rPr>
        <w:t>electronic meeting</w:t>
      </w:r>
      <w:r>
        <w:t xml:space="preserve"> means a meeting held by electronic means under regulation 14D;</w:t>
      </w:r>
    </w:p>
    <w:p>
      <w:pPr>
        <w:pStyle w:val="Defstart"/>
      </w:pPr>
      <w:r>
        <w:tab/>
      </w:r>
      <w:r>
        <w:rPr>
          <w:rStyle w:val="CharDefText"/>
        </w:rPr>
        <w:t>improvised recording</w:t>
      </w:r>
      <w:r>
        <w:t> — see regulation 14I(4);</w:t>
      </w:r>
    </w:p>
    <w:p>
      <w:pPr>
        <w:pStyle w:val="Defstart"/>
      </w:pPr>
      <w:r>
        <w:tab/>
      </w:r>
      <w:r>
        <w:rPr>
          <w:rStyle w:val="CharDefText"/>
        </w:rPr>
        <w:t>meeting day</w:t>
      </w:r>
      <w:r>
        <w:t>, in relation to a council’s meeting, means the day on which the meeting is held;</w:t>
      </w:r>
    </w:p>
    <w:p>
      <w:pPr>
        <w:pStyle w:val="Defstart"/>
      </w:pPr>
      <w:r>
        <w:tab/>
      </w:r>
      <w:r>
        <w:rPr>
          <w:rStyle w:val="CharDefText"/>
        </w:rPr>
        <w:t>publicly available</w:t>
      </w:r>
      <w:r>
        <w:t> — see subregulations (2) and (3);</w:t>
      </w:r>
    </w:p>
    <w:p>
      <w:pPr>
        <w:pStyle w:val="Defstart"/>
      </w:pPr>
      <w:r>
        <w:tab/>
      </w:r>
      <w:r>
        <w:rPr>
          <w:rStyle w:val="CharDefText"/>
        </w:rPr>
        <w:t>recording</w:t>
      </w:r>
      <w:r>
        <w:t xml:space="preserve"> means a video recording (with audio) or an audio only recording;</w:t>
      </w:r>
    </w:p>
    <w:p>
      <w:pPr>
        <w:pStyle w:val="Defstart"/>
      </w:pPr>
      <w:r>
        <w:lastRenderedPageBreak/>
        <w:tab/>
      </w:r>
      <w:r>
        <w:rPr>
          <w:rStyle w:val="CharDefText"/>
        </w:rPr>
        <w:t>recording technology</w:t>
      </w:r>
      <w:r>
        <w:t>, in relation to a local government, means the technology by means of which recordings of meetings of its council are, or are to be, made under regulation 14I(1)(a);</w:t>
      </w:r>
    </w:p>
    <w:p>
      <w:pPr>
        <w:pStyle w:val="Defstart"/>
      </w:pPr>
      <w:r>
        <w:tab/>
      </w:r>
      <w:r>
        <w:rPr>
          <w:rStyle w:val="CharDefText"/>
        </w:rPr>
        <w:t>usual meeting place</w:t>
      </w:r>
      <w:r>
        <w:t>, in relation to a council, means the place at which its meetings (other than electronic meetings) are, or are to be, usually held.</w:t>
      </w:r>
    </w:p>
    <w:p>
      <w:pPr>
        <w:pStyle w:val="Subsection"/>
      </w:pPr>
      <w:r>
        <w:tab/>
        <w:t>(2)</w:t>
      </w:r>
      <w:r>
        <w:tab/>
        <w:t xml:space="preserve">For the purposes of this Part, a local government makes a video recording </w:t>
      </w:r>
      <w:r>
        <w:rPr>
          <w:rStyle w:val="CharDefText"/>
        </w:rPr>
        <w:t>publicly available</w:t>
      </w:r>
      <w:r>
        <w:t xml:space="preserve"> by making a copy of the recording publicly available for viewing (with audio)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(3)</w:t>
      </w:r>
      <w:r>
        <w:tab/>
        <w:t xml:space="preserve">For the purposes of this Part, a local government makes an audio only recording </w:t>
      </w:r>
      <w:r>
        <w:rPr>
          <w:rStyle w:val="CharDefText"/>
        </w:rPr>
        <w:t>publicly available</w:t>
      </w:r>
      <w:r>
        <w:t xml:space="preserve"> by making a copy of the recording publicly available for listening to — </w:t>
      </w:r>
    </w:p>
    <w:p>
      <w:pPr>
        <w:pStyle w:val="Indenta"/>
      </w:pPr>
      <w:r>
        <w:tab/>
        <w:t>(a)</w:t>
      </w:r>
      <w:r>
        <w:tab/>
        <w:t>on its official website; or</w:t>
      </w:r>
    </w:p>
    <w:p>
      <w:pPr>
        <w:pStyle w:val="Indenta"/>
      </w:pPr>
      <w:r>
        <w:tab/>
        <w:t>(b)</w:t>
      </w:r>
      <w:r>
        <w:tab/>
        <w:t>on another website a link to which is publicly provided on its official website.</w:t>
      </w:r>
    </w:p>
    <w:p>
      <w:pPr>
        <w:pStyle w:val="Subsection"/>
      </w:pPr>
      <w:r>
        <w:tab/>
        <w:t>(4)</w:t>
      </w:r>
      <w:r>
        <w:tab/>
        <w:t xml:space="preserve">For the purposes of subregulations (2) and (3), the quality of the copy of the recording — </w:t>
      </w:r>
    </w:p>
    <w:p>
      <w:pPr>
        <w:pStyle w:val="Indenta"/>
      </w:pPr>
      <w:r>
        <w:tab/>
        <w:t>(a)</w:t>
      </w:r>
      <w:r>
        <w:tab/>
        <w:t>must be substantially the same as the quality of the recording; and</w:t>
      </w:r>
    </w:p>
    <w:p>
      <w:pPr>
        <w:pStyle w:val="Indenta"/>
      </w:pPr>
      <w:r>
        <w:tab/>
        <w:t>(b)</w:t>
      </w:r>
      <w:r>
        <w:tab/>
        <w:t>without limiting paragraph (a), must meet the requirement of regulation 14I(2)(b) or (c) (as applicable), subject to regulation 14I(5)(b) if the recording is an improvised recording.</w:t>
      </w:r>
    </w:p>
    <w:p>
      <w:pPr>
        <w:pStyle w:val="PermNoteHeading"/>
      </w:pPr>
      <w:r>
        <w:tab/>
        <w:t>Note for this regulation:</w:t>
      </w:r>
    </w:p>
    <w:p>
      <w:pPr>
        <w:pStyle w:val="PermNoteText"/>
      </w:pPr>
      <w:r>
        <w:tab/>
      </w:r>
      <w:r>
        <w:tab/>
        <w:t xml:space="preserve">In this Part, </w:t>
      </w:r>
      <w:r>
        <w:rPr>
          <w:b/>
          <w:i/>
        </w:rPr>
        <w:t>class 1 local government</w:t>
      </w:r>
      <w:r>
        <w:t xml:space="preserve"> and </w:t>
      </w:r>
      <w:r>
        <w:rPr>
          <w:b/>
          <w:i/>
        </w:rPr>
        <w:t>class 2 local government</w:t>
      </w:r>
      <w:r>
        <w:t xml:space="preserve"> have the meanings given in the </w:t>
      </w:r>
      <w:r>
        <w:rPr>
          <w:i/>
        </w:rPr>
        <w:t>Local Government (Constitution) Regulations 1998</w:t>
      </w:r>
      <w:r>
        <w:t xml:space="preserve"> regulations 2A and 2B.</w:t>
      </w:r>
    </w:p>
    <w:p>
      <w:pPr>
        <w:pStyle w:val="Footnotesection"/>
      </w:pPr>
      <w:r>
        <w:tab/>
        <w:t>[Regulation 14G inserted: SL 2023/158 r. 5.]</w:t>
      </w:r>
    </w:p>
    <w:p>
      <w:pPr>
        <w:pStyle w:val="Heading5"/>
      </w:pPr>
      <w:bookmarkStart w:id="37" w:name="_Toc181173271"/>
      <w:r>
        <w:rPr>
          <w:rStyle w:val="CharSectno"/>
        </w:rPr>
        <w:lastRenderedPageBreak/>
        <w:t>14H</w:t>
      </w:r>
      <w:r>
        <w:t>.</w:t>
      </w:r>
      <w:r>
        <w:tab/>
        <w:t>Class 1 local governments and class 2 local governments to broadcast council meetings publicly</w:t>
      </w:r>
      <w:bookmarkEnd w:id="37"/>
    </w:p>
    <w:p>
      <w:pPr>
        <w:pStyle w:val="Subsection"/>
      </w:pPr>
      <w:r>
        <w:tab/>
        <w:t>(1)</w:t>
      </w:r>
      <w:r>
        <w:tab/>
        <w:t>This regulation applies to a local government only if the local government is a class 1 local government or a class 2 local government.</w:t>
      </w:r>
    </w:p>
    <w:p>
      <w:pPr>
        <w:pStyle w:val="Subsection"/>
      </w:pPr>
      <w:r>
        <w:tab/>
        <w:t>(2)</w:t>
      </w:r>
      <w:r>
        <w:tab/>
        <w:t xml:space="preserve">A local government must, in accordance with subregulation (3), publicly broadcast every meeting of its council that — </w:t>
      </w:r>
    </w:p>
    <w:p>
      <w:pPr>
        <w:pStyle w:val="Indenta"/>
      </w:pPr>
      <w:r>
        <w:tab/>
        <w:t>(a)</w:t>
      </w:r>
      <w:r>
        <w:tab/>
        <w:t>is held at the council’s usual meeting place; or</w:t>
      </w:r>
    </w:p>
    <w:p>
      <w:pPr>
        <w:pStyle w:val="Indenta"/>
      </w:pPr>
      <w:r>
        <w:tab/>
        <w:t>(b)</w:t>
      </w:r>
      <w:r>
        <w:tab/>
        <w:t>is an electronic meeting.</w:t>
      </w:r>
    </w:p>
    <w:p>
      <w:pPr>
        <w:pStyle w:val="Subsection"/>
      </w:pPr>
      <w:r>
        <w:tab/>
        <w:t>(3)</w:t>
      </w:r>
      <w:r>
        <w:tab/>
        <w:t xml:space="preserve">For the purposes of subregulation (2) — </w:t>
      </w:r>
    </w:p>
    <w:p>
      <w:pPr>
        <w:pStyle w:val="Indenta"/>
      </w:pPr>
      <w:r>
        <w:tab/>
        <w:t>(a)</w:t>
      </w:r>
      <w:r>
        <w:tab/>
        <w:t>the broadcast must be live (with only so much of a delay as is inherent in live broadcasting by means of the local government’s broadcast technology); and</w:t>
      </w:r>
    </w:p>
    <w:p>
      <w:pPr>
        <w:pStyle w:val="Indenta"/>
      </w:pPr>
      <w:r>
        <w:tab/>
        <w:t>(b)</w:t>
      </w:r>
      <w:r>
        <w:tab/>
        <w:t xml:space="preserve">the broadcast must be on — </w:t>
      </w:r>
    </w:p>
    <w:p>
      <w:pPr>
        <w:pStyle w:val="Indenti"/>
      </w:pPr>
      <w:r>
        <w:tab/>
        <w:t>(i)</w:t>
      </w:r>
      <w:r>
        <w:tab/>
        <w:t>the local government’s official website; or</w:t>
      </w:r>
    </w:p>
    <w:p>
      <w:pPr>
        <w:pStyle w:val="Indenti"/>
      </w:pPr>
      <w:r>
        <w:tab/>
        <w:t>(ii)</w:t>
      </w:r>
      <w:r>
        <w:tab/>
        <w:t>another website a link to which is publicly provided on the local government’s official website;</w:t>
      </w:r>
    </w:p>
    <w:p>
      <w:pPr>
        <w:pStyle w:val="Indenta"/>
      </w:pPr>
      <w:r>
        <w:tab/>
      </w:r>
      <w:r>
        <w:tab/>
        <w:t>and</w:t>
      </w:r>
    </w:p>
    <w:p>
      <w:pPr>
        <w:pStyle w:val="Indenta"/>
      </w:pPr>
      <w:r>
        <w:tab/>
        <w:t>(c)</w:t>
      </w:r>
      <w:r>
        <w:tab/>
        <w:t>the broadcast must be both visual and audio; and</w:t>
      </w:r>
    </w:p>
    <w:p>
      <w:pPr>
        <w:pStyle w:val="Indenta"/>
      </w:pPr>
      <w:r>
        <w:tab/>
        <w:t>(d)</w:t>
      </w:r>
      <w:r>
        <w:tab/>
        <w:t>the quality of the broadcast must be sufficient to allow persons effectively to watch and listen to the deliberations and communications that are part of the meeting’s proceedings.</w:t>
      </w:r>
    </w:p>
    <w:p>
      <w:pPr>
        <w:pStyle w:val="Subsection"/>
      </w:pPr>
      <w:r>
        <w:tab/>
        <w:t>(4)</w:t>
      </w:r>
      <w:r>
        <w:tab/>
        <w:t>Despite subregulation (2), a council’s meeting, or a part of a council’s meeting, may be held without being publicly broadcast if, because of a technological failure beyond the control of the local government, it is not possible</w:t>
      </w:r>
      <w:r>
        <w:rPr>
          <w:b/>
        </w:rPr>
        <w:t xml:space="preserve"> </w:t>
      </w:r>
      <w:r>
        <w:t>for the meeting or part (as the case requires) to be publicly broadcast by means of the local government’s broadcast technology.</w:t>
      </w:r>
    </w:p>
    <w:p>
      <w:pPr>
        <w:pStyle w:val="Subsection"/>
      </w:pPr>
      <w:r>
        <w:lastRenderedPageBreak/>
        <w:tab/>
        <w:t>(5)</w:t>
      </w:r>
      <w:r>
        <w:tab/>
        <w:t>Despite subregulation (2), a local government must not publicly broadcast any closed proceedings of its council.</w:t>
      </w:r>
    </w:p>
    <w:p>
      <w:pPr>
        <w:pStyle w:val="Footnotesection"/>
      </w:pPr>
      <w:r>
        <w:tab/>
        <w:t>[Regulation 14H inserted: SL 2023/158 r. 5.]</w:t>
      </w:r>
    </w:p>
    <w:p>
      <w:pPr>
        <w:pStyle w:val="Heading5"/>
      </w:pPr>
      <w:bookmarkStart w:id="38" w:name="_Toc181173272"/>
      <w:r>
        <w:rPr>
          <w:rStyle w:val="CharSectno"/>
        </w:rPr>
        <w:t>14I</w:t>
      </w:r>
      <w:r>
        <w:t>.</w:t>
      </w:r>
      <w:r>
        <w:tab/>
        <w:t>Local governments to make recordings of council meetings</w:t>
      </w:r>
      <w:bookmarkEnd w:id="38"/>
    </w:p>
    <w:p>
      <w:pPr>
        <w:pStyle w:val="Subsection"/>
      </w:pPr>
      <w:r>
        <w:tab/>
        <w:t>(1)</w:t>
      </w:r>
      <w:r>
        <w:tab/>
        <w:t xml:space="preserve">A local government must — </w:t>
      </w:r>
    </w:p>
    <w:p>
      <w:pPr>
        <w:pStyle w:val="Indenta"/>
      </w:pPr>
      <w:r>
        <w:tab/>
        <w:t>(a)</w:t>
      </w:r>
      <w:r>
        <w:tab/>
        <w:t>make a recording of every meeting of its council in accordance with subregulation (2); and</w:t>
      </w:r>
    </w:p>
    <w:p>
      <w:pPr>
        <w:pStyle w:val="Indenta"/>
      </w:pPr>
      <w:r>
        <w:tab/>
        <w:t>(b)</w:t>
      </w:r>
      <w:r>
        <w:tab/>
        <w:t xml:space="preserve">make the recording publicly available — </w:t>
      </w:r>
    </w:p>
    <w:p>
      <w:pPr>
        <w:pStyle w:val="Indenti"/>
      </w:pPr>
      <w:r>
        <w:tab/>
        <w:t>(i)</w:t>
      </w:r>
      <w:r>
        <w:tab/>
        <w:t>within 14 days after the meeting day; and</w:t>
      </w:r>
    </w:p>
    <w:p>
      <w:pPr>
        <w:pStyle w:val="Indenti"/>
      </w:pPr>
      <w:r>
        <w:tab/>
        <w:t>(ii)</w:t>
      </w:r>
      <w:r>
        <w:tab/>
        <w:t>until, at least, the end of the period of 5 years after the meeting day;</w:t>
      </w:r>
    </w:p>
    <w:p>
      <w:pPr>
        <w:pStyle w:val="Indenta"/>
      </w:pPr>
      <w:r>
        <w:tab/>
      </w:r>
      <w:r>
        <w:tab/>
        <w:t>and</w:t>
      </w:r>
    </w:p>
    <w:p>
      <w:pPr>
        <w:pStyle w:val="Indenta"/>
      </w:pPr>
      <w:r>
        <w:tab/>
        <w:t>(c)</w:t>
      </w:r>
      <w:r>
        <w:tab/>
        <w:t>retain the recording until, at least, the end of the period of 5 years after the meeting day; and</w:t>
      </w:r>
    </w:p>
    <w:p>
      <w:pPr>
        <w:pStyle w:val="Indenta"/>
      </w:pPr>
      <w:r>
        <w:tab/>
        <w:t>(d)</w:t>
      </w:r>
      <w:r>
        <w:tab/>
        <w:t xml:space="preserve">provide a copy of the recording to the Departmental CEO if the Departmental CEO requests a copy under subregulation (11)(a) during — </w:t>
      </w:r>
    </w:p>
    <w:p>
      <w:pPr>
        <w:pStyle w:val="Indenti"/>
      </w:pPr>
      <w:r>
        <w:tab/>
        <w:t>(i)</w:t>
      </w:r>
      <w:r>
        <w:tab/>
        <w:t>the period of 5 years after the meeting day; or</w:t>
      </w:r>
    </w:p>
    <w:p>
      <w:pPr>
        <w:pStyle w:val="Indenti"/>
      </w:pPr>
      <w:r>
        <w:tab/>
        <w:t>(ii)</w:t>
      </w:r>
      <w:r>
        <w:tab/>
        <w:t>any longer period during which the local government retains the recording or any copy of it.</w:t>
      </w:r>
    </w:p>
    <w:p>
      <w:pPr>
        <w:pStyle w:val="Subsection"/>
      </w:pPr>
      <w:r>
        <w:tab/>
        <w:t>(2)</w:t>
      </w:r>
      <w:r>
        <w:tab/>
        <w:t xml:space="preserve">For the purposes of subregulation (1)(a) — </w:t>
      </w:r>
    </w:p>
    <w:p>
      <w:pPr>
        <w:pStyle w:val="Indenta"/>
      </w:pPr>
      <w:r>
        <w:tab/>
        <w:t>(a)</w:t>
      </w:r>
      <w:r>
        <w:tab/>
        <w:t xml:space="preserve">if the meeting is a meeting of the council of a class 1 local government or class 2 local government — the recording must be a video recording (with audio), except that the recording may be an audio only recording — </w:t>
      </w:r>
    </w:p>
    <w:p>
      <w:pPr>
        <w:pStyle w:val="Indenti"/>
      </w:pPr>
      <w:r>
        <w:tab/>
        <w:t>(i)</w:t>
      </w:r>
      <w:r>
        <w:tab/>
        <w:t>if the meeting is not held at the council’s usual meeting place and is not an electronic meeting; or</w:t>
      </w:r>
    </w:p>
    <w:p>
      <w:pPr>
        <w:pStyle w:val="Indenti"/>
        <w:keepNext/>
      </w:pPr>
      <w:r>
        <w:lastRenderedPageBreak/>
        <w:tab/>
        <w:t>(ii)</w:t>
      </w:r>
      <w:r>
        <w:tab/>
        <w:t>to the extent that the recording is of closed proceedings of the council;</w:t>
      </w:r>
    </w:p>
    <w:p>
      <w:pPr>
        <w:pStyle w:val="Indenta"/>
      </w:pPr>
      <w:r>
        <w:tab/>
      </w:r>
      <w:r>
        <w:tab/>
        <w:t>and</w:t>
      </w:r>
    </w:p>
    <w:p>
      <w:pPr>
        <w:pStyle w:val="Indenta"/>
      </w:pPr>
      <w:r>
        <w:tab/>
        <w:t>(b)</w:t>
      </w:r>
      <w:r>
        <w:tab/>
        <w:t>if, or to the extent that, the recording is a video recording (with audio) — the quality of the recording must be sufficient to allow persons effectively to watch and listen to the deliberations and communications that are part of the meeting’s proceedings; and</w:t>
      </w:r>
    </w:p>
    <w:p>
      <w:pPr>
        <w:pStyle w:val="Indenta"/>
      </w:pPr>
      <w:r>
        <w:tab/>
        <w:t>(c)</w:t>
      </w:r>
      <w:r>
        <w:tab/>
        <w:t>if, or to the extent that, the recording is an audio only recording — the quality of the recording must be sufficient to allow persons effectively to listen to the deliberations and communications that are part of the meeting’s proceedings.</w:t>
      </w:r>
    </w:p>
    <w:p>
      <w:pPr>
        <w:pStyle w:val="Subsection"/>
      </w:pPr>
      <w:r>
        <w:tab/>
        <w:t>(3)</w:t>
      </w:r>
      <w:r>
        <w:tab/>
        <w:t>Subregulation (4) applies to a council’s meeting, or a part of a council’s meeting, if, because of a technological failure beyond the control of the local government, it is not possible</w:t>
      </w:r>
      <w:r>
        <w:rPr>
          <w:b/>
        </w:rPr>
        <w:t xml:space="preserve"> </w:t>
      </w:r>
      <w:r>
        <w:t>for a recording of the meeting or part (as the case requires) to be made by means of the local government’s recording technology.</w:t>
      </w:r>
    </w:p>
    <w:p>
      <w:pPr>
        <w:pStyle w:val="Subsection"/>
      </w:pPr>
      <w:r>
        <w:tab/>
        <w:t>(4)</w:t>
      </w:r>
      <w:r>
        <w:tab/>
        <w:t xml:space="preserve">Despite subregulation (1)(a), the meeting or part may be held so long as the local government does everything that is reasonably practicable to make a recording (an </w:t>
      </w:r>
      <w:r>
        <w:rPr>
          <w:rStyle w:val="CharDefText"/>
        </w:rPr>
        <w:t>improvised recording</w:t>
      </w:r>
      <w:r>
        <w:t>) of the meeting or part by means other than the local government’s recording technology.</w:t>
      </w:r>
    </w:p>
    <w:p>
      <w:pPr>
        <w:pStyle w:val="Subsection"/>
      </w:pPr>
      <w:r>
        <w:tab/>
        <w:t>(5)</w:t>
      </w:r>
      <w:r>
        <w:tab/>
        <w:t xml:space="preserve">An improvised recording must — </w:t>
      </w:r>
    </w:p>
    <w:p>
      <w:pPr>
        <w:pStyle w:val="Indenta"/>
      </w:pPr>
      <w:r>
        <w:tab/>
        <w:t>(a)</w:t>
      </w:r>
      <w:r>
        <w:tab/>
        <w:t>cover as much of the meeting or part as it is reasonably practicable to cover; and</w:t>
      </w:r>
    </w:p>
    <w:p>
      <w:pPr>
        <w:pStyle w:val="Indenta"/>
      </w:pPr>
      <w:r>
        <w:tab/>
        <w:t>(b)</w:t>
      </w:r>
      <w:r>
        <w:tab/>
        <w:t>meet the requirement of subregulation (2)(b) or (c) (as applicable) to the extent reasonably practicable.</w:t>
      </w:r>
    </w:p>
    <w:p>
      <w:pPr>
        <w:pStyle w:val="Subsection"/>
      </w:pPr>
      <w:r>
        <w:tab/>
        <w:t>(6)</w:t>
      </w:r>
      <w:r>
        <w:tab/>
        <w:t xml:space="preserve">If a meeting or part is held under subregulation (4) and an improvised recording is made — </w:t>
      </w:r>
    </w:p>
    <w:p>
      <w:pPr>
        <w:pStyle w:val="Indenta"/>
      </w:pPr>
      <w:r>
        <w:tab/>
        <w:t>(a)</w:t>
      </w:r>
      <w:r>
        <w:tab/>
        <w:t>subregulation (1)(b) to (d) apply to the improvised recording; and</w:t>
      </w:r>
    </w:p>
    <w:p>
      <w:pPr>
        <w:pStyle w:val="Indenta"/>
      </w:pPr>
      <w:r>
        <w:lastRenderedPageBreak/>
        <w:tab/>
        <w:t>(b)</w:t>
      </w:r>
      <w:r>
        <w:tab/>
        <w:t xml:space="preserve">the local government must publish on its official website, for the period during which it makes the improvised recording publicly available under subregulation (1)(b), a notice that does the following in effect — </w:t>
      </w:r>
    </w:p>
    <w:p>
      <w:pPr>
        <w:pStyle w:val="Indenti"/>
      </w:pPr>
      <w:r>
        <w:tab/>
        <w:t>(i)</w:t>
      </w:r>
      <w:r>
        <w:tab/>
        <w:t>states that it was not possible for a recording of the meeting or part to be made by means of the local government’s recording technology and explains why that was the case;</w:t>
      </w:r>
    </w:p>
    <w:p>
      <w:pPr>
        <w:pStyle w:val="Indenti"/>
      </w:pPr>
      <w:r>
        <w:tab/>
        <w:t>(ii)</w:t>
      </w:r>
      <w:r>
        <w:tab/>
        <w:t>states that the improvised recording was made by means other than the local government’s recording technology;</w:t>
      </w:r>
    </w:p>
    <w:p>
      <w:pPr>
        <w:pStyle w:val="Indenti"/>
      </w:pPr>
      <w:r>
        <w:tab/>
        <w:t>(iii)</w:t>
      </w:r>
      <w:r>
        <w:tab/>
        <w:t>states the means by which the improvised recording was made;</w:t>
      </w:r>
    </w:p>
    <w:p>
      <w:pPr>
        <w:pStyle w:val="Indenti"/>
      </w:pPr>
      <w:r>
        <w:tab/>
        <w:t>(iv)</w:t>
      </w:r>
      <w:r>
        <w:tab/>
        <w:t>states any deficiencies in the improvised recording and explains the reasons for them.</w:t>
      </w:r>
    </w:p>
    <w:p>
      <w:pPr>
        <w:pStyle w:val="PermNoteHeading"/>
      </w:pPr>
      <w:r>
        <w:tab/>
        <w:t>Examples for this subparagraph:</w:t>
      </w:r>
    </w:p>
    <w:p>
      <w:pPr>
        <w:pStyle w:val="PermNoteText"/>
      </w:pPr>
      <w:r>
        <w:tab/>
        <w:t>1.</w:t>
      </w:r>
      <w:r>
        <w:tab/>
        <w:t>The improvised recording is deficient if it does not cover the whole of the meeting or part.</w:t>
      </w:r>
    </w:p>
    <w:p>
      <w:pPr>
        <w:pStyle w:val="PermNoteText"/>
      </w:pPr>
      <w:r>
        <w:tab/>
        <w:t>2.</w:t>
      </w:r>
      <w:r>
        <w:tab/>
        <w:t>The improvised recording is deficient if it does not meet the requirement of subregulation (2)(b) or (c) (as applicable).</w:t>
      </w:r>
    </w:p>
    <w:p>
      <w:pPr>
        <w:pStyle w:val="Subsection"/>
      </w:pPr>
      <w:r>
        <w:tab/>
        <w:t>(7)</w:t>
      </w:r>
      <w:r>
        <w:tab/>
        <w:t xml:space="preserve">Subregulation (8) applies if — </w:t>
      </w:r>
    </w:p>
    <w:p>
      <w:pPr>
        <w:pStyle w:val="Indenta"/>
      </w:pPr>
      <w:r>
        <w:tab/>
        <w:t>(a)</w:t>
      </w:r>
      <w:r>
        <w:tab/>
        <w:t>a meeting or part is held under subregulation (4); but</w:t>
      </w:r>
    </w:p>
    <w:p>
      <w:pPr>
        <w:pStyle w:val="Indenta"/>
      </w:pPr>
      <w:r>
        <w:tab/>
        <w:t>(b)</w:t>
      </w:r>
      <w:r>
        <w:tab/>
        <w:t>no improvised recording is made because it is not reasonably practicable for the local government to make any improvised recording.</w:t>
      </w:r>
    </w:p>
    <w:p>
      <w:pPr>
        <w:pStyle w:val="Subsection"/>
      </w:pPr>
      <w:r>
        <w:tab/>
        <w:t>(8)</w:t>
      </w:r>
      <w:r>
        <w:tab/>
        <w:t xml:space="preserve">The local government must publish on its official website, in accordance with the timings in subregulation (1)(b)(i) and (ii), a notice that does the following in effect — </w:t>
      </w:r>
    </w:p>
    <w:p>
      <w:pPr>
        <w:pStyle w:val="Indenta"/>
      </w:pPr>
      <w:r>
        <w:tab/>
        <w:t>(a)</w:t>
      </w:r>
      <w:r>
        <w:tab/>
        <w:t>states that it was not possible for a recording of the meeting or part to be made by means of the local government’s recording technology and explains why that was the case;</w:t>
      </w:r>
    </w:p>
    <w:p>
      <w:pPr>
        <w:pStyle w:val="Indenta"/>
      </w:pPr>
      <w:r>
        <w:lastRenderedPageBreak/>
        <w:tab/>
        <w:t>(b)</w:t>
      </w:r>
      <w:r>
        <w:tab/>
        <w:t>states that no improvised recording was made;</w:t>
      </w:r>
    </w:p>
    <w:p>
      <w:pPr>
        <w:pStyle w:val="Indenta"/>
      </w:pPr>
      <w:r>
        <w:tab/>
        <w:t>(c)</w:t>
      </w:r>
      <w:r>
        <w:tab/>
        <w:t>states that it was not reasonably practicable for the local government to make any improvised recording and explains why that was the case.</w:t>
      </w:r>
    </w:p>
    <w:p>
      <w:pPr>
        <w:pStyle w:val="Subsection"/>
      </w:pPr>
      <w:r>
        <w:tab/>
        <w:t>(9)</w:t>
      </w:r>
      <w:r>
        <w:tab/>
        <w:t xml:space="preserve">If a part of a meeting is held under subregulation (4) — </w:t>
      </w:r>
    </w:p>
    <w:p>
      <w:pPr>
        <w:pStyle w:val="Indenta"/>
      </w:pPr>
      <w:r>
        <w:tab/>
        <w:t>(a)</w:t>
      </w:r>
      <w:r>
        <w:tab/>
        <w:t>the local government must make a recording of the rest of the meeting under subregulation (1)(a) by means of the local government’s recording technology; and</w:t>
      </w:r>
    </w:p>
    <w:p>
      <w:pPr>
        <w:pStyle w:val="Indenta"/>
      </w:pPr>
      <w:r>
        <w:tab/>
        <w:t>(b)</w:t>
      </w:r>
      <w:r>
        <w:tab/>
        <w:t>subregulation (1)(b) to (d) apply to that recording accordingly.</w:t>
      </w:r>
    </w:p>
    <w:p>
      <w:pPr>
        <w:pStyle w:val="Subsection"/>
      </w:pPr>
      <w:r>
        <w:tab/>
        <w:t>(10)</w:t>
      </w:r>
      <w:r>
        <w:tab/>
        <w:t>Despite subregulation (1)(b), a local government must not make a recording publicly available to the extent that the recording is of closed proceedings of its council.</w:t>
      </w:r>
    </w:p>
    <w:p>
      <w:pPr>
        <w:pStyle w:val="PermNoteHeading"/>
      </w:pPr>
      <w:r>
        <w:tab/>
        <w:t>Note for this subregulation:</w:t>
      </w:r>
    </w:p>
    <w:p>
      <w:pPr>
        <w:pStyle w:val="PermNoteText"/>
      </w:pPr>
      <w:r>
        <w:tab/>
      </w:r>
      <w:r>
        <w:tab/>
        <w:t>This subregulation does not affect a local government’s duty to make a recording under subregulation (1)(a) of any closed proceedings of its council, to retain the recording under subregulation (1)(c) and to provide a copy of the recording to the Departmental CEO under subregulation (1)(d) if requested under subregulation (11)(a).</w:t>
      </w:r>
    </w:p>
    <w:p>
      <w:pPr>
        <w:pStyle w:val="Subsection"/>
      </w:pPr>
      <w:r>
        <w:tab/>
        <w:t>(11)</w:t>
      </w:r>
      <w:r>
        <w:tab/>
        <w:t xml:space="preserve">For the purposes of subregulation (1)(d) — </w:t>
      </w:r>
    </w:p>
    <w:p>
      <w:pPr>
        <w:pStyle w:val="Indenta"/>
      </w:pPr>
      <w:r>
        <w:tab/>
        <w:t>(a)</w:t>
      </w:r>
      <w:r>
        <w:tab/>
        <w:t>the Departmental CEO may request a copy of the recording for the purpose of obtaining information about a matter concerning the local government or its operations or affairs; and</w:t>
      </w:r>
    </w:p>
    <w:p>
      <w:pPr>
        <w:pStyle w:val="Indenta"/>
      </w:pPr>
      <w:r>
        <w:tab/>
        <w:t>(b)</w:t>
      </w:r>
      <w:r>
        <w:tab/>
        <w:t xml:space="preserve">the quality of the copy provided to the Departmental CEO — </w:t>
      </w:r>
    </w:p>
    <w:p>
      <w:pPr>
        <w:pStyle w:val="Indenti"/>
      </w:pPr>
      <w:r>
        <w:tab/>
        <w:t>(i)</w:t>
      </w:r>
      <w:r>
        <w:tab/>
        <w:t>must be substantially the same as the quality of the recording; and</w:t>
      </w:r>
    </w:p>
    <w:p>
      <w:pPr>
        <w:pStyle w:val="Indenti"/>
      </w:pPr>
      <w:r>
        <w:tab/>
        <w:t>(ii)</w:t>
      </w:r>
      <w:r>
        <w:tab/>
        <w:t>without limiting subparagraph (i), must meet the requirement of subregulation (2)(b) or (c) (as applicable), subject to subregulation (5)(b) if the recording is an improvised recording.</w:t>
      </w:r>
    </w:p>
    <w:p>
      <w:pPr>
        <w:pStyle w:val="Footnotesection"/>
      </w:pPr>
      <w:r>
        <w:tab/>
        <w:t>[Regulation 14I inserted: SL 2023/158 r. 5.]</w:t>
      </w:r>
    </w:p>
    <w:p>
      <w:pPr>
        <w:pStyle w:val="Heading5"/>
      </w:pPr>
      <w:bookmarkStart w:id="39" w:name="_Toc181173273"/>
      <w:r>
        <w:rPr>
          <w:rStyle w:val="CharSectno"/>
        </w:rPr>
        <w:lastRenderedPageBreak/>
        <w:t>14J</w:t>
      </w:r>
      <w:r>
        <w:t>.</w:t>
      </w:r>
      <w:r>
        <w:tab/>
        <w:t>Informing members of public of broadcasting or recording</w:t>
      </w:r>
      <w:bookmarkEnd w:id="39"/>
    </w:p>
    <w:p>
      <w:pPr>
        <w:pStyle w:val="Subsection"/>
      </w:pPr>
      <w:r>
        <w:tab/>
      </w:r>
      <w:r>
        <w:tab/>
        <w:t xml:space="preserve">A local government must take reasonable steps to ensure that members of the public attending a meeting of its council are informed beforehand of the following, as applicable — </w:t>
      </w:r>
    </w:p>
    <w:p>
      <w:pPr>
        <w:pStyle w:val="Indenta"/>
      </w:pPr>
      <w:r>
        <w:tab/>
        <w:t>(a)</w:t>
      </w:r>
      <w:r>
        <w:tab/>
        <w:t>that the meeting will be publicly broadcast;</w:t>
      </w:r>
    </w:p>
    <w:p>
      <w:pPr>
        <w:pStyle w:val="Indenta"/>
      </w:pPr>
      <w:r>
        <w:tab/>
        <w:t>(b)</w:t>
      </w:r>
      <w:r>
        <w:tab/>
        <w:t>that a recording of the meeting will be made.</w:t>
      </w:r>
    </w:p>
    <w:p>
      <w:pPr>
        <w:pStyle w:val="PermNoteHeading"/>
      </w:pPr>
      <w:r>
        <w:tab/>
        <w:t>Example for this regulation:</w:t>
      </w:r>
    </w:p>
    <w:p>
      <w:pPr>
        <w:pStyle w:val="PermNoteText"/>
      </w:pPr>
      <w:r>
        <w:tab/>
      </w:r>
      <w:r>
        <w:tab/>
        <w:t>Members of the public could be informed by means of a notice displayed in a prominent place near or inside the meeting room.</w:t>
      </w:r>
    </w:p>
    <w:p>
      <w:pPr>
        <w:pStyle w:val="Footnotesection"/>
      </w:pPr>
      <w:r>
        <w:tab/>
        <w:t>[Regulation 14J inserted: SL 2023/158 r. 5.]</w:t>
      </w:r>
    </w:p>
    <w:p>
      <w:pPr>
        <w:pStyle w:val="Heading5"/>
      </w:pPr>
      <w:bookmarkStart w:id="40" w:name="_Toc181173274"/>
      <w:r>
        <w:rPr>
          <w:rStyle w:val="CharSectno"/>
        </w:rPr>
        <w:t>14K</w:t>
      </w:r>
      <w:r>
        <w:t>.</w:t>
      </w:r>
      <w:r>
        <w:tab/>
        <w:t>Defamation</w:t>
      </w:r>
      <w:bookmarkEnd w:id="40"/>
    </w:p>
    <w:p>
      <w:pPr>
        <w:pStyle w:val="Subsection"/>
      </w:pPr>
      <w:r>
        <w:tab/>
        <w:t>(1)</w:t>
      </w:r>
      <w:r>
        <w:tab/>
        <w:t xml:space="preserve">A local government is not liable to an action for defamation in relation to any of the following done by the local government as required or authorised under this Part — </w:t>
      </w:r>
    </w:p>
    <w:p>
      <w:pPr>
        <w:pStyle w:val="Indenta"/>
      </w:pPr>
      <w:r>
        <w:tab/>
        <w:t>(a)</w:t>
      </w:r>
      <w:r>
        <w:tab/>
        <w:t>publicly broadcasting a meeting;</w:t>
      </w:r>
    </w:p>
    <w:p>
      <w:pPr>
        <w:pStyle w:val="Indenta"/>
      </w:pPr>
      <w:r>
        <w:tab/>
        <w:t>(b)</w:t>
      </w:r>
      <w:r>
        <w:tab/>
        <w:t>making a recording of a meeting;</w:t>
      </w:r>
    </w:p>
    <w:p>
      <w:pPr>
        <w:pStyle w:val="Indenta"/>
      </w:pPr>
      <w:r>
        <w:tab/>
        <w:t>(c)</w:t>
      </w:r>
      <w:r>
        <w:tab/>
        <w:t>making a recording of a meeting publicly available;</w:t>
      </w:r>
    </w:p>
    <w:p>
      <w:pPr>
        <w:pStyle w:val="Indenta"/>
      </w:pPr>
      <w:r>
        <w:tab/>
        <w:t>(d)</w:t>
      </w:r>
      <w:r>
        <w:tab/>
        <w:t>retaining a recording of a meeting or a copy of a recording;</w:t>
      </w:r>
    </w:p>
    <w:p>
      <w:pPr>
        <w:pStyle w:val="Indenta"/>
      </w:pPr>
      <w:r>
        <w:tab/>
        <w:t>(e)</w:t>
      </w:r>
      <w:r>
        <w:tab/>
        <w:t>providing a copy of a recording of a meeting to the Departmental CEO.</w:t>
      </w:r>
    </w:p>
    <w:p>
      <w:pPr>
        <w:pStyle w:val="Subsection"/>
      </w:pPr>
      <w:r>
        <w:tab/>
        <w:t>(2)</w:t>
      </w:r>
      <w:r>
        <w:tab/>
        <w:t>In subregulation (1), references to a meeting include a part of a meeting.</w:t>
      </w:r>
    </w:p>
    <w:p>
      <w:pPr>
        <w:pStyle w:val="Footnotesection"/>
      </w:pPr>
      <w:r>
        <w:tab/>
        <w:t>[Regulation 14K inserted: SL 2023/158 r. 5.]</w:t>
      </w:r>
    </w:p>
    <w:p>
      <w:pPr>
        <w:pStyle w:val="Heading2"/>
      </w:pPr>
      <w:bookmarkStart w:id="41" w:name="_Toc180768266"/>
      <w:bookmarkStart w:id="42" w:name="_Toc180769006"/>
      <w:bookmarkStart w:id="43" w:name="_Toc181173275"/>
      <w:r>
        <w:rPr>
          <w:rStyle w:val="CharPartNo"/>
        </w:rPr>
        <w:lastRenderedPageBreak/>
        <w:t>Part 3</w:t>
      </w:r>
      <w:r>
        <w:rPr>
          <w:rStyle w:val="CharDivNo"/>
        </w:rPr>
        <w:t> </w:t>
      </w:r>
      <w:r>
        <w:t>—</w:t>
      </w:r>
      <w:r>
        <w:rPr>
          <w:rStyle w:val="CharDivText"/>
        </w:rPr>
        <w:t> </w:t>
      </w:r>
      <w:r>
        <w:rPr>
          <w:rStyle w:val="CharPartText"/>
        </w:rPr>
        <w:t>Electors’ meetings</w:t>
      </w:r>
      <w:bookmarkEnd w:id="41"/>
      <w:bookmarkEnd w:id="42"/>
      <w:bookmarkEnd w:id="43"/>
    </w:p>
    <w:p>
      <w:pPr>
        <w:pStyle w:val="Footnoteheading"/>
      </w:pPr>
      <w:r>
        <w:tab/>
        <w:t>[Heading inserted: Gazette 26 Aug 2011 p. 3482.]</w:t>
      </w:r>
    </w:p>
    <w:p>
      <w:pPr>
        <w:pStyle w:val="Heading5"/>
        <w:rPr>
          <w:snapToGrid w:val="0"/>
        </w:rPr>
      </w:pPr>
      <w:bookmarkStart w:id="44" w:name="_Toc181173276"/>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4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45" w:name="_Toc181173277"/>
      <w:r>
        <w:rPr>
          <w:rStyle w:val="CharSectno"/>
        </w:rPr>
        <w:t>16</w:t>
      </w:r>
      <w:r>
        <w:rPr>
          <w:snapToGrid w:val="0"/>
        </w:rPr>
        <w:t>.</w:t>
      </w:r>
      <w:r>
        <w:rPr>
          <w:snapToGrid w:val="0"/>
        </w:rPr>
        <w:tab/>
        <w:t>Request for special meeting, form of (Act s. 5.28(2))</w:t>
      </w:r>
      <w:bookmarkEnd w:id="4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46" w:name="_Toc181173278"/>
      <w:r>
        <w:rPr>
          <w:rStyle w:val="CharSectno"/>
        </w:rPr>
        <w:t>17</w:t>
      </w:r>
      <w:r>
        <w:rPr>
          <w:snapToGrid w:val="0"/>
        </w:rPr>
        <w:t>.</w:t>
      </w:r>
      <w:r>
        <w:rPr>
          <w:snapToGrid w:val="0"/>
        </w:rPr>
        <w:tab/>
        <w:t>Voting at meeting </w:t>
      </w:r>
      <w:r>
        <w:t>(Act </w:t>
      </w:r>
      <w:r>
        <w:rPr>
          <w:snapToGrid w:val="0"/>
        </w:rPr>
        <w:t>s. 5.31)</w:t>
      </w:r>
      <w:bookmarkEnd w:id="46"/>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47" w:name="_Toc181173279"/>
      <w:r>
        <w:rPr>
          <w:rStyle w:val="CharSectno"/>
        </w:rPr>
        <w:t>18</w:t>
      </w:r>
      <w:r>
        <w:rPr>
          <w:snapToGrid w:val="0"/>
        </w:rPr>
        <w:t>.</w:t>
      </w:r>
      <w:r>
        <w:rPr>
          <w:snapToGrid w:val="0"/>
        </w:rPr>
        <w:tab/>
        <w:t>Procedure at meeting </w:t>
      </w:r>
      <w:r>
        <w:t>(Act </w:t>
      </w:r>
      <w:r>
        <w:rPr>
          <w:snapToGrid w:val="0"/>
        </w:rPr>
        <w:t>s. 5.31)</w:t>
      </w:r>
      <w:bookmarkEnd w:id="47"/>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48" w:name="_Toc180768271"/>
      <w:bookmarkStart w:id="49" w:name="_Toc180769011"/>
      <w:bookmarkStart w:id="50" w:name="_Toc181173280"/>
      <w:r>
        <w:rPr>
          <w:rStyle w:val="CharPartNo"/>
        </w:rPr>
        <w:lastRenderedPageBreak/>
        <w:t>Part 4</w:t>
      </w:r>
      <w:r>
        <w:rPr>
          <w:rStyle w:val="CharDivNo"/>
        </w:rPr>
        <w:t> </w:t>
      </w:r>
      <w:r>
        <w:t>—</w:t>
      </w:r>
      <w:r>
        <w:rPr>
          <w:rStyle w:val="CharDivText"/>
        </w:rPr>
        <w:t> </w:t>
      </w:r>
      <w:r>
        <w:rPr>
          <w:rStyle w:val="CharPartText"/>
        </w:rPr>
        <w:t>Local government employees</w:t>
      </w:r>
      <w:bookmarkEnd w:id="48"/>
      <w:bookmarkEnd w:id="49"/>
      <w:bookmarkEnd w:id="50"/>
    </w:p>
    <w:p>
      <w:pPr>
        <w:pStyle w:val="Footnoteheading"/>
      </w:pPr>
      <w:r>
        <w:tab/>
        <w:t>[Heading inserted: Gazette 26 Aug 2011 p. 3482.]</w:t>
      </w:r>
    </w:p>
    <w:p>
      <w:pPr>
        <w:pStyle w:val="Heading5"/>
      </w:pPr>
      <w:bookmarkStart w:id="51" w:name="_Toc181173281"/>
      <w:r>
        <w:rPr>
          <w:rStyle w:val="CharSectno"/>
        </w:rPr>
        <w:t>18A</w:t>
      </w:r>
      <w:r>
        <w:t>.</w:t>
      </w:r>
      <w:r>
        <w:tab/>
        <w:t>Vacancy in position of CEO or senior employee to be advertised (Act s. 5.36(4) and 5.37(3))</w:t>
      </w:r>
      <w:bookmarkEnd w:id="51"/>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52" w:name="_Toc181173282"/>
      <w:r>
        <w:rPr>
          <w:rStyle w:val="CharSectno"/>
        </w:rPr>
        <w:lastRenderedPageBreak/>
        <w:t>18B</w:t>
      </w:r>
      <w:r>
        <w:t>.</w:t>
      </w:r>
      <w:r>
        <w:tab/>
        <w:t>Contracts of CEOs and senior employees, content of (Act s. 5.39(3)(c))</w:t>
      </w:r>
      <w:bookmarkEnd w:id="52"/>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53" w:name="_Toc181173283"/>
      <w:r>
        <w:rPr>
          <w:rStyle w:val="CharSectno"/>
        </w:rPr>
        <w:t>18E</w:t>
      </w:r>
      <w:r>
        <w:t>.</w:t>
      </w:r>
      <w:r>
        <w:tab/>
        <w:t>False information in application for CEO position, offence</w:t>
      </w:r>
      <w:bookmarkEnd w:id="53"/>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54" w:name="_Toc181173284"/>
      <w:r>
        <w:rPr>
          <w:rStyle w:val="CharSectno"/>
        </w:rPr>
        <w:lastRenderedPageBreak/>
        <w:t>18F</w:t>
      </w:r>
      <w:r>
        <w:t>.</w:t>
      </w:r>
      <w:r>
        <w:tab/>
        <w:t>Remuneration and benefits of CEO to be as advertised</w:t>
      </w:r>
      <w:bookmarkEnd w:id="5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55" w:name="_Toc181173285"/>
      <w:r>
        <w:rPr>
          <w:rStyle w:val="CharSectno"/>
        </w:rPr>
        <w:t>18FA</w:t>
      </w:r>
      <w:r>
        <w:t>.</w:t>
      </w:r>
      <w:r>
        <w:tab/>
        <w:t>Model standards for CEO recruitment, performance and termination (Act s. 5.39A(1))</w:t>
      </w:r>
      <w:bookmarkEnd w:id="55"/>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56" w:name="_Toc181173286"/>
      <w:r>
        <w:rPr>
          <w:rStyle w:val="CharSectno"/>
        </w:rPr>
        <w:t>18FB</w:t>
      </w:r>
      <w:r>
        <w:t>.</w:t>
      </w:r>
      <w:r>
        <w:tab/>
        <w:t>Certification of compliance with adopted standards for CEO recruitment (Act s. 5.39B(7))</w:t>
      </w:r>
      <w:bookmarkEnd w:id="56"/>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 xml:space="preserve">As soon as practicable after the person is employed in the position of CEO, the local government must, by resolution*, </w:t>
      </w:r>
      <w:r>
        <w:lastRenderedPageBreak/>
        <w:t>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57" w:name="_Toc181173287"/>
      <w:r>
        <w:rPr>
          <w:rStyle w:val="CharSectno"/>
        </w:rPr>
        <w:t>18FC</w:t>
      </w:r>
      <w:r>
        <w:t>.</w:t>
      </w:r>
      <w:r>
        <w:tab/>
        <w:t>Certification of compliance with adopted standards for CEO termination (Act s. 5.39B(7))</w:t>
      </w:r>
      <w:bookmarkEnd w:id="57"/>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58" w:name="_Toc181173288"/>
      <w:r>
        <w:rPr>
          <w:rStyle w:val="CharSectno"/>
        </w:rPr>
        <w:t>18G</w:t>
      </w:r>
      <w:r>
        <w:t>.</w:t>
      </w:r>
      <w:r>
        <w:tab/>
        <w:t>Delegations to CEOs, limits on (Act s. 5.43)</w:t>
      </w:r>
      <w:bookmarkEnd w:id="58"/>
    </w:p>
    <w:p>
      <w:pPr>
        <w:pStyle w:val="Subsection"/>
      </w:pPr>
      <w:r>
        <w:tab/>
      </w:r>
      <w:r>
        <w:tab/>
        <w:t xml:space="preserve">Powers and duties of a local government exercised under the following provisions are prescribed under section 5.43(i) as </w:t>
      </w:r>
      <w:r>
        <w:lastRenderedPageBreak/>
        <w:t>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59" w:name="_Toc181173289"/>
      <w:r>
        <w:rPr>
          <w:rStyle w:val="CharSectno"/>
        </w:rPr>
        <w:t>19</w:t>
      </w:r>
      <w:r>
        <w:rPr>
          <w:snapToGrid w:val="0"/>
        </w:rPr>
        <w:t>.</w:t>
      </w:r>
      <w:r>
        <w:rPr>
          <w:snapToGrid w:val="0"/>
        </w:rPr>
        <w:tab/>
        <w:t xml:space="preserve">Delegates to keep certain records </w:t>
      </w:r>
      <w:r>
        <w:t>(Act </w:t>
      </w:r>
      <w:r>
        <w:rPr>
          <w:snapToGrid w:val="0"/>
        </w:rPr>
        <w:t>s. 5.46(3))</w:t>
      </w:r>
      <w:bookmarkEnd w:id="59"/>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60" w:name="_Toc181173290"/>
      <w:r>
        <w:rPr>
          <w:rStyle w:val="CharSectno"/>
        </w:rPr>
        <w:t>19A</w:t>
      </w:r>
      <w:r>
        <w:t>.</w:t>
      </w:r>
      <w:r>
        <w:tab/>
        <w:t>Payments in addition to contract or award, limits of (Act s. 5.50(3))</w:t>
      </w:r>
      <w:bookmarkEnd w:id="60"/>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keepNext/>
      </w:pPr>
      <w:r>
        <w:lastRenderedPageBreak/>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61" w:name="_Toc180768282"/>
      <w:bookmarkStart w:id="62" w:name="_Toc180769022"/>
      <w:bookmarkStart w:id="63" w:name="_Toc181173291"/>
      <w:r>
        <w:rPr>
          <w:rStyle w:val="CharPartNo"/>
        </w:rPr>
        <w:lastRenderedPageBreak/>
        <w:t>Part 4A</w:t>
      </w:r>
      <w:r>
        <w:rPr>
          <w:b w:val="0"/>
        </w:rPr>
        <w:t> </w:t>
      </w:r>
      <w:r>
        <w:t>—</w:t>
      </w:r>
      <w:r>
        <w:rPr>
          <w:b w:val="0"/>
        </w:rPr>
        <w:t> </w:t>
      </w:r>
      <w:r>
        <w:rPr>
          <w:rStyle w:val="CharPartText"/>
        </w:rPr>
        <w:t>Codes of conduct for local government employees (Act s. 5.51A(4))</w:t>
      </w:r>
      <w:bookmarkEnd w:id="61"/>
      <w:bookmarkEnd w:id="62"/>
      <w:bookmarkEnd w:id="63"/>
    </w:p>
    <w:p>
      <w:pPr>
        <w:pStyle w:val="Footnoteheading"/>
      </w:pPr>
      <w:r>
        <w:tab/>
        <w:t>[Heading inserted: SL 2021/16 r. 4.]</w:t>
      </w:r>
    </w:p>
    <w:p>
      <w:pPr>
        <w:pStyle w:val="Heading3"/>
      </w:pPr>
      <w:bookmarkStart w:id="64" w:name="_Toc180768283"/>
      <w:bookmarkStart w:id="65" w:name="_Toc180769023"/>
      <w:bookmarkStart w:id="66" w:name="_Toc181173292"/>
      <w:r>
        <w:rPr>
          <w:rStyle w:val="CharDivNo"/>
        </w:rPr>
        <w:t>Division 1</w:t>
      </w:r>
      <w:r>
        <w:t> — </w:t>
      </w:r>
      <w:r>
        <w:rPr>
          <w:rStyle w:val="CharDivText"/>
        </w:rPr>
        <w:t>Terms used</w:t>
      </w:r>
      <w:bookmarkEnd w:id="64"/>
      <w:bookmarkEnd w:id="65"/>
      <w:bookmarkEnd w:id="66"/>
    </w:p>
    <w:p>
      <w:pPr>
        <w:pStyle w:val="Footnoteheading"/>
      </w:pPr>
      <w:r>
        <w:tab/>
        <w:t>[Heading inserted: SL 2021/16 r. 4.]</w:t>
      </w:r>
    </w:p>
    <w:p>
      <w:pPr>
        <w:pStyle w:val="Heading5"/>
      </w:pPr>
      <w:bookmarkStart w:id="67" w:name="_Toc181173293"/>
      <w:r>
        <w:rPr>
          <w:rStyle w:val="CharSectno"/>
        </w:rPr>
        <w:t>19AA</w:t>
      </w:r>
      <w:r>
        <w:t>.</w:t>
      </w:r>
      <w:r>
        <w:tab/>
        <w:t>Terms used</w:t>
      </w:r>
      <w:bookmarkEnd w:id="67"/>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lastRenderedPageBreak/>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68" w:name="_Toc180768285"/>
      <w:bookmarkStart w:id="69" w:name="_Toc180769025"/>
      <w:bookmarkStart w:id="70" w:name="_Toc181173294"/>
      <w:r>
        <w:rPr>
          <w:rStyle w:val="CharDivNo"/>
        </w:rPr>
        <w:lastRenderedPageBreak/>
        <w:t>Division 2</w:t>
      </w:r>
      <w:r>
        <w:t> — </w:t>
      </w:r>
      <w:r>
        <w:rPr>
          <w:rStyle w:val="CharDivText"/>
        </w:rPr>
        <w:t>Content of codes of conduct</w:t>
      </w:r>
      <w:bookmarkEnd w:id="68"/>
      <w:bookmarkEnd w:id="69"/>
      <w:bookmarkEnd w:id="70"/>
    </w:p>
    <w:p>
      <w:pPr>
        <w:pStyle w:val="Footnoteheading"/>
        <w:keepNext/>
      </w:pPr>
      <w:r>
        <w:tab/>
        <w:t>[Heading inserted: SL 2021/16 r. 4.]</w:t>
      </w:r>
    </w:p>
    <w:p>
      <w:pPr>
        <w:pStyle w:val="Heading5"/>
      </w:pPr>
      <w:bookmarkStart w:id="71" w:name="_Toc181173295"/>
      <w:r>
        <w:rPr>
          <w:rStyle w:val="CharSectno"/>
        </w:rPr>
        <w:t>19AB</w:t>
      </w:r>
      <w:r>
        <w:t>.</w:t>
      </w:r>
      <w:r>
        <w:tab/>
        <w:t>Prohibited gifts</w:t>
      </w:r>
      <w:bookmarkEnd w:id="71"/>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72" w:name="_Toc181173296"/>
      <w:r>
        <w:rPr>
          <w:rStyle w:val="CharSectno"/>
        </w:rPr>
        <w:t>19AC</w:t>
      </w:r>
      <w:r>
        <w:t>.</w:t>
      </w:r>
      <w:r>
        <w:tab/>
        <w:t>Recording, storing, disclosure and use of information relating to gifts</w:t>
      </w:r>
      <w:bookmarkEnd w:id="72"/>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73" w:name="_Toc181173297"/>
      <w:r>
        <w:rPr>
          <w:rStyle w:val="CharSectno"/>
        </w:rPr>
        <w:t>19AD</w:t>
      </w:r>
      <w:r>
        <w:t>.</w:t>
      </w:r>
      <w:r>
        <w:tab/>
        <w:t>Conflicts of interest</w:t>
      </w:r>
      <w:bookmarkEnd w:id="73"/>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lastRenderedPageBreak/>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keepNext/>
      </w:pPr>
      <w:r>
        <w:lastRenderedPageBreak/>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74" w:name="_Toc181173298"/>
      <w:r>
        <w:rPr>
          <w:rStyle w:val="CharSectno"/>
        </w:rPr>
        <w:t>19AE</w:t>
      </w:r>
      <w:r>
        <w:t>.</w:t>
      </w:r>
      <w:r>
        <w:tab/>
        <w:t>Other matters codes of conduct must deal with</w:t>
      </w:r>
      <w:bookmarkEnd w:id="74"/>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lastRenderedPageBreak/>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75" w:name="_Toc180768290"/>
      <w:bookmarkStart w:id="76" w:name="_Toc180769030"/>
      <w:bookmarkStart w:id="77" w:name="_Toc181173299"/>
      <w:r>
        <w:rPr>
          <w:rStyle w:val="CharDivNo"/>
        </w:rPr>
        <w:t>Division 3</w:t>
      </w:r>
      <w:r>
        <w:t> — </w:t>
      </w:r>
      <w:r>
        <w:rPr>
          <w:rStyle w:val="CharDivText"/>
        </w:rPr>
        <w:t>Other matter in relation to codes of conduct</w:t>
      </w:r>
      <w:bookmarkEnd w:id="75"/>
      <w:bookmarkEnd w:id="76"/>
      <w:bookmarkEnd w:id="77"/>
    </w:p>
    <w:p>
      <w:pPr>
        <w:pStyle w:val="Footnoteheading"/>
      </w:pPr>
      <w:r>
        <w:tab/>
        <w:t>[Heading inserted: SL 2021/16 r. 4.]</w:t>
      </w:r>
    </w:p>
    <w:p>
      <w:pPr>
        <w:pStyle w:val="Heading5"/>
      </w:pPr>
      <w:bookmarkStart w:id="78" w:name="_Toc181173300"/>
      <w:r>
        <w:rPr>
          <w:rStyle w:val="CharSectno"/>
        </w:rPr>
        <w:t>19AF</w:t>
      </w:r>
      <w:r>
        <w:t>.</w:t>
      </w:r>
      <w:r>
        <w:tab/>
        <w:t>Determination of threshold amount</w:t>
      </w:r>
      <w:bookmarkEnd w:id="78"/>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79" w:name="_Toc180768292"/>
      <w:bookmarkStart w:id="80" w:name="_Toc180769032"/>
      <w:bookmarkStart w:id="81" w:name="_Toc181173301"/>
      <w:r>
        <w:rPr>
          <w:rStyle w:val="CharPartNo"/>
        </w:rPr>
        <w:lastRenderedPageBreak/>
        <w:t>Part 5</w:t>
      </w:r>
      <w:r>
        <w:t> — </w:t>
      </w:r>
      <w:r>
        <w:rPr>
          <w:rStyle w:val="CharPartText"/>
        </w:rPr>
        <w:t>Annual reports and planning</w:t>
      </w:r>
      <w:bookmarkEnd w:id="79"/>
      <w:bookmarkEnd w:id="80"/>
      <w:bookmarkEnd w:id="81"/>
    </w:p>
    <w:p>
      <w:pPr>
        <w:pStyle w:val="Footnoteheading"/>
      </w:pPr>
      <w:r>
        <w:tab/>
        <w:t>[Heading inserted: Gazette 26 Aug 2011 p. 3482.]</w:t>
      </w:r>
    </w:p>
    <w:p>
      <w:pPr>
        <w:pStyle w:val="Heading3"/>
      </w:pPr>
      <w:bookmarkStart w:id="82" w:name="_Toc180768293"/>
      <w:bookmarkStart w:id="83" w:name="_Toc180769033"/>
      <w:bookmarkStart w:id="84" w:name="_Toc181173302"/>
      <w:r>
        <w:rPr>
          <w:rStyle w:val="CharDivNo"/>
        </w:rPr>
        <w:t>Division 1</w:t>
      </w:r>
      <w:r>
        <w:t> — </w:t>
      </w:r>
      <w:r>
        <w:rPr>
          <w:rStyle w:val="CharDivText"/>
        </w:rPr>
        <w:t>Preliminary</w:t>
      </w:r>
      <w:bookmarkEnd w:id="82"/>
      <w:bookmarkEnd w:id="83"/>
      <w:bookmarkEnd w:id="84"/>
    </w:p>
    <w:p>
      <w:pPr>
        <w:pStyle w:val="Footnoteheading"/>
      </w:pPr>
      <w:r>
        <w:tab/>
        <w:t>[Heading inserted: Gazette 26 Aug 2011 p. 3482.]</w:t>
      </w:r>
    </w:p>
    <w:p>
      <w:pPr>
        <w:pStyle w:val="Heading5"/>
      </w:pPr>
      <w:bookmarkStart w:id="85" w:name="_Toc181173303"/>
      <w:r>
        <w:rPr>
          <w:rStyle w:val="CharSectno"/>
        </w:rPr>
        <w:t>19BA</w:t>
      </w:r>
      <w:r>
        <w:t>.</w:t>
      </w:r>
      <w:r>
        <w:tab/>
        <w:t>Terms used</w:t>
      </w:r>
      <w:bookmarkEnd w:id="85"/>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86" w:name="_Toc180768295"/>
      <w:bookmarkStart w:id="87" w:name="_Toc180769035"/>
      <w:bookmarkStart w:id="88" w:name="_Toc181173304"/>
      <w:r>
        <w:rPr>
          <w:rStyle w:val="CharDivNo"/>
        </w:rPr>
        <w:t>Division 2</w:t>
      </w:r>
      <w:r>
        <w:t> — </w:t>
      </w:r>
      <w:r>
        <w:rPr>
          <w:rStyle w:val="CharDivText"/>
        </w:rPr>
        <w:t>Annual reports</w:t>
      </w:r>
      <w:bookmarkEnd w:id="86"/>
      <w:bookmarkEnd w:id="87"/>
      <w:bookmarkEnd w:id="88"/>
    </w:p>
    <w:p>
      <w:pPr>
        <w:pStyle w:val="Footnoteheading"/>
      </w:pPr>
      <w:r>
        <w:tab/>
        <w:t>[Heading inserted: Gazette 26 Aug 2011 p. 3483.]</w:t>
      </w:r>
    </w:p>
    <w:p>
      <w:pPr>
        <w:pStyle w:val="Heading5"/>
      </w:pPr>
      <w:bookmarkStart w:id="89" w:name="_Toc181173305"/>
      <w:r>
        <w:rPr>
          <w:rStyle w:val="CharSectno"/>
        </w:rPr>
        <w:t>19B</w:t>
      </w:r>
      <w:r>
        <w:t>.</w:t>
      </w:r>
      <w:r>
        <w:tab/>
        <w:t>Information to be included in annual report (Act s. 5.53(2)(g) and (i))</w:t>
      </w:r>
      <w:bookmarkEnd w:id="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lastRenderedPageBreak/>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lastRenderedPageBreak/>
        <w:tab/>
        <w:t>(k)</w:t>
      </w:r>
      <w:r>
        <w:tab/>
        <w:t>details of any significant modification made to a local government’s corporate business plan during the financial year.</w:t>
      </w:r>
    </w:p>
    <w:p>
      <w:pPr>
        <w:pStyle w:val="Footnotesection"/>
      </w:pPr>
      <w:r>
        <w:tab/>
        <w:t>[Regulation 19B inserted: SL 2020/213 r. 20.]</w:t>
      </w:r>
    </w:p>
    <w:p>
      <w:pPr>
        <w:pStyle w:val="Heading5"/>
      </w:pPr>
      <w:bookmarkStart w:id="90" w:name="_Toc181173306"/>
      <w:r>
        <w:rPr>
          <w:rStyle w:val="CharSectno"/>
        </w:rPr>
        <w:t>19BB</w:t>
      </w:r>
      <w:r>
        <w:t>.</w:t>
      </w:r>
      <w:r>
        <w:tab/>
        <w:t>Information about trading undertakings to be included in annual report (Act s. 5.53(2)(i))</w:t>
      </w:r>
      <w:bookmarkEnd w:id="90"/>
    </w:p>
    <w:p>
      <w:pPr>
        <w:pStyle w:val="Subsection"/>
      </w:pPr>
      <w:r>
        <w:tab/>
        <w:t>(1)</w:t>
      </w:r>
      <w:r>
        <w:tab/>
        <w:t xml:space="preserve">In this regulation — </w:t>
      </w:r>
    </w:p>
    <w:p>
      <w:pPr>
        <w:pStyle w:val="Defstart"/>
      </w:pPr>
      <w:r>
        <w:tab/>
      </w:r>
      <w:r>
        <w:rPr>
          <w:rStyle w:val="CharDefText"/>
        </w:rPr>
        <w:t>income statement</w:t>
      </w:r>
      <w:r>
        <w:t xml:space="preserve"> has the meaning given in the </w:t>
      </w:r>
      <w:r>
        <w:rPr>
          <w:i/>
        </w:rPr>
        <w:t>Local Government (Financial Management) Regulations 1996</w:t>
      </w:r>
      <w:r>
        <w:t xml:space="preserve"> regulation 3(1);</w:t>
      </w:r>
    </w:p>
    <w:p>
      <w:pPr>
        <w:pStyle w:val="Defstart"/>
      </w:pPr>
      <w:r>
        <w:tab/>
      </w:r>
      <w:r>
        <w:rPr>
          <w:rStyle w:val="CharDefText"/>
        </w:rPr>
        <w:t>major trading undertaking</w:t>
      </w:r>
      <w:r>
        <w:t xml:space="preserve"> has the meaning given in section 3.59(1);</w:t>
      </w:r>
    </w:p>
    <w:p>
      <w:pPr>
        <w:pStyle w:val="Defstart"/>
      </w:pPr>
      <w:r>
        <w:tab/>
      </w:r>
      <w:r>
        <w:rPr>
          <w:rStyle w:val="CharDefText"/>
        </w:rPr>
        <w:t>statement of financial position</w:t>
      </w:r>
      <w:r>
        <w:t xml:space="preserve"> has the meaning given in the </w:t>
      </w:r>
      <w:r>
        <w:rPr>
          <w:i/>
        </w:rPr>
        <w:t>Local Government (Financial Management) Regulations 1996</w:t>
      </w:r>
      <w:r>
        <w:t xml:space="preserve"> regulation 3(1);</w:t>
      </w:r>
    </w:p>
    <w:p>
      <w:pPr>
        <w:pStyle w:val="Defstart"/>
      </w:pPr>
      <w:r>
        <w:tab/>
      </w:r>
      <w:r>
        <w:rPr>
          <w:rStyle w:val="CharDefText"/>
        </w:rPr>
        <w:t>trading undertaking</w:t>
      </w:r>
      <w:r>
        <w:t xml:space="preserve"> has the meaning given in section 3.59(1).</w:t>
      </w:r>
    </w:p>
    <w:p>
      <w:pPr>
        <w:pStyle w:val="Subsection"/>
      </w:pPr>
      <w:r>
        <w:tab/>
        <w:t>(2)</w:t>
      </w:r>
      <w:r>
        <w:tab/>
        <w:t xml:space="preserve">For the purposes of section 5.53(2)(i), the annual report for a financial year beginning on or after 1 July 2022 must include the following — </w:t>
      </w:r>
    </w:p>
    <w:p>
      <w:pPr>
        <w:pStyle w:val="Indenta"/>
      </w:pPr>
      <w:r>
        <w:tab/>
        <w:t>(a)</w:t>
      </w:r>
      <w:r>
        <w:tab/>
        <w:t xml:space="preserve">separately, in relation to each trading undertaking carried on during the financial year — </w:t>
      </w:r>
    </w:p>
    <w:p>
      <w:pPr>
        <w:pStyle w:val="Indenti"/>
      </w:pPr>
      <w:r>
        <w:tab/>
        <w:t>(i)</w:t>
      </w:r>
      <w:r>
        <w:tab/>
        <w:t>an income statement; and</w:t>
      </w:r>
    </w:p>
    <w:p>
      <w:pPr>
        <w:pStyle w:val="Indenti"/>
      </w:pPr>
      <w:r>
        <w:tab/>
        <w:t>(ii)</w:t>
      </w:r>
      <w:r>
        <w:tab/>
        <w:t>a statement of financial position; and</w:t>
      </w:r>
    </w:p>
    <w:p>
      <w:pPr>
        <w:pStyle w:val="Indenti"/>
      </w:pPr>
      <w:r>
        <w:tab/>
        <w:t>(iii)</w:t>
      </w:r>
      <w:r>
        <w:tab/>
        <w:t>any other information that is necessary to provide full and complete information on the undertaking;</w:t>
      </w:r>
    </w:p>
    <w:p>
      <w:pPr>
        <w:pStyle w:val="Indenta"/>
        <w:keepNext/>
      </w:pPr>
      <w:r>
        <w:tab/>
        <w:t>(b)</w:t>
      </w:r>
      <w:r>
        <w:tab/>
        <w:t xml:space="preserve">in relation to each major trading undertaking, in addition to the information required under paragraph (a), a statement setting out all other revenue and expenditure that is not included in the income statement referred to in paragraph (a)(i) but that has been used in the pricing </w:t>
      </w:r>
      <w:r>
        <w:lastRenderedPageBreak/>
        <w:t>structure for goods or services to be provided by the undertaking.</w:t>
      </w:r>
    </w:p>
    <w:p>
      <w:pPr>
        <w:pStyle w:val="Footnotesection"/>
      </w:pPr>
      <w:r>
        <w:tab/>
        <w:t>[Regulation 19BB inserted: SL 2023/106 r. 33.]</w:t>
      </w:r>
    </w:p>
    <w:p>
      <w:pPr>
        <w:pStyle w:val="Heading5"/>
      </w:pPr>
      <w:bookmarkStart w:id="91" w:name="_Toc181173307"/>
      <w:r>
        <w:rPr>
          <w:rStyle w:val="CharSectno"/>
        </w:rPr>
        <w:t>19BC</w:t>
      </w:r>
      <w:r>
        <w:t>.</w:t>
      </w:r>
      <w:r>
        <w:tab/>
        <w:t>Information about land transactions to be included in annual report (Act s. 5.53(2)(i))</w:t>
      </w:r>
      <w:bookmarkEnd w:id="91"/>
    </w:p>
    <w:p>
      <w:pPr>
        <w:pStyle w:val="Subsection"/>
      </w:pPr>
      <w:r>
        <w:tab/>
        <w:t>(1)</w:t>
      </w:r>
      <w:r>
        <w:tab/>
        <w:t xml:space="preserve">In this regulation — </w:t>
      </w:r>
    </w:p>
    <w:p>
      <w:pPr>
        <w:pStyle w:val="Defstart"/>
      </w:pPr>
      <w:r>
        <w:tab/>
      </w:r>
      <w:r>
        <w:rPr>
          <w:rStyle w:val="CharDefText"/>
        </w:rPr>
        <w:t>major land transaction</w:t>
      </w:r>
      <w:r>
        <w:t xml:space="preserve"> has the meaning given in section 3.59(1);</w:t>
      </w:r>
    </w:p>
    <w:p>
      <w:pPr>
        <w:pStyle w:val="Defstart"/>
      </w:pPr>
      <w:r>
        <w:tab/>
      </w:r>
      <w:r>
        <w:rPr>
          <w:rStyle w:val="CharDefText"/>
        </w:rPr>
        <w:t>nature classification</w:t>
      </w:r>
      <w:r>
        <w:t xml:space="preserve"> has the meaning given in the </w:t>
      </w:r>
      <w:r>
        <w:rPr>
          <w:i/>
        </w:rPr>
        <w:t>Local Government (Financial Management) Regulations 1996</w:t>
      </w:r>
      <w:r>
        <w:t xml:space="preserve"> regulation 3(1).</w:t>
      </w:r>
    </w:p>
    <w:p>
      <w:pPr>
        <w:pStyle w:val="Subsection"/>
        <w:rPr>
          <w:snapToGrid w:val="0"/>
        </w:rPr>
      </w:pPr>
      <w:r>
        <w:tab/>
        <w:t>(2)</w:t>
      </w:r>
      <w:r>
        <w:rPr>
          <w:snapToGrid w:val="0"/>
        </w:rPr>
        <w:tab/>
      </w:r>
      <w:r>
        <w:t xml:space="preserve">For the purposes of section 5.53(2)(i), the annual report for a financial year beginning on or after 1 July 2022 must include the following, </w:t>
      </w:r>
      <w:r>
        <w:rPr>
          <w:snapToGrid w:val="0"/>
        </w:rPr>
        <w:t xml:space="preserve">separately in relation to each major land transaction (according to nature classification) — </w:t>
      </w:r>
    </w:p>
    <w:p>
      <w:pPr>
        <w:pStyle w:val="Indenta"/>
        <w:rPr>
          <w:snapToGrid w:val="0"/>
        </w:rPr>
      </w:pPr>
      <w:r>
        <w:rPr>
          <w:snapToGrid w:val="0"/>
        </w:rPr>
        <w:tab/>
        <w:t>(a)</w:t>
      </w:r>
      <w:r>
        <w:rPr>
          <w:snapToGrid w:val="0"/>
        </w:rPr>
        <w:tab/>
        <w:t xml:space="preserve">all income and expenditure for the transaction received or </w:t>
      </w:r>
      <w:r>
        <w:t>expended</w:t>
      </w:r>
      <w:r>
        <w:rPr>
          <w:snapToGrid w:val="0"/>
        </w:rPr>
        <w:t xml:space="preserve"> during the financial year;</w:t>
      </w:r>
    </w:p>
    <w:p>
      <w:pPr>
        <w:pStyle w:val="Indenta"/>
        <w:rPr>
          <w:snapToGrid w:val="0"/>
        </w:rPr>
      </w:pPr>
      <w:r>
        <w:rPr>
          <w:snapToGrid w:val="0"/>
        </w:rPr>
        <w:tab/>
        <w:t>(b)</w:t>
      </w:r>
      <w:r>
        <w:rPr>
          <w:snapToGrid w:val="0"/>
        </w:rPr>
        <w:tab/>
        <w:t xml:space="preserve">details of </w:t>
      </w:r>
      <w:r>
        <w:t>assets</w:t>
      </w:r>
      <w:r>
        <w:rPr>
          <w:snapToGrid w:val="0"/>
        </w:rPr>
        <w:t xml:space="preserve"> and liabilities at 30 June; </w:t>
      </w:r>
    </w:p>
    <w:p>
      <w:pPr>
        <w:pStyle w:val="Indenta"/>
        <w:rPr>
          <w:snapToGrid w:val="0"/>
        </w:rPr>
      </w:pPr>
      <w:r>
        <w:rPr>
          <w:snapToGrid w:val="0"/>
        </w:rPr>
        <w:tab/>
        <w:t>(c)</w:t>
      </w:r>
      <w:r>
        <w:rPr>
          <w:snapToGrid w:val="0"/>
        </w:rPr>
        <w:tab/>
        <w:t xml:space="preserve">any other information that is necessary to provide full and complete information on the transaction; </w:t>
      </w:r>
    </w:p>
    <w:p>
      <w:pPr>
        <w:pStyle w:val="Indenta"/>
        <w:rPr>
          <w:snapToGrid w:val="0"/>
        </w:rPr>
      </w:pPr>
      <w:r>
        <w:rPr>
          <w:snapToGrid w:val="0"/>
        </w:rPr>
        <w:tab/>
        <w:t>(d)</w:t>
      </w:r>
      <w:r>
        <w:rPr>
          <w:snapToGrid w:val="0"/>
        </w:rPr>
        <w:tab/>
        <w:t xml:space="preserve">if the transaction is to span more than 1 financial year, a brief statement showing the cash flows expected during the lesser of the following periods — </w:t>
      </w:r>
    </w:p>
    <w:p>
      <w:pPr>
        <w:pStyle w:val="Indenti"/>
      </w:pPr>
      <w:r>
        <w:tab/>
        <w:t>(i)</w:t>
      </w:r>
      <w:r>
        <w:tab/>
        <w:t xml:space="preserve">the term of the transaction; </w:t>
      </w:r>
    </w:p>
    <w:p>
      <w:pPr>
        <w:pStyle w:val="Indenti"/>
      </w:pPr>
      <w:r>
        <w:tab/>
        <w:t>(ii)</w:t>
      </w:r>
      <w:r>
        <w:tab/>
        <w:t>the period covered by the corporate business plan.</w:t>
      </w:r>
    </w:p>
    <w:p>
      <w:pPr>
        <w:pStyle w:val="Subsection"/>
        <w:keepNext/>
        <w:rPr>
          <w:snapToGrid w:val="0"/>
        </w:rPr>
      </w:pPr>
      <w:r>
        <w:tab/>
        <w:t>(3)</w:t>
      </w:r>
      <w:r>
        <w:tab/>
        <w:t>For the purposes of section 5.53(2)(i), i</w:t>
      </w:r>
      <w:r>
        <w:rPr>
          <w:snapToGrid w:val="0"/>
        </w:rPr>
        <w:t xml:space="preserve">f a major land transaction has spanned more than 1 financial year and it is </w:t>
      </w:r>
      <w:r>
        <w:rPr>
          <w:snapToGrid w:val="0"/>
        </w:rPr>
        <w:lastRenderedPageBreak/>
        <w:t xml:space="preserve">completed during a financial year </w:t>
      </w:r>
      <w:r>
        <w:t xml:space="preserve">beginning on or after 1 July 2022, </w:t>
      </w:r>
      <w:r>
        <w:rPr>
          <w:snapToGrid w:val="0"/>
        </w:rPr>
        <w:t xml:space="preserve">the annual report for that financial year must — </w:t>
      </w:r>
    </w:p>
    <w:p>
      <w:pPr>
        <w:pStyle w:val="Indenta"/>
        <w:keepNext/>
        <w:rPr>
          <w:snapToGrid w:val="0"/>
        </w:rPr>
      </w:pPr>
      <w:r>
        <w:rPr>
          <w:snapToGrid w:val="0"/>
        </w:rPr>
        <w:tab/>
        <w:t>(a)</w:t>
      </w:r>
      <w:r>
        <w:rPr>
          <w:snapToGrid w:val="0"/>
        </w:rPr>
        <w:tab/>
        <w:t xml:space="preserve">disclose — </w:t>
      </w:r>
    </w:p>
    <w:p>
      <w:pPr>
        <w:pStyle w:val="Indenti"/>
      </w:pPr>
      <w:r>
        <w:tab/>
        <w:t>(i)</w:t>
      </w:r>
      <w:r>
        <w:tab/>
        <w:t>details of the total income and expenditure for the transaction from the date of commencement to the date of completion; and</w:t>
      </w:r>
    </w:p>
    <w:p>
      <w:pPr>
        <w:pStyle w:val="Indenti"/>
      </w:pPr>
      <w:r>
        <w:tab/>
        <w:t>(ii)</w:t>
      </w:r>
      <w:r>
        <w:tab/>
        <w:t>details of the amount or value of any surplus of money or assets distributed to the local government or a person other than the local government; and</w:t>
      </w:r>
    </w:p>
    <w:p>
      <w:pPr>
        <w:pStyle w:val="Indenti"/>
      </w:pPr>
      <w:r>
        <w:tab/>
        <w:t>(iii)</w:t>
      </w:r>
      <w:r>
        <w:tab/>
        <w:t>the amount or value of any loss and the resources used to cover the loss;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include — </w:t>
      </w:r>
    </w:p>
    <w:p>
      <w:pPr>
        <w:pStyle w:val="Indenti"/>
      </w:pPr>
      <w:r>
        <w:tab/>
        <w:t>(i)</w:t>
      </w:r>
      <w:r>
        <w:tab/>
        <w:t>a comparison of the outcomes over the life of the transaction with expected outcomes in the business plan prepared for the transaction; and</w:t>
      </w:r>
    </w:p>
    <w:p>
      <w:pPr>
        <w:pStyle w:val="Indenti"/>
      </w:pPr>
      <w:r>
        <w:tab/>
        <w:t>(ii)</w:t>
      </w:r>
      <w:r>
        <w:tab/>
        <w:t>an explanation of the benefits of the transaction to the local government and the community.</w:t>
      </w:r>
    </w:p>
    <w:p>
      <w:pPr>
        <w:pStyle w:val="Footnotesection"/>
      </w:pPr>
      <w:r>
        <w:tab/>
        <w:t>[Regulation 19BC inserted: SL 2023/106 r. 33.]</w:t>
      </w:r>
    </w:p>
    <w:p>
      <w:pPr>
        <w:pStyle w:val="Heading5"/>
      </w:pPr>
      <w:bookmarkStart w:id="92" w:name="_Toc181173308"/>
      <w:r>
        <w:rPr>
          <w:rStyle w:val="CharSectno"/>
        </w:rPr>
        <w:t>19BD</w:t>
      </w:r>
      <w:r>
        <w:t>.</w:t>
      </w:r>
      <w:r>
        <w:tab/>
        <w:t>Information about fees, expenses and allowances to be included in annual report (Act s. 5.53(2)(i))</w:t>
      </w:r>
      <w:bookmarkEnd w:id="92"/>
    </w:p>
    <w:p>
      <w:pPr>
        <w:pStyle w:val="Subsection"/>
      </w:pPr>
      <w:r>
        <w:tab/>
      </w:r>
      <w:r>
        <w:tab/>
        <w:t xml:space="preserve">For the purposes of section 5.53(2)(i), the annual report for a financial year beginning on or after 1 July 2022 must include, </w:t>
      </w:r>
      <w:r>
        <w:rPr>
          <w:snapToGrid w:val="0"/>
        </w:rPr>
        <w:t xml:space="preserve">in relation to fees, expenses or allowances paid during the financial year to council members, the mayor or the </w:t>
      </w:r>
      <w:r>
        <w:t xml:space="preserve">president, for each person — </w:t>
      </w:r>
    </w:p>
    <w:p>
      <w:pPr>
        <w:pStyle w:val="Indenta"/>
      </w:pPr>
      <w:r>
        <w:tab/>
        <w:t>(a)</w:t>
      </w:r>
      <w:r>
        <w:tab/>
        <w:t>the nature of the fee, expense or allowance; and</w:t>
      </w:r>
    </w:p>
    <w:p>
      <w:pPr>
        <w:pStyle w:val="Indenta"/>
      </w:pPr>
      <w:r>
        <w:tab/>
        <w:t>(b)</w:t>
      </w:r>
      <w:r>
        <w:tab/>
        <w:t>the total amount or value of each class of fee, expense or allowance.</w:t>
      </w:r>
    </w:p>
    <w:p>
      <w:pPr>
        <w:pStyle w:val="Footnotesection"/>
      </w:pPr>
      <w:r>
        <w:tab/>
        <w:t>[Regulation 19BD inserted: SL 2023/106 r. 33.]</w:t>
      </w:r>
    </w:p>
    <w:p>
      <w:pPr>
        <w:pStyle w:val="Heading5"/>
      </w:pPr>
      <w:bookmarkStart w:id="93" w:name="_Toc181173309"/>
      <w:r>
        <w:rPr>
          <w:rStyle w:val="CharSectno"/>
        </w:rPr>
        <w:lastRenderedPageBreak/>
        <w:t>19BE</w:t>
      </w:r>
      <w:r>
        <w:t>.</w:t>
      </w:r>
      <w:r>
        <w:tab/>
        <w:t>Information about capital grants, subsidies and contributions to be included in annual report (Act s. 5.53(2)(i))</w:t>
      </w:r>
      <w:bookmarkEnd w:id="93"/>
    </w:p>
    <w:p>
      <w:pPr>
        <w:pStyle w:val="Subsection"/>
      </w:pPr>
      <w:r>
        <w:tab/>
        <w:t>(1)</w:t>
      </w:r>
      <w:r>
        <w:tab/>
        <w:t xml:space="preserve">In this regulation — </w:t>
      </w:r>
    </w:p>
    <w:p>
      <w:pPr>
        <w:pStyle w:val="Defstart"/>
      </w:pPr>
      <w:r>
        <w:tab/>
      </w:r>
      <w:r>
        <w:rPr>
          <w:rStyle w:val="CharDefText"/>
        </w:rPr>
        <w:t>renew</w:t>
      </w:r>
      <w:r>
        <w:t>, in relation to an asset, means to return the asset to its original state by rebuilding, repairing or restoring the asset;</w:t>
      </w:r>
    </w:p>
    <w:p>
      <w:pPr>
        <w:pStyle w:val="Defstart"/>
      </w:pPr>
      <w:r>
        <w:tab/>
      </w:r>
      <w:r>
        <w:rPr>
          <w:rStyle w:val="CharDefText"/>
        </w:rPr>
        <w:t>replace</w:t>
      </w:r>
      <w:r>
        <w:t xml:space="preserve">, in relation to an asset, does not include to upgrade the asset or to replace the asset with a different version of the asset. </w:t>
      </w:r>
    </w:p>
    <w:p>
      <w:pPr>
        <w:pStyle w:val="Subsection"/>
      </w:pPr>
      <w:r>
        <w:tab/>
        <w:t>(2)</w:t>
      </w:r>
      <w:r>
        <w:tab/>
        <w:t xml:space="preserve">For the purposes of section 5.53(2)(i), the annual report for a financial year beginning on or after 1 July 2022 must include the amount of all capital grants, subsidies and contributions, for replacing and renewing assets, that were received by the local government during — </w:t>
      </w:r>
    </w:p>
    <w:p>
      <w:pPr>
        <w:pStyle w:val="Indenta"/>
      </w:pPr>
      <w:r>
        <w:tab/>
        <w:t>(a)</w:t>
      </w:r>
      <w:r>
        <w:tab/>
        <w:t>the financial year; and</w:t>
      </w:r>
    </w:p>
    <w:p>
      <w:pPr>
        <w:pStyle w:val="Indenta"/>
      </w:pPr>
      <w:r>
        <w:tab/>
        <w:t>(b)</w:t>
      </w:r>
      <w:r>
        <w:tab/>
        <w:t>the 2 financial years before the financial year.</w:t>
      </w:r>
    </w:p>
    <w:p>
      <w:pPr>
        <w:pStyle w:val="Footnotesection"/>
      </w:pPr>
      <w:r>
        <w:tab/>
        <w:t>[Regulation 19BE inserted: SL 2023/106 r. 33.]</w:t>
      </w:r>
    </w:p>
    <w:p>
      <w:pPr>
        <w:pStyle w:val="Ednotesection"/>
      </w:pPr>
      <w:r>
        <w:t>[</w:t>
      </w:r>
      <w:r>
        <w:rPr>
          <w:b/>
        </w:rPr>
        <w:t>19CA.</w:t>
      </w:r>
      <w:r>
        <w:tab/>
        <w:t>Deleted: SL 2020/213 r. 20.]</w:t>
      </w:r>
    </w:p>
    <w:p>
      <w:pPr>
        <w:pStyle w:val="Heading3"/>
      </w:pPr>
      <w:bookmarkStart w:id="94" w:name="_Toc180768301"/>
      <w:bookmarkStart w:id="95" w:name="_Toc180769041"/>
      <w:bookmarkStart w:id="96" w:name="_Toc181173310"/>
      <w:r>
        <w:rPr>
          <w:rStyle w:val="CharDivNo"/>
        </w:rPr>
        <w:t>Division 3</w:t>
      </w:r>
      <w:r>
        <w:t> — </w:t>
      </w:r>
      <w:r>
        <w:rPr>
          <w:rStyle w:val="CharDivText"/>
        </w:rPr>
        <w:t>Planning for the future</w:t>
      </w:r>
      <w:bookmarkEnd w:id="94"/>
      <w:bookmarkEnd w:id="95"/>
      <w:bookmarkEnd w:id="96"/>
    </w:p>
    <w:p>
      <w:pPr>
        <w:pStyle w:val="Footnoteheading"/>
        <w:spacing w:before="100"/>
      </w:pPr>
      <w:r>
        <w:tab/>
        <w:t>[Heading inserted: Gazette 26 Aug 2011 p. 3483.]</w:t>
      </w:r>
    </w:p>
    <w:p>
      <w:pPr>
        <w:pStyle w:val="Heading5"/>
      </w:pPr>
      <w:bookmarkStart w:id="97" w:name="_Toc181173311"/>
      <w:r>
        <w:rPr>
          <w:rStyle w:val="CharSectno"/>
        </w:rPr>
        <w:t>19C</w:t>
      </w:r>
      <w:r>
        <w:t>.</w:t>
      </w:r>
      <w:r>
        <w:tab/>
        <w:t>Strategic community plans, requirements for (Act s. 5.56)</w:t>
      </w:r>
      <w:bookmarkEnd w:id="97"/>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lastRenderedPageBreak/>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98" w:name="_Toc181173312"/>
      <w:r>
        <w:rPr>
          <w:rStyle w:val="CharSectno"/>
        </w:rPr>
        <w:lastRenderedPageBreak/>
        <w:t>19DA</w:t>
      </w:r>
      <w:r>
        <w:t>.</w:t>
      </w:r>
      <w:r>
        <w:tab/>
        <w:t>Corporate business plans, requirements for (Act s. 5.56)</w:t>
      </w:r>
      <w:bookmarkEnd w:id="98"/>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keepNext/>
      </w:pPr>
      <w:r>
        <w:lastRenderedPageBreak/>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99" w:name="_Toc181173313"/>
      <w:r>
        <w:rPr>
          <w:rStyle w:val="CharSectno"/>
        </w:rPr>
        <w:t>19DB</w:t>
      </w:r>
      <w:r>
        <w:t>.</w:t>
      </w:r>
      <w:r>
        <w:tab/>
        <w:t>Transitional provisions for plans for the future until 30 June 2013</w:t>
      </w:r>
      <w:bookmarkEnd w:id="99"/>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keepNext/>
      </w:pPr>
      <w:r>
        <w:lastRenderedPageBreak/>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keepNext/>
      </w:pPr>
      <w:r>
        <w:tab/>
        <w:t>(7)</w:t>
      </w:r>
      <w:r>
        <w:tab/>
        <w:t>This regulation expires at the end of 30 June 2013.</w:t>
      </w:r>
    </w:p>
    <w:p>
      <w:pPr>
        <w:pStyle w:val="Footnotesection"/>
      </w:pPr>
      <w:r>
        <w:tab/>
        <w:t>[Regulation 19DB inserted: Gazette 26 Aug 2011 p. 3485-6.]</w:t>
      </w:r>
    </w:p>
    <w:p>
      <w:pPr>
        <w:pStyle w:val="Heading5"/>
      </w:pPr>
      <w:bookmarkStart w:id="100" w:name="_Toc181173314"/>
      <w:r>
        <w:rPr>
          <w:rStyle w:val="CharSectno"/>
        </w:rPr>
        <w:t>19D</w:t>
      </w:r>
      <w:r>
        <w:t>.</w:t>
      </w:r>
      <w:r>
        <w:tab/>
        <w:t>Public notice of adoption of strategic community plan</w:t>
      </w:r>
      <w:bookmarkEnd w:id="100"/>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101" w:name="_Toc180768306"/>
      <w:bookmarkStart w:id="102" w:name="_Toc180769046"/>
      <w:bookmarkStart w:id="103" w:name="_Toc181173315"/>
      <w:r>
        <w:rPr>
          <w:rStyle w:val="CharPartNo"/>
        </w:rPr>
        <w:lastRenderedPageBreak/>
        <w:t>Part 6</w:t>
      </w:r>
      <w:r>
        <w:rPr>
          <w:rStyle w:val="CharDivNo"/>
        </w:rPr>
        <w:t> </w:t>
      </w:r>
      <w:r>
        <w:t>—</w:t>
      </w:r>
      <w:r>
        <w:rPr>
          <w:rStyle w:val="CharDivText"/>
        </w:rPr>
        <w:t> </w:t>
      </w:r>
      <w:r>
        <w:rPr>
          <w:rStyle w:val="CharPartText"/>
        </w:rPr>
        <w:t>Disclosure of financial interests</w:t>
      </w:r>
      <w:r>
        <w:rPr>
          <w:szCs w:val="30"/>
        </w:rPr>
        <w:t xml:space="preserve"> and gifts</w:t>
      </w:r>
      <w:bookmarkEnd w:id="101"/>
      <w:bookmarkEnd w:id="102"/>
      <w:bookmarkEnd w:id="103"/>
    </w:p>
    <w:p>
      <w:pPr>
        <w:pStyle w:val="Footnoteheading"/>
      </w:pPr>
      <w:r>
        <w:tab/>
        <w:t>[Heading inserted: Gazette 26 Aug 2011 p. 3487; amended: Gazette 18 Oct 2019 p. 3679.]</w:t>
      </w:r>
    </w:p>
    <w:p>
      <w:pPr>
        <w:pStyle w:val="Heading5"/>
      </w:pPr>
      <w:bookmarkStart w:id="104" w:name="_Toc181173316"/>
      <w:r>
        <w:rPr>
          <w:rStyle w:val="CharSectno"/>
        </w:rPr>
        <w:t>20</w:t>
      </w:r>
      <w:r>
        <w:t>.</w:t>
      </w:r>
      <w:r>
        <w:tab/>
        <w:t>Closely associated persons, matters prescribed for (Act s. 5.62)</w:t>
      </w:r>
      <w:bookmarkEnd w:id="104"/>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105" w:name="_Toc181173317"/>
      <w:r>
        <w:rPr>
          <w:rStyle w:val="CharSectno"/>
        </w:rPr>
        <w:t>20A</w:t>
      </w:r>
      <w:r>
        <w:t>.</w:t>
      </w:r>
      <w:r>
        <w:tab/>
        <w:t>Amounts relating to gifts prescribed (Act s. 5.62(1A), 5.68(1C), 5.71B(2) and (4), 5.87A(3) and 5.87B(3))</w:t>
      </w:r>
      <w:bookmarkEnd w:id="105"/>
    </w:p>
    <w:p>
      <w:pPr>
        <w:pStyle w:val="Subsection"/>
      </w:pPr>
      <w:r>
        <w:tab/>
        <w:t>(1)</w:t>
      </w:r>
      <w:r>
        <w:tab/>
        <w:t>The amount prescribed for the purposes of sections 5.62(1A)(a)(i) and (ii), 5.87A(3)(a) and 5.87B(3)(a) is $300.</w:t>
      </w:r>
    </w:p>
    <w:p>
      <w:pPr>
        <w:pStyle w:val="Subsection"/>
        <w:keepNext/>
      </w:pPr>
      <w:r>
        <w:lastRenderedPageBreak/>
        <w:tab/>
        <w:t>(2)</w:t>
      </w:r>
      <w:r>
        <w:tab/>
        <w:t>The amount prescribed for the purposes of sections 5.68(1C)(a) and (b) and 5.71B(2)(a) and (4) is $1 000.</w:t>
      </w:r>
    </w:p>
    <w:p>
      <w:pPr>
        <w:pStyle w:val="Footnotesection"/>
      </w:pPr>
      <w:r>
        <w:tab/>
        <w:t>[Regulation 20A inserted: Gazette 18 Oct 2019 p. 3680; amended: SL 2023/102 r. 5.]</w:t>
      </w:r>
    </w:p>
    <w:p>
      <w:pPr>
        <w:pStyle w:val="Heading5"/>
      </w:pPr>
      <w:bookmarkStart w:id="106" w:name="_Toc181173318"/>
      <w:r>
        <w:rPr>
          <w:rStyle w:val="CharSectno"/>
        </w:rPr>
        <w:t>20B</w:t>
      </w:r>
      <w:r>
        <w:t>.</w:t>
      </w:r>
      <w:r>
        <w:tab/>
        <w:t>Excluded gifts prescribed (Act s. 5.62(1B)(b))</w:t>
      </w:r>
      <w:bookmarkEnd w:id="106"/>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107" w:name="_Toc181173319"/>
      <w:r>
        <w:rPr>
          <w:rStyle w:val="CharSectno"/>
        </w:rPr>
        <w:t>21</w:t>
      </w:r>
      <w:r>
        <w:t>.</w:t>
      </w:r>
      <w:r>
        <w:tab/>
        <w:t>Interests that need not be disclosed (Act s. 5.63(1)(h))</w:t>
      </w:r>
      <w:bookmarkEnd w:id="107"/>
    </w:p>
    <w:p>
      <w:pPr>
        <w:pStyle w:val="Subsection"/>
        <w:keepNext/>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keepLines/>
      </w:pPr>
      <w:r>
        <w:lastRenderedPageBreak/>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keepNext/>
      </w:pPr>
      <w:r>
        <w:tab/>
        <w:t>(II)</w:t>
      </w:r>
      <w:r>
        <w:tab/>
        <w:t>that has only minor residual value after use by the relevant person;</w:t>
      </w:r>
    </w:p>
    <w:p>
      <w:pPr>
        <w:pStyle w:val="Indenti"/>
      </w:pPr>
      <w:r>
        <w:tab/>
      </w:r>
      <w:r>
        <w:tab/>
        <w:t>or</w:t>
      </w:r>
    </w:p>
    <w:p>
      <w:pPr>
        <w:pStyle w:val="Indenti"/>
        <w:keepNext/>
      </w:pPr>
      <w:r>
        <w:tab/>
        <w:t>(iii)</w:t>
      </w:r>
      <w:r>
        <w:tab/>
        <w:t>setting an amount of a minor residual value for the purposes of subparagraph (ii).</w:t>
      </w:r>
    </w:p>
    <w:p>
      <w:pPr>
        <w:pStyle w:val="Ednotepara"/>
        <w:keepNext/>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108" w:name="_Toc181173320"/>
      <w:r>
        <w:rPr>
          <w:rStyle w:val="CharSectno"/>
        </w:rPr>
        <w:lastRenderedPageBreak/>
        <w:t>21A</w:t>
      </w:r>
      <w:r>
        <w:t>.</w:t>
      </w:r>
      <w:r>
        <w:tab/>
        <w:t>Information to be recorded in minutes of meeting (Act s. 5.68(2)(b))</w:t>
      </w:r>
      <w:bookmarkEnd w:id="108"/>
    </w:p>
    <w:p>
      <w:pPr>
        <w:pStyle w:val="Subsection"/>
        <w:keepNext/>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109" w:name="_Toc181173321"/>
      <w:r>
        <w:rPr>
          <w:rStyle w:val="CharSectno"/>
        </w:rPr>
        <w:t>22</w:t>
      </w:r>
      <w:r>
        <w:rPr>
          <w:snapToGrid w:val="0"/>
        </w:rPr>
        <w:t>.</w:t>
      </w:r>
      <w:r>
        <w:rPr>
          <w:snapToGrid w:val="0"/>
        </w:rPr>
        <w:tab/>
        <w:t xml:space="preserve">Primary returns, form of </w:t>
      </w:r>
      <w:r>
        <w:t>(Act </w:t>
      </w:r>
      <w:r>
        <w:rPr>
          <w:snapToGrid w:val="0"/>
        </w:rPr>
        <w:t>s. 5.75(1) and (2))</w:t>
      </w:r>
      <w:bookmarkEnd w:id="10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10" w:name="_Toc181173322"/>
      <w:r>
        <w:rPr>
          <w:rStyle w:val="CharSectno"/>
        </w:rPr>
        <w:t>23</w:t>
      </w:r>
      <w:r>
        <w:rPr>
          <w:snapToGrid w:val="0"/>
        </w:rPr>
        <w:t>.</w:t>
      </w:r>
      <w:r>
        <w:rPr>
          <w:snapToGrid w:val="0"/>
        </w:rPr>
        <w:tab/>
        <w:t xml:space="preserve">Annual returns, form of </w:t>
      </w:r>
      <w:r>
        <w:t>(Act </w:t>
      </w:r>
      <w:r>
        <w:rPr>
          <w:snapToGrid w:val="0"/>
        </w:rPr>
        <w:t>s. 5.76(1) and (2))</w:t>
      </w:r>
      <w:bookmarkEnd w:id="11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11" w:name="_Toc181173323"/>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11"/>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112" w:name="_Toc181173324"/>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1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13" w:name="_Toc181173325"/>
      <w:r>
        <w:rPr>
          <w:rStyle w:val="CharSectno"/>
        </w:rPr>
        <w:lastRenderedPageBreak/>
        <w:t>28</w:t>
      </w:r>
      <w:r>
        <w:rPr>
          <w:snapToGrid w:val="0"/>
        </w:rPr>
        <w:t>.</w:t>
      </w:r>
      <w:r>
        <w:rPr>
          <w:snapToGrid w:val="0"/>
        </w:rPr>
        <w:tab/>
        <w:t xml:space="preserve">Register of financial interests, form of </w:t>
      </w:r>
      <w:r>
        <w:t>(Act </w:t>
      </w:r>
      <w:r>
        <w:rPr>
          <w:snapToGrid w:val="0"/>
        </w:rPr>
        <w:t>s. 5.88(2))</w:t>
      </w:r>
      <w:bookmarkEnd w:id="113"/>
    </w:p>
    <w:p>
      <w:pPr>
        <w:pStyle w:val="Subsection"/>
        <w:keepNext/>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keepNext/>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114" w:name="_Toc181173326"/>
      <w:r>
        <w:rPr>
          <w:rStyle w:val="CharSectno"/>
        </w:rPr>
        <w:t>28A</w:t>
      </w:r>
      <w:r>
        <w:t>.</w:t>
      </w:r>
      <w:r>
        <w:tab/>
        <w:t>Register of gifts (Act s. 5.89A(3))</w:t>
      </w:r>
      <w:bookmarkEnd w:id="114"/>
    </w:p>
    <w:p>
      <w:pPr>
        <w:pStyle w:val="Subsection"/>
        <w:keepNext/>
      </w:pPr>
      <w:r>
        <w:tab/>
      </w:r>
      <w:r>
        <w:tab/>
        <w:t>The register of gifts is to be in the form of Form 4.</w:t>
      </w:r>
    </w:p>
    <w:p>
      <w:pPr>
        <w:pStyle w:val="PermNoteHeading"/>
      </w:pPr>
      <w:r>
        <w:tab/>
        <w:t>Note for this regulation:</w:t>
      </w:r>
    </w:p>
    <w:p>
      <w:pPr>
        <w:pStyle w:val="PermNoteText"/>
        <w:keepN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115" w:name="_Toc181173327"/>
      <w:r>
        <w:rPr>
          <w:rStyle w:val="CharSectno"/>
        </w:rPr>
        <w:t>28B</w:t>
      </w:r>
      <w:r>
        <w:t>.</w:t>
      </w:r>
      <w:r>
        <w:tab/>
        <w:t>Transitional provision for register of gifts</w:t>
      </w:r>
      <w:bookmarkEnd w:id="115"/>
    </w:p>
    <w:p>
      <w:pPr>
        <w:pStyle w:val="Subsection"/>
        <w:keepNext/>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lastRenderedPageBreak/>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keepNext/>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116" w:name="_Toc180768319"/>
      <w:bookmarkStart w:id="117" w:name="_Toc180769059"/>
      <w:bookmarkStart w:id="118" w:name="_Toc181173328"/>
      <w:r>
        <w:rPr>
          <w:rStyle w:val="CharPartNo"/>
        </w:rPr>
        <w:lastRenderedPageBreak/>
        <w:t>Part 7</w:t>
      </w:r>
      <w:r>
        <w:rPr>
          <w:rStyle w:val="CharDivNo"/>
        </w:rPr>
        <w:t> </w:t>
      </w:r>
      <w:r>
        <w:t>—</w:t>
      </w:r>
      <w:r>
        <w:rPr>
          <w:rStyle w:val="CharDivText"/>
        </w:rPr>
        <w:t> </w:t>
      </w:r>
      <w:r>
        <w:rPr>
          <w:rStyle w:val="CharPartText"/>
        </w:rPr>
        <w:t>Access to information</w:t>
      </w:r>
      <w:bookmarkEnd w:id="116"/>
      <w:bookmarkEnd w:id="117"/>
      <w:bookmarkEnd w:id="118"/>
    </w:p>
    <w:p>
      <w:pPr>
        <w:pStyle w:val="Footnoteheading"/>
        <w:spacing w:before="100"/>
      </w:pPr>
      <w:r>
        <w:tab/>
        <w:t>[Heading inserted: Gazette 26 Aug 2011 p. 3487.]</w:t>
      </w:r>
    </w:p>
    <w:p>
      <w:pPr>
        <w:pStyle w:val="Heading5"/>
        <w:rPr>
          <w:snapToGrid w:val="0"/>
        </w:rPr>
      </w:pPr>
      <w:bookmarkStart w:id="119" w:name="_Toc181173329"/>
      <w:r>
        <w:rPr>
          <w:rStyle w:val="CharSectno"/>
        </w:rPr>
        <w:t>29</w:t>
      </w:r>
      <w:r>
        <w:rPr>
          <w:snapToGrid w:val="0"/>
        </w:rPr>
        <w:t>.</w:t>
      </w:r>
      <w:r>
        <w:rPr>
          <w:snapToGrid w:val="0"/>
        </w:rPr>
        <w:tab/>
        <w:t xml:space="preserve">Information to be available for public inspection </w:t>
      </w:r>
      <w:r>
        <w:t>(Act </w:t>
      </w:r>
      <w:r>
        <w:rPr>
          <w:snapToGrid w:val="0"/>
        </w:rPr>
        <w:t>s. 5.94)</w:t>
      </w:r>
      <w:bookmarkEnd w:id="11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 (bb)</w:t>
      </w:r>
      <w:r>
        <w:tab/>
        <w:t>deleted]</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22; SL 2022/185 r. 9.]</w:t>
      </w:r>
    </w:p>
    <w:p>
      <w:pPr>
        <w:pStyle w:val="Heading5"/>
      </w:pPr>
      <w:bookmarkStart w:id="120" w:name="_Toc181173330"/>
      <w:r>
        <w:rPr>
          <w:rStyle w:val="CharSectno"/>
        </w:rPr>
        <w:lastRenderedPageBreak/>
        <w:t>29A</w:t>
      </w:r>
      <w:r>
        <w:t>.</w:t>
      </w:r>
      <w:r>
        <w:tab/>
        <w:t>Limits on right to inspect local government information (Act s. 5.95)</w:t>
      </w:r>
      <w:bookmarkEnd w:id="120"/>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121" w:name="_Toc181173331"/>
      <w:r>
        <w:rPr>
          <w:rStyle w:val="CharSectno"/>
        </w:rPr>
        <w:t>29B</w:t>
      </w:r>
      <w:r>
        <w:t>.</w:t>
      </w:r>
      <w:r>
        <w:tab/>
        <w:t>Copies of certain information not to be provided (Act s. 5.96)</w:t>
      </w:r>
      <w:bookmarkEnd w:id="121"/>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lastRenderedPageBreak/>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122" w:name="_Toc181173332"/>
      <w:r>
        <w:rPr>
          <w:rStyle w:val="CharSectno"/>
        </w:rPr>
        <w:t>29C</w:t>
      </w:r>
      <w:r>
        <w:t>.</w:t>
      </w:r>
      <w:r>
        <w:tab/>
        <w:t>Information to be published on official website (Act s. 5.96A(1)(i))</w:t>
      </w:r>
      <w:bookmarkEnd w:id="122"/>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lastRenderedPageBreak/>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Indenta"/>
      </w:pPr>
      <w:r>
        <w:tab/>
        <w:t>(g)</w:t>
      </w:r>
      <w:r>
        <w:tab/>
        <w:t xml:space="preserve">a copy of any local public notice given under the </w:t>
      </w:r>
      <w:r>
        <w:rPr>
          <w:i/>
        </w:rPr>
        <w:t xml:space="preserve">Local Government (Elections) Regulations 1997 </w:t>
      </w:r>
      <w:r>
        <w:t>regulation 80(8), 86(a), 86A or 87A(4) in respect of the local government.</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w:t>
      </w:r>
      <w:r>
        <w:lastRenderedPageBreak/>
        <w:t xml:space="preserve">before 14 July immediately following the end of the financial year to which the information relates. </w:t>
      </w:r>
    </w:p>
    <w:p>
      <w:pPr>
        <w:pStyle w:val="Footnotesection"/>
      </w:pPr>
      <w:r>
        <w:tab/>
        <w:t>[Regulation 29C inserted: SL 2020/213 r. 24; amended: SL 2023/102 r. 6; SL 2023/158 r. 8.]</w:t>
      </w:r>
    </w:p>
    <w:p>
      <w:pPr>
        <w:pStyle w:val="Heading5"/>
      </w:pPr>
      <w:bookmarkStart w:id="123" w:name="_Toc181173333"/>
      <w:r>
        <w:rPr>
          <w:rStyle w:val="CharSectno"/>
        </w:rPr>
        <w:t>29D</w:t>
      </w:r>
      <w:r>
        <w:t>.</w:t>
      </w:r>
      <w:r>
        <w:tab/>
        <w:t>Period for which information to be kept on official website (Act s. 5.96A(5))</w:t>
      </w:r>
      <w:bookmarkEnd w:id="123"/>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124" w:name="_Toc180768325"/>
      <w:bookmarkStart w:id="125" w:name="_Toc180769065"/>
      <w:bookmarkStart w:id="126" w:name="_Toc181173334"/>
      <w:r>
        <w:rPr>
          <w:rStyle w:val="CharPartNo"/>
        </w:rPr>
        <w:lastRenderedPageBreak/>
        <w:t>Part 8</w:t>
      </w:r>
      <w:r>
        <w:rPr>
          <w:rStyle w:val="CharDivNo"/>
        </w:rPr>
        <w:t> </w:t>
      </w:r>
      <w:r>
        <w:t>—</w:t>
      </w:r>
      <w:r>
        <w:rPr>
          <w:rStyle w:val="CharDivText"/>
        </w:rPr>
        <w:t> </w:t>
      </w:r>
      <w:r>
        <w:rPr>
          <w:rStyle w:val="CharPartText"/>
        </w:rPr>
        <w:t>Local government payments and gifts to members</w:t>
      </w:r>
      <w:bookmarkEnd w:id="124"/>
      <w:bookmarkEnd w:id="125"/>
      <w:bookmarkEnd w:id="126"/>
    </w:p>
    <w:p>
      <w:pPr>
        <w:pStyle w:val="Footnoteheading"/>
      </w:pPr>
      <w:r>
        <w:tab/>
        <w:t>[Heading inserted: Gazette 26 Aug 2011 p. 3487.]</w:t>
      </w:r>
    </w:p>
    <w:p>
      <w:pPr>
        <w:pStyle w:val="Heading5"/>
        <w:rPr>
          <w:snapToGrid w:val="0"/>
        </w:rPr>
      </w:pPr>
      <w:bookmarkStart w:id="127" w:name="_Toc181173335"/>
      <w:r>
        <w:rPr>
          <w:rStyle w:val="CharSectno"/>
        </w:rPr>
        <w:t>30</w:t>
      </w:r>
      <w:r>
        <w:rPr>
          <w:snapToGrid w:val="0"/>
        </w:rPr>
        <w:t>.</w:t>
      </w:r>
      <w:r>
        <w:rPr>
          <w:snapToGrid w:val="0"/>
        </w:rPr>
        <w:tab/>
        <w:t xml:space="preserve">Meeting attendance fees </w:t>
      </w:r>
      <w:r>
        <w:t>(Act </w:t>
      </w:r>
      <w:r>
        <w:rPr>
          <w:snapToGrid w:val="0"/>
        </w:rPr>
        <w:t>s. 5.98(1) and (2A))</w:t>
      </w:r>
      <w:bookmarkEnd w:id="127"/>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keepNext/>
      </w:pPr>
      <w:r>
        <w:lastRenderedPageBreak/>
        <w:tab/>
        <w:t>(3C)</w:t>
      </w:r>
      <w:r>
        <w:tab/>
        <w:t>A council member is not entitled to be paid a fee for attending a meeting of a type referred to in subregulation (3A) if —</w:t>
      </w:r>
    </w:p>
    <w:p>
      <w:pPr>
        <w:pStyle w:val="Indenta"/>
        <w:keepNext/>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128" w:name="_Toc181173336"/>
      <w:r>
        <w:rPr>
          <w:rStyle w:val="CharSectno"/>
        </w:rPr>
        <w:t>31</w:t>
      </w:r>
      <w:r>
        <w:rPr>
          <w:snapToGrid w:val="0"/>
        </w:rPr>
        <w:t>.</w:t>
      </w:r>
      <w:r>
        <w:rPr>
          <w:snapToGrid w:val="0"/>
        </w:rPr>
        <w:tab/>
      </w:r>
      <w:r>
        <w:t>Expenses to be reimbursed (Act s. 5.98(2)(a))</w:t>
      </w:r>
      <w:bookmarkEnd w:id="128"/>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 and</w:t>
      </w:r>
    </w:p>
    <w:p>
      <w:pPr>
        <w:pStyle w:val="Indenta"/>
        <w:keepNext/>
      </w:pPr>
      <w:r>
        <w:tab/>
        <w:t>(c)</w:t>
      </w:r>
      <w:r>
        <w:tab/>
        <w:t>child care and travel costs incurred by a council member in completing the training required by section 5.126(1).</w:t>
      </w:r>
    </w:p>
    <w:p>
      <w:pPr>
        <w:pStyle w:val="Ednotesubsection"/>
        <w:keepNext/>
      </w:pPr>
      <w:r>
        <w:t>[(2)</w:t>
      </w:r>
      <w:r>
        <w:noBreakHyphen/>
        <w:t>(5)</w:t>
      </w:r>
      <w:r>
        <w:tab/>
        <w:t>deleted]</w:t>
      </w:r>
    </w:p>
    <w:p>
      <w:pPr>
        <w:pStyle w:val="Footnotesection"/>
      </w:pPr>
      <w:r>
        <w:tab/>
        <w:t>[Regulation 31 amended: Gazette 31 Mar 2005 p. 1034; 13 Jul 2012 p. 3219; SL 2022/185 r. 10.]</w:t>
      </w:r>
    </w:p>
    <w:p>
      <w:pPr>
        <w:pStyle w:val="Heading5"/>
        <w:rPr>
          <w:snapToGrid w:val="0"/>
        </w:rPr>
      </w:pPr>
      <w:bookmarkStart w:id="129" w:name="_Toc181173337"/>
      <w:r>
        <w:rPr>
          <w:rStyle w:val="CharSectno"/>
        </w:rPr>
        <w:lastRenderedPageBreak/>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bookmarkEnd w:id="129"/>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130" w:name="_Toc181173338"/>
      <w:r>
        <w:rPr>
          <w:rStyle w:val="CharSectno"/>
        </w:rPr>
        <w:t>34AC</w:t>
      </w:r>
      <w:r>
        <w:t>.</w:t>
      </w:r>
      <w:r>
        <w:tab/>
        <w:t>Gifts to council members, when permitted etc. (Act s. 5.100A)</w:t>
      </w:r>
      <w:bookmarkEnd w:id="130"/>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pPr>
      <w:bookmarkStart w:id="131" w:name="_Toc181173339"/>
      <w:r>
        <w:rPr>
          <w:rStyle w:val="CharSectno"/>
        </w:rPr>
        <w:lastRenderedPageBreak/>
        <w:t>34ACA</w:t>
      </w:r>
      <w:r>
        <w:t>.</w:t>
      </w:r>
      <w:r>
        <w:tab/>
        <w:t>Fees paid and expenses reimbursed to committee members (Act s. 5.100)</w:t>
      </w:r>
      <w:bookmarkEnd w:id="131"/>
    </w:p>
    <w:p>
      <w:pPr>
        <w:pStyle w:val="Subsection"/>
      </w:pPr>
      <w:r>
        <w:tab/>
        <w:t>(1)</w:t>
      </w:r>
      <w:r>
        <w:tab/>
        <w:t>A meeting of a committee of the council of which the committee member is not a member is a meeting of a prescribed type for the purposes of section 5.100(3).</w:t>
      </w:r>
    </w:p>
    <w:p>
      <w:pPr>
        <w:pStyle w:val="Subsection"/>
      </w:pPr>
      <w:r>
        <w:tab/>
        <w:t>(2)</w:t>
      </w:r>
      <w:r>
        <w:tab/>
        <w:t>For the purposes of section 5.100(4)(a), the kinds of expenses that are to be reimbursed by all local governments are child care and travel costs incurred by a committee member because of their attendance at a meeting of the committee of which they are a member.</w:t>
      </w:r>
    </w:p>
    <w:p>
      <w:pPr>
        <w:pStyle w:val="Subsection"/>
      </w:pPr>
      <w:r>
        <w:tab/>
        <w:t>(3)</w:t>
      </w:r>
      <w:r>
        <w:tab/>
        <w:t xml:space="preserve">For the purposes of section 5.100(4)(b), the kinds of expenses that may be approved by any local government for reimbursement by the local government are — </w:t>
      </w:r>
    </w:p>
    <w:p>
      <w:pPr>
        <w:pStyle w:val="Indenta"/>
      </w:pPr>
      <w:r>
        <w:tab/>
        <w:t>(a)</w:t>
      </w:r>
      <w:r>
        <w:tab/>
        <w:t>an expense incurred by a committee member in performing a function under the express authority of the local government; and</w:t>
      </w:r>
    </w:p>
    <w:p>
      <w:pPr>
        <w:pStyle w:val="Indenta"/>
      </w:pPr>
      <w:r>
        <w:tab/>
        <w:t>(b)</w:t>
      </w:r>
      <w:r>
        <w:tab/>
        <w:t>an expense incurred by a committee member in performing a function in their capacity as a committee member.</w:t>
      </w:r>
    </w:p>
    <w:p>
      <w:pPr>
        <w:pStyle w:val="Subsection"/>
      </w:pPr>
      <w:r>
        <w:tab/>
        <w:t>(4)</w:t>
      </w:r>
      <w:r>
        <w:tab/>
        <w:t xml:space="preserve">For the purposes of Schedule 9.3 clause 62(2) — </w:t>
      </w:r>
    </w:p>
    <w:p>
      <w:pPr>
        <w:pStyle w:val="Indenta"/>
      </w:pPr>
      <w:r>
        <w:tab/>
        <w:t>(a)</w:t>
      </w:r>
      <w:r>
        <w:tab/>
        <w:t xml:space="preserve">section 5.98(7), as in force immediately before the transitional period, continues to apply in relation to meetings of committees held before or during that period as if the </w:t>
      </w:r>
      <w:r>
        <w:rPr>
          <w:i/>
        </w:rPr>
        <w:t>Local Government Amendment Act 2023</w:t>
      </w:r>
      <w:r>
        <w:t xml:space="preserve"> section 79(2) had not come into operation; and</w:t>
      </w:r>
    </w:p>
    <w:p>
      <w:pPr>
        <w:pStyle w:val="Indenta"/>
      </w:pPr>
      <w:r>
        <w:tab/>
        <w:t>(b)</w:t>
      </w:r>
      <w:r>
        <w:tab/>
        <w:t xml:space="preserve">section 5.100(1), as in force immediately before the transitional period, continues to apply in relation to committee meetings held before or during that period as if the </w:t>
      </w:r>
      <w:r>
        <w:rPr>
          <w:i/>
        </w:rPr>
        <w:t>Local Government Amendment Act 2023</w:t>
      </w:r>
      <w:r>
        <w:t xml:space="preserve"> section 80 had not come into operation; and</w:t>
      </w:r>
    </w:p>
    <w:p>
      <w:pPr>
        <w:pStyle w:val="Indenta"/>
      </w:pPr>
      <w:r>
        <w:tab/>
        <w:t>(c)</w:t>
      </w:r>
      <w:r>
        <w:tab/>
        <w:t xml:space="preserve">section 5.100(2), as in force immediately before the transitional period, continues to apply in relation to expenses incurred before or during that period as if the </w:t>
      </w:r>
      <w:r>
        <w:rPr>
          <w:i/>
        </w:rPr>
        <w:lastRenderedPageBreak/>
        <w:t>Local Government Amendment Act 2023</w:t>
      </w:r>
      <w:r>
        <w:t xml:space="preserve"> section 80 had not come into operation.</w:t>
      </w:r>
    </w:p>
    <w:p>
      <w:pPr>
        <w:pStyle w:val="Subsection"/>
      </w:pPr>
      <w:r>
        <w:tab/>
        <w:t>(5)</w:t>
      </w:r>
      <w:r>
        <w:tab/>
        <w:t xml:space="preserve">In subregulation (4) — </w:t>
      </w:r>
    </w:p>
    <w:p>
      <w:pPr>
        <w:pStyle w:val="Defstart"/>
      </w:pPr>
      <w:r>
        <w:tab/>
      </w:r>
      <w:r>
        <w:rPr>
          <w:rStyle w:val="CharDefText"/>
        </w:rPr>
        <w:t>transitional period</w:t>
      </w:r>
      <w:r>
        <w:t xml:space="preserve"> means the period that — </w:t>
      </w:r>
    </w:p>
    <w:p>
      <w:pPr>
        <w:pStyle w:val="Defpara"/>
      </w:pPr>
      <w:r>
        <w:tab/>
        <w:t>(a)</w:t>
      </w:r>
      <w:r>
        <w:tab/>
        <w:t xml:space="preserve">begins when the </w:t>
      </w:r>
      <w:r>
        <w:rPr>
          <w:i/>
        </w:rPr>
        <w:t>Local Government Amendment Act 2023</w:t>
      </w:r>
      <w:r>
        <w:t xml:space="preserve"> section 80 comes into operation; and</w:t>
      </w:r>
    </w:p>
    <w:p>
      <w:pPr>
        <w:pStyle w:val="Defpara"/>
      </w:pPr>
      <w:r>
        <w:tab/>
        <w:t>(b)</w:t>
      </w:r>
      <w:r>
        <w:tab/>
        <w:t xml:space="preserve">ends immediately before the first determination of the Salaries and Allowances Tribunal under the </w:t>
      </w:r>
      <w:r>
        <w:rPr>
          <w:i/>
        </w:rPr>
        <w:t>Salaries and Allowances Act 1975</w:t>
      </w:r>
      <w:r>
        <w:t xml:space="preserve"> section 7BAA comes into operation or is deemed to have come into operation.</w:t>
      </w:r>
    </w:p>
    <w:p>
      <w:pPr>
        <w:pStyle w:val="Footnotesection"/>
      </w:pPr>
      <w:r>
        <w:tab/>
        <w:t>[Regulation 34ACA inserted: SL 2023/102 r. 7.]</w:t>
      </w:r>
    </w:p>
    <w:p>
      <w:pPr>
        <w:pStyle w:val="Heading5"/>
        <w:spacing w:before="200"/>
      </w:pPr>
      <w:bookmarkStart w:id="132" w:name="_Toc181173340"/>
      <w:r>
        <w:rPr>
          <w:rStyle w:val="CharSectno"/>
        </w:rPr>
        <w:t>34AD</w:t>
      </w:r>
      <w:r>
        <w:t>.</w:t>
      </w:r>
      <w:r>
        <w:tab/>
        <w:t>Method of payment of expenses for which person can be reimbursed (Act s. 5.101A)</w:t>
      </w:r>
      <w:bookmarkEnd w:id="132"/>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133" w:name="_Toc181173341"/>
      <w:r>
        <w:rPr>
          <w:rStyle w:val="CharSectno"/>
        </w:rPr>
        <w:lastRenderedPageBreak/>
        <w:t>34AE</w:t>
      </w:r>
      <w:r>
        <w:t>.</w:t>
      </w:r>
      <w:r>
        <w:tab/>
        <w:t>Repayment and recovery of advance payments of fees and allowances (Act s. 5.102AB)</w:t>
      </w:r>
      <w:bookmarkEnd w:id="133"/>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lastRenderedPageBreak/>
        <w:t>[Part 9:</w:t>
      </w:r>
      <w:r>
        <w:tab/>
        <w:t>Div. 1 heading, Div. 2 (r. 34E</w:t>
      </w:r>
      <w:r>
        <w:noBreakHyphen/>
        <w:t xml:space="preserve">34G) deleted: Gazette </w:t>
      </w:r>
      <w:r>
        <w:tab/>
        <w:t>18 Oct 2019 p. 3682;</w:t>
      </w:r>
      <w:r>
        <w:br/>
      </w:r>
      <w:r>
        <w:tab/>
        <w:t>balance (r. 34B, 34C) deleted: SL 2021/16 r. 6.]</w:t>
      </w:r>
    </w:p>
    <w:p>
      <w:pPr>
        <w:pStyle w:val="Heading2"/>
      </w:pPr>
      <w:bookmarkStart w:id="134" w:name="_Toc180768333"/>
      <w:bookmarkStart w:id="135" w:name="_Toc180769073"/>
      <w:bookmarkStart w:id="136" w:name="_Toc181173342"/>
      <w:r>
        <w:rPr>
          <w:rStyle w:val="CharPartNo"/>
        </w:rPr>
        <w:lastRenderedPageBreak/>
        <w:t>Part 9A</w:t>
      </w:r>
      <w:r>
        <w:rPr>
          <w:rStyle w:val="CharDivNo"/>
        </w:rPr>
        <w:t> </w:t>
      </w:r>
      <w:r>
        <w:t>—</w:t>
      </w:r>
      <w:r>
        <w:rPr>
          <w:rStyle w:val="CharDivText"/>
        </w:rPr>
        <w:t> </w:t>
      </w:r>
      <w:r>
        <w:rPr>
          <w:rStyle w:val="CharPartText"/>
        </w:rPr>
        <w:t>Minor breaches by council members</w:t>
      </w:r>
      <w:bookmarkEnd w:id="134"/>
      <w:bookmarkEnd w:id="135"/>
      <w:bookmarkEnd w:id="136"/>
    </w:p>
    <w:p>
      <w:pPr>
        <w:pStyle w:val="Footnoteheading"/>
      </w:pPr>
      <w:r>
        <w:tab/>
        <w:t>[Heading inserted: SL 2021/15 r. 5.]</w:t>
      </w:r>
    </w:p>
    <w:p>
      <w:pPr>
        <w:pStyle w:val="Heading5"/>
      </w:pPr>
      <w:bookmarkStart w:id="137" w:name="_Toc181173343"/>
      <w:r>
        <w:rPr>
          <w:rStyle w:val="CharSectno"/>
        </w:rPr>
        <w:t>34D</w:t>
      </w:r>
      <w:r>
        <w:t>.</w:t>
      </w:r>
      <w:r>
        <w:tab/>
        <w:t>Contravention of local law as to conduct (Act s. 5.105(1)(b))</w:t>
      </w:r>
      <w:bookmarkEnd w:id="137"/>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138" w:name="_Toc180768335"/>
      <w:bookmarkStart w:id="139" w:name="_Toc180769075"/>
      <w:bookmarkStart w:id="140" w:name="_Toc181173344"/>
      <w:r>
        <w:rPr>
          <w:rStyle w:val="CharPartNo"/>
        </w:rPr>
        <w:lastRenderedPageBreak/>
        <w:t>Part 10</w:t>
      </w:r>
      <w:r>
        <w:rPr>
          <w:rStyle w:val="CharDivNo"/>
        </w:rPr>
        <w:t> </w:t>
      </w:r>
      <w:r>
        <w:t>—</w:t>
      </w:r>
      <w:r>
        <w:rPr>
          <w:rStyle w:val="CharDivText"/>
        </w:rPr>
        <w:t> </w:t>
      </w:r>
      <w:r>
        <w:rPr>
          <w:rStyle w:val="CharPartText"/>
        </w:rPr>
        <w:t>Training</w:t>
      </w:r>
      <w:bookmarkEnd w:id="138"/>
      <w:bookmarkEnd w:id="139"/>
      <w:bookmarkEnd w:id="140"/>
    </w:p>
    <w:p>
      <w:pPr>
        <w:pStyle w:val="Footnoteheading"/>
      </w:pPr>
      <w:r>
        <w:tab/>
        <w:t>[Heading inserted: Gazette 9 Aug 2019 p. 3022.]</w:t>
      </w:r>
    </w:p>
    <w:p>
      <w:pPr>
        <w:pStyle w:val="Heading5"/>
      </w:pPr>
      <w:bookmarkStart w:id="141" w:name="_Toc181173345"/>
      <w:r>
        <w:rPr>
          <w:rStyle w:val="CharSectno"/>
        </w:rPr>
        <w:t>35</w:t>
      </w:r>
      <w:r>
        <w:t>.</w:t>
      </w:r>
      <w:r>
        <w:tab/>
        <w:t>Training for council members (Act s. 5.126(1))</w:t>
      </w:r>
      <w:bookmarkEnd w:id="141"/>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42" w:name="_Toc181173346"/>
      <w:r>
        <w:rPr>
          <w:rStyle w:val="CharSectno"/>
        </w:rPr>
        <w:lastRenderedPageBreak/>
        <w:t>36</w:t>
      </w:r>
      <w:r>
        <w:t>.</w:t>
      </w:r>
      <w:r>
        <w:tab/>
        <w:t>Exemption from Act s. 5.126(1) requirement</w:t>
      </w:r>
      <w:bookmarkEnd w:id="142"/>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any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pPr>
      <w:r>
        <w:tab/>
        <w:t>(iii)</w:t>
      </w:r>
      <w:r>
        <w:tab/>
        <w:t xml:space="preserve">the course titled </w:t>
      </w:r>
      <w:r>
        <w:rPr>
          <w:i/>
        </w:rPr>
        <w:t xml:space="preserve">LGA50220 Diploma of Local Government </w:t>
      </w:r>
      <w:r>
        <w:rPr>
          <w:i/>
        </w:rPr>
        <w:noBreakHyphen/>
        <w:t xml:space="preserve"> Elected Member</w:t>
      </w:r>
      <w:r>
        <w:t>;</w:t>
      </w:r>
    </w:p>
    <w:p>
      <w:pPr>
        <w:pStyle w:val="Indenti"/>
        <w:keepNext/>
      </w:pPr>
      <w:r>
        <w:tab/>
        <w:t>(iv)</w:t>
      </w:r>
      <w:r>
        <w:tab/>
        <w:t xml:space="preserve">the course titled </w:t>
      </w:r>
      <w:r>
        <w:rPr>
          <w:i/>
        </w:rPr>
        <w:t>LGASS00007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 amended: SL 2022/185 r. 11.]</w:t>
      </w:r>
    </w:p>
    <w:p>
      <w:pPr>
        <w:pStyle w:val="Heading5"/>
      </w:pPr>
      <w:bookmarkStart w:id="143" w:name="_Toc181173347"/>
      <w:r>
        <w:rPr>
          <w:rStyle w:val="CharSectno"/>
        </w:rPr>
        <w:t>37</w:t>
      </w:r>
      <w:r>
        <w:t>.</w:t>
      </w:r>
      <w:r>
        <w:tab/>
        <w:t>Fees and expenses (Act s. 5.129(4))</w:t>
      </w:r>
      <w:bookmarkEnd w:id="143"/>
    </w:p>
    <w:p>
      <w:pPr>
        <w:pStyle w:val="Subsection"/>
      </w:pPr>
      <w:r>
        <w:tab/>
        <w:t>(1)</w:t>
      </w:r>
      <w:r>
        <w:tab/>
        <w:t>This regulation applies to a policy of a local government under section 5.129 to the extent that the policy makes provision under section 5.129(1)(c) or (d).</w:t>
      </w:r>
    </w:p>
    <w:p>
      <w:pPr>
        <w:pStyle w:val="Subsection"/>
      </w:pPr>
      <w:r>
        <w:lastRenderedPageBreak/>
        <w:tab/>
        <w:t>(2)</w:t>
      </w:r>
      <w:r>
        <w:tab/>
        <w:t xml:space="preserve">The policy must not allow for the payment or reimbursement of an amount in relation to the participation of a council member in continuing professional development unless the continuing professional development is relevant to either or both of the following — </w:t>
      </w:r>
    </w:p>
    <w:p>
      <w:pPr>
        <w:pStyle w:val="Indenta"/>
      </w:pPr>
      <w:r>
        <w:tab/>
        <w:t>(a)</w:t>
      </w:r>
      <w:r>
        <w:tab/>
        <w:t>the council’s role under the Act or another written law, including as described in section 2.7;</w:t>
      </w:r>
    </w:p>
    <w:p>
      <w:pPr>
        <w:pStyle w:val="Indenta"/>
      </w:pPr>
      <w:r>
        <w:tab/>
        <w:t>(b)</w:t>
      </w:r>
      <w:r>
        <w:tab/>
        <w:t>the council member’s role under the Act or another written law, including as described in any of sections 2.8 to 2.10.</w:t>
      </w:r>
    </w:p>
    <w:p>
      <w:pPr>
        <w:pStyle w:val="Subsection"/>
      </w:pPr>
      <w:r>
        <w:tab/>
        <w:t>(3)</w:t>
      </w:r>
      <w:r>
        <w:tab/>
        <w:t xml:space="preserve">The policy must not allow for the payment or reimbursement of an amount in relation to the participation of a council member in continuing professional development if the participation occurs during any of the following periods — </w:t>
      </w:r>
    </w:p>
    <w:p>
      <w:pPr>
        <w:pStyle w:val="Indenta"/>
      </w:pPr>
      <w:r>
        <w:tab/>
        <w:t>(a)</w:t>
      </w:r>
      <w:r>
        <w:tab/>
        <w:t>the period of 3 months ending on the day on which the term for which the council member was elected as an elector mayor or president, or as a councillor, ends;</w:t>
      </w:r>
    </w:p>
    <w:p>
      <w:pPr>
        <w:pStyle w:val="Indenta"/>
      </w:pPr>
      <w:r>
        <w:tab/>
        <w:t>(b)</w:t>
      </w:r>
      <w:r>
        <w:tab/>
        <w:t xml:space="preserve">if the council member delivers a notice of resignation to the CEO under section 2.31 specifying a later day from which the resignation takes effect under section 2.31(4) — the period that — </w:t>
      </w:r>
    </w:p>
    <w:p>
      <w:pPr>
        <w:pStyle w:val="Indenti"/>
      </w:pPr>
      <w:r>
        <w:tab/>
        <w:t>(i)</w:t>
      </w:r>
      <w:r>
        <w:tab/>
        <w:t>begins on the date of delivery of the notice; and</w:t>
      </w:r>
    </w:p>
    <w:p>
      <w:pPr>
        <w:pStyle w:val="Indenti"/>
        <w:rPr>
          <w:b/>
        </w:rPr>
      </w:pPr>
      <w:r>
        <w:tab/>
        <w:t>(ii)</w:t>
      </w:r>
      <w:r>
        <w:tab/>
        <w:t>ends when the resignation takes effect;</w:t>
      </w:r>
    </w:p>
    <w:p>
      <w:pPr>
        <w:pStyle w:val="Indenta"/>
      </w:pPr>
      <w:r>
        <w:tab/>
        <w:t>(c)</w:t>
      </w:r>
      <w:r>
        <w:tab/>
        <w:t>a period of suspension of the council or council member under Part 8 of the Act.</w:t>
      </w:r>
    </w:p>
    <w:p>
      <w:pPr>
        <w:pStyle w:val="Footnotesection"/>
      </w:pPr>
      <w:r>
        <w:tab/>
        <w:t>[Regulation 37 inserted: SL 2023/158 r. 6.]</w:t>
      </w:r>
    </w:p>
    <w:p>
      <w:pPr>
        <w:pStyle w:val="Ednotesection"/>
      </w:pPr>
      <w:r>
        <w:t>[</w:t>
      </w:r>
      <w:r>
        <w:rPr>
          <w:b/>
        </w:rPr>
        <w:t>38, 39.</w:t>
      </w:r>
      <w:r>
        <w:tab/>
        <w:t>Deleted: Gazette 9 Aug 2019 p. 3022.]</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4" w:name="_Toc180768339"/>
      <w:bookmarkStart w:id="145" w:name="_Toc180769079"/>
      <w:bookmarkStart w:id="146" w:name="_Toc181173348"/>
      <w:r>
        <w:rPr>
          <w:rStyle w:val="CharSchNo"/>
        </w:rPr>
        <w:lastRenderedPageBreak/>
        <w:t>Schedule 1</w:t>
      </w:r>
      <w:r>
        <w:t> — </w:t>
      </w:r>
      <w:r>
        <w:rPr>
          <w:rStyle w:val="CharSchText"/>
        </w:rPr>
        <w:t>Forms</w:t>
      </w:r>
      <w:bookmarkEnd w:id="144"/>
      <w:bookmarkEnd w:id="145"/>
      <w:bookmarkEnd w:id="14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w:t>
      </w:r>
      <w:r>
        <w:t xml:space="preserve">300 </w:t>
      </w:r>
      <w:r>
        <w:rPr>
          <w:snapToGrid w:val="0"/>
        </w:rPr>
        <w:t>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lastRenderedPageBreak/>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Footnotesection"/>
      </w:pPr>
      <w:r>
        <w:tab/>
        <w:t>[Form 1 amended: SL 2023/102 r. 8.]</w:t>
      </w:r>
    </w:p>
    <w:p>
      <w:pPr>
        <w:pStyle w:val="yTable"/>
        <w:pageBreakBefore/>
        <w:tabs>
          <w:tab w:val="right" w:leader="dot" w:pos="7088"/>
        </w:tabs>
        <w:jc w:val="center"/>
        <w:rPr>
          <w:b/>
          <w:snapToGrid w:val="0"/>
        </w:rPr>
      </w:pPr>
      <w:r>
        <w:rPr>
          <w:b/>
          <w:snapToGrid w:val="0"/>
        </w:rPr>
        <w:lastRenderedPageBreak/>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lastRenderedPageBreak/>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lastRenderedPageBreak/>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lastRenderedPageBreak/>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lastRenderedPageBreak/>
        <w:t>8.</w:t>
      </w:r>
      <w:r>
        <w:rPr>
          <w:b/>
          <w:snapToGrid w:val="0"/>
        </w:rPr>
        <w:tab/>
        <w:t>Disposition of property</w:t>
      </w:r>
    </w:p>
    <w:p>
      <w:pPr>
        <w:pStyle w:val="yTable"/>
        <w:keepNext/>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keepNext/>
        <w:tabs>
          <w:tab w:val="left" w:leader="dot" w:pos="4253"/>
          <w:tab w:val="right" w:leader="dot" w:pos="7088"/>
        </w:tabs>
        <w:spacing w:before="240"/>
        <w:rPr>
          <w:snapToGrid w:val="0"/>
        </w:rPr>
      </w:pPr>
      <w:r>
        <w:rPr>
          <w:snapToGrid w:val="0"/>
        </w:rPr>
        <w:lastRenderedPageBreak/>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r>
        <w:tab/>
        <w:t>[Form 4 inserted: Gazette 18 Oct 2019 p. 3683.]</w:t>
      </w:r>
    </w:p>
    <w:p>
      <w:pPr>
        <w:pStyle w:val="yScheduleHeading"/>
      </w:pPr>
      <w:bookmarkStart w:id="148" w:name="_Toc180768340"/>
      <w:bookmarkStart w:id="149" w:name="_Toc180769080"/>
      <w:bookmarkStart w:id="150" w:name="_Toc181173349"/>
      <w:r>
        <w:rPr>
          <w:rStyle w:val="CharSchNo"/>
        </w:rPr>
        <w:lastRenderedPageBreak/>
        <w:t>Schedule 2</w:t>
      </w:r>
      <w:r>
        <w:t> — </w:t>
      </w:r>
      <w:r>
        <w:rPr>
          <w:rStyle w:val="CharSchText"/>
        </w:rPr>
        <w:t>Model standards for CEO recruitment, performance and termination</w:t>
      </w:r>
      <w:bookmarkEnd w:id="148"/>
      <w:bookmarkEnd w:id="149"/>
      <w:bookmarkEnd w:id="150"/>
    </w:p>
    <w:p>
      <w:pPr>
        <w:pStyle w:val="yShoulderClause"/>
      </w:pPr>
      <w:r>
        <w:t>[r. 18FA]</w:t>
      </w:r>
    </w:p>
    <w:p>
      <w:pPr>
        <w:pStyle w:val="yFootnoteheading"/>
      </w:pPr>
      <w:r>
        <w:tab/>
        <w:t>[Heading inserted: SL 2021/14 r. 7.]</w:t>
      </w:r>
    </w:p>
    <w:p>
      <w:pPr>
        <w:pStyle w:val="yHeading3"/>
      </w:pPr>
      <w:bookmarkStart w:id="151" w:name="_Toc180768341"/>
      <w:bookmarkStart w:id="152" w:name="_Toc180769081"/>
      <w:bookmarkStart w:id="153" w:name="_Toc181173350"/>
      <w:r>
        <w:rPr>
          <w:rStyle w:val="CharSDivNo"/>
        </w:rPr>
        <w:t>Division 1</w:t>
      </w:r>
      <w:r>
        <w:t> — </w:t>
      </w:r>
      <w:r>
        <w:rPr>
          <w:rStyle w:val="CharSDivText"/>
        </w:rPr>
        <w:t>Preliminary provisions</w:t>
      </w:r>
      <w:bookmarkEnd w:id="151"/>
      <w:bookmarkEnd w:id="152"/>
      <w:bookmarkEnd w:id="153"/>
    </w:p>
    <w:p>
      <w:pPr>
        <w:pStyle w:val="yFootnoteheading"/>
      </w:pPr>
      <w:r>
        <w:tab/>
        <w:t>[Heading inserted: SL 2021/14 r. 7.]</w:t>
      </w:r>
    </w:p>
    <w:p>
      <w:pPr>
        <w:pStyle w:val="yHeading5"/>
      </w:pPr>
      <w:bookmarkStart w:id="154" w:name="_Toc181173351"/>
      <w:r>
        <w:rPr>
          <w:rStyle w:val="CharSClsNo"/>
        </w:rPr>
        <w:t>1</w:t>
      </w:r>
      <w:r>
        <w:t>.</w:t>
      </w:r>
      <w:r>
        <w:tab/>
        <w:t>Citation</w:t>
      </w:r>
      <w:bookmarkEnd w:id="154"/>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155" w:name="_Toc181173352"/>
      <w:r>
        <w:rPr>
          <w:rStyle w:val="CharSClsNo"/>
        </w:rPr>
        <w:t>2</w:t>
      </w:r>
      <w:r>
        <w:t>.</w:t>
      </w:r>
      <w:r>
        <w:tab/>
        <w:t>Terms used</w:t>
      </w:r>
      <w:bookmarkEnd w:id="155"/>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lastRenderedPageBreak/>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156" w:name="_Toc180768344"/>
      <w:bookmarkStart w:id="157" w:name="_Toc180769084"/>
      <w:bookmarkStart w:id="158" w:name="_Toc181173353"/>
      <w:r>
        <w:rPr>
          <w:rStyle w:val="CharSDivNo"/>
        </w:rPr>
        <w:t>Division 2</w:t>
      </w:r>
      <w:r>
        <w:t> — </w:t>
      </w:r>
      <w:r>
        <w:rPr>
          <w:rStyle w:val="CharSDivText"/>
        </w:rPr>
        <w:t>Standards for recruitment of CEOs</w:t>
      </w:r>
      <w:bookmarkEnd w:id="156"/>
      <w:bookmarkEnd w:id="157"/>
      <w:bookmarkEnd w:id="158"/>
    </w:p>
    <w:p>
      <w:pPr>
        <w:pStyle w:val="yFootnoteheading"/>
      </w:pPr>
      <w:r>
        <w:tab/>
        <w:t>[Heading inserted: SL 2021/14 r. 7.]</w:t>
      </w:r>
    </w:p>
    <w:p>
      <w:pPr>
        <w:pStyle w:val="yHeading5"/>
      </w:pPr>
      <w:bookmarkStart w:id="159" w:name="_Toc181173354"/>
      <w:r>
        <w:rPr>
          <w:rStyle w:val="CharSClsNo"/>
        </w:rPr>
        <w:t>3</w:t>
      </w:r>
      <w:r>
        <w:t>.</w:t>
      </w:r>
      <w:r>
        <w:tab/>
        <w:t>Overview of Division</w:t>
      </w:r>
      <w:bookmarkEnd w:id="15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160" w:name="_Toc181173355"/>
      <w:r>
        <w:rPr>
          <w:rStyle w:val="CharSClsNo"/>
        </w:rPr>
        <w:t>4</w:t>
      </w:r>
      <w:r>
        <w:t>.</w:t>
      </w:r>
      <w:r>
        <w:tab/>
        <w:t>Application of Division</w:t>
      </w:r>
      <w:bookmarkEnd w:id="160"/>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161" w:name="_Toc181173356"/>
      <w:r>
        <w:rPr>
          <w:rStyle w:val="CharSClsNo"/>
        </w:rPr>
        <w:t>5</w:t>
      </w:r>
      <w:r>
        <w:t>.</w:t>
      </w:r>
      <w:r>
        <w:tab/>
        <w:t>Determination of selection criteria and approval of job description form</w:t>
      </w:r>
      <w:bookmarkEnd w:id="161"/>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lastRenderedPageBreak/>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162" w:name="_Toc181173357"/>
      <w:r>
        <w:rPr>
          <w:rStyle w:val="CharSClsNo"/>
        </w:rPr>
        <w:t>6</w:t>
      </w:r>
      <w:r>
        <w:t>.</w:t>
      </w:r>
      <w:r>
        <w:tab/>
        <w:t>Advertising requirements</w:t>
      </w:r>
      <w:bookmarkEnd w:id="162"/>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163" w:name="_Toc181173358"/>
      <w:r>
        <w:rPr>
          <w:rStyle w:val="CharSClsNo"/>
        </w:rPr>
        <w:t>7</w:t>
      </w:r>
      <w:r>
        <w:t>.</w:t>
      </w:r>
      <w:r>
        <w:tab/>
        <w:t>Job description form to be made available by local government</w:t>
      </w:r>
      <w:bookmarkEnd w:id="163"/>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164" w:name="_Toc181173359"/>
      <w:r>
        <w:rPr>
          <w:rStyle w:val="CharSClsNo"/>
        </w:rPr>
        <w:lastRenderedPageBreak/>
        <w:t>8</w:t>
      </w:r>
      <w:r>
        <w:t>.</w:t>
      </w:r>
      <w:r>
        <w:tab/>
        <w:t>Establishment of selection panel for employment of CEO</w:t>
      </w:r>
      <w:bookmarkEnd w:id="164"/>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165" w:name="_Toc181173360"/>
      <w:r>
        <w:rPr>
          <w:rStyle w:val="CharSClsNo"/>
        </w:rPr>
        <w:t>9</w:t>
      </w:r>
      <w:r>
        <w:t>.</w:t>
      </w:r>
      <w:r>
        <w:tab/>
        <w:t>Recommendation by selection panel</w:t>
      </w:r>
      <w:bookmarkEnd w:id="165"/>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lastRenderedPageBreak/>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166" w:name="_Toc181173361"/>
      <w:r>
        <w:rPr>
          <w:rStyle w:val="CharSClsNo"/>
        </w:rPr>
        <w:t>10</w:t>
      </w:r>
      <w:r>
        <w:t>.</w:t>
      </w:r>
      <w:r>
        <w:tab/>
        <w:t>Application of cl. 5 where new process carried out</w:t>
      </w:r>
      <w:bookmarkEnd w:id="166"/>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lastRenderedPageBreak/>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167" w:name="_Toc181173362"/>
      <w:r>
        <w:rPr>
          <w:rStyle w:val="CharSClsNo"/>
        </w:rPr>
        <w:t>11</w:t>
      </w:r>
      <w:r>
        <w:t>.</w:t>
      </w:r>
      <w:r>
        <w:tab/>
        <w:t>Offer of employment in position of CEO</w:t>
      </w:r>
      <w:bookmarkEnd w:id="167"/>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168" w:name="_Toc181173363"/>
      <w:r>
        <w:rPr>
          <w:rStyle w:val="CharSClsNo"/>
        </w:rPr>
        <w:t>12</w:t>
      </w:r>
      <w:r>
        <w:t>.</w:t>
      </w:r>
      <w:r>
        <w:tab/>
        <w:t>Variations to proposed terms of contract of employment</w:t>
      </w:r>
      <w:bookmarkEnd w:id="168"/>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169" w:name="_Toc181173364"/>
      <w:r>
        <w:rPr>
          <w:rStyle w:val="CharSClsNo"/>
        </w:rPr>
        <w:t>13</w:t>
      </w:r>
      <w:r>
        <w:t>.</w:t>
      </w:r>
      <w:r>
        <w:tab/>
        <w:t>Recruitment to be undertaken on expiry of certain CEO contracts</w:t>
      </w:r>
      <w:bookmarkEnd w:id="16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keepNext/>
      </w:pPr>
      <w:r>
        <w:lastRenderedPageBreak/>
        <w:tab/>
        <w:t>(2)</w:t>
      </w:r>
      <w:r>
        <w:tab/>
        <w:t xml:space="preserve">This clause applies if — </w:t>
      </w:r>
    </w:p>
    <w:p>
      <w:pPr>
        <w:pStyle w:val="yIndenta"/>
        <w:keepNext/>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170" w:name="_Toc181173365"/>
      <w:r>
        <w:rPr>
          <w:rStyle w:val="CharSClsNo"/>
        </w:rPr>
        <w:t>14</w:t>
      </w:r>
      <w:r>
        <w:t>.</w:t>
      </w:r>
      <w:r>
        <w:tab/>
        <w:t>Confidentiality of information</w:t>
      </w:r>
      <w:bookmarkEnd w:id="170"/>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171" w:name="_Toc180768357"/>
      <w:bookmarkStart w:id="172" w:name="_Toc180769097"/>
      <w:bookmarkStart w:id="173" w:name="_Toc181173366"/>
      <w:r>
        <w:rPr>
          <w:rStyle w:val="CharSDivNo"/>
        </w:rPr>
        <w:lastRenderedPageBreak/>
        <w:t>Division 3</w:t>
      </w:r>
      <w:r>
        <w:t> — </w:t>
      </w:r>
      <w:r>
        <w:rPr>
          <w:rStyle w:val="CharSDivText"/>
        </w:rPr>
        <w:t>Standards for review of performance of CEOs</w:t>
      </w:r>
      <w:bookmarkEnd w:id="171"/>
      <w:bookmarkEnd w:id="172"/>
      <w:bookmarkEnd w:id="173"/>
    </w:p>
    <w:p>
      <w:pPr>
        <w:pStyle w:val="yFootnoteheading"/>
        <w:keepNext/>
      </w:pPr>
      <w:r>
        <w:tab/>
        <w:t>[Heading inserted: SL 2021/14 r. 7.]</w:t>
      </w:r>
    </w:p>
    <w:p>
      <w:pPr>
        <w:pStyle w:val="yHeading5"/>
      </w:pPr>
      <w:bookmarkStart w:id="174" w:name="_Toc181173367"/>
      <w:r>
        <w:rPr>
          <w:rStyle w:val="CharSClsNo"/>
        </w:rPr>
        <w:t>15</w:t>
      </w:r>
      <w:r>
        <w:t>.</w:t>
      </w:r>
      <w:r>
        <w:tab/>
        <w:t>Overview of Division</w:t>
      </w:r>
      <w:bookmarkEnd w:id="174"/>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175" w:name="_Toc181173368"/>
      <w:r>
        <w:rPr>
          <w:rStyle w:val="CharSClsNo"/>
        </w:rPr>
        <w:t>16</w:t>
      </w:r>
      <w:r>
        <w:t>.</w:t>
      </w:r>
      <w:r>
        <w:tab/>
        <w:t>Performance review process to be agreed between local government and CEO</w:t>
      </w:r>
      <w:bookmarkEnd w:id="17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176" w:name="_Toc181173369"/>
      <w:r>
        <w:rPr>
          <w:rStyle w:val="CharSClsNo"/>
        </w:rPr>
        <w:t>17</w:t>
      </w:r>
      <w:r>
        <w:t>.</w:t>
      </w:r>
      <w:r>
        <w:tab/>
        <w:t>Carrying out a performance review</w:t>
      </w:r>
      <w:bookmarkEnd w:id="176"/>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177" w:name="_Toc181173370"/>
      <w:r>
        <w:rPr>
          <w:rStyle w:val="CharSClsNo"/>
        </w:rPr>
        <w:lastRenderedPageBreak/>
        <w:t>18</w:t>
      </w:r>
      <w:r>
        <w:t>.</w:t>
      </w:r>
      <w:r>
        <w:tab/>
        <w:t>Endorsement of performance review by local government</w:t>
      </w:r>
      <w:bookmarkEnd w:id="177"/>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178" w:name="_Toc181173371"/>
      <w:r>
        <w:rPr>
          <w:rStyle w:val="CharSClsNo"/>
        </w:rPr>
        <w:t>19</w:t>
      </w:r>
      <w:r>
        <w:t>.</w:t>
      </w:r>
      <w:r>
        <w:tab/>
        <w:t>CEO to be notified of results of performance review</w:t>
      </w:r>
      <w:bookmarkEnd w:id="178"/>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179" w:name="_Toc180768363"/>
      <w:bookmarkStart w:id="180" w:name="_Toc180769103"/>
      <w:bookmarkStart w:id="181" w:name="_Toc181173372"/>
      <w:r>
        <w:rPr>
          <w:rStyle w:val="CharSDivNo"/>
        </w:rPr>
        <w:t>Division 4</w:t>
      </w:r>
      <w:r>
        <w:t> — </w:t>
      </w:r>
      <w:r>
        <w:rPr>
          <w:rStyle w:val="CharSDivText"/>
        </w:rPr>
        <w:t>Standards for termination of employment of CEOs</w:t>
      </w:r>
      <w:bookmarkEnd w:id="179"/>
      <w:bookmarkEnd w:id="180"/>
      <w:bookmarkEnd w:id="181"/>
    </w:p>
    <w:p>
      <w:pPr>
        <w:pStyle w:val="yFootnoteheading"/>
      </w:pPr>
      <w:r>
        <w:tab/>
        <w:t>[Heading inserted: SL 2021/14 r. 7.]</w:t>
      </w:r>
    </w:p>
    <w:p>
      <w:pPr>
        <w:pStyle w:val="yHeading5"/>
      </w:pPr>
      <w:bookmarkStart w:id="182" w:name="_Toc181173373"/>
      <w:r>
        <w:rPr>
          <w:rStyle w:val="CharSClsNo"/>
        </w:rPr>
        <w:t>20</w:t>
      </w:r>
      <w:r>
        <w:t>.</w:t>
      </w:r>
      <w:r>
        <w:tab/>
        <w:t>Overview of Division</w:t>
      </w:r>
      <w:bookmarkEnd w:id="182"/>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183" w:name="_Toc181173374"/>
      <w:r>
        <w:rPr>
          <w:rStyle w:val="CharSClsNo"/>
        </w:rPr>
        <w:t>21</w:t>
      </w:r>
      <w:r>
        <w:t>.</w:t>
      </w:r>
      <w:r>
        <w:tab/>
        <w:t>General principles applying to any termination</w:t>
      </w:r>
      <w:bookmarkEnd w:id="183"/>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lastRenderedPageBreak/>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184" w:name="_Toc181173375"/>
      <w:r>
        <w:rPr>
          <w:rStyle w:val="CharSClsNo"/>
        </w:rPr>
        <w:t>22</w:t>
      </w:r>
      <w:r>
        <w:t>.</w:t>
      </w:r>
      <w:r>
        <w:tab/>
        <w:t>Additional principles applying to termination for performance</w:t>
      </w:r>
      <w:r>
        <w:noBreakHyphen/>
        <w:t>related reasons</w:t>
      </w:r>
      <w:bookmarkEnd w:id="184"/>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185" w:name="_Toc181173376"/>
      <w:r>
        <w:rPr>
          <w:rStyle w:val="CharSClsNo"/>
        </w:rPr>
        <w:t>23</w:t>
      </w:r>
      <w:r>
        <w:t>.</w:t>
      </w:r>
      <w:r>
        <w:tab/>
        <w:t>Decision to terminate</w:t>
      </w:r>
      <w:bookmarkEnd w:id="185"/>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186" w:name="_Toc181173377"/>
      <w:r>
        <w:rPr>
          <w:rStyle w:val="CharSClsNo"/>
        </w:rPr>
        <w:lastRenderedPageBreak/>
        <w:t>24</w:t>
      </w:r>
      <w:r>
        <w:t>.</w:t>
      </w:r>
      <w:r>
        <w:tab/>
        <w:t>Notice of termination of employment</w:t>
      </w:r>
      <w:bookmarkEnd w:id="186"/>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187" w:name="_Toc180768369"/>
      <w:bookmarkStart w:id="188" w:name="_Toc180769109"/>
      <w:bookmarkStart w:id="189" w:name="_Toc181173378"/>
      <w:r>
        <w:lastRenderedPageBreak/>
        <w:t>Notes</w:t>
      </w:r>
      <w:bookmarkEnd w:id="187"/>
      <w:bookmarkEnd w:id="188"/>
      <w:bookmarkEnd w:id="189"/>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w:t>
      </w:r>
    </w:p>
    <w:p>
      <w:pPr>
        <w:pStyle w:val="nHeading3"/>
      </w:pPr>
      <w:bookmarkStart w:id="190" w:name="_Toc181173379"/>
      <w:r>
        <w:t>Compilation table</w:t>
      </w:r>
      <w:bookmarkEnd w:id="19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lastRenderedPageBreak/>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 xml:space="preserve">Local Government Regulations Amendment Regulations 2022 </w:t>
            </w:r>
            <w:r>
              <w:t xml:space="preserve">Pt. 2 </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Pt. 2 </w:t>
            </w:r>
            <w:r>
              <w:t xml:space="preserve">(other than Div. 3): </w:t>
            </w:r>
            <w:r>
              <w:rPr>
                <w:snapToGrid w:val="0"/>
              </w:rPr>
              <w:t>3 Nov 2022 (see r. 2(b) and SL 2022/175 cl. 2)</w:t>
            </w:r>
            <w:r>
              <w:rPr>
                <w:snapToGrid w:val="0"/>
              </w:rPr>
              <w:br/>
              <w:t>Pt. 2 Div. 3: 3 Nov 2024 (see r. 2(c) and SL 2022/175 cl. 2)</w:t>
            </w:r>
          </w:p>
        </w:tc>
      </w:tr>
      <w:tr>
        <w:tc>
          <w:tcPr>
            <w:tcW w:w="3118" w:type="dxa"/>
            <w:tcBorders>
              <w:top w:val="nil"/>
              <w:bottom w:val="nil"/>
            </w:tcBorders>
            <w:shd w:val="clear" w:color="auto" w:fill="auto"/>
          </w:tcPr>
          <w:p>
            <w:pPr>
              <w:pStyle w:val="nTable"/>
              <w:rPr>
                <w:i/>
              </w:rPr>
            </w:pPr>
            <w:r>
              <w:rPr>
                <w:i/>
              </w:rPr>
              <w:t>Local Government (Administration) Amendment Regulations 2022</w:t>
            </w:r>
          </w:p>
        </w:tc>
        <w:tc>
          <w:tcPr>
            <w:tcW w:w="1276" w:type="dxa"/>
            <w:tcBorders>
              <w:top w:val="nil"/>
              <w:bottom w:val="nil"/>
            </w:tcBorders>
            <w:shd w:val="clear" w:color="auto" w:fill="auto"/>
          </w:tcPr>
          <w:p>
            <w:pPr>
              <w:pStyle w:val="nTable"/>
              <w:keepNext/>
              <w:keepLines/>
              <w:spacing w:after="40"/>
            </w:pPr>
            <w:r>
              <w:t>SL 2022/185 8 Nov 2022</w:t>
            </w:r>
          </w:p>
        </w:tc>
        <w:tc>
          <w:tcPr>
            <w:tcW w:w="2693" w:type="dxa"/>
            <w:tcBorders>
              <w:top w:val="nil"/>
              <w:bottom w:val="nil"/>
            </w:tcBorders>
            <w:shd w:val="clear" w:color="auto" w:fill="auto"/>
          </w:tcPr>
          <w:p>
            <w:pPr>
              <w:pStyle w:val="nTable"/>
              <w:keepNext/>
              <w:keepLines/>
              <w:spacing w:after="40"/>
              <w:rPr>
                <w:snapToGrid w:val="0"/>
              </w:rPr>
            </w:pPr>
            <w:r>
              <w:rPr>
                <w:snapToGrid w:val="0"/>
              </w:rPr>
              <w:t>r. 1 and 2: 8 Nov 2022 (see r. 2(a));</w:t>
            </w:r>
            <w:r>
              <w:rPr>
                <w:snapToGrid w:val="0"/>
              </w:rPr>
              <w:br/>
              <w:t>Regulations other than r. 1 and 2: 9 Nov 2022 (see r. 2(b))</w:t>
            </w:r>
          </w:p>
        </w:tc>
      </w:tr>
      <w:tr>
        <w:tc>
          <w:tcPr>
            <w:tcW w:w="3118" w:type="dxa"/>
            <w:tcBorders>
              <w:top w:val="nil"/>
              <w:bottom w:val="nil"/>
            </w:tcBorders>
            <w:shd w:val="clear" w:color="auto" w:fill="auto"/>
          </w:tcPr>
          <w:p>
            <w:pPr>
              <w:pStyle w:val="nTable"/>
              <w:rPr>
                <w:i/>
              </w:rPr>
            </w:pPr>
            <w:r>
              <w:rPr>
                <w:i/>
              </w:rPr>
              <w:t>Local Government Regulations Amendment Regulations (No. 2) 2023</w:t>
            </w:r>
            <w:r>
              <w:t xml:space="preserve"> Pt. 2</w:t>
            </w:r>
          </w:p>
        </w:tc>
        <w:tc>
          <w:tcPr>
            <w:tcW w:w="1276" w:type="dxa"/>
            <w:tcBorders>
              <w:top w:val="nil"/>
              <w:bottom w:val="nil"/>
            </w:tcBorders>
            <w:shd w:val="clear" w:color="auto" w:fill="auto"/>
          </w:tcPr>
          <w:p>
            <w:pPr>
              <w:pStyle w:val="nTable"/>
              <w:keepNext/>
              <w:keepLines/>
              <w:spacing w:after="40"/>
            </w:pPr>
            <w:r>
              <w:t>SL 2023/102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Pt. 2 other than r. 7: 1 Jul 2023 (see r. 2(d));</w:t>
            </w:r>
            <w:r>
              <w:rPr>
                <w:snapToGrid w:val="0"/>
              </w:rPr>
              <w:br/>
              <w:t>r. 7: 1 Jan 2024 (see r. 2(b))</w:t>
            </w:r>
          </w:p>
        </w:tc>
      </w:tr>
      <w:tr>
        <w:tc>
          <w:tcPr>
            <w:tcW w:w="3118" w:type="dxa"/>
            <w:tcBorders>
              <w:top w:val="nil"/>
              <w:bottom w:val="nil"/>
            </w:tcBorders>
            <w:shd w:val="clear" w:color="auto" w:fill="auto"/>
          </w:tcPr>
          <w:p>
            <w:pPr>
              <w:pStyle w:val="nTable"/>
              <w:rPr>
                <w:i/>
              </w:rPr>
            </w:pPr>
            <w:r>
              <w:rPr>
                <w:i/>
              </w:rPr>
              <w:t>Local Government Regulations Amendment Regulations 2023</w:t>
            </w:r>
            <w:r>
              <w:t xml:space="preserve"> Pt. 3</w:t>
            </w:r>
          </w:p>
        </w:tc>
        <w:tc>
          <w:tcPr>
            <w:tcW w:w="1276" w:type="dxa"/>
            <w:tcBorders>
              <w:top w:val="nil"/>
              <w:bottom w:val="nil"/>
            </w:tcBorders>
            <w:shd w:val="clear" w:color="auto" w:fill="auto"/>
          </w:tcPr>
          <w:p>
            <w:pPr>
              <w:pStyle w:val="nTable"/>
              <w:keepNext/>
              <w:keepLines/>
              <w:spacing w:after="40"/>
            </w:pPr>
            <w:r>
              <w:t>SL 2023/106 30 Jun 2023</w:t>
            </w:r>
          </w:p>
        </w:tc>
        <w:tc>
          <w:tcPr>
            <w:tcW w:w="2693" w:type="dxa"/>
            <w:tcBorders>
              <w:top w:val="nil"/>
              <w:bottom w:val="nil"/>
            </w:tcBorders>
            <w:shd w:val="clear" w:color="auto" w:fill="auto"/>
          </w:tcPr>
          <w:p>
            <w:pPr>
              <w:pStyle w:val="nTable"/>
              <w:keepNext/>
              <w:keepLines/>
              <w:spacing w:after="40"/>
              <w:rPr>
                <w:snapToGrid w:val="0"/>
              </w:rPr>
            </w:pPr>
            <w:r>
              <w:rPr>
                <w:snapToGrid w:val="0"/>
              </w:rPr>
              <w:t>1 Jul 2023 (see r. 2(c))</w:t>
            </w:r>
          </w:p>
        </w:tc>
      </w:tr>
      <w:tr>
        <w:tc>
          <w:tcPr>
            <w:tcW w:w="3118" w:type="dxa"/>
            <w:tcBorders>
              <w:top w:val="nil"/>
              <w:bottom w:val="single" w:sz="4" w:space="0" w:color="auto"/>
            </w:tcBorders>
            <w:shd w:val="clear" w:color="auto" w:fill="auto"/>
          </w:tcPr>
          <w:p>
            <w:pPr>
              <w:pStyle w:val="nTable"/>
            </w:pPr>
            <w:r>
              <w:rPr>
                <w:i/>
              </w:rPr>
              <w:t xml:space="preserve">Local Government Regulations Amendment Regulations (No. 3) 2023 </w:t>
            </w:r>
            <w:r>
              <w:t>Pt. 2</w:t>
            </w:r>
          </w:p>
        </w:tc>
        <w:tc>
          <w:tcPr>
            <w:tcW w:w="1276" w:type="dxa"/>
            <w:tcBorders>
              <w:top w:val="nil"/>
              <w:bottom w:val="single" w:sz="4" w:space="0" w:color="auto"/>
            </w:tcBorders>
            <w:shd w:val="clear" w:color="auto" w:fill="auto"/>
          </w:tcPr>
          <w:p>
            <w:pPr>
              <w:pStyle w:val="nTable"/>
              <w:keepNext/>
              <w:keepLines/>
              <w:spacing w:after="40"/>
            </w:pPr>
            <w:r>
              <w:t>SL 2023/158 18 Oct 2023</w:t>
            </w:r>
          </w:p>
        </w:tc>
        <w:tc>
          <w:tcPr>
            <w:tcW w:w="2693" w:type="dxa"/>
            <w:tcBorders>
              <w:top w:val="nil"/>
              <w:bottom w:val="single" w:sz="4" w:space="0" w:color="auto"/>
            </w:tcBorders>
            <w:shd w:val="clear" w:color="auto" w:fill="auto"/>
          </w:tcPr>
          <w:p>
            <w:pPr>
              <w:pStyle w:val="nTable"/>
              <w:keepNext/>
              <w:keepLines/>
              <w:spacing w:after="40"/>
              <w:rPr>
                <w:snapToGrid w:val="0"/>
              </w:rPr>
            </w:pPr>
            <w:r>
              <w:rPr>
                <w:snapToGrid w:val="0"/>
              </w:rPr>
              <w:t>Pt. 2 Div. 1: 19 Oct 2023 (see r. 2(c));</w:t>
            </w:r>
            <w:r>
              <w:rPr>
                <w:snapToGrid w:val="0"/>
              </w:rPr>
              <w:br/>
              <w:t>Pt. 2 Div. 2: 1 Jan 2024 (see r. 2(b))</w:t>
            </w:r>
          </w:p>
        </w:tc>
      </w:tr>
    </w:tbl>
    <w:p>
      <w:pPr>
        <w:pStyle w:val="nHeading3"/>
      </w:pPr>
      <w:bookmarkStart w:id="191" w:name="_Toc181173380"/>
      <w:r>
        <w:lastRenderedPageBreak/>
        <w:t>Other notes</w:t>
      </w:r>
      <w:bookmarkEnd w:id="191"/>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93" w:name="_Toc180768373"/>
      <w:bookmarkStart w:id="194" w:name="_Toc180769112"/>
      <w:bookmarkStart w:id="195" w:name="_Toc181173381"/>
      <w:r>
        <w:rPr>
          <w:sz w:val="28"/>
        </w:rPr>
        <w:lastRenderedPageBreak/>
        <w:t>Defined terms</w:t>
      </w:r>
      <w:bookmarkEnd w:id="193"/>
      <w:bookmarkEnd w:id="194"/>
      <w:bookmarkEnd w:id="1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2 cl. 2(1)</w:t>
      </w:r>
    </w:p>
    <w:p>
      <w:pPr>
        <w:pStyle w:val="DefinedTerms"/>
      </w:pPr>
      <w:r>
        <w:t>activity involving a local government discretion</w:t>
      </w:r>
      <w:r>
        <w:tab/>
        <w:t>19AA</w:t>
      </w:r>
    </w:p>
    <w:p>
      <w:pPr>
        <w:pStyle w:val="DefinedTerms"/>
      </w:pPr>
      <w:r>
        <w:t>additional performance criteria</w:t>
      </w:r>
      <w:r>
        <w:tab/>
        <w:t>Sch. 2 cl. 2(1)</w:t>
      </w:r>
    </w:p>
    <w:p>
      <w:pPr>
        <w:pStyle w:val="DefinedTerms"/>
      </w:pPr>
      <w:r>
        <w:t>adopted standards</w:t>
      </w:r>
      <w:r>
        <w:tab/>
        <w:t>18FB(1), 18FC(1)</w:t>
      </w:r>
    </w:p>
    <w:p>
      <w:pPr>
        <w:pStyle w:val="DefinedTerms"/>
      </w:pPr>
      <w:r>
        <w:t>annual return</w:t>
      </w:r>
      <w:r>
        <w:tab/>
        <w:t>29C(1)</w:t>
      </w:r>
    </w:p>
    <w:p>
      <w:pPr>
        <w:pStyle w:val="DefinedTerms"/>
      </w:pPr>
      <w:r>
        <w:t>applicant</w:t>
      </w:r>
      <w:r>
        <w:tab/>
        <w:t>Sch. 2 cl. 2(1)</w:t>
      </w:r>
    </w:p>
    <w:p>
      <w:pPr>
        <w:pStyle w:val="DefinedTerms"/>
      </w:pPr>
      <w:r>
        <w:t>associated person</w:t>
      </w:r>
      <w:r>
        <w:tab/>
        <w:t>19AA</w:t>
      </w:r>
    </w:p>
    <w:p>
      <w:pPr>
        <w:pStyle w:val="DefinedTerms"/>
      </w:pPr>
      <w:r>
        <w:t>broadcast technology</w:t>
      </w:r>
      <w:r>
        <w:tab/>
        <w:t>14G(1)</w:t>
      </w:r>
    </w:p>
    <w:p>
      <w:pPr>
        <w:pStyle w:val="DefinedTerms"/>
      </w:pPr>
      <w:r>
        <w:t>class 3 or 4 council or committee</w:t>
      </w:r>
      <w:r>
        <w:tab/>
        <w:t>14E(1)</w:t>
      </w:r>
    </w:p>
    <w:p>
      <w:pPr>
        <w:pStyle w:val="DefinedTerms"/>
      </w:pPr>
      <w:r>
        <w:t>client or adviser</w:t>
      </w:r>
      <w:r>
        <w:tab/>
        <w:t>20(1)</w:t>
      </w:r>
    </w:p>
    <w:p>
      <w:pPr>
        <w:pStyle w:val="DefinedTerms"/>
      </w:pPr>
      <w:r>
        <w:t>closed proceedings</w:t>
      </w:r>
      <w:r>
        <w:tab/>
        <w:t>14G(1)</w:t>
      </w:r>
    </w:p>
    <w:p>
      <w:pPr>
        <w:pStyle w:val="DefinedTerms"/>
      </w:pPr>
      <w:r>
        <w:t>code of conduct</w:t>
      </w:r>
      <w:r>
        <w:tab/>
        <w:t>3(1), 19AA</w:t>
      </w:r>
    </w:p>
    <w:p>
      <w:pPr>
        <w:pStyle w:val="DefinedTerms"/>
      </w:pPr>
      <w:r>
        <w:t>commencement day</w:t>
      </w:r>
      <w:r>
        <w:tab/>
        <w:t>28B(1), Sch. 2 cl. 13(1)</w:t>
      </w:r>
    </w:p>
    <w:p>
      <w:pPr>
        <w:pStyle w:val="DefinedTerms"/>
      </w:pPr>
      <w:r>
        <w:t>committee</w:t>
      </w:r>
      <w:r>
        <w:tab/>
        <w:t>3(1)</w:t>
      </w:r>
    </w:p>
    <w:p>
      <w:pPr>
        <w:pStyle w:val="DefinedTerms"/>
      </w:pPr>
      <w:r>
        <w:t>contract of employment</w:t>
      </w:r>
      <w:r>
        <w:tab/>
        <w:t>Sch. 2 cl. 2(1)</w:t>
      </w:r>
    </w:p>
    <w:p>
      <w:pPr>
        <w:pStyle w:val="DefinedTerms"/>
      </w:pPr>
      <w:r>
        <w:t>contractual performance criteria</w:t>
      </w:r>
      <w:r>
        <w:tab/>
        <w:t>Sch. 2 cl. 2(1)</w:t>
      </w:r>
    </w:p>
    <w:p>
      <w:pPr>
        <w:pStyle w:val="DefinedTerms"/>
      </w:pPr>
      <w:r>
        <w:t>corporate business plan</w:t>
      </w:r>
      <w:r>
        <w:tab/>
        <w:t>19BA</w:t>
      </w:r>
    </w:p>
    <w:p>
      <w:pPr>
        <w:pStyle w:val="DefinedTerms"/>
      </w:pPr>
      <w:r>
        <w:t>electronic meeting</w:t>
      </w:r>
      <w:r>
        <w:tab/>
        <w:t>14E(1), 14G(1)</w:t>
      </w:r>
    </w:p>
    <w:p>
      <w:pPr>
        <w:pStyle w:val="DefinedTerms"/>
      </w:pPr>
      <w:r>
        <w:t>final annual remuneration</w:t>
      </w:r>
      <w:r>
        <w:tab/>
        <w:t>19A(2)</w:t>
      </w:r>
    </w:p>
    <w:p>
      <w:pPr>
        <w:pStyle w:val="DefinedTerms"/>
      </w:pPr>
      <w:r>
        <w:t>former Form 4</w:t>
      </w:r>
      <w:r>
        <w:tab/>
        <w:t>28B(1)</w:t>
      </w:r>
    </w:p>
    <w:p>
      <w:pPr>
        <w:pStyle w:val="DefinedTerms"/>
      </w:pPr>
      <w:r>
        <w:t xml:space="preserve">former record of disclosures </w:t>
      </w:r>
      <w:r>
        <w:tab/>
        <w:t>28B(1)</w:t>
      </w:r>
    </w:p>
    <w:p>
      <w:pPr>
        <w:pStyle w:val="DefinedTerms"/>
      </w:pPr>
      <w:r>
        <w:t>former regulation 19C</w:t>
      </w:r>
      <w:r>
        <w:tab/>
        <w:t>19DB(1)</w:t>
      </w:r>
    </w:p>
    <w:p>
      <w:pPr>
        <w:pStyle w:val="DefinedTerms"/>
      </w:pPr>
      <w:r>
        <w:t>former regulation 19D</w:t>
      </w:r>
      <w:r>
        <w:tab/>
        <w:t>19DB(1)</w:t>
      </w:r>
    </w:p>
    <w:p>
      <w:pPr>
        <w:pStyle w:val="DefinedTerms"/>
      </w:pPr>
      <w:r>
        <w:t>gift</w:t>
      </w:r>
      <w:r>
        <w:tab/>
        <w:t>19AA</w:t>
      </w:r>
    </w:p>
    <w:p>
      <w:pPr>
        <w:pStyle w:val="DefinedTerms"/>
      </w:pPr>
      <w:r>
        <w:t>improvised recording</w:t>
      </w:r>
      <w:r>
        <w:tab/>
        <w:t>14G(1), 14I(4)</w:t>
      </w:r>
    </w:p>
    <w:p>
      <w:pPr>
        <w:pStyle w:val="DefinedTerms"/>
      </w:pPr>
      <w:r>
        <w:t>income statement</w:t>
      </w:r>
      <w:r>
        <w:tab/>
        <w:t>19BB(1)</w:t>
      </w:r>
    </w:p>
    <w:p>
      <w:pPr>
        <w:pStyle w:val="DefinedTerms"/>
      </w:pPr>
      <w:r>
        <w:t>incumbent CEO</w:t>
      </w:r>
      <w:r>
        <w:tab/>
        <w:t>Sch. 2 cl. 13(2)</w:t>
      </w:r>
    </w:p>
    <w:p>
      <w:pPr>
        <w:pStyle w:val="DefinedTerms"/>
      </w:pPr>
      <w:r>
        <w:t>independent person</w:t>
      </w:r>
      <w:r>
        <w:tab/>
        <w:t>Sch. 2 cl. 8(1)</w:t>
      </w:r>
    </w:p>
    <w:p>
      <w:pPr>
        <w:pStyle w:val="DefinedTerms"/>
      </w:pPr>
      <w:r>
        <w:t>interest</w:t>
      </w:r>
      <w:r>
        <w:tab/>
        <w:t>19AA</w:t>
      </w:r>
    </w:p>
    <w:p>
      <w:pPr>
        <w:pStyle w:val="DefinedTerms"/>
      </w:pPr>
      <w:r>
        <w:t>job description form</w:t>
      </w:r>
      <w:r>
        <w:tab/>
        <w:t>Sch. 2 cl. 2(1)</w:t>
      </w:r>
    </w:p>
    <w:p>
      <w:pPr>
        <w:pStyle w:val="DefinedTerms"/>
      </w:pPr>
      <w:r>
        <w:t>local government</w:t>
      </w:r>
      <w:r>
        <w:tab/>
        <w:t>Sch. 2 cl. 2(1)</w:t>
      </w:r>
    </w:p>
    <w:p>
      <w:pPr>
        <w:pStyle w:val="DefinedTerms"/>
      </w:pPr>
      <w:r>
        <w:t>local government employee</w:t>
      </w:r>
      <w:r>
        <w:tab/>
        <w:t>19AA, 19AB(1), 19AC(1)</w:t>
      </w:r>
    </w:p>
    <w:p>
      <w:pPr>
        <w:pStyle w:val="DefinedTerms"/>
      </w:pPr>
      <w:r>
        <w:t>local law as to conduct</w:t>
      </w:r>
      <w:r>
        <w:tab/>
        <w:t>34D(1)</w:t>
      </w:r>
    </w:p>
    <w:p>
      <w:pPr>
        <w:pStyle w:val="DefinedTerms"/>
      </w:pPr>
      <w:r>
        <w:t>major land transaction</w:t>
      </w:r>
      <w:r>
        <w:tab/>
        <w:t>19BC(1)</w:t>
      </w:r>
    </w:p>
    <w:p>
      <w:pPr>
        <w:pStyle w:val="DefinedTerms"/>
      </w:pPr>
      <w:r>
        <w:t>major trading undertaking</w:t>
      </w:r>
      <w:r>
        <w:tab/>
        <w:t>19BB(1)</w:t>
      </w:r>
    </w:p>
    <w:p>
      <w:pPr>
        <w:pStyle w:val="DefinedTerms"/>
      </w:pPr>
      <w:r>
        <w:t>meeting</w:t>
      </w:r>
      <w:r>
        <w:tab/>
        <w:t>14C(1), 14CA(1), 14D(1)</w:t>
      </w:r>
    </w:p>
    <w:p>
      <w:pPr>
        <w:pStyle w:val="DefinedTerms"/>
      </w:pPr>
      <w:r>
        <w:t>meeting day</w:t>
      </w:r>
      <w:r>
        <w:tab/>
        <w:t>14G(1)</w:t>
      </w:r>
    </w:p>
    <w:p>
      <w:pPr>
        <w:pStyle w:val="DefinedTerms"/>
      </w:pPr>
      <w:r>
        <w:t>meeting details</w:t>
      </w:r>
      <w:r>
        <w:tab/>
        <w:t>12(1)</w:t>
      </w:r>
    </w:p>
    <w:p>
      <w:pPr>
        <w:pStyle w:val="DefinedTerms"/>
      </w:pPr>
      <w:r>
        <w:t>natural disaster</w:t>
      </w:r>
      <w:r>
        <w:tab/>
        <w:t>14C(1)</w:t>
      </w:r>
    </w:p>
    <w:p>
      <w:pPr>
        <w:pStyle w:val="DefinedTerms"/>
      </w:pPr>
      <w:r>
        <w:lastRenderedPageBreak/>
        <w:t>nature classification</w:t>
      </w:r>
      <w:r>
        <w:tab/>
        <w:t>19BC(1)</w:t>
      </w:r>
    </w:p>
    <w:p>
      <w:pPr>
        <w:pStyle w:val="DefinedTerms"/>
      </w:pPr>
      <w:r>
        <w:t>negotiated contract</w:t>
      </w:r>
      <w:r>
        <w:tab/>
        <w:t>Sch. 2 cl. 12(1)</w:t>
      </w:r>
    </w:p>
    <w:p>
      <w:pPr>
        <w:pStyle w:val="DefinedTerms"/>
      </w:pPr>
      <w:r>
        <w:t>oversight entity</w:t>
      </w:r>
      <w:r>
        <w:tab/>
        <w:t>29C(1)</w:t>
      </w:r>
    </w:p>
    <w:p>
      <w:pPr>
        <w:pStyle w:val="DefinedTerms"/>
      </w:pPr>
      <w:r>
        <w:t>performance issues</w:t>
      </w:r>
      <w:r>
        <w:tab/>
        <w:t>Sch. 2 cl. 22(2)</w:t>
      </w:r>
    </w:p>
    <w:p>
      <w:pPr>
        <w:pStyle w:val="DefinedTerms"/>
      </w:pPr>
      <w:r>
        <w:t>plan for the future</w:t>
      </w:r>
      <w:r>
        <w:tab/>
        <w:t>19DB(1)</w:t>
      </w:r>
    </w:p>
    <w:p>
      <w:pPr>
        <w:pStyle w:val="DefinedTerms"/>
      </w:pPr>
      <w:r>
        <w:t>primary return</w:t>
      </w:r>
      <w:r>
        <w:tab/>
        <w:t>29C(1)</w:t>
      </w:r>
    </w:p>
    <w:p>
      <w:pPr>
        <w:pStyle w:val="DefinedTerms"/>
      </w:pPr>
      <w:r>
        <w:t>prohibited gift</w:t>
      </w:r>
      <w:r>
        <w:tab/>
        <w:t>19AA</w:t>
      </w:r>
    </w:p>
    <w:p>
      <w:pPr>
        <w:pStyle w:val="DefinedTerms"/>
      </w:pPr>
      <w:r>
        <w:t>proposed meeting</w:t>
      </w:r>
      <w:r>
        <w:tab/>
        <w:t>14C(3), 14D(2A)</w:t>
      </w:r>
    </w:p>
    <w:p>
      <w:pPr>
        <w:pStyle w:val="DefinedTerms"/>
      </w:pPr>
      <w:r>
        <w:t>public health emergency</w:t>
      </w:r>
      <w:r>
        <w:tab/>
        <w:t>3(1)</w:t>
      </w:r>
    </w:p>
    <w:p>
      <w:pPr>
        <w:pStyle w:val="DefinedTerms"/>
      </w:pPr>
      <w:r>
        <w:t>publicly available</w:t>
      </w:r>
      <w:r>
        <w:tab/>
        <w:t>14G(1), (2) and (3)</w:t>
      </w:r>
    </w:p>
    <w:p>
      <w:pPr>
        <w:pStyle w:val="DefinedTerms"/>
      </w:pPr>
      <w:r>
        <w:t>recording</w:t>
      </w:r>
      <w:r>
        <w:tab/>
        <w:t>14G(1)</w:t>
      </w:r>
    </w:p>
    <w:p>
      <w:pPr>
        <w:pStyle w:val="DefinedTerms"/>
      </w:pPr>
      <w:r>
        <w:t>recording technology</w:t>
      </w:r>
      <w:r>
        <w:tab/>
        <w:t>14G(1)</w:t>
      </w:r>
    </w:p>
    <w:p>
      <w:pPr>
        <w:pStyle w:val="DefinedTerms"/>
      </w:pPr>
      <w:r>
        <w:t>relevant period</w:t>
      </w:r>
      <w:r>
        <w:tab/>
        <w:t>14C(1), 14D(1), 34AE(1)</w:t>
      </w:r>
    </w:p>
    <w:p>
      <w:pPr>
        <w:pStyle w:val="DefinedTerms"/>
      </w:pPr>
      <w:r>
        <w:t>relevant person</w:t>
      </w:r>
      <w:r>
        <w:tab/>
        <w:t>3(1)</w:t>
      </w:r>
    </w:p>
    <w:p>
      <w:pPr>
        <w:pStyle w:val="DefinedTerms"/>
      </w:pPr>
      <w:r>
        <w:t>remuneration</w:t>
      </w:r>
      <w:r>
        <w:tab/>
        <w:t>19B(1)</w:t>
      </w:r>
    </w:p>
    <w:p>
      <w:pPr>
        <w:pStyle w:val="DefinedTerms"/>
      </w:pPr>
      <w:r>
        <w:t>renew</w:t>
      </w:r>
      <w:r>
        <w:tab/>
        <w:t>19BE(1)</w:t>
      </w:r>
    </w:p>
    <w:p>
      <w:pPr>
        <w:pStyle w:val="DefinedTerms"/>
      </w:pPr>
      <w:r>
        <w:t>replace</w:t>
      </w:r>
      <w:r>
        <w:tab/>
        <w:t>19BE(1)</w:t>
      </w:r>
    </w:p>
    <w:p>
      <w:pPr>
        <w:pStyle w:val="DefinedTerms"/>
      </w:pPr>
      <w:r>
        <w:t>resources of the local government</w:t>
      </w:r>
      <w:r>
        <w:tab/>
        <w:t>19AE(1)</w:t>
      </w:r>
    </w:p>
    <w:p>
      <w:pPr>
        <w:pStyle w:val="DefinedTerms"/>
      </w:pPr>
      <w:r>
        <w:t>Schedule</w:t>
      </w:r>
      <w:r>
        <w:tab/>
        <w:t>3(1)</w:t>
      </w:r>
    </w:p>
    <w:p>
      <w:pPr>
        <w:pStyle w:val="DefinedTerms"/>
      </w:pPr>
      <w:r>
        <w:t>section</w:t>
      </w:r>
      <w:r>
        <w:tab/>
        <w:t>3(1)</w:t>
      </w:r>
    </w:p>
    <w:p>
      <w:pPr>
        <w:pStyle w:val="DefinedTerms"/>
      </w:pPr>
      <w:r>
        <w:t>selection criteria</w:t>
      </w:r>
      <w:r>
        <w:tab/>
        <w:t>Sch. 2 cl. 2(1)</w:t>
      </w:r>
    </w:p>
    <w:p>
      <w:pPr>
        <w:pStyle w:val="DefinedTerms"/>
      </w:pPr>
      <w:r>
        <w:t>selection panel</w:t>
      </w:r>
      <w:r>
        <w:tab/>
        <w:t>Sch. 2 cl. 2(1)</w:t>
      </w:r>
    </w:p>
    <w:p>
      <w:pPr>
        <w:pStyle w:val="DefinedTerms"/>
      </w:pPr>
      <w:r>
        <w:t>statement of financial position</w:t>
      </w:r>
      <w:r>
        <w:tab/>
        <w:t>19BB(1)</w:t>
      </w:r>
    </w:p>
    <w:p>
      <w:pPr>
        <w:pStyle w:val="DefinedTerms"/>
      </w:pPr>
      <w:r>
        <w:t>state of emergency</w:t>
      </w:r>
      <w:r>
        <w:tab/>
        <w:t>3(1)</w:t>
      </w:r>
    </w:p>
    <w:p>
      <w:pPr>
        <w:pStyle w:val="DefinedTerms"/>
      </w:pPr>
      <w:r>
        <w:t>strategic community plan</w:t>
      </w:r>
      <w:r>
        <w:tab/>
        <w:t>19BA</w:t>
      </w:r>
    </w:p>
    <w:p>
      <w:pPr>
        <w:pStyle w:val="DefinedTerms"/>
      </w:pPr>
      <w:r>
        <w:t>threshold amount</w:t>
      </w:r>
      <w:r>
        <w:tab/>
        <w:t>19AA</w:t>
      </w:r>
    </w:p>
    <w:p>
      <w:pPr>
        <w:pStyle w:val="DefinedTerms"/>
      </w:pPr>
      <w:r>
        <w:t>trading undertaking</w:t>
      </w:r>
      <w:r>
        <w:tab/>
        <w:t>19BB(1)</w:t>
      </w:r>
    </w:p>
    <w:p>
      <w:pPr>
        <w:pStyle w:val="DefinedTerms"/>
      </w:pPr>
      <w:r>
        <w:t>transitional period</w:t>
      </w:r>
      <w:r>
        <w:tab/>
        <w:t>34ACA(5)</w:t>
      </w:r>
    </w:p>
    <w:p>
      <w:pPr>
        <w:pStyle w:val="DefinedTerms"/>
      </w:pPr>
      <w:r>
        <w:t>usual meeting place</w:t>
      </w:r>
      <w:r>
        <w:tab/>
        <w:t>14G(1)</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6" w:name="DefinedTerms"/>
    <w:bookmarkEnd w:id="19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5170214"/>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 w:name="WAFER_20230628105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0628105503_GUID" w:val="59283de6-86ed-40c7-9f6e-7ea92519a60c"/>
    <w:docVar w:name="WAFER_20231013145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3145912_GUID" w:val="4ecfa8b8-e5c2-4346-99ac-f59df497490e"/>
    <w:docVar w:name="WAFER_20231220134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34431_GUID" w:val="79e54d7f-9fa3-43e4-97a4-9f7be164dcda"/>
    <w:docVar w:name="WAFER_20241025170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70214_GUID" w:val="6615e0c6-83ac-4268-b52f-c42adf460e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B37C9-34D2-4611-8740-C0A4D2729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22084</Words>
  <Characters>112851</Characters>
  <Application>Microsoft Office Word</Application>
  <DocSecurity>0</DocSecurity>
  <Lines>3526</Lines>
  <Paragraphs>1955</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132980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1996 - 03-s0-00</dc:title>
  <dc:subject/>
  <dc:creator/>
  <cp:keywords/>
  <dc:description/>
  <cp:lastModifiedBy>Master Repository Process</cp:lastModifiedBy>
  <cp:revision>4</cp:revision>
  <cp:lastPrinted>2019-10-17T07:04:00Z</cp:lastPrinted>
  <dcterms:created xsi:type="dcterms:W3CDTF">2025-07-04T04:47:00Z</dcterms:created>
  <dcterms:modified xsi:type="dcterms:W3CDTF">2025-07-04T04:47:00Z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OwlsUID">
    <vt:i4>4572</vt:i4>
  </property>
  <property fmtid="{D5CDD505-2E9C-101B-9397-08002B2CF9AE}" pid="4" name="ReprintNo">
    <vt:lpwstr>3</vt:lpwstr>
  </property>
  <property fmtid="{D5CDD505-2E9C-101B-9397-08002B2CF9AE}" pid="5" name="ReprintedAsAt">
    <vt:filetime>2012-02-02T16:00:00Z</vt:filetime>
  </property>
  <property fmtid="{D5CDD505-2E9C-101B-9397-08002B2CF9AE}" pid="6" name="DocumentType">
    <vt:lpwstr>Reg</vt:lpwstr>
  </property>
  <property fmtid="{D5CDD505-2E9C-101B-9397-08002B2CF9AE}" pid="7" name="AsAtDate">
    <vt:lpwstr>03 Nov 2024</vt:lpwstr>
  </property>
  <property fmtid="{D5CDD505-2E9C-101B-9397-08002B2CF9AE}" pid="8" name="Suffix">
    <vt:lpwstr>03-s0-00</vt:lpwstr>
  </property>
  <property fmtid="{D5CDD505-2E9C-101B-9397-08002B2CF9AE}" pid="9" name="Official">
    <vt:lpwstr/>
  </property>
  <property fmtid="{D5CDD505-2E9C-101B-9397-08002B2CF9AE}" pid="10" name="CommencementDate">
    <vt:lpwstr>20241103</vt:lpwstr>
  </property>
  <property fmtid="{D5CDD505-2E9C-101B-9397-08002B2CF9AE}" pid="11" name="CommencementAsAt">
    <vt:filetime>2024-11-02T16:00:00Z</vt:filetime>
  </property>
  <property fmtid="{D5CDD505-2E9C-101B-9397-08002B2CF9AE}" pid="12" name="CommencementYear">
    <vt:lpwstr>2024</vt:lpwstr>
  </property>
</Properties>
</file>