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_Toc181178947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_Toc181178948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_Toc181178950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_Toc181178951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1B — Caretaker period</w:t>
      </w:r>
    </w:p>
    <w:p>
      <w:pPr>
        <w:pStyle w:val="TOC8"/>
        <w:rPr>
          <w:rFonts w:asciiTheme="minorHAnsi" w:eastAsiaTheme="minorEastAsia" w:hAnsiTheme="minorHAnsi" w:cstheme="minorBidi"/>
          <w:szCs w:val="22"/>
        </w:rPr>
      </w:pPr>
      <w:r>
        <w:t>3A.</w:t>
      </w:r>
      <w:r>
        <w:tab/>
        <w:t>Significant acts</w:t>
      </w:r>
      <w:r>
        <w:tab/>
      </w:r>
      <w:r>
        <w:fldChar w:fldCharType="begin"/>
      </w:r>
      <w:r>
        <w:instrText xml:space="preserve"> PAGEREF _Toc181178953 \h </w:instrText>
      </w:r>
      <w:r>
        <w:fldChar w:fldCharType="separate"/>
      </w:r>
      <w:r>
        <w:t>3</w:t>
      </w:r>
      <w:r>
        <w:fldChar w:fldCharType="end"/>
      </w:r>
    </w:p>
    <w:p>
      <w:pPr>
        <w:pStyle w:val="TOC8"/>
        <w:rPr>
          <w:rFonts w:asciiTheme="minorHAnsi" w:eastAsiaTheme="minorEastAsia" w:hAnsiTheme="minorHAnsi" w:cstheme="minorBidi"/>
          <w:szCs w:val="22"/>
        </w:rPr>
      </w:pPr>
      <w:r>
        <w:t>3B.</w:t>
      </w:r>
      <w:r>
        <w:tab/>
        <w:t>Decisions taken before caretaker period</w:t>
      </w:r>
      <w:r>
        <w:tab/>
      </w:r>
      <w:r>
        <w:fldChar w:fldCharType="begin"/>
      </w:r>
      <w:r>
        <w:instrText xml:space="preserve"> PAGEREF _Toc181178954 \h </w:instrText>
      </w:r>
      <w:r>
        <w:fldChar w:fldCharType="separate"/>
      </w:r>
      <w:r>
        <w:t>6</w:t>
      </w:r>
      <w:r>
        <w:fldChar w:fldCharType="end"/>
      </w:r>
    </w:p>
    <w:p>
      <w:pPr>
        <w:pStyle w:val="TOC8"/>
        <w:rPr>
          <w:rFonts w:asciiTheme="minorHAnsi" w:eastAsiaTheme="minorEastAsia" w:hAnsiTheme="minorHAnsi" w:cstheme="minorBidi"/>
          <w:szCs w:val="22"/>
        </w:rPr>
      </w:pPr>
      <w:r>
        <w:t>3C.</w:t>
      </w:r>
      <w:r>
        <w:tab/>
        <w:t>Transitional provision</w:t>
      </w:r>
      <w:r>
        <w:tab/>
      </w:r>
      <w:r>
        <w:fldChar w:fldCharType="begin"/>
      </w:r>
      <w:r>
        <w:instrText xml:space="preserve"> PAGEREF _Toc181178955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_Toc181178957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_Toc181178958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_Toc181178959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_Toc181178961 \h </w:instrText>
      </w:r>
      <w:r>
        <w:fldChar w:fldCharType="separate"/>
      </w:r>
      <w:r>
        <w:t>9</w:t>
      </w:r>
      <w:r>
        <w:fldChar w:fldCharType="end"/>
      </w:r>
    </w:p>
    <w:p>
      <w:pPr>
        <w:pStyle w:val="TOC8"/>
        <w:rPr>
          <w:rFonts w:asciiTheme="minorHAnsi" w:eastAsiaTheme="minorEastAsia" w:hAnsiTheme="minorHAnsi" w:cstheme="minorBidi"/>
          <w:szCs w:val="22"/>
        </w:rPr>
      </w:pPr>
      <w:r>
        <w:lastRenderedPageBreak/>
        <w:t>8A.</w:t>
      </w:r>
      <w:r>
        <w:tab/>
        <w:t xml:space="preserve">Amount prescribed for major land transactions; exempt land transactions prescribed </w:t>
      </w:r>
      <w:r>
        <w:rPr>
          <w:snapToGrid w:val="0"/>
        </w:rPr>
        <w:t>(Act </w:t>
      </w:r>
      <w:r>
        <w:t>s. 3.59)</w:t>
      </w:r>
      <w:r>
        <w:tab/>
      </w:r>
      <w:r>
        <w:fldChar w:fldCharType="begin"/>
      </w:r>
      <w:r>
        <w:instrText xml:space="preserve"> PAGEREF _Toc181178962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_Toc181178963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_Toc181178964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_Toc181178965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_Toc181178968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_Toc181178970 \h </w:instrText>
      </w:r>
      <w:r>
        <w:fldChar w:fldCharType="separate"/>
      </w:r>
      <w:r>
        <w:t>15</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_Toc181178971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_Toc181178972 \h </w:instrText>
      </w:r>
      <w:r>
        <w:fldChar w:fldCharType="separate"/>
      </w:r>
      <w:r>
        <w:t>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_Toc181178973 \h </w:instrText>
      </w:r>
      <w:r>
        <w:fldChar w:fldCharType="separate"/>
      </w:r>
      <w:r>
        <w:t>20</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_Toc181178974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_Toc181178975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_Toc181178976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_Toc181178977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_Toc181178978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_Toc181178979 \h </w:instrText>
      </w:r>
      <w:r>
        <w:fldChar w:fldCharType="separate"/>
      </w:r>
      <w:r>
        <w:t>25</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_Toc181178980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_Toc181178981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_Toc181178982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_Toc181178983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_Toc181178984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_Toc181178986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24AB.</w:t>
      </w:r>
      <w:r>
        <w:tab/>
        <w:t>Local government may establish panels of pre</w:t>
      </w:r>
      <w:r>
        <w:noBreakHyphen/>
        <w:t>qualified suppliers</w:t>
      </w:r>
      <w:r>
        <w:tab/>
      </w:r>
      <w:r>
        <w:fldChar w:fldCharType="begin"/>
      </w:r>
      <w:r>
        <w:instrText xml:space="preserve"> PAGEREF _Toc181178987 \h </w:instrText>
      </w:r>
      <w:r>
        <w:fldChar w:fldCharType="separate"/>
      </w:r>
      <w:r>
        <w:t>29</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_Toc181178988 \h </w:instrText>
      </w:r>
      <w:r>
        <w:fldChar w:fldCharType="separate"/>
      </w:r>
      <w:r>
        <w:t>29</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_Toc181178989 \h </w:instrText>
      </w:r>
      <w:r>
        <w:fldChar w:fldCharType="separate"/>
      </w:r>
      <w:r>
        <w:t>30</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_Toc181178990 \h </w:instrText>
      </w:r>
      <w:r>
        <w:fldChar w:fldCharType="separate"/>
      </w:r>
      <w:r>
        <w:t>32</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_Toc181178991 \h </w:instrText>
      </w:r>
      <w:r>
        <w:fldChar w:fldCharType="separate"/>
      </w:r>
      <w:r>
        <w:t>32</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_Toc181178992 \h </w:instrText>
      </w:r>
      <w:r>
        <w:fldChar w:fldCharType="separate"/>
      </w:r>
      <w:r>
        <w:t>32</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_Toc181178993 \h </w:instrText>
      </w:r>
      <w:r>
        <w:fldChar w:fldCharType="separate"/>
      </w:r>
      <w:r>
        <w:t>33</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_Toc181178994 \h </w:instrText>
      </w:r>
      <w:r>
        <w:fldChar w:fldCharType="separate"/>
      </w:r>
      <w:r>
        <w:t>33</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_Toc181178995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_Toc181178997 \h </w:instrText>
      </w:r>
      <w:r>
        <w:fldChar w:fldCharType="separate"/>
      </w:r>
      <w:r>
        <w:t>35</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_Toc181178998 \h </w:instrText>
      </w:r>
      <w:r>
        <w:fldChar w:fldCharType="separate"/>
      </w:r>
      <w:r>
        <w:t>35</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_Toc181178999 \h </w:instrText>
      </w:r>
      <w:r>
        <w:fldChar w:fldCharType="separate"/>
      </w:r>
      <w:r>
        <w:t>36</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_Toc181179000 \h </w:instrText>
      </w:r>
      <w:r>
        <w:fldChar w:fldCharType="separate"/>
      </w:r>
      <w:r>
        <w:t>36</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_Toc181179001 \h </w:instrText>
      </w:r>
      <w:r>
        <w:fldChar w:fldCharType="separate"/>
      </w:r>
      <w:r>
        <w:t>37</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_Toc181179002 \h </w:instrText>
      </w:r>
      <w:r>
        <w:fldChar w:fldCharType="separate"/>
      </w:r>
      <w:r>
        <w:t>38</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_Toc181179003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_Toc181179005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_Toc181179006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_Toc181179007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_Toc181179009 \h </w:instrText>
      </w:r>
      <w:r>
        <w:fldChar w:fldCharType="separate"/>
      </w:r>
      <w:r>
        <w:t>41</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_Toc181179010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29B.</w:t>
      </w:r>
      <w:r>
        <w:tab/>
        <w:t>Prescribed non</w:t>
      </w:r>
      <w:r>
        <w:noBreakHyphen/>
        <w:t xml:space="preserve">perishable goods </w:t>
      </w:r>
      <w:r>
        <w:rPr>
          <w:snapToGrid w:val="0"/>
        </w:rPr>
        <w:t>(Act </w:t>
      </w:r>
      <w:r>
        <w:t>s. 3.47(2b)(ca))</w:t>
      </w:r>
      <w:r>
        <w:tab/>
      </w:r>
      <w:r>
        <w:fldChar w:fldCharType="begin"/>
      </w:r>
      <w:r>
        <w:instrText xml:space="preserve"> PAGEREF _Toc181179011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_Toc181179012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_Toc181179013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r>
      <w:r>
        <w:t>Local government permitted to form bodies corporate (Act s. 3.60)</w:t>
      </w:r>
      <w:r>
        <w:tab/>
      </w:r>
      <w:r>
        <w:fldChar w:fldCharType="begin"/>
      </w:r>
      <w:r>
        <w:instrText xml:space="preserve"> PAGEREF _Toc181179014 \h </w:instrText>
      </w:r>
      <w:r>
        <w:fldChar w:fldCharType="separate"/>
      </w:r>
      <w:r>
        <w:t>45</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_Toc181179015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_Toc181179016 \h </w:instrText>
      </w:r>
      <w:r>
        <w:fldChar w:fldCharType="separate"/>
      </w:r>
      <w:r>
        <w:t>46</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_Toc181179017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_Toc181179018 \h </w:instrText>
      </w:r>
      <w:r>
        <w:fldChar w:fldCharType="separate"/>
      </w:r>
      <w:r>
        <w:t>47</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_Toc181179019 \h </w:instrText>
      </w:r>
      <w:r>
        <w:fldChar w:fldCharType="separate"/>
      </w:r>
      <w:r>
        <w:t>47</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_Toc181179020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_Toc181179021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_Toc181179023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_Toc181179026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_Toc181179027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2" w:name="_Toc181004870"/>
      <w:bookmarkStart w:id="3" w:name="_Toc181006295"/>
      <w:bookmarkStart w:id="4" w:name="_Toc181006405"/>
      <w:bookmarkStart w:id="5" w:name="_Toc1811789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81178947"/>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7" w:name="_Toc18117894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2"/>
      </w:pPr>
      <w:bookmarkStart w:id="8" w:name="_Toc181004873"/>
      <w:bookmarkStart w:id="9" w:name="_Toc181006298"/>
      <w:bookmarkStart w:id="10" w:name="_Toc181006408"/>
      <w:bookmarkStart w:id="11" w:name="_Toc181178949"/>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8"/>
      <w:bookmarkEnd w:id="9"/>
      <w:bookmarkEnd w:id="10"/>
      <w:bookmarkEnd w:id="11"/>
    </w:p>
    <w:p>
      <w:pPr>
        <w:pStyle w:val="Footnoteheading"/>
      </w:pPr>
      <w:r>
        <w:tab/>
        <w:t>[Heading inserted: Gazette 11 Sep 1998 p. 4927.]</w:t>
      </w:r>
    </w:p>
    <w:p>
      <w:pPr>
        <w:pStyle w:val="Heading5"/>
      </w:pPr>
      <w:bookmarkStart w:id="12" w:name="_Toc181178950"/>
      <w:r>
        <w:rPr>
          <w:rStyle w:val="CharSectno"/>
        </w:rPr>
        <w:t>2A</w:t>
      </w:r>
      <w:r>
        <w:t>.</w:t>
      </w:r>
      <w:r>
        <w:tab/>
        <w:t>Matters about which local laws are not to be made (Act s. 3.5)</w:t>
      </w:r>
      <w:bookmarkEnd w:id="12"/>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3" w:name="_Toc181178951"/>
      <w:r>
        <w:rPr>
          <w:rStyle w:val="CharSectno"/>
        </w:rPr>
        <w:t>3</w:t>
      </w:r>
      <w:r>
        <w:t>.</w:t>
      </w:r>
      <w:r>
        <w:tab/>
        <w:t xml:space="preserve">Prescribed manner of giving notice of purpose and effect of proposed local law </w:t>
      </w:r>
      <w:r>
        <w:rPr>
          <w:snapToGrid w:val="0"/>
        </w:rPr>
        <w:t>(Act </w:t>
      </w:r>
      <w:r>
        <w:t>s. 3.12(2))</w:t>
      </w:r>
      <w:bookmarkEnd w:id="13"/>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rStyle w:val="CharPartText"/>
        </w:rPr>
      </w:pPr>
      <w:bookmarkStart w:id="14" w:name="_Toc181004876"/>
      <w:bookmarkStart w:id="15" w:name="_Toc181006301"/>
      <w:bookmarkStart w:id="16" w:name="_Toc181006411"/>
      <w:bookmarkStart w:id="17" w:name="_Toc181178952"/>
      <w:r>
        <w:rPr>
          <w:rStyle w:val="CharPartNo"/>
        </w:rPr>
        <w:lastRenderedPageBreak/>
        <w:t>Part 1B</w:t>
      </w:r>
      <w:r>
        <w:t> — </w:t>
      </w:r>
      <w:r>
        <w:rPr>
          <w:rStyle w:val="CharPartText"/>
        </w:rPr>
        <w:t>Caretaker period</w:t>
      </w:r>
      <w:bookmarkEnd w:id="14"/>
      <w:bookmarkEnd w:id="15"/>
      <w:bookmarkEnd w:id="16"/>
      <w:bookmarkEnd w:id="17"/>
    </w:p>
    <w:p>
      <w:pPr>
        <w:pStyle w:val="Footnoteheading"/>
      </w:pPr>
      <w:r>
        <w:tab/>
        <w:t>[Heading inserted: SL 2023/102 r. 60.]</w:t>
      </w:r>
    </w:p>
    <w:p>
      <w:pPr>
        <w:pStyle w:val="Heading5"/>
      </w:pPr>
      <w:bookmarkStart w:id="18" w:name="_Toc181178953"/>
      <w:r>
        <w:rPr>
          <w:rStyle w:val="CharSectno"/>
        </w:rPr>
        <w:t>3A</w:t>
      </w:r>
      <w:r>
        <w:t>.</w:t>
      </w:r>
      <w:r>
        <w:tab/>
        <w:t>Significant acts</w:t>
      </w:r>
      <w:bookmarkEnd w:id="18"/>
    </w:p>
    <w:p>
      <w:pPr>
        <w:pStyle w:val="Subsection"/>
      </w:pPr>
      <w:r>
        <w:tab/>
        <w:t>(1)</w:t>
      </w:r>
      <w:r>
        <w:tab/>
        <w:t xml:space="preserve">In this regulation, references to paragraphs are to paragraphs of the definition of </w:t>
      </w:r>
      <w:r>
        <w:rPr>
          <w:b/>
          <w:i/>
        </w:rPr>
        <w:t>significant act</w:t>
      </w:r>
      <w:r>
        <w:t xml:space="preserve"> in section 3.73(1) of the Act (unless otherwise indicated).</w:t>
      </w:r>
    </w:p>
    <w:p>
      <w:pPr>
        <w:pStyle w:val="Subsection"/>
      </w:pPr>
      <w:r>
        <w:tab/>
        <w:t>(2)</w:t>
      </w:r>
      <w:r>
        <w:tab/>
        <w:t xml:space="preserve">For the purposes of paragraph (f), entering into a contract is a significant act if either or both of the following apply — </w:t>
      </w:r>
    </w:p>
    <w:p>
      <w:pPr>
        <w:pStyle w:val="Indenta"/>
      </w:pPr>
      <w:r>
        <w:tab/>
        <w:t>(a)</w:t>
      </w:r>
      <w:r>
        <w:tab/>
        <w:t xml:space="preserve">under the contract, the local government is to, or is expected to, provide or receive consideration that is, or is expected to be — </w:t>
      </w:r>
    </w:p>
    <w:p>
      <w:pPr>
        <w:pStyle w:val="Indenti"/>
      </w:pPr>
      <w:r>
        <w:tab/>
        <w:t>(i)</w:t>
      </w:r>
      <w:r>
        <w:tab/>
        <w:t>more than $250 000 (in total); or</w:t>
      </w:r>
    </w:p>
    <w:p>
      <w:pPr>
        <w:pStyle w:val="Indenti"/>
      </w:pPr>
      <w:r>
        <w:tab/>
        <w:t>(ii)</w:t>
      </w:r>
      <w:r>
        <w:tab/>
        <w:t>worth more than $250 000 (in total);</w:t>
      </w:r>
    </w:p>
    <w:p>
      <w:pPr>
        <w:pStyle w:val="Indenta"/>
      </w:pPr>
      <w:r>
        <w:tab/>
        <w:t>(b)</w:t>
      </w:r>
      <w:r>
        <w:tab/>
        <w:t>under the contract, the local government is to, or is expected to, acquire or dispose of property the market value of which is, or is expected to be, more than $250 000 (in total).</w:t>
      </w:r>
    </w:p>
    <w:p>
      <w:pPr>
        <w:pStyle w:val="Subsection"/>
      </w:pPr>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p>
    <w:p>
      <w:pPr>
        <w:pStyle w:val="Subsection"/>
      </w:pPr>
      <w:r>
        <w:tab/>
        <w:t>(4)</w:t>
      </w:r>
      <w:r>
        <w:tab/>
        <w:t xml:space="preserve">In subregulations (2) and (3) — </w:t>
      </w:r>
    </w:p>
    <w:p>
      <w:pPr>
        <w:pStyle w:val="Defstart"/>
      </w:pPr>
      <w:r>
        <w:tab/>
      </w:r>
      <w:r>
        <w:rPr>
          <w:rStyle w:val="CharDefText"/>
        </w:rPr>
        <w:t>acquire</w:t>
      </w:r>
      <w:r>
        <w:t xml:space="preserve"> includes lease or license from another person;</w:t>
      </w:r>
    </w:p>
    <w:p>
      <w:pPr>
        <w:pStyle w:val="Defstart"/>
      </w:pPr>
      <w:r>
        <w:tab/>
      </w:r>
      <w:r>
        <w:rPr>
          <w:rStyle w:val="CharDefText"/>
        </w:rPr>
        <w:t>contract</w:t>
      </w:r>
      <w:r>
        <w:t xml:space="preserve"> means a contract or other agreement or arrangement;</w:t>
      </w:r>
    </w:p>
    <w:p>
      <w:pPr>
        <w:pStyle w:val="Defstart"/>
      </w:pPr>
      <w:r>
        <w:tab/>
      </w:r>
      <w:r>
        <w:rPr>
          <w:rStyle w:val="CharDefText"/>
        </w:rPr>
        <w:t>dispose</w:t>
      </w:r>
      <w:r>
        <w:t xml:space="preserve"> includes lease or license to another person;</w:t>
      </w:r>
    </w:p>
    <w:p>
      <w:pPr>
        <w:pStyle w:val="Defstart"/>
      </w:pPr>
      <w:r>
        <w:tab/>
      </w:r>
      <w:r>
        <w:rPr>
          <w:rStyle w:val="CharDefText"/>
        </w:rPr>
        <w:t>property</w:t>
      </w:r>
      <w:r>
        <w:t xml:space="preserve"> includes any interest, or any share of an interest, in any property.</w:t>
      </w:r>
    </w:p>
    <w:p>
      <w:pPr>
        <w:pStyle w:val="Subsection"/>
        <w:keepNext/>
      </w:pPr>
      <w:r>
        <w:lastRenderedPageBreak/>
        <w:tab/>
        <w:t>(5)</w:t>
      </w:r>
      <w:r>
        <w:tab/>
        <w:t xml:space="preserve">For the purposes of paragraph (g), inviting a tender is a significant act if the tender — </w:t>
      </w:r>
    </w:p>
    <w:p>
      <w:pPr>
        <w:pStyle w:val="Indenta"/>
      </w:pPr>
      <w:r>
        <w:tab/>
        <w:t>(a)</w:t>
      </w:r>
      <w:r>
        <w:tab/>
        <w:t>is required to be publicly invited under regulation 11(1) or 12(2); or</w:t>
      </w:r>
    </w:p>
    <w:p>
      <w:pPr>
        <w:pStyle w:val="Indenta"/>
      </w:pPr>
      <w:r>
        <w:tab/>
        <w:t>(b)</w:t>
      </w:r>
      <w:r>
        <w:tab/>
        <w:t>would be required to be publicly invited under regulation 11(1) or 12(2) but for regulation 11(2).</w:t>
      </w:r>
    </w:p>
    <w:p>
      <w:pPr>
        <w:pStyle w:val="Subsection"/>
      </w:pPr>
      <w:r>
        <w:tab/>
        <w:t>(6)</w:t>
      </w:r>
      <w:r>
        <w:tab/>
        <w:t xml:space="preserve">For the purposes of paragraph (i), each of the following is a significant act — </w:t>
      </w:r>
    </w:p>
    <w:p>
      <w:pPr>
        <w:pStyle w:val="Indenta"/>
      </w:pPr>
      <w:r>
        <w:tab/>
        <w:t>(a)</w:t>
      </w:r>
      <w:r>
        <w:tab/>
        <w:t xml:space="preserve">each of the following under Part 3 Division 4 of the Act — </w:t>
      </w:r>
    </w:p>
    <w:p>
      <w:pPr>
        <w:pStyle w:val="Indenti"/>
      </w:pPr>
      <w:r>
        <w:tab/>
        <w:t>(i)</w:t>
      </w:r>
      <w:r>
        <w:tab/>
        <w:t>establishing a regional local government;</w:t>
      </w:r>
    </w:p>
    <w:p>
      <w:pPr>
        <w:pStyle w:val="Indenti"/>
      </w:pPr>
      <w:r>
        <w:tab/>
        <w:t>(ii)</w:t>
      </w:r>
      <w:r>
        <w:tab/>
        <w:t>amending the establishment agreement for a regional local government;</w:t>
      </w:r>
    </w:p>
    <w:p>
      <w:pPr>
        <w:pStyle w:val="Indenti"/>
      </w:pPr>
      <w:r>
        <w:tab/>
        <w:t>(iii)</w:t>
      </w:r>
      <w:r>
        <w:tab/>
        <w:t>winding up a regional local government, otherwise than at the direction of the Minister;</w:t>
      </w:r>
    </w:p>
    <w:p>
      <w:pPr>
        <w:pStyle w:val="Indenti"/>
      </w:pPr>
      <w:r>
        <w:tab/>
        <w:t>(iv)</w:t>
      </w:r>
      <w:r>
        <w:tab/>
        <w:t>withdrawing from a regional local government;</w:t>
      </w:r>
    </w:p>
    <w:p>
      <w:pPr>
        <w:pStyle w:val="Indenti"/>
      </w:pPr>
      <w:r>
        <w:tab/>
        <w:t>(v)</w:t>
      </w:r>
      <w:r>
        <w:tab/>
        <w:t>forming a regional subsidiary;</w:t>
      </w:r>
    </w:p>
    <w:p>
      <w:pPr>
        <w:pStyle w:val="Indenti"/>
      </w:pPr>
      <w:r>
        <w:tab/>
        <w:t>(vi)</w:t>
      </w:r>
      <w:r>
        <w:tab/>
        <w:t>amending the charter for a regional subsidiary;</w:t>
      </w:r>
    </w:p>
    <w:p>
      <w:pPr>
        <w:pStyle w:val="Indenti"/>
      </w:pPr>
      <w:r>
        <w:tab/>
        <w:t>(vii)</w:t>
      </w:r>
      <w:r>
        <w:tab/>
        <w:t>winding up, or withdrawing from, a regional subsidiary;</w:t>
      </w:r>
    </w:p>
    <w:p>
      <w:pPr>
        <w:pStyle w:val="Indenta"/>
      </w:pPr>
      <w:r>
        <w:tab/>
        <w:t>(b)</w:t>
      </w:r>
      <w:r>
        <w:tab/>
        <w:t xml:space="preserve">commencing the preparation of any of the following under the </w:t>
      </w:r>
      <w:r>
        <w:rPr>
          <w:i/>
        </w:rPr>
        <w:t xml:space="preserve">Planning and Development (Local Planning Schemes) Regulations 2015 </w:t>
      </w:r>
      <w:r>
        <w:t xml:space="preserve">Part 3 — </w:t>
      </w:r>
    </w:p>
    <w:p>
      <w:pPr>
        <w:pStyle w:val="Indenti"/>
      </w:pPr>
      <w:r>
        <w:tab/>
        <w:t>(i)</w:t>
      </w:r>
      <w:r>
        <w:tab/>
        <w:t>a local planning strategy;</w:t>
      </w:r>
    </w:p>
    <w:p>
      <w:pPr>
        <w:pStyle w:val="Indenti"/>
      </w:pPr>
      <w:r>
        <w:tab/>
        <w:t>(ii)</w:t>
      </w:r>
      <w:r>
        <w:tab/>
        <w:t>an amendment to a local planning strategy;</w:t>
      </w:r>
    </w:p>
    <w:p>
      <w:pPr>
        <w:pStyle w:val="Indenti"/>
      </w:pPr>
      <w:r>
        <w:tab/>
        <w:t>(iii)</w:t>
      </w:r>
      <w:r>
        <w:tab/>
        <w:t>a notice of revocation in respect of a local planning strategy;</w:t>
      </w:r>
    </w:p>
    <w:p>
      <w:pPr>
        <w:pStyle w:val="Indenta"/>
      </w:pPr>
      <w:r>
        <w:tab/>
        <w:t>(c)</w:t>
      </w:r>
      <w:r>
        <w:tab/>
        <w:t xml:space="preserve">passing a resolution of the kind referred to in the </w:t>
      </w:r>
      <w:r>
        <w:rPr>
          <w:i/>
        </w:rPr>
        <w:t xml:space="preserve">Planning and Development (Local Planning Schemes) Regulations 2015 </w:t>
      </w:r>
      <w:r>
        <w:t>regulation 19(1);</w:t>
      </w:r>
    </w:p>
    <w:p>
      <w:pPr>
        <w:pStyle w:val="Indenta"/>
      </w:pPr>
      <w:r>
        <w:lastRenderedPageBreak/>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p>
    <w:p>
      <w:pPr>
        <w:pStyle w:val="Indenta"/>
      </w:pPr>
      <w:r>
        <w:tab/>
        <w:t>(e)</w:t>
      </w:r>
      <w:r>
        <w:tab/>
        <w:t xml:space="preserve">commencing a review of a local planning scheme under the </w:t>
      </w:r>
      <w:r>
        <w:rPr>
          <w:i/>
        </w:rPr>
        <w:t xml:space="preserve">Planning and Development (Local Planning Schemes) Regulations 2015 </w:t>
      </w:r>
      <w:r>
        <w:t>regulation 65;</w:t>
      </w:r>
    </w:p>
    <w:p>
      <w:pPr>
        <w:pStyle w:val="Indenta"/>
      </w:pPr>
      <w:r>
        <w:tab/>
        <w:t>(f)</w:t>
      </w:r>
      <w:r>
        <w:tab/>
        <w:t xml:space="preserve">commencing the preparation of an instrument of repeal in respect of a local planning scheme under the </w:t>
      </w:r>
      <w:r>
        <w:rPr>
          <w:i/>
        </w:rPr>
        <w:t xml:space="preserve">Planning and Development Act 2005 </w:t>
      </w:r>
      <w:r>
        <w:t>section 74(b);</w:t>
      </w:r>
    </w:p>
    <w:p>
      <w:pPr>
        <w:pStyle w:val="Indenta"/>
      </w:pPr>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p>
    <w:p>
      <w:pPr>
        <w:pStyle w:val="Indenti"/>
      </w:pPr>
      <w:r>
        <w:tab/>
        <w:t>(i)</w:t>
      </w:r>
      <w:r>
        <w:tab/>
        <w:t>resolving to prepare or amend a local planning policy;</w:t>
      </w:r>
    </w:p>
    <w:p>
      <w:pPr>
        <w:pStyle w:val="Indenti"/>
      </w:pPr>
      <w:r>
        <w:tab/>
        <w:t>(ii)</w:t>
      </w:r>
      <w:r>
        <w:tab/>
        <w:t>commencing the preparation of a notice of revocation in respect of a local planning policy;</w:t>
      </w:r>
    </w:p>
    <w:p>
      <w:pPr>
        <w:pStyle w:val="Indenta"/>
      </w:pPr>
      <w:r>
        <w:tab/>
        <w:t>(h)</w:t>
      </w:r>
      <w:r>
        <w:tab/>
        <w:t>publicly inviting persons to apply to join a panel of pre</w:t>
      </w:r>
      <w:r>
        <w:noBreakHyphen/>
        <w:t>qualified suppliers under Part 4 Division 3;</w:t>
      </w:r>
    </w:p>
    <w:p>
      <w:pPr>
        <w:pStyle w:val="Indenta"/>
      </w:pPr>
      <w:r>
        <w:tab/>
        <w:t>(i)</w:t>
      </w:r>
      <w:r>
        <w:tab/>
        <w:t>deciding to do anything referred to in paragraphs (a) to (h) of this subregulation.</w:t>
      </w:r>
    </w:p>
    <w:p>
      <w:pPr>
        <w:pStyle w:val="Subsection"/>
      </w:pPr>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p>
    <w:p>
      <w:pPr>
        <w:pStyle w:val="Footnotesection"/>
      </w:pPr>
      <w:r>
        <w:tab/>
        <w:t>[Regulation 3A inserted: SL 2023/102 r. 60.]</w:t>
      </w:r>
    </w:p>
    <w:p>
      <w:pPr>
        <w:pStyle w:val="Heading5"/>
      </w:pPr>
      <w:bookmarkStart w:id="19" w:name="_Toc181178954"/>
      <w:r>
        <w:rPr>
          <w:rStyle w:val="CharSectno"/>
        </w:rPr>
        <w:lastRenderedPageBreak/>
        <w:t>3B</w:t>
      </w:r>
      <w:r>
        <w:t>.</w:t>
      </w:r>
      <w:r>
        <w:tab/>
        <w:t>Decisions taken before caretaker period</w:t>
      </w:r>
      <w:bookmarkEnd w:id="19"/>
    </w:p>
    <w:p>
      <w:pPr>
        <w:pStyle w:val="Subsection"/>
      </w:pPr>
      <w:r>
        <w:tab/>
      </w:r>
      <w:r>
        <w:tab/>
        <w:t xml:space="preserve">For the purposes of section 3.73(4)(b) of the Act, the local government must do the following before doing the significant act — </w:t>
      </w:r>
    </w:p>
    <w:p>
      <w:pPr>
        <w:pStyle w:val="Indenta"/>
      </w:pPr>
      <w:r>
        <w:tab/>
        <w:t>(a)</w:t>
      </w:r>
      <w:r>
        <w:tab/>
        <w:t xml:space="preserve">give local public notice of the local government’s intention to do the significant act, including — </w:t>
      </w:r>
    </w:p>
    <w:p>
      <w:pPr>
        <w:pStyle w:val="Indenti"/>
      </w:pPr>
      <w:r>
        <w:tab/>
        <w:t>(i)</w:t>
      </w:r>
      <w:r>
        <w:tab/>
        <w:t>details of the significant act and the date on which the local government intends to do the significant act; and</w:t>
      </w:r>
    </w:p>
    <w:p>
      <w:pPr>
        <w:pStyle w:val="Indenti"/>
      </w:pPr>
      <w:r>
        <w:tab/>
        <w:t>(ii)</w:t>
      </w:r>
      <w:r>
        <w:tab/>
        <w:t>details of the decision to do the significant act referred to in section 3.73(4)(a) of the Act and the date on which the decision was made;</w:t>
      </w:r>
    </w:p>
    <w:p>
      <w:pPr>
        <w:pStyle w:val="Indenta"/>
      </w:pPr>
      <w:r>
        <w:tab/>
        <w:t>(b)</w:t>
      </w:r>
      <w:r>
        <w:tab/>
        <w:t>provide a copy of the notice given under paragraph (a) to the Departmental CEO.</w:t>
      </w:r>
    </w:p>
    <w:p>
      <w:pPr>
        <w:pStyle w:val="Footnotesection"/>
      </w:pPr>
      <w:r>
        <w:tab/>
        <w:t>[Regulation 3B inserted: SL 2023/102 r. 60.]</w:t>
      </w:r>
    </w:p>
    <w:p>
      <w:pPr>
        <w:pStyle w:val="Heading5"/>
      </w:pPr>
      <w:bookmarkStart w:id="20" w:name="_Toc181178955"/>
      <w:r>
        <w:rPr>
          <w:rStyle w:val="CharSectno"/>
        </w:rPr>
        <w:t>3C</w:t>
      </w:r>
      <w:r>
        <w:t>.</w:t>
      </w:r>
      <w:r>
        <w:tab/>
        <w:t>Transitional provision</w:t>
      </w:r>
      <w:bookmarkEnd w:id="20"/>
    </w:p>
    <w:p>
      <w:pPr>
        <w:pStyle w:val="Subsection"/>
      </w:pPr>
      <w:r>
        <w:tab/>
      </w:r>
      <w:r>
        <w:tab/>
        <w:t>For the purposes of Schedule 9.3 clause 62(2) of the Act, section 3.73 of the Act does not apply in relation to a caretaker period that begins before 1 July 2024.</w:t>
      </w:r>
    </w:p>
    <w:p>
      <w:pPr>
        <w:pStyle w:val="Footnotesection"/>
      </w:pPr>
      <w:r>
        <w:tab/>
        <w:t>[Regulation 3C inserted: SL 2023/102 r. 60.]</w:t>
      </w:r>
    </w:p>
    <w:p>
      <w:pPr>
        <w:pStyle w:val="Heading2"/>
      </w:pPr>
      <w:bookmarkStart w:id="21" w:name="_Toc181004880"/>
      <w:bookmarkStart w:id="22" w:name="_Toc181006305"/>
      <w:bookmarkStart w:id="23" w:name="_Toc181006415"/>
      <w:bookmarkStart w:id="24" w:name="_Toc181178956"/>
      <w:r>
        <w:rPr>
          <w:rStyle w:val="CharPartNo"/>
        </w:rPr>
        <w:lastRenderedPageBreak/>
        <w:t>Part 2</w:t>
      </w:r>
      <w:r>
        <w:rPr>
          <w:rStyle w:val="CharDivNo"/>
        </w:rPr>
        <w:t> </w:t>
      </w:r>
      <w:r>
        <w:t>—</w:t>
      </w:r>
      <w:r>
        <w:rPr>
          <w:rStyle w:val="CharDivText"/>
        </w:rPr>
        <w:t> </w:t>
      </w:r>
      <w:r>
        <w:rPr>
          <w:rStyle w:val="CharPartText"/>
        </w:rPr>
        <w:t>Thoroughfares</w:t>
      </w:r>
      <w:bookmarkEnd w:id="21"/>
      <w:bookmarkEnd w:id="22"/>
      <w:bookmarkEnd w:id="23"/>
      <w:bookmarkEnd w:id="24"/>
    </w:p>
    <w:p>
      <w:pPr>
        <w:pStyle w:val="Heading5"/>
        <w:rPr>
          <w:snapToGrid w:val="0"/>
        </w:rPr>
      </w:pPr>
      <w:bookmarkStart w:id="25" w:name="_Toc181178957"/>
      <w:r>
        <w:rPr>
          <w:rStyle w:val="CharSectno"/>
        </w:rPr>
        <w:t>4</w:t>
      </w:r>
      <w:r>
        <w:rPr>
          <w:snapToGrid w:val="0"/>
        </w:rPr>
        <w:t>.</w:t>
      </w:r>
      <w:r>
        <w:rPr>
          <w:snapToGrid w:val="0"/>
        </w:rPr>
        <w:tab/>
        <w:t>Persons prescribed to be notified of road closure (Act s. 3.50)</w:t>
      </w:r>
      <w:bookmarkEnd w:id="25"/>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6" w:name="_Toc181178958"/>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6"/>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 xml:space="preserve">in relation to fixing or altering the level of, or the alignment of, a public thoroughfare, any person providing a service by means of pipes, cables, or </w:t>
      </w:r>
      <w:r>
        <w:rPr>
          <w:snapToGrid w:val="0"/>
        </w:rPr>
        <w:lastRenderedPageBreak/>
        <w:t>anything else under, on, or above the land used for the thoroughfare.</w:t>
      </w:r>
    </w:p>
    <w:p>
      <w:pPr>
        <w:pStyle w:val="Heading5"/>
        <w:rPr>
          <w:snapToGrid w:val="0"/>
        </w:rPr>
      </w:pPr>
      <w:bookmarkStart w:id="27" w:name="_Toc181178959"/>
      <w:r>
        <w:rPr>
          <w:rStyle w:val="CharSectno"/>
        </w:rPr>
        <w:t>6</w:t>
      </w:r>
      <w:r>
        <w:rPr>
          <w:snapToGrid w:val="0"/>
        </w:rPr>
        <w:t>.</w:t>
      </w:r>
      <w:r>
        <w:rPr>
          <w:snapToGrid w:val="0"/>
        </w:rPr>
        <w:tab/>
        <w:t>Transitional provisions about road closures</w:t>
      </w:r>
      <w:bookmarkEnd w:id="27"/>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28" w:name="_Toc181004884"/>
      <w:bookmarkStart w:id="29" w:name="_Toc181006309"/>
      <w:bookmarkStart w:id="30" w:name="_Toc181006419"/>
      <w:bookmarkStart w:id="31" w:name="_Toc181178960"/>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28"/>
      <w:bookmarkEnd w:id="29"/>
      <w:bookmarkEnd w:id="30"/>
      <w:bookmarkEnd w:id="31"/>
    </w:p>
    <w:p>
      <w:pPr>
        <w:pStyle w:val="Heading5"/>
      </w:pPr>
      <w:bookmarkStart w:id="32" w:name="_Toc181178961"/>
      <w:r>
        <w:rPr>
          <w:rStyle w:val="CharSectno"/>
        </w:rPr>
        <w:t>7</w:t>
      </w:r>
      <w:r>
        <w:t>.</w:t>
      </w:r>
      <w:r>
        <w:tab/>
        <w:t>Term used: major regional centre</w:t>
      </w:r>
      <w:bookmarkEnd w:id="32"/>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33" w:name="_Toc181178962"/>
      <w:r>
        <w:rPr>
          <w:rStyle w:val="CharSectno"/>
        </w:rPr>
        <w:t>8A</w:t>
      </w:r>
      <w:r>
        <w:t>.</w:t>
      </w:r>
      <w:r>
        <w:tab/>
        <w:t xml:space="preserve">Amount prescribed for major land transactions; exempt land transactions prescribed </w:t>
      </w:r>
      <w:r>
        <w:rPr>
          <w:snapToGrid w:val="0"/>
        </w:rPr>
        <w:t>(Act </w:t>
      </w:r>
      <w:r>
        <w:t>s. 3.59)</w:t>
      </w:r>
      <w:bookmarkEnd w:id="33"/>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lastRenderedPageBreak/>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34" w:name="_Toc181178963"/>
      <w:r>
        <w:rPr>
          <w:rStyle w:val="CharSectno"/>
        </w:rPr>
        <w:t>8</w:t>
      </w:r>
      <w:r>
        <w:rPr>
          <w:snapToGrid w:val="0"/>
        </w:rPr>
        <w:t>.</w:t>
      </w:r>
      <w:r>
        <w:rPr>
          <w:snapToGrid w:val="0"/>
        </w:rPr>
        <w:tab/>
        <w:t>Exempt land transactions prescribed (Act s. 3.59)</w:t>
      </w:r>
      <w:bookmarkEnd w:id="34"/>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 xml:space="preserve">For the purposes of subregulation (1)(b) a person is given joint use of land if the land is to be jointly used for a common </w:t>
      </w:r>
      <w:r>
        <w:rPr>
          <w:snapToGrid w:val="0"/>
        </w:rPr>
        <w:lastRenderedPageBreak/>
        <w:t>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35" w:name="_Toc181178964"/>
      <w:r>
        <w:rPr>
          <w:rStyle w:val="CharSectno"/>
        </w:rPr>
        <w:t>9</w:t>
      </w:r>
      <w:r>
        <w:rPr>
          <w:snapToGrid w:val="0"/>
        </w:rPr>
        <w:t>.</w:t>
      </w:r>
      <w:r>
        <w:rPr>
          <w:snapToGrid w:val="0"/>
        </w:rPr>
        <w:tab/>
        <w:t>Amount prescribed for major trading undertakings; exempt trading undertakings prescribed (Act s. 3.59)</w:t>
      </w:r>
      <w:bookmarkEnd w:id="3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lastRenderedPageBreak/>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lastRenderedPageBreak/>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36" w:name="_Toc181178965"/>
      <w:r>
        <w:rPr>
          <w:rStyle w:val="CharSectno"/>
        </w:rPr>
        <w:t>10</w:t>
      </w:r>
      <w:r>
        <w:rPr>
          <w:snapToGrid w:val="0"/>
        </w:rPr>
        <w:t>.</w:t>
      </w:r>
      <w:r>
        <w:rPr>
          <w:snapToGrid w:val="0"/>
        </w:rPr>
        <w:tab/>
        <w:t>Business plans for major trading undertaking and major land transaction, content of</w:t>
      </w:r>
      <w:bookmarkEnd w:id="36"/>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7" w:name="_Toc181004890"/>
      <w:bookmarkStart w:id="38" w:name="_Toc181006315"/>
      <w:bookmarkStart w:id="39" w:name="_Toc181006425"/>
      <w:bookmarkStart w:id="40" w:name="_Toc181178966"/>
      <w:r>
        <w:rPr>
          <w:rStyle w:val="CharPartNo"/>
        </w:rPr>
        <w:lastRenderedPageBreak/>
        <w:t>Part 4</w:t>
      </w:r>
      <w:r>
        <w:rPr>
          <w:b w:val="0"/>
        </w:rPr>
        <w:t> </w:t>
      </w:r>
      <w:r>
        <w:t>—</w:t>
      </w:r>
      <w:r>
        <w:rPr>
          <w:b w:val="0"/>
        </w:rPr>
        <w:t> </w:t>
      </w:r>
      <w:r>
        <w:rPr>
          <w:rStyle w:val="CharPartText"/>
        </w:rPr>
        <w:t>Provision of goods and services</w:t>
      </w:r>
      <w:bookmarkEnd w:id="37"/>
      <w:bookmarkEnd w:id="38"/>
      <w:bookmarkEnd w:id="39"/>
      <w:bookmarkEnd w:id="40"/>
    </w:p>
    <w:p>
      <w:pPr>
        <w:pStyle w:val="Footnoteheading"/>
      </w:pPr>
      <w:r>
        <w:tab/>
        <w:t>[Heading inserted: Gazette 2 Feb 2007 p. 244.]</w:t>
      </w:r>
    </w:p>
    <w:p>
      <w:pPr>
        <w:pStyle w:val="Heading3"/>
      </w:pPr>
      <w:bookmarkStart w:id="41" w:name="_Toc181004891"/>
      <w:bookmarkStart w:id="42" w:name="_Toc181006316"/>
      <w:bookmarkStart w:id="43" w:name="_Toc181006426"/>
      <w:bookmarkStart w:id="44" w:name="_Toc181178967"/>
      <w:r>
        <w:rPr>
          <w:rStyle w:val="CharDivNo"/>
        </w:rPr>
        <w:t>Division 1</w:t>
      </w:r>
      <w:r>
        <w:t> — </w:t>
      </w:r>
      <w:r>
        <w:rPr>
          <w:rStyle w:val="CharDivText"/>
        </w:rPr>
        <w:t>Purchasing policies</w:t>
      </w:r>
      <w:bookmarkEnd w:id="41"/>
      <w:bookmarkEnd w:id="42"/>
      <w:bookmarkEnd w:id="43"/>
      <w:bookmarkEnd w:id="44"/>
    </w:p>
    <w:p>
      <w:pPr>
        <w:pStyle w:val="Footnoteheading"/>
      </w:pPr>
      <w:r>
        <w:tab/>
        <w:t>[Heading inserted: Gazette 2 Feb 2007 p. 244.]</w:t>
      </w:r>
    </w:p>
    <w:p>
      <w:pPr>
        <w:pStyle w:val="Heading5"/>
      </w:pPr>
      <w:bookmarkStart w:id="45" w:name="_Toc181178968"/>
      <w:r>
        <w:rPr>
          <w:rStyle w:val="CharSectno"/>
        </w:rPr>
        <w:t>11A</w:t>
      </w:r>
      <w:r>
        <w:t>.</w:t>
      </w:r>
      <w:r>
        <w:tab/>
        <w:t>Purchasing policies for local governments</w:t>
      </w:r>
      <w:bookmarkEnd w:id="4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46" w:name="_Toc181004893"/>
      <w:bookmarkStart w:id="47" w:name="_Toc181006318"/>
      <w:bookmarkStart w:id="48" w:name="_Toc181006428"/>
      <w:bookmarkStart w:id="49" w:name="_Toc181178969"/>
      <w:r>
        <w:rPr>
          <w:rStyle w:val="CharDivNo"/>
        </w:rPr>
        <w:lastRenderedPageBreak/>
        <w:t>Division 2</w:t>
      </w:r>
      <w:r>
        <w:t> — </w:t>
      </w:r>
      <w:r>
        <w:rPr>
          <w:rStyle w:val="CharDivText"/>
        </w:rPr>
        <w:t>Tenders for providing goods or services (s. 3.57)</w:t>
      </w:r>
      <w:bookmarkEnd w:id="46"/>
      <w:bookmarkEnd w:id="47"/>
      <w:bookmarkEnd w:id="48"/>
      <w:bookmarkEnd w:id="49"/>
    </w:p>
    <w:p>
      <w:pPr>
        <w:pStyle w:val="Footnoteheading"/>
        <w:keepNext/>
      </w:pPr>
      <w:r>
        <w:tab/>
        <w:t>[Heading inserted: Gazette 2 Feb 2007 p. 245.]</w:t>
      </w:r>
    </w:p>
    <w:p>
      <w:pPr>
        <w:pStyle w:val="Heading5"/>
        <w:rPr>
          <w:snapToGrid w:val="0"/>
        </w:rPr>
      </w:pPr>
      <w:bookmarkStart w:id="50" w:name="_Toc181178970"/>
      <w:r>
        <w:rPr>
          <w:rStyle w:val="CharSectno"/>
        </w:rPr>
        <w:t>11</w:t>
      </w:r>
      <w:r>
        <w:rPr>
          <w:snapToGrid w:val="0"/>
        </w:rPr>
        <w:t>.</w:t>
      </w:r>
      <w:r>
        <w:rPr>
          <w:snapToGrid w:val="0"/>
        </w:rPr>
        <w:tab/>
        <w:t>When tenders have to be publicly invited</w:t>
      </w:r>
      <w:bookmarkEnd w:id="50"/>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 xml:space="preserve">the local government has, under regulation 21(1), sought expressions of interest with respect to the </w:t>
      </w:r>
      <w:r>
        <w:rPr>
          <w:snapToGrid w:val="0"/>
        </w:rPr>
        <w:lastRenderedPageBreak/>
        <w:t>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lastRenderedPageBreak/>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lastRenderedPageBreak/>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lastRenderedPageBreak/>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Ednotesubsection"/>
      </w:pPr>
      <w:r>
        <w:tab/>
        <w:t>[(4)</w:t>
      </w:r>
      <w:r>
        <w:tab/>
        <w:t>deleted]</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and 15; SL 2023/47 r. 4.]</w:t>
      </w:r>
    </w:p>
    <w:p>
      <w:pPr>
        <w:pStyle w:val="Heading5"/>
      </w:pPr>
      <w:bookmarkStart w:id="51" w:name="_Toc181178971"/>
      <w:r>
        <w:rPr>
          <w:rStyle w:val="CharSectno"/>
        </w:rPr>
        <w:t>12</w:t>
      </w:r>
      <w:r>
        <w:t>.</w:t>
      </w:r>
      <w:r>
        <w:tab/>
        <w:t>Anti</w:t>
      </w:r>
      <w:r>
        <w:noBreakHyphen/>
        <w:t>avoidance provision for r. 11(1)</w:t>
      </w:r>
      <w:bookmarkEnd w:id="51"/>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52" w:name="_Toc181178972"/>
      <w:r>
        <w:rPr>
          <w:rStyle w:val="CharSectno"/>
        </w:rPr>
        <w:lastRenderedPageBreak/>
        <w:t>13</w:t>
      </w:r>
      <w:r>
        <w:rPr>
          <w:snapToGrid w:val="0"/>
        </w:rPr>
        <w:t>.</w:t>
      </w:r>
      <w:r>
        <w:rPr>
          <w:snapToGrid w:val="0"/>
        </w:rPr>
        <w:tab/>
        <w:t>Requirements when local government invites tenders though not required to do so</w:t>
      </w:r>
      <w:bookmarkEnd w:id="52"/>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53" w:name="_Toc181178973"/>
      <w:r>
        <w:rPr>
          <w:rStyle w:val="CharSectno"/>
        </w:rPr>
        <w:t>14</w:t>
      </w:r>
      <w:r>
        <w:rPr>
          <w:snapToGrid w:val="0"/>
        </w:rPr>
        <w:t>.</w:t>
      </w:r>
      <w:r>
        <w:rPr>
          <w:snapToGrid w:val="0"/>
        </w:rPr>
        <w:tab/>
        <w:t>Publicly inviting tenders, requirements for</w:t>
      </w:r>
      <w:bookmarkEnd w:id="53"/>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lastRenderedPageBreak/>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54" w:name="_Toc181178974"/>
      <w:r>
        <w:rPr>
          <w:rStyle w:val="CharSectno"/>
        </w:rPr>
        <w:t>15</w:t>
      </w:r>
      <w:r>
        <w:t>.</w:t>
      </w:r>
      <w:r>
        <w:tab/>
      </w:r>
      <w:r>
        <w:rPr>
          <w:snapToGrid w:val="0"/>
        </w:rPr>
        <w:t>Minimum time to be allowed for submitting tenders</w:t>
      </w:r>
      <w:bookmarkEnd w:id="54"/>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lastRenderedPageBreak/>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55" w:name="_Toc181178975"/>
      <w:r>
        <w:rPr>
          <w:rStyle w:val="CharSectno"/>
        </w:rPr>
        <w:t>16</w:t>
      </w:r>
      <w:r>
        <w:rPr>
          <w:snapToGrid w:val="0"/>
        </w:rPr>
        <w:t>.</w:t>
      </w:r>
      <w:r>
        <w:rPr>
          <w:snapToGrid w:val="0"/>
        </w:rPr>
        <w:tab/>
        <w:t>Receiving and opening tenders, procedure for</w:t>
      </w:r>
      <w:bookmarkEnd w:id="5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56" w:name="_Toc181178976"/>
      <w:r>
        <w:rPr>
          <w:rStyle w:val="CharSectno"/>
        </w:rPr>
        <w:lastRenderedPageBreak/>
        <w:t>17</w:t>
      </w:r>
      <w:r>
        <w:rPr>
          <w:snapToGrid w:val="0"/>
        </w:rPr>
        <w:t>.</w:t>
      </w:r>
      <w:r>
        <w:rPr>
          <w:snapToGrid w:val="0"/>
        </w:rPr>
        <w:tab/>
        <w:t>Tenders register</w:t>
      </w:r>
      <w:bookmarkEnd w:id="56"/>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57" w:name="_Toc181178977"/>
      <w:r>
        <w:rPr>
          <w:rStyle w:val="CharSectno"/>
        </w:rPr>
        <w:lastRenderedPageBreak/>
        <w:t>18</w:t>
      </w:r>
      <w:r>
        <w:rPr>
          <w:snapToGrid w:val="0"/>
        </w:rPr>
        <w:t>.</w:t>
      </w:r>
      <w:r>
        <w:rPr>
          <w:snapToGrid w:val="0"/>
        </w:rPr>
        <w:tab/>
        <w:t>Rejecting and accepting tenders</w:t>
      </w:r>
      <w:bookmarkEnd w:id="57"/>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 xml:space="preserve">If a local government has accepted a tender and acceptance of the tender creates a contract and within 6 months of the day on which the tender was accepted the local government and the successful tenderer agree to terminate the contract, the local </w:t>
      </w:r>
      <w:r>
        <w:lastRenderedPageBreak/>
        <w:t>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58" w:name="_Toc181178978"/>
      <w:r>
        <w:rPr>
          <w:rStyle w:val="CharSectno"/>
        </w:rPr>
        <w:t>19</w:t>
      </w:r>
      <w:r>
        <w:rPr>
          <w:snapToGrid w:val="0"/>
        </w:rPr>
        <w:t>.</w:t>
      </w:r>
      <w:r>
        <w:rPr>
          <w:snapToGrid w:val="0"/>
        </w:rPr>
        <w:tab/>
        <w:t>Tenderers to be notified of outcome</w:t>
      </w:r>
      <w:bookmarkEnd w:id="58"/>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59" w:name="_Toc181178979"/>
      <w:r>
        <w:rPr>
          <w:rStyle w:val="CharSectno"/>
        </w:rPr>
        <w:t>20</w:t>
      </w:r>
      <w:r>
        <w:rPr>
          <w:snapToGrid w:val="0"/>
        </w:rPr>
        <w:t>.</w:t>
      </w:r>
      <w:r>
        <w:rPr>
          <w:snapToGrid w:val="0"/>
        </w:rPr>
        <w:tab/>
        <w:t>Variation of requirements before entry into contract</w:t>
      </w:r>
      <w:bookmarkEnd w:id="59"/>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keepNext/>
        <w:rPr>
          <w:snapToGrid w:val="0"/>
        </w:rPr>
      </w:pPr>
      <w:r>
        <w:rPr>
          <w:snapToGrid w:val="0"/>
        </w:rPr>
        <w:lastRenderedPageBreak/>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60" w:name="_Toc181178980"/>
      <w:r>
        <w:rPr>
          <w:rStyle w:val="CharSectno"/>
        </w:rPr>
        <w:t>21A</w:t>
      </w:r>
      <w:r>
        <w:t>.</w:t>
      </w:r>
      <w:r>
        <w:tab/>
        <w:t>Varying a contract for the supply of goods or services</w:t>
      </w:r>
      <w:bookmarkEnd w:id="60"/>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61" w:name="_Toc181178981"/>
      <w:r>
        <w:rPr>
          <w:rStyle w:val="CharSectno"/>
        </w:rPr>
        <w:t>21</w:t>
      </w:r>
      <w:r>
        <w:rPr>
          <w:snapToGrid w:val="0"/>
        </w:rPr>
        <w:t>.</w:t>
      </w:r>
      <w:r>
        <w:rPr>
          <w:snapToGrid w:val="0"/>
        </w:rPr>
        <w:tab/>
        <w:t>Limiting who can tender, procedure for</w:t>
      </w:r>
      <w:bookmarkEnd w:id="61"/>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lastRenderedPageBreak/>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62" w:name="_Toc181178982"/>
      <w:r>
        <w:rPr>
          <w:rStyle w:val="CharSectno"/>
        </w:rPr>
        <w:t>22</w:t>
      </w:r>
      <w:r>
        <w:rPr>
          <w:snapToGrid w:val="0"/>
        </w:rPr>
        <w:t>.</w:t>
      </w:r>
      <w:r>
        <w:rPr>
          <w:snapToGrid w:val="0"/>
        </w:rPr>
        <w:tab/>
        <w:t>Minimum time to be allowed for submitting expressions of interest</w:t>
      </w:r>
      <w:bookmarkEnd w:id="62"/>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63" w:name="_Toc181178983"/>
      <w:r>
        <w:rPr>
          <w:rStyle w:val="CharSectno"/>
        </w:rPr>
        <w:t>23</w:t>
      </w:r>
      <w:r>
        <w:rPr>
          <w:snapToGrid w:val="0"/>
        </w:rPr>
        <w:t>.</w:t>
      </w:r>
      <w:r>
        <w:rPr>
          <w:snapToGrid w:val="0"/>
        </w:rPr>
        <w:tab/>
        <w:t>Rejecting and accepting expressions of interest to be acceptable tenderer</w:t>
      </w:r>
      <w:bookmarkEnd w:id="63"/>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64" w:name="_Toc181178984"/>
      <w:r>
        <w:rPr>
          <w:rStyle w:val="CharSectno"/>
        </w:rPr>
        <w:lastRenderedPageBreak/>
        <w:t>24</w:t>
      </w:r>
      <w:r>
        <w:rPr>
          <w:snapToGrid w:val="0"/>
        </w:rPr>
        <w:t>.</w:t>
      </w:r>
      <w:r>
        <w:rPr>
          <w:snapToGrid w:val="0"/>
        </w:rPr>
        <w:tab/>
        <w:t>People who submitted expression of interest to be notified of outcome</w:t>
      </w:r>
      <w:bookmarkEnd w:id="64"/>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65" w:name="_Toc181004909"/>
      <w:bookmarkStart w:id="66" w:name="_Toc181006334"/>
      <w:bookmarkStart w:id="67" w:name="_Toc181006444"/>
      <w:bookmarkStart w:id="68" w:name="_Toc181178985"/>
      <w:r>
        <w:rPr>
          <w:rStyle w:val="CharDivNo"/>
        </w:rPr>
        <w:t>Division 3</w:t>
      </w:r>
      <w:r>
        <w:t> — </w:t>
      </w:r>
      <w:r>
        <w:rPr>
          <w:rStyle w:val="CharDivText"/>
        </w:rPr>
        <w:t>Panels of pre</w:t>
      </w:r>
      <w:r>
        <w:rPr>
          <w:rStyle w:val="CharDivText"/>
        </w:rPr>
        <w:noBreakHyphen/>
        <w:t>qualified suppliers</w:t>
      </w:r>
      <w:bookmarkEnd w:id="65"/>
      <w:bookmarkEnd w:id="66"/>
      <w:bookmarkEnd w:id="67"/>
      <w:bookmarkEnd w:id="68"/>
    </w:p>
    <w:p>
      <w:pPr>
        <w:pStyle w:val="Footnoteheading"/>
        <w:keepNext/>
      </w:pPr>
      <w:r>
        <w:tab/>
        <w:t>[Heading inserted: Gazette 18 Sep 2015 p. 3808.]</w:t>
      </w:r>
    </w:p>
    <w:p>
      <w:pPr>
        <w:pStyle w:val="Heading5"/>
      </w:pPr>
      <w:bookmarkStart w:id="69" w:name="_Toc181178986"/>
      <w:r>
        <w:rPr>
          <w:rStyle w:val="CharSectno"/>
        </w:rPr>
        <w:t>24AA</w:t>
      </w:r>
      <w:r>
        <w:t>.</w:t>
      </w:r>
      <w:r>
        <w:tab/>
        <w:t>Terms used</w:t>
      </w:r>
      <w:bookmarkEnd w:id="69"/>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70" w:name="_Toc181178987"/>
      <w:r>
        <w:rPr>
          <w:rStyle w:val="CharSectno"/>
        </w:rPr>
        <w:lastRenderedPageBreak/>
        <w:t>24AB</w:t>
      </w:r>
      <w:r>
        <w:t>.</w:t>
      </w:r>
      <w:r>
        <w:tab/>
        <w:t>Local government may establish panels of pre</w:t>
      </w:r>
      <w:r>
        <w:noBreakHyphen/>
        <w:t>qualified suppliers</w:t>
      </w:r>
      <w:bookmarkEnd w:id="70"/>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71" w:name="_Toc181178988"/>
      <w:r>
        <w:rPr>
          <w:rStyle w:val="CharSectno"/>
        </w:rPr>
        <w:t>24AC</w:t>
      </w:r>
      <w:r>
        <w:t>.</w:t>
      </w:r>
      <w:r>
        <w:tab/>
        <w:t>Requirements before establishing panels of pre</w:t>
      </w:r>
      <w:r>
        <w:noBreakHyphen/>
        <w:t>qualified suppliers</w:t>
      </w:r>
      <w:bookmarkEnd w:id="71"/>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lastRenderedPageBreak/>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72" w:name="_Toc181178989"/>
      <w:r>
        <w:rPr>
          <w:rStyle w:val="CharSectno"/>
        </w:rPr>
        <w:t>24AD</w:t>
      </w:r>
      <w:r>
        <w:t>.</w:t>
      </w:r>
      <w:r>
        <w:tab/>
        <w:t>Requirements when inviting persons to apply to join panel of pre</w:t>
      </w:r>
      <w:r>
        <w:noBreakHyphen/>
        <w:t>qualified suppliers</w:t>
      </w:r>
      <w:bookmarkEnd w:id="72"/>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lastRenderedPageBreak/>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73" w:name="_Toc181178990"/>
      <w:r>
        <w:rPr>
          <w:rStyle w:val="CharSectno"/>
        </w:rPr>
        <w:lastRenderedPageBreak/>
        <w:t>24AE</w:t>
      </w:r>
      <w:r>
        <w:t>.</w:t>
      </w:r>
      <w:r>
        <w:tab/>
        <w:t>Minimum time to be allowed for submitting application to join panel of pre</w:t>
      </w:r>
      <w:r>
        <w:noBreakHyphen/>
        <w:t>qualified suppliers</w:t>
      </w:r>
      <w:bookmarkEnd w:id="73"/>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74" w:name="_Toc181178991"/>
      <w:r>
        <w:rPr>
          <w:rStyle w:val="CharSectno"/>
        </w:rPr>
        <w:t>24AF</w:t>
      </w:r>
      <w:r>
        <w:t>.</w:t>
      </w:r>
      <w:r>
        <w:tab/>
        <w:t>Procedure for receiving and opening applications</w:t>
      </w:r>
      <w:bookmarkEnd w:id="74"/>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75" w:name="_Toc181178992"/>
      <w:r>
        <w:rPr>
          <w:rStyle w:val="CharSectno"/>
        </w:rPr>
        <w:t>24AG</w:t>
      </w:r>
      <w:r>
        <w:t>.</w:t>
      </w:r>
      <w:r>
        <w:tab/>
        <w:t>Information about panels of pre</w:t>
      </w:r>
      <w:r>
        <w:noBreakHyphen/>
        <w:t>qualified suppliers to be included in tenders register</w:t>
      </w:r>
      <w:bookmarkEnd w:id="7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76" w:name="_Toc181178993"/>
      <w:r>
        <w:rPr>
          <w:rStyle w:val="CharSectno"/>
        </w:rPr>
        <w:t>24AH</w:t>
      </w:r>
      <w:r>
        <w:t>.</w:t>
      </w:r>
      <w:r>
        <w:tab/>
        <w:t>Rejecting and accepting applications to join panel of pre</w:t>
      </w:r>
      <w:r>
        <w:noBreakHyphen/>
        <w:t>qualified suppliers</w:t>
      </w:r>
      <w:bookmarkEnd w:id="76"/>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77" w:name="_Toc181178994"/>
      <w:r>
        <w:rPr>
          <w:rStyle w:val="CharSectno"/>
        </w:rPr>
        <w:t>24AI</w:t>
      </w:r>
      <w:r>
        <w:t>.</w:t>
      </w:r>
      <w:r>
        <w:tab/>
        <w:t>Applicants to be notified of outcome</w:t>
      </w:r>
      <w:bookmarkEnd w:id="77"/>
    </w:p>
    <w:p>
      <w:pPr>
        <w:pStyle w:val="Subsection"/>
        <w:keepNext/>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78" w:name="_Toc181178995"/>
      <w:r>
        <w:rPr>
          <w:rStyle w:val="CharSectno"/>
        </w:rPr>
        <w:t>24AJ</w:t>
      </w:r>
      <w:r>
        <w:t>.</w:t>
      </w:r>
      <w:r>
        <w:tab/>
        <w:t>Contracts with pre</w:t>
      </w:r>
      <w:r>
        <w:noBreakHyphen/>
        <w:t>qualified suppliers</w:t>
      </w:r>
      <w:bookmarkEnd w:id="78"/>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79" w:name="_Toc181004920"/>
      <w:bookmarkStart w:id="80" w:name="_Toc181006345"/>
      <w:bookmarkStart w:id="81" w:name="_Toc181006455"/>
      <w:bookmarkStart w:id="82" w:name="_Toc181178996"/>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79"/>
      <w:bookmarkEnd w:id="80"/>
      <w:bookmarkEnd w:id="81"/>
      <w:bookmarkEnd w:id="82"/>
    </w:p>
    <w:p>
      <w:pPr>
        <w:pStyle w:val="Footnoteheading"/>
      </w:pPr>
      <w:r>
        <w:tab/>
        <w:t>[Heading inserted: Gazette 25 Feb 2000 p. 971.]</w:t>
      </w:r>
    </w:p>
    <w:p>
      <w:pPr>
        <w:pStyle w:val="Heading5"/>
        <w:spacing w:before="180"/>
      </w:pPr>
      <w:bookmarkStart w:id="83" w:name="_Toc181178997"/>
      <w:r>
        <w:rPr>
          <w:rStyle w:val="CharSectno"/>
        </w:rPr>
        <w:t>24A</w:t>
      </w:r>
      <w:r>
        <w:t>.</w:t>
      </w:r>
      <w:r>
        <w:tab/>
        <w:t>Application of this Part</w:t>
      </w:r>
      <w:bookmarkEnd w:id="83"/>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84" w:name="_Toc181178998"/>
      <w:r>
        <w:rPr>
          <w:rStyle w:val="CharSectno"/>
        </w:rPr>
        <w:t>24B</w:t>
      </w:r>
      <w:r>
        <w:t>.</w:t>
      </w:r>
      <w:r>
        <w:tab/>
        <w:t>Terms used</w:t>
      </w:r>
      <w:bookmarkEnd w:id="84"/>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85" w:name="_Toc181178999"/>
      <w:r>
        <w:rPr>
          <w:rStyle w:val="CharSectno"/>
        </w:rPr>
        <w:lastRenderedPageBreak/>
        <w:t>24C</w:t>
      </w:r>
      <w:r>
        <w:t>.</w:t>
      </w:r>
      <w:r>
        <w:tab/>
        <w:t>Regional price preference may be given</w:t>
      </w:r>
      <w:bookmarkEnd w:id="85"/>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86" w:name="_Toc181179000"/>
      <w:r>
        <w:rPr>
          <w:rStyle w:val="CharSectno"/>
        </w:rPr>
        <w:t>24D</w:t>
      </w:r>
      <w:r>
        <w:t>.</w:t>
      </w:r>
      <w:r>
        <w:tab/>
        <w:t>Discounts permitted for regional price preferences</w:t>
      </w:r>
      <w:bookmarkEnd w:id="86"/>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lastRenderedPageBreak/>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87" w:name="_Toc181179001"/>
      <w:r>
        <w:rPr>
          <w:rStyle w:val="CharSectno"/>
        </w:rPr>
        <w:t>24E</w:t>
      </w:r>
      <w:r>
        <w:t>.</w:t>
      </w:r>
      <w:r>
        <w:tab/>
        <w:t>Regional price preference policies for local governments</w:t>
      </w:r>
      <w:bookmarkEnd w:id="87"/>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lastRenderedPageBreak/>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88" w:name="_Toc181179002"/>
      <w:r>
        <w:rPr>
          <w:rStyle w:val="CharSectno"/>
        </w:rPr>
        <w:t>24F</w:t>
      </w:r>
      <w:r>
        <w:t>.</w:t>
      </w:r>
      <w:r>
        <w:tab/>
        <w:t>Adoption and notice of regional price preference policy</w:t>
      </w:r>
      <w:bookmarkEnd w:id="88"/>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lastRenderedPageBreak/>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89" w:name="_Toc181179003"/>
      <w:r>
        <w:rPr>
          <w:rStyle w:val="CharSectno"/>
        </w:rPr>
        <w:t>24G</w:t>
      </w:r>
      <w:r>
        <w:t>.</w:t>
      </w:r>
      <w:r>
        <w:tab/>
        <w:t>Adopted regional price preference policy, effect of</w:t>
      </w:r>
      <w:bookmarkEnd w:id="89"/>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90" w:name="_Toc181004928"/>
      <w:bookmarkStart w:id="91" w:name="_Toc181006353"/>
      <w:bookmarkStart w:id="92" w:name="_Toc181006463"/>
      <w:bookmarkStart w:id="93" w:name="_Toc181179004"/>
      <w:r>
        <w:rPr>
          <w:rStyle w:val="CharPartNo"/>
        </w:rPr>
        <w:lastRenderedPageBreak/>
        <w:t>Part 5</w:t>
      </w:r>
      <w:r>
        <w:rPr>
          <w:rStyle w:val="CharDivNo"/>
        </w:rPr>
        <w:t> </w:t>
      </w:r>
      <w:r>
        <w:t>—</w:t>
      </w:r>
      <w:r>
        <w:rPr>
          <w:rStyle w:val="CharDivText"/>
        </w:rPr>
        <w:t> </w:t>
      </w:r>
      <w:r>
        <w:rPr>
          <w:rStyle w:val="CharPartText"/>
        </w:rPr>
        <w:t>Owner onus and infringement notices</w:t>
      </w:r>
      <w:bookmarkEnd w:id="90"/>
      <w:bookmarkEnd w:id="91"/>
      <w:bookmarkEnd w:id="92"/>
      <w:bookmarkEnd w:id="93"/>
    </w:p>
    <w:p>
      <w:pPr>
        <w:pStyle w:val="Heading5"/>
        <w:ind w:right="376"/>
        <w:rPr>
          <w:snapToGrid w:val="0"/>
        </w:rPr>
      </w:pPr>
      <w:bookmarkStart w:id="94" w:name="_Toc181179005"/>
      <w:r>
        <w:rPr>
          <w:rStyle w:val="CharSectno"/>
        </w:rPr>
        <w:t>25</w:t>
      </w:r>
      <w:r>
        <w:rPr>
          <w:snapToGrid w:val="0"/>
        </w:rPr>
        <w:t>.</w:t>
      </w:r>
      <w:r>
        <w:rPr>
          <w:snapToGrid w:val="0"/>
        </w:rPr>
        <w:tab/>
        <w:t>Notice to put onus on vehicle owner, form of (Act s. 9.13)</w:t>
      </w:r>
      <w:bookmarkEnd w:id="94"/>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95" w:name="_Toc181179006"/>
      <w:r>
        <w:rPr>
          <w:rStyle w:val="CharSectno"/>
        </w:rPr>
        <w:t>26</w:t>
      </w:r>
      <w:r>
        <w:rPr>
          <w:snapToGrid w:val="0"/>
        </w:rPr>
        <w:t>.</w:t>
      </w:r>
      <w:r>
        <w:rPr>
          <w:snapToGrid w:val="0"/>
        </w:rPr>
        <w:tab/>
        <w:t>Infringement notice, form of (Act s. 9.16)</w:t>
      </w:r>
      <w:bookmarkEnd w:id="9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96" w:name="_Toc181179007"/>
      <w:r>
        <w:rPr>
          <w:rStyle w:val="CharSectno"/>
        </w:rPr>
        <w:t>27</w:t>
      </w:r>
      <w:r>
        <w:rPr>
          <w:snapToGrid w:val="0"/>
        </w:rPr>
        <w:t>.</w:t>
      </w:r>
      <w:r>
        <w:rPr>
          <w:snapToGrid w:val="0"/>
        </w:rPr>
        <w:tab/>
        <w:t>Withdrawal of infringement notice, form of (Act s. 9.20)</w:t>
      </w:r>
      <w:bookmarkEnd w:id="96"/>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97" w:name="_Toc181004932"/>
      <w:bookmarkStart w:id="98" w:name="_Toc181006357"/>
      <w:bookmarkStart w:id="99" w:name="_Toc181006467"/>
      <w:bookmarkStart w:id="100" w:name="_Toc181179008"/>
      <w:r>
        <w:rPr>
          <w:rStyle w:val="CharPartNo"/>
        </w:rPr>
        <w:lastRenderedPageBreak/>
        <w:t>Part 6</w:t>
      </w:r>
      <w:r>
        <w:rPr>
          <w:rStyle w:val="CharDivNo"/>
        </w:rPr>
        <w:t> </w:t>
      </w:r>
      <w:r>
        <w:t>—</w:t>
      </w:r>
      <w:r>
        <w:rPr>
          <w:rStyle w:val="CharDivText"/>
        </w:rPr>
        <w:t> </w:t>
      </w:r>
      <w:r>
        <w:rPr>
          <w:rStyle w:val="CharPartText"/>
        </w:rPr>
        <w:t>Miscellaneous</w:t>
      </w:r>
      <w:bookmarkEnd w:id="97"/>
      <w:bookmarkEnd w:id="98"/>
      <w:bookmarkEnd w:id="99"/>
      <w:bookmarkEnd w:id="100"/>
    </w:p>
    <w:p>
      <w:pPr>
        <w:pStyle w:val="Heading5"/>
        <w:ind w:right="856"/>
        <w:rPr>
          <w:snapToGrid w:val="0"/>
        </w:rPr>
      </w:pPr>
      <w:bookmarkStart w:id="101" w:name="_Toc181179009"/>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01"/>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02" w:name="_Toc181179010"/>
      <w:r>
        <w:rPr>
          <w:rStyle w:val="CharSectno"/>
        </w:rPr>
        <w:lastRenderedPageBreak/>
        <w:t>29A</w:t>
      </w:r>
      <w:r>
        <w:t>.</w:t>
      </w:r>
      <w:r>
        <w:tab/>
        <w:t xml:space="preserve">Abandoned vehicle wrecks, value etc. prescribed for </w:t>
      </w:r>
      <w:r>
        <w:rPr>
          <w:snapToGrid w:val="0"/>
        </w:rPr>
        <w:t>(Act </w:t>
      </w:r>
      <w:r>
        <w:t>s. 3.40A(5)(c))</w:t>
      </w:r>
      <w:bookmarkEnd w:id="102"/>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03" w:name="_Toc181179011"/>
      <w:r>
        <w:rPr>
          <w:rStyle w:val="CharSectno"/>
        </w:rPr>
        <w:t>29B</w:t>
      </w:r>
      <w:r>
        <w:t>.</w:t>
      </w:r>
      <w:r>
        <w:tab/>
        <w:t>Prescribed non</w:t>
      </w:r>
      <w:r>
        <w:noBreakHyphen/>
        <w:t xml:space="preserve">perishable goods </w:t>
      </w:r>
      <w:r>
        <w:rPr>
          <w:snapToGrid w:val="0"/>
        </w:rPr>
        <w:t>(Act </w:t>
      </w:r>
      <w:r>
        <w:t>s. 3.47(2b)(ca))</w:t>
      </w:r>
      <w:bookmarkEnd w:id="103"/>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04" w:name="_Toc181179012"/>
      <w:r>
        <w:rPr>
          <w:rStyle w:val="CharSectno"/>
        </w:rPr>
        <w:t>30</w:t>
      </w:r>
      <w:r>
        <w:rPr>
          <w:snapToGrid w:val="0"/>
        </w:rPr>
        <w:t>.</w:t>
      </w:r>
      <w:r>
        <w:rPr>
          <w:snapToGrid w:val="0"/>
        </w:rPr>
        <w:tab/>
        <w:t>Dispositions of property excluded from Act s. 3.58</w:t>
      </w:r>
      <w:bookmarkEnd w:id="104"/>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lastRenderedPageBreak/>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 xml:space="preserve">the entire consideration received by the local government for the disposition is used to purchase other </w:t>
      </w:r>
      <w:r>
        <w:lastRenderedPageBreak/>
        <w:t>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105" w:name="_Toc181179013"/>
      <w:r>
        <w:rPr>
          <w:rStyle w:val="CharSectno"/>
        </w:rPr>
        <w:t>31</w:t>
      </w:r>
      <w:r>
        <w:rPr>
          <w:snapToGrid w:val="0"/>
        </w:rPr>
        <w:t>.</w:t>
      </w:r>
      <w:r>
        <w:rPr>
          <w:snapToGrid w:val="0"/>
        </w:rPr>
        <w:tab/>
        <w:t>Anti</w:t>
      </w:r>
      <w:r>
        <w:rPr>
          <w:snapToGrid w:val="0"/>
        </w:rPr>
        <w:noBreakHyphen/>
        <w:t>avoidance provision for Act s. 3.58</w:t>
      </w:r>
      <w:bookmarkEnd w:id="10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06" w:name="_Toc181179014"/>
      <w:r>
        <w:rPr>
          <w:rStyle w:val="CharSectno"/>
        </w:rPr>
        <w:t>32</w:t>
      </w:r>
      <w:r>
        <w:rPr>
          <w:snapToGrid w:val="0"/>
        </w:rPr>
        <w:t>.</w:t>
      </w:r>
      <w:r>
        <w:rPr>
          <w:snapToGrid w:val="0"/>
        </w:rPr>
        <w:tab/>
      </w:r>
      <w:r>
        <w:t>Local government permitted to form bodies corporate (Act s. 3.60)</w:t>
      </w:r>
      <w:bookmarkEnd w:id="106"/>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07" w:name="_Toc181179015"/>
      <w:r>
        <w:rPr>
          <w:rStyle w:val="CharSectno"/>
        </w:rPr>
        <w:t>32A</w:t>
      </w:r>
      <w:r>
        <w:t>.</w:t>
      </w:r>
      <w:r>
        <w:tab/>
        <w:t xml:space="preserve">Excluded authorisations </w:t>
      </w:r>
      <w:r>
        <w:rPr>
          <w:snapToGrid w:val="0"/>
        </w:rPr>
        <w:t>(Act </w:t>
      </w:r>
      <w:r>
        <w:t>s. 9.2)</w:t>
      </w:r>
      <w:bookmarkEnd w:id="107"/>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lastRenderedPageBreak/>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08" w:name="_Toc181179016"/>
      <w:r>
        <w:rPr>
          <w:rStyle w:val="CharSectno"/>
        </w:rPr>
        <w:t>33</w:t>
      </w:r>
      <w:r>
        <w:rPr>
          <w:snapToGrid w:val="0"/>
        </w:rPr>
        <w:t>.</w:t>
      </w:r>
      <w:r>
        <w:rPr>
          <w:snapToGrid w:val="0"/>
        </w:rPr>
        <w:tab/>
        <w:t>Objections to decisions, form of etc. prescribed (Act s. 9.5)</w:t>
      </w:r>
      <w:bookmarkEnd w:id="108"/>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09" w:name="_Toc181179017"/>
      <w:r>
        <w:rPr>
          <w:rStyle w:val="CharSectno"/>
        </w:rPr>
        <w:lastRenderedPageBreak/>
        <w:t>34</w:t>
      </w:r>
      <w:r>
        <w:t>.</w:t>
      </w:r>
      <w:r>
        <w:tab/>
        <w:t>Common seal, unauthorised use of</w:t>
      </w:r>
      <w:bookmarkEnd w:id="109"/>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10" w:name="_Toc181179018"/>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10"/>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11" w:name="_Toc181179019"/>
      <w:r>
        <w:rPr>
          <w:rStyle w:val="CharSectno"/>
        </w:rPr>
        <w:t>35A</w:t>
      </w:r>
      <w:r>
        <w:t>.</w:t>
      </w:r>
      <w:r>
        <w:tab/>
        <w:t xml:space="preserve">Delegable functions of Minister </w:t>
      </w:r>
      <w:r>
        <w:rPr>
          <w:snapToGrid w:val="0"/>
        </w:rPr>
        <w:t>(Act </w:t>
      </w:r>
      <w:r>
        <w:t>s. 9.66)</w:t>
      </w:r>
      <w:bookmarkEnd w:id="111"/>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12" w:name="_Toc181179020"/>
      <w:r>
        <w:rPr>
          <w:rStyle w:val="CharSectno"/>
        </w:rPr>
        <w:t>35B</w:t>
      </w:r>
      <w:r>
        <w:t>.</w:t>
      </w:r>
      <w:r>
        <w:tab/>
        <w:t>Delegable functions of Departmental CEO (Act s. 9.67)</w:t>
      </w:r>
      <w:bookmarkEnd w:id="112"/>
    </w:p>
    <w:p>
      <w:pPr>
        <w:pStyle w:val="Subsection"/>
      </w:pPr>
      <w:r>
        <w:tab/>
      </w:r>
      <w:r>
        <w:tab/>
        <w:t xml:space="preserve">The Departmental CEO’s functions under the provisions of the Act that are listed in the Table are </w:t>
      </w:r>
      <w:r>
        <w:rPr>
          <w:szCs w:val="24"/>
        </w:rPr>
        <w:t>delegable functions.</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13" w:name="_Toc181179021"/>
      <w:r>
        <w:rPr>
          <w:rStyle w:val="CharSectno"/>
        </w:rPr>
        <w:t>36</w:t>
      </w:r>
      <w:r>
        <w:rPr>
          <w:snapToGrid w:val="0"/>
        </w:rPr>
        <w:t>.</w:t>
      </w:r>
      <w:r>
        <w:rPr>
          <w:snapToGrid w:val="0"/>
        </w:rPr>
        <w:tab/>
        <w:t>Warrant to enter, form of (Act s. 3.33(1) and 8.8(1))</w:t>
      </w:r>
      <w:bookmarkEnd w:id="113"/>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14" w:name="_Toc181004946"/>
      <w:bookmarkStart w:id="115" w:name="_Toc181006371"/>
      <w:bookmarkStart w:id="116" w:name="_Toc181006481"/>
      <w:bookmarkStart w:id="117" w:name="_Toc181179022"/>
      <w:r>
        <w:rPr>
          <w:rStyle w:val="CharPartNo"/>
        </w:rPr>
        <w:lastRenderedPageBreak/>
        <w:t>Part 7</w:t>
      </w:r>
      <w:r>
        <w:rPr>
          <w:rStyle w:val="CharDivNo"/>
        </w:rPr>
        <w:t> </w:t>
      </w:r>
      <w:r>
        <w:t>—</w:t>
      </w:r>
      <w:r>
        <w:rPr>
          <w:rStyle w:val="CharDivText"/>
        </w:rPr>
        <w:t> </w:t>
      </w:r>
      <w:r>
        <w:rPr>
          <w:rStyle w:val="CharPartText"/>
        </w:rPr>
        <w:t>Other transitional provisions</w:t>
      </w:r>
      <w:bookmarkEnd w:id="114"/>
      <w:bookmarkEnd w:id="115"/>
      <w:bookmarkEnd w:id="116"/>
      <w:bookmarkEnd w:id="117"/>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18" w:name="_Toc181179023"/>
      <w:r>
        <w:rPr>
          <w:rStyle w:val="CharSectno"/>
        </w:rPr>
        <w:t>38</w:t>
      </w:r>
      <w:r>
        <w:t>.</w:t>
      </w:r>
      <w:r>
        <w:rPr>
          <w:snapToGrid w:val="0"/>
        </w:rPr>
        <w:tab/>
        <w:t>Adopting former model by</w:t>
      </w:r>
      <w:r>
        <w:rPr>
          <w:snapToGrid w:val="0"/>
        </w:rPr>
        <w:noBreakHyphen/>
        <w:t>laws as local laws (Act s. 3.8(2) and (3))</w:t>
      </w:r>
      <w:bookmarkEnd w:id="118"/>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19" w:name="_Toc181004948"/>
      <w:bookmarkStart w:id="120" w:name="_Toc181006373"/>
      <w:bookmarkStart w:id="121" w:name="_Toc181006483"/>
      <w:bookmarkStart w:id="122" w:name="_Toc181179024"/>
      <w:r>
        <w:rPr>
          <w:rStyle w:val="CharSchNo"/>
        </w:rPr>
        <w:lastRenderedPageBreak/>
        <w:t>Schedule 1</w:t>
      </w:r>
      <w:r>
        <w:t> — </w:t>
      </w:r>
      <w:r>
        <w:rPr>
          <w:rStyle w:val="CharSchText"/>
        </w:rPr>
        <w:t>Forms</w:t>
      </w:r>
      <w:bookmarkEnd w:id="119"/>
      <w:bookmarkEnd w:id="120"/>
      <w:bookmarkEnd w:id="121"/>
      <w:bookmarkEnd w:id="122"/>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lastRenderedPageBreak/>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lastRenderedPageBreak/>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lastRenderedPageBreak/>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81" w:right="2410" w:bottom="2977" w:left="2410" w:header="720" w:footer="3544" w:gutter="0"/>
          <w:cols w:space="720"/>
          <w:noEndnote/>
          <w:docGrid w:linePitch="326"/>
        </w:sectPr>
      </w:pPr>
    </w:p>
    <w:p>
      <w:pPr>
        <w:pStyle w:val="nHeading2"/>
      </w:pPr>
      <w:bookmarkStart w:id="124" w:name="_Toc181004949"/>
      <w:bookmarkStart w:id="125" w:name="_Toc181006374"/>
      <w:bookmarkStart w:id="126" w:name="_Toc181006484"/>
      <w:bookmarkStart w:id="127" w:name="_Toc181179025"/>
      <w:r>
        <w:lastRenderedPageBreak/>
        <w:t>Notes</w:t>
      </w:r>
      <w:bookmarkEnd w:id="124"/>
      <w:bookmarkEnd w:id="125"/>
      <w:bookmarkEnd w:id="126"/>
      <w:bookmarkEnd w:id="127"/>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p>
    <w:p>
      <w:pPr>
        <w:pStyle w:val="nHeading3"/>
      </w:pPr>
      <w:bookmarkStart w:id="128" w:name="_Toc181179026"/>
      <w:r>
        <w:t>Compilation table</w:t>
      </w:r>
      <w:bookmarkEnd w:id="12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lastRenderedPageBreak/>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Pt. 4 (other than Div. 3): 3 Nov 2022 (see r. 2(b) and SL 2022/175 cl. 2);</w:t>
            </w:r>
            <w:r>
              <w:rPr>
                <w:bCs/>
                <w:snapToGrid w:val="0"/>
                <w:spacing w:val="-2"/>
              </w:rPr>
              <w:br/>
              <w:t xml:space="preserve">Pt. 4 Div. 3: </w:t>
            </w:r>
            <w:r>
              <w:t>3 Nov 2024 (see r. 2(c) and SL 2022/175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Regulations (No. 2) 2023</w:t>
            </w:r>
            <w:r>
              <w:t xml:space="preserve"> Pt. 5</w:t>
            </w:r>
          </w:p>
        </w:tc>
        <w:tc>
          <w:tcPr>
            <w:tcW w:w="1276" w:type="dxa"/>
            <w:tcBorders>
              <w:top w:val="nil"/>
              <w:bottom w:val="single" w:sz="4" w:space="0" w:color="auto"/>
            </w:tcBorders>
            <w:shd w:val="clear" w:color="auto" w:fill="auto"/>
          </w:tcPr>
          <w:p>
            <w:pPr>
              <w:pStyle w:val="nTable"/>
              <w:spacing w:after="40"/>
            </w:pPr>
            <w:r>
              <w:t>SL 2023/102 30 Jun 2023</w:t>
            </w:r>
          </w:p>
        </w:tc>
        <w:tc>
          <w:tcPr>
            <w:tcW w:w="2693" w:type="dxa"/>
            <w:tcBorders>
              <w:top w:val="nil"/>
              <w:bottom w:val="single" w:sz="4" w:space="0" w:color="auto"/>
            </w:tcBorders>
            <w:shd w:val="clear" w:color="auto" w:fill="auto"/>
          </w:tcPr>
          <w:p>
            <w:pPr>
              <w:pStyle w:val="nTable"/>
              <w:spacing w:after="40"/>
              <w:rPr>
                <w:bCs/>
                <w:snapToGrid w:val="0"/>
                <w:spacing w:val="-2"/>
              </w:rPr>
            </w:pPr>
            <w:r>
              <w:t>1 Jul 2024 (see r. 2(c))</w:t>
            </w:r>
          </w:p>
        </w:tc>
      </w:tr>
    </w:tbl>
    <w:p>
      <w:pPr>
        <w:pStyle w:val="nHeading3"/>
      </w:pPr>
      <w:bookmarkStart w:id="129" w:name="_Toc181179027"/>
      <w:r>
        <w:t>Other notes</w:t>
      </w:r>
      <w:bookmarkEnd w:id="129"/>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1" w:name="_Toc181179028"/>
      <w:r>
        <w:rPr>
          <w:sz w:val="28"/>
        </w:rPr>
        <w:lastRenderedPageBreak/>
        <w:t>Defined terms</w:t>
      </w:r>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3A(4)</w:t>
      </w:r>
    </w:p>
    <w:p>
      <w:pPr>
        <w:pStyle w:val="DefinedTerms"/>
      </w:pPr>
      <w:r>
        <w:t>application</w:t>
      </w:r>
      <w:r>
        <w:tab/>
        <w:t>24AH(1)</w:t>
      </w:r>
    </w:p>
    <w:p>
      <w:pPr>
        <w:pStyle w:val="DefinedTerms"/>
      </w:pPr>
      <w:r>
        <w:t>contract</w:t>
      </w:r>
      <w:r>
        <w:tab/>
        <w:t>3A(4)</w:t>
      </w:r>
    </w:p>
    <w:p>
      <w:pPr>
        <w:pStyle w:val="DefinedTerms"/>
      </w:pPr>
      <w:r>
        <w:t>contracts</w:t>
      </w:r>
      <w:r>
        <w:tab/>
        <w:t>12(1)</w:t>
      </w:r>
    </w:p>
    <w:p>
      <w:pPr>
        <w:pStyle w:val="DefinedTerms"/>
      </w:pPr>
      <w:r>
        <w:t>dispose</w:t>
      </w:r>
      <w:r>
        <w:tab/>
        <w:t>3A(4)</w:t>
      </w:r>
    </w:p>
    <w:p>
      <w:pPr>
        <w:pStyle w:val="DefinedTerms"/>
      </w:pPr>
      <w:r>
        <w:t>former draft model by-law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 11(2), 11(2)</w:t>
      </w:r>
    </w:p>
    <w:p>
      <w:pPr>
        <w:pStyle w:val="DefinedTerms"/>
      </w:pPr>
      <w:r>
        <w:t>panel of pre-qualified suppliers</w:t>
      </w:r>
      <w:r>
        <w:tab/>
        <w:t>24AA</w:t>
      </w:r>
    </w:p>
    <w:p>
      <w:pPr>
        <w:pStyle w:val="DefinedTerms"/>
      </w:pPr>
      <w:r>
        <w:t>pre-qualified supplier</w:t>
      </w:r>
      <w:r>
        <w:tab/>
        <w:t>24AA</w:t>
      </w:r>
    </w:p>
    <w:p>
      <w:pPr>
        <w:pStyle w:val="DefinedTerms"/>
      </w:pPr>
      <w:r>
        <w:t>property</w:t>
      </w:r>
      <w:r>
        <w:tab/>
        <w:t>3A(4)</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2F095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80A05B" w14:textId="547C544A" w:rsidR="00F70BDD" w:rsidRDefault="00791FD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C2937">
                        <w:rPr>
                          <w:sz w:val="16"/>
                        </w:rPr>
                        <w:t>2024</w:t>
                      </w:r>
                      <w:r>
                        <w:rPr>
                          <w:sz w:val="16"/>
                        </w:rPr>
                        <w:fldChar w:fldCharType="end"/>
                      </w:r>
                      <w:r>
                        <w:rPr>
                          <w:sz w:val="16"/>
                        </w:rPr>
                        <w:t>.</w:t>
                      </w:r>
                    </w:p>
                    <w:p w14:paraId="5994B7A5" w14:textId="77777777" w:rsidR="00F70BDD" w:rsidRDefault="00791FD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56270F" w14:textId="4F6CA8BA" w:rsidR="00F70BDD" w:rsidRDefault="00791FD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C2937">
                        <w:rPr>
                          <w:sz w:val="16"/>
                        </w:rPr>
                        <w:t>2024</w:t>
                      </w:r>
                      <w:r>
                        <w:rPr>
                          <w:sz w:val="16"/>
                        </w:rPr>
                        <w:fldChar w:fldCharType="end"/>
                      </w:r>
                      <w:r>
                        <w:rPr>
                          <w:sz w:val="16"/>
                        </w:rPr>
                        <w:t>.</w:t>
                      </w:r>
                    </w:p>
                    <w:p w14:paraId="3925366D" w14:textId="77777777" w:rsidR="00F70BDD" w:rsidRDefault="00791FD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 w:name="DefinedTerms"/>
    <w:bookmarkEnd w:id="1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8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0401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 w:name="WAFER_20241028104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4013_GUID" w:val="32c1067a-7e58-457f-beca-f992c04e57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13820</Words>
  <Characters>73665</Characters>
  <Application>Microsoft Office Word</Application>
  <DocSecurity>0</DocSecurity>
  <Lines>1990</Lines>
  <Paragraphs>1198</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1996 - 03-p0-00</dc:title>
  <dc:subject/>
  <dc:creator/>
  <cp:keywords/>
  <dc:description/>
  <cp:lastModifiedBy>Master Repository Process</cp:lastModifiedBy>
  <cp:revision>4</cp:revision>
  <cp:lastPrinted>2012-04-02T07:14:00Z</cp:lastPrinted>
  <dcterms:created xsi:type="dcterms:W3CDTF">2025-05-29T04:17:00Z</dcterms:created>
  <dcterms:modified xsi:type="dcterms:W3CDTF">2025-05-29T04:18:00Z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03 Nov 2024</vt:lpwstr>
  </property>
  <property fmtid="{D5CDD505-2E9C-101B-9397-08002B2CF9AE}" pid="8" name="Suffix">
    <vt:lpwstr>03-p0-00</vt:lpwstr>
  </property>
  <property fmtid="{D5CDD505-2E9C-101B-9397-08002B2CF9AE}" pid="9" name="Official">
    <vt:lpwstr/>
  </property>
  <property fmtid="{D5CDD505-2E9C-101B-9397-08002B2CF9AE}" pid="10" name="CommencementDate">
    <vt:lpwstr>20241103</vt:lpwstr>
  </property>
  <property fmtid="{D5CDD505-2E9C-101B-9397-08002B2CF9AE}" pid="11" name="CommencementAsAt">
    <vt:filetime>2024-11-02T16:00:00Z</vt:filetime>
  </property>
  <property fmtid="{D5CDD505-2E9C-101B-9397-08002B2CF9AE}" pid="12" name="CommencementYear">
    <vt:lpwstr>2024</vt:lpwstr>
  </property>
</Properties>
</file>