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_Toc185504027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_Toc185504028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_Toc185504029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_Toc185504030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_Toc185504031 \h </w:instrText>
      </w:r>
      <w:r>
        <w:fldChar w:fldCharType="separate"/>
      </w:r>
      <w:r>
        <w:t>8</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_Toc185504032 \h </w:instrText>
      </w:r>
      <w:r>
        <w:fldChar w:fldCharType="separate"/>
      </w:r>
      <w:r>
        <w:t>10</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_Toc185504033 \h </w:instrText>
      </w:r>
      <w:r>
        <w:fldChar w:fldCharType="separate"/>
      </w:r>
      <w:r>
        <w:t>12</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_Toc185504034 \h </w:instrText>
      </w:r>
      <w:r>
        <w:fldChar w:fldCharType="separate"/>
      </w:r>
      <w:r>
        <w:t>12</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_Toc185504035 \h </w:instrText>
      </w:r>
      <w:r>
        <w:fldChar w:fldCharType="separate"/>
      </w:r>
      <w:r>
        <w:t>13</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_Toc185504036 \h </w:instrText>
      </w:r>
      <w:r>
        <w:fldChar w:fldCharType="separate"/>
      </w:r>
      <w:r>
        <w:t>13</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_Toc185504037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_Toc185504039 \h </w:instrText>
      </w:r>
      <w:r>
        <w:fldChar w:fldCharType="separate"/>
      </w:r>
      <w:r>
        <w:t>15</w:t>
      </w:r>
      <w:r>
        <w:fldChar w:fldCharType="end"/>
      </w:r>
    </w:p>
    <w:p>
      <w:pPr>
        <w:pStyle w:val="TOC8"/>
        <w:rPr>
          <w:rFonts w:asciiTheme="minorHAnsi" w:eastAsiaTheme="minorEastAsia" w:hAnsiTheme="minorHAnsi" w:cstheme="minorBidi"/>
          <w:szCs w:val="22"/>
        </w:rPr>
      </w:pPr>
      <w:r>
        <w:t>9.</w:t>
      </w:r>
      <w:r>
        <w:tab/>
        <w:t>Fixing a hearing</w:t>
      </w:r>
      <w:r>
        <w:tab/>
      </w:r>
      <w:r>
        <w:fldChar w:fldCharType="begin"/>
      </w:r>
      <w:r>
        <w:instrText xml:space="preserve"> PAGEREF _Toc185504040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_Toc185504041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_Toc185504043 \h </w:instrText>
      </w:r>
      <w:r>
        <w:fldChar w:fldCharType="separate"/>
      </w:r>
      <w:r>
        <w:t>20</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_Toc185504044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10C.</w:t>
      </w:r>
      <w:r>
        <w:tab/>
        <w:t>FVRO to specify names of person bound, and person protected, by order</w:t>
      </w:r>
      <w:r>
        <w:tab/>
      </w:r>
      <w:r>
        <w:fldChar w:fldCharType="begin"/>
      </w:r>
      <w:r>
        <w:instrText xml:space="preserve"> PAGEREF _Toc185504045 \h </w:instrText>
      </w:r>
      <w:r>
        <w:fldChar w:fldCharType="separate"/>
      </w:r>
      <w:r>
        <w:t>22</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_Toc185504046 \h </w:instrText>
      </w:r>
      <w:r>
        <w:fldChar w:fldCharType="separate"/>
      </w:r>
      <w:r>
        <w:t>22</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_Toc185504047 \h </w:instrText>
      </w:r>
      <w:r>
        <w:fldChar w:fldCharType="separate"/>
      </w:r>
      <w:r>
        <w:t>23</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_Toc185504048 \h </w:instrText>
      </w:r>
      <w:r>
        <w:fldChar w:fldCharType="separate"/>
      </w:r>
      <w:r>
        <w:t>23</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_Toc185504049 \h </w:instrText>
      </w:r>
      <w:r>
        <w:fldChar w:fldCharType="separate"/>
      </w:r>
      <w:r>
        <w:t>25</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_Toc185504050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_Toc185504053 \h </w:instrText>
      </w:r>
      <w:r>
        <w:fldChar w:fldCharType="separate"/>
      </w:r>
      <w:r>
        <w:t>28</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_Toc185504054 \h </w:instrText>
      </w:r>
      <w:r>
        <w:fldChar w:fldCharType="separate"/>
      </w:r>
      <w:r>
        <w:t>29</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_Toc185504055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_Toc185504057 \h </w:instrText>
      </w:r>
      <w:r>
        <w:fldChar w:fldCharType="separate"/>
      </w:r>
      <w:r>
        <w:t>29</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_Toc185504058 \h </w:instrText>
      </w:r>
      <w:r>
        <w:fldChar w:fldCharType="separate"/>
      </w:r>
      <w:r>
        <w:t>31</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_Toc185504059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_Toc185504061 \h </w:instrText>
      </w:r>
      <w:r>
        <w:fldChar w:fldCharType="separate"/>
      </w:r>
      <w:r>
        <w:t>33</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_Toc185504062 \h </w:instrText>
      </w:r>
      <w:r>
        <w:fldChar w:fldCharType="separate"/>
      </w:r>
      <w:r>
        <w:t>33</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_Toc185504063 \h </w:instrText>
      </w:r>
      <w:r>
        <w:fldChar w:fldCharType="separate"/>
      </w:r>
      <w:r>
        <w:t>34</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_Toc185504064 \h </w:instrText>
      </w:r>
      <w:r>
        <w:fldChar w:fldCharType="separate"/>
      </w:r>
      <w:r>
        <w:t>35</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_Toc185504065 \h </w:instrText>
      </w:r>
      <w:r>
        <w:fldChar w:fldCharType="separate"/>
      </w:r>
      <w:r>
        <w:t>35</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_Toc185504066 \h </w:instrText>
      </w:r>
      <w:r>
        <w:fldChar w:fldCharType="separate"/>
      </w:r>
      <w:r>
        <w:t>35</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_Toc185504067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_Toc185504069 \h </w:instrText>
      </w:r>
      <w:r>
        <w:fldChar w:fldCharType="separate"/>
      </w:r>
      <w:r>
        <w:t>37</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_Toc185504070 \h </w:instrText>
      </w:r>
      <w:r>
        <w:fldChar w:fldCharType="separate"/>
      </w:r>
      <w:r>
        <w:t>38</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_Toc185504071 \h </w:instrText>
      </w:r>
      <w:r>
        <w:fldChar w:fldCharType="separate"/>
      </w:r>
      <w:r>
        <w:t>38</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_Toc185504072 \h </w:instrText>
      </w:r>
      <w:r>
        <w:fldChar w:fldCharType="separate"/>
      </w:r>
      <w:r>
        <w:t>40</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_Toc185504073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_Toc185504075 \h </w:instrText>
      </w:r>
      <w:r>
        <w:fldChar w:fldCharType="separate"/>
      </w:r>
      <w:r>
        <w:t>41</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_Toc185504076 \h </w:instrText>
      </w:r>
      <w:r>
        <w:fldChar w:fldCharType="separate"/>
      </w:r>
      <w:r>
        <w:t>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_Toc185504077 \h </w:instrText>
      </w:r>
      <w:r>
        <w:fldChar w:fldCharType="separate"/>
      </w:r>
      <w:r>
        <w:t>42</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_Toc185504078 \h </w:instrText>
      </w:r>
      <w:r>
        <w:fldChar w:fldCharType="separate"/>
      </w:r>
      <w:r>
        <w:t>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_Toc185504079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1AA — Additional circumstances where orders may be made</w:t>
      </w:r>
    </w:p>
    <w:p>
      <w:pPr>
        <w:pStyle w:val="TOC8"/>
        <w:rPr>
          <w:rFonts w:asciiTheme="minorHAnsi" w:eastAsiaTheme="minorEastAsia" w:hAnsiTheme="minorHAnsi" w:cstheme="minorBidi"/>
          <w:szCs w:val="22"/>
        </w:rPr>
      </w:pPr>
      <w:r>
        <w:t>13A.</w:t>
      </w:r>
      <w:r>
        <w:tab/>
        <w:t>Cases involving violent offences</w:t>
      </w:r>
      <w:r>
        <w:tab/>
      </w:r>
      <w:r>
        <w:fldChar w:fldCharType="begin"/>
      </w:r>
      <w:r>
        <w:instrText xml:space="preserve"> PAGEREF _Toc185504082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 — Orders relating to firearm items and explosives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_Toc185504084 \h </w:instrText>
      </w:r>
      <w:r>
        <w:fldChar w:fldCharType="separate"/>
      </w:r>
      <w:r>
        <w:t>47</w:t>
      </w:r>
      <w:r>
        <w:fldChar w:fldCharType="end"/>
      </w:r>
    </w:p>
    <w:p>
      <w:pPr>
        <w:pStyle w:val="TOC8"/>
        <w:rPr>
          <w:rFonts w:asciiTheme="minorHAnsi" w:eastAsiaTheme="minorEastAsia" w:hAnsiTheme="minorHAnsi" w:cstheme="minorBidi"/>
          <w:szCs w:val="22"/>
        </w:rPr>
      </w:pPr>
      <w:r>
        <w:t>14A.</w:t>
      </w:r>
      <w:r>
        <w:tab/>
        <w:t>Explosives order</w:t>
      </w:r>
      <w:r>
        <w:tab/>
      </w:r>
      <w:r>
        <w:fldChar w:fldCharType="begin"/>
      </w:r>
      <w:r>
        <w:instrText xml:space="preserve"> PAGEREF _Toc185504085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_Toc185504087 \h </w:instrText>
      </w:r>
      <w:r>
        <w:fldChar w:fldCharType="separate"/>
      </w:r>
      <w:r>
        <w:t>50</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_Toc185504088 \h </w:instrText>
      </w:r>
      <w:r>
        <w:fldChar w:fldCharType="separate"/>
      </w:r>
      <w:r>
        <w:t>51</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_Toc185504089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_Toc185504091 \h </w:instrText>
      </w:r>
      <w:r>
        <w:fldChar w:fldCharType="separate"/>
      </w:r>
      <w:r>
        <w:t>53</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_Toc185504092 \h </w:instrText>
      </w:r>
      <w:r>
        <w:fldChar w:fldCharType="separate"/>
      </w:r>
      <w:r>
        <w:t>53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_Toc185504093 \h </w:instrText>
      </w:r>
      <w:r>
        <w:fldChar w:fldCharType="separate"/>
      </w:r>
      <w:r>
        <w:t>54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_Toc185504094 \h </w:instrText>
      </w:r>
      <w:r>
        <w:fldChar w:fldCharType="separate"/>
      </w:r>
      <w:r>
        <w:t>55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_Toc185504095 \h </w:instrText>
      </w:r>
      <w:r>
        <w:fldChar w:fldCharType="separate"/>
      </w:r>
      <w:r>
        <w:t>55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_Toc185504096 \h </w:instrText>
      </w:r>
      <w:r>
        <w:fldChar w:fldCharType="separate"/>
      </w:r>
      <w:r>
        <w:t>56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_Toc185504097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_Toc185504099 \h </w:instrText>
      </w:r>
      <w:r>
        <w:fldChar w:fldCharType="separate"/>
      </w:r>
      <w:r>
        <w:t>58</w:t>
      </w:r>
      <w: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_Toc185504100 \h </w:instrText>
      </w:r>
      <w:r>
        <w:fldChar w:fldCharType="separate"/>
      </w:r>
      <w:r>
        <w:t>59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_Toc185504101 \h </w:instrText>
      </w:r>
      <w:r>
        <w:fldChar w:fldCharType="separate"/>
      </w:r>
      <w:r>
        <w:t>60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_Toc185504102 \h </w:instrText>
      </w:r>
      <w:r>
        <w:fldChar w:fldCharType="separate"/>
      </w:r>
      <w:r>
        <w:t>60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_Toc185504103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_Toc185504104 \h </w:instrText>
      </w:r>
      <w:r>
        <w:fldChar w:fldCharType="separate"/>
      </w:r>
      <w:r>
        <w:t>61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_Toc185504105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_Toc185504107 \h </w:instrText>
      </w:r>
      <w:r>
        <w:fldChar w:fldCharType="separate"/>
      </w:r>
      <w:r>
        <w:t>62</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_Toc185504108 \h </w:instrText>
      </w:r>
      <w:r>
        <w:fldChar w:fldCharType="separate"/>
      </w:r>
      <w:r>
        <w:t>63</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_Toc185504109 \h </w:instrText>
      </w:r>
      <w:r>
        <w:fldChar w:fldCharType="separate"/>
      </w:r>
      <w:r>
        <w:t>64</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_Toc185504110 \h </w:instrText>
      </w:r>
      <w:r>
        <w:fldChar w:fldCharType="separate"/>
      </w:r>
      <w:r>
        <w:t>65</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_Toc185504111 \h </w:instrText>
      </w:r>
      <w:r>
        <w:fldChar w:fldCharType="separate"/>
      </w:r>
      <w:r>
        <w:t>65</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_Toc185504112 \h </w:instrText>
      </w:r>
      <w:r>
        <w:fldChar w:fldCharType="separate"/>
      </w:r>
      <w:r>
        <w:t>66</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_Toc185504113 \h </w:instrText>
      </w:r>
      <w:r>
        <w:fldChar w:fldCharType="separate"/>
      </w:r>
      <w:r>
        <w:t>67</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_Toc185504114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_Toc185504116 \h </w:instrText>
      </w:r>
      <w:r>
        <w:fldChar w:fldCharType="separate"/>
      </w:r>
      <w:r>
        <w:t>68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_Toc185504117 \h </w:instrText>
      </w:r>
      <w:r>
        <w:fldChar w:fldCharType="separate"/>
      </w:r>
      <w:r>
        <w:t>68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_Toc185504118 \h </w:instrText>
      </w:r>
      <w:r>
        <w:fldChar w:fldCharType="separate"/>
      </w:r>
      <w:r>
        <w:t>68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_Toc185504119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_Toc185504121 \h </w:instrText>
      </w:r>
      <w:r>
        <w:fldChar w:fldCharType="separate"/>
      </w:r>
      <w:r>
        <w:t>72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_Toc185504122 \h </w:instrText>
      </w:r>
      <w:r>
        <w:fldChar w:fldCharType="separate"/>
      </w:r>
      <w:r>
        <w:t>72</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_Toc185504123 \h </w:instrText>
      </w:r>
      <w:r>
        <w:fldChar w:fldCharType="separate"/>
      </w:r>
      <w:r>
        <w:t>75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_Toc185504124 \h </w:instrText>
      </w:r>
      <w:r>
        <w:fldChar w:fldCharType="separate"/>
      </w:r>
      <w:r>
        <w:t>75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_Toc185504125 \h </w:instrText>
      </w:r>
      <w:r>
        <w:fldChar w:fldCharType="separate"/>
      </w:r>
      <w:r>
        <w:t>77</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_Toc185504126 \h </w:instrText>
      </w:r>
      <w:r>
        <w:fldChar w:fldCharType="separate"/>
      </w:r>
      <w:r>
        <w:t>77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_Toc185504127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_Toc185504130 \h </w:instrText>
      </w:r>
      <w:r>
        <w:fldChar w:fldCharType="separate"/>
      </w:r>
      <w:r>
        <w:t>79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_Toc185504131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_Toc185504133 \h </w:instrText>
      </w:r>
      <w:r>
        <w:fldChar w:fldCharType="separate"/>
      </w:r>
      <w:r>
        <w:t>80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_Toc185504134 \h </w:instrText>
      </w:r>
      <w:r>
        <w:fldChar w:fldCharType="separate"/>
      </w:r>
      <w:r>
        <w:t>81</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_Toc185504135 \h </w:instrText>
      </w:r>
      <w:r>
        <w:fldChar w:fldCharType="separate"/>
      </w:r>
      <w:r>
        <w:t>82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_Toc185504136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_Toc185504138 \h </w:instrText>
      </w:r>
      <w:r>
        <w:fldChar w:fldCharType="separate"/>
      </w:r>
      <w:r>
        <w:t>85</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_Toc185504139 \h </w:instrText>
      </w:r>
      <w:r>
        <w:fldChar w:fldCharType="separate"/>
      </w:r>
      <w:r>
        <w:t>86</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_Toc185504140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Other provisions to protect applicants</w:t>
      </w:r>
    </w:p>
    <w:p>
      <w:pPr>
        <w:pStyle w:val="TOC8"/>
        <w:rPr>
          <w:rFonts w:asciiTheme="minorHAnsi" w:eastAsiaTheme="minorEastAsia" w:hAnsiTheme="minorHAnsi" w:cstheme="minorBidi"/>
          <w:szCs w:val="22"/>
        </w:rPr>
      </w:pPr>
      <w:r>
        <w:t>44D.</w:t>
      </w:r>
      <w:r>
        <w:tab/>
        <w:t>Support and other persons who may be present</w:t>
      </w:r>
      <w:r>
        <w:tab/>
      </w:r>
      <w:r>
        <w:fldChar w:fldCharType="begin"/>
      </w:r>
      <w:r>
        <w:instrText xml:space="preserve"> PAGEREF _Toc185504142 \h </w:instrText>
      </w:r>
      <w:r>
        <w:fldChar w:fldCharType="separate"/>
      </w:r>
      <w:r>
        <w:t>87</w:t>
      </w:r>
      <w:r>
        <w:fldChar w:fldCharType="end"/>
      </w:r>
    </w:p>
    <w:p>
      <w:pPr>
        <w:pStyle w:val="TOC8"/>
        <w:rPr>
          <w:rFonts w:asciiTheme="minorHAnsi" w:eastAsiaTheme="minorEastAsia" w:hAnsiTheme="minorHAnsi" w:cstheme="minorBidi"/>
          <w:szCs w:val="22"/>
        </w:rPr>
      </w:pPr>
      <w:r>
        <w:t>44E.</w:t>
      </w:r>
      <w:r>
        <w:tab/>
        <w:t>Use of closed circuit television or screening arrangements</w:t>
      </w:r>
      <w:r>
        <w:tab/>
      </w:r>
      <w:r>
        <w:fldChar w:fldCharType="begin"/>
      </w:r>
      <w:r>
        <w:instrText xml:space="preserve"> PAGEREF _Toc185504143 \h </w:instrText>
      </w:r>
      <w:r>
        <w:fldChar w:fldCharType="separate"/>
      </w:r>
      <w:r>
        <w:t>87</w:t>
      </w:r>
      <w:r>
        <w:fldChar w:fldCharType="end"/>
      </w:r>
    </w:p>
    <w:p>
      <w:pPr>
        <w:pStyle w:val="TOC8"/>
        <w:rPr>
          <w:rFonts w:asciiTheme="minorHAnsi" w:eastAsiaTheme="minorEastAsia" w:hAnsiTheme="minorHAnsi" w:cstheme="minorBidi"/>
          <w:szCs w:val="22"/>
        </w:rPr>
      </w:pPr>
      <w:r>
        <w:t>44F.</w:t>
      </w:r>
      <w:r>
        <w:tab/>
        <w:t>Additional provisions relating to FVROs</w:t>
      </w:r>
      <w:r>
        <w:tab/>
      </w:r>
      <w:r>
        <w:fldChar w:fldCharType="begin"/>
      </w:r>
      <w:r>
        <w:instrText xml:space="preserve"> PAGEREF _Toc185504144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_Toc185504146 \h </w:instrText>
      </w:r>
      <w:r>
        <w:fldChar w:fldCharType="separate"/>
      </w:r>
      <w:r>
        <w:t>90</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_Toc185504147 \h </w:instrText>
      </w:r>
      <w:r>
        <w:fldChar w:fldCharType="separate"/>
      </w:r>
      <w:r>
        <w:t>92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_Toc185504148 \h </w:instrText>
      </w:r>
      <w:r>
        <w:fldChar w:fldCharType="separate"/>
      </w:r>
      <w:r>
        <w:t>92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_Toc185504149 \h </w:instrText>
      </w:r>
      <w:r>
        <w:fldChar w:fldCharType="separate"/>
      </w:r>
      <w:r>
        <w:t>93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_Toc185504150 \h </w:instrText>
      </w:r>
      <w:r>
        <w:fldChar w:fldCharType="separate"/>
      </w:r>
      <w:r>
        <w:t>94</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_Toc185504151 \h </w:instrText>
      </w:r>
      <w:r>
        <w:fldChar w:fldCharType="separate"/>
      </w:r>
      <w:r>
        <w:t>96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_Toc185504152 \h </w:instrText>
      </w:r>
      <w:r>
        <w:fldChar w:fldCharType="separate"/>
      </w:r>
      <w:r>
        <w:t>96</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_Toc185504153 \h </w:instrText>
      </w:r>
      <w:r>
        <w:fldChar w:fldCharType="separate"/>
      </w:r>
      <w:r>
        <w:t>97</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_Toc185504154 \h </w:instrText>
      </w:r>
      <w:r>
        <w:fldChar w:fldCharType="separate"/>
      </w:r>
      <w:r>
        <w:t>98</w:t>
      </w:r>
      <w:r>
        <w:fldChar w:fldCharType="end"/>
      </w:r>
    </w:p>
    <w:p>
      <w:pPr>
        <w:pStyle w:val="TOC8"/>
        <w:rPr>
          <w:rFonts w:asciiTheme="minorHAnsi" w:eastAsiaTheme="minorEastAsia" w:hAnsiTheme="minorHAnsi" w:cstheme="minorBidi"/>
          <w:szCs w:val="22"/>
        </w:rPr>
      </w:pPr>
      <w:r>
        <w:t>49C.</w:t>
      </w:r>
      <w:r>
        <w:tab/>
        <w:t>Variation of application to allow a different order to be sought</w:t>
      </w:r>
      <w:r>
        <w:tab/>
      </w:r>
      <w:r>
        <w:fldChar w:fldCharType="begin"/>
      </w:r>
      <w:r>
        <w:instrText xml:space="preserve"> PAGEREF _Toc185504155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5A — Conferences</w:t>
      </w:r>
    </w:p>
    <w:p>
      <w:pPr>
        <w:pStyle w:val="TOC8"/>
        <w:rPr>
          <w:rFonts w:asciiTheme="minorHAnsi" w:eastAsiaTheme="minorEastAsia" w:hAnsiTheme="minorHAnsi" w:cstheme="minorBidi"/>
          <w:szCs w:val="22"/>
        </w:rPr>
      </w:pPr>
      <w:r>
        <w:t>49D.</w:t>
      </w:r>
      <w:r>
        <w:tab/>
        <w:t>Special conference procedures</w:t>
      </w:r>
      <w:r>
        <w:tab/>
      </w:r>
      <w:r>
        <w:fldChar w:fldCharType="begin"/>
      </w:r>
      <w:r>
        <w:instrText xml:space="preserve"> PAGEREF _Toc185504157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_Toc185504160 \h </w:instrText>
      </w:r>
      <w:r>
        <w:fldChar w:fldCharType="separate"/>
      </w:r>
      <w:r>
        <w:t>102</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_Toc185504161 \h </w:instrText>
      </w:r>
      <w:r>
        <w:fldChar w:fldCharType="separate"/>
      </w:r>
      <w:r>
        <w:t>102</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_Toc185504162 \h </w:instrText>
      </w:r>
      <w:r>
        <w:fldChar w:fldCharType="separate"/>
      </w:r>
      <w:r>
        <w:t>102</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_Toc185504163 \h </w:instrText>
      </w:r>
      <w:r>
        <w:fldChar w:fldCharType="separate"/>
      </w:r>
      <w:r>
        <w:t>103</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_Toc185504164 \h </w:instrText>
      </w:r>
      <w:r>
        <w:fldChar w:fldCharType="separate"/>
      </w:r>
      <w:r>
        <w:t>104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_Toc185504165 \h </w:instrText>
      </w:r>
      <w:r>
        <w:fldChar w:fldCharType="separate"/>
      </w:r>
      <w:r>
        <w:t>104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_Toc185504166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Telephone order made against child</w:t>
      </w:r>
      <w:r>
        <w:tab/>
      </w:r>
      <w:r>
        <w:fldChar w:fldCharType="begin"/>
      </w:r>
      <w:r>
        <w:instrText xml:space="preserve"> PAGEREF _Toc185504167 \h </w:instrText>
      </w:r>
      <w:r>
        <w:fldChar w:fldCharType="separate"/>
      </w:r>
      <w:r>
        <w:t>106</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_Toc185504168 \h </w:instrText>
      </w:r>
      <w:r>
        <w:fldChar w:fldCharType="separate"/>
      </w:r>
      <w:r>
        <w:t>106</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_Toc185504169 \h </w:instrText>
      </w:r>
      <w:r>
        <w:fldChar w:fldCharType="separate"/>
      </w:r>
      <w:r>
        <w:t>106</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_Toc185504170 \h </w:instrText>
      </w:r>
      <w:r>
        <w:fldChar w:fldCharType="separate"/>
      </w:r>
      <w:r>
        <w:t>107</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_Toc185504171 \h </w:instrText>
      </w:r>
      <w:r>
        <w:fldChar w:fldCharType="separate"/>
      </w:r>
      <w:r>
        <w:t>107</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_Toc185504172 \h </w:instrText>
      </w:r>
      <w:r>
        <w:fldChar w:fldCharType="separate"/>
      </w:r>
      <w:r>
        <w:t>107</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_Toc185504173 \h </w:instrText>
      </w:r>
      <w:r>
        <w:fldChar w:fldCharType="separate"/>
      </w:r>
      <w:r>
        <w:t>108</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_Toc185504174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_Toc185504176 \h </w:instrText>
      </w:r>
      <w:r>
        <w:fldChar w:fldCharType="separate"/>
      </w:r>
      <w:r>
        <w:t>109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_Toc185504177 \h </w:instrText>
      </w:r>
      <w:r>
        <w:fldChar w:fldCharType="separate"/>
      </w:r>
      <w:r>
        <w:t>109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_Toc185504178 \h </w:instrText>
      </w:r>
      <w:r>
        <w:fldChar w:fldCharType="separate"/>
      </w:r>
      <w:r>
        <w:t>111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_Toc185504179 \h </w:instrText>
      </w:r>
      <w:r>
        <w:fldChar w:fldCharType="separate"/>
      </w:r>
      <w:r>
        <w:t>111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_Toc185504180 \h </w:instrText>
      </w:r>
      <w:r>
        <w:fldChar w:fldCharType="separate"/>
      </w:r>
      <w:r>
        <w:t>112</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_Toc185504181 \h </w:instrText>
      </w:r>
      <w:r>
        <w:fldChar w:fldCharType="separate"/>
      </w:r>
      <w:r>
        <w:t>113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_Toc185504182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_Toc185504184 \h </w:instrText>
      </w:r>
      <w:r>
        <w:fldChar w:fldCharType="separate"/>
      </w:r>
      <w:r>
        <w:t>115</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_Toc185504185 \h </w:instrText>
      </w:r>
      <w:r>
        <w:fldChar w:fldCharType="separate"/>
      </w:r>
      <w:r>
        <w:t>116</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_Toc185504186 \h </w:instrText>
      </w:r>
      <w:r>
        <w:fldChar w:fldCharType="separate"/>
      </w:r>
      <w:r>
        <w:t>118</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_Toc185504187 \h </w:instrText>
      </w:r>
      <w:r>
        <w:fldChar w:fldCharType="separate"/>
      </w:r>
      <w:r>
        <w:t>119</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_Toc185504188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_Toc185504190 \h </w:instrText>
      </w:r>
      <w:r>
        <w:fldChar w:fldCharType="separate"/>
      </w:r>
      <w:r>
        <w:t>120</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_Toc185504191 \h </w:instrText>
      </w:r>
      <w:r>
        <w:fldChar w:fldCharType="separate"/>
      </w:r>
      <w:r>
        <w:t>121</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_Toc185504192 \h </w:instrText>
      </w:r>
      <w:r>
        <w:fldChar w:fldCharType="separate"/>
      </w:r>
      <w:r>
        <w:t>122</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_Toc185504193 \h </w:instrText>
      </w:r>
      <w:r>
        <w:fldChar w:fldCharType="separate"/>
      </w:r>
      <w:r>
        <w:t>123</w:t>
      </w:r>
      <w:r>
        <w:fldChar w:fldCharType="end"/>
      </w:r>
    </w:p>
    <w:p>
      <w:pPr>
        <w:pStyle w:val="TOC8"/>
        <w:rPr>
          <w:rFonts w:asciiTheme="minorHAnsi" w:eastAsiaTheme="minorEastAsia" w:hAnsiTheme="minorHAnsi" w:cstheme="minorBidi"/>
          <w:szCs w:val="22"/>
        </w:rPr>
      </w:pPr>
      <w:r>
        <w:t>62E.</w:t>
      </w:r>
      <w:r>
        <w:tab/>
      </w:r>
      <w:r>
        <w:rPr>
          <w:snapToGrid w:val="0"/>
        </w:rPr>
        <w:t>Seizure of firearm items and explosives</w:t>
      </w:r>
      <w:r>
        <w:tab/>
      </w:r>
      <w:r>
        <w:fldChar w:fldCharType="begin"/>
      </w:r>
      <w:r>
        <w:instrText xml:space="preserve"> PAGEREF _Toc185504194 \h </w:instrText>
      </w:r>
      <w:r>
        <w:fldChar w:fldCharType="separate"/>
      </w:r>
      <w:r>
        <w:t>124</w:t>
      </w:r>
      <w:r>
        <w:fldChar w:fldCharType="end"/>
      </w:r>
    </w:p>
    <w:p>
      <w:pPr>
        <w:pStyle w:val="TOC8"/>
        <w:rPr>
          <w:rFonts w:asciiTheme="minorHAnsi" w:eastAsiaTheme="minorEastAsia" w:hAnsiTheme="minorHAnsi" w:cstheme="minorBidi"/>
          <w:szCs w:val="22"/>
        </w:rPr>
      </w:pPr>
      <w:r>
        <w:lastRenderedPageBreak/>
        <w:t>62F.</w:t>
      </w:r>
      <w:r>
        <w:tab/>
        <w:t>Detention of respondent during telephone hearing or while police order is being made</w:t>
      </w:r>
      <w:r>
        <w:tab/>
      </w:r>
      <w:r>
        <w:fldChar w:fldCharType="begin"/>
      </w:r>
      <w:r>
        <w:instrText xml:space="preserve"> PAGEREF _Toc185504195 \h </w:instrText>
      </w:r>
      <w:r>
        <w:fldChar w:fldCharType="separate"/>
      </w:r>
      <w:r>
        <w:t>125</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_Toc185504196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_Toc185504198 \h </w:instrText>
      </w:r>
      <w:r>
        <w:fldChar w:fldCharType="separate"/>
      </w:r>
      <w:r>
        <w:t>127</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_Toc185504199 \h </w:instrText>
      </w:r>
      <w:r>
        <w:fldChar w:fldCharType="separate"/>
      </w:r>
      <w:r>
        <w:t>131</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_Toc185504200 \h </w:instrText>
      </w:r>
      <w:r>
        <w:fldChar w:fldCharType="separate"/>
      </w:r>
      <w:r>
        <w:t>132</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_Toc185504201 \h </w:instrText>
      </w:r>
      <w:r>
        <w:fldChar w:fldCharType="separate"/>
      </w:r>
      <w:r>
        <w:t>133</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_Toc185504202 \h </w:instrText>
      </w:r>
      <w:r>
        <w:fldChar w:fldCharType="separate"/>
      </w:r>
      <w:r>
        <w:t>133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_Toc185504203 \h </w:instrText>
      </w:r>
      <w:r>
        <w:fldChar w:fldCharType="separate"/>
      </w:r>
      <w:r>
        <w:t>134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_Toc185504204 \h </w:instrText>
      </w:r>
      <w:r>
        <w:fldChar w:fldCharType="separate"/>
      </w:r>
      <w:r>
        <w:t>135</w:t>
      </w:r>
      <w:r>
        <w:fldChar w:fldCharType="end"/>
      </w:r>
    </w:p>
    <w:p>
      <w:pPr>
        <w:pStyle w:val="TOC8"/>
        <w:rPr>
          <w:rFonts w:asciiTheme="minorHAnsi" w:eastAsiaTheme="minorEastAsia" w:hAnsiTheme="minorHAnsi" w:cstheme="minorBidi"/>
          <w:szCs w:val="22"/>
        </w:rPr>
      </w:pPr>
      <w:r>
        <w:t>66.</w:t>
      </w:r>
      <w:r>
        <w:tab/>
        <w:t>Information about family orders</w:t>
      </w:r>
      <w:r>
        <w:tab/>
      </w:r>
      <w:r>
        <w:fldChar w:fldCharType="begin"/>
      </w:r>
      <w:r>
        <w:instrText xml:space="preserve"> PAGEREF _Toc185504205 \h </w:instrText>
      </w:r>
      <w:r>
        <w:fldChar w:fldCharType="separate"/>
      </w:r>
      <w:r>
        <w:t>136</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_Toc185504206 \h </w:instrText>
      </w:r>
      <w:r>
        <w:fldChar w:fldCharType="separate"/>
      </w:r>
      <w:r>
        <w:t>137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_Toc185504207 \h </w:instrText>
      </w:r>
      <w:r>
        <w:fldChar w:fldCharType="separate"/>
      </w:r>
      <w:r>
        <w:t>138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_Toc185504208 \h </w:instrText>
      </w:r>
      <w:r>
        <w:fldChar w:fldCharType="separate"/>
      </w:r>
      <w:r>
        <w:t>138</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_Toc185504209 \h </w:instrText>
      </w:r>
      <w:r>
        <w:fldChar w:fldCharType="separate"/>
      </w:r>
      <w:r>
        <w:t>139</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_Toc185504210 \h </w:instrText>
      </w:r>
      <w:r>
        <w:fldChar w:fldCharType="separate"/>
      </w:r>
      <w:r>
        <w:t>141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_Toc185504211 \h </w:instrText>
      </w:r>
      <w:r>
        <w:fldChar w:fldCharType="separate"/>
      </w:r>
      <w:r>
        <w:t>142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_Toc185504212 \h </w:instrText>
      </w:r>
      <w:r>
        <w:fldChar w:fldCharType="separate"/>
      </w:r>
      <w:r>
        <w:t>145</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_Toc185504213 \h </w:instrText>
      </w:r>
      <w:r>
        <w:fldChar w:fldCharType="separate"/>
      </w:r>
      <w:r>
        <w:t>145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_Toc185504214 \h </w:instrText>
      </w:r>
      <w:r>
        <w:fldChar w:fldCharType="separate"/>
      </w:r>
      <w:r>
        <w:t>145</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_Toc185504215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_Toc185504217 \h </w:instrText>
      </w:r>
      <w:r>
        <w:fldChar w:fldCharType="separate"/>
      </w:r>
      <w:r>
        <w:t>147</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_Toc185504218 \h </w:instrText>
      </w:r>
      <w:r>
        <w:fldChar w:fldCharType="separate"/>
      </w:r>
      <w:r>
        <w:t>147</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_Toc185504219 \h </w:instrText>
      </w:r>
      <w:r>
        <w:fldChar w:fldCharType="separate"/>
      </w:r>
      <w:r>
        <w:t>147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_Toc185504220 \h </w:instrText>
      </w:r>
      <w:r>
        <w:fldChar w:fldCharType="separate"/>
      </w:r>
      <w:r>
        <w:t>148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_Toc185504221 \h </w:instrText>
      </w:r>
      <w:r>
        <w:fldChar w:fldCharType="separate"/>
      </w:r>
      <w:r>
        <w:t>149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_Toc185504222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78</w:t>
      </w:r>
      <w:r>
        <w:rPr>
          <w:snapToGrid w:val="0"/>
        </w:rPr>
        <w:t>.</w:t>
      </w:r>
      <w:r>
        <w:rPr>
          <w:snapToGrid w:val="0"/>
        </w:rPr>
        <w:tab/>
        <w:t>Variation or cancellation in another State or Territory</w:t>
      </w:r>
      <w:r>
        <w:tab/>
      </w:r>
      <w:r>
        <w:fldChar w:fldCharType="begin"/>
      </w:r>
      <w:r>
        <w:instrText xml:space="preserve"> PAGEREF _Toc185504223 \h </w:instrText>
      </w:r>
      <w:r>
        <w:fldChar w:fldCharType="separate"/>
      </w:r>
      <w:r>
        <w:t>151</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_Toc185504224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_Toc185504226 \h </w:instrText>
      </w:r>
      <w:r>
        <w:fldChar w:fldCharType="separate"/>
      </w:r>
      <w:r>
        <w:t>153</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_Toc185504227 \h </w:instrText>
      </w:r>
      <w:r>
        <w:fldChar w:fldCharType="separate"/>
      </w:r>
      <w:r>
        <w:t>153</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_Toc185504228 \h </w:instrText>
      </w:r>
      <w:r>
        <w:fldChar w:fldCharType="separate"/>
      </w:r>
      <w:r>
        <w:t>154</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_Toc185504229 \h </w:instrText>
      </w:r>
      <w:r>
        <w:fldChar w:fldCharType="separate"/>
      </w:r>
      <w:r>
        <w:t>154</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_Toc185504230 \h </w:instrText>
      </w:r>
      <w:r>
        <w:fldChar w:fldCharType="separate"/>
      </w:r>
      <w:r>
        <w:t>155</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_Toc185504231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_Toc185504233 \h </w:instrText>
      </w:r>
      <w:r>
        <w:fldChar w:fldCharType="separate"/>
      </w:r>
      <w:r>
        <w:t>157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_Toc185504234 \h </w:instrText>
      </w:r>
      <w:r>
        <w:fldChar w:fldCharType="separate"/>
      </w:r>
      <w:r>
        <w:t>160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_Toc185504235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NameofActReg"/>
        <w:spacing w:before="1400" w:after="880"/>
      </w:pPr>
      <w:r>
        <w:lastRenderedPageBreak/>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2" w:name="_Toc185434019"/>
      <w:bookmarkStart w:id="3" w:name="_Toc185434230"/>
      <w:bookmarkStart w:id="4" w:name="_Toc18550402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85504027"/>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6" w:name="_Toc18550402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7" w:name="_Toc185504029"/>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lastRenderedPageBreak/>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lastRenderedPageBreak/>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2A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lastRenderedPageBreak/>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lastRenderedPageBreak/>
        <w:tab/>
      </w:r>
      <w:r>
        <w:rPr>
          <w:rStyle w:val="CharDefText"/>
        </w:rPr>
        <w:t>wellbeing</w:t>
      </w:r>
      <w:r>
        <w:t xml:space="preserve"> has the same meaning as in the </w:t>
      </w:r>
      <w:r>
        <w:rPr>
          <w:i/>
        </w:rPr>
        <w:t>Children and Community Services Act 2004</w:t>
      </w:r>
      <w:r>
        <w:t>.</w:t>
      </w:r>
    </w:p>
    <w:p>
      <w:pPr>
        <w:pStyle w:val="Subsection"/>
        <w:keepNext/>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keepNex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79; No. 28 of 2024 s. 75.]</w:t>
      </w:r>
    </w:p>
    <w:p>
      <w:pPr>
        <w:pStyle w:val="Heading5"/>
      </w:pPr>
      <w:bookmarkStart w:id="8" w:name="_Toc185504030"/>
      <w:r>
        <w:rPr>
          <w:rStyle w:val="CharSectno"/>
        </w:rPr>
        <w:t>4</w:t>
      </w:r>
      <w:r>
        <w:t>.</w:t>
      </w:r>
      <w:r>
        <w:tab/>
        <w:t>Terms used: family relationship and family member</w:t>
      </w:r>
      <w:bookmarkEnd w:id="8"/>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lastRenderedPageBreak/>
        <w:tab/>
        <w:t>(g)</w:t>
      </w:r>
      <w:r>
        <w:tab/>
        <w:t>one of whom is the former spouse or former de facto partner of the other person’s current spouse or current de facto partner.</w:t>
      </w:r>
    </w:p>
    <w:p>
      <w:pPr>
        <w:pStyle w:val="Subsection"/>
        <w:keepNext/>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9" w:name="_Toc185504031"/>
      <w:r>
        <w:rPr>
          <w:rStyle w:val="CharSectno"/>
        </w:rPr>
        <w:t>5</w:t>
      </w:r>
      <w:r>
        <w:t>.</w:t>
      </w:r>
      <w:r>
        <w:tab/>
        <w:t>Term used: family order</w:t>
      </w:r>
      <w:bookmarkEnd w:id="9"/>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lastRenderedPageBreak/>
        <w:tab/>
        <w:t>[(b)</w:t>
      </w:r>
      <w:r>
        <w:tab/>
        <w:t>deleted]</w:t>
      </w:r>
    </w:p>
    <w:p>
      <w:pPr>
        <w:pStyle w:val="Indenta"/>
        <w:keepNext/>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 xml:space="preserve">Family Law Reform </w:t>
      </w:r>
      <w:r>
        <w:rPr>
          <w:i/>
        </w:rPr>
        <w:lastRenderedPageBreak/>
        <w:t>Act 1995</w:t>
      </w:r>
      <w:r>
        <w:t xml:space="preserve"> of the Commonwealth, as an order or thing referred to in subsection (1).</w:t>
      </w:r>
    </w:p>
    <w:p>
      <w:pPr>
        <w:pStyle w:val="PermNoteHeading"/>
      </w:pPr>
      <w:r>
        <w:tab/>
        <w:t>Note:</w:t>
      </w:r>
    </w:p>
    <w:p>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 No. 5 of 2023 s. 12.]</w:t>
      </w:r>
    </w:p>
    <w:p>
      <w:pPr>
        <w:pStyle w:val="Heading5"/>
      </w:pPr>
      <w:bookmarkStart w:id="10" w:name="_Toc185504032"/>
      <w:r>
        <w:rPr>
          <w:rStyle w:val="CharSectno"/>
        </w:rPr>
        <w:t>5A</w:t>
      </w:r>
      <w:r>
        <w:t>.</w:t>
      </w:r>
      <w:r>
        <w:tab/>
        <w:t>Term used: family violence</w:t>
      </w:r>
      <w:bookmarkEnd w:id="10"/>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or pattern of behaviour by the person that coerces or controls the family member or causes the member to be fearful.</w:t>
      </w:r>
    </w:p>
    <w:p>
      <w:pPr>
        <w:pStyle w:val="Subsection"/>
      </w:pPr>
      <w:r>
        <w:tab/>
        <w:t>(1A)</w:t>
      </w:r>
      <w:r>
        <w:tab/>
        <w:t xml:space="preserve">Behaviour or a pattern of behaviour referred to in subsection (1)(b) — </w:t>
      </w:r>
    </w:p>
    <w:p>
      <w:pPr>
        <w:pStyle w:val="Indenta"/>
      </w:pPr>
      <w:r>
        <w:tab/>
        <w:t>(a)</w:t>
      </w:r>
      <w:r>
        <w:tab/>
        <w:t>may occur over a period of time; and</w:t>
      </w:r>
    </w:p>
    <w:p>
      <w:pPr>
        <w:pStyle w:val="Indenta"/>
      </w:pPr>
      <w:r>
        <w:tab/>
        <w:t>(b)</w:t>
      </w:r>
      <w:r>
        <w:tab/>
        <w:t>may be more than 1 act, or a series of acts, that when considered cumulatively coerces or controls the family member or causes the member to be fearful; and</w:t>
      </w:r>
    </w:p>
    <w:p>
      <w:pPr>
        <w:pStyle w:val="Indenta"/>
      </w:pPr>
      <w:r>
        <w:tab/>
        <w:t>(c)</w:t>
      </w:r>
      <w:r>
        <w:tab/>
        <w:t>is to be considered in the context of the relationship between the person and the family member as a whole.</w:t>
      </w:r>
    </w:p>
    <w:p>
      <w:pPr>
        <w:pStyle w:val="Subsection"/>
        <w:keepNext/>
      </w:pPr>
      <w:r>
        <w:tab/>
        <w:t>(2)</w:t>
      </w:r>
      <w:r>
        <w:tab/>
        <w:t xml:space="preserve">Examples of behaviour or a pattern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lastRenderedPageBreak/>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or a pattern of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 No. 28 of 2024 s. 48.]</w:t>
      </w:r>
    </w:p>
    <w:p>
      <w:pPr>
        <w:pStyle w:val="Heading5"/>
      </w:pPr>
      <w:bookmarkStart w:id="11" w:name="_Toc185504033"/>
      <w:r>
        <w:rPr>
          <w:rStyle w:val="CharSectno"/>
        </w:rPr>
        <w:lastRenderedPageBreak/>
        <w:t>6</w:t>
      </w:r>
      <w:r>
        <w:t>.</w:t>
      </w:r>
      <w:r>
        <w:tab/>
        <w:t>Term used: personal violence</w:t>
      </w:r>
      <w:bookmarkEnd w:id="11"/>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keepNext/>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12" w:name="_Toc185504034"/>
      <w:r>
        <w:rPr>
          <w:rStyle w:val="CharSectno"/>
        </w:rPr>
        <w:t>6A</w:t>
      </w:r>
      <w:r>
        <w:t>.</w:t>
      </w:r>
      <w:r>
        <w:tab/>
        <w:t>Term used: exposed</w:t>
      </w:r>
      <w:bookmarkEnd w:id="12"/>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lastRenderedPageBreak/>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13" w:name="_Toc185504035"/>
      <w:r>
        <w:rPr>
          <w:rStyle w:val="CharSectno"/>
        </w:rPr>
        <w:t>7</w:t>
      </w:r>
      <w:r>
        <w:t>.</w:t>
      </w:r>
      <w:r>
        <w:tab/>
        <w:t>Persons protected, and bound, by order to be natural persons</w:t>
      </w:r>
      <w:bookmarkEnd w:id="13"/>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14" w:name="_Toc185504036"/>
      <w:r>
        <w:rPr>
          <w:rStyle w:val="CharSectno"/>
        </w:rPr>
        <w:t>7A</w:t>
      </w:r>
      <w:r>
        <w:t>.</w:t>
      </w:r>
      <w:r>
        <w:tab/>
        <w:t>Orders under this Act imposing restraints</w:t>
      </w:r>
      <w:bookmarkEnd w:id="14"/>
    </w:p>
    <w:p>
      <w:pPr>
        <w:pStyle w:val="Subsection"/>
        <w:keepNext/>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2A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 No. 28 of 2024 s. 75.]</w:t>
      </w:r>
    </w:p>
    <w:p>
      <w:pPr>
        <w:pStyle w:val="Heading5"/>
      </w:pPr>
      <w:bookmarkStart w:id="15" w:name="_Toc185504037"/>
      <w:r>
        <w:rPr>
          <w:rStyle w:val="CharSectno"/>
        </w:rPr>
        <w:lastRenderedPageBreak/>
        <w:t>8A</w:t>
      </w:r>
      <w:r>
        <w:t>.</w:t>
      </w:r>
      <w:r>
        <w:tab/>
      </w:r>
      <w:r>
        <w:rPr>
          <w:i/>
        </w:rPr>
        <w:t>Courts and Tribunals (Electronic Processes Facilitation) Act 2013</w:t>
      </w:r>
      <w:r>
        <w:t xml:space="preserve"> Part 2 applies</w:t>
      </w:r>
      <w:bookmarkEnd w:id="15"/>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16" w:name="_Toc185434031"/>
      <w:bookmarkStart w:id="17" w:name="_Toc185434242"/>
      <w:bookmarkStart w:id="18" w:name="_Toc185504038"/>
      <w:r>
        <w:rPr>
          <w:rStyle w:val="CharPartNo"/>
        </w:rPr>
        <w:lastRenderedPageBreak/>
        <w:t>Part 1A</w:t>
      </w:r>
      <w:r>
        <w:rPr>
          <w:b w:val="0"/>
        </w:rPr>
        <w:t> </w:t>
      </w:r>
      <w:r>
        <w:t>—</w:t>
      </w:r>
      <w:r>
        <w:rPr>
          <w:b w:val="0"/>
        </w:rPr>
        <w:t> </w:t>
      </w:r>
      <w:r>
        <w:rPr>
          <w:rStyle w:val="CharPartText"/>
        </w:rPr>
        <w:t>Restraining orders generally</w:t>
      </w:r>
      <w:bookmarkEnd w:id="16"/>
      <w:bookmarkEnd w:id="17"/>
      <w:bookmarkEnd w:id="18"/>
    </w:p>
    <w:p>
      <w:pPr>
        <w:pStyle w:val="Footnoteheading"/>
        <w:tabs>
          <w:tab w:val="left" w:pos="851"/>
        </w:tabs>
      </w:pPr>
      <w:r>
        <w:tab/>
        <w:t>[Heading inserted: No. 38 of 2004 s. 9.]</w:t>
      </w:r>
    </w:p>
    <w:p>
      <w:pPr>
        <w:pStyle w:val="Heading5"/>
      </w:pPr>
      <w:bookmarkStart w:id="19" w:name="_Toc185504039"/>
      <w:r>
        <w:rPr>
          <w:rStyle w:val="CharSectno"/>
        </w:rPr>
        <w:t>8</w:t>
      </w:r>
      <w:r>
        <w:t>.</w:t>
      </w:r>
      <w:r>
        <w:tab/>
        <w:t>Explanation about orders to be given</w:t>
      </w:r>
      <w:bookmarkEnd w:id="19"/>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lastRenderedPageBreak/>
        <w:tab/>
        <w:t>(h)</w:t>
      </w:r>
      <w:r>
        <w:tab/>
        <w:t xml:space="preserve">if the order is an FVRO or VRO, the effects of sections 14, 14A and 62E relating to firearm items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 No. 13 of 2022 s. 80.]</w:t>
      </w:r>
    </w:p>
    <w:p>
      <w:pPr>
        <w:pStyle w:val="Heading5"/>
      </w:pPr>
      <w:bookmarkStart w:id="20" w:name="_Toc185504040"/>
      <w:r>
        <w:rPr>
          <w:rStyle w:val="CharSectno"/>
        </w:rPr>
        <w:lastRenderedPageBreak/>
        <w:t>9</w:t>
      </w:r>
      <w:r>
        <w:t>.</w:t>
      </w:r>
      <w:r>
        <w:tab/>
        <w:t>Fixing a hearing</w:t>
      </w:r>
      <w:bookmarkEnd w:id="20"/>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21" w:name="_Toc185504041"/>
      <w:r>
        <w:rPr>
          <w:rStyle w:val="CharSectno"/>
        </w:rPr>
        <w:t>10</w:t>
      </w:r>
      <w:r>
        <w:rPr>
          <w:snapToGrid w:val="0"/>
        </w:rPr>
        <w:t>.</w:t>
      </w:r>
      <w:r>
        <w:rPr>
          <w:snapToGrid w:val="0"/>
        </w:rPr>
        <w:tab/>
        <w:t>Preparation and service of orders</w:t>
      </w:r>
      <w:bookmarkEnd w:id="21"/>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w:t>
      </w:r>
      <w:r>
        <w:lastRenderedPageBreak/>
        <w:t xml:space="preserve">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lastRenderedPageBreak/>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22" w:name="_Toc185434035"/>
      <w:bookmarkStart w:id="23" w:name="_Toc185434246"/>
      <w:bookmarkStart w:id="24" w:name="_Toc185504042"/>
      <w:r>
        <w:rPr>
          <w:rStyle w:val="CharPartNo"/>
        </w:rPr>
        <w:lastRenderedPageBreak/>
        <w:t>Part 1B</w:t>
      </w:r>
      <w:r>
        <w:rPr>
          <w:rStyle w:val="CharDivNo"/>
        </w:rPr>
        <w:t> </w:t>
      </w:r>
      <w:r>
        <w:t>—</w:t>
      </w:r>
      <w:r>
        <w:rPr>
          <w:rStyle w:val="CharDivText"/>
        </w:rPr>
        <w:t> </w:t>
      </w:r>
      <w:r>
        <w:rPr>
          <w:rStyle w:val="CharPartText"/>
        </w:rPr>
        <w:t>Family violence restraining order</w:t>
      </w:r>
      <w:bookmarkEnd w:id="22"/>
      <w:bookmarkEnd w:id="23"/>
      <w:bookmarkEnd w:id="24"/>
      <w:r>
        <w:t xml:space="preserve"> </w:t>
      </w:r>
    </w:p>
    <w:p>
      <w:pPr>
        <w:pStyle w:val="Footnoteheading"/>
      </w:pPr>
      <w:r>
        <w:tab/>
        <w:t>[Heading inserted: No. 49 of 2016 s. 14.]</w:t>
      </w:r>
    </w:p>
    <w:p>
      <w:pPr>
        <w:pStyle w:val="Heading5"/>
      </w:pPr>
      <w:bookmarkStart w:id="25" w:name="_Toc185504043"/>
      <w:r>
        <w:rPr>
          <w:rStyle w:val="CharSectno"/>
        </w:rPr>
        <w:t>10A</w:t>
      </w:r>
      <w:r>
        <w:t>.</w:t>
      </w:r>
      <w:r>
        <w:tab/>
        <w:t>Objects</w:t>
      </w:r>
      <w:bookmarkEnd w:id="25"/>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26" w:name="_Toc185504044"/>
      <w:r>
        <w:rPr>
          <w:rStyle w:val="CharSectno"/>
        </w:rPr>
        <w:t>10B</w:t>
      </w:r>
      <w:r>
        <w:t>.</w:t>
      </w:r>
      <w:r>
        <w:tab/>
        <w:t>Principles to be observed in performing functions in relation to FVROs</w:t>
      </w:r>
      <w:bookmarkEnd w:id="26"/>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 xml:space="preserve">the particular need to ensure the wellbeing of children by protecting them from family violence, behaviour </w:t>
      </w:r>
      <w:r>
        <w:lastRenderedPageBreak/>
        <w:t>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lastRenderedPageBreak/>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27" w:name="_Toc185504045"/>
      <w:r>
        <w:rPr>
          <w:rStyle w:val="CharSectno"/>
        </w:rPr>
        <w:t>10C</w:t>
      </w:r>
      <w:r>
        <w:t>.</w:t>
      </w:r>
      <w:r>
        <w:tab/>
        <w:t>FVRO to specify names of person bound, and person protected, by order</w:t>
      </w:r>
      <w:bookmarkEnd w:id="27"/>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28" w:name="_Toc185504046"/>
      <w:r>
        <w:rPr>
          <w:rStyle w:val="CharSectno"/>
        </w:rPr>
        <w:t>10D</w:t>
      </w:r>
      <w:r>
        <w:t>.</w:t>
      </w:r>
      <w:r>
        <w:tab/>
        <w:t>When FVROs may be made</w:t>
      </w:r>
      <w:bookmarkEnd w:id="28"/>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29" w:name="_Toc185504047"/>
      <w:r>
        <w:rPr>
          <w:rStyle w:val="CharSectno"/>
        </w:rPr>
        <w:lastRenderedPageBreak/>
        <w:t>10E</w:t>
      </w:r>
      <w:r>
        <w:t>.</w:t>
      </w:r>
      <w:r>
        <w:tab/>
        <w:t>FVRO may be made for child in circumstances of family violence</w:t>
      </w:r>
      <w:bookmarkEnd w:id="29"/>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30" w:name="_Toc185504048"/>
      <w:r>
        <w:rPr>
          <w:rStyle w:val="CharSectno"/>
        </w:rPr>
        <w:t>10F</w:t>
      </w:r>
      <w:r>
        <w:t>.</w:t>
      </w:r>
      <w:r>
        <w:tab/>
        <w:t>Matters to be considered by court generally</w:t>
      </w:r>
      <w:bookmarkEnd w:id="30"/>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 xml:space="preserve">the need to ensure the wellbeing of children by protecting them from family violence, behaviour </w:t>
      </w:r>
      <w:r>
        <w:lastRenderedPageBreak/>
        <w:t>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 xml:space="preserve">The Commissioner of Police, is, where practicable, to provide to a court any information in the possession of the Police Force of </w:t>
      </w:r>
      <w:r>
        <w:lastRenderedPageBreak/>
        <w:t>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31" w:name="_Toc185504049"/>
      <w:r>
        <w:rPr>
          <w:rStyle w:val="CharSectno"/>
        </w:rPr>
        <w:t>10G</w:t>
      </w:r>
      <w:r>
        <w:t>.</w:t>
      </w:r>
      <w:r>
        <w:tab/>
        <w:t>Restraints on respondent</w:t>
      </w:r>
      <w:bookmarkEnd w:id="31"/>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lastRenderedPageBreak/>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lastRenderedPageBreak/>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32" w:name="_Toc185504050"/>
      <w:r>
        <w:rPr>
          <w:rStyle w:val="CharSectno"/>
        </w:rPr>
        <w:t>10H</w:t>
      </w:r>
      <w:r>
        <w:t>.</w:t>
      </w:r>
      <w:r>
        <w:tab/>
        <w:t>Conduct agreement</w:t>
      </w:r>
      <w:bookmarkEnd w:id="32"/>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33" w:name="_Toc185434044"/>
      <w:bookmarkStart w:id="34" w:name="_Toc185434255"/>
      <w:bookmarkStart w:id="35" w:name="_Toc185504051"/>
      <w:r>
        <w:rPr>
          <w:rStyle w:val="CharPartNo"/>
        </w:rPr>
        <w:lastRenderedPageBreak/>
        <w:t>Part 1C</w:t>
      </w:r>
      <w:r>
        <w:t> — </w:t>
      </w:r>
      <w:r>
        <w:rPr>
          <w:rStyle w:val="CharPartText"/>
        </w:rPr>
        <w:t>Behaviour management order</w:t>
      </w:r>
      <w:bookmarkEnd w:id="33"/>
      <w:bookmarkEnd w:id="34"/>
      <w:bookmarkEnd w:id="35"/>
    </w:p>
    <w:p>
      <w:pPr>
        <w:pStyle w:val="Footnoteheading"/>
      </w:pPr>
      <w:r>
        <w:tab/>
        <w:t>[Heading inserted: No. 49 of 2016 s. 14.]</w:t>
      </w:r>
    </w:p>
    <w:p>
      <w:pPr>
        <w:pStyle w:val="Heading3"/>
      </w:pPr>
      <w:bookmarkStart w:id="36" w:name="_Toc185434045"/>
      <w:bookmarkStart w:id="37" w:name="_Toc185434256"/>
      <w:bookmarkStart w:id="38" w:name="_Toc185504052"/>
      <w:r>
        <w:rPr>
          <w:rStyle w:val="CharDivNo"/>
        </w:rPr>
        <w:t>Division 1</w:t>
      </w:r>
      <w:r>
        <w:t> — </w:t>
      </w:r>
      <w:r>
        <w:rPr>
          <w:rStyle w:val="CharDivText"/>
        </w:rPr>
        <w:t>Preliminary</w:t>
      </w:r>
      <w:bookmarkEnd w:id="36"/>
      <w:bookmarkEnd w:id="37"/>
      <w:bookmarkEnd w:id="38"/>
    </w:p>
    <w:p>
      <w:pPr>
        <w:pStyle w:val="Footnoteheading"/>
      </w:pPr>
      <w:r>
        <w:tab/>
        <w:t>[Heading inserted: No. 49 of 2016 s. 14.]</w:t>
      </w:r>
    </w:p>
    <w:p>
      <w:pPr>
        <w:pStyle w:val="Heading5"/>
      </w:pPr>
      <w:bookmarkStart w:id="39" w:name="_Toc185504053"/>
      <w:r>
        <w:rPr>
          <w:rStyle w:val="CharSectno"/>
        </w:rPr>
        <w:t>10I</w:t>
      </w:r>
      <w:r>
        <w:t>.</w:t>
      </w:r>
      <w:r>
        <w:tab/>
        <w:t>Terms used</w:t>
      </w:r>
      <w:bookmarkEnd w:id="39"/>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40" w:name="_Toc185504054"/>
      <w:r>
        <w:rPr>
          <w:rStyle w:val="CharSectno"/>
        </w:rPr>
        <w:lastRenderedPageBreak/>
        <w:t>10J</w:t>
      </w:r>
      <w:r>
        <w:t>.</w:t>
      </w:r>
      <w:r>
        <w:tab/>
        <w:t>Objects</w:t>
      </w:r>
      <w:bookmarkEnd w:id="40"/>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41" w:name="_Toc185504055"/>
      <w:r>
        <w:rPr>
          <w:rStyle w:val="CharSectno"/>
        </w:rPr>
        <w:t>10K</w:t>
      </w:r>
      <w:r>
        <w:t>.</w:t>
      </w:r>
      <w:r>
        <w:tab/>
        <w:t>Application of Part</w:t>
      </w:r>
      <w:bookmarkEnd w:id="41"/>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42" w:name="_Toc185434049"/>
      <w:bookmarkStart w:id="43" w:name="_Toc185434260"/>
      <w:bookmarkStart w:id="44" w:name="_Toc185504056"/>
      <w:r>
        <w:rPr>
          <w:rStyle w:val="CharDivNo"/>
        </w:rPr>
        <w:t>Division 2</w:t>
      </w:r>
      <w:r>
        <w:t> — </w:t>
      </w:r>
      <w:r>
        <w:rPr>
          <w:rStyle w:val="CharDivText"/>
        </w:rPr>
        <w:t>Eligibility assessment order</w:t>
      </w:r>
      <w:bookmarkEnd w:id="42"/>
      <w:bookmarkEnd w:id="43"/>
      <w:bookmarkEnd w:id="44"/>
    </w:p>
    <w:p>
      <w:pPr>
        <w:pStyle w:val="Footnoteheading"/>
      </w:pPr>
      <w:r>
        <w:tab/>
        <w:t>[Heading inserted: No. 49 of 2016 s. 14.]</w:t>
      </w:r>
    </w:p>
    <w:p>
      <w:pPr>
        <w:pStyle w:val="Heading5"/>
      </w:pPr>
      <w:bookmarkStart w:id="45" w:name="_Toc185504057"/>
      <w:r>
        <w:rPr>
          <w:rStyle w:val="CharSectno"/>
        </w:rPr>
        <w:t>10L</w:t>
      </w:r>
      <w:r>
        <w:t>.</w:t>
      </w:r>
      <w:r>
        <w:tab/>
        <w:t>Making an eligibility assessment order</w:t>
      </w:r>
      <w:bookmarkEnd w:id="45"/>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lastRenderedPageBreak/>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lastRenderedPageBreak/>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46" w:name="_Toc185504058"/>
      <w:r>
        <w:rPr>
          <w:rStyle w:val="CharSectno"/>
        </w:rPr>
        <w:t>10M</w:t>
      </w:r>
      <w:r>
        <w:t>.</w:t>
      </w:r>
      <w:r>
        <w:tab/>
        <w:t>Order to attend behaviour change programme</w:t>
      </w:r>
      <w:bookmarkEnd w:id="46"/>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w:t>
      </w:r>
      <w:r>
        <w:lastRenderedPageBreak/>
        <w:t xml:space="preserve">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47" w:name="_Toc185504059"/>
      <w:r>
        <w:rPr>
          <w:rStyle w:val="CharSectno"/>
        </w:rPr>
        <w:t>10N</w:t>
      </w:r>
      <w:r>
        <w:t>.</w:t>
      </w:r>
      <w:r>
        <w:tab/>
        <w:t>Effect of appeal against final order</w:t>
      </w:r>
      <w:bookmarkEnd w:id="47"/>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lastRenderedPageBreak/>
        <w:tab/>
        <w:t>[Section 10N inserted: No. 49 of 2016 s. 14.]</w:t>
      </w:r>
    </w:p>
    <w:p>
      <w:pPr>
        <w:pStyle w:val="Heading3"/>
      </w:pPr>
      <w:bookmarkStart w:id="48" w:name="_Toc185434053"/>
      <w:bookmarkStart w:id="49" w:name="_Toc185434264"/>
      <w:bookmarkStart w:id="50" w:name="_Toc185504060"/>
      <w:r>
        <w:rPr>
          <w:rStyle w:val="CharDivNo"/>
        </w:rPr>
        <w:t>Division 3</w:t>
      </w:r>
      <w:r>
        <w:t> — </w:t>
      </w:r>
      <w:r>
        <w:rPr>
          <w:rStyle w:val="CharDivText"/>
        </w:rPr>
        <w:t>Procedures relating to behaviour management order</w:t>
      </w:r>
      <w:bookmarkEnd w:id="48"/>
      <w:bookmarkEnd w:id="49"/>
      <w:bookmarkEnd w:id="50"/>
    </w:p>
    <w:p>
      <w:pPr>
        <w:pStyle w:val="Footnoteheading"/>
      </w:pPr>
      <w:r>
        <w:tab/>
        <w:t>[Heading inserted: No. 49 of 2016 s. 14.]</w:t>
      </w:r>
    </w:p>
    <w:p>
      <w:pPr>
        <w:pStyle w:val="Heading5"/>
      </w:pPr>
      <w:bookmarkStart w:id="51" w:name="_Toc185504061"/>
      <w:r>
        <w:rPr>
          <w:rStyle w:val="CharSectno"/>
        </w:rPr>
        <w:t>10O</w:t>
      </w:r>
      <w:r>
        <w:t>.</w:t>
      </w:r>
      <w:r>
        <w:tab/>
        <w:t>Notice of hearings</w:t>
      </w:r>
      <w:bookmarkEnd w:id="51"/>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52" w:name="_Toc185504062"/>
      <w:r>
        <w:rPr>
          <w:rStyle w:val="CharSectno"/>
        </w:rPr>
        <w:t>10P</w:t>
      </w:r>
      <w:r>
        <w:t>.</w:t>
      </w:r>
      <w:r>
        <w:tab/>
        <w:t>Approval of persons and of behaviour change programme</w:t>
      </w:r>
      <w:bookmarkEnd w:id="52"/>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lastRenderedPageBreak/>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53" w:name="_Toc185504063"/>
      <w:r>
        <w:rPr>
          <w:rStyle w:val="CharSectno"/>
        </w:rPr>
        <w:t>10Q</w:t>
      </w:r>
      <w:r>
        <w:t>.</w:t>
      </w:r>
      <w:r>
        <w:tab/>
        <w:t>Eligibility assessor may be required to attend hearing</w:t>
      </w:r>
      <w:bookmarkEnd w:id="53"/>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54" w:name="_Toc185504064"/>
      <w:r>
        <w:rPr>
          <w:rStyle w:val="CharSectno"/>
        </w:rPr>
        <w:lastRenderedPageBreak/>
        <w:t>10R</w:t>
      </w:r>
      <w:r>
        <w:t>.</w:t>
      </w:r>
      <w:r>
        <w:tab/>
        <w:t>Disputed eligibility assessment report</w:t>
      </w:r>
      <w:bookmarkEnd w:id="54"/>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55" w:name="_Toc185504065"/>
      <w:r>
        <w:rPr>
          <w:rStyle w:val="CharSectno"/>
        </w:rPr>
        <w:t>10S</w:t>
      </w:r>
      <w:r>
        <w:t>.</w:t>
      </w:r>
      <w:r>
        <w:tab/>
        <w:t>Explanation of behaviour management orders</w:t>
      </w:r>
      <w:bookmarkEnd w:id="55"/>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56" w:name="_Toc185504066"/>
      <w:r>
        <w:rPr>
          <w:rStyle w:val="CharSectno"/>
        </w:rPr>
        <w:t>10T</w:t>
      </w:r>
      <w:r>
        <w:t>.</w:t>
      </w:r>
      <w:r>
        <w:tab/>
        <w:t>Variation or cancellation of behaviour management orders</w:t>
      </w:r>
      <w:bookmarkEnd w:id="56"/>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lastRenderedPageBreak/>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57" w:name="_Toc185504067"/>
      <w:r>
        <w:rPr>
          <w:rStyle w:val="CharSectno"/>
        </w:rPr>
        <w:t>10U</w:t>
      </w:r>
      <w:r>
        <w:t>.</w:t>
      </w:r>
      <w:r>
        <w:tab/>
        <w:t>Service of orders</w:t>
      </w:r>
      <w:bookmarkEnd w:id="57"/>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lastRenderedPageBreak/>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58" w:name="_Toc185434061"/>
      <w:bookmarkStart w:id="59" w:name="_Toc185434272"/>
      <w:bookmarkStart w:id="60" w:name="_Toc185504068"/>
      <w:r>
        <w:rPr>
          <w:rStyle w:val="CharDivNo"/>
        </w:rPr>
        <w:t>Division 4</w:t>
      </w:r>
      <w:r>
        <w:t> — </w:t>
      </w:r>
      <w:r>
        <w:rPr>
          <w:rStyle w:val="CharDivText"/>
        </w:rPr>
        <w:t>Other matters</w:t>
      </w:r>
      <w:bookmarkEnd w:id="58"/>
      <w:bookmarkEnd w:id="59"/>
      <w:bookmarkEnd w:id="60"/>
    </w:p>
    <w:p>
      <w:pPr>
        <w:pStyle w:val="Footnoteheading"/>
      </w:pPr>
      <w:r>
        <w:tab/>
        <w:t>[Heading inserted: No. 49 of 2016 s. 14.]</w:t>
      </w:r>
    </w:p>
    <w:p>
      <w:pPr>
        <w:pStyle w:val="Heading5"/>
      </w:pPr>
      <w:bookmarkStart w:id="61" w:name="_Toc185504069"/>
      <w:r>
        <w:rPr>
          <w:rStyle w:val="CharSectno"/>
        </w:rPr>
        <w:t>10V</w:t>
      </w:r>
      <w:r>
        <w:t>.</w:t>
      </w:r>
      <w:r>
        <w:tab/>
        <w:t>Respondent’s participation in behaviour change programme</w:t>
      </w:r>
      <w:bookmarkEnd w:id="61"/>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w:t>
      </w:r>
      <w:r>
        <w:lastRenderedPageBreak/>
        <w:t xml:space="preserve">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62" w:name="_Toc185504070"/>
      <w:r>
        <w:rPr>
          <w:rStyle w:val="CharSectno"/>
        </w:rPr>
        <w:t>10W</w:t>
      </w:r>
      <w:r>
        <w:t>.</w:t>
      </w:r>
      <w:r>
        <w:tab/>
        <w:t>Respondent’s contravention of behaviour management order</w:t>
      </w:r>
      <w:bookmarkEnd w:id="62"/>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63" w:name="_Toc185504071"/>
      <w:r>
        <w:rPr>
          <w:rStyle w:val="CharSectno"/>
        </w:rPr>
        <w:t>10X</w:t>
      </w:r>
      <w:r>
        <w:t>.</w:t>
      </w:r>
      <w:r>
        <w:tab/>
        <w:t>Confidentiality of interviews and reports</w:t>
      </w:r>
      <w:bookmarkEnd w:id="63"/>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lastRenderedPageBreak/>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64" w:name="_Toc185504072"/>
      <w:r>
        <w:rPr>
          <w:rStyle w:val="CharSectno"/>
        </w:rPr>
        <w:lastRenderedPageBreak/>
        <w:t>10Y</w:t>
      </w:r>
      <w:r>
        <w:t>.</w:t>
      </w:r>
      <w:r>
        <w:tab/>
        <w:t>Confidentiality of behaviour change programme</w:t>
      </w:r>
      <w:bookmarkEnd w:id="64"/>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65" w:name="_Toc185504073"/>
      <w:r>
        <w:rPr>
          <w:rStyle w:val="CharSectno"/>
        </w:rPr>
        <w:t>10Z</w:t>
      </w:r>
      <w:r>
        <w:t>.</w:t>
      </w:r>
      <w:r>
        <w:tab/>
        <w:t>Delegation</w:t>
      </w:r>
      <w:bookmarkEnd w:id="65"/>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66" w:name="_Toc185434067"/>
      <w:bookmarkStart w:id="67" w:name="_Toc185434278"/>
      <w:bookmarkStart w:id="68" w:name="_Toc185504074"/>
      <w:r>
        <w:rPr>
          <w:rStyle w:val="CharPartNo"/>
        </w:rPr>
        <w:lastRenderedPageBreak/>
        <w:t>Part 2</w:t>
      </w:r>
      <w:r>
        <w:rPr>
          <w:rStyle w:val="CharDivNo"/>
        </w:rPr>
        <w:t> </w:t>
      </w:r>
      <w:r>
        <w:t>—</w:t>
      </w:r>
      <w:r>
        <w:rPr>
          <w:rStyle w:val="CharDivText"/>
        </w:rPr>
        <w:t> </w:t>
      </w:r>
      <w:r>
        <w:rPr>
          <w:rStyle w:val="CharPartText"/>
        </w:rPr>
        <w:t>Violence restraining order</w:t>
      </w:r>
      <w:bookmarkEnd w:id="66"/>
      <w:bookmarkEnd w:id="67"/>
      <w:bookmarkEnd w:id="68"/>
      <w:r>
        <w:rPr>
          <w:rStyle w:val="CharPartText"/>
        </w:rPr>
        <w:t xml:space="preserve"> </w:t>
      </w:r>
    </w:p>
    <w:p>
      <w:pPr>
        <w:pStyle w:val="Ednotedivision"/>
      </w:pPr>
      <w:r>
        <w:tab/>
        <w:t>[Division heading deleted: No. 49 of 2016 s. 15.]</w:t>
      </w:r>
    </w:p>
    <w:p>
      <w:pPr>
        <w:pStyle w:val="Heading5"/>
      </w:pPr>
      <w:bookmarkStart w:id="69" w:name="_Toc185504075"/>
      <w:r>
        <w:rPr>
          <w:rStyle w:val="CharSectno"/>
        </w:rPr>
        <w:t>11</w:t>
      </w:r>
      <w:r>
        <w:t>.</w:t>
      </w:r>
      <w:r>
        <w:tab/>
        <w:t>VRO to specify names of person bound, and person protected, by order</w:t>
      </w:r>
      <w:bookmarkEnd w:id="69"/>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70" w:name="_Toc185504076"/>
      <w:r>
        <w:rPr>
          <w:rStyle w:val="CharSectno"/>
        </w:rPr>
        <w:t>11A</w:t>
      </w:r>
      <w:r>
        <w:t>.</w:t>
      </w:r>
      <w:r>
        <w:tab/>
        <w:t>When VROs may be made</w:t>
      </w:r>
      <w:bookmarkEnd w:id="70"/>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71" w:name="_Toc185504077"/>
      <w:r>
        <w:rPr>
          <w:rStyle w:val="CharSectno"/>
        </w:rPr>
        <w:lastRenderedPageBreak/>
        <w:t>12</w:t>
      </w:r>
      <w:r>
        <w:rPr>
          <w:snapToGrid w:val="0"/>
        </w:rPr>
        <w:t>.</w:t>
      </w:r>
      <w:r>
        <w:rPr>
          <w:snapToGrid w:val="0"/>
        </w:rPr>
        <w:tab/>
        <w:t>Matters to be considered by court generally</w:t>
      </w:r>
      <w:bookmarkEnd w:id="71"/>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lastRenderedPageBreak/>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72" w:name="_Toc185504078"/>
      <w:r>
        <w:rPr>
          <w:rStyle w:val="CharSectno"/>
        </w:rPr>
        <w:t>12A</w:t>
      </w:r>
      <w:r>
        <w:t>.</w:t>
      </w:r>
      <w:r>
        <w:tab/>
        <w:t>VROs not for persons in family relationship</w:t>
      </w:r>
      <w:bookmarkEnd w:id="72"/>
    </w:p>
    <w:p>
      <w:pPr>
        <w:pStyle w:val="Subsection"/>
      </w:pPr>
      <w:r>
        <w:tab/>
      </w:r>
      <w:r>
        <w:tab/>
        <w:t xml:space="preserve">A court is not to make a VRO unless it is satisfied that the person seeking to be protected by the order and the person </w:t>
      </w:r>
      <w:r>
        <w:lastRenderedPageBreak/>
        <w:t>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73" w:name="_Toc185504079"/>
      <w:r>
        <w:rPr>
          <w:rStyle w:val="CharSectno"/>
        </w:rPr>
        <w:t>13</w:t>
      </w:r>
      <w:r>
        <w:rPr>
          <w:snapToGrid w:val="0"/>
        </w:rPr>
        <w:t>.</w:t>
      </w:r>
      <w:r>
        <w:rPr>
          <w:snapToGrid w:val="0"/>
        </w:rPr>
        <w:tab/>
        <w:t>Restraints on respondent</w:t>
      </w:r>
      <w:bookmarkEnd w:id="73"/>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xml:space="preserve">, even if the </w:t>
      </w:r>
      <w:r>
        <w:rPr>
          <w:snapToGrid w:val="0"/>
        </w:rPr>
        <w:lastRenderedPageBreak/>
        <w:t>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74" w:name="_Toc185434073"/>
      <w:bookmarkStart w:id="75" w:name="_Toc185434284"/>
      <w:bookmarkStart w:id="76" w:name="_Toc185504080"/>
      <w:r>
        <w:rPr>
          <w:rStyle w:val="CharPartNo"/>
        </w:rPr>
        <w:lastRenderedPageBreak/>
        <w:t>Part 2A</w:t>
      </w:r>
      <w:r>
        <w:t> — </w:t>
      </w:r>
      <w:r>
        <w:rPr>
          <w:rStyle w:val="CharPartText"/>
        </w:rPr>
        <w:t>Provisions for FVRO and VRO</w:t>
      </w:r>
      <w:bookmarkEnd w:id="74"/>
      <w:bookmarkEnd w:id="75"/>
      <w:bookmarkEnd w:id="76"/>
    </w:p>
    <w:p>
      <w:pPr>
        <w:pStyle w:val="Footnoteheading"/>
      </w:pPr>
      <w:r>
        <w:tab/>
        <w:t>[Heading inserted: No. 49 of 2016 s. 22.]</w:t>
      </w:r>
    </w:p>
    <w:p>
      <w:pPr>
        <w:pStyle w:val="Heading3"/>
      </w:pPr>
      <w:bookmarkStart w:id="77" w:name="_Toc185434074"/>
      <w:bookmarkStart w:id="78" w:name="_Toc185434285"/>
      <w:bookmarkStart w:id="79" w:name="_Toc185504081"/>
      <w:r>
        <w:rPr>
          <w:rStyle w:val="CharDivNo"/>
        </w:rPr>
        <w:t>Division 1AA</w:t>
      </w:r>
      <w:r>
        <w:t> — </w:t>
      </w:r>
      <w:r>
        <w:rPr>
          <w:rStyle w:val="CharDivText"/>
        </w:rPr>
        <w:t>Additional circumstances where orders may be made</w:t>
      </w:r>
      <w:bookmarkEnd w:id="77"/>
      <w:bookmarkEnd w:id="78"/>
      <w:bookmarkEnd w:id="79"/>
    </w:p>
    <w:p>
      <w:pPr>
        <w:pStyle w:val="Footnoteheading"/>
      </w:pPr>
      <w:r>
        <w:tab/>
        <w:t>[Heading inserted: No. 30 of 2020 s. 57.]</w:t>
      </w:r>
    </w:p>
    <w:p>
      <w:pPr>
        <w:pStyle w:val="Heading5"/>
      </w:pPr>
      <w:bookmarkStart w:id="80" w:name="_Toc185504082"/>
      <w:r>
        <w:rPr>
          <w:rStyle w:val="CharSectno"/>
        </w:rPr>
        <w:t>13A</w:t>
      </w:r>
      <w:r>
        <w:t>.</w:t>
      </w:r>
      <w:r>
        <w:tab/>
        <w:t>Cases involving violent offences</w:t>
      </w:r>
      <w:bookmarkEnd w:id="80"/>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lastRenderedPageBreak/>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81" w:name="_Toc185434076"/>
      <w:bookmarkStart w:id="82" w:name="_Toc185434287"/>
      <w:bookmarkStart w:id="83" w:name="_Toc185504083"/>
      <w:r>
        <w:rPr>
          <w:rStyle w:val="CharDivNo"/>
        </w:rPr>
        <w:t>Division 1</w:t>
      </w:r>
      <w:r>
        <w:t> — </w:t>
      </w:r>
      <w:r>
        <w:rPr>
          <w:rStyle w:val="CharDivText"/>
        </w:rPr>
        <w:t>Orders relating to firearm items and explosives</w:t>
      </w:r>
      <w:bookmarkEnd w:id="81"/>
      <w:bookmarkEnd w:id="82"/>
      <w:bookmarkEnd w:id="83"/>
    </w:p>
    <w:p>
      <w:pPr>
        <w:pStyle w:val="Footnoteheading"/>
        <w:keepNext/>
      </w:pPr>
      <w:r>
        <w:tab/>
        <w:t>[Heading inserted: No. 49 of 2016 s. 22; amended: No. 30 of 2020 s. 58; No. 13 of 2022 s. 80.]</w:t>
      </w:r>
    </w:p>
    <w:p>
      <w:pPr>
        <w:pStyle w:val="Heading5"/>
        <w:spacing w:before="120"/>
        <w:rPr>
          <w:snapToGrid w:val="0"/>
        </w:rPr>
      </w:pPr>
      <w:bookmarkStart w:id="84" w:name="_Toc185504084"/>
      <w:r>
        <w:rPr>
          <w:rStyle w:val="CharSectno"/>
        </w:rPr>
        <w:t>14</w:t>
      </w:r>
      <w:r>
        <w:rPr>
          <w:snapToGrid w:val="0"/>
        </w:rPr>
        <w:t>.</w:t>
      </w:r>
      <w:r>
        <w:rPr>
          <w:snapToGrid w:val="0"/>
        </w:rPr>
        <w:tab/>
        <w:t>Firearms order</w:t>
      </w:r>
      <w:bookmarkEnd w:id="84"/>
      <w:r>
        <w:rPr>
          <w:snapToGrid w:val="0"/>
        </w:rPr>
        <w:t xml:space="preserve"> </w:t>
      </w:r>
    </w:p>
    <w:p>
      <w:pPr>
        <w:pStyle w:val="Subsection"/>
        <w:keepNext/>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pPr>
        <w:pStyle w:val="Indenta"/>
        <w:rPr>
          <w:snapToGrid w:val="0"/>
        </w:rPr>
      </w:pPr>
      <w:r>
        <w:rPr>
          <w:snapToGrid w:val="0"/>
        </w:rPr>
        <w:lastRenderedPageBreak/>
        <w:tab/>
        <w:t>(b)</w:t>
      </w:r>
      <w:r>
        <w:rPr>
          <w:snapToGrid w:val="0"/>
        </w:rPr>
        <w:tab/>
        <w:t xml:space="preserve">obtaining a </w:t>
      </w:r>
      <w:r>
        <w:t>firearms authorisation</w:t>
      </w:r>
      <w:r>
        <w:rPr>
          <w:snapToGrid w:val="0"/>
        </w:rPr>
        <w:t>.</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pPr>
        <w:pStyle w:val="Subsection"/>
        <w:keepNext/>
        <w:spacing w:before="120"/>
        <w:rPr>
          <w:snapToGrid w:val="0"/>
        </w:rPr>
      </w:pPr>
      <w:r>
        <w:rPr>
          <w:snapToGrid w:val="0"/>
        </w:rPr>
        <w:tab/>
        <w:t>(5)</w:t>
      </w:r>
      <w:r>
        <w:rPr>
          <w:snapToGrid w:val="0"/>
        </w:rPr>
        <w:tab/>
        <w:t xml:space="preserve">When making </w:t>
      </w:r>
      <w:r>
        <w:t xml:space="preserve">an FVRO or VRO </w:t>
      </w:r>
      <w:r>
        <w:rPr>
          <w:snapToGrid w:val="0"/>
        </w:rPr>
        <w:t xml:space="preserve">a court may permit the respondent to have possession of a </w:t>
      </w:r>
      <w:r>
        <w:t>firearm item</w:t>
      </w:r>
      <w:r>
        <w:rPr>
          <w:snapToGrid w:val="0"/>
        </w:rPr>
        <w:t xml:space="preserve">, and, if necessary, a </w:t>
      </w:r>
      <w:r>
        <w:t>firearms authorisation</w:t>
      </w:r>
      <w:r>
        <w:rPr>
          <w:snapToGrid w:val="0"/>
        </w:rPr>
        <w:t xml:space="preserve"> relating to it, on such conditions as the court thinks fit, if the court is satisfied that — </w:t>
      </w:r>
    </w:p>
    <w:p>
      <w:pPr>
        <w:pStyle w:val="Indenta"/>
        <w:spacing w:before="60"/>
        <w:rPr>
          <w:snapToGrid w:val="0"/>
        </w:rPr>
      </w:pPr>
      <w:r>
        <w:rPr>
          <w:snapToGrid w:val="0"/>
        </w:rPr>
        <w:tab/>
        <w:t>(a)</w:t>
      </w:r>
      <w:r>
        <w:rPr>
          <w:snapToGrid w:val="0"/>
        </w:rPr>
        <w:tab/>
        <w:t xml:space="preserve">the respondent cannot carry on the respondent’s usual occupation unless the respondent is permitted to have possession of a </w:t>
      </w:r>
      <w:r>
        <w:t>firearm item</w:t>
      </w:r>
      <w:r>
        <w:rPr>
          <w:snapToGrid w:val="0"/>
        </w:rPr>
        <w:t>; and</w:t>
      </w:r>
    </w:p>
    <w:p>
      <w:pPr>
        <w:pStyle w:val="Indenta"/>
        <w:spacing w:before="60"/>
        <w:rPr>
          <w:snapToGrid w:val="0"/>
        </w:rPr>
      </w:pPr>
      <w:r>
        <w:rPr>
          <w:snapToGrid w:val="0"/>
        </w:rPr>
        <w:tab/>
        <w:t>(b)</w:t>
      </w:r>
      <w:r>
        <w:rPr>
          <w:snapToGrid w:val="0"/>
        </w:rPr>
        <w:tab/>
        <w:t xml:space="preserve">the behaviour in relation to which the order was sought did not involve the use, or threatened use, of a </w:t>
      </w:r>
      <w:r>
        <w:t>firearm item</w:t>
      </w:r>
      <w:r>
        <w:rPr>
          <w:snapToGrid w:val="0"/>
        </w:rPr>
        <w:t>; and</w:t>
      </w:r>
    </w:p>
    <w:p>
      <w:pPr>
        <w:pStyle w:val="Indenta"/>
        <w:spacing w:before="60"/>
        <w:rPr>
          <w:snapToGrid w:val="0"/>
        </w:rPr>
      </w:pPr>
      <w:r>
        <w:rPr>
          <w:snapToGrid w:val="0"/>
        </w:rPr>
        <w:tab/>
        <w:t>(c)</w:t>
      </w:r>
      <w:r>
        <w:rPr>
          <w:snapToGrid w:val="0"/>
        </w:rPr>
        <w:tab/>
        <w:t xml:space="preserve">the safety of any person, or their perception of their safety, is not likely to be adversely affected by the respondent’s possession of a </w:t>
      </w:r>
      <w:r>
        <w:t>firearm item</w:t>
      </w:r>
      <w:r>
        <w:rPr>
          <w:snapToGrid w:val="0"/>
        </w:rPr>
        <w:t>.</w:t>
      </w:r>
    </w:p>
    <w:p>
      <w:pPr>
        <w:pStyle w:val="Subsection"/>
        <w:spacing w:before="120"/>
        <w:rPr>
          <w:snapToGrid w:val="0"/>
        </w:rPr>
      </w:pPr>
      <w:r>
        <w:rPr>
          <w:snapToGrid w:val="0"/>
        </w:rPr>
        <w:tab/>
        <w:t>(6)</w:t>
      </w:r>
      <w:r>
        <w:rPr>
          <w:snapToGrid w:val="0"/>
        </w:rPr>
        <w:tab/>
        <w:t xml:space="preserve">If, under subsection (5), a court permits a respondent to have possession of a </w:t>
      </w:r>
      <w:r>
        <w:t>firearm item</w:t>
      </w:r>
      <w:r>
        <w:rPr>
          <w:snapToGrid w:val="0"/>
        </w:rPr>
        <w:t xml:space="preserve">, the court must make that possession subject to such conditions (in addition to any conditions imposed under that subsection) as the applicant or </w:t>
      </w:r>
      <w:r>
        <w:lastRenderedPageBreak/>
        <w:t>person seeking to be protected</w:t>
      </w:r>
      <w:r>
        <w:rPr>
          <w:snapToGrid w:val="0"/>
        </w:rPr>
        <w:t xml:space="preserve"> requests unless the court considers the requested conditions to be unreasonable.</w:t>
      </w:r>
    </w:p>
    <w:p>
      <w:pPr>
        <w:pStyle w:val="Subsection"/>
        <w:keepNext/>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 xml:space="preserve">within which the respondent must give up possession of </w:t>
      </w:r>
      <w:r>
        <w:t>firearm items and</w:t>
      </w:r>
      <w:r>
        <w:rPr>
          <w:snapToGrid w:val="0"/>
        </w:rPr>
        <w:t xml:space="preserve"> </w:t>
      </w:r>
      <w:r>
        <w:t>firearms authorisations</w:t>
      </w:r>
      <w:r>
        <w:rPr>
          <w:snapToGrid w:val="0"/>
        </w:rPr>
        <w:t>.</w:t>
      </w:r>
    </w:p>
    <w:p>
      <w:pPr>
        <w:pStyle w:val="Footnotesection"/>
        <w:spacing w:before="80"/>
        <w:ind w:left="890" w:hanging="890"/>
      </w:pPr>
      <w:r>
        <w:tab/>
        <w:t>[Section 14 amended: No. 38 of 2004 s. 55; No. 49 of 2016 s. 23; No. 13 of 2022 s. 80 and 81.]</w:t>
      </w:r>
    </w:p>
    <w:p>
      <w:pPr>
        <w:pStyle w:val="Heading5"/>
      </w:pPr>
      <w:bookmarkStart w:id="85" w:name="_Toc185504085"/>
      <w:r>
        <w:rPr>
          <w:rStyle w:val="CharSectno"/>
        </w:rPr>
        <w:t>14A</w:t>
      </w:r>
      <w:r>
        <w:t>.</w:t>
      </w:r>
      <w:r>
        <w:tab/>
        <w:t>Explosives order</w:t>
      </w:r>
      <w:bookmarkEnd w:id="85"/>
      <w:r>
        <w:t xml:space="preserve"> </w:t>
      </w:r>
    </w:p>
    <w:p>
      <w:pPr>
        <w:pStyle w:val="Subsection"/>
        <w:keepNext/>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86" w:name="_Toc185434079"/>
      <w:bookmarkStart w:id="87" w:name="_Toc185434290"/>
      <w:bookmarkStart w:id="88" w:name="_Toc185504086"/>
      <w:r>
        <w:rPr>
          <w:rStyle w:val="CharDivNo"/>
        </w:rPr>
        <w:lastRenderedPageBreak/>
        <w:t>Division 1A</w:t>
      </w:r>
      <w:r>
        <w:t> — </w:t>
      </w:r>
      <w:r>
        <w:rPr>
          <w:rStyle w:val="CharDivText"/>
        </w:rPr>
        <w:t>Duration of orders</w:t>
      </w:r>
      <w:bookmarkEnd w:id="86"/>
      <w:bookmarkEnd w:id="87"/>
      <w:bookmarkEnd w:id="88"/>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89" w:name="_Toc185504087"/>
      <w:r>
        <w:rPr>
          <w:rStyle w:val="CharSectno"/>
        </w:rPr>
        <w:t>16</w:t>
      </w:r>
      <w:r>
        <w:rPr>
          <w:snapToGrid w:val="0"/>
        </w:rPr>
        <w:t>.</w:t>
      </w:r>
      <w:r>
        <w:rPr>
          <w:snapToGrid w:val="0"/>
        </w:rPr>
        <w:tab/>
        <w:t>Duration of FVRO or VRO generally</w:t>
      </w:r>
      <w:bookmarkEnd w:id="89"/>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keepNext/>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keepNext/>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90" w:name="_Toc185504088"/>
      <w:r>
        <w:rPr>
          <w:rStyle w:val="CharSectno"/>
        </w:rPr>
        <w:lastRenderedPageBreak/>
        <w:t>16A</w:t>
      </w:r>
      <w:r>
        <w:t>.</w:t>
      </w:r>
      <w:r>
        <w:tab/>
        <w:t>Duration of FVRO</w:t>
      </w:r>
      <w:bookmarkEnd w:id="90"/>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keepNext/>
      </w:pPr>
      <w:r>
        <w:tab/>
        <w:t>(2)</w:t>
      </w:r>
      <w:r>
        <w:tab/>
        <w:t>Unless varied or cancelled under Part 5, a final order that is an FVRO made against a respondent who is not a prisoner remains in force for — </w:t>
      </w:r>
    </w:p>
    <w:p>
      <w:pPr>
        <w:pStyle w:val="Indenta"/>
        <w:keepNext/>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 xml:space="preserve">in the case of an order made at a final order hearing or under section 10H, or any interim order which becomes </w:t>
      </w:r>
      <w:r>
        <w:lastRenderedPageBreak/>
        <w:t>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keepNext/>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keepNext/>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91" w:name="_Toc185504089"/>
      <w:r>
        <w:rPr>
          <w:rStyle w:val="CharSectno"/>
        </w:rPr>
        <w:t>16B</w:t>
      </w:r>
      <w:r>
        <w:t>.</w:t>
      </w:r>
      <w:r>
        <w:tab/>
        <w:t>Duration of VRO</w:t>
      </w:r>
      <w:bookmarkEnd w:id="91"/>
    </w:p>
    <w:p>
      <w:pPr>
        <w:pStyle w:val="Subsection"/>
        <w:keepNext/>
      </w:pPr>
      <w:r>
        <w:tab/>
      </w:r>
      <w:r>
        <w:tab/>
        <w:t>Unless varied or cancelled under Part 5, a final order that is a VRO remains in force for — </w:t>
      </w:r>
    </w:p>
    <w:p>
      <w:pPr>
        <w:pStyle w:val="Indenta"/>
        <w:keepNext/>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pPr>
      <w:r>
        <w:lastRenderedPageBreak/>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keepNext/>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92" w:name="_Toc185434083"/>
      <w:bookmarkStart w:id="93" w:name="_Toc185434294"/>
      <w:bookmarkStart w:id="94" w:name="_Toc185504090"/>
      <w:r>
        <w:rPr>
          <w:rStyle w:val="CharDivNo"/>
        </w:rPr>
        <w:t>Division 2</w:t>
      </w:r>
      <w:r>
        <w:rPr>
          <w:snapToGrid w:val="0"/>
        </w:rPr>
        <w:t> — </w:t>
      </w:r>
      <w:r>
        <w:rPr>
          <w:rStyle w:val="CharDivText"/>
        </w:rPr>
        <w:t>Telephone applications</w:t>
      </w:r>
      <w:bookmarkEnd w:id="92"/>
      <w:bookmarkEnd w:id="93"/>
      <w:bookmarkEnd w:id="94"/>
      <w:r>
        <w:rPr>
          <w:rStyle w:val="CharDivText"/>
        </w:rPr>
        <w:t xml:space="preserve"> </w:t>
      </w:r>
    </w:p>
    <w:p>
      <w:pPr>
        <w:pStyle w:val="Heading5"/>
        <w:rPr>
          <w:snapToGrid w:val="0"/>
        </w:rPr>
      </w:pPr>
      <w:bookmarkStart w:id="95" w:name="_Toc185504091"/>
      <w:r>
        <w:rPr>
          <w:rStyle w:val="CharSectno"/>
        </w:rPr>
        <w:t>17</w:t>
      </w:r>
      <w:r>
        <w:rPr>
          <w:snapToGrid w:val="0"/>
        </w:rPr>
        <w:t>.</w:t>
      </w:r>
      <w:r>
        <w:rPr>
          <w:snapToGrid w:val="0"/>
        </w:rPr>
        <w:tab/>
        <w:t>Authorised magistrates</w:t>
      </w:r>
      <w:bookmarkEnd w:id="95"/>
      <w:r>
        <w:rPr>
          <w:snapToGrid w:val="0"/>
        </w:rPr>
        <w:t xml:space="preserve"> </w:t>
      </w:r>
    </w:p>
    <w:p>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keepNext/>
      </w:pPr>
      <w:r>
        <w:tab/>
        <w:t>[(2)</w:t>
      </w:r>
      <w:r>
        <w:tab/>
        <w:t>deleted]</w:t>
      </w:r>
    </w:p>
    <w:p>
      <w:pPr>
        <w:pStyle w:val="Footnotesection"/>
        <w:ind w:left="890" w:hanging="890"/>
      </w:pPr>
      <w:r>
        <w:tab/>
        <w:t>[Section 17 amended: No. 59 of 2004 s. 124.]</w:t>
      </w:r>
    </w:p>
    <w:p>
      <w:pPr>
        <w:pStyle w:val="Heading5"/>
      </w:pPr>
      <w:bookmarkStart w:id="96" w:name="_Toc185504092"/>
      <w:r>
        <w:rPr>
          <w:rStyle w:val="CharSectno"/>
        </w:rPr>
        <w:t>18</w:t>
      </w:r>
      <w:r>
        <w:t>.</w:t>
      </w:r>
      <w:r>
        <w:tab/>
        <w:t>Who can apply</w:t>
      </w:r>
      <w:bookmarkEnd w:id="96"/>
    </w:p>
    <w:p>
      <w:pPr>
        <w:pStyle w:val="Subsection"/>
        <w:keepNext/>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lastRenderedPageBreak/>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Next/>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97" w:name="_Toc185504093"/>
      <w:r>
        <w:rPr>
          <w:rStyle w:val="CharSectno"/>
        </w:rPr>
        <w:t>19</w:t>
      </w:r>
      <w:r>
        <w:rPr>
          <w:snapToGrid w:val="0"/>
        </w:rPr>
        <w:t>.</w:t>
      </w:r>
      <w:r>
        <w:rPr>
          <w:snapToGrid w:val="0"/>
        </w:rPr>
        <w:tab/>
        <w:t>How to make telephone application</w:t>
      </w:r>
      <w:bookmarkEnd w:id="97"/>
      <w:r>
        <w:rPr>
          <w:snapToGrid w:val="0"/>
        </w:rPr>
        <w:t xml:space="preserve"> </w:t>
      </w:r>
    </w:p>
    <w:p>
      <w:pPr>
        <w:pStyle w:val="Subsection"/>
        <w:keepNext/>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keepNext/>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98" w:name="_Toc185504094"/>
      <w:r>
        <w:rPr>
          <w:rStyle w:val="CharSectno"/>
        </w:rPr>
        <w:lastRenderedPageBreak/>
        <w:t>20</w:t>
      </w:r>
      <w:r>
        <w:rPr>
          <w:snapToGrid w:val="0"/>
        </w:rPr>
        <w:t>.</w:t>
      </w:r>
      <w:r>
        <w:rPr>
          <w:snapToGrid w:val="0"/>
        </w:rPr>
        <w:tab/>
        <w:t>When telephone application may be heard</w:t>
      </w:r>
      <w:bookmarkEnd w:id="98"/>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keepNext/>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keepNext/>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99" w:name="_Toc185504095"/>
      <w:r>
        <w:rPr>
          <w:rStyle w:val="CharSectno"/>
        </w:rPr>
        <w:t>21</w:t>
      </w:r>
      <w:r>
        <w:rPr>
          <w:snapToGrid w:val="0"/>
        </w:rPr>
        <w:t>.</w:t>
      </w:r>
      <w:r>
        <w:rPr>
          <w:snapToGrid w:val="0"/>
        </w:rPr>
        <w:tab/>
        <w:t>How hearing to be conducted</w:t>
      </w:r>
      <w:bookmarkEnd w:id="99"/>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keepNext/>
        <w:rPr>
          <w:snapToGrid w:val="0"/>
        </w:rPr>
      </w:pPr>
      <w:r>
        <w:rPr>
          <w:snapToGrid w:val="0"/>
        </w:rPr>
        <w:lastRenderedPageBreak/>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keepNext/>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00" w:name="_Toc185504096"/>
      <w:r>
        <w:rPr>
          <w:rStyle w:val="CharSectno"/>
        </w:rPr>
        <w:t>23</w:t>
      </w:r>
      <w:r>
        <w:rPr>
          <w:snapToGrid w:val="0"/>
        </w:rPr>
        <w:t>.</w:t>
      </w:r>
      <w:r>
        <w:rPr>
          <w:snapToGrid w:val="0"/>
        </w:rPr>
        <w:tab/>
        <w:t>Orders at telephone hearing</w:t>
      </w:r>
      <w:bookmarkEnd w:id="100"/>
      <w:r>
        <w:rPr>
          <w:snapToGrid w:val="0"/>
        </w:rPr>
        <w:t xml:space="preserve"> </w:t>
      </w:r>
    </w:p>
    <w:p>
      <w:pPr>
        <w:pStyle w:val="Subsection"/>
        <w:keepNext/>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keepNext/>
        <w:rPr>
          <w:snapToGrid w:val="0"/>
        </w:rPr>
      </w:pPr>
      <w:r>
        <w:rPr>
          <w:snapToGrid w:val="0"/>
        </w:rPr>
        <w:lastRenderedPageBreak/>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101" w:name="_Toc185504097"/>
      <w:r>
        <w:rPr>
          <w:rStyle w:val="CharSectno"/>
        </w:rPr>
        <w:t>24</w:t>
      </w:r>
      <w:r>
        <w:rPr>
          <w:snapToGrid w:val="0"/>
        </w:rPr>
        <w:t>.</w:t>
      </w:r>
      <w:r>
        <w:rPr>
          <w:snapToGrid w:val="0"/>
        </w:rPr>
        <w:tab/>
        <w:t>Telephone order to be prepared and served</w:t>
      </w:r>
      <w:bookmarkEnd w:id="101"/>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keepNext/>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102" w:name="_Toc185434091"/>
      <w:bookmarkStart w:id="103" w:name="_Toc185434302"/>
      <w:bookmarkStart w:id="104" w:name="_Toc185504098"/>
      <w:r>
        <w:rPr>
          <w:rStyle w:val="CharDivNo"/>
        </w:rPr>
        <w:lastRenderedPageBreak/>
        <w:t>Division 3</w:t>
      </w:r>
      <w:r>
        <w:rPr>
          <w:snapToGrid w:val="0"/>
        </w:rPr>
        <w:t> — </w:t>
      </w:r>
      <w:r>
        <w:rPr>
          <w:rStyle w:val="CharDivText"/>
        </w:rPr>
        <w:t>Applications in person to a court</w:t>
      </w:r>
      <w:bookmarkEnd w:id="102"/>
      <w:bookmarkEnd w:id="103"/>
      <w:bookmarkEnd w:id="104"/>
    </w:p>
    <w:p>
      <w:pPr>
        <w:pStyle w:val="Footnoteheading"/>
        <w:keepNext/>
        <w:tabs>
          <w:tab w:val="left" w:pos="851"/>
        </w:tabs>
      </w:pPr>
      <w:r>
        <w:tab/>
        <w:t>[Heading amended: No. 38 of 2004 s. 18(7).]</w:t>
      </w:r>
    </w:p>
    <w:p>
      <w:pPr>
        <w:pStyle w:val="Heading5"/>
      </w:pPr>
      <w:bookmarkStart w:id="105" w:name="_Toc185504099"/>
      <w:r>
        <w:rPr>
          <w:rStyle w:val="CharSectno"/>
        </w:rPr>
        <w:t>24A</w:t>
      </w:r>
      <w:r>
        <w:t>.</w:t>
      </w:r>
      <w:r>
        <w:tab/>
        <w:t>Application for FVRO</w:t>
      </w:r>
      <w:bookmarkEnd w:id="105"/>
    </w:p>
    <w:p>
      <w:pPr>
        <w:pStyle w:val="Subsection"/>
        <w:keepNext/>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keepNext/>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keepNext/>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 xml:space="preserve">if the regulations so provide, an application by a person under subsection (2)(c) will, in circumstances prescribed </w:t>
      </w:r>
      <w:r>
        <w:lastRenderedPageBreak/>
        <w:t>by the regulations, be taken to have been made in the name of an officer or authority prescribed by the regulations.</w:t>
      </w:r>
    </w:p>
    <w:p>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106" w:name="_Toc185504100"/>
      <w:r>
        <w:rPr>
          <w:rStyle w:val="CharSectno"/>
        </w:rPr>
        <w:t>25</w:t>
      </w:r>
      <w:r>
        <w:t>.</w:t>
      </w:r>
      <w:r>
        <w:tab/>
        <w:t>Application for VRO</w:t>
      </w:r>
      <w:bookmarkEnd w:id="106"/>
    </w:p>
    <w:p>
      <w:pPr>
        <w:pStyle w:val="Subsection"/>
        <w:keepNext/>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keepNext/>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keepNext/>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lastRenderedPageBreak/>
        <w:tab/>
        <w:t>(b)</w:t>
      </w:r>
      <w:r>
        <w:tab/>
        <w:t>if the respondent is not a child and the person seeking to be protected is a child, the Children’s Court or the Magistrates Court; or</w:t>
      </w:r>
    </w:p>
    <w:p>
      <w:pPr>
        <w:pStyle w:val="Indenta"/>
        <w:keepNext/>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107" w:name="_Toc185504101"/>
      <w:r>
        <w:rPr>
          <w:rStyle w:val="CharSectno"/>
        </w:rPr>
        <w:t>26</w:t>
      </w:r>
      <w:r>
        <w:rPr>
          <w:snapToGrid w:val="0"/>
        </w:rPr>
        <w:t>.</w:t>
      </w:r>
      <w:r>
        <w:rPr>
          <w:snapToGrid w:val="0"/>
        </w:rPr>
        <w:tab/>
        <w:t>Applicant to choose whether to have hearing in absence of respondent</w:t>
      </w:r>
      <w:bookmarkEnd w:id="107"/>
      <w:r>
        <w:rPr>
          <w:snapToGrid w:val="0"/>
        </w:rPr>
        <w:t xml:space="preserve"> </w:t>
      </w:r>
    </w:p>
    <w:p>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keepNext/>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108" w:name="_Toc185504102"/>
      <w:r>
        <w:rPr>
          <w:rStyle w:val="CharSectno"/>
        </w:rPr>
        <w:t>27</w:t>
      </w:r>
      <w:r>
        <w:rPr>
          <w:snapToGrid w:val="0"/>
        </w:rPr>
        <w:t>.</w:t>
      </w:r>
      <w:r>
        <w:rPr>
          <w:snapToGrid w:val="0"/>
        </w:rPr>
        <w:tab/>
        <w:t>Attendance at hearing in absence of respondent</w:t>
      </w:r>
      <w:bookmarkEnd w:id="108"/>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lastRenderedPageBreak/>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keepNext/>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109" w:name="_Toc185504103"/>
      <w:r>
        <w:rPr>
          <w:rStyle w:val="CharSectno"/>
        </w:rPr>
        <w:t>28</w:t>
      </w:r>
      <w:r>
        <w:rPr>
          <w:snapToGrid w:val="0"/>
        </w:rPr>
        <w:t>.</w:t>
      </w:r>
      <w:r>
        <w:rPr>
          <w:snapToGrid w:val="0"/>
        </w:rPr>
        <w:tab/>
        <w:t>Affidavit evidence</w:t>
      </w:r>
      <w:bookmarkEnd w:id="109"/>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keepNext/>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110" w:name="_Toc185504104"/>
      <w:r>
        <w:rPr>
          <w:rStyle w:val="CharSectno"/>
        </w:rPr>
        <w:t>29</w:t>
      </w:r>
      <w:r>
        <w:rPr>
          <w:snapToGrid w:val="0"/>
        </w:rPr>
        <w:t>.</w:t>
      </w:r>
      <w:r>
        <w:rPr>
          <w:snapToGrid w:val="0"/>
        </w:rPr>
        <w:tab/>
        <w:t>Order at hearing in absence of respondent</w:t>
      </w:r>
      <w:bookmarkEnd w:id="110"/>
      <w:r>
        <w:rPr>
          <w:snapToGrid w:val="0"/>
        </w:rPr>
        <w:t xml:space="preserve"> </w:t>
      </w:r>
    </w:p>
    <w:p>
      <w:pPr>
        <w:pStyle w:val="Subsection"/>
        <w:keepNext/>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keepNext/>
        <w:rPr>
          <w:snapToGrid w:val="0"/>
        </w:rPr>
      </w:pPr>
      <w:r>
        <w:rPr>
          <w:snapToGrid w:val="0"/>
        </w:rPr>
        <w:lastRenderedPageBreak/>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keepNext/>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111" w:name="_Toc185504105"/>
      <w:r>
        <w:rPr>
          <w:rStyle w:val="CharSectno"/>
        </w:rPr>
        <w:t>30</w:t>
      </w:r>
      <w:r>
        <w:rPr>
          <w:snapToGrid w:val="0"/>
        </w:rPr>
        <w:t>.</w:t>
      </w:r>
      <w:r>
        <w:rPr>
          <w:snapToGrid w:val="0"/>
        </w:rPr>
        <w:tab/>
        <w:t>Order to be prepared and served</w:t>
      </w:r>
      <w:bookmarkEnd w:id="111"/>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112" w:name="_Toc185434099"/>
      <w:bookmarkStart w:id="113" w:name="_Toc185434310"/>
      <w:bookmarkStart w:id="114" w:name="_Toc185504106"/>
      <w:r>
        <w:rPr>
          <w:rStyle w:val="CharDivNo"/>
        </w:rPr>
        <w:t>Division 3A</w:t>
      </w:r>
      <w:r>
        <w:t> — </w:t>
      </w:r>
      <w:r>
        <w:rPr>
          <w:rStyle w:val="CharDivText"/>
        </w:rPr>
        <w:t>Police officers may make police orders where family violence</w:t>
      </w:r>
      <w:bookmarkEnd w:id="112"/>
      <w:bookmarkEnd w:id="113"/>
      <w:bookmarkEnd w:id="114"/>
    </w:p>
    <w:p>
      <w:pPr>
        <w:pStyle w:val="Footnoteheading"/>
        <w:keepNext/>
        <w:keepLines/>
        <w:tabs>
          <w:tab w:val="left" w:pos="851"/>
        </w:tabs>
      </w:pPr>
      <w:r>
        <w:tab/>
        <w:t>[Heading inserted: No. 38 of 2004 s. 18(1); amended: No. 49 of 2016 s. 34.]</w:t>
      </w:r>
    </w:p>
    <w:p>
      <w:pPr>
        <w:pStyle w:val="Heading5"/>
        <w:spacing w:before="180"/>
      </w:pPr>
      <w:bookmarkStart w:id="115" w:name="_Toc185504107"/>
      <w:r>
        <w:rPr>
          <w:rStyle w:val="CharSectno"/>
        </w:rPr>
        <w:t>30A</w:t>
      </w:r>
      <w:r>
        <w:t>.</w:t>
      </w:r>
      <w:r>
        <w:tab/>
        <w:t>When police order may be made</w:t>
      </w:r>
      <w:bookmarkEnd w:id="115"/>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Lines/>
      </w:pPr>
      <w:r>
        <w:tab/>
        <w:t>(i)</w:t>
      </w:r>
      <w:r>
        <w:tab/>
        <w:t>a person has committed family violence and is likely again to commit that violence; or</w:t>
      </w:r>
    </w:p>
    <w:p>
      <w:pPr>
        <w:pStyle w:val="Indenti"/>
        <w:keepNext/>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Next/>
        <w:keepLines/>
      </w:pPr>
      <w:r>
        <w:lastRenderedPageBreak/>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keepNext/>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116" w:name="_Toc185504108"/>
      <w:r>
        <w:rPr>
          <w:rStyle w:val="CharSectno"/>
        </w:rPr>
        <w:t>30B</w:t>
      </w:r>
      <w:r>
        <w:t>.</w:t>
      </w:r>
      <w:r>
        <w:tab/>
        <w:t>Matters to be considered by police officer generally</w:t>
      </w:r>
      <w:bookmarkEnd w:id="116"/>
    </w:p>
    <w:p>
      <w:pPr>
        <w:pStyle w:val="Subsection"/>
        <w:keepNext/>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lastRenderedPageBreak/>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117" w:name="_Toc185504109"/>
      <w:r>
        <w:rPr>
          <w:rStyle w:val="CharSectno"/>
        </w:rPr>
        <w:t>30C</w:t>
      </w:r>
      <w:r>
        <w:t>.</w:t>
      </w:r>
      <w:r>
        <w:tab/>
        <w:t>Restraints that may be imposed</w:t>
      </w:r>
      <w:bookmarkEnd w:id="117"/>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keepNext/>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keepNext/>
      </w:pPr>
      <w:r>
        <w:lastRenderedPageBreak/>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118" w:name="_Toc185504110"/>
      <w:r>
        <w:rPr>
          <w:rStyle w:val="CharSectno"/>
        </w:rPr>
        <w:t>30D</w:t>
      </w:r>
      <w:r>
        <w:t>.</w:t>
      </w:r>
      <w:r>
        <w:tab/>
        <w:t>Police orders against children</w:t>
      </w:r>
      <w:bookmarkEnd w:id="118"/>
    </w:p>
    <w:p>
      <w:pPr>
        <w:pStyle w:val="Subsection"/>
      </w:pPr>
      <w:r>
        <w:tab/>
        <w:t>(1)</w:t>
      </w:r>
      <w:r>
        <w:tab/>
        <w:t>A police order cannot impose restraints on a child unless the child is in a family relationship with the person for whose benefit the order is made.</w:t>
      </w:r>
    </w:p>
    <w:p>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119" w:name="_Toc185504111"/>
      <w:r>
        <w:rPr>
          <w:rStyle w:val="CharSectno"/>
        </w:rPr>
        <w:t>30E</w:t>
      </w:r>
      <w:r>
        <w:t>.</w:t>
      </w:r>
      <w:r>
        <w:tab/>
        <w:t>Police order to be served and explained</w:t>
      </w:r>
      <w:bookmarkEnd w:id="119"/>
    </w:p>
    <w:p>
      <w:pPr>
        <w:pStyle w:val="Subsection"/>
      </w:pPr>
      <w:r>
        <w:tab/>
        <w:t>(1)</w:t>
      </w:r>
      <w:r>
        <w:tab/>
        <w:t>Any police officer may serve a police order.</w:t>
      </w:r>
    </w:p>
    <w:p>
      <w:pPr>
        <w:pStyle w:val="Subsection"/>
        <w:keepNext/>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keepNext/>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lastRenderedPageBreak/>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keepNext/>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keepNext/>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120" w:name="_Toc185504112"/>
      <w:r>
        <w:rPr>
          <w:rStyle w:val="CharSectno"/>
        </w:rPr>
        <w:t>30F</w:t>
      </w:r>
      <w:r>
        <w:t>.</w:t>
      </w:r>
      <w:r>
        <w:tab/>
        <w:t>Duration of police orders</w:t>
      </w:r>
      <w:bookmarkEnd w:id="120"/>
    </w:p>
    <w:p>
      <w:pPr>
        <w:pStyle w:val="Subsection"/>
        <w:keepNext/>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keepNext/>
      </w:pPr>
      <w:r>
        <w:tab/>
        <w:t>(2)</w:t>
      </w:r>
      <w:r>
        <w:tab/>
        <w:t xml:space="preserve">A period shorter than 72 hours may be specified in the police order if, in the opinion of the police officer who makes the </w:t>
      </w:r>
      <w:r>
        <w:lastRenderedPageBreak/>
        <w:t>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121" w:name="_Toc185504113"/>
      <w:r>
        <w:rPr>
          <w:rStyle w:val="CharSectno"/>
        </w:rPr>
        <w:t>30H</w:t>
      </w:r>
      <w:r>
        <w:t>.</w:t>
      </w:r>
      <w:r>
        <w:tab/>
        <w:t>Order not to be renewed by police officer</w:t>
      </w:r>
      <w:bookmarkEnd w:id="121"/>
    </w:p>
    <w:p>
      <w:pPr>
        <w:pStyle w:val="Subsection"/>
        <w:keepNext/>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122" w:name="_Toc185504114"/>
      <w:r>
        <w:rPr>
          <w:rStyle w:val="CharSectno"/>
        </w:rPr>
        <w:t>30I</w:t>
      </w:r>
      <w:r>
        <w:t>.</w:t>
      </w:r>
      <w:r>
        <w:tab/>
        <w:t>Review of Division</w:t>
      </w:r>
      <w:bookmarkEnd w:id="122"/>
    </w:p>
    <w:p>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123" w:name="_Toc185434108"/>
      <w:bookmarkStart w:id="124" w:name="_Toc185434319"/>
      <w:bookmarkStart w:id="125" w:name="_Toc185504115"/>
      <w:r>
        <w:rPr>
          <w:rStyle w:val="CharDivNo"/>
        </w:rPr>
        <w:lastRenderedPageBreak/>
        <w:t>Division 4</w:t>
      </w:r>
      <w:r>
        <w:rPr>
          <w:snapToGrid w:val="0"/>
        </w:rPr>
        <w:t> — </w:t>
      </w:r>
      <w:r>
        <w:rPr>
          <w:rStyle w:val="CharDivText"/>
        </w:rPr>
        <w:t>Procedure when interim order made</w:t>
      </w:r>
      <w:bookmarkEnd w:id="123"/>
      <w:bookmarkEnd w:id="124"/>
      <w:bookmarkEnd w:id="125"/>
      <w:r>
        <w:rPr>
          <w:rStyle w:val="CharDivText"/>
        </w:rPr>
        <w:t xml:space="preserve"> </w:t>
      </w:r>
    </w:p>
    <w:p>
      <w:pPr>
        <w:pStyle w:val="Heading5"/>
      </w:pPr>
      <w:bookmarkStart w:id="126" w:name="_Toc185504116"/>
      <w:r>
        <w:rPr>
          <w:rStyle w:val="CharSectno"/>
        </w:rPr>
        <w:t>31A</w:t>
      </w:r>
      <w:r>
        <w:t>.</w:t>
      </w:r>
      <w:r>
        <w:tab/>
        <w:t>Term used: respondent</w:t>
      </w:r>
      <w:bookmarkEnd w:id="126"/>
    </w:p>
    <w:p>
      <w:pPr>
        <w:pStyle w:val="Subsection"/>
        <w:keepNext/>
      </w:pPr>
      <w:r>
        <w:tab/>
      </w:r>
      <w:r>
        <w:tab/>
        <w:t>In this Division —</w:t>
      </w:r>
    </w:p>
    <w:p>
      <w:pPr>
        <w:pStyle w:val="Defstart"/>
        <w:keepNex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127" w:name="_Toc185504117"/>
      <w:r>
        <w:rPr>
          <w:rStyle w:val="CharSectno"/>
        </w:rPr>
        <w:t>31</w:t>
      </w:r>
      <w:r>
        <w:rPr>
          <w:snapToGrid w:val="0"/>
        </w:rPr>
        <w:t>.</w:t>
      </w:r>
      <w:r>
        <w:rPr>
          <w:snapToGrid w:val="0"/>
        </w:rPr>
        <w:tab/>
        <w:t>21 days for respondent to object</w:t>
      </w:r>
      <w:bookmarkEnd w:id="127"/>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128" w:name="_Toc185504118"/>
      <w:r>
        <w:rPr>
          <w:rStyle w:val="CharSectno"/>
        </w:rPr>
        <w:t>32</w:t>
      </w:r>
      <w:r>
        <w:rPr>
          <w:snapToGrid w:val="0"/>
        </w:rPr>
        <w:t>.</w:t>
      </w:r>
      <w:r>
        <w:rPr>
          <w:snapToGrid w:val="0"/>
        </w:rPr>
        <w:tab/>
        <w:t>Respondent does not object to final order being made</w:t>
      </w:r>
      <w:bookmarkEnd w:id="128"/>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keepNext/>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lastRenderedPageBreak/>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keepNext/>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lastRenderedPageBreak/>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keepNext/>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keepNext/>
      </w:pPr>
      <w:r>
        <w:tab/>
        <w:t>(ii)</w:t>
      </w:r>
      <w:r>
        <w:tab/>
        <w:t>indicated on it that the respondent objected to the interim order becoming final.</w:t>
      </w:r>
    </w:p>
    <w:p>
      <w:pPr>
        <w:pStyle w:val="Footnotesection"/>
        <w:keepNext/>
      </w:pPr>
      <w:r>
        <w:tab/>
        <w:t xml:space="preserve">[Section 32 amended: No. 59 of 2004 s. 123; No. 32 of 2011 s. 12.] </w:t>
      </w:r>
    </w:p>
    <w:p>
      <w:pPr>
        <w:pStyle w:val="Heading5"/>
        <w:rPr>
          <w:snapToGrid w:val="0"/>
        </w:rPr>
      </w:pPr>
      <w:bookmarkStart w:id="129" w:name="_Toc185504119"/>
      <w:r>
        <w:rPr>
          <w:rStyle w:val="CharSectno"/>
        </w:rPr>
        <w:t>33</w:t>
      </w:r>
      <w:r>
        <w:rPr>
          <w:snapToGrid w:val="0"/>
        </w:rPr>
        <w:t>.</w:t>
      </w:r>
      <w:r>
        <w:rPr>
          <w:snapToGrid w:val="0"/>
        </w:rPr>
        <w:tab/>
        <w:t>Respondent objects to final order being made</w:t>
      </w:r>
      <w:bookmarkEnd w:id="129"/>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keepNext/>
        <w:rPr>
          <w:snapToGrid w:val="0"/>
        </w:rPr>
      </w:pPr>
      <w:r>
        <w:rPr>
          <w:snapToGrid w:val="0"/>
        </w:rPr>
        <w:lastRenderedPageBreak/>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keepNext/>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pPr>
        <w:pStyle w:val="Indenta"/>
        <w:keepNext/>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keepNext/>
      </w:pPr>
      <w:r>
        <w:tab/>
        <w:t>(3)</w:t>
      </w:r>
      <w:r>
        <w:tab/>
        <w:t>Subsections (1) and (2) apply subject to the referral of the matter to a conference under Part 5A.</w:t>
      </w:r>
    </w:p>
    <w:p>
      <w:pPr>
        <w:pStyle w:val="Footnotesection"/>
      </w:pPr>
      <w:r>
        <w:tab/>
        <w:t xml:space="preserve">[Section 33 amended: No. 59 of 2004 s. 123; No. 30 of 2020 s. 63; No. 13 of 2022 s. 80.] </w:t>
      </w:r>
    </w:p>
    <w:p>
      <w:pPr>
        <w:pStyle w:val="Heading2"/>
      </w:pPr>
      <w:bookmarkStart w:id="130" w:name="_Toc185434113"/>
      <w:bookmarkStart w:id="131" w:name="_Toc185434324"/>
      <w:bookmarkStart w:id="132" w:name="_Toc185504120"/>
      <w:r>
        <w:rPr>
          <w:rStyle w:val="CharPartNo"/>
        </w:rPr>
        <w:lastRenderedPageBreak/>
        <w:t>Part 3</w:t>
      </w:r>
      <w:r>
        <w:rPr>
          <w:rStyle w:val="CharDivNo"/>
        </w:rPr>
        <w:t> </w:t>
      </w:r>
      <w:r>
        <w:t>—</w:t>
      </w:r>
      <w:r>
        <w:rPr>
          <w:rStyle w:val="CharDivText"/>
        </w:rPr>
        <w:t> </w:t>
      </w:r>
      <w:r>
        <w:rPr>
          <w:rStyle w:val="CharPartText"/>
        </w:rPr>
        <w:t>Misconduct restraining order</w:t>
      </w:r>
      <w:bookmarkEnd w:id="130"/>
      <w:bookmarkEnd w:id="131"/>
      <w:bookmarkEnd w:id="132"/>
      <w:r>
        <w:rPr>
          <w:rStyle w:val="CharPartText"/>
        </w:rPr>
        <w:t xml:space="preserve"> </w:t>
      </w:r>
    </w:p>
    <w:p>
      <w:pPr>
        <w:pStyle w:val="Heading5"/>
        <w:rPr>
          <w:snapToGrid w:val="0"/>
        </w:rPr>
      </w:pPr>
      <w:bookmarkStart w:id="133" w:name="_Toc185504121"/>
      <w:r>
        <w:rPr>
          <w:rStyle w:val="CharSectno"/>
        </w:rPr>
        <w:t>34</w:t>
      </w:r>
      <w:r>
        <w:rPr>
          <w:snapToGrid w:val="0"/>
        </w:rPr>
        <w:t>.</w:t>
      </w:r>
      <w:r>
        <w:rPr>
          <w:snapToGrid w:val="0"/>
        </w:rPr>
        <w:tab/>
        <w:t>Grounds for misconduct restraining order</w:t>
      </w:r>
      <w:bookmarkEnd w:id="133"/>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w:t>
      </w:r>
      <w:r>
        <w:t xml:space="preserve">peace; or </w:t>
      </w:r>
    </w:p>
    <w:p>
      <w:pPr>
        <w:pStyle w:val="Indenti"/>
      </w:pPr>
      <w:r>
        <w:tab/>
        <w:t>(iv)</w:t>
      </w:r>
      <w:r>
        <w:tab/>
        <w:t xml:space="preserve">commit an offence under </w:t>
      </w:r>
      <w:r>
        <w:rPr>
          <w:i/>
        </w:rPr>
        <w:t xml:space="preserve">The Criminal Code </w:t>
      </w:r>
      <w:r>
        <w:t>section 70A(2A);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 No. 5 of 2023 s. 13.]</w:t>
      </w:r>
    </w:p>
    <w:p>
      <w:pPr>
        <w:pStyle w:val="Heading5"/>
        <w:rPr>
          <w:snapToGrid w:val="0"/>
        </w:rPr>
      </w:pPr>
      <w:bookmarkStart w:id="134" w:name="_Toc185504122"/>
      <w:r>
        <w:rPr>
          <w:rStyle w:val="CharSectno"/>
        </w:rPr>
        <w:t>35</w:t>
      </w:r>
      <w:r>
        <w:rPr>
          <w:snapToGrid w:val="0"/>
        </w:rPr>
        <w:t>.</w:t>
      </w:r>
      <w:r>
        <w:rPr>
          <w:snapToGrid w:val="0"/>
        </w:rPr>
        <w:tab/>
        <w:t>Matters to be considered by court generally</w:t>
      </w:r>
      <w:bookmarkEnd w:id="134"/>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lastRenderedPageBreak/>
        <w:tab/>
        <w:t>(h)</w:t>
      </w:r>
      <w:r>
        <w:rPr>
          <w:snapToGrid w:val="0"/>
        </w:rPr>
        <w:tab/>
        <w:t>other matters the court considers relevant.</w:t>
      </w:r>
    </w:p>
    <w:p>
      <w:pPr>
        <w:pStyle w:val="Subsection"/>
      </w:pPr>
      <w:r>
        <w:tab/>
        <w:t>(2A)</w:t>
      </w:r>
      <w:r>
        <w:tab/>
        <w:t>When considering whether to make an MRO for reasons referred to in section 34(a)(iv) and the terms of the order, a court is to have regard to — </w:t>
      </w:r>
    </w:p>
    <w:p>
      <w:pPr>
        <w:pStyle w:val="Indenta"/>
      </w:pPr>
      <w:r>
        <w:tab/>
        <w:t>(a)</w:t>
      </w:r>
      <w:r>
        <w:tab/>
        <w:t>the need to ensure that the following persons are protected from the effects of an offence under</w:t>
      </w:r>
      <w:r>
        <w:rPr>
          <w:i/>
        </w:rPr>
        <w:t xml:space="preserve"> The Criminal Code </w:t>
      </w:r>
      <w:r>
        <w:t xml:space="preserve">section 70A(2A) — </w:t>
      </w:r>
    </w:p>
    <w:p>
      <w:pPr>
        <w:pStyle w:val="Indenti"/>
      </w:pPr>
      <w:r>
        <w:tab/>
        <w:t>(i)</w:t>
      </w:r>
      <w:r>
        <w:tab/>
        <w:t xml:space="preserve">a person engaged in animal source food production, as defined in </w:t>
      </w:r>
      <w:r>
        <w:rPr>
          <w:i/>
        </w:rPr>
        <w:t xml:space="preserve">The Criminal Code </w:t>
      </w:r>
      <w:r>
        <w:t>section 70A(1);</w:t>
      </w:r>
    </w:p>
    <w:p>
      <w:pPr>
        <w:pStyle w:val="Indenti"/>
      </w:pPr>
      <w:r>
        <w:tab/>
        <w:t>(ii)</w:t>
      </w:r>
      <w:r>
        <w:tab/>
        <w:t xml:space="preserve">a family member, as defined in </w:t>
      </w:r>
      <w:r>
        <w:rPr>
          <w:i/>
        </w:rPr>
        <w:t xml:space="preserve">The Criminal Code </w:t>
      </w:r>
      <w:r>
        <w:t>section 70A(1), of a person referred to in subparagraph (i);</w:t>
      </w:r>
    </w:p>
    <w:p>
      <w:pPr>
        <w:pStyle w:val="Indenta"/>
      </w:pPr>
      <w:r>
        <w:tab/>
      </w:r>
      <w:r>
        <w:tab/>
        <w:t>and</w:t>
      </w:r>
    </w:p>
    <w:p>
      <w:pPr>
        <w:pStyle w:val="Indenta"/>
      </w:pPr>
      <w:r>
        <w:tab/>
        <w:t>(b)</w:t>
      </w:r>
      <w:r>
        <w:tab/>
        <w:t>the wellbeing of children who are likely to be affected by the respondent’s behaviour or the operation of the proposed order; and</w:t>
      </w:r>
    </w:p>
    <w:p>
      <w:pPr>
        <w:pStyle w:val="Indenta"/>
      </w:pPr>
      <w:r>
        <w:tab/>
        <w:t>(c)</w:t>
      </w:r>
      <w:r>
        <w:tab/>
        <w:t>the accommodation needs of the respondent; and</w:t>
      </w:r>
    </w:p>
    <w:p>
      <w:pPr>
        <w:pStyle w:val="Indenta"/>
      </w:pPr>
      <w:r>
        <w:tab/>
        <w:t>(d)</w:t>
      </w:r>
      <w:r>
        <w:tab/>
        <w:t>hardship that may be caused to the respondent if the order is made; and</w:t>
      </w:r>
    </w:p>
    <w:p>
      <w:pPr>
        <w:pStyle w:val="Indenta"/>
      </w:pPr>
      <w:r>
        <w:tab/>
        <w:t>(e)</w:t>
      </w:r>
      <w:r>
        <w:tab/>
        <w:t>any criminal convictions of the respondent; and</w:t>
      </w:r>
    </w:p>
    <w:p>
      <w:pPr>
        <w:pStyle w:val="Indenta"/>
      </w:pPr>
      <w:r>
        <w:tab/>
        <w:t>(f)</w:t>
      </w:r>
      <w:r>
        <w:tab/>
        <w:t xml:space="preserve">other current legal proceedings involving the respondent; and </w:t>
      </w:r>
    </w:p>
    <w:p>
      <w:pPr>
        <w:pStyle w:val="Indenta"/>
      </w:pPr>
      <w:r>
        <w:tab/>
        <w:t>(g)</w:t>
      </w:r>
      <w:r>
        <w:tab/>
        <w:t>other matters the court considers relevant.</w:t>
      </w:r>
    </w:p>
    <w:p>
      <w:pPr>
        <w:pStyle w:val="Subsection"/>
        <w:spacing w:before="100"/>
        <w:rPr>
          <w:snapToGrid w:val="0"/>
        </w:rPr>
      </w:pPr>
      <w:r>
        <w:rPr>
          <w:snapToGrid w:val="0"/>
        </w:rPr>
        <w:tab/>
        <w:t>(3)</w:t>
      </w:r>
      <w:r>
        <w:rPr>
          <w:snapToGrid w:val="0"/>
        </w:rPr>
        <w:tab/>
        <w:t xml:space="preserve">A court is to have regard to the matters set out in </w:t>
      </w:r>
      <w:r>
        <w:t xml:space="preserve">subsections (1)(a) and </w:t>
      </w:r>
      <w:r>
        <w:rPr>
          <w:snapToGrid w:val="0"/>
        </w:rPr>
        <w:t>(b)</w:t>
      </w:r>
      <w:r>
        <w:t xml:space="preserve">, </w:t>
      </w:r>
      <w:r>
        <w:rPr>
          <w:snapToGrid w:val="0"/>
        </w:rPr>
        <w:t>(2)(a) and (b) and (</w:t>
      </w:r>
      <w:r>
        <w:t xml:space="preserve">2A)(a) and (b) </w:t>
      </w:r>
      <w:r>
        <w:rPr>
          <w:snapToGrid w:val="0"/>
        </w:rPr>
        <w:t>as being of primary importance.</w:t>
      </w:r>
    </w:p>
    <w:p>
      <w:pPr>
        <w:pStyle w:val="Footnotesection"/>
        <w:ind w:left="890" w:hanging="890"/>
      </w:pPr>
      <w:r>
        <w:tab/>
        <w:t>[Section 35 amended: No. 38 of 2004 s. 19, 54, 55, 56 and 57(5); No. 49 of 2016 s. 41; No. 5 of 2023 s. 14.]</w:t>
      </w:r>
    </w:p>
    <w:p>
      <w:pPr>
        <w:pStyle w:val="Heading5"/>
      </w:pPr>
      <w:bookmarkStart w:id="135" w:name="_Toc185504123"/>
      <w:r>
        <w:rPr>
          <w:rStyle w:val="CharSectno"/>
        </w:rPr>
        <w:lastRenderedPageBreak/>
        <w:t>35A</w:t>
      </w:r>
      <w:r>
        <w:t>.</w:t>
      </w:r>
      <w:r>
        <w:tab/>
        <w:t>MROs not for persons in family relationship</w:t>
      </w:r>
      <w:bookmarkEnd w:id="135"/>
    </w:p>
    <w:p>
      <w:pPr>
        <w:pStyle w:val="Subsection"/>
        <w:keepNext/>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136" w:name="_Toc185504124"/>
      <w:r>
        <w:rPr>
          <w:rStyle w:val="CharSectno"/>
        </w:rPr>
        <w:t>36</w:t>
      </w:r>
      <w:r>
        <w:rPr>
          <w:snapToGrid w:val="0"/>
        </w:rPr>
        <w:t>.</w:t>
      </w:r>
      <w:r>
        <w:rPr>
          <w:snapToGrid w:val="0"/>
        </w:rPr>
        <w:tab/>
        <w:t>Restraints on respondent</w:t>
      </w:r>
      <w:bookmarkEnd w:id="136"/>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 xml:space="preserve">behaving in a manner that is, or is likely to lead to, a breach of the </w:t>
      </w:r>
      <w:r>
        <w:t>peace; or</w:t>
      </w:r>
    </w:p>
    <w:p>
      <w:pPr>
        <w:pStyle w:val="Indenta"/>
      </w:pPr>
      <w:r>
        <w:tab/>
        <w:t>(d)</w:t>
      </w:r>
      <w:r>
        <w:tab/>
        <w:t xml:space="preserve">committing an offence under </w:t>
      </w:r>
      <w:r>
        <w:rPr>
          <w:i/>
        </w:rPr>
        <w:t xml:space="preserve">The Criminal Code </w:t>
      </w:r>
      <w:r>
        <w:t>section 70A(2A).</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lastRenderedPageBreak/>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 xml:space="preserve">Without limiting the restraints that may be imposed for the purposes of </w:t>
      </w:r>
      <w:r>
        <w:t xml:space="preserve">subsection (1)(c) or (d), </w:t>
      </w:r>
      <w:r>
        <w:rPr>
          <w:snapToGrid w:val="0"/>
        </w:rPr>
        <w:t>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 xml:space="preserve">MRO </w:t>
      </w:r>
      <w:r>
        <w:lastRenderedPageBreak/>
        <w:t>were a VRO (as those sections apply in relation to firearm items and firearms authorisations).</w:t>
      </w:r>
    </w:p>
    <w:p>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 No. 13 of 2022 s. 80 and 81; No. 5 of 2023 s. 15.]</w:t>
      </w:r>
    </w:p>
    <w:p>
      <w:pPr>
        <w:pStyle w:val="Heading5"/>
        <w:rPr>
          <w:snapToGrid w:val="0"/>
        </w:rPr>
      </w:pPr>
      <w:bookmarkStart w:id="137" w:name="_Toc185504125"/>
      <w:r>
        <w:rPr>
          <w:rStyle w:val="CharSectno"/>
        </w:rPr>
        <w:t>37</w:t>
      </w:r>
      <w:r>
        <w:rPr>
          <w:snapToGrid w:val="0"/>
        </w:rPr>
        <w:t>.</w:t>
      </w:r>
      <w:r>
        <w:rPr>
          <w:snapToGrid w:val="0"/>
        </w:rPr>
        <w:tab/>
        <w:t>Duration of MRO</w:t>
      </w:r>
      <w:bookmarkEnd w:id="137"/>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138" w:name="_Toc185504126"/>
      <w:r>
        <w:rPr>
          <w:rStyle w:val="CharSectno"/>
        </w:rPr>
        <w:t>38</w:t>
      </w:r>
      <w:r>
        <w:t>.</w:t>
      </w:r>
      <w:r>
        <w:tab/>
        <w:t>Application for MRO</w:t>
      </w:r>
      <w:bookmarkEnd w:id="138"/>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lastRenderedPageBreak/>
        <w:tab/>
        <w:t>(3)</w:t>
      </w:r>
      <w:r>
        <w:tab/>
        <w:t>If there is no particular person seeking to be protected an application for an MRO may be made by a police officer on behalf of the public generally.</w:t>
      </w:r>
    </w:p>
    <w:p>
      <w:pPr>
        <w:pStyle w:val="Subsection"/>
        <w:keepNext/>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139" w:name="_Toc185504127"/>
      <w:r>
        <w:rPr>
          <w:rStyle w:val="CharSectno"/>
        </w:rPr>
        <w:t>39</w:t>
      </w:r>
      <w:r>
        <w:rPr>
          <w:snapToGrid w:val="0"/>
        </w:rPr>
        <w:t>.</w:t>
      </w:r>
      <w:r>
        <w:rPr>
          <w:snapToGrid w:val="0"/>
        </w:rPr>
        <w:tab/>
      </w:r>
      <w:r>
        <w:t xml:space="preserve">Registrar </w:t>
      </w:r>
      <w:r>
        <w:rPr>
          <w:snapToGrid w:val="0"/>
        </w:rPr>
        <w:t>to fix hearing and issue summons</w:t>
      </w:r>
      <w:bookmarkEnd w:id="139"/>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140" w:name="_Toc185434121"/>
      <w:bookmarkStart w:id="141" w:name="_Toc185434332"/>
      <w:bookmarkStart w:id="142" w:name="_Toc185504128"/>
      <w:r>
        <w:rPr>
          <w:rStyle w:val="CharPartNo"/>
        </w:rPr>
        <w:lastRenderedPageBreak/>
        <w:t>Part 4</w:t>
      </w:r>
      <w:r>
        <w:t> — </w:t>
      </w:r>
      <w:r>
        <w:rPr>
          <w:rStyle w:val="CharPartText"/>
        </w:rPr>
        <w:t>Hearings and evidence</w:t>
      </w:r>
      <w:bookmarkEnd w:id="140"/>
      <w:bookmarkEnd w:id="141"/>
      <w:bookmarkEnd w:id="142"/>
    </w:p>
    <w:p>
      <w:pPr>
        <w:pStyle w:val="Footnoteheading"/>
        <w:tabs>
          <w:tab w:val="left" w:pos="851"/>
        </w:tabs>
      </w:pPr>
      <w:r>
        <w:tab/>
        <w:t>[Heading amended: No. 38 of 2004 s. 22.]</w:t>
      </w:r>
    </w:p>
    <w:p>
      <w:pPr>
        <w:pStyle w:val="Heading3"/>
        <w:rPr>
          <w:snapToGrid w:val="0"/>
        </w:rPr>
      </w:pPr>
      <w:bookmarkStart w:id="143" w:name="_Toc185434122"/>
      <w:bookmarkStart w:id="144" w:name="_Toc185434333"/>
      <w:bookmarkStart w:id="145" w:name="_Toc185504129"/>
      <w:r>
        <w:rPr>
          <w:rStyle w:val="CharDivNo"/>
        </w:rPr>
        <w:t>Division 1</w:t>
      </w:r>
      <w:r>
        <w:rPr>
          <w:snapToGrid w:val="0"/>
        </w:rPr>
        <w:t> — </w:t>
      </w:r>
      <w:r>
        <w:rPr>
          <w:rStyle w:val="CharDivText"/>
        </w:rPr>
        <w:t>Mention hearings</w:t>
      </w:r>
      <w:bookmarkEnd w:id="143"/>
      <w:bookmarkEnd w:id="144"/>
      <w:bookmarkEnd w:id="145"/>
      <w:r>
        <w:rPr>
          <w:rStyle w:val="CharDivText"/>
        </w:rPr>
        <w:t xml:space="preserve"> </w:t>
      </w:r>
    </w:p>
    <w:p>
      <w:pPr>
        <w:pStyle w:val="Heading5"/>
        <w:spacing w:before="200"/>
        <w:rPr>
          <w:snapToGrid w:val="0"/>
        </w:rPr>
      </w:pPr>
      <w:bookmarkStart w:id="146" w:name="_Toc185504130"/>
      <w:r>
        <w:rPr>
          <w:rStyle w:val="CharSectno"/>
        </w:rPr>
        <w:t>40</w:t>
      </w:r>
      <w:r>
        <w:rPr>
          <w:snapToGrid w:val="0"/>
        </w:rPr>
        <w:t>.</w:t>
      </w:r>
      <w:r>
        <w:rPr>
          <w:snapToGrid w:val="0"/>
        </w:rPr>
        <w:tab/>
        <w:t>Attendance at hearing</w:t>
      </w:r>
      <w:bookmarkEnd w:id="146"/>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147" w:name="_Toc185504131"/>
      <w:r>
        <w:rPr>
          <w:rStyle w:val="CharSectno"/>
        </w:rPr>
        <w:t>41</w:t>
      </w:r>
      <w:r>
        <w:rPr>
          <w:snapToGrid w:val="0"/>
        </w:rPr>
        <w:t>.</w:t>
      </w:r>
      <w:r>
        <w:rPr>
          <w:snapToGrid w:val="0"/>
        </w:rPr>
        <w:tab/>
        <w:t>Consent order or final order hearing to be fixed</w:t>
      </w:r>
      <w:bookmarkEnd w:id="147"/>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w:t>
      </w:r>
      <w:r>
        <w:rPr>
          <w:snapToGrid w:val="0"/>
        </w:rPr>
        <w:lastRenderedPageBreak/>
        <w:t>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148" w:name="_Toc185434125"/>
      <w:bookmarkStart w:id="149" w:name="_Toc185434336"/>
      <w:bookmarkStart w:id="150" w:name="_Toc185504132"/>
      <w:r>
        <w:rPr>
          <w:rStyle w:val="CharDivNo"/>
        </w:rPr>
        <w:t>Division 2</w:t>
      </w:r>
      <w:r>
        <w:rPr>
          <w:snapToGrid w:val="0"/>
        </w:rPr>
        <w:t> — </w:t>
      </w:r>
      <w:r>
        <w:rPr>
          <w:rStyle w:val="CharDivText"/>
        </w:rPr>
        <w:t>Final order hearings</w:t>
      </w:r>
      <w:bookmarkEnd w:id="148"/>
      <w:bookmarkEnd w:id="149"/>
      <w:bookmarkEnd w:id="150"/>
      <w:r>
        <w:rPr>
          <w:rStyle w:val="CharDivText"/>
        </w:rPr>
        <w:t xml:space="preserve"> </w:t>
      </w:r>
    </w:p>
    <w:p>
      <w:pPr>
        <w:pStyle w:val="Heading5"/>
        <w:rPr>
          <w:snapToGrid w:val="0"/>
        </w:rPr>
      </w:pPr>
      <w:bookmarkStart w:id="151" w:name="_Toc185504133"/>
      <w:r>
        <w:rPr>
          <w:rStyle w:val="CharSectno"/>
        </w:rPr>
        <w:t>42</w:t>
      </w:r>
      <w:r>
        <w:rPr>
          <w:snapToGrid w:val="0"/>
        </w:rPr>
        <w:t>.</w:t>
      </w:r>
      <w:r>
        <w:rPr>
          <w:snapToGrid w:val="0"/>
        </w:rPr>
        <w:tab/>
        <w:t>Attendance at final order hearing</w:t>
      </w:r>
      <w:bookmarkEnd w:id="15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lastRenderedPageBreak/>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152" w:name="_Toc185504134"/>
      <w:r>
        <w:rPr>
          <w:rStyle w:val="CharSectno"/>
        </w:rPr>
        <w:t>43</w:t>
      </w:r>
      <w:r>
        <w:rPr>
          <w:snapToGrid w:val="0"/>
        </w:rPr>
        <w:t>.</w:t>
      </w:r>
      <w:r>
        <w:rPr>
          <w:snapToGrid w:val="0"/>
        </w:rPr>
        <w:tab/>
        <w:t>Making final order</w:t>
      </w:r>
      <w:bookmarkEnd w:id="152"/>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lastRenderedPageBreak/>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153" w:name="_Toc185504135"/>
      <w:r>
        <w:rPr>
          <w:rStyle w:val="CharSectno"/>
        </w:rPr>
        <w:t>43A</w:t>
      </w:r>
      <w:r>
        <w:t>.</w:t>
      </w:r>
      <w:r>
        <w:tab/>
        <w:t>Decision under s. 42 in default of appearance may be set aside</w:t>
      </w:r>
      <w:bookmarkEnd w:id="153"/>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lastRenderedPageBreak/>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w:t>
      </w:r>
      <w:r>
        <w:rPr>
          <w:snapToGrid w:val="0"/>
        </w:rPr>
        <w:lastRenderedPageBreak/>
        <w:t xml:space="preserve">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154" w:name="_Toc185504136"/>
      <w:r>
        <w:rPr>
          <w:rStyle w:val="CharSectno"/>
        </w:rPr>
        <w:t>44</w:t>
      </w:r>
      <w:r>
        <w:rPr>
          <w:snapToGrid w:val="0"/>
        </w:rPr>
        <w:t>.</w:t>
      </w:r>
      <w:r>
        <w:rPr>
          <w:snapToGrid w:val="0"/>
        </w:rPr>
        <w:tab/>
        <w:t>Order to be prepared and served</w:t>
      </w:r>
      <w:bookmarkEnd w:id="154"/>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155" w:name="_Toc185434130"/>
      <w:bookmarkStart w:id="156" w:name="_Toc185434341"/>
      <w:bookmarkStart w:id="157" w:name="_Toc185504137"/>
      <w:r>
        <w:rPr>
          <w:rStyle w:val="CharDivNo"/>
        </w:rPr>
        <w:lastRenderedPageBreak/>
        <w:t>Division 3</w:t>
      </w:r>
      <w:r>
        <w:t> — </w:t>
      </w:r>
      <w:r>
        <w:rPr>
          <w:rStyle w:val="CharDivText"/>
        </w:rPr>
        <w:t>Evidence</w:t>
      </w:r>
      <w:bookmarkEnd w:id="155"/>
      <w:bookmarkEnd w:id="156"/>
      <w:bookmarkEnd w:id="157"/>
    </w:p>
    <w:p>
      <w:pPr>
        <w:pStyle w:val="Footnoteheading"/>
        <w:keepNext/>
        <w:keepLines/>
        <w:tabs>
          <w:tab w:val="left" w:pos="851"/>
        </w:tabs>
      </w:pPr>
      <w:r>
        <w:tab/>
        <w:t>[Heading inserted: No. 38 of 2004 s. 26.]</w:t>
      </w:r>
    </w:p>
    <w:p>
      <w:pPr>
        <w:pStyle w:val="Heading5"/>
      </w:pPr>
      <w:bookmarkStart w:id="158" w:name="_Toc185504138"/>
      <w:r>
        <w:rPr>
          <w:rStyle w:val="CharSectno"/>
        </w:rPr>
        <w:t>44A</w:t>
      </w:r>
      <w:r>
        <w:t>.</w:t>
      </w:r>
      <w:r>
        <w:tab/>
        <w:t>Rules of evidence not to apply in certain circumstances</w:t>
      </w:r>
      <w:bookmarkEnd w:id="158"/>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159" w:name="_Toc185504139"/>
      <w:r>
        <w:rPr>
          <w:rStyle w:val="CharSectno"/>
        </w:rPr>
        <w:lastRenderedPageBreak/>
        <w:t>44B</w:t>
      </w:r>
      <w:r>
        <w:t>.</w:t>
      </w:r>
      <w:r>
        <w:tab/>
        <w:t>Access to affidavit evidence</w:t>
      </w:r>
      <w:bookmarkEnd w:id="159"/>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160" w:name="_Toc185504140"/>
      <w:r>
        <w:rPr>
          <w:rStyle w:val="CharSectno"/>
        </w:rPr>
        <w:t>44C</w:t>
      </w:r>
      <w:r>
        <w:t>.</w:t>
      </w:r>
      <w:r>
        <w:tab/>
        <w:t>Cross</w:t>
      </w:r>
      <w:r>
        <w:noBreakHyphen/>
        <w:t>examination of certain persons</w:t>
      </w:r>
      <w:bookmarkEnd w:id="160"/>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lastRenderedPageBreak/>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161" w:name="_Toc185434134"/>
      <w:bookmarkStart w:id="162" w:name="_Toc185434345"/>
      <w:bookmarkStart w:id="163" w:name="_Toc185504141"/>
      <w:r>
        <w:rPr>
          <w:rStyle w:val="CharDivNo"/>
        </w:rPr>
        <w:t>Division 4</w:t>
      </w:r>
      <w:r>
        <w:t> — </w:t>
      </w:r>
      <w:r>
        <w:rPr>
          <w:rStyle w:val="CharDivText"/>
        </w:rPr>
        <w:t>Other provisions to protect applicants</w:t>
      </w:r>
      <w:bookmarkEnd w:id="161"/>
      <w:bookmarkEnd w:id="162"/>
      <w:bookmarkEnd w:id="163"/>
    </w:p>
    <w:p>
      <w:pPr>
        <w:pStyle w:val="Footnoteheading"/>
        <w:keepNext/>
        <w:keepLines/>
        <w:tabs>
          <w:tab w:val="left" w:pos="851"/>
        </w:tabs>
      </w:pPr>
      <w:r>
        <w:tab/>
        <w:t>[Heading inserted: No. 30 of 2020 s. 67.]</w:t>
      </w:r>
    </w:p>
    <w:p>
      <w:pPr>
        <w:pStyle w:val="Heading5"/>
      </w:pPr>
      <w:bookmarkStart w:id="164" w:name="_Toc185504142"/>
      <w:r>
        <w:rPr>
          <w:rStyle w:val="CharSectno"/>
        </w:rPr>
        <w:t>44D</w:t>
      </w:r>
      <w:r>
        <w:t>.</w:t>
      </w:r>
      <w:r>
        <w:tab/>
        <w:t>Support and other persons who may be present</w:t>
      </w:r>
      <w:bookmarkEnd w:id="164"/>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165" w:name="_Toc185504143"/>
      <w:r>
        <w:rPr>
          <w:rStyle w:val="CharSectno"/>
        </w:rPr>
        <w:t>44E</w:t>
      </w:r>
      <w:r>
        <w:t>.</w:t>
      </w:r>
      <w:r>
        <w:tab/>
        <w:t>Use of closed circuit television or screening arrangements</w:t>
      </w:r>
      <w:bookmarkEnd w:id="165"/>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lastRenderedPageBreak/>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 xml:space="preserve">Criminal Law (Mental Impairment) Act 2023 </w:t>
      </w:r>
      <w:r>
        <w:t>section 9(1))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lastRenderedPageBreak/>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 amended: No. 10 of 2023 s. 399.]</w:t>
      </w:r>
    </w:p>
    <w:p>
      <w:pPr>
        <w:pStyle w:val="Heading5"/>
      </w:pPr>
      <w:bookmarkStart w:id="166" w:name="_Toc185504144"/>
      <w:r>
        <w:rPr>
          <w:rStyle w:val="CharSectno"/>
        </w:rPr>
        <w:t>44F</w:t>
      </w:r>
      <w:r>
        <w:t>.</w:t>
      </w:r>
      <w:r>
        <w:tab/>
        <w:t>Additional provisions relating to FVROs</w:t>
      </w:r>
      <w:bookmarkEnd w:id="166"/>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167" w:name="_Toc185434138"/>
      <w:bookmarkStart w:id="168" w:name="_Toc185434349"/>
      <w:bookmarkStart w:id="169" w:name="_Toc185504145"/>
      <w:r>
        <w:rPr>
          <w:rStyle w:val="CharPartNo"/>
        </w:rPr>
        <w:lastRenderedPageBreak/>
        <w:t>Part 5</w:t>
      </w:r>
      <w:r>
        <w:rPr>
          <w:rStyle w:val="CharDivNo"/>
        </w:rPr>
        <w:t> </w:t>
      </w:r>
      <w:r>
        <w:t>—</w:t>
      </w:r>
      <w:r>
        <w:rPr>
          <w:rStyle w:val="CharDivText"/>
        </w:rPr>
        <w:t> </w:t>
      </w:r>
      <w:r>
        <w:rPr>
          <w:rStyle w:val="CharPartText"/>
        </w:rPr>
        <w:t>Variation or cancellation</w:t>
      </w:r>
      <w:bookmarkEnd w:id="167"/>
      <w:bookmarkEnd w:id="168"/>
      <w:bookmarkEnd w:id="169"/>
    </w:p>
    <w:p>
      <w:pPr>
        <w:pStyle w:val="Heading5"/>
      </w:pPr>
      <w:bookmarkStart w:id="170" w:name="_Toc185504146"/>
      <w:r>
        <w:rPr>
          <w:rStyle w:val="CharSectno"/>
        </w:rPr>
        <w:t>45</w:t>
      </w:r>
      <w:r>
        <w:t>.</w:t>
      </w:r>
      <w:r>
        <w:tab/>
        <w:t>Application</w:t>
      </w:r>
      <w:bookmarkEnd w:id="170"/>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lastRenderedPageBreak/>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171" w:name="_Toc185504147"/>
      <w:r>
        <w:rPr>
          <w:rStyle w:val="CharSectno"/>
        </w:rPr>
        <w:lastRenderedPageBreak/>
        <w:t>45A</w:t>
      </w:r>
      <w:r>
        <w:t>.</w:t>
      </w:r>
      <w:r>
        <w:tab/>
        <w:t>Application by CEO (child welfare)</w:t>
      </w:r>
      <w:bookmarkEnd w:id="171"/>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172" w:name="_Toc185504148"/>
      <w:r>
        <w:rPr>
          <w:rStyle w:val="CharSectno"/>
        </w:rPr>
        <w:t>46</w:t>
      </w:r>
      <w:r>
        <w:rPr>
          <w:snapToGrid w:val="0"/>
        </w:rPr>
        <w:t>.</w:t>
      </w:r>
      <w:r>
        <w:rPr>
          <w:snapToGrid w:val="0"/>
        </w:rPr>
        <w:tab/>
        <w:t>Leave hearing</w:t>
      </w:r>
      <w:bookmarkEnd w:id="172"/>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lastRenderedPageBreak/>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173" w:name="_Toc185504149"/>
      <w:r>
        <w:rPr>
          <w:rStyle w:val="CharSectno"/>
        </w:rPr>
        <w:t>47</w:t>
      </w:r>
      <w:r>
        <w:rPr>
          <w:snapToGrid w:val="0"/>
        </w:rPr>
        <w:t>.</w:t>
      </w:r>
      <w:r>
        <w:rPr>
          <w:snapToGrid w:val="0"/>
        </w:rPr>
        <w:tab/>
      </w:r>
      <w:r>
        <w:t xml:space="preserve">Registrar </w:t>
      </w:r>
      <w:r>
        <w:rPr>
          <w:snapToGrid w:val="0"/>
        </w:rPr>
        <w:t>to issue summons</w:t>
      </w:r>
      <w:bookmarkEnd w:id="173"/>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keepNext/>
        <w:rPr>
          <w:snapToGrid w:val="0"/>
        </w:rPr>
      </w:pPr>
      <w:r>
        <w:rPr>
          <w:snapToGrid w:val="0"/>
        </w:rPr>
        <w:lastRenderedPageBreak/>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174" w:name="_Toc185504150"/>
      <w:r>
        <w:rPr>
          <w:rStyle w:val="CharSectno"/>
        </w:rPr>
        <w:t>48</w:t>
      </w:r>
      <w:r>
        <w:rPr>
          <w:snapToGrid w:val="0"/>
        </w:rPr>
        <w:t>.</w:t>
      </w:r>
      <w:r>
        <w:rPr>
          <w:snapToGrid w:val="0"/>
        </w:rPr>
        <w:tab/>
        <w:t>Attendance at hearing</w:t>
      </w:r>
      <w:bookmarkEnd w:id="174"/>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lastRenderedPageBreak/>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175" w:name="_Toc185504151"/>
      <w:r>
        <w:rPr>
          <w:rStyle w:val="CharSectno"/>
        </w:rPr>
        <w:lastRenderedPageBreak/>
        <w:t>48A</w:t>
      </w:r>
      <w:r>
        <w:t>.</w:t>
      </w:r>
      <w:r>
        <w:tab/>
        <w:t>Ex parte application to cancel order by person protected by order</w:t>
      </w:r>
      <w:bookmarkEnd w:id="175"/>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176" w:name="_Toc185504152"/>
      <w:r>
        <w:rPr>
          <w:rStyle w:val="CharSectno"/>
        </w:rPr>
        <w:t>49</w:t>
      </w:r>
      <w:r>
        <w:rPr>
          <w:snapToGrid w:val="0"/>
        </w:rPr>
        <w:t>.</w:t>
      </w:r>
      <w:r>
        <w:rPr>
          <w:snapToGrid w:val="0"/>
        </w:rPr>
        <w:tab/>
        <w:t>Variation or cancellation</w:t>
      </w:r>
      <w:bookmarkEnd w:id="176"/>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lastRenderedPageBreak/>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177" w:name="_Toc185504153"/>
      <w:r>
        <w:rPr>
          <w:rStyle w:val="CharSectno"/>
        </w:rPr>
        <w:t>49A</w:t>
      </w:r>
      <w:r>
        <w:t>.</w:t>
      </w:r>
      <w:r>
        <w:tab/>
        <w:t>Correcting minor errors in restraining orders</w:t>
      </w:r>
      <w:bookmarkEnd w:id="177"/>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lastRenderedPageBreak/>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178" w:name="_Toc185504154"/>
      <w:r>
        <w:rPr>
          <w:rStyle w:val="CharSectno"/>
        </w:rPr>
        <w:t>49B</w:t>
      </w:r>
      <w:r>
        <w:t>.</w:t>
      </w:r>
      <w:r>
        <w:tab/>
        <w:t>Matters to be considered by court generally</w:t>
      </w:r>
      <w:bookmarkEnd w:id="178"/>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179" w:name="_Toc185504155"/>
      <w:r>
        <w:rPr>
          <w:rStyle w:val="CharSectno"/>
        </w:rPr>
        <w:t>49C</w:t>
      </w:r>
      <w:r>
        <w:t>.</w:t>
      </w:r>
      <w:r>
        <w:tab/>
        <w:t>Variation of application to allow a different order to be sought</w:t>
      </w:r>
      <w:bookmarkEnd w:id="179"/>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180" w:name="_Toc185434149"/>
      <w:bookmarkStart w:id="181" w:name="_Toc185434360"/>
      <w:bookmarkStart w:id="182" w:name="_Toc185504156"/>
      <w:r>
        <w:rPr>
          <w:rStyle w:val="CharPartNo"/>
        </w:rPr>
        <w:lastRenderedPageBreak/>
        <w:t>Part 5A</w:t>
      </w:r>
      <w:r>
        <w:rPr>
          <w:rStyle w:val="CharDivNo"/>
        </w:rPr>
        <w:t> </w:t>
      </w:r>
      <w:r>
        <w:t>—</w:t>
      </w:r>
      <w:r>
        <w:rPr>
          <w:rStyle w:val="CharDivText"/>
        </w:rPr>
        <w:t> </w:t>
      </w:r>
      <w:r>
        <w:rPr>
          <w:rStyle w:val="CharPartText"/>
        </w:rPr>
        <w:t>Conferences</w:t>
      </w:r>
      <w:bookmarkEnd w:id="180"/>
      <w:bookmarkEnd w:id="181"/>
      <w:bookmarkEnd w:id="182"/>
    </w:p>
    <w:p>
      <w:pPr>
        <w:pStyle w:val="Footnoteheading"/>
        <w:tabs>
          <w:tab w:val="left" w:pos="851"/>
        </w:tabs>
        <w:spacing w:before="100"/>
      </w:pPr>
      <w:r>
        <w:tab/>
        <w:t>[Heading inserted: No. 30 of 2020 s. 72.]</w:t>
      </w:r>
    </w:p>
    <w:p>
      <w:pPr>
        <w:pStyle w:val="Heading5"/>
      </w:pPr>
      <w:bookmarkStart w:id="183" w:name="_Toc185504157"/>
      <w:r>
        <w:rPr>
          <w:rStyle w:val="CharSectno"/>
        </w:rPr>
        <w:t>49D</w:t>
      </w:r>
      <w:r>
        <w:t>.</w:t>
      </w:r>
      <w:r>
        <w:tab/>
        <w:t>Special conference procedures</w:t>
      </w:r>
      <w:bookmarkEnd w:id="183"/>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lastRenderedPageBreak/>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keepLines/>
      </w:pPr>
      <w:r>
        <w:lastRenderedPageBreak/>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184" w:name="_Toc185434151"/>
      <w:bookmarkStart w:id="185" w:name="_Toc185434362"/>
      <w:bookmarkStart w:id="186" w:name="_Toc185504158"/>
      <w:r>
        <w:rPr>
          <w:rStyle w:val="CharPartNo"/>
        </w:rPr>
        <w:lastRenderedPageBreak/>
        <w:t>Part 6</w:t>
      </w:r>
      <w:r>
        <w:t> — </w:t>
      </w:r>
      <w:r>
        <w:rPr>
          <w:rStyle w:val="CharPartText"/>
        </w:rPr>
        <w:t>General</w:t>
      </w:r>
      <w:bookmarkEnd w:id="184"/>
      <w:bookmarkEnd w:id="185"/>
      <w:bookmarkEnd w:id="186"/>
      <w:r>
        <w:rPr>
          <w:rStyle w:val="CharPartText"/>
        </w:rPr>
        <w:t xml:space="preserve"> </w:t>
      </w:r>
    </w:p>
    <w:p>
      <w:pPr>
        <w:pStyle w:val="Heading3"/>
      </w:pPr>
      <w:bookmarkStart w:id="187" w:name="_Toc185434152"/>
      <w:bookmarkStart w:id="188" w:name="_Toc185434363"/>
      <w:bookmarkStart w:id="189" w:name="_Toc185504159"/>
      <w:r>
        <w:rPr>
          <w:rStyle w:val="CharDivNo"/>
        </w:rPr>
        <w:t>Division 1</w:t>
      </w:r>
      <w:r>
        <w:t> — </w:t>
      </w:r>
      <w:r>
        <w:rPr>
          <w:rStyle w:val="CharDivText"/>
        </w:rPr>
        <w:t>Children</w:t>
      </w:r>
      <w:bookmarkEnd w:id="187"/>
      <w:bookmarkEnd w:id="188"/>
      <w:bookmarkEnd w:id="189"/>
    </w:p>
    <w:p>
      <w:pPr>
        <w:pStyle w:val="Footnoteheading"/>
        <w:tabs>
          <w:tab w:val="left" w:pos="851"/>
        </w:tabs>
        <w:spacing w:before="100"/>
      </w:pPr>
      <w:r>
        <w:tab/>
        <w:t>[Heading inserted: No. 38 of 2004 s. 35.]</w:t>
      </w:r>
    </w:p>
    <w:p>
      <w:pPr>
        <w:pStyle w:val="Heading5"/>
        <w:rPr>
          <w:snapToGrid w:val="0"/>
        </w:rPr>
      </w:pPr>
      <w:bookmarkStart w:id="190" w:name="_Toc185504160"/>
      <w:r>
        <w:rPr>
          <w:rStyle w:val="CharSectno"/>
        </w:rPr>
        <w:t>50</w:t>
      </w:r>
      <w:r>
        <w:rPr>
          <w:snapToGrid w:val="0"/>
        </w:rPr>
        <w:t>.</w:t>
      </w:r>
      <w:r>
        <w:rPr>
          <w:snapToGrid w:val="0"/>
        </w:rPr>
        <w:tab/>
        <w:t>No restraining orders against children under 10</w:t>
      </w:r>
      <w:bookmarkEnd w:id="190"/>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91" w:name="_Toc185504161"/>
      <w:r>
        <w:rPr>
          <w:rStyle w:val="CharSectno"/>
        </w:rPr>
        <w:t>50A</w:t>
      </w:r>
      <w:r>
        <w:t>.</w:t>
      </w:r>
      <w:r>
        <w:tab/>
        <w:t>Restraining order against child not to exceed 6 months</w:t>
      </w:r>
      <w:bookmarkEnd w:id="191"/>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192" w:name="_Toc185504162"/>
      <w:r>
        <w:rPr>
          <w:rStyle w:val="CharSectno"/>
        </w:rPr>
        <w:t>50B</w:t>
      </w:r>
      <w:r>
        <w:t>.</w:t>
      </w:r>
      <w:r>
        <w:tab/>
        <w:t>Child welfare laws not affected</w:t>
      </w:r>
      <w:bookmarkEnd w:id="192"/>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 xml:space="preserve">the jurisdiction of a court or the power of an authority, under a child welfare law, to make an order, or to take any other action, by which a child is placed under </w:t>
      </w:r>
      <w:r>
        <w:lastRenderedPageBreak/>
        <w:t>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193" w:name="_Toc185504163"/>
      <w:r>
        <w:rPr>
          <w:rStyle w:val="CharSectno"/>
        </w:rPr>
        <w:t>50C</w:t>
      </w:r>
      <w:r>
        <w:t>.</w:t>
      </w:r>
      <w:r>
        <w:tab/>
        <w:t>CEO (child welfare) to be notified before certain FVROs or VROs are made</w:t>
      </w:r>
      <w:bookmarkEnd w:id="193"/>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lastRenderedPageBreak/>
        <w:tab/>
        <w:t>[Section 50C inserted: No. 38 of 2004 s. 36; amended: No. 59 of 2004 s. 123; No. 49 of 2016 s. 55.]</w:t>
      </w:r>
    </w:p>
    <w:p>
      <w:pPr>
        <w:pStyle w:val="Heading5"/>
      </w:pPr>
      <w:bookmarkStart w:id="194" w:name="_Toc185504164"/>
      <w:r>
        <w:rPr>
          <w:rStyle w:val="CharSectno"/>
        </w:rPr>
        <w:t>50D</w:t>
      </w:r>
      <w:r>
        <w:t>.</w:t>
      </w:r>
      <w:r>
        <w:tab/>
        <w:t>Intervention by CEO (child welfare)</w:t>
      </w:r>
      <w:bookmarkEnd w:id="194"/>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195" w:name="_Toc185504165"/>
      <w:r>
        <w:rPr>
          <w:rStyle w:val="CharSectno"/>
        </w:rPr>
        <w:t>51</w:t>
      </w:r>
      <w:r>
        <w:rPr>
          <w:snapToGrid w:val="0"/>
        </w:rPr>
        <w:t>.</w:t>
      </w:r>
      <w:r>
        <w:rPr>
          <w:snapToGrid w:val="0"/>
        </w:rPr>
        <w:tab/>
        <w:t>Responsible adult to attend</w:t>
      </w:r>
      <w:bookmarkEnd w:id="195"/>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96" w:name="_Toc185504166"/>
      <w:r>
        <w:rPr>
          <w:rStyle w:val="CharSectno"/>
        </w:rPr>
        <w:lastRenderedPageBreak/>
        <w:t>52</w:t>
      </w:r>
      <w:r>
        <w:rPr>
          <w:snapToGrid w:val="0"/>
        </w:rPr>
        <w:t>.</w:t>
      </w:r>
      <w:r>
        <w:rPr>
          <w:snapToGrid w:val="0"/>
        </w:rPr>
        <w:tab/>
        <w:t>Transfer between courts</w:t>
      </w:r>
      <w:bookmarkEnd w:id="196"/>
      <w:r>
        <w:rPr>
          <w:snapToGrid w:val="0"/>
        </w:rPr>
        <w:t xml:space="preserve"> </w:t>
      </w:r>
    </w:p>
    <w:p>
      <w:pPr>
        <w:pStyle w:val="Subsection"/>
        <w:keepNext/>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197" w:name="_Toc185504167"/>
      <w:r>
        <w:rPr>
          <w:rStyle w:val="CharSectno"/>
        </w:rPr>
        <w:lastRenderedPageBreak/>
        <w:t>53</w:t>
      </w:r>
      <w:r>
        <w:rPr>
          <w:snapToGrid w:val="0"/>
        </w:rPr>
        <w:t>.</w:t>
      </w:r>
      <w:r>
        <w:rPr>
          <w:snapToGrid w:val="0"/>
        </w:rPr>
        <w:tab/>
        <w:t>Telephone order made against child</w:t>
      </w:r>
      <w:bookmarkEnd w:id="197"/>
      <w:r>
        <w:rPr>
          <w:snapToGrid w:val="0"/>
        </w:rPr>
        <w:t xml:space="preserve"> </w:t>
      </w:r>
    </w:p>
    <w:p>
      <w:pPr>
        <w:pStyle w:val="Subsection"/>
        <w:keepNext/>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98" w:name="_Toc185504168"/>
      <w:r>
        <w:rPr>
          <w:rStyle w:val="CharSectno"/>
        </w:rPr>
        <w:t>53A</w:t>
      </w:r>
      <w:r>
        <w:t>.</w:t>
      </w:r>
      <w:r>
        <w:tab/>
        <w:t>Children not to give oral evidence without leave of court, other than in Children’s Court</w:t>
      </w:r>
      <w:bookmarkEnd w:id="198"/>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199" w:name="_Toc185504169"/>
      <w:r>
        <w:rPr>
          <w:rStyle w:val="CharSectno"/>
        </w:rPr>
        <w:t>53B</w:t>
      </w:r>
      <w:r>
        <w:t>.</w:t>
      </w:r>
      <w:r>
        <w:tab/>
        <w:t>Evidence of children</w:t>
      </w:r>
      <w:bookmarkEnd w:id="199"/>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lastRenderedPageBreak/>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200" w:name="_Toc185504170"/>
      <w:r>
        <w:rPr>
          <w:rStyle w:val="CharSectno"/>
        </w:rPr>
        <w:t>53C</w:t>
      </w:r>
      <w:r>
        <w:t>.</w:t>
      </w:r>
      <w:r>
        <w:tab/>
        <w:t>Child who gives evidence entitled to support</w:t>
      </w:r>
      <w:bookmarkEnd w:id="200"/>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201" w:name="_Toc185504171"/>
      <w:r>
        <w:rPr>
          <w:rStyle w:val="CharSectno"/>
        </w:rPr>
        <w:t>53D</w:t>
      </w:r>
      <w:r>
        <w:t>.</w:t>
      </w:r>
      <w:r>
        <w:tab/>
        <w:t>Cross</w:t>
      </w:r>
      <w:r>
        <w:noBreakHyphen/>
        <w:t>examination of child by unrepresented person</w:t>
      </w:r>
      <w:bookmarkEnd w:id="201"/>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202" w:name="_Toc185504172"/>
      <w:r>
        <w:rPr>
          <w:rStyle w:val="CharSectno"/>
        </w:rPr>
        <w:t>53E</w:t>
      </w:r>
      <w:r>
        <w:t>.</w:t>
      </w:r>
      <w:r>
        <w:tab/>
        <w:t>Admissibility of evidence of representations made by children</w:t>
      </w:r>
      <w:bookmarkEnd w:id="202"/>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lastRenderedPageBreak/>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keepNex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203" w:name="_Toc185504173"/>
      <w:r>
        <w:rPr>
          <w:rStyle w:val="CharSectno"/>
        </w:rPr>
        <w:t>53F</w:t>
      </w:r>
      <w:r>
        <w:t>.</w:t>
      </w:r>
      <w:r>
        <w:tab/>
        <w:t>Summonsing of children</w:t>
      </w:r>
      <w:bookmarkEnd w:id="203"/>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204" w:name="_Toc185504174"/>
      <w:r>
        <w:rPr>
          <w:rStyle w:val="CharSectno"/>
        </w:rPr>
        <w:t>53G</w:t>
      </w:r>
      <w:r>
        <w:t>.</w:t>
      </w:r>
      <w:r>
        <w:tab/>
        <w:t>Arrangements for care and wellbeing of children bound by restraining orders</w:t>
      </w:r>
      <w:bookmarkEnd w:id="204"/>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 xml:space="preserve">If a court makes a restraining order of the kind referred to in subsection (1), the court may require the parties to the proceedings to appear before the court on a regular basis during </w:t>
      </w:r>
      <w:r>
        <w:lastRenderedPageBreak/>
        <w:t>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205" w:name="_Toc185434168"/>
      <w:bookmarkStart w:id="206" w:name="_Toc185434379"/>
      <w:bookmarkStart w:id="207" w:name="_Toc185504175"/>
      <w:r>
        <w:rPr>
          <w:rStyle w:val="CharDivNo"/>
        </w:rPr>
        <w:t>Division 2</w:t>
      </w:r>
      <w:r>
        <w:rPr>
          <w:snapToGrid w:val="0"/>
        </w:rPr>
        <w:t> — </w:t>
      </w:r>
      <w:r>
        <w:rPr>
          <w:rStyle w:val="CharDivText"/>
        </w:rPr>
        <w:t>Service</w:t>
      </w:r>
      <w:bookmarkEnd w:id="205"/>
      <w:bookmarkEnd w:id="206"/>
      <w:bookmarkEnd w:id="207"/>
      <w:r>
        <w:rPr>
          <w:rStyle w:val="CharDivText"/>
        </w:rPr>
        <w:t xml:space="preserve"> </w:t>
      </w:r>
    </w:p>
    <w:p>
      <w:pPr>
        <w:pStyle w:val="Heading5"/>
        <w:rPr>
          <w:snapToGrid w:val="0"/>
        </w:rPr>
      </w:pPr>
      <w:bookmarkStart w:id="208" w:name="_Toc185504176"/>
      <w:r>
        <w:rPr>
          <w:rStyle w:val="CharSectno"/>
        </w:rPr>
        <w:t>54</w:t>
      </w:r>
      <w:r>
        <w:rPr>
          <w:snapToGrid w:val="0"/>
        </w:rPr>
        <w:t>.</w:t>
      </w:r>
      <w:r>
        <w:rPr>
          <w:snapToGrid w:val="0"/>
        </w:rPr>
        <w:tab/>
        <w:t>Service of summons</w:t>
      </w:r>
      <w:bookmarkEnd w:id="208"/>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209" w:name="_Toc185504177"/>
      <w:r>
        <w:rPr>
          <w:rStyle w:val="CharSectno"/>
        </w:rPr>
        <w:t>55</w:t>
      </w:r>
      <w:r>
        <w:rPr>
          <w:snapToGrid w:val="0"/>
        </w:rPr>
        <w:t>.</w:t>
      </w:r>
      <w:r>
        <w:rPr>
          <w:snapToGrid w:val="0"/>
        </w:rPr>
        <w:tab/>
        <w:t>Service of restraining order</w:t>
      </w:r>
      <w:bookmarkEnd w:id="20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lastRenderedPageBreak/>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lastRenderedPageBreak/>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keepLines/>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210" w:name="_Toc185504178"/>
      <w:r>
        <w:rPr>
          <w:rStyle w:val="CharSectno"/>
        </w:rPr>
        <w:t>56</w:t>
      </w:r>
      <w:r>
        <w:rPr>
          <w:snapToGrid w:val="0"/>
        </w:rPr>
        <w:t>.</w:t>
      </w:r>
      <w:r>
        <w:rPr>
          <w:snapToGrid w:val="0"/>
        </w:rPr>
        <w:tab/>
        <w:t>Delivery or notification</w:t>
      </w:r>
      <w:bookmarkEnd w:id="210"/>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211" w:name="_Toc185504179"/>
      <w:r>
        <w:rPr>
          <w:rStyle w:val="CharSectno"/>
        </w:rPr>
        <w:t>57</w:t>
      </w:r>
      <w:r>
        <w:rPr>
          <w:snapToGrid w:val="0"/>
        </w:rPr>
        <w:t>.</w:t>
      </w:r>
      <w:r>
        <w:rPr>
          <w:snapToGrid w:val="0"/>
        </w:rPr>
        <w:tab/>
        <w:t>Copy of document sufficient for service</w:t>
      </w:r>
      <w:bookmarkEnd w:id="211"/>
      <w:r>
        <w:rPr>
          <w:snapToGrid w:val="0"/>
        </w:rPr>
        <w:t xml:space="preserve"> </w:t>
      </w:r>
    </w:p>
    <w:p>
      <w:pPr>
        <w:pStyle w:val="Subsection"/>
        <w:rPr>
          <w:snapToGrid w:val="0"/>
        </w:rPr>
      </w:pPr>
      <w:r>
        <w:rPr>
          <w:snapToGrid w:val="0"/>
        </w:rPr>
        <w:tab/>
      </w:r>
      <w:r>
        <w:rPr>
          <w:snapToGrid w:val="0"/>
        </w:rPr>
        <w:tab/>
        <w:t xml:space="preserve">It is sufficient to constitute personal or postal service of a document if the document given or posted to the person being </w:t>
      </w:r>
      <w:r>
        <w:rPr>
          <w:snapToGrid w:val="0"/>
        </w:rPr>
        <w:lastRenderedPageBreak/>
        <w:t>served is a photocopy or a faxed copy of the document instead of the original.</w:t>
      </w:r>
    </w:p>
    <w:p>
      <w:pPr>
        <w:pStyle w:val="Heading5"/>
        <w:rPr>
          <w:snapToGrid w:val="0"/>
        </w:rPr>
      </w:pPr>
      <w:bookmarkStart w:id="212" w:name="_Toc185504180"/>
      <w:r>
        <w:rPr>
          <w:rStyle w:val="CharSectno"/>
        </w:rPr>
        <w:t>58</w:t>
      </w:r>
      <w:r>
        <w:rPr>
          <w:snapToGrid w:val="0"/>
        </w:rPr>
        <w:t>.</w:t>
      </w:r>
      <w:r>
        <w:rPr>
          <w:snapToGrid w:val="0"/>
        </w:rPr>
        <w:tab/>
        <w:t>Proof of service</w:t>
      </w:r>
      <w:bookmarkEnd w:id="212"/>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213" w:name="_Toc185504181"/>
      <w:r>
        <w:rPr>
          <w:rStyle w:val="CharSectno"/>
        </w:rPr>
        <w:lastRenderedPageBreak/>
        <w:t>59</w:t>
      </w:r>
      <w:r>
        <w:t>.</w:t>
      </w:r>
      <w:r>
        <w:tab/>
        <w:t>Service of restraining order, certain people to be notified of</w:t>
      </w:r>
      <w:bookmarkEnd w:id="213"/>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214" w:name="_Toc185504182"/>
      <w:r>
        <w:rPr>
          <w:rStyle w:val="CharSectno"/>
        </w:rPr>
        <w:t>60</w:t>
      </w:r>
      <w:r>
        <w:rPr>
          <w:snapToGrid w:val="0"/>
        </w:rPr>
        <w:t>.</w:t>
      </w:r>
      <w:r>
        <w:rPr>
          <w:snapToGrid w:val="0"/>
        </w:rPr>
        <w:tab/>
        <w:t>Substituted service</w:t>
      </w:r>
      <w:bookmarkEnd w:id="214"/>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lastRenderedPageBreak/>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215" w:name="_Toc185434176"/>
      <w:bookmarkStart w:id="216" w:name="_Toc185434387"/>
      <w:bookmarkStart w:id="217" w:name="_Toc185504183"/>
      <w:r>
        <w:rPr>
          <w:rStyle w:val="CharDivNo"/>
        </w:rPr>
        <w:lastRenderedPageBreak/>
        <w:t>Division 3</w:t>
      </w:r>
      <w:r>
        <w:rPr>
          <w:snapToGrid w:val="0"/>
        </w:rPr>
        <w:t> — </w:t>
      </w:r>
      <w:r>
        <w:rPr>
          <w:rStyle w:val="CharDivText"/>
        </w:rPr>
        <w:t>Breach of restraining order or police order</w:t>
      </w:r>
      <w:bookmarkEnd w:id="215"/>
      <w:bookmarkEnd w:id="216"/>
      <w:bookmarkEnd w:id="217"/>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218" w:name="_Toc185504184"/>
      <w:r>
        <w:rPr>
          <w:rStyle w:val="CharSectno"/>
        </w:rPr>
        <w:t>61</w:t>
      </w:r>
      <w:r>
        <w:rPr>
          <w:snapToGrid w:val="0"/>
        </w:rPr>
        <w:t>.</w:t>
      </w:r>
      <w:r>
        <w:rPr>
          <w:snapToGrid w:val="0"/>
        </w:rPr>
        <w:tab/>
        <w:t>Breach of restraining order</w:t>
      </w:r>
      <w:bookmarkEnd w:id="218"/>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Subsection"/>
      </w:pPr>
      <w:r>
        <w:lastRenderedPageBreak/>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219" w:name="_Toc185504185"/>
      <w:r>
        <w:rPr>
          <w:rStyle w:val="CharSectno"/>
        </w:rPr>
        <w:t>61A</w:t>
      </w:r>
      <w:r>
        <w:t>.</w:t>
      </w:r>
      <w:r>
        <w:tab/>
        <w:t>Penalty for repeated breach of restraining order</w:t>
      </w:r>
      <w:bookmarkEnd w:id="219"/>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lastRenderedPageBreak/>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 xml:space="preserve">A court that does not, because of subsection (6), impose a penalty on a person that is or includes imprisonment or </w:t>
      </w:r>
      <w:r>
        <w:lastRenderedPageBreak/>
        <w:t>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220" w:name="_Toc185504186"/>
      <w:r>
        <w:rPr>
          <w:rStyle w:val="CharSectno"/>
        </w:rPr>
        <w:t>61B</w:t>
      </w:r>
      <w:r>
        <w:t>.</w:t>
      </w:r>
      <w:r>
        <w:tab/>
        <w:t>Protected person aiding breach of restraining order or police order</w:t>
      </w:r>
      <w:bookmarkEnd w:id="220"/>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keepNext/>
      </w:pPr>
      <w:r>
        <w:lastRenderedPageBreak/>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221" w:name="_Toc185504187"/>
      <w:r>
        <w:rPr>
          <w:rStyle w:val="CharSectno"/>
        </w:rPr>
        <w:t>61C</w:t>
      </w:r>
      <w:r>
        <w:t>.</w:t>
      </w:r>
      <w:r>
        <w:tab/>
        <w:t>Report under s. 10V to be considered in sentencing for breach of FVRO</w:t>
      </w:r>
      <w:bookmarkEnd w:id="221"/>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222" w:name="_Toc185504188"/>
      <w:r>
        <w:rPr>
          <w:rStyle w:val="CharSectno"/>
        </w:rPr>
        <w:t>62</w:t>
      </w:r>
      <w:r>
        <w:t>.</w:t>
      </w:r>
      <w:r>
        <w:tab/>
        <w:t>Defence</w:t>
      </w:r>
      <w:bookmarkEnd w:id="222"/>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lastRenderedPageBreak/>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223" w:name="_Toc185434182"/>
      <w:bookmarkStart w:id="224" w:name="_Toc185434393"/>
      <w:bookmarkStart w:id="225" w:name="_Toc185504189"/>
      <w:r>
        <w:rPr>
          <w:rStyle w:val="CharDivNo"/>
        </w:rPr>
        <w:t>Division 3A</w:t>
      </w:r>
      <w:r>
        <w:t> — </w:t>
      </w:r>
      <w:r>
        <w:rPr>
          <w:rStyle w:val="CharDivText"/>
        </w:rPr>
        <w:t>Police functions</w:t>
      </w:r>
      <w:bookmarkEnd w:id="223"/>
      <w:bookmarkEnd w:id="224"/>
      <w:bookmarkEnd w:id="225"/>
    </w:p>
    <w:p>
      <w:pPr>
        <w:pStyle w:val="Footnoteheading"/>
        <w:tabs>
          <w:tab w:val="left" w:pos="851"/>
        </w:tabs>
      </w:pPr>
      <w:r>
        <w:tab/>
        <w:t>[Heading inserted: No. 38 of 2004 s. 43(1).]</w:t>
      </w:r>
    </w:p>
    <w:p>
      <w:pPr>
        <w:pStyle w:val="Heading5"/>
      </w:pPr>
      <w:bookmarkStart w:id="226" w:name="_Toc185504190"/>
      <w:r>
        <w:rPr>
          <w:rStyle w:val="CharSectno"/>
        </w:rPr>
        <w:t>62A</w:t>
      </w:r>
      <w:r>
        <w:t>.</w:t>
      </w:r>
      <w:r>
        <w:tab/>
        <w:t>Investigation of suspected family violence</w:t>
      </w:r>
      <w:bookmarkEnd w:id="226"/>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227" w:name="_Toc185504191"/>
      <w:r>
        <w:rPr>
          <w:rStyle w:val="CharSectno"/>
        </w:rPr>
        <w:lastRenderedPageBreak/>
        <w:t>62B</w:t>
      </w:r>
      <w:r>
        <w:t>.</w:t>
      </w:r>
      <w:r>
        <w:tab/>
        <w:t>Entry and search of premises if family violence suspected</w:t>
      </w:r>
      <w:bookmarkEnd w:id="227"/>
    </w:p>
    <w:p>
      <w:pPr>
        <w:pStyle w:val="Subsection"/>
        <w:keepNext/>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lastRenderedPageBreak/>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228" w:name="_Toc185504192"/>
      <w:r>
        <w:rPr>
          <w:rStyle w:val="CharSectno"/>
        </w:rPr>
        <w:t>62C</w:t>
      </w:r>
      <w:r>
        <w:t>.</w:t>
      </w:r>
      <w:r>
        <w:tab/>
        <w:t>Action to be taken by police officer after investigating suspected family violence</w:t>
      </w:r>
      <w:bookmarkEnd w:id="228"/>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lastRenderedPageBreak/>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229" w:name="_Toc185504193"/>
      <w:r>
        <w:rPr>
          <w:rStyle w:val="CharSectno"/>
        </w:rPr>
        <w:t>62D</w:t>
      </w:r>
      <w:r>
        <w:t>.</w:t>
      </w:r>
      <w:r>
        <w:tab/>
        <w:t>Approval of senior officer</w:t>
      </w:r>
      <w:bookmarkEnd w:id="229"/>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lastRenderedPageBreak/>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230" w:name="_Toc185504194"/>
      <w:r>
        <w:rPr>
          <w:rStyle w:val="CharSectno"/>
        </w:rPr>
        <w:t>62E</w:t>
      </w:r>
      <w:r>
        <w:t>.</w:t>
      </w:r>
      <w:r>
        <w:tab/>
      </w:r>
      <w:r>
        <w:rPr>
          <w:snapToGrid w:val="0"/>
        </w:rPr>
        <w:t>Seizure of firearm items and explosives</w:t>
      </w:r>
      <w:bookmarkEnd w:id="230"/>
    </w:p>
    <w:p>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pPr>
        <w:pStyle w:val="Indenta"/>
      </w:pPr>
      <w:r>
        <w:tab/>
        <w:t>(a)</w:t>
      </w:r>
      <w:r>
        <w:tab/>
        <w:t xml:space="preserve">a firearm item that is, or is reasonably suspected to be, in the possession of the person; or </w:t>
      </w:r>
    </w:p>
    <w:p>
      <w:pPr>
        <w:pStyle w:val="Indenta"/>
        <w:keepNext/>
      </w:pPr>
      <w:r>
        <w:tab/>
        <w:t>(b)</w:t>
      </w:r>
      <w:r>
        <w:tab/>
        <w:t>a firearms authorisation held by the person,</w:t>
      </w:r>
    </w:p>
    <w:p>
      <w:pPr>
        <w:pStyle w:val="Subsection"/>
      </w:pPr>
      <w:r>
        <w:tab/>
      </w:r>
      <w:r>
        <w:tab/>
        <w:t>is reasonably suspected to be, and search for and seize the firearm item or firearms authorisation.</w:t>
      </w:r>
    </w:p>
    <w:p>
      <w:pPr>
        <w:pStyle w:val="Subsection"/>
        <w:keepNext/>
      </w:pPr>
      <w:r>
        <w:tab/>
        <w:t>(1AA)</w:t>
      </w:r>
      <w:r>
        <w:tab/>
        <w:t xml:space="preserve">If a person who is bound by a restraint under section 14A in relation to an FVRO or VRO does not give up possession of any </w:t>
      </w:r>
      <w:r>
        <w:lastRenderedPageBreak/>
        <w:t xml:space="preserve">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 No. 13 of 2022 s. 80 and 81.]</w:t>
      </w:r>
    </w:p>
    <w:p>
      <w:pPr>
        <w:pStyle w:val="Footnotesection"/>
      </w:pPr>
      <w:r>
        <w:tab/>
        <w:t>[Section 62E. Modifications to be applied in order to give effect to Cross-border Justice Act 2008: section altered 1 Nov 2009. See endnote 1M.]</w:t>
      </w:r>
    </w:p>
    <w:p>
      <w:pPr>
        <w:pStyle w:val="Heading5"/>
      </w:pPr>
      <w:bookmarkStart w:id="231" w:name="_Toc185504195"/>
      <w:r>
        <w:rPr>
          <w:rStyle w:val="CharSectno"/>
        </w:rPr>
        <w:t>62F</w:t>
      </w:r>
      <w:r>
        <w:t>.</w:t>
      </w:r>
      <w:r>
        <w:tab/>
        <w:t>Detention of respondent during telephone hearing or while police order is being made</w:t>
      </w:r>
      <w:bookmarkEnd w:id="231"/>
    </w:p>
    <w:p>
      <w:pPr>
        <w:pStyle w:val="Subsection"/>
      </w:pPr>
      <w:r>
        <w:tab/>
        <w:t>(1)</w:t>
      </w:r>
      <w:r>
        <w:tab/>
        <w:t xml:space="preserve">If — </w:t>
      </w:r>
    </w:p>
    <w:p>
      <w:pPr>
        <w:pStyle w:val="Indenta"/>
      </w:pPr>
      <w:r>
        <w:tab/>
        <w:t>(a)</w:t>
      </w:r>
      <w:r>
        <w:tab/>
        <w:t>a telephone application has been, or is about to be, made; or</w:t>
      </w:r>
    </w:p>
    <w:p>
      <w:pPr>
        <w:pStyle w:val="Indenta"/>
        <w:keepNext/>
      </w:pPr>
      <w:r>
        <w:lastRenderedPageBreak/>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keepNext/>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keepNext/>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lastRenderedPageBreak/>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232" w:name="_Toc185504196"/>
      <w:r>
        <w:rPr>
          <w:rStyle w:val="CharSectno"/>
        </w:rPr>
        <w:t>62G</w:t>
      </w:r>
      <w:r>
        <w:t>.</w:t>
      </w:r>
      <w:r>
        <w:tab/>
        <w:t>Police officer may conduct hearing for applicant</w:t>
      </w:r>
      <w:bookmarkEnd w:id="232"/>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233" w:name="_Toc185434190"/>
      <w:bookmarkStart w:id="234" w:name="_Toc185434401"/>
      <w:bookmarkStart w:id="235" w:name="_Toc185504197"/>
      <w:r>
        <w:rPr>
          <w:rStyle w:val="CharDivNo"/>
        </w:rPr>
        <w:t>Division 4</w:t>
      </w:r>
      <w:r>
        <w:rPr>
          <w:snapToGrid w:val="0"/>
        </w:rPr>
        <w:t> — </w:t>
      </w:r>
      <w:r>
        <w:rPr>
          <w:rStyle w:val="CharDivText"/>
        </w:rPr>
        <w:t>General</w:t>
      </w:r>
      <w:bookmarkEnd w:id="233"/>
      <w:bookmarkEnd w:id="234"/>
      <w:bookmarkEnd w:id="235"/>
      <w:r>
        <w:rPr>
          <w:rStyle w:val="CharDivText"/>
        </w:rPr>
        <w:t xml:space="preserve"> </w:t>
      </w:r>
    </w:p>
    <w:p>
      <w:pPr>
        <w:pStyle w:val="Heading5"/>
        <w:rPr>
          <w:snapToGrid w:val="0"/>
        </w:rPr>
      </w:pPr>
      <w:bookmarkStart w:id="236" w:name="_Toc185504198"/>
      <w:r>
        <w:rPr>
          <w:rStyle w:val="CharSectno"/>
        </w:rPr>
        <w:t>63</w:t>
      </w:r>
      <w:r>
        <w:rPr>
          <w:snapToGrid w:val="0"/>
        </w:rPr>
        <w:t>.</w:t>
      </w:r>
      <w:r>
        <w:rPr>
          <w:snapToGrid w:val="0"/>
        </w:rPr>
        <w:tab/>
        <w:t>Making restraining orders during other proceedings</w:t>
      </w:r>
      <w:bookmarkEnd w:id="236"/>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lastRenderedPageBreak/>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keepNext/>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lastRenderedPageBreak/>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keepNext/>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keepNext/>
      </w:pPr>
      <w:r>
        <w:lastRenderedPageBreak/>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keepNext/>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lastRenderedPageBreak/>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237" w:name="_Toc185504199"/>
      <w:r>
        <w:rPr>
          <w:rStyle w:val="CharSectno"/>
        </w:rPr>
        <w:t>63A</w:t>
      </w:r>
      <w:r>
        <w:t>.</w:t>
      </w:r>
      <w:r>
        <w:tab/>
        <w:t>FVRO or VRO made if certain violent personal offences committed</w:t>
      </w:r>
      <w:bookmarkEnd w:id="237"/>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lastRenderedPageBreak/>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238" w:name="_Toc185504200"/>
      <w:r>
        <w:rPr>
          <w:rStyle w:val="CharSectno"/>
        </w:rPr>
        <w:t>63B</w:t>
      </w:r>
      <w:r>
        <w:t>.</w:t>
      </w:r>
      <w:r>
        <w:tab/>
        <w:t>Circumstances to be taken into account when sentencing for certain offences</w:t>
      </w:r>
      <w:bookmarkEnd w:id="238"/>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lastRenderedPageBreak/>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keepNext/>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239" w:name="_Toc185504201"/>
      <w:r>
        <w:rPr>
          <w:rStyle w:val="CharSectno"/>
        </w:rPr>
        <w:t>63C</w:t>
      </w:r>
      <w:r>
        <w:t>.</w:t>
      </w:r>
      <w:r>
        <w:tab/>
        <w:t>Criminal and civil liability not affected by restraining orders</w:t>
      </w:r>
      <w:bookmarkEnd w:id="239"/>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240" w:name="_Toc185504202"/>
      <w:r>
        <w:rPr>
          <w:rStyle w:val="CharSectno"/>
        </w:rPr>
        <w:t>63D</w:t>
      </w:r>
      <w:r>
        <w:t>.</w:t>
      </w:r>
      <w:r>
        <w:tab/>
        <w:t>Court to give reasons for certain decisions</w:t>
      </w:r>
      <w:bookmarkEnd w:id="240"/>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lastRenderedPageBreak/>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241" w:name="_Toc185504203"/>
      <w:r>
        <w:rPr>
          <w:rStyle w:val="CharSectno"/>
        </w:rPr>
        <w:t>64</w:t>
      </w:r>
      <w:r>
        <w:rPr>
          <w:snapToGrid w:val="0"/>
        </w:rPr>
        <w:t>.</w:t>
      </w:r>
      <w:r>
        <w:rPr>
          <w:snapToGrid w:val="0"/>
        </w:rPr>
        <w:tab/>
        <w:t>Appeals</w:t>
      </w:r>
      <w:bookmarkEnd w:id="241"/>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keepNext/>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lastRenderedPageBreak/>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242" w:name="_Toc185504204"/>
      <w:r>
        <w:rPr>
          <w:rStyle w:val="CharSectno"/>
        </w:rPr>
        <w:t>65</w:t>
      </w:r>
      <w:r>
        <w:rPr>
          <w:snapToGrid w:val="0"/>
        </w:rPr>
        <w:t>.</w:t>
      </w:r>
      <w:r>
        <w:rPr>
          <w:snapToGrid w:val="0"/>
        </w:rPr>
        <w:tab/>
        <w:t>Orders not to conflict with certain family orders</w:t>
      </w:r>
      <w:bookmarkEnd w:id="242"/>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243" w:name="_Toc185504205"/>
      <w:r>
        <w:rPr>
          <w:rStyle w:val="CharSectno"/>
        </w:rPr>
        <w:lastRenderedPageBreak/>
        <w:t>66</w:t>
      </w:r>
      <w:r>
        <w:t>.</w:t>
      </w:r>
      <w:r>
        <w:tab/>
        <w:t>Information about family orders</w:t>
      </w:r>
      <w:bookmarkEnd w:id="243"/>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keepLines/>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 xml:space="preserve">without derogating from section 65, take the terms of any family order, or the terms of a family order that are being sought in a pending application for a family order, </w:t>
      </w:r>
      <w:r>
        <w:lastRenderedPageBreak/>
        <w:t>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244" w:name="_Toc185504206"/>
      <w:r>
        <w:rPr>
          <w:rStyle w:val="CharSectno"/>
        </w:rPr>
        <w:t>67</w:t>
      </w:r>
      <w:r>
        <w:t>.</w:t>
      </w:r>
      <w:r>
        <w:tab/>
        <w:t>Adjournments</w:t>
      </w:r>
      <w:bookmarkEnd w:id="244"/>
    </w:p>
    <w:p>
      <w:pPr>
        <w:pStyle w:val="Subsection"/>
        <w:keepNext/>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lastRenderedPageBreak/>
        <w:tab/>
        <w:t>[Section 67 inserted: No. 38 of 2004 s. 46; amended: No. 59 of 2004 s. 123; No. 20 of 2013 s. 120; No. 49 of 2016 s. 74.]</w:t>
      </w:r>
    </w:p>
    <w:p>
      <w:pPr>
        <w:pStyle w:val="Heading5"/>
        <w:rPr>
          <w:snapToGrid w:val="0"/>
        </w:rPr>
      </w:pPr>
      <w:bookmarkStart w:id="245" w:name="_Toc185504207"/>
      <w:r>
        <w:rPr>
          <w:rStyle w:val="CharSectno"/>
        </w:rPr>
        <w:t>68</w:t>
      </w:r>
      <w:r>
        <w:rPr>
          <w:snapToGrid w:val="0"/>
        </w:rPr>
        <w:t>.</w:t>
      </w:r>
      <w:r>
        <w:rPr>
          <w:snapToGrid w:val="0"/>
        </w:rPr>
        <w:tab/>
        <w:t>Orders may be extended to apply to other people</w:t>
      </w:r>
      <w:bookmarkEnd w:id="245"/>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246" w:name="_Toc185504208"/>
      <w:r>
        <w:rPr>
          <w:rStyle w:val="CharSectno"/>
        </w:rPr>
        <w:t>69</w:t>
      </w:r>
      <w:r>
        <w:rPr>
          <w:snapToGrid w:val="0"/>
        </w:rPr>
        <w:t>.</w:t>
      </w:r>
      <w:r>
        <w:rPr>
          <w:snapToGrid w:val="0"/>
        </w:rPr>
        <w:tab/>
        <w:t>Costs</w:t>
      </w:r>
      <w:bookmarkEnd w:id="246"/>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247" w:name="_Toc185504209"/>
      <w:r>
        <w:rPr>
          <w:rStyle w:val="CharSectno"/>
        </w:rPr>
        <w:lastRenderedPageBreak/>
        <w:t>70</w:t>
      </w:r>
      <w:r>
        <w:t>.</w:t>
      </w:r>
      <w:r>
        <w:tab/>
        <w:t>Information on identity of certain person restricted</w:t>
      </w:r>
      <w:bookmarkEnd w:id="247"/>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lastRenderedPageBreak/>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248" w:name="_Toc185504210"/>
      <w:r>
        <w:rPr>
          <w:rStyle w:val="CharSectno"/>
        </w:rPr>
        <w:lastRenderedPageBreak/>
        <w:t>70A</w:t>
      </w:r>
      <w:r>
        <w:t>.</w:t>
      </w:r>
      <w:r>
        <w:tab/>
        <w:t>Exchange of information</w:t>
      </w:r>
      <w:bookmarkEnd w:id="248"/>
    </w:p>
    <w:p>
      <w:pPr>
        <w:pStyle w:val="Subsection"/>
        <w:keepNext/>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lastRenderedPageBreak/>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249" w:name="_Toc185504211"/>
      <w:r>
        <w:rPr>
          <w:rStyle w:val="CharSectno"/>
        </w:rPr>
        <w:t>71</w:t>
      </w:r>
      <w:r>
        <w:rPr>
          <w:snapToGrid w:val="0"/>
        </w:rPr>
        <w:t>.</w:t>
      </w:r>
      <w:r>
        <w:rPr>
          <w:snapToGrid w:val="0"/>
        </w:rPr>
        <w:tab/>
        <w:t>Notification when firearms order made</w:t>
      </w:r>
      <w:bookmarkEnd w:id="249"/>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 item;</w:t>
      </w:r>
    </w:p>
    <w:p>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firearms authorisation (or the equivalent under a law of another State or Territory) for that firearm item,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lastRenderedPageBreak/>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lastRenderedPageBreak/>
        <w:tab/>
        <w:t>(b)</w:t>
      </w:r>
      <w:r>
        <w:rPr>
          <w:snapToGrid w:val="0"/>
        </w:rPr>
        <w:tab/>
        <w:t xml:space="preserve">that the order prohibits the restrained person from being in possession of a </w:t>
      </w:r>
      <w:r>
        <w:t xml:space="preserve">firearm item </w:t>
      </w:r>
      <w:r>
        <w:rPr>
          <w:snapToGrid w:val="0"/>
        </w:rPr>
        <w:t xml:space="preserve">(or if the court acted under section 14(5), that the restrained person is prohibited from being in possession of a </w:t>
      </w:r>
      <w:r>
        <w:t xml:space="preserve">firearm item </w:t>
      </w:r>
      <w:r>
        <w:rPr>
          <w:snapToGrid w:val="0"/>
        </w:rPr>
        <w:t>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pPr>
        <w:pStyle w:val="Subsection"/>
        <w:keepNext/>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keepNext/>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r>
        <w:rPr>
          <w:snapToGrid w:val="0"/>
        </w:rPr>
        <w:t>, except as permitted under the firearms order, commits an offence.</w:t>
      </w:r>
    </w:p>
    <w:p>
      <w:pPr>
        <w:pStyle w:val="Penstart"/>
        <w:keepNext/>
      </w:pPr>
      <w:r>
        <w:tab/>
        <w:t xml:space="preserve">Penalty for this subsection: </w:t>
      </w:r>
    </w:p>
    <w:p>
      <w:pPr>
        <w:pStyle w:val="Penpara"/>
      </w:pPr>
      <w:r>
        <w:tab/>
        <w:t>(a)</w:t>
      </w:r>
      <w:r>
        <w:tab/>
        <w:t>in the case of a responsible person — a fine of $4 000;</w:t>
      </w:r>
    </w:p>
    <w:p>
      <w:pPr>
        <w:pStyle w:val="Penpara"/>
        <w:keepNext/>
        <w:rPr>
          <w:snapToGrid w:val="0"/>
        </w:rPr>
      </w:pPr>
      <w:r>
        <w:tab/>
        <w:t>(b)</w:t>
      </w:r>
      <w:r>
        <w:tab/>
        <w:t>in the case of a co</w:t>
      </w:r>
      <w:r>
        <w:noBreakHyphen/>
        <w:t>licensee — a fine of $4 000 or imprisonment for 12 months.</w:t>
      </w:r>
    </w:p>
    <w:p>
      <w:pPr>
        <w:pStyle w:val="Footnotesection"/>
      </w:pPr>
      <w:r>
        <w:tab/>
        <w:t>[Section 71 amended: No. 50 of 2003 s. 90(3); No. 49 of 2016 s. 78; No. 13 of 2022 s. 80 and 81.]</w:t>
      </w:r>
    </w:p>
    <w:p>
      <w:pPr>
        <w:pStyle w:val="Heading5"/>
        <w:rPr>
          <w:snapToGrid w:val="0"/>
        </w:rPr>
      </w:pPr>
      <w:bookmarkStart w:id="250" w:name="_Toc185504212"/>
      <w:r>
        <w:rPr>
          <w:rStyle w:val="CharSectno"/>
        </w:rPr>
        <w:lastRenderedPageBreak/>
        <w:t>72</w:t>
      </w:r>
      <w:r>
        <w:rPr>
          <w:snapToGrid w:val="0"/>
        </w:rPr>
        <w:t>.</w:t>
      </w:r>
      <w:r>
        <w:rPr>
          <w:snapToGrid w:val="0"/>
        </w:rPr>
        <w:tab/>
        <w:t>Practice and procedure generally</w:t>
      </w:r>
      <w:bookmarkEnd w:id="250"/>
      <w:r>
        <w:rPr>
          <w:snapToGrid w:val="0"/>
        </w:rPr>
        <w:t xml:space="preserve"> </w:t>
      </w:r>
    </w:p>
    <w:p>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keepNext/>
      </w:pPr>
      <w:r>
        <w:tab/>
        <w:t>[(2)</w:t>
      </w:r>
      <w:r>
        <w:tab/>
        <w:t>deleted]</w:t>
      </w:r>
    </w:p>
    <w:p>
      <w:pPr>
        <w:pStyle w:val="Footnotesection"/>
      </w:pPr>
      <w:r>
        <w:tab/>
        <w:t xml:space="preserve">[Section 72 amended: No. 59 of 2004 s. 124.] </w:t>
      </w:r>
    </w:p>
    <w:p>
      <w:pPr>
        <w:pStyle w:val="Heading5"/>
      </w:pPr>
      <w:bookmarkStart w:id="251" w:name="_Toc185504213"/>
      <w:r>
        <w:rPr>
          <w:rStyle w:val="CharSectno"/>
        </w:rPr>
        <w:t>72A</w:t>
      </w:r>
      <w:r>
        <w:t>.</w:t>
      </w:r>
      <w:r>
        <w:tab/>
        <w:t>Forms</w:t>
      </w:r>
      <w:bookmarkEnd w:id="251"/>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252" w:name="_Toc185504214"/>
      <w:r>
        <w:rPr>
          <w:rStyle w:val="CharSectno"/>
        </w:rPr>
        <w:t>73</w:t>
      </w:r>
      <w:r>
        <w:rPr>
          <w:snapToGrid w:val="0"/>
        </w:rPr>
        <w:t>.</w:t>
      </w:r>
      <w:r>
        <w:rPr>
          <w:snapToGrid w:val="0"/>
        </w:rPr>
        <w:tab/>
        <w:t>Regulation making power</w:t>
      </w:r>
      <w:bookmarkEnd w:id="252"/>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lastRenderedPageBreak/>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item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keepNext/>
        <w:rPr>
          <w:snapToGrid w:val="0"/>
        </w:rPr>
      </w:pPr>
      <w:r>
        <w:rPr>
          <w:snapToGrid w:val="0"/>
        </w:rPr>
        <w:tab/>
        <w:t>(f)</w:t>
      </w:r>
      <w:r>
        <w:rPr>
          <w:snapToGrid w:val="0"/>
        </w:rPr>
        <w:tab/>
        <w:t>orders as to costs.</w:t>
      </w:r>
    </w:p>
    <w:p>
      <w:pPr>
        <w:pStyle w:val="Footnotesection"/>
      </w:pPr>
      <w:r>
        <w:tab/>
        <w:t>[Section 73 amended: No. 38 of 2004 s. 49; No. 49 of 2016 s. 80; No. 30 of 2020 s. 82; No. 13 of 2022 s. 80 and 81.]</w:t>
      </w:r>
    </w:p>
    <w:p>
      <w:pPr>
        <w:pStyle w:val="Heading5"/>
      </w:pPr>
      <w:bookmarkStart w:id="253" w:name="_Toc185504215"/>
      <w:r>
        <w:rPr>
          <w:rStyle w:val="CharSectno"/>
        </w:rPr>
        <w:t>73A</w:t>
      </w:r>
      <w:r>
        <w:t>.</w:t>
      </w:r>
      <w:r>
        <w:tab/>
        <w:t>Review of certain amendments relating to FVROs</w:t>
      </w:r>
      <w:bookmarkEnd w:id="253"/>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254" w:name="_Toc185434209"/>
      <w:bookmarkStart w:id="255" w:name="_Toc185434420"/>
      <w:bookmarkStart w:id="256" w:name="_Toc185504216"/>
      <w:r>
        <w:rPr>
          <w:rStyle w:val="CharPartNo"/>
        </w:rPr>
        <w:lastRenderedPageBreak/>
        <w:t>Part 7</w:t>
      </w:r>
      <w:r>
        <w:rPr>
          <w:rStyle w:val="CharDivNo"/>
        </w:rPr>
        <w:t> </w:t>
      </w:r>
      <w:r>
        <w:t>—</w:t>
      </w:r>
      <w:r>
        <w:rPr>
          <w:rStyle w:val="CharDivText"/>
        </w:rPr>
        <w:t> </w:t>
      </w:r>
      <w:r>
        <w:rPr>
          <w:rStyle w:val="CharPartText"/>
        </w:rPr>
        <w:t>Interstate restraining orders</w:t>
      </w:r>
      <w:bookmarkEnd w:id="254"/>
      <w:bookmarkEnd w:id="255"/>
      <w:bookmarkEnd w:id="256"/>
      <w:r>
        <w:rPr>
          <w:rStyle w:val="CharPartText"/>
        </w:rPr>
        <w:t xml:space="preserve"> </w:t>
      </w:r>
    </w:p>
    <w:p>
      <w:pPr>
        <w:pStyle w:val="Heading5"/>
        <w:rPr>
          <w:snapToGrid w:val="0"/>
        </w:rPr>
      </w:pPr>
      <w:bookmarkStart w:id="257" w:name="_Toc185504217"/>
      <w:r>
        <w:rPr>
          <w:rStyle w:val="CharSectno"/>
        </w:rPr>
        <w:t>74</w:t>
      </w:r>
      <w:r>
        <w:rPr>
          <w:snapToGrid w:val="0"/>
        </w:rPr>
        <w:t>.</w:t>
      </w:r>
      <w:r>
        <w:rPr>
          <w:snapToGrid w:val="0"/>
        </w:rPr>
        <w:tab/>
        <w:t>Terms used</w:t>
      </w:r>
      <w:bookmarkEnd w:id="25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258" w:name="_Toc185504218"/>
      <w:r>
        <w:rPr>
          <w:rStyle w:val="CharSectno"/>
        </w:rPr>
        <w:t>74A</w:t>
      </w:r>
      <w:r>
        <w:t>.</w:t>
      </w:r>
      <w:r>
        <w:tab/>
        <w:t xml:space="preserve">Interstate DVOs under </w:t>
      </w:r>
      <w:r>
        <w:rPr>
          <w:i/>
        </w:rPr>
        <w:t xml:space="preserve">Domestic Violence Orders (National Recognition) Act 2017 </w:t>
      </w:r>
      <w:r>
        <w:t>cannot be registered</w:t>
      </w:r>
      <w:bookmarkEnd w:id="258"/>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259" w:name="_Toc185504219"/>
      <w:r>
        <w:rPr>
          <w:rStyle w:val="CharSectno"/>
        </w:rPr>
        <w:t>74B</w:t>
      </w:r>
      <w:r>
        <w:t>.</w:t>
      </w:r>
      <w:r>
        <w:tab/>
        <w:t xml:space="preserve">Interstate orders registered before commencement of </w:t>
      </w:r>
      <w:r>
        <w:rPr>
          <w:i/>
        </w:rPr>
        <w:t>Domestic Violence Orders (National Recognition) Act 2017</w:t>
      </w:r>
      <w:bookmarkEnd w:id="259"/>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lastRenderedPageBreak/>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260" w:name="_Toc185504220"/>
      <w:r>
        <w:rPr>
          <w:rStyle w:val="CharSectno"/>
        </w:rPr>
        <w:t>75</w:t>
      </w:r>
      <w:r>
        <w:rPr>
          <w:snapToGrid w:val="0"/>
        </w:rPr>
        <w:t>.</w:t>
      </w:r>
      <w:r>
        <w:rPr>
          <w:snapToGrid w:val="0"/>
        </w:rPr>
        <w:tab/>
        <w:t>Application for registration of interstate order</w:t>
      </w:r>
      <w:bookmarkEnd w:id="260"/>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w:t>
      </w:r>
      <w:r>
        <w:lastRenderedPageBreak/>
        <w:t xml:space="preserve">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261" w:name="_Toc185504221"/>
      <w:r>
        <w:rPr>
          <w:rStyle w:val="CharSectno"/>
        </w:rPr>
        <w:t>76</w:t>
      </w:r>
      <w:r>
        <w:rPr>
          <w:snapToGrid w:val="0"/>
        </w:rPr>
        <w:t>.</w:t>
      </w:r>
      <w:r>
        <w:rPr>
          <w:snapToGrid w:val="0"/>
        </w:rPr>
        <w:tab/>
        <w:t>Registration</w:t>
      </w:r>
      <w:bookmarkEnd w:id="261"/>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lastRenderedPageBreak/>
        <w:tab/>
        <w:t>[Section 76. Modifications to be applied in order to give effect to Cross-border Justice Act 2008: section altered 1 Nov 2009. See endnote 1M.]</w:t>
      </w:r>
    </w:p>
    <w:p>
      <w:pPr>
        <w:pStyle w:val="Heading5"/>
        <w:rPr>
          <w:snapToGrid w:val="0"/>
        </w:rPr>
      </w:pPr>
      <w:bookmarkStart w:id="262" w:name="_Toc185504222"/>
      <w:r>
        <w:rPr>
          <w:rStyle w:val="CharSectno"/>
        </w:rPr>
        <w:t>77</w:t>
      </w:r>
      <w:r>
        <w:rPr>
          <w:snapToGrid w:val="0"/>
        </w:rPr>
        <w:t>.</w:t>
      </w:r>
      <w:r>
        <w:rPr>
          <w:snapToGrid w:val="0"/>
        </w:rPr>
        <w:tab/>
        <w:t>Effect of registration</w:t>
      </w:r>
      <w:bookmarkEnd w:id="262"/>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263" w:name="_Toc185504223"/>
      <w:r>
        <w:rPr>
          <w:rStyle w:val="CharSectno"/>
        </w:rPr>
        <w:lastRenderedPageBreak/>
        <w:t>78</w:t>
      </w:r>
      <w:r>
        <w:rPr>
          <w:snapToGrid w:val="0"/>
        </w:rPr>
        <w:t>.</w:t>
      </w:r>
      <w:r>
        <w:rPr>
          <w:snapToGrid w:val="0"/>
        </w:rPr>
        <w:tab/>
        <w:t>Variation or cancellation in another State or Territory</w:t>
      </w:r>
      <w:bookmarkEnd w:id="26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264" w:name="_Toc185504224"/>
      <w:r>
        <w:rPr>
          <w:rStyle w:val="CharSectno"/>
        </w:rPr>
        <w:t>79</w:t>
      </w:r>
      <w:r>
        <w:t>.</w:t>
      </w:r>
      <w:r>
        <w:tab/>
        <w:t>Variation or cancellation in this State</w:t>
      </w:r>
      <w:bookmarkEnd w:id="264"/>
    </w:p>
    <w:p>
      <w:pPr>
        <w:pStyle w:val="Subsection"/>
        <w:keepNext/>
      </w:pPr>
      <w:r>
        <w:tab/>
      </w:r>
      <w:r>
        <w:tab/>
        <w:t xml:space="preserve">If an order is made under Part 5 varying the operation in this State, or cancelling the registration, of an interstate order, the </w:t>
      </w:r>
      <w:r>
        <w:lastRenderedPageBreak/>
        <w:t>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65" w:name="_Toc185434218"/>
      <w:bookmarkStart w:id="266" w:name="_Toc185434429"/>
      <w:bookmarkStart w:id="267" w:name="_Toc185504225"/>
      <w:r>
        <w:rPr>
          <w:rStyle w:val="CharPartNo"/>
        </w:rPr>
        <w:lastRenderedPageBreak/>
        <w:t>Part 7A</w:t>
      </w:r>
      <w:r>
        <w:rPr>
          <w:rStyle w:val="CharDivNo"/>
        </w:rPr>
        <w:t xml:space="preserve"> </w:t>
      </w:r>
      <w:r>
        <w:t>—</w:t>
      </w:r>
      <w:r>
        <w:rPr>
          <w:rStyle w:val="CharDivText"/>
        </w:rPr>
        <w:t xml:space="preserve"> </w:t>
      </w:r>
      <w:r>
        <w:rPr>
          <w:rStyle w:val="CharPartText"/>
        </w:rPr>
        <w:t>Foreign restraining orders</w:t>
      </w:r>
      <w:bookmarkEnd w:id="265"/>
      <w:bookmarkEnd w:id="266"/>
      <w:bookmarkEnd w:id="267"/>
    </w:p>
    <w:p>
      <w:pPr>
        <w:pStyle w:val="Footnoteheading"/>
      </w:pPr>
      <w:r>
        <w:tab/>
        <w:t>[Heading inserted: No. 11 of 1999 s. 7.]</w:t>
      </w:r>
    </w:p>
    <w:p>
      <w:pPr>
        <w:pStyle w:val="Heading5"/>
        <w:spacing w:before="120"/>
      </w:pPr>
      <w:bookmarkStart w:id="268" w:name="_Toc185504226"/>
      <w:r>
        <w:rPr>
          <w:rStyle w:val="CharSectno"/>
        </w:rPr>
        <w:t>79A</w:t>
      </w:r>
      <w:r>
        <w:t>.</w:t>
      </w:r>
      <w:r>
        <w:tab/>
        <w:t>Recognition of foreign restraining orders</w:t>
      </w:r>
      <w:bookmarkEnd w:id="268"/>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269" w:name="_Toc185504227"/>
      <w:r>
        <w:rPr>
          <w:rStyle w:val="CharSectno"/>
        </w:rPr>
        <w:t>79B</w:t>
      </w:r>
      <w:r>
        <w:t>.</w:t>
      </w:r>
      <w:r>
        <w:tab/>
        <w:t>Applying for registration of foreign restraining orders</w:t>
      </w:r>
      <w:bookmarkEnd w:id="269"/>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lastRenderedPageBreak/>
        <w:tab/>
        <w:t>[Section 79B inserted: No. 11 of 1999 s. 7; amended: No. 22 of 2000 s. 16; No. 38 of 2004 s. 52; No. 59 of 2004 s. 124; No. 49 of 2016 s. 85.]</w:t>
      </w:r>
    </w:p>
    <w:p>
      <w:pPr>
        <w:pStyle w:val="Heading5"/>
      </w:pPr>
      <w:bookmarkStart w:id="270" w:name="_Toc185504228"/>
      <w:r>
        <w:rPr>
          <w:rStyle w:val="CharSectno"/>
        </w:rPr>
        <w:t>79C</w:t>
      </w:r>
      <w:r>
        <w:t>.</w:t>
      </w:r>
      <w:r>
        <w:tab/>
        <w:t>Registration of foreign restraining orders</w:t>
      </w:r>
      <w:bookmarkEnd w:id="270"/>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271" w:name="_Toc185504229"/>
      <w:r>
        <w:rPr>
          <w:rStyle w:val="CharSectno"/>
        </w:rPr>
        <w:t>79D</w:t>
      </w:r>
      <w:r>
        <w:t>.</w:t>
      </w:r>
      <w:r>
        <w:tab/>
        <w:t>Effect of registration</w:t>
      </w:r>
      <w:bookmarkEnd w:id="271"/>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lastRenderedPageBreak/>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272" w:name="_Toc185504230"/>
      <w:r>
        <w:rPr>
          <w:rStyle w:val="CharSectno"/>
        </w:rPr>
        <w:t>79E</w:t>
      </w:r>
      <w:r>
        <w:t>.</w:t>
      </w:r>
      <w:r>
        <w:tab/>
        <w:t>Variation or cancellation in foreign country</w:t>
      </w:r>
      <w:bookmarkEnd w:id="272"/>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lastRenderedPageBreak/>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273" w:name="_Toc185504231"/>
      <w:r>
        <w:rPr>
          <w:rStyle w:val="CharSectno"/>
        </w:rPr>
        <w:t>79F</w:t>
      </w:r>
      <w:r>
        <w:t>.</w:t>
      </w:r>
      <w:r>
        <w:tab/>
        <w:t>Variation or cancellation in this State</w:t>
      </w:r>
      <w:bookmarkEnd w:id="273"/>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274" w:name="_Toc185434225"/>
      <w:bookmarkStart w:id="275" w:name="_Toc185434436"/>
      <w:bookmarkStart w:id="276" w:name="_Toc185504232"/>
      <w:r>
        <w:lastRenderedPageBreak/>
        <w:t>Notes</w:t>
      </w:r>
      <w:bookmarkEnd w:id="274"/>
      <w:bookmarkEnd w:id="275"/>
      <w:bookmarkEnd w:id="276"/>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7" w:name="_Toc185504233"/>
      <w:r>
        <w:t>Compilation table</w:t>
      </w:r>
      <w:bookmarkEnd w:id="277"/>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lastRenderedPageBreak/>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lastRenderedPageBreak/>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right w:val="nil"/>
            </w:tcBorders>
            <w:shd w:val="clear" w:color="auto" w:fill="auto"/>
          </w:tcPr>
          <w:p>
            <w:pPr>
              <w:pStyle w:val="nTable"/>
              <w:spacing w:after="40"/>
            </w:pPr>
            <w:r>
              <w:rPr>
                <w:snapToGrid w:val="0"/>
              </w:rPr>
              <w:t>1 Jul 2022 (see s. 2(c) and SL 2022/113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Firearms Amendment Act 2022</w:t>
            </w:r>
            <w:r>
              <w:t xml:space="preserve"> Pt. 3 Div. 4</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right w:val="nil"/>
            </w:tcBorders>
            <w:shd w:val="clear" w:color="auto" w:fill="auto"/>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Animal Welfare and Trespass Legislation Amendment Act 2023</w:t>
            </w:r>
            <w:r>
              <w:t xml:space="preserve"> Pt. 4</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right w:val="nil"/>
            </w:tcBorders>
            <w:shd w:val="clear" w:color="auto" w:fill="auto"/>
          </w:tcPr>
          <w:p>
            <w:pPr>
              <w:pStyle w:val="nTable"/>
              <w:spacing w:after="40"/>
              <w:rPr>
                <w:snapToGrid w:val="0"/>
              </w:rPr>
            </w:pPr>
            <w:r>
              <w:rPr>
                <w:snapToGrid w:val="0"/>
              </w:rPr>
              <w:t>7 Apr 2023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lastRenderedPageBreak/>
              <w:t>Criminal Law (Mental Impairment) Act 2023</w:t>
            </w:r>
            <w:r>
              <w:t xml:space="preserve"> Pt. 15 Div. 25</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52" w:type="dxa"/>
            <w:tcBorders>
              <w:top w:val="nil"/>
              <w:bottom w:val="nil"/>
              <w:right w:val="nil"/>
            </w:tcBorders>
            <w:shd w:val="clear" w:color="auto" w:fill="auto"/>
          </w:tcPr>
          <w:p>
            <w:pPr>
              <w:pStyle w:val="nTable"/>
              <w:spacing w:after="40"/>
              <w:rPr>
                <w:snapToGrid w:val="0"/>
              </w:rPr>
            </w:pPr>
            <w:r>
              <w:rPr>
                <w:snapToGrid w:val="0"/>
              </w:rPr>
              <w:t>1 Sep 2024 (see s. 2(b) and SL 2024/175 cl. 2)</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Cs/>
              </w:rPr>
            </w:pPr>
            <w:r>
              <w:rPr>
                <w:i/>
              </w:rPr>
              <w:t xml:space="preserve">Family Violence Legislation Reform Act 2024 </w:t>
            </w:r>
          </w:p>
        </w:tc>
        <w:tc>
          <w:tcPr>
            <w:tcW w:w="1134" w:type="dxa"/>
            <w:tcBorders>
              <w:top w:val="nil"/>
              <w:bottom w:val="single" w:sz="4" w:space="0" w:color="auto"/>
            </w:tcBorders>
            <w:shd w:val="clear" w:color="auto" w:fill="auto"/>
          </w:tcPr>
          <w:p>
            <w:pPr>
              <w:pStyle w:val="nTable"/>
              <w:spacing w:after="40"/>
            </w:pPr>
            <w:r>
              <w:t>28 of 2024</w:t>
            </w:r>
          </w:p>
        </w:tc>
        <w:tc>
          <w:tcPr>
            <w:tcW w:w="1134" w:type="dxa"/>
            <w:tcBorders>
              <w:top w:val="nil"/>
              <w:bottom w:val="single" w:sz="4" w:space="0" w:color="auto"/>
            </w:tcBorders>
            <w:shd w:val="clear" w:color="auto" w:fill="auto"/>
          </w:tcPr>
          <w:p>
            <w:pPr>
              <w:pStyle w:val="nTable"/>
              <w:spacing w:after="40"/>
            </w:pPr>
            <w:r>
              <w:t>17 Sep 2024</w:t>
            </w:r>
          </w:p>
        </w:tc>
        <w:tc>
          <w:tcPr>
            <w:tcW w:w="2552" w:type="dxa"/>
            <w:tcBorders>
              <w:top w:val="nil"/>
              <w:bottom w:val="single" w:sz="4" w:space="0" w:color="auto"/>
              <w:right w:val="nil"/>
            </w:tcBorders>
            <w:shd w:val="clear" w:color="auto" w:fill="auto"/>
          </w:tcPr>
          <w:p>
            <w:pPr>
              <w:pStyle w:val="nTable"/>
              <w:spacing w:after="40"/>
              <w:rPr>
                <w:snapToGrid w:val="0"/>
              </w:rPr>
            </w:pPr>
            <w:r>
              <w:rPr>
                <w:iCs/>
              </w:rPr>
              <w:t xml:space="preserve">s. 75: </w:t>
            </w:r>
            <w:r>
              <w:rPr>
                <w:snapToGrid w:val="0"/>
              </w:rPr>
              <w:t>18 Sep 2024 (see s. 2(c));</w:t>
            </w:r>
            <w:r>
              <w:rPr>
                <w:snapToGrid w:val="0"/>
              </w:rPr>
              <w:br/>
              <w:t>Pt. 7: 14 Nov 2024 (see s. 2(d) and SL 2024/228 cl. 2)</w:t>
            </w:r>
          </w:p>
        </w:tc>
      </w:tr>
    </w:tbl>
    <w:p>
      <w:pPr>
        <w:pStyle w:val="nHeading3"/>
      </w:pPr>
      <w:bookmarkStart w:id="278" w:name="_Toc185504234"/>
      <w:r>
        <w:t>Uncommenced provisions table</w:t>
      </w:r>
      <w:bookmarkEnd w:id="278"/>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nil"/>
            </w:tcBorders>
          </w:tcPr>
          <w:p>
            <w:pPr>
              <w:pStyle w:val="nTable"/>
              <w:spacing w:after="40"/>
            </w:pPr>
            <w:r>
              <w:t>20 of 2013</w:t>
            </w:r>
          </w:p>
        </w:tc>
        <w:tc>
          <w:tcPr>
            <w:tcW w:w="1230" w:type="dxa"/>
            <w:tcBorders>
              <w:top w:val="single" w:sz="4" w:space="0" w:color="auto"/>
              <w:bottom w:val="nil"/>
            </w:tcBorders>
          </w:tcPr>
          <w:p>
            <w:pPr>
              <w:pStyle w:val="nTable"/>
              <w:spacing w:after="40"/>
            </w:pPr>
            <w:r>
              <w:t>4 Nov 2013</w:t>
            </w:r>
          </w:p>
        </w:tc>
        <w:tc>
          <w:tcPr>
            <w:tcW w:w="2534"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224" w:type="dxa"/>
            <w:tcBorders>
              <w:top w:val="nil"/>
              <w:bottom w:val="single" w:sz="4" w:space="0" w:color="auto"/>
            </w:tcBorders>
          </w:tcPr>
          <w:p>
            <w:pPr>
              <w:pStyle w:val="nTable"/>
              <w:spacing w:after="40"/>
              <w:rPr>
                <w:iCs/>
              </w:rPr>
            </w:pPr>
            <w:r>
              <w:rPr>
                <w:i/>
              </w:rPr>
              <w:t>Firearms Act 2024</w:t>
            </w:r>
            <w:r>
              <w:rPr>
                <w:iCs/>
              </w:rPr>
              <w:t xml:space="preserve"> Pt. 17 Div. 3 Subdiv. 16</w:t>
            </w:r>
          </w:p>
        </w:tc>
        <w:tc>
          <w:tcPr>
            <w:tcW w:w="1109" w:type="dxa"/>
            <w:tcBorders>
              <w:top w:val="nil"/>
              <w:bottom w:val="single" w:sz="4" w:space="0" w:color="auto"/>
            </w:tcBorders>
          </w:tcPr>
          <w:p>
            <w:pPr>
              <w:pStyle w:val="nTable"/>
              <w:spacing w:after="40"/>
            </w:pPr>
            <w:r>
              <w:t>23 of 2024</w:t>
            </w:r>
          </w:p>
        </w:tc>
        <w:tc>
          <w:tcPr>
            <w:tcW w:w="1230" w:type="dxa"/>
            <w:tcBorders>
              <w:top w:val="nil"/>
              <w:bottom w:val="single" w:sz="4" w:space="0" w:color="auto"/>
            </w:tcBorders>
          </w:tcPr>
          <w:p>
            <w:pPr>
              <w:pStyle w:val="nTable"/>
              <w:spacing w:after="40"/>
            </w:pPr>
            <w:r>
              <w:t>27 Jun 2024</w:t>
            </w:r>
          </w:p>
        </w:tc>
        <w:tc>
          <w:tcPr>
            <w:tcW w:w="2534" w:type="dxa"/>
            <w:tcBorders>
              <w:top w:val="nil"/>
              <w:bottom w:val="single" w:sz="4" w:space="0" w:color="auto"/>
            </w:tcBorders>
          </w:tcPr>
          <w:p>
            <w:pPr>
              <w:pStyle w:val="nTable"/>
              <w:spacing w:after="40"/>
              <w:rPr>
                <w:snapToGrid w:val="0"/>
              </w:rPr>
            </w:pPr>
            <w:r>
              <w:rPr>
                <w:snapToGrid w:val="0"/>
              </w:rPr>
              <w:t>31 Mar 2025 (see s. 2(d) and SL 2024/289 cl. 2)</w:t>
            </w:r>
          </w:p>
        </w:tc>
      </w:tr>
    </w:tbl>
    <w:p>
      <w:pPr>
        <w:pStyle w:val="nHeading3"/>
      </w:pPr>
      <w:bookmarkStart w:id="279" w:name="_Toc185504235"/>
      <w:r>
        <w:t>Other notes</w:t>
      </w:r>
      <w:bookmarkEnd w:id="279"/>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81" w:name="_Toc185434229"/>
      <w:bookmarkStart w:id="282" w:name="_Toc185434440"/>
      <w:bookmarkStart w:id="283" w:name="_Toc185504236"/>
      <w:r>
        <w:rPr>
          <w:sz w:val="28"/>
        </w:rPr>
        <w:lastRenderedPageBreak/>
        <w:t>Defined terms</w:t>
      </w:r>
      <w:bookmarkEnd w:id="281"/>
      <w:bookmarkEnd w:id="282"/>
      <w:bookmarkEnd w:id="2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affidavit</w:t>
      </w:r>
      <w:r>
        <w:tab/>
        <w:t>3(1)</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10P(1)</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cyber-stalking</w:t>
      </w:r>
      <w:r>
        <w:tab/>
        <w:t>3(1)</w:t>
      </w:r>
    </w:p>
    <w:p>
      <w:pPr>
        <w:pStyle w:val="DefinedTerms"/>
      </w:pPr>
      <w:r>
        <w:t>distributes</w:t>
      </w:r>
      <w:r>
        <w:tab/>
        <w:t>3(1)</w:t>
      </w:r>
    </w:p>
    <w:p>
      <w:pPr>
        <w:pStyle w:val="DefinedTerms"/>
      </w:pPr>
      <w:r>
        <w:t>earlier order</w:t>
      </w:r>
      <w:r>
        <w:tab/>
        <w:t>32(5)</w:t>
      </w:r>
    </w:p>
    <w:p>
      <w:pPr>
        <w:pStyle w:val="DefinedTerms"/>
      </w:pPr>
      <w:r>
        <w:t>eligibility assessment interview</w:t>
      </w:r>
      <w:r>
        <w:tab/>
        <w:t>10H(4),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10O(1)</w:t>
      </w:r>
    </w:p>
    <w:p>
      <w:pPr>
        <w:pStyle w:val="DefinedTerms"/>
      </w:pPr>
      <w:r>
        <w:t>explosive</w:t>
      </w:r>
      <w:r>
        <w:tab/>
        <w:t>3(1)</w:t>
      </w:r>
    </w:p>
    <w:p>
      <w:pPr>
        <w:pStyle w:val="DefinedTerms"/>
      </w:pPr>
      <w:r>
        <w:t>explosives licence</w:t>
      </w:r>
      <w:r>
        <w:tab/>
        <w:t>3(1)</w:t>
      </w:r>
    </w:p>
    <w:p>
      <w:pPr>
        <w:pStyle w:val="DefinedTerms"/>
      </w:pPr>
      <w:r>
        <w:t>exposed</w:t>
      </w:r>
      <w:r>
        <w:tab/>
        <w:t>3(1), 6(1)</w:t>
      </w:r>
    </w:p>
    <w:p>
      <w:pPr>
        <w:pStyle w:val="DefinedTerms"/>
      </w:pPr>
      <w:r>
        <w:t>family court proceedings</w:t>
      </w:r>
      <w:r>
        <w:tab/>
        <w:t>2(1)</w:t>
      </w:r>
    </w:p>
    <w:p>
      <w:pPr>
        <w:pStyle w:val="DefinedTerms"/>
      </w:pPr>
      <w:r>
        <w:t>family member</w:t>
      </w:r>
      <w:r>
        <w:tab/>
        <w:t>3(1), 4(2)</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lastRenderedPageBreak/>
        <w:t>final order</w:t>
      </w:r>
      <w:r>
        <w:tab/>
        <w:t>3(1)</w:t>
      </w:r>
    </w:p>
    <w:p>
      <w:pPr>
        <w:pStyle w:val="DefinedTerms"/>
      </w:pPr>
      <w:r>
        <w:t>final order hearing</w:t>
      </w:r>
      <w:r>
        <w:tab/>
        <w:t>3(1)</w:t>
      </w:r>
    </w:p>
    <w:p>
      <w:pPr>
        <w:pStyle w:val="DefinedTerms"/>
      </w:pPr>
      <w:r>
        <w:t>firearm item</w:t>
      </w:r>
      <w:r>
        <w:tab/>
        <w:t>3(1)</w:t>
      </w:r>
    </w:p>
    <w:p>
      <w:pPr>
        <w:pStyle w:val="DefinedTerms"/>
      </w:pPr>
      <w:r>
        <w:t>firearms authorisation</w:t>
      </w:r>
      <w:r>
        <w:tab/>
        <w:t>3(1)</w:t>
      </w:r>
    </w:p>
    <w:p>
      <w:pPr>
        <w:pStyle w:val="DefinedTerms"/>
      </w:pPr>
      <w:r>
        <w:t>firearms order</w:t>
      </w:r>
      <w:r>
        <w:tab/>
        <w:t>71(1)</w:t>
      </w:r>
    </w:p>
    <w:p>
      <w:pPr>
        <w:pStyle w:val="DefinedTerms"/>
      </w:pPr>
      <w:r>
        <w:t>fix a hearing</w:t>
      </w:r>
      <w:r>
        <w:tab/>
        <w:t>2(1)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intimate image</w:t>
      </w:r>
      <w:r>
        <w:tab/>
        <w:t>3(1)</w:t>
      </w:r>
    </w:p>
    <w:p>
      <w:pPr>
        <w:pStyle w:val="DefinedTerms"/>
      </w:pPr>
      <w:r>
        <w:t>kidnapping, or depriving the liberty of</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personal violence</w:t>
      </w:r>
      <w:r>
        <w:tab/>
        <w:t>2(1), 6(2)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relevant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2(1)</w:t>
      </w:r>
    </w:p>
    <w:p>
      <w:pPr>
        <w:pStyle w:val="DefinedTerms"/>
      </w:pPr>
      <w:r>
        <w:t>protected person</w:t>
      </w:r>
      <w:r>
        <w:tab/>
        <w:t>61B(1)</w:t>
      </w:r>
    </w:p>
    <w:p>
      <w:pPr>
        <w:pStyle w:val="DefinedTerms"/>
      </w:pPr>
      <w:r>
        <w:t>Public Advocate</w:t>
      </w:r>
      <w:r>
        <w:tab/>
        <w:t>3(1)</w:t>
      </w:r>
    </w:p>
    <w:p>
      <w:pPr>
        <w:pStyle w:val="DefinedTerms"/>
      </w:pPr>
      <w:r>
        <w:t>qualifying relevant offence</w:t>
      </w:r>
      <w:r>
        <w:tab/>
        <w:t>61A(2)</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61A(1)</w:t>
      </w:r>
    </w:p>
    <w:p>
      <w:pPr>
        <w:pStyle w:val="DefinedTerms"/>
      </w:pPr>
      <w:r>
        <w:t>remote communication</w:t>
      </w:r>
      <w:r>
        <w:tab/>
        <w:t>62D(8)</w:t>
      </w:r>
    </w:p>
    <w:p>
      <w:pPr>
        <w:pStyle w:val="DefinedTerms"/>
      </w:pPr>
      <w:r>
        <w:t>representation</w:t>
      </w:r>
      <w:r>
        <w:tab/>
        <w:t>44A(3), 53E(4)</w:t>
      </w:r>
    </w:p>
    <w:p>
      <w:pPr>
        <w:pStyle w:val="DefinedTerms"/>
      </w:pPr>
      <w:r>
        <w:t>respondent</w:t>
      </w:r>
      <w:r>
        <w:tab/>
        <w:t>3(1), 30I(3), 43A(1)</w:t>
      </w:r>
    </w:p>
    <w:p>
      <w:pPr>
        <w:pStyle w:val="DefinedTerms"/>
      </w:pPr>
      <w:r>
        <w:t>responsible person</w:t>
      </w:r>
      <w:r>
        <w:tab/>
        <w:t>71(1)</w:t>
      </w:r>
    </w:p>
    <w:p>
      <w:pPr>
        <w:pStyle w:val="DefinedTerms"/>
      </w:pPr>
      <w:r>
        <w:lastRenderedPageBreak/>
        <w:t>restrained person</w:t>
      </w:r>
      <w:r>
        <w:tab/>
        <w:t>71(1)</w:t>
      </w:r>
    </w:p>
    <w:p>
      <w:pPr>
        <w:pStyle w:val="DefinedTerms"/>
      </w:pPr>
      <w:r>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2(1)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64212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A00E0BE" w14:textId="4978E3D1" w:rsidR="00AE02FC" w:rsidRDefault="00EF1AE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0556E">
                        <w:rPr>
                          <w:sz w:val="16"/>
                        </w:rPr>
                        <w:t>2024</w:t>
                      </w:r>
                      <w:r>
                        <w:rPr>
                          <w:sz w:val="16"/>
                        </w:rPr>
                        <w:fldChar w:fldCharType="end"/>
                      </w:r>
                      <w:r>
                        <w:rPr>
                          <w:sz w:val="16"/>
                        </w:rPr>
                        <w:t>.</w:t>
                      </w:r>
                    </w:p>
                    <w:p w14:paraId="6EBAD254" w14:textId="77777777" w:rsidR="00AE02FC" w:rsidRDefault="00EF1AE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023E3A5" w14:textId="56BF97DD" w:rsidR="00AE02FC" w:rsidRDefault="00EF1AE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0556E">
                        <w:rPr>
                          <w:sz w:val="16"/>
                        </w:rPr>
                        <w:t>2024</w:t>
                      </w:r>
                      <w:r>
                        <w:rPr>
                          <w:sz w:val="16"/>
                        </w:rPr>
                        <w:fldChar w:fldCharType="end"/>
                      </w:r>
                      <w:r>
                        <w:rPr>
                          <w:sz w:val="16"/>
                        </w:rPr>
                        <w:t>.</w:t>
                      </w:r>
                    </w:p>
                    <w:p w14:paraId="4BE0DF9F" w14:textId="77777777" w:rsidR="00AE02FC" w:rsidRDefault="00EF1AE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4" w:name="DefinedTerms"/>
    <w:bookmarkEnd w:id="2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63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65021"/>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 w:name="WAFER_20230324141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41429_GUID" w:val="d98d30bb-0bf7-4d6c-b1b4-06d916a08d5c"/>
    <w:docVar w:name="WAFER_20230412133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17_GUID" w:val="a8eb1504-26ae-4380-8d07-ee9e2627e93e"/>
    <w:docVar w:name="WAFER_20240627092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031_GUID" w:val="57d82895-cc0f-4aa0-9965-a0ab693f744d"/>
    <w:docVar w:name="WAFER_20240627092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200_GUID" w:val="a600968c-bf7e-44b0-8de7-5431936bfca6"/>
    <w:docVar w:name="WAFER_20240822151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1124_GUID" w:val="2e74d802-f21f-48e7-8d50-4cfa83c37dee"/>
    <w:docVar w:name="WAFER_2024091209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1241_GUID" w:val="ae673e70-510d-4170-a3cc-77aeb7b03720"/>
    <w:docVar w:name="WAFER_20241108092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2821_GUID" w:val="72390c8e-cb0a-48c1-ae6a-41999dba487b"/>
    <w:docVar w:name="WAFER_20241108092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2937_GUID" w:val="fd248c8c-7480-4902-bfd3-003603a1cf71"/>
    <w:docVar w:name="WAFER_20241218165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5021_GUID" w:val="35ecd40a-10fb-4afe-bc98-a3dbd24d08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AB891-A272-41DE-93EE-272C1B4CA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42935</Words>
  <Characters>198362</Characters>
  <Application>Microsoft Office Word</Application>
  <DocSecurity>0</DocSecurity>
  <Lines>5361</Lines>
  <Paragraphs>3217</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238080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1997 - 05-s0-01</dc:title>
  <dc:subject/>
  <dc:creator/>
  <cp:keywords/>
  <dc:description/>
  <cp:lastModifiedBy>Master Repository Process</cp:lastModifiedBy>
  <cp:revision>4</cp:revision>
  <cp:lastPrinted>2019-02-27T04:33:00Z</cp:lastPrinted>
  <dcterms:created xsi:type="dcterms:W3CDTF">2025-05-29T04:59:00Z</dcterms:created>
  <dcterms:modified xsi:type="dcterms:W3CDTF">2025-05-29T04:59:00Z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14 Nov 2024</vt:lpwstr>
  </property>
  <property fmtid="{D5CDD505-2E9C-101B-9397-08002B2CF9AE}" pid="8" name="Suffix">
    <vt:lpwstr>05-s0-01</vt:lpwstr>
  </property>
  <property fmtid="{D5CDD505-2E9C-101B-9397-08002B2CF9AE}" pid="9" name="Official">
    <vt:lpwstr/>
  </property>
  <property fmtid="{D5CDD505-2E9C-101B-9397-08002B2CF9AE}" pid="10" name="CommencementDate">
    <vt:lpwstr>20241114</vt:lpwstr>
  </property>
  <property fmtid="{D5CDD505-2E9C-101B-9397-08002B2CF9AE}" pid="11" name="CommencementAsAt">
    <vt:filetime>2024-11-13T16:00:00Z</vt:filetime>
  </property>
  <property fmtid="{D5CDD505-2E9C-101B-9397-08002B2CF9AE}" pid="12" name="CommencementYear">
    <vt:lpwstr>2024</vt:lpwstr>
  </property>
</Properties>
</file>