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_Toc182321109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_Toc182321110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rPr>
          <w:snapToGrid w:val="0"/>
        </w:rPr>
        <w:t>.</w:t>
      </w:r>
      <w:r>
        <w:rPr>
          <w:snapToGrid w:val="0"/>
        </w:rPr>
        <w:tab/>
      </w:r>
      <w:r>
        <w:t>Terms used</w:t>
      </w:r>
      <w:r>
        <w:tab/>
      </w:r>
      <w:r>
        <w:fldChar w:fldCharType="begin"/>
      </w:r>
      <w:r>
        <w:instrText xml:space="preserve"> PAGEREF _Toc182321113 \h </w:instrText>
      </w:r>
      <w:r>
        <w:fldChar w:fldCharType="separate"/>
      </w:r>
      <w:r>
        <w:t>3</w:t>
      </w:r>
      <w:r>
        <w:fldChar w:fldCharType="end"/>
      </w:r>
    </w:p>
    <w:p>
      <w:pPr>
        <w:pStyle w:val="TOC8"/>
        <w:rPr>
          <w:rFonts w:asciiTheme="minorHAnsi" w:eastAsiaTheme="minorEastAsia" w:hAnsiTheme="minorHAnsi" w:cstheme="minorBidi"/>
          <w:szCs w:val="22"/>
        </w:rPr>
      </w:pPr>
      <w:r>
        <w:t>4A.</w:t>
      </w:r>
      <w:r>
        <w:tab/>
        <w:t>Employees with equivalent separate LSL entitlements</w:t>
      </w:r>
      <w:r>
        <w:tab/>
      </w:r>
      <w:r>
        <w:fldChar w:fldCharType="begin"/>
      </w:r>
      <w:r>
        <w:instrText xml:space="preserve"> PAGEREF _Toc182321114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Cashing out of accrued long service leave</w:t>
      </w:r>
      <w:r>
        <w:tab/>
      </w:r>
      <w:r>
        <w:fldChar w:fldCharType="begin"/>
      </w:r>
      <w:r>
        <w:instrText xml:space="preserve"> PAGEREF _Toc182321115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Continuous employment</w:t>
      </w:r>
      <w:r>
        <w:tab/>
      </w:r>
      <w:r>
        <w:fldChar w:fldCharType="begin"/>
      </w:r>
      <w:r>
        <w:instrText xml:space="preserve"> PAGEREF _Toc182321116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Calculating length of continuous employment</w:t>
      </w:r>
      <w:r>
        <w:tab/>
      </w:r>
      <w:r>
        <w:fldChar w:fldCharType="begin"/>
      </w:r>
      <w:r>
        <w:instrText xml:space="preserve"> PAGEREF _Toc182321117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Ordinary pay</w:t>
      </w:r>
    </w:p>
    <w:p>
      <w:pPr>
        <w:pStyle w:val="TOC8"/>
        <w:rPr>
          <w:rFonts w:asciiTheme="minorHAnsi" w:eastAsiaTheme="minorEastAsia" w:hAnsiTheme="minorHAnsi" w:cstheme="minorBidi"/>
          <w:szCs w:val="22"/>
        </w:rPr>
      </w:pPr>
      <w:r>
        <w:t>7.</w:t>
      </w:r>
      <w:r>
        <w:tab/>
        <w:t>Ordinary pay: general</w:t>
      </w:r>
      <w:r>
        <w:tab/>
      </w:r>
      <w:r>
        <w:fldChar w:fldCharType="begin"/>
      </w:r>
      <w:r>
        <w:instrText xml:space="preserve"> PAGEREF _Toc182321119 \h </w:instrText>
      </w:r>
      <w:r>
        <w:fldChar w:fldCharType="separate"/>
      </w:r>
      <w:r>
        <w:t>10</w:t>
      </w:r>
      <w:r>
        <w:fldChar w:fldCharType="end"/>
      </w:r>
    </w:p>
    <w:p>
      <w:pPr>
        <w:pStyle w:val="TOC8"/>
        <w:rPr>
          <w:rFonts w:asciiTheme="minorHAnsi" w:eastAsiaTheme="minorEastAsia" w:hAnsiTheme="minorHAnsi" w:cstheme="minorBidi"/>
          <w:szCs w:val="22"/>
        </w:rPr>
      </w:pPr>
      <w:r>
        <w:t>7A.</w:t>
      </w:r>
      <w:r>
        <w:tab/>
        <w:t>Ordinary pay: shift premiums, overtime, penalty rates or allowances</w:t>
      </w:r>
      <w:r>
        <w:tab/>
      </w:r>
      <w:r>
        <w:fldChar w:fldCharType="begin"/>
      </w:r>
      <w:r>
        <w:instrText xml:space="preserve"> PAGEREF _Toc182321120 \h </w:instrText>
      </w:r>
      <w:r>
        <w:fldChar w:fldCharType="separate"/>
      </w:r>
      <w:r>
        <w:t>12</w:t>
      </w:r>
      <w:r>
        <w:fldChar w:fldCharType="end"/>
      </w:r>
    </w:p>
    <w:p>
      <w:pPr>
        <w:pStyle w:val="TOC8"/>
        <w:rPr>
          <w:rFonts w:asciiTheme="minorHAnsi" w:eastAsiaTheme="minorEastAsia" w:hAnsiTheme="minorHAnsi" w:cstheme="minorBidi"/>
          <w:szCs w:val="22"/>
        </w:rPr>
      </w:pPr>
      <w:r>
        <w:t>7B.</w:t>
      </w:r>
      <w:r>
        <w:tab/>
        <w:t>Ordinary pay: casual employees’ loading</w:t>
      </w:r>
      <w:r>
        <w:tab/>
      </w:r>
      <w:r>
        <w:fldChar w:fldCharType="begin"/>
      </w:r>
      <w:r>
        <w:instrText xml:space="preserve"> PAGEREF _Toc182321121 \h </w:instrText>
      </w:r>
      <w:r>
        <w:fldChar w:fldCharType="separate"/>
      </w:r>
      <w:r>
        <w:t>12</w:t>
      </w:r>
      <w:r>
        <w:fldChar w:fldCharType="end"/>
      </w:r>
    </w:p>
    <w:p>
      <w:pPr>
        <w:pStyle w:val="TOC8"/>
        <w:rPr>
          <w:rFonts w:asciiTheme="minorHAnsi" w:eastAsiaTheme="minorEastAsia" w:hAnsiTheme="minorHAnsi" w:cstheme="minorBidi"/>
          <w:szCs w:val="22"/>
        </w:rPr>
      </w:pPr>
      <w:r>
        <w:t>7C.</w:t>
      </w:r>
      <w:r>
        <w:tab/>
        <w:t>Ordinary pay: board and lodging</w:t>
      </w:r>
      <w:r>
        <w:tab/>
      </w:r>
      <w:r>
        <w:fldChar w:fldCharType="begin"/>
      </w:r>
      <w:r>
        <w:instrText xml:space="preserve"> PAGEREF _Toc182321122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Transfer of business</w:t>
      </w:r>
    </w:p>
    <w:p>
      <w:pPr>
        <w:pStyle w:val="TOC8"/>
        <w:rPr>
          <w:rFonts w:asciiTheme="minorHAnsi" w:eastAsiaTheme="minorEastAsia" w:hAnsiTheme="minorHAnsi" w:cstheme="minorBidi"/>
          <w:szCs w:val="22"/>
        </w:rPr>
      </w:pPr>
      <w:r>
        <w:t>7D.</w:t>
      </w:r>
      <w:r>
        <w:tab/>
        <w:t>Terms used</w:t>
      </w:r>
      <w:r>
        <w:tab/>
      </w:r>
      <w:r>
        <w:fldChar w:fldCharType="begin"/>
      </w:r>
      <w:r>
        <w:instrText xml:space="preserve"> PAGEREF _Toc182321124 \h </w:instrText>
      </w:r>
      <w:r>
        <w:fldChar w:fldCharType="separate"/>
      </w:r>
      <w:r>
        <w:t>13</w:t>
      </w:r>
      <w:r>
        <w:fldChar w:fldCharType="end"/>
      </w:r>
    </w:p>
    <w:p>
      <w:pPr>
        <w:pStyle w:val="TOC8"/>
        <w:rPr>
          <w:rFonts w:asciiTheme="minorHAnsi" w:eastAsiaTheme="minorEastAsia" w:hAnsiTheme="minorHAnsi" w:cstheme="minorBidi"/>
          <w:szCs w:val="22"/>
        </w:rPr>
      </w:pPr>
      <w:r>
        <w:t>7E.</w:t>
      </w:r>
      <w:r>
        <w:tab/>
        <w:t>Transfer of business, old employer, new employer, transferring work</w:t>
      </w:r>
      <w:r>
        <w:tab/>
      </w:r>
      <w:r>
        <w:fldChar w:fldCharType="begin"/>
      </w:r>
      <w:r>
        <w:instrText xml:space="preserve"> PAGEREF _Toc182321125 \h </w:instrText>
      </w:r>
      <w:r>
        <w:fldChar w:fldCharType="separate"/>
      </w:r>
      <w:r>
        <w:t>13</w:t>
      </w:r>
      <w:r>
        <w:fldChar w:fldCharType="end"/>
      </w:r>
    </w:p>
    <w:p>
      <w:pPr>
        <w:pStyle w:val="TOC8"/>
        <w:rPr>
          <w:rFonts w:asciiTheme="minorHAnsi" w:eastAsiaTheme="minorEastAsia" w:hAnsiTheme="minorHAnsi" w:cstheme="minorBidi"/>
          <w:szCs w:val="22"/>
        </w:rPr>
      </w:pPr>
      <w:r>
        <w:t>7F.</w:t>
      </w:r>
      <w:r>
        <w:tab/>
        <w:t>Transferring employee</w:t>
      </w:r>
      <w:r>
        <w:tab/>
      </w:r>
      <w:r>
        <w:fldChar w:fldCharType="begin"/>
      </w:r>
      <w:r>
        <w:instrText xml:space="preserve"> PAGEREF _Toc182321126 \h </w:instrText>
      </w:r>
      <w:r>
        <w:fldChar w:fldCharType="separate"/>
      </w:r>
      <w:r>
        <w:t>14</w:t>
      </w:r>
      <w:r>
        <w:fldChar w:fldCharType="end"/>
      </w:r>
    </w:p>
    <w:p>
      <w:pPr>
        <w:pStyle w:val="TOC8"/>
        <w:rPr>
          <w:rFonts w:asciiTheme="minorHAnsi" w:eastAsiaTheme="minorEastAsia" w:hAnsiTheme="minorHAnsi" w:cstheme="minorBidi"/>
          <w:szCs w:val="22"/>
        </w:rPr>
      </w:pPr>
      <w:r>
        <w:t>7G.</w:t>
      </w:r>
      <w:r>
        <w:tab/>
        <w:t>Connection between old employer and new employer</w:t>
      </w:r>
      <w:r>
        <w:tab/>
      </w:r>
      <w:r>
        <w:fldChar w:fldCharType="begin"/>
      </w:r>
      <w:r>
        <w:instrText xml:space="preserve"> PAGEREF _Toc182321127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7H.</w:t>
      </w:r>
      <w:r>
        <w:tab/>
        <w:t>Status of transferring employees on transfer of business</w:t>
      </w:r>
      <w:r>
        <w:tab/>
      </w:r>
      <w:r>
        <w:fldChar w:fldCharType="begin"/>
      </w:r>
      <w:r>
        <w:instrText xml:space="preserve"> PAGEREF _Toc182321128 \h </w:instrText>
      </w:r>
      <w:r>
        <w:fldChar w:fldCharType="separate"/>
      </w:r>
      <w:r>
        <w:t>15</w:t>
      </w:r>
      <w:r>
        <w:fldChar w:fldCharType="end"/>
      </w:r>
    </w:p>
    <w:p>
      <w:pPr>
        <w:pStyle w:val="TOC8"/>
        <w:rPr>
          <w:rFonts w:asciiTheme="minorHAnsi" w:eastAsiaTheme="minorEastAsia" w:hAnsiTheme="minorHAnsi" w:cstheme="minorBidi"/>
          <w:szCs w:val="22"/>
        </w:rPr>
      </w:pPr>
      <w:r>
        <w:t>7I.</w:t>
      </w:r>
      <w:r>
        <w:tab/>
        <w:t>Transfer of employment records</w:t>
      </w:r>
      <w:r>
        <w:tab/>
      </w:r>
      <w:r>
        <w:fldChar w:fldCharType="begin"/>
      </w:r>
      <w:r>
        <w:instrText xml:space="preserve"> PAGEREF _Toc182321129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on termination instead</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_Toc182321131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Taking long service leave and payment on termination</w:t>
      </w:r>
      <w:r>
        <w:tab/>
      </w:r>
      <w:r>
        <w:fldChar w:fldCharType="begin"/>
      </w:r>
      <w:r>
        <w:instrText xml:space="preserve"> PAGEREF _Toc182321132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_Toc182321133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_Toc182321135 \h </w:instrText>
      </w:r>
      <w:r>
        <w:fldChar w:fldCharType="separate"/>
      </w:r>
      <w:r>
        <w:t>22</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_Toc182321136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_Toc182321139 \h </w:instrText>
      </w:r>
      <w:r>
        <w:fldChar w:fldCharType="separate"/>
      </w:r>
      <w:r>
        <w:t>24</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r>
      <w:r>
        <w:t>Access to employment records kept by employer</w:t>
      </w:r>
      <w:r>
        <w:tab/>
      </w:r>
      <w:r>
        <w:fldChar w:fldCharType="begin"/>
      </w:r>
      <w:r>
        <w:instrText xml:space="preserve"> PAGEREF _Toc182321140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_Toc182321142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_Toc182321144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_Toc182321146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Application to this Act of certain regulations made under the IR Act</w:t>
      </w:r>
      <w:r>
        <w:tab/>
      </w:r>
      <w:r>
        <w:fldChar w:fldCharType="begin"/>
      </w:r>
      <w:r>
        <w:instrText xml:space="preserve"> PAGEREF _Toc182321147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Savings provisions for </w:t>
      </w:r>
      <w:r>
        <w:rPr>
          <w:i/>
        </w:rPr>
        <w:t>Industrial Relations Legislation Amendment Act 2021</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_Toc182321149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41.</w:t>
      </w:r>
      <w:r>
        <w:tab/>
        <w:t>Business transmitted before commencement day</w:t>
      </w:r>
      <w:r>
        <w:tab/>
      </w:r>
      <w:r>
        <w:fldChar w:fldCharType="begin"/>
      </w:r>
      <w:r>
        <w:instrText xml:space="preserve"> PAGEREF _Toc182321150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_Toc182321152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_Toc182321153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_Toc182321154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2" w:name="_Toc182314962"/>
      <w:bookmarkStart w:id="3" w:name="_Toc182315009"/>
      <w:bookmarkStart w:id="4" w:name="_Toc182321108"/>
      <w:r>
        <w:rPr>
          <w:rStyle w:val="CharPartNo"/>
        </w:rPr>
        <w:lastRenderedPageBreak/>
        <w:t>Part I</w:t>
      </w:r>
      <w:r>
        <w:rPr>
          <w:rStyle w:val="CharDivNo"/>
        </w:rPr>
        <w:t> </w:t>
      </w:r>
      <w:r>
        <w:t>—</w:t>
      </w:r>
      <w:r>
        <w:rPr>
          <w:rStyle w:val="CharDivText"/>
        </w:rPr>
        <w:t> </w:t>
      </w:r>
      <w:r>
        <w:rPr>
          <w:rStyle w:val="CharPartText"/>
        </w:rPr>
        <w:t>Preliminary provisions</w:t>
      </w:r>
      <w:bookmarkEnd w:id="2"/>
      <w:bookmarkEnd w:id="3"/>
      <w:bookmarkEnd w:id="4"/>
      <w:r>
        <w:rPr>
          <w:rStyle w:val="CharPartText"/>
        </w:rPr>
        <w:t xml:space="preserve"> </w:t>
      </w:r>
    </w:p>
    <w:p>
      <w:pPr>
        <w:pStyle w:val="Heading5"/>
        <w:rPr>
          <w:snapToGrid w:val="0"/>
        </w:rPr>
      </w:pPr>
      <w:bookmarkStart w:id="5" w:name="_Toc18232110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6" w:name="_Toc18232111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7" w:name="_Toc182314965"/>
      <w:bookmarkStart w:id="8" w:name="_Toc182315012"/>
      <w:bookmarkStart w:id="9" w:name="_Toc182321111"/>
      <w:r>
        <w:rPr>
          <w:rStyle w:val="CharPartNo"/>
        </w:rPr>
        <w:lastRenderedPageBreak/>
        <w:t>Part II</w:t>
      </w:r>
      <w:r>
        <w:t> — </w:t>
      </w:r>
      <w:r>
        <w:rPr>
          <w:rStyle w:val="CharPartText"/>
        </w:rPr>
        <w:t>Construction and application of this Act</w:t>
      </w:r>
      <w:bookmarkEnd w:id="7"/>
      <w:bookmarkEnd w:id="8"/>
      <w:bookmarkEnd w:id="9"/>
      <w:r>
        <w:rPr>
          <w:rStyle w:val="CharPartText"/>
        </w:rPr>
        <w:t xml:space="preserve"> </w:t>
      </w:r>
    </w:p>
    <w:p>
      <w:pPr>
        <w:pStyle w:val="Heading3"/>
      </w:pPr>
      <w:bookmarkStart w:id="10" w:name="_Toc182314966"/>
      <w:bookmarkStart w:id="11" w:name="_Toc182315013"/>
      <w:bookmarkStart w:id="12" w:name="_Toc182321112"/>
      <w:r>
        <w:rPr>
          <w:rStyle w:val="CharDivNo"/>
        </w:rPr>
        <w:t>Division 1</w:t>
      </w:r>
      <w:r>
        <w:t> — </w:t>
      </w:r>
      <w:r>
        <w:rPr>
          <w:rStyle w:val="CharDivText"/>
        </w:rPr>
        <w:t>General</w:t>
      </w:r>
      <w:bookmarkEnd w:id="10"/>
      <w:bookmarkEnd w:id="11"/>
      <w:bookmarkEnd w:id="12"/>
    </w:p>
    <w:p>
      <w:pPr>
        <w:pStyle w:val="Footnoteheading"/>
        <w:rPr>
          <w:snapToGrid w:val="0"/>
        </w:rPr>
      </w:pPr>
      <w:r>
        <w:rPr>
          <w:snapToGrid w:val="0"/>
        </w:rPr>
        <w:tab/>
        <w:t>[Heading inserted: No. 30 of 2021 s. 82.]</w:t>
      </w:r>
    </w:p>
    <w:p>
      <w:pPr>
        <w:pStyle w:val="Heading5"/>
        <w:rPr>
          <w:snapToGrid w:val="0"/>
        </w:rPr>
      </w:pPr>
      <w:bookmarkStart w:id="13" w:name="_Toc182321113"/>
      <w:r>
        <w:rPr>
          <w:rStyle w:val="CharSectno"/>
        </w:rPr>
        <w:t>4</w:t>
      </w:r>
      <w:r>
        <w:rPr>
          <w:snapToGrid w:val="0"/>
        </w:rPr>
        <w:t>.</w:t>
      </w:r>
      <w:r>
        <w:rPr>
          <w:snapToGrid w:val="0"/>
        </w:rPr>
        <w:tab/>
      </w:r>
      <w:r>
        <w:t>Terms used</w:t>
      </w:r>
      <w:bookmarkEnd w:id="13"/>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Defstart"/>
      </w:pPr>
      <w:r>
        <w:lastRenderedPageBreak/>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w:t>
      </w:r>
    </w:p>
    <w:p>
      <w:pPr>
        <w:pStyle w:val="Heading5"/>
      </w:pPr>
      <w:bookmarkStart w:id="14" w:name="_Toc182321114"/>
      <w:r>
        <w:rPr>
          <w:rStyle w:val="CharSectno"/>
        </w:rPr>
        <w:t>4A</w:t>
      </w:r>
      <w:r>
        <w:t>.</w:t>
      </w:r>
      <w:r>
        <w:tab/>
        <w:t>Employees with equivalent separate LSL entitlements</w:t>
      </w:r>
      <w:bookmarkEnd w:id="14"/>
    </w:p>
    <w:p>
      <w:pPr>
        <w:pStyle w:val="Subsection"/>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xml:space="preserve">, in relation to long service leave or payment on termination instead of long service leave, includes an eligibility </w:t>
      </w:r>
      <w:r>
        <w:lastRenderedPageBreak/>
        <w:t>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r>
        <w:tab/>
        <w:t>[Section 4A inserted: No. 30 of 2021 s. 84.]</w:t>
      </w:r>
    </w:p>
    <w:p>
      <w:pPr>
        <w:pStyle w:val="Heading5"/>
        <w:rPr>
          <w:snapToGrid w:val="0"/>
        </w:rPr>
      </w:pPr>
      <w:bookmarkStart w:id="15" w:name="_Toc182321115"/>
      <w:r>
        <w:rPr>
          <w:rStyle w:val="CharSectno"/>
        </w:rPr>
        <w:lastRenderedPageBreak/>
        <w:t>5</w:t>
      </w:r>
      <w:r>
        <w:rPr>
          <w:snapToGrid w:val="0"/>
        </w:rPr>
        <w:t>.</w:t>
      </w:r>
      <w:r>
        <w:rPr>
          <w:snapToGrid w:val="0"/>
        </w:rPr>
        <w:tab/>
        <w:t>Cashing out of accrued long service leave</w:t>
      </w:r>
      <w:bookmarkEnd w:id="15"/>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r>
        <w:tab/>
        <w:t>[Section 5 inserted: No. 30 of 2021 s. 84.]</w:t>
      </w:r>
    </w:p>
    <w:p>
      <w:pPr>
        <w:pStyle w:val="Heading5"/>
        <w:rPr>
          <w:snapToGrid w:val="0"/>
        </w:rPr>
      </w:pPr>
      <w:bookmarkStart w:id="16" w:name="_Toc182321116"/>
      <w:r>
        <w:rPr>
          <w:rStyle w:val="CharSectno"/>
        </w:rPr>
        <w:t>6</w:t>
      </w:r>
      <w:r>
        <w:rPr>
          <w:snapToGrid w:val="0"/>
        </w:rPr>
        <w:t>.</w:t>
      </w:r>
      <w:r>
        <w:rPr>
          <w:snapToGrid w:val="0"/>
        </w:rPr>
        <w:tab/>
        <w:t>Continuous employment</w:t>
      </w:r>
      <w:bookmarkEnd w:id="16"/>
    </w:p>
    <w:p>
      <w:pPr>
        <w:pStyle w:val="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lastRenderedPageBreak/>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lastRenderedPageBreak/>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lastRenderedPageBreak/>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r>
        <w:tab/>
        <w:t>[Section 6 inserted: No. 30 of 2021 s. 84.]</w:t>
      </w:r>
    </w:p>
    <w:p>
      <w:pPr>
        <w:pStyle w:val="Heading5"/>
        <w:rPr>
          <w:snapToGrid w:val="0"/>
        </w:rPr>
      </w:pPr>
      <w:bookmarkStart w:id="17" w:name="_Toc182321117"/>
      <w:r>
        <w:rPr>
          <w:rStyle w:val="CharSectno"/>
        </w:rPr>
        <w:t>6A</w:t>
      </w:r>
      <w:r>
        <w:rPr>
          <w:snapToGrid w:val="0"/>
        </w:rPr>
        <w:t>.</w:t>
      </w:r>
      <w:r>
        <w:rPr>
          <w:snapToGrid w:val="0"/>
        </w:rPr>
        <w:tab/>
        <w:t>Calculating length of continuous employment</w:t>
      </w:r>
      <w:bookmarkEnd w:id="17"/>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lastRenderedPageBreak/>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18" w:name="_Toc182314972"/>
      <w:bookmarkStart w:id="19" w:name="_Toc182315019"/>
      <w:bookmarkStart w:id="20" w:name="_Toc182321118"/>
      <w:r>
        <w:rPr>
          <w:rStyle w:val="CharDivNo"/>
        </w:rPr>
        <w:t>Division 2</w:t>
      </w:r>
      <w:r>
        <w:t> — </w:t>
      </w:r>
      <w:r>
        <w:rPr>
          <w:rStyle w:val="CharDivText"/>
        </w:rPr>
        <w:t>Ordinary pay</w:t>
      </w:r>
      <w:bookmarkEnd w:id="18"/>
      <w:bookmarkEnd w:id="19"/>
      <w:bookmarkEnd w:id="20"/>
    </w:p>
    <w:p>
      <w:pPr>
        <w:pStyle w:val="Footnoteheading"/>
        <w:rPr>
          <w:snapToGrid w:val="0"/>
        </w:rPr>
      </w:pPr>
      <w:r>
        <w:rPr>
          <w:snapToGrid w:val="0"/>
        </w:rPr>
        <w:tab/>
        <w:t>[Heading inserted: No. 30 of 2021 s. 85.]</w:t>
      </w:r>
    </w:p>
    <w:p>
      <w:pPr>
        <w:pStyle w:val="Heading5"/>
      </w:pPr>
      <w:bookmarkStart w:id="21" w:name="_Toc182321119"/>
      <w:r>
        <w:rPr>
          <w:rStyle w:val="CharSectno"/>
        </w:rPr>
        <w:t>7</w:t>
      </w:r>
      <w:r>
        <w:t>.</w:t>
      </w:r>
      <w:r>
        <w:tab/>
        <w:t>Ordinary pay: general</w:t>
      </w:r>
      <w:bookmarkEnd w:id="21"/>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w:t>
      </w:r>
      <w:r>
        <w:rPr>
          <w:snapToGrid w:val="0"/>
        </w:rPr>
        <w:lastRenderedPageBreak/>
        <w:t xml:space="preserve">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lastRenderedPageBreak/>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r>
        <w:tab/>
        <w:t>[Section 7 inserted: No. 30 of 2021 s. 86.]</w:t>
      </w:r>
    </w:p>
    <w:p>
      <w:pPr>
        <w:pStyle w:val="Heading5"/>
      </w:pPr>
      <w:bookmarkStart w:id="22" w:name="_Toc182321120"/>
      <w:r>
        <w:rPr>
          <w:rStyle w:val="CharSectno"/>
        </w:rPr>
        <w:t>7A</w:t>
      </w:r>
      <w:r>
        <w:t>.</w:t>
      </w:r>
      <w:r>
        <w:tab/>
        <w:t>Ordinary pay: shift premiums, overtime, penalty rates or allowances</w:t>
      </w:r>
      <w:bookmarkEnd w:id="22"/>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r>
        <w:tab/>
        <w:t>[Section 7A inserted: No. 30 of 2021 s. 86.]</w:t>
      </w:r>
    </w:p>
    <w:p>
      <w:pPr>
        <w:pStyle w:val="Heading5"/>
      </w:pPr>
      <w:bookmarkStart w:id="23" w:name="_Toc182321121"/>
      <w:r>
        <w:rPr>
          <w:rStyle w:val="CharSectno"/>
        </w:rPr>
        <w:t>7B</w:t>
      </w:r>
      <w:r>
        <w:t>.</w:t>
      </w:r>
      <w:r>
        <w:tab/>
        <w:t>Ordinary pay: casual employees’ loading</w:t>
      </w:r>
      <w:bookmarkEnd w:id="23"/>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r>
        <w:tab/>
        <w:t>[Section 7B inserted: No. 30 of 2021 s. 86.]</w:t>
      </w:r>
    </w:p>
    <w:p>
      <w:pPr>
        <w:pStyle w:val="Heading5"/>
      </w:pPr>
      <w:bookmarkStart w:id="24" w:name="_Toc182321122"/>
      <w:r>
        <w:rPr>
          <w:rStyle w:val="CharSectno"/>
        </w:rPr>
        <w:t>7C</w:t>
      </w:r>
      <w:r>
        <w:t>.</w:t>
      </w:r>
      <w:r>
        <w:tab/>
        <w:t>Ordinary pay: board and lodging</w:t>
      </w:r>
      <w:bookmarkEnd w:id="24"/>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lastRenderedPageBreak/>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25" w:name="_Toc182314977"/>
      <w:bookmarkStart w:id="26" w:name="_Toc182315024"/>
      <w:bookmarkStart w:id="27" w:name="_Toc182321123"/>
      <w:r>
        <w:rPr>
          <w:rStyle w:val="CharDivNo"/>
        </w:rPr>
        <w:t>Division 3</w:t>
      </w:r>
      <w:r>
        <w:t> — </w:t>
      </w:r>
      <w:r>
        <w:rPr>
          <w:rStyle w:val="CharDivText"/>
        </w:rPr>
        <w:t>Transfer of business</w:t>
      </w:r>
      <w:bookmarkEnd w:id="25"/>
      <w:bookmarkEnd w:id="26"/>
      <w:bookmarkEnd w:id="27"/>
    </w:p>
    <w:p>
      <w:pPr>
        <w:pStyle w:val="Footnoteheading"/>
        <w:rPr>
          <w:snapToGrid w:val="0"/>
        </w:rPr>
      </w:pPr>
      <w:r>
        <w:rPr>
          <w:snapToGrid w:val="0"/>
        </w:rPr>
        <w:tab/>
        <w:t>[Heading inserted: No. 30 of 2021 s. 87.]</w:t>
      </w:r>
    </w:p>
    <w:p>
      <w:pPr>
        <w:pStyle w:val="Heading5"/>
      </w:pPr>
      <w:bookmarkStart w:id="28" w:name="_Toc182321124"/>
      <w:r>
        <w:rPr>
          <w:rStyle w:val="CharSectno"/>
        </w:rPr>
        <w:t>7D</w:t>
      </w:r>
      <w:r>
        <w:t>.</w:t>
      </w:r>
      <w:r>
        <w:tab/>
        <w:t>Terms used</w:t>
      </w:r>
      <w:bookmarkEnd w:id="28"/>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r>
        <w:tab/>
        <w:t>[Section 7D inserted: No. 30 of 2021 s. 87.]</w:t>
      </w:r>
    </w:p>
    <w:p>
      <w:pPr>
        <w:pStyle w:val="Heading5"/>
      </w:pPr>
      <w:bookmarkStart w:id="29" w:name="_Toc182321125"/>
      <w:r>
        <w:rPr>
          <w:rStyle w:val="CharSectno"/>
        </w:rPr>
        <w:t>7E</w:t>
      </w:r>
      <w:r>
        <w:t>.</w:t>
      </w:r>
      <w:r>
        <w:tab/>
        <w:t>Transfer of business, old employer, new employer, transferring work</w:t>
      </w:r>
      <w:bookmarkEnd w:id="29"/>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lastRenderedPageBreak/>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r>
        <w:tab/>
        <w:t>[Section 7E inserted: No. 30 of 2021 s. 87.]</w:t>
      </w:r>
    </w:p>
    <w:p>
      <w:pPr>
        <w:pStyle w:val="Heading5"/>
      </w:pPr>
      <w:bookmarkStart w:id="30" w:name="_Toc182321126"/>
      <w:r>
        <w:rPr>
          <w:rStyle w:val="CharSectno"/>
        </w:rPr>
        <w:t>7F</w:t>
      </w:r>
      <w:r>
        <w:t>.</w:t>
      </w:r>
      <w:r>
        <w:tab/>
        <w:t>Transferring employee</w:t>
      </w:r>
      <w:bookmarkEnd w:id="30"/>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r>
        <w:tab/>
        <w:t>[Section 7F inserted: No. 30 of 2021 s. 87.]</w:t>
      </w:r>
    </w:p>
    <w:p>
      <w:pPr>
        <w:pStyle w:val="Heading5"/>
      </w:pPr>
      <w:bookmarkStart w:id="31" w:name="_Toc182321127"/>
      <w:r>
        <w:rPr>
          <w:rStyle w:val="CharSectno"/>
        </w:rPr>
        <w:t>7G</w:t>
      </w:r>
      <w:r>
        <w:t>.</w:t>
      </w:r>
      <w:r>
        <w:tab/>
        <w:t>Connection between old employer and new employer</w:t>
      </w:r>
      <w:bookmarkEnd w:id="31"/>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lastRenderedPageBreak/>
        <w:tab/>
        <w:t>(a)</w:t>
      </w:r>
      <w:r>
        <w:tab/>
        <w:t>because the new employer had outsourced the transferring work to the old employer, the transferring 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r>
        <w:tab/>
        <w:t>[Section 7G inserted: No. 30 of 2021 s. 87.]</w:t>
      </w:r>
    </w:p>
    <w:p>
      <w:pPr>
        <w:pStyle w:val="Heading5"/>
      </w:pPr>
      <w:bookmarkStart w:id="32" w:name="_Toc182321128"/>
      <w:r>
        <w:rPr>
          <w:rStyle w:val="CharSectno"/>
        </w:rPr>
        <w:t>7H</w:t>
      </w:r>
      <w:r>
        <w:t>.</w:t>
      </w:r>
      <w:r>
        <w:tab/>
        <w:t>Status of transferring employees on transfer of business</w:t>
      </w:r>
      <w:bookmarkEnd w:id="32"/>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r>
        <w:tab/>
        <w:t>[Section 7H inserted: No. 30 of 2021 s. 87.]</w:t>
      </w:r>
    </w:p>
    <w:p>
      <w:pPr>
        <w:pStyle w:val="Heading5"/>
      </w:pPr>
      <w:bookmarkStart w:id="33" w:name="_Toc182321129"/>
      <w:r>
        <w:rPr>
          <w:rStyle w:val="CharSectno"/>
        </w:rPr>
        <w:t>7I</w:t>
      </w:r>
      <w:r>
        <w:t>.</w:t>
      </w:r>
      <w:r>
        <w:tab/>
        <w:t>Transfer of employment records</w:t>
      </w:r>
      <w:bookmarkEnd w:id="33"/>
    </w:p>
    <w:p>
      <w:pPr>
        <w:pStyle w:val="Subsection"/>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lastRenderedPageBreak/>
        <w:tab/>
        <w:t>(3)</w:t>
      </w:r>
      <w:r>
        <w:tab/>
        <w:t>A contravention of subsection (2) is not an offence but that subsection is a civil penalty provision for the purposes of the IR Act section 83E.</w:t>
      </w:r>
    </w:p>
    <w:p>
      <w:pPr>
        <w:pStyle w:val="Subsection"/>
      </w:pPr>
      <w:r>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34" w:name="_Toc182314984"/>
      <w:bookmarkStart w:id="35" w:name="_Toc182315031"/>
      <w:bookmarkStart w:id="36" w:name="_Toc182321130"/>
      <w:r>
        <w:rPr>
          <w:rStyle w:val="CharPartNo"/>
        </w:rPr>
        <w:lastRenderedPageBreak/>
        <w:t>Part III</w:t>
      </w:r>
      <w:r>
        <w:rPr>
          <w:rStyle w:val="CharDivNo"/>
        </w:rPr>
        <w:t> </w:t>
      </w:r>
      <w:r>
        <w:t>—</w:t>
      </w:r>
      <w:r>
        <w:rPr>
          <w:rStyle w:val="CharDivText"/>
        </w:rPr>
        <w:t> </w:t>
      </w:r>
      <w:r>
        <w:rPr>
          <w:rStyle w:val="CharPartText"/>
        </w:rPr>
        <w:t>Entitlements to long service leave or to payment on termination instead</w:t>
      </w:r>
      <w:bookmarkEnd w:id="34"/>
      <w:bookmarkEnd w:id="35"/>
      <w:bookmarkEnd w:id="36"/>
    </w:p>
    <w:p>
      <w:pPr>
        <w:pStyle w:val="Footnoteheading"/>
        <w:rPr>
          <w:snapToGrid w:val="0"/>
        </w:rPr>
      </w:pPr>
      <w:r>
        <w:rPr>
          <w:snapToGrid w:val="0"/>
        </w:rPr>
        <w:tab/>
        <w:t>[Heading amended: No. 30 of 2021 s. 88.]</w:t>
      </w:r>
    </w:p>
    <w:p>
      <w:pPr>
        <w:pStyle w:val="Heading5"/>
        <w:rPr>
          <w:snapToGrid w:val="0"/>
        </w:rPr>
      </w:pPr>
      <w:bookmarkStart w:id="37" w:name="_Toc182321131"/>
      <w:r>
        <w:rPr>
          <w:rStyle w:val="CharSectno"/>
        </w:rPr>
        <w:t>8</w:t>
      </w:r>
      <w:r>
        <w:rPr>
          <w:snapToGrid w:val="0"/>
        </w:rPr>
        <w:t>.</w:t>
      </w:r>
      <w:r>
        <w:rPr>
          <w:snapToGrid w:val="0"/>
        </w:rPr>
        <w:tab/>
        <w:t>Long service leave</w:t>
      </w:r>
      <w:bookmarkEnd w:id="37"/>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r>
        <w:t xml:space="preserve"> but less than 10 years of continuous employment</w:t>
      </w:r>
      <w:r>
        <w:rPr>
          <w:snapToGrid w:val="0"/>
        </w:rPr>
        <w:t>, and the employment is terminated — </w:t>
      </w:r>
    </w:p>
    <w:p>
      <w:pPr>
        <w:pStyle w:val="Indenta"/>
        <w:rPr>
          <w:snapToGrid w:val="0"/>
        </w:rPr>
      </w:pPr>
      <w:r>
        <w:rPr>
          <w:snapToGrid w:val="0"/>
        </w:rPr>
        <w:tab/>
        <w:t>(a)</w:t>
      </w:r>
      <w:r>
        <w:rPr>
          <w:snapToGrid w:val="0"/>
        </w:rPr>
        <w:tab/>
        <w:t xml:space="preserve">by </w:t>
      </w:r>
      <w:r>
        <w:t>the employee’s</w:t>
      </w:r>
      <w:r>
        <w:rPr>
          <w:snapToGrid w:val="0"/>
        </w:rPr>
        <w:t xml:space="preserve"> death; or</w:t>
      </w:r>
    </w:p>
    <w:p>
      <w:pPr>
        <w:pStyle w:val="Indenta"/>
        <w:keepNext/>
      </w:pPr>
      <w:r>
        <w:lastRenderedPageBreak/>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lastRenderedPageBreak/>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38" w:name="_Toc182321132"/>
      <w:r>
        <w:rPr>
          <w:rStyle w:val="CharSectno"/>
        </w:rPr>
        <w:t>9</w:t>
      </w:r>
      <w:r>
        <w:rPr>
          <w:snapToGrid w:val="0"/>
        </w:rPr>
        <w:t>.</w:t>
      </w:r>
      <w:r>
        <w:rPr>
          <w:snapToGrid w:val="0"/>
        </w:rPr>
        <w:tab/>
      </w:r>
      <w:r>
        <w:t>Taking long service leave and payment on termination</w:t>
      </w:r>
      <w:bookmarkEnd w:id="38"/>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lastRenderedPageBreak/>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lastRenderedPageBreak/>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39" w:name="_Toc182321133"/>
      <w:r>
        <w:rPr>
          <w:rStyle w:val="CharSectno"/>
        </w:rPr>
        <w:t>10</w:t>
      </w:r>
      <w:r>
        <w:rPr>
          <w:snapToGrid w:val="0"/>
        </w:rPr>
        <w:t>.</w:t>
      </w:r>
      <w:r>
        <w:rPr>
          <w:snapToGrid w:val="0"/>
        </w:rPr>
        <w:tab/>
        <w:t>Taking leave in advance</w:t>
      </w:r>
      <w:bookmarkEnd w:id="39"/>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40" w:name="_Toc182314988"/>
      <w:bookmarkStart w:id="41" w:name="_Toc182315035"/>
      <w:bookmarkStart w:id="42" w:name="_Toc182321134"/>
      <w:r>
        <w:rPr>
          <w:rStyle w:val="CharPartNo"/>
        </w:rPr>
        <w:lastRenderedPageBreak/>
        <w:t>Part IV</w:t>
      </w:r>
      <w:r>
        <w:rPr>
          <w:rStyle w:val="CharDivNo"/>
        </w:rPr>
        <w:t> </w:t>
      </w:r>
      <w:r>
        <w:t>—</w:t>
      </w:r>
      <w:r>
        <w:rPr>
          <w:rStyle w:val="CharDivText"/>
        </w:rPr>
        <w:t> </w:t>
      </w:r>
      <w:r>
        <w:rPr>
          <w:rStyle w:val="CharPartText"/>
        </w:rPr>
        <w:t>Enforcement of the provisions of the Act</w:t>
      </w:r>
      <w:bookmarkEnd w:id="40"/>
      <w:bookmarkEnd w:id="41"/>
      <w:bookmarkEnd w:id="42"/>
    </w:p>
    <w:p>
      <w:pPr>
        <w:pStyle w:val="Footnoteheading"/>
        <w:rPr>
          <w:snapToGrid w:val="0"/>
        </w:rPr>
      </w:pPr>
      <w:r>
        <w:rPr>
          <w:snapToGrid w:val="0"/>
        </w:rPr>
        <w:tab/>
        <w:t>[Heading inserted: No. 79 of 1995 s. 52.]</w:t>
      </w:r>
    </w:p>
    <w:p>
      <w:pPr>
        <w:pStyle w:val="Heading5"/>
        <w:rPr>
          <w:snapToGrid w:val="0"/>
        </w:rPr>
      </w:pPr>
      <w:bookmarkStart w:id="43" w:name="_Toc182321135"/>
      <w:r>
        <w:rPr>
          <w:rStyle w:val="CharSectno"/>
        </w:rPr>
        <w:t>11</w:t>
      </w:r>
      <w:r>
        <w:rPr>
          <w:snapToGrid w:val="0"/>
        </w:rPr>
        <w:t>.</w:t>
      </w:r>
      <w:r>
        <w:rPr>
          <w:snapToGrid w:val="0"/>
        </w:rPr>
        <w:tab/>
        <w:t>Industrial magistrate’s courts</w:t>
      </w:r>
      <w:bookmarkEnd w:id="43"/>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pPr>
      <w:r>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w:t>
      </w:r>
    </w:p>
    <w:p>
      <w:pPr>
        <w:pStyle w:val="Heading5"/>
      </w:pPr>
      <w:bookmarkStart w:id="44" w:name="_Toc182321136"/>
      <w:r>
        <w:rPr>
          <w:rStyle w:val="CharSectno"/>
        </w:rPr>
        <w:lastRenderedPageBreak/>
        <w:t>12</w:t>
      </w:r>
      <w:r>
        <w:t>.</w:t>
      </w:r>
      <w:r>
        <w:tab/>
        <w:t>Industrial inspectors may institute proceedings</w:t>
      </w:r>
      <w:bookmarkEnd w:id="44"/>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45" w:name="_Toc182314991"/>
      <w:bookmarkStart w:id="46" w:name="_Toc182315038"/>
      <w:bookmarkStart w:id="47" w:name="_Toc182321137"/>
      <w:r>
        <w:rPr>
          <w:rStyle w:val="CharPartNo"/>
        </w:rPr>
        <w:lastRenderedPageBreak/>
        <w:t>Part VII</w:t>
      </w:r>
      <w:r>
        <w:t> — </w:t>
      </w:r>
      <w:r>
        <w:rPr>
          <w:rStyle w:val="CharPartText"/>
        </w:rPr>
        <w:t>Miscellaneous provisions</w:t>
      </w:r>
      <w:bookmarkEnd w:id="45"/>
      <w:bookmarkEnd w:id="46"/>
      <w:bookmarkEnd w:id="47"/>
      <w:r>
        <w:rPr>
          <w:rStyle w:val="CharPartText"/>
        </w:rPr>
        <w:t xml:space="preserve"> </w:t>
      </w:r>
    </w:p>
    <w:p>
      <w:pPr>
        <w:pStyle w:val="Ednotedivision"/>
      </w:pPr>
      <w:r>
        <w:t>[Division 1 (s. 25) deleted: No. 79 of 1995 s. 53.]</w:t>
      </w:r>
    </w:p>
    <w:p>
      <w:pPr>
        <w:pStyle w:val="Heading3"/>
        <w:rPr>
          <w:snapToGrid w:val="0"/>
        </w:rPr>
      </w:pPr>
      <w:bookmarkStart w:id="48" w:name="_Toc182314992"/>
      <w:bookmarkStart w:id="49" w:name="_Toc182315039"/>
      <w:bookmarkStart w:id="50" w:name="_Toc182321138"/>
      <w:r>
        <w:rPr>
          <w:rStyle w:val="CharDivNo"/>
        </w:rPr>
        <w:t>Division 2</w:t>
      </w:r>
      <w:r>
        <w:rPr>
          <w:snapToGrid w:val="0"/>
        </w:rPr>
        <w:t> — </w:t>
      </w:r>
      <w:r>
        <w:rPr>
          <w:rStyle w:val="CharDivText"/>
        </w:rPr>
        <w:t>Records of employment</w:t>
      </w:r>
      <w:bookmarkEnd w:id="48"/>
      <w:bookmarkEnd w:id="49"/>
      <w:bookmarkEnd w:id="50"/>
      <w:r>
        <w:rPr>
          <w:rStyle w:val="CharDivText"/>
        </w:rPr>
        <w:t xml:space="preserve"> </w:t>
      </w:r>
    </w:p>
    <w:p>
      <w:pPr>
        <w:pStyle w:val="Heading5"/>
        <w:rPr>
          <w:snapToGrid w:val="0"/>
        </w:rPr>
      </w:pPr>
      <w:bookmarkStart w:id="51" w:name="_Toc182321139"/>
      <w:r>
        <w:rPr>
          <w:rStyle w:val="CharSectno"/>
        </w:rPr>
        <w:t>26</w:t>
      </w:r>
      <w:r>
        <w:rPr>
          <w:snapToGrid w:val="0"/>
        </w:rPr>
        <w:t>.</w:t>
      </w:r>
      <w:r>
        <w:rPr>
          <w:snapToGrid w:val="0"/>
        </w:rPr>
        <w:tab/>
        <w:t>Keeping of employment records</w:t>
      </w:r>
      <w:bookmarkEnd w:id="51"/>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lastRenderedPageBreak/>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52" w:name="_Toc182321140"/>
      <w:r>
        <w:rPr>
          <w:rStyle w:val="CharSectno"/>
        </w:rPr>
        <w:t>26A</w:t>
      </w:r>
      <w:r>
        <w:rPr>
          <w:snapToGrid w:val="0"/>
        </w:rPr>
        <w:t>.</w:t>
      </w:r>
      <w:r>
        <w:rPr>
          <w:snapToGrid w:val="0"/>
        </w:rPr>
        <w:tab/>
      </w:r>
      <w:r>
        <w:t>Access to employment records kept by employer</w:t>
      </w:r>
      <w:bookmarkEnd w:id="52"/>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lastRenderedPageBreak/>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53" w:name="_Toc182314995"/>
      <w:bookmarkStart w:id="54" w:name="_Toc182315042"/>
      <w:bookmarkStart w:id="55" w:name="_Toc182321141"/>
      <w:r>
        <w:rPr>
          <w:rStyle w:val="CharDivNo"/>
        </w:rPr>
        <w:t>Division 3</w:t>
      </w:r>
      <w:r>
        <w:t> — </w:t>
      </w:r>
      <w:r>
        <w:rPr>
          <w:rStyle w:val="CharDivText"/>
        </w:rPr>
        <w:t>Prohibition of employment during long service leave</w:t>
      </w:r>
      <w:bookmarkEnd w:id="53"/>
      <w:bookmarkEnd w:id="54"/>
      <w:bookmarkEnd w:id="55"/>
      <w:r>
        <w:rPr>
          <w:rStyle w:val="CharDivText"/>
        </w:rPr>
        <w:t xml:space="preserve"> </w:t>
      </w:r>
    </w:p>
    <w:p>
      <w:pPr>
        <w:pStyle w:val="Heading5"/>
        <w:rPr>
          <w:snapToGrid w:val="0"/>
        </w:rPr>
      </w:pPr>
      <w:bookmarkStart w:id="56" w:name="_Toc182321142"/>
      <w:r>
        <w:rPr>
          <w:rStyle w:val="CharSectno"/>
        </w:rPr>
        <w:t>27</w:t>
      </w:r>
      <w:r>
        <w:rPr>
          <w:snapToGrid w:val="0"/>
        </w:rPr>
        <w:t>.</w:t>
      </w:r>
      <w:r>
        <w:rPr>
          <w:snapToGrid w:val="0"/>
        </w:rPr>
        <w:tab/>
        <w:t>Prohibition of employment during long service leave</w:t>
      </w:r>
      <w:bookmarkEnd w:id="56"/>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r>
        <w:t>the employee</w:t>
      </w:r>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r>
        <w:t>is</w:t>
      </w:r>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lastRenderedPageBreak/>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57" w:name="_Toc182314997"/>
      <w:bookmarkStart w:id="58" w:name="_Toc182315044"/>
      <w:bookmarkStart w:id="59" w:name="_Toc182321143"/>
      <w:r>
        <w:rPr>
          <w:rStyle w:val="CharDivNo"/>
        </w:rPr>
        <w:t>Division 6</w:t>
      </w:r>
      <w:r>
        <w:t> — </w:t>
      </w:r>
      <w:r>
        <w:rPr>
          <w:rStyle w:val="CharDivText"/>
        </w:rPr>
        <w:t>Representation of parties in proceedings under this Act</w:t>
      </w:r>
      <w:bookmarkEnd w:id="57"/>
      <w:bookmarkEnd w:id="58"/>
      <w:bookmarkEnd w:id="59"/>
      <w:r>
        <w:rPr>
          <w:rStyle w:val="CharDivText"/>
        </w:rPr>
        <w:t xml:space="preserve"> </w:t>
      </w:r>
    </w:p>
    <w:p>
      <w:pPr>
        <w:pStyle w:val="Heading5"/>
        <w:rPr>
          <w:snapToGrid w:val="0"/>
        </w:rPr>
      </w:pPr>
      <w:bookmarkStart w:id="60" w:name="_Toc182321144"/>
      <w:r>
        <w:rPr>
          <w:rStyle w:val="CharSectno"/>
        </w:rPr>
        <w:t>37</w:t>
      </w:r>
      <w:r>
        <w:rPr>
          <w:snapToGrid w:val="0"/>
        </w:rPr>
        <w:t>.</w:t>
      </w:r>
      <w:r>
        <w:rPr>
          <w:snapToGrid w:val="0"/>
        </w:rPr>
        <w:tab/>
        <w:t>Representation of parties in proceedings under this Act</w:t>
      </w:r>
      <w:bookmarkEnd w:id="60"/>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 legal practitioner </w:t>
      </w:r>
      <w:r>
        <w:rPr>
          <w:snapToGrid w:val="0"/>
        </w:rPr>
        <w:t>or by the person’s agent duly appointed for that purpose.</w:t>
      </w:r>
    </w:p>
    <w:p>
      <w:pPr>
        <w:pStyle w:val="Footnotesection"/>
      </w:pPr>
      <w:r>
        <w:tab/>
        <w:t xml:space="preserve">[Section 37 amended: No. 79 of 1995 s. 58; No. 65 of 2003 s. 50; No. 21 of 2008 s. 676; No. 9 of 2022 s. 424.] </w:t>
      </w:r>
    </w:p>
    <w:p>
      <w:pPr>
        <w:pStyle w:val="Heading3"/>
        <w:rPr>
          <w:snapToGrid w:val="0"/>
        </w:rPr>
      </w:pPr>
      <w:bookmarkStart w:id="61" w:name="_Toc182314999"/>
      <w:bookmarkStart w:id="62" w:name="_Toc182315046"/>
      <w:bookmarkStart w:id="63" w:name="_Toc182321145"/>
      <w:r>
        <w:rPr>
          <w:rStyle w:val="CharDivNo"/>
        </w:rPr>
        <w:t>Division 7</w:t>
      </w:r>
      <w:r>
        <w:rPr>
          <w:snapToGrid w:val="0"/>
        </w:rPr>
        <w:t> — </w:t>
      </w:r>
      <w:r>
        <w:rPr>
          <w:rStyle w:val="CharDivText"/>
        </w:rPr>
        <w:t>Regulations</w:t>
      </w:r>
      <w:bookmarkEnd w:id="61"/>
      <w:bookmarkEnd w:id="62"/>
      <w:bookmarkEnd w:id="63"/>
      <w:r>
        <w:rPr>
          <w:rStyle w:val="CharDivText"/>
        </w:rPr>
        <w:t xml:space="preserve"> </w:t>
      </w:r>
    </w:p>
    <w:p>
      <w:pPr>
        <w:pStyle w:val="Heading5"/>
        <w:rPr>
          <w:snapToGrid w:val="0"/>
        </w:rPr>
      </w:pPr>
      <w:bookmarkStart w:id="64" w:name="_Toc182321146"/>
      <w:r>
        <w:rPr>
          <w:rStyle w:val="CharSectno"/>
        </w:rPr>
        <w:t>38</w:t>
      </w:r>
      <w:r>
        <w:rPr>
          <w:snapToGrid w:val="0"/>
        </w:rPr>
        <w:t>.</w:t>
      </w:r>
      <w:r>
        <w:rPr>
          <w:snapToGrid w:val="0"/>
        </w:rPr>
        <w:tab/>
        <w:t>Regulation making power</w:t>
      </w:r>
      <w:bookmarkEnd w:id="64"/>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65" w:name="_Toc182321147"/>
      <w:r>
        <w:rPr>
          <w:rStyle w:val="CharSectno"/>
        </w:rPr>
        <w:lastRenderedPageBreak/>
        <w:t>39</w:t>
      </w:r>
      <w:r>
        <w:rPr>
          <w:snapToGrid w:val="0"/>
        </w:rPr>
        <w:t>.</w:t>
      </w:r>
      <w:r>
        <w:rPr>
          <w:snapToGrid w:val="0"/>
        </w:rPr>
        <w:tab/>
      </w:r>
      <w:r>
        <w:t>Application to this Act of certain regulations made under the IR Act</w:t>
      </w:r>
      <w:bookmarkEnd w:id="65"/>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66" w:name="_Toc182315002"/>
      <w:bookmarkStart w:id="67" w:name="_Toc182315049"/>
      <w:bookmarkStart w:id="68" w:name="_Toc182321148"/>
      <w:r>
        <w:rPr>
          <w:rStyle w:val="CharPartNo"/>
        </w:rPr>
        <w:lastRenderedPageBreak/>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66"/>
      <w:bookmarkEnd w:id="67"/>
      <w:bookmarkEnd w:id="68"/>
    </w:p>
    <w:p>
      <w:pPr>
        <w:pStyle w:val="Footnoteheading"/>
        <w:rPr>
          <w:snapToGrid w:val="0"/>
        </w:rPr>
      </w:pPr>
      <w:r>
        <w:rPr>
          <w:snapToGrid w:val="0"/>
        </w:rPr>
        <w:tab/>
        <w:t>[Heading inserted: No. 30 of 2021 s. 95.]</w:t>
      </w:r>
    </w:p>
    <w:p>
      <w:pPr>
        <w:pStyle w:val="Heading5"/>
      </w:pPr>
      <w:bookmarkStart w:id="69" w:name="_Toc182321149"/>
      <w:r>
        <w:rPr>
          <w:rStyle w:val="CharSectno"/>
        </w:rPr>
        <w:t>40</w:t>
      </w:r>
      <w:r>
        <w:t>.</w:t>
      </w:r>
      <w:r>
        <w:tab/>
        <w:t>Terms used</w:t>
      </w:r>
      <w:bookmarkEnd w:id="6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r>
        <w:tab/>
        <w:t xml:space="preserve">[Section 40 inserted: No. 30 of 2021 s. 95.] </w:t>
      </w:r>
    </w:p>
    <w:p>
      <w:pPr>
        <w:pStyle w:val="Heading5"/>
      </w:pPr>
      <w:bookmarkStart w:id="70" w:name="_Toc182321150"/>
      <w:r>
        <w:rPr>
          <w:rStyle w:val="CharSectno"/>
        </w:rPr>
        <w:t>41</w:t>
      </w:r>
      <w:r>
        <w:t>.</w:t>
      </w:r>
      <w:r>
        <w:tab/>
        <w:t>Business transmitted before commencement day</w:t>
      </w:r>
      <w:bookmarkEnd w:id="70"/>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1" w:name="_Toc182315005"/>
      <w:bookmarkStart w:id="72" w:name="_Toc182315052"/>
      <w:bookmarkStart w:id="73" w:name="_Toc182321151"/>
      <w:r>
        <w:lastRenderedPageBreak/>
        <w:t>Notes</w:t>
      </w:r>
      <w:bookmarkEnd w:id="71"/>
      <w:bookmarkEnd w:id="72"/>
      <w:bookmarkEnd w:id="73"/>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 w:name="_Toc182321152"/>
      <w:r>
        <w:t>Compilation table</w:t>
      </w:r>
      <w:bookmarkEnd w:id="74"/>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top w:val="nil"/>
              <w:bottom w:val="nil"/>
            </w:tcBorders>
          </w:tcPr>
          <w:p>
            <w:pPr>
              <w:pStyle w:val="nTable"/>
              <w:spacing w:after="40"/>
              <w:ind w:right="113"/>
              <w:rPr>
                <w:i/>
                <w:snapToGrid w:val="0"/>
              </w:rPr>
            </w:pPr>
            <w:r>
              <w:rPr>
                <w:i/>
              </w:rPr>
              <w:t>Industrial Relations Legislation Amendment Act 2021</w:t>
            </w:r>
            <w:r>
              <w:t xml:space="preserve"> Pt. 4</w:t>
            </w:r>
          </w:p>
        </w:tc>
        <w:tc>
          <w:tcPr>
            <w:tcW w:w="1116" w:type="dxa"/>
            <w:tcBorders>
              <w:top w:val="nil"/>
              <w:bottom w:val="nil"/>
            </w:tcBorders>
          </w:tcPr>
          <w:p>
            <w:pPr>
              <w:pStyle w:val="nTable"/>
              <w:spacing w:after="40"/>
              <w:rPr>
                <w:snapToGrid w:val="0"/>
              </w:rPr>
            </w:pPr>
            <w:r>
              <w:t>30 of 2021</w:t>
            </w:r>
          </w:p>
        </w:tc>
        <w:tc>
          <w:tcPr>
            <w:tcW w:w="1156" w:type="dxa"/>
            <w:gridSpan w:val="3"/>
            <w:tcBorders>
              <w:top w:val="nil"/>
              <w:bottom w:val="nil"/>
            </w:tcBorders>
          </w:tcPr>
          <w:p>
            <w:pPr>
              <w:pStyle w:val="nTable"/>
              <w:spacing w:after="40"/>
              <w:rPr>
                <w:snapToGrid w:val="0"/>
              </w:rPr>
            </w:pPr>
            <w:r>
              <w:t>22 Dec 2021</w:t>
            </w:r>
          </w:p>
        </w:tc>
        <w:tc>
          <w:tcPr>
            <w:tcW w:w="2573" w:type="dxa"/>
            <w:gridSpan w:val="2"/>
            <w:tcBorders>
              <w:top w:val="nil"/>
              <w:bottom w:val="nil"/>
            </w:tcBorders>
          </w:tcPr>
          <w:p>
            <w:pPr>
              <w:pStyle w:val="nTable"/>
              <w:spacing w:after="40"/>
              <w:rPr>
                <w:snapToGrid w:val="0"/>
              </w:rPr>
            </w:pPr>
            <w:r>
              <w:rPr>
                <w:snapToGrid w:val="0"/>
              </w:rPr>
              <w:t>20 Jun 2022 (see s. 2(1)(b) and SL 2022/79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rPr>
            </w:pPr>
            <w:r>
              <w:rPr>
                <w:i/>
              </w:rPr>
              <w:t>Legal Profession Uniform Law Application Act 2022</w:t>
            </w:r>
            <w:r>
              <w:t xml:space="preserve"> s. 424</w:t>
            </w:r>
          </w:p>
        </w:tc>
        <w:tc>
          <w:tcPr>
            <w:tcW w:w="1116" w:type="dxa"/>
            <w:tcBorders>
              <w:bottom w:val="single" w:sz="4" w:space="0" w:color="auto"/>
            </w:tcBorders>
          </w:tcPr>
          <w:p>
            <w:pPr>
              <w:pStyle w:val="nTable"/>
              <w:spacing w:after="40"/>
            </w:pPr>
            <w:r>
              <w:t>9 of 2022</w:t>
            </w:r>
          </w:p>
        </w:tc>
        <w:tc>
          <w:tcPr>
            <w:tcW w:w="1156" w:type="dxa"/>
            <w:gridSpan w:val="3"/>
            <w:tcBorders>
              <w:bottom w:val="single" w:sz="4" w:space="0" w:color="auto"/>
            </w:tcBorders>
          </w:tcPr>
          <w:p>
            <w:pPr>
              <w:pStyle w:val="nTable"/>
              <w:spacing w:after="40"/>
            </w:pPr>
            <w:r>
              <w:t>14 Apr 2022</w:t>
            </w:r>
          </w:p>
        </w:tc>
        <w:tc>
          <w:tcPr>
            <w:tcW w:w="2573" w:type="dxa"/>
            <w:gridSpan w:val="2"/>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75" w:name="_Toc182321153"/>
      <w:r>
        <w:t>Uncommenced provisions table</w:t>
      </w:r>
      <w:bookmarkEnd w:id="7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Industrial Relations Legislation Amendment Act 2024</w:t>
            </w:r>
            <w:r>
              <w:rPr>
                <w:iCs/>
              </w:rPr>
              <w:t xml:space="preserve"> Pt. 4 Div. 3</w:t>
            </w:r>
          </w:p>
        </w:tc>
        <w:tc>
          <w:tcPr>
            <w:tcW w:w="1134" w:type="dxa"/>
          </w:tcPr>
          <w:p>
            <w:pPr>
              <w:pStyle w:val="nTable"/>
              <w:spacing w:after="40"/>
            </w:pPr>
            <w:r>
              <w:t>43 of 2024</w:t>
            </w:r>
          </w:p>
        </w:tc>
        <w:tc>
          <w:tcPr>
            <w:tcW w:w="1134" w:type="dxa"/>
          </w:tcPr>
          <w:p>
            <w:pPr>
              <w:pStyle w:val="nTable"/>
              <w:spacing w:after="40"/>
            </w:pPr>
            <w:r>
              <w:t>13 Nov 2024</w:t>
            </w:r>
          </w:p>
        </w:tc>
        <w:tc>
          <w:tcPr>
            <w:tcW w:w="2552" w:type="dxa"/>
          </w:tcPr>
          <w:p>
            <w:pPr>
              <w:pStyle w:val="nTable"/>
              <w:spacing w:after="40"/>
            </w:pPr>
            <w:r>
              <w:t>31 Jan 2025 (see s. 2(c))</w:t>
            </w:r>
          </w:p>
        </w:tc>
      </w:tr>
    </w:tbl>
    <w:p>
      <w:pPr>
        <w:pStyle w:val="nHeading3"/>
      </w:pPr>
      <w:bookmarkStart w:id="76" w:name="_Toc182321154"/>
      <w:r>
        <w:t>Other notes</w:t>
      </w:r>
      <w:bookmarkEnd w:id="76"/>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lastRenderedPageBreak/>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78" w:name="_Toc182315008"/>
      <w:bookmarkStart w:id="79" w:name="_Toc182315056"/>
      <w:bookmarkStart w:id="80" w:name="_Toc182321155"/>
      <w:r>
        <w:rPr>
          <w:sz w:val="28"/>
        </w:rPr>
        <w:lastRenderedPageBreak/>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award, agreement or enactment</w:t>
      </w:r>
      <w:r>
        <w:tab/>
        <w:t>4A(1)</w:t>
      </w:r>
    </w:p>
    <w:p>
      <w:pPr>
        <w:pStyle w:val="DefinedTerms"/>
      </w:pPr>
      <w:r>
        <w:t>business</w:t>
      </w:r>
      <w:r>
        <w:tab/>
        <w:t>4(1)</w:t>
      </w:r>
    </w:p>
    <w:p>
      <w:pPr>
        <w:pStyle w:val="DefinedTerms"/>
      </w:pPr>
      <w:r>
        <w:t>commencement day</w:t>
      </w:r>
      <w:r>
        <w:tab/>
        <w:t>8(10), 40</w:t>
      </w:r>
    </w:p>
    <w:p>
      <w:pPr>
        <w:pStyle w:val="DefinedTerms"/>
        <w:ind w:right="20"/>
        <w:jc w:val="right"/>
      </w:pPr>
      <w:r>
        <w:t>connection between the old employer and the new employer</w:t>
      </w:r>
      <w:r>
        <w:tab/>
        <w:t xml:space="preserve">7D, 7G(1), (2), </w:t>
      </w:r>
      <w:r>
        <w:br/>
        <w:t>(3) and (4)</w:t>
      </w:r>
    </w:p>
    <w:p>
      <w:pPr>
        <w:pStyle w:val="DefinedTerms"/>
      </w:pPr>
      <w:r>
        <w:t>continuous employment</w:t>
      </w:r>
      <w:r>
        <w:tab/>
        <w:t>4(1), 6(1), (2), (3), (4), (5), (6) and (7)</w:t>
      </w:r>
    </w:p>
    <w:p>
      <w:pPr>
        <w:pStyle w:val="DefinedTerms"/>
      </w:pPr>
      <w:r>
        <w:t>employee</w:t>
      </w:r>
      <w:r>
        <w:tab/>
        <w:t>4(1)</w:t>
      </w:r>
    </w:p>
    <w:p>
      <w:pPr>
        <w:pStyle w:val="DefinedTerms"/>
      </w:pPr>
      <w:r>
        <w:t>employer</w:t>
      </w:r>
      <w:r>
        <w:tab/>
        <w:t>4(1)</w:t>
      </w:r>
    </w:p>
    <w:p>
      <w:pPr>
        <w:pStyle w:val="DefinedTerms"/>
      </w:pPr>
      <w:r>
        <w:t>employer-employee agreement</w:t>
      </w:r>
      <w:r>
        <w:tab/>
        <w:t>4(1)</w:t>
      </w:r>
    </w:p>
    <w:p>
      <w:pPr>
        <w:pStyle w:val="DefinedTerms"/>
      </w:pPr>
      <w:r>
        <w:t>employment records</w:t>
      </w:r>
      <w:r>
        <w:tab/>
        <w:t>7I(1)</w:t>
      </w:r>
    </w:p>
    <w:p>
      <w:pPr>
        <w:pStyle w:val="DefinedTerms"/>
      </w:pPr>
      <w:r>
        <w:t>entitlement</w:t>
      </w:r>
      <w:r>
        <w:tab/>
        <w:t>4A(1)</w:t>
      </w:r>
    </w:p>
    <w:p>
      <w:pPr>
        <w:pStyle w:val="DefinedTerms"/>
      </w:pPr>
      <w:r>
        <w:t>former section</w:t>
      </w:r>
      <w:r>
        <w:tab/>
        <w:t>40</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IR Act</w:t>
      </w:r>
      <w:r>
        <w:tab/>
        <w:t>4(1)</w:t>
      </w:r>
    </w:p>
    <w:p>
      <w:pPr>
        <w:pStyle w:val="DefinedTerms"/>
      </w:pPr>
      <w:r>
        <w:t>MCE Act</w:t>
      </w:r>
      <w:r>
        <w:tab/>
        <w:t>4(1)</w:t>
      </w:r>
    </w:p>
    <w:p>
      <w:pPr>
        <w:pStyle w:val="DefinedTerms"/>
      </w:pPr>
      <w:r>
        <w:t>new employer</w:t>
      </w:r>
      <w:r>
        <w:tab/>
        <w:t>7D, 7E</w:t>
      </w:r>
    </w:p>
    <w:p>
      <w:pPr>
        <w:pStyle w:val="DefinedTerms"/>
      </w:pPr>
      <w:r>
        <w:t>old employer</w:t>
      </w:r>
      <w:r>
        <w:tab/>
        <w:t>7D, 7E</w:t>
      </w:r>
    </w:p>
    <w:p>
      <w:pPr>
        <w:pStyle w:val="DefinedTerms"/>
      </w:pPr>
      <w:r>
        <w:t>ordinary pay</w:t>
      </w:r>
      <w:r>
        <w:tab/>
        <w:t>4(1), 7(1) and (4), 7A, 7B, 7C(1)</w:t>
      </w:r>
    </w:p>
    <w:p>
      <w:pPr>
        <w:pStyle w:val="DefinedTerms"/>
      </w:pPr>
      <w:r>
        <w:t>related body corporate</w:t>
      </w:r>
      <w:r>
        <w:tab/>
        <w:t>4(1)</w:t>
      </w:r>
    </w:p>
    <w:p>
      <w:pPr>
        <w:pStyle w:val="DefinedTerms"/>
      </w:pPr>
      <w:r>
        <w:t>separate LSL entitlement</w:t>
      </w:r>
      <w:r>
        <w:tab/>
        <w:t>4A(2) and (3)</w:t>
      </w:r>
    </w:p>
    <w:p>
      <w:pPr>
        <w:pStyle w:val="DefinedTerms"/>
      </w:pPr>
      <w:r>
        <w:t>transfer of business</w:t>
      </w:r>
      <w:r>
        <w:tab/>
        <w:t>7D, 7E</w:t>
      </w:r>
    </w:p>
    <w:p>
      <w:pPr>
        <w:pStyle w:val="DefinedTerms"/>
      </w:pPr>
      <w:r>
        <w:t>transferring employee</w:t>
      </w:r>
      <w:r>
        <w:tab/>
        <w:t>7D, 7F</w:t>
      </w:r>
    </w:p>
    <w:p>
      <w:pPr>
        <w:pStyle w:val="DefinedTerms"/>
      </w:pPr>
      <w:r>
        <w:t>transferring work</w:t>
      </w:r>
      <w:r>
        <w:tab/>
        <w:t>7D, 7E</w:t>
      </w:r>
    </w:p>
    <w:p>
      <w:pPr>
        <w:pStyle w:val="DefinedTerms"/>
      </w:pPr>
      <w:r>
        <w:t>WA LSL</w:t>
      </w:r>
      <w:r>
        <w:tab/>
        <w:t>4A(1)</w:t>
      </w:r>
    </w:p>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5F2B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C78AB5" w14:textId="347DC0FE" w:rsidR="00DD09BC" w:rsidRDefault="00DD09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2473">
                        <w:rPr>
                          <w:sz w:val="16"/>
                        </w:rPr>
                        <w:t>2024</w:t>
                      </w:r>
                      <w:r>
                        <w:rPr>
                          <w:sz w:val="16"/>
                        </w:rPr>
                        <w:fldChar w:fldCharType="end"/>
                      </w:r>
                      <w:r>
                        <w:rPr>
                          <w:sz w:val="16"/>
                        </w:rPr>
                        <w:t>.</w:t>
                      </w:r>
                    </w:p>
                    <w:p w14:paraId="0E2137B2" w14:textId="77777777" w:rsidR="00DD09BC" w:rsidRDefault="00DD09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62578B" w14:textId="063EDD02" w:rsidR="00DD09BC" w:rsidRDefault="00DD09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2473">
                        <w:rPr>
                          <w:sz w:val="16"/>
                        </w:rPr>
                        <w:t>2024</w:t>
                      </w:r>
                      <w:r>
                        <w:rPr>
                          <w:sz w:val="16"/>
                        </w:rPr>
                        <w:fldChar w:fldCharType="end"/>
                      </w:r>
                      <w:r>
                        <w:rPr>
                          <w:sz w:val="16"/>
                        </w:rPr>
                        <w:t>.</w:t>
                      </w:r>
                    </w:p>
                    <w:p w14:paraId="76C54BF4" w14:textId="77777777" w:rsidR="00DD09BC" w:rsidRDefault="00DD09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3520"/>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 w:name="WAFER_202206281702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230_GUID" w:val="6e5d3db5-31ec-4634-94d2-25c3ed5882e2"/>
    <w:docVar w:name="WAFER_20241112143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3520_GUID" w:val="c211e0c2-f9f3-4e5a-b2ab-5e23a8bd8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7778</Words>
  <Characters>37258</Characters>
  <Application>Microsoft Office Word</Application>
  <DocSecurity>0</DocSecurity>
  <Lines>1129</Lines>
  <Paragraphs>682</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1958 - 04-l0-00</dc:title>
  <dc:subject/>
  <dc:creator/>
  <cp:keywords/>
  <dc:description/>
  <cp:lastModifiedBy>Master Repository Process</cp:lastModifiedBy>
  <cp:revision>4</cp:revision>
  <cp:lastPrinted>2006-08-23T05:21:00Z</cp:lastPrinted>
  <dcterms:created xsi:type="dcterms:W3CDTF">2025-06-09T03:19:00Z</dcterms:created>
  <dcterms:modified xsi:type="dcterms:W3CDTF">2025-06-09T03:19:00Z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13 Nov 2024</vt:lpwstr>
  </property>
  <property fmtid="{D5CDD505-2E9C-101B-9397-08002B2CF9AE}" pid="7" name="Suffix">
    <vt:lpwstr>04-l0-00</vt:lpwstr>
  </property>
  <property fmtid="{D5CDD505-2E9C-101B-9397-08002B2CF9AE}" pid="8" name="Official">
    <vt:lpwstr/>
  </property>
  <property fmtid="{D5CDD505-2E9C-101B-9397-08002B2CF9AE}" pid="9" name="CommencementDate">
    <vt:lpwstr>20241113</vt:lpwstr>
  </property>
  <property fmtid="{D5CDD505-2E9C-101B-9397-08002B2CF9AE}" pid="10" name="CommencementAsAt">
    <vt:filetime>2024-11-12T16:00:00Z</vt:filetime>
  </property>
  <property fmtid="{D5CDD505-2E9C-101B-9397-08002B2CF9AE}" pid="11" name="CommencementYear">
    <vt:lpwstr>2024</vt:lpwstr>
  </property>
</Properties>
</file>