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Trading Enterprises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Trading Enterprises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_Toc182400224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_Toc182400225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_Toc182400226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subsidiary</w:t>
      </w:r>
      <w:r>
        <w:tab/>
      </w:r>
      <w:r>
        <w:fldChar w:fldCharType="begin"/>
      </w:r>
      <w:r>
        <w:instrText xml:space="preserve"> PAGEREF _Toc182400227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to GTEs’ Establishing Acts</w:t>
      </w:r>
      <w:r>
        <w:tab/>
      </w:r>
      <w:r>
        <w:fldChar w:fldCharType="begin"/>
      </w:r>
      <w:r>
        <w:instrText xml:space="preserve"> PAGEREF _Toc182400228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_Toc182400229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Purpose and functions of GTEs</w:t>
      </w:r>
    </w:p>
    <w:p>
      <w:pPr>
        <w:pStyle w:val="TOC8"/>
        <w:rPr>
          <w:rFonts w:asciiTheme="minorHAnsi" w:eastAsiaTheme="minorEastAsia" w:hAnsiTheme="minorHAnsi" w:cstheme="minorBidi"/>
          <w:szCs w:val="22"/>
        </w:rPr>
      </w:pPr>
      <w:r>
        <w:t>7.</w:t>
      </w:r>
      <w:r>
        <w:tab/>
        <w:t>GTE’s purpose</w:t>
      </w:r>
      <w:r>
        <w:tab/>
      </w:r>
      <w:r>
        <w:fldChar w:fldCharType="begin"/>
      </w:r>
      <w:r>
        <w:instrText xml:space="preserve"> PAGEREF _Toc182400231 \h </w:instrText>
      </w:r>
      <w:r>
        <w:fldChar w:fldCharType="separate"/>
      </w:r>
      <w:r>
        <w:t>6</w:t>
      </w:r>
      <w:r>
        <w:fldChar w:fldCharType="end"/>
      </w:r>
    </w:p>
    <w:p>
      <w:pPr>
        <w:pStyle w:val="TOC8"/>
        <w:rPr>
          <w:rFonts w:asciiTheme="minorHAnsi" w:eastAsiaTheme="minorEastAsia" w:hAnsiTheme="minorHAnsi" w:cstheme="minorBidi"/>
          <w:szCs w:val="22"/>
        </w:rPr>
      </w:pPr>
      <w:r>
        <w:t>8.</w:t>
      </w:r>
      <w:r>
        <w:tab/>
        <w:t>GTE’s functions</w:t>
      </w:r>
      <w:r>
        <w:tab/>
      </w:r>
      <w:r>
        <w:fldChar w:fldCharType="begin"/>
      </w:r>
      <w:r>
        <w:instrText xml:space="preserve"> PAGEREF _Toc182400232 \h </w:instrText>
      </w:r>
      <w:r>
        <w:fldChar w:fldCharType="separate"/>
      </w:r>
      <w:r>
        <w:t>6</w:t>
      </w:r>
      <w:r>
        <w:fldChar w:fldCharType="end"/>
      </w:r>
    </w:p>
    <w:p>
      <w:pPr>
        <w:pStyle w:val="TOC8"/>
        <w:rPr>
          <w:rFonts w:asciiTheme="minorHAnsi" w:eastAsiaTheme="minorEastAsia" w:hAnsiTheme="minorHAnsi" w:cstheme="minorBidi"/>
          <w:szCs w:val="22"/>
        </w:rPr>
      </w:pPr>
      <w:r>
        <w:t>9.</w:t>
      </w:r>
      <w:r>
        <w:tab/>
        <w:t>Performance of GTE’s functions</w:t>
      </w:r>
      <w:r>
        <w:tab/>
      </w:r>
      <w:r>
        <w:fldChar w:fldCharType="begin"/>
      </w:r>
      <w:r>
        <w:instrText xml:space="preserve"> PAGEREF _Toc182400233 \h </w:instrText>
      </w:r>
      <w:r>
        <w:fldChar w:fldCharType="separate"/>
      </w:r>
      <w:r>
        <w:t>6</w:t>
      </w:r>
      <w:r>
        <w:fldChar w:fldCharType="end"/>
      </w:r>
    </w:p>
    <w:p>
      <w:pPr>
        <w:pStyle w:val="TOC8"/>
        <w:rPr>
          <w:rFonts w:asciiTheme="minorHAnsi" w:eastAsiaTheme="minorEastAsia" w:hAnsiTheme="minorHAnsi" w:cstheme="minorBidi"/>
          <w:szCs w:val="22"/>
        </w:rPr>
      </w:pPr>
      <w:r>
        <w:t>10.</w:t>
      </w:r>
      <w:r>
        <w:tab/>
        <w:t>GTE may act at its discretion</w:t>
      </w:r>
      <w:r>
        <w:tab/>
      </w:r>
      <w:r>
        <w:fldChar w:fldCharType="begin"/>
      </w:r>
      <w:r>
        <w:instrText xml:space="preserve"> PAGEREF _Toc182400234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Boards of directors</w:t>
      </w:r>
    </w:p>
    <w:p>
      <w:pPr>
        <w:pStyle w:val="TOC4"/>
        <w:tabs>
          <w:tab w:val="right" w:leader="dot" w:pos="7077"/>
        </w:tabs>
        <w:rPr>
          <w:rFonts w:asciiTheme="minorHAnsi" w:eastAsiaTheme="minorEastAsia" w:hAnsiTheme="minorHAnsi" w:cstheme="minorBidi"/>
          <w:b w:val="0"/>
          <w:szCs w:val="22"/>
        </w:rPr>
      </w:pPr>
      <w:r>
        <w:t>Division 1 — Boards and board membership</w:t>
      </w:r>
    </w:p>
    <w:p>
      <w:pPr>
        <w:pStyle w:val="TOC8"/>
        <w:rPr>
          <w:rFonts w:asciiTheme="minorHAnsi" w:eastAsiaTheme="minorEastAsia" w:hAnsiTheme="minorHAnsi" w:cstheme="minorBidi"/>
          <w:szCs w:val="22"/>
        </w:rPr>
      </w:pPr>
      <w:r>
        <w:t>11.</w:t>
      </w:r>
      <w:r>
        <w:tab/>
        <w:t>Board to be GTE’s governing body</w:t>
      </w:r>
      <w:r>
        <w:tab/>
      </w:r>
      <w:r>
        <w:fldChar w:fldCharType="begin"/>
      </w:r>
      <w:r>
        <w:instrText xml:space="preserve"> PAGEREF _Toc182400237 \h </w:instrText>
      </w:r>
      <w:r>
        <w:fldChar w:fldCharType="separate"/>
      </w:r>
      <w:r>
        <w:t>8</w:t>
      </w:r>
      <w:r>
        <w:fldChar w:fldCharType="end"/>
      </w:r>
    </w:p>
    <w:p>
      <w:pPr>
        <w:pStyle w:val="TOC8"/>
        <w:rPr>
          <w:rFonts w:asciiTheme="minorHAnsi" w:eastAsiaTheme="minorEastAsia" w:hAnsiTheme="minorHAnsi" w:cstheme="minorBidi"/>
          <w:szCs w:val="22"/>
        </w:rPr>
      </w:pPr>
      <w:r>
        <w:t>12.</w:t>
      </w:r>
      <w:r>
        <w:tab/>
        <w:t>Board membership</w:t>
      </w:r>
      <w:r>
        <w:tab/>
      </w:r>
      <w:r>
        <w:fldChar w:fldCharType="begin"/>
      </w:r>
      <w:r>
        <w:instrText xml:space="preserve"> PAGEREF _Toc182400238 \h </w:instrText>
      </w:r>
      <w:r>
        <w:fldChar w:fldCharType="separate"/>
      </w:r>
      <w:r>
        <w:t>8</w:t>
      </w:r>
      <w:r>
        <w:fldChar w:fldCharType="end"/>
      </w:r>
    </w:p>
    <w:p>
      <w:pPr>
        <w:pStyle w:val="TOC8"/>
        <w:rPr>
          <w:rFonts w:asciiTheme="minorHAnsi" w:eastAsiaTheme="minorEastAsia" w:hAnsiTheme="minorHAnsi" w:cstheme="minorBidi"/>
          <w:szCs w:val="22"/>
        </w:rPr>
      </w:pPr>
      <w:r>
        <w:t>13.</w:t>
      </w:r>
      <w:r>
        <w:tab/>
        <w:t>Appointment of board members</w:t>
      </w:r>
      <w:r>
        <w:tab/>
      </w:r>
      <w:r>
        <w:fldChar w:fldCharType="begin"/>
      </w:r>
      <w:r>
        <w:instrText xml:space="preserve"> PAGEREF _Toc182400239 \h </w:instrText>
      </w:r>
      <w:r>
        <w:fldChar w:fldCharType="separate"/>
      </w:r>
      <w:r>
        <w:t>8</w:t>
      </w:r>
      <w:r>
        <w:fldChar w:fldCharType="end"/>
      </w:r>
    </w:p>
    <w:p>
      <w:pPr>
        <w:pStyle w:val="TOC8"/>
        <w:rPr>
          <w:rFonts w:asciiTheme="minorHAnsi" w:eastAsiaTheme="minorEastAsia" w:hAnsiTheme="minorHAnsi" w:cstheme="minorBidi"/>
          <w:szCs w:val="22"/>
        </w:rPr>
      </w:pPr>
      <w:r>
        <w:t>14.</w:t>
      </w:r>
      <w:r>
        <w:tab/>
        <w:t>Directors’ skills matrix</w:t>
      </w:r>
      <w:r>
        <w:tab/>
      </w:r>
      <w:r>
        <w:fldChar w:fldCharType="begin"/>
      </w:r>
      <w:r>
        <w:instrText xml:space="preserve"> PAGEREF _Toc182400240 \h </w:instrText>
      </w:r>
      <w:r>
        <w:fldChar w:fldCharType="separate"/>
      </w:r>
      <w:r>
        <w:t>9</w:t>
      </w:r>
      <w:r>
        <w:fldChar w:fldCharType="end"/>
      </w:r>
    </w:p>
    <w:p>
      <w:pPr>
        <w:pStyle w:val="TOC8"/>
        <w:rPr>
          <w:rFonts w:asciiTheme="minorHAnsi" w:eastAsiaTheme="minorEastAsia" w:hAnsiTheme="minorHAnsi" w:cstheme="minorBidi"/>
          <w:szCs w:val="22"/>
        </w:rPr>
      </w:pPr>
      <w:r>
        <w:t>15.</w:t>
      </w:r>
      <w:r>
        <w:tab/>
        <w:t>Recommending candidates for vacancies</w:t>
      </w:r>
      <w:r>
        <w:tab/>
      </w:r>
      <w:r>
        <w:fldChar w:fldCharType="begin"/>
      </w:r>
      <w:r>
        <w:instrText xml:space="preserve"> PAGEREF _Toc182400241 \h </w:instrText>
      </w:r>
      <w:r>
        <w:fldChar w:fldCharType="separate"/>
      </w:r>
      <w:r>
        <w:t>10</w:t>
      </w:r>
      <w:r>
        <w:fldChar w:fldCharType="end"/>
      </w:r>
    </w:p>
    <w:p>
      <w:pPr>
        <w:pStyle w:val="TOC8"/>
        <w:rPr>
          <w:rFonts w:asciiTheme="minorHAnsi" w:eastAsiaTheme="minorEastAsia" w:hAnsiTheme="minorHAnsi" w:cstheme="minorBidi"/>
          <w:szCs w:val="22"/>
        </w:rPr>
      </w:pPr>
      <w:r>
        <w:t>16.</w:t>
      </w:r>
      <w:r>
        <w:tab/>
        <w:t>Chairperson and deputy chairperson</w:t>
      </w:r>
      <w:r>
        <w:tab/>
      </w:r>
      <w:r>
        <w:fldChar w:fldCharType="begin"/>
      </w:r>
      <w:r>
        <w:instrText xml:space="preserve"> PAGEREF _Toc182400242 \h </w:instrText>
      </w:r>
      <w:r>
        <w:fldChar w:fldCharType="separate"/>
      </w:r>
      <w:r>
        <w:t>10</w:t>
      </w:r>
      <w:r>
        <w:fldChar w:fldCharType="end"/>
      </w:r>
    </w:p>
    <w:p>
      <w:pPr>
        <w:pStyle w:val="TOC8"/>
        <w:rPr>
          <w:rFonts w:asciiTheme="minorHAnsi" w:eastAsiaTheme="minorEastAsia" w:hAnsiTheme="minorHAnsi" w:cstheme="minorBidi"/>
          <w:szCs w:val="22"/>
        </w:rPr>
      </w:pPr>
      <w:r>
        <w:t>17.</w:t>
      </w:r>
      <w:r>
        <w:tab/>
        <w:t>Terms and conditions of appointment</w:t>
      </w:r>
      <w:r>
        <w:tab/>
      </w:r>
      <w:r>
        <w:fldChar w:fldCharType="begin"/>
      </w:r>
      <w:r>
        <w:instrText xml:space="preserve"> PAGEREF _Toc182400243 \h </w:instrText>
      </w:r>
      <w:r>
        <w:fldChar w:fldCharType="separate"/>
      </w:r>
      <w:r>
        <w:t>11</w:t>
      </w:r>
      <w:r>
        <w:fldChar w:fldCharType="end"/>
      </w:r>
    </w:p>
    <w:p>
      <w:pPr>
        <w:pStyle w:val="TOC8"/>
        <w:rPr>
          <w:rFonts w:asciiTheme="minorHAnsi" w:eastAsiaTheme="minorEastAsia" w:hAnsiTheme="minorHAnsi" w:cstheme="minorBidi"/>
          <w:szCs w:val="22"/>
        </w:rPr>
      </w:pPr>
      <w:r>
        <w:t>18.</w:t>
      </w:r>
      <w:r>
        <w:tab/>
        <w:t>Remuneration</w:t>
      </w:r>
      <w:r>
        <w:tab/>
      </w:r>
      <w:r>
        <w:fldChar w:fldCharType="begin"/>
      </w:r>
      <w:r>
        <w:instrText xml:space="preserve"> PAGEREF _Toc182400244 \h </w:instrText>
      </w:r>
      <w:r>
        <w:fldChar w:fldCharType="separate"/>
      </w:r>
      <w:r>
        <w:t>12</w:t>
      </w:r>
      <w:r>
        <w:fldChar w:fldCharType="end"/>
      </w:r>
    </w:p>
    <w:p>
      <w:pPr>
        <w:pStyle w:val="TOC8"/>
        <w:rPr>
          <w:rFonts w:asciiTheme="minorHAnsi" w:eastAsiaTheme="minorEastAsia" w:hAnsiTheme="minorHAnsi" w:cstheme="minorBidi"/>
          <w:szCs w:val="22"/>
        </w:rPr>
      </w:pPr>
      <w:r>
        <w:t>19.</w:t>
      </w:r>
      <w:r>
        <w:tab/>
        <w:t>Same remuneration for directors of GTE</w:t>
      </w:r>
      <w:r>
        <w:tab/>
      </w:r>
      <w:r>
        <w:fldChar w:fldCharType="begin"/>
      </w:r>
      <w:r>
        <w:instrText xml:space="preserve"> PAGEREF _Toc182400245 \h </w:instrText>
      </w:r>
      <w:r>
        <w:fldChar w:fldCharType="separate"/>
      </w:r>
      <w:r>
        <w:t>13</w:t>
      </w:r>
      <w:r>
        <w:fldChar w:fldCharType="end"/>
      </w:r>
    </w:p>
    <w:p>
      <w:pPr>
        <w:pStyle w:val="TOC8"/>
        <w:rPr>
          <w:rFonts w:asciiTheme="minorHAnsi" w:eastAsiaTheme="minorEastAsia" w:hAnsiTheme="minorHAnsi" w:cstheme="minorBidi"/>
          <w:szCs w:val="22"/>
        </w:rPr>
      </w:pPr>
      <w:r>
        <w:t>20.</w:t>
      </w:r>
      <w:r>
        <w:tab/>
        <w:t>Expenses</w:t>
      </w:r>
      <w:r>
        <w:tab/>
      </w:r>
      <w:r>
        <w:fldChar w:fldCharType="begin"/>
      </w:r>
      <w:r>
        <w:instrText xml:space="preserve"> PAGEREF _Toc182400246 \h </w:instrText>
      </w:r>
      <w:r>
        <w:fldChar w:fldCharType="separate"/>
      </w:r>
      <w:r>
        <w:t>13</w:t>
      </w:r>
      <w:r>
        <w:fldChar w:fldCharType="end"/>
      </w:r>
    </w:p>
    <w:p>
      <w:pPr>
        <w:pStyle w:val="TOC8"/>
        <w:rPr>
          <w:rFonts w:asciiTheme="minorHAnsi" w:eastAsiaTheme="minorEastAsia" w:hAnsiTheme="minorHAnsi" w:cstheme="minorBidi"/>
          <w:szCs w:val="22"/>
        </w:rPr>
      </w:pPr>
      <w:r>
        <w:t>21.</w:t>
      </w:r>
      <w:r>
        <w:tab/>
        <w:t>Casual vacancies</w:t>
      </w:r>
      <w:r>
        <w:tab/>
      </w:r>
      <w:r>
        <w:fldChar w:fldCharType="begin"/>
      </w:r>
      <w:r>
        <w:instrText xml:space="preserve"> PAGEREF _Toc182400247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22.</w:t>
      </w:r>
      <w:r>
        <w:tab/>
        <w:t>Leave of absence</w:t>
      </w:r>
      <w:r>
        <w:tab/>
      </w:r>
      <w:r>
        <w:fldChar w:fldCharType="begin"/>
      </w:r>
      <w:r>
        <w:instrText xml:space="preserve"> PAGEREF _Toc182400248 \h </w:instrText>
      </w:r>
      <w:r>
        <w:fldChar w:fldCharType="separate"/>
      </w:r>
      <w:r>
        <w:t>14</w:t>
      </w:r>
      <w:r>
        <w:fldChar w:fldCharType="end"/>
      </w:r>
    </w:p>
    <w:p>
      <w:pPr>
        <w:pStyle w:val="TOC8"/>
        <w:rPr>
          <w:rFonts w:asciiTheme="minorHAnsi" w:eastAsiaTheme="minorEastAsia" w:hAnsiTheme="minorHAnsi" w:cstheme="minorBidi"/>
          <w:szCs w:val="22"/>
        </w:rPr>
      </w:pPr>
      <w:r>
        <w:t>23.</w:t>
      </w:r>
      <w:r>
        <w:tab/>
        <w:t>Alternate directors</w:t>
      </w:r>
      <w:r>
        <w:tab/>
      </w:r>
      <w:r>
        <w:fldChar w:fldCharType="begin"/>
      </w:r>
      <w:r>
        <w:instrText xml:space="preserve"> PAGEREF _Toc182400249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Review of board performance</w:t>
      </w:r>
    </w:p>
    <w:p>
      <w:pPr>
        <w:pStyle w:val="TOC8"/>
        <w:rPr>
          <w:rFonts w:asciiTheme="minorHAnsi" w:eastAsiaTheme="minorEastAsia" w:hAnsiTheme="minorHAnsi" w:cstheme="minorBidi"/>
          <w:szCs w:val="22"/>
        </w:rPr>
      </w:pPr>
      <w:r>
        <w:t>24.</w:t>
      </w:r>
      <w:r>
        <w:tab/>
        <w:t>Review of board performance: self</w:t>
      </w:r>
      <w:r>
        <w:noBreakHyphen/>
        <w:t>assessment</w:t>
      </w:r>
      <w:r>
        <w:tab/>
      </w:r>
      <w:r>
        <w:fldChar w:fldCharType="begin"/>
      </w:r>
      <w:r>
        <w:instrText xml:space="preserve"> PAGEREF _Toc182400251 \h </w:instrText>
      </w:r>
      <w:r>
        <w:fldChar w:fldCharType="separate"/>
      </w:r>
      <w:r>
        <w:t>15</w:t>
      </w:r>
      <w:r>
        <w:fldChar w:fldCharType="end"/>
      </w:r>
    </w:p>
    <w:p>
      <w:pPr>
        <w:pStyle w:val="TOC8"/>
        <w:rPr>
          <w:rFonts w:asciiTheme="minorHAnsi" w:eastAsiaTheme="minorEastAsia" w:hAnsiTheme="minorHAnsi" w:cstheme="minorBidi"/>
          <w:szCs w:val="22"/>
        </w:rPr>
      </w:pPr>
      <w:r>
        <w:t>25.</w:t>
      </w:r>
      <w:r>
        <w:tab/>
        <w:t>Review of board performance: external review</w:t>
      </w:r>
      <w:r>
        <w:tab/>
      </w:r>
      <w:r>
        <w:fldChar w:fldCharType="begin"/>
      </w:r>
      <w:r>
        <w:instrText xml:space="preserve"> PAGEREF _Toc182400252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Board committees</w:t>
      </w:r>
    </w:p>
    <w:p>
      <w:pPr>
        <w:pStyle w:val="TOC8"/>
        <w:rPr>
          <w:rFonts w:asciiTheme="minorHAnsi" w:eastAsiaTheme="minorEastAsia" w:hAnsiTheme="minorHAnsi" w:cstheme="minorBidi"/>
          <w:szCs w:val="22"/>
        </w:rPr>
      </w:pPr>
      <w:r>
        <w:t>26.</w:t>
      </w:r>
      <w:r>
        <w:tab/>
        <w:t>Committees</w:t>
      </w:r>
      <w:r>
        <w:tab/>
      </w:r>
      <w:r>
        <w:fldChar w:fldCharType="begin"/>
      </w:r>
      <w:r>
        <w:instrText xml:space="preserve"> PAGEREF _Toc182400254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_Toc182400255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Board procedures</w:t>
      </w:r>
    </w:p>
    <w:p>
      <w:pPr>
        <w:pStyle w:val="TOC8"/>
        <w:rPr>
          <w:rFonts w:asciiTheme="minorHAnsi" w:eastAsiaTheme="minorEastAsia" w:hAnsiTheme="minorHAnsi" w:cstheme="minorBidi"/>
          <w:szCs w:val="22"/>
        </w:rPr>
      </w:pPr>
      <w:r>
        <w:t>28.</w:t>
      </w:r>
      <w:r>
        <w:tab/>
        <w:t>Holding meetings</w:t>
      </w:r>
      <w:r>
        <w:tab/>
      </w:r>
      <w:r>
        <w:fldChar w:fldCharType="begin"/>
      </w:r>
      <w:r>
        <w:instrText xml:space="preserve"> PAGEREF _Toc182400257 \h </w:instrText>
      </w:r>
      <w:r>
        <w:fldChar w:fldCharType="separate"/>
      </w:r>
      <w:r>
        <w:t>18</w:t>
      </w:r>
      <w:r>
        <w:fldChar w:fldCharType="end"/>
      </w:r>
    </w:p>
    <w:p>
      <w:pPr>
        <w:pStyle w:val="TOC8"/>
        <w:rPr>
          <w:rFonts w:asciiTheme="minorHAnsi" w:eastAsiaTheme="minorEastAsia" w:hAnsiTheme="minorHAnsi" w:cstheme="minorBidi"/>
          <w:szCs w:val="22"/>
        </w:rPr>
      </w:pPr>
      <w:r>
        <w:t>29.</w:t>
      </w:r>
      <w:r>
        <w:tab/>
        <w:t>Quorum</w:t>
      </w:r>
      <w:r>
        <w:tab/>
      </w:r>
      <w:r>
        <w:fldChar w:fldCharType="begin"/>
      </w:r>
      <w:r>
        <w:instrText xml:space="preserve"> PAGEREF _Toc182400258 \h </w:instrText>
      </w:r>
      <w:r>
        <w:fldChar w:fldCharType="separate"/>
      </w:r>
      <w:r>
        <w:t>18</w:t>
      </w:r>
      <w:r>
        <w:fldChar w:fldCharType="end"/>
      </w:r>
    </w:p>
    <w:p>
      <w:pPr>
        <w:pStyle w:val="TOC8"/>
        <w:rPr>
          <w:rFonts w:asciiTheme="minorHAnsi" w:eastAsiaTheme="minorEastAsia" w:hAnsiTheme="minorHAnsi" w:cstheme="minorBidi"/>
          <w:szCs w:val="22"/>
        </w:rPr>
      </w:pPr>
      <w:r>
        <w:t>30.</w:t>
      </w:r>
      <w:r>
        <w:tab/>
        <w:t>Presiding members</w:t>
      </w:r>
      <w:r>
        <w:tab/>
      </w:r>
      <w:r>
        <w:fldChar w:fldCharType="begin"/>
      </w:r>
      <w:r>
        <w:instrText xml:space="preserve"> PAGEREF _Toc182400259 \h </w:instrText>
      </w:r>
      <w:r>
        <w:fldChar w:fldCharType="separate"/>
      </w:r>
      <w:r>
        <w:t>19</w:t>
      </w:r>
      <w:r>
        <w:fldChar w:fldCharType="end"/>
      </w:r>
    </w:p>
    <w:p>
      <w:pPr>
        <w:pStyle w:val="TOC8"/>
        <w:rPr>
          <w:rFonts w:asciiTheme="minorHAnsi" w:eastAsiaTheme="minorEastAsia" w:hAnsiTheme="minorHAnsi" w:cstheme="minorBidi"/>
          <w:szCs w:val="22"/>
        </w:rPr>
      </w:pPr>
      <w:r>
        <w:t>31.</w:t>
      </w:r>
      <w:r>
        <w:tab/>
        <w:t>Procedure</w:t>
      </w:r>
      <w:r>
        <w:tab/>
      </w:r>
      <w:r>
        <w:fldChar w:fldCharType="begin"/>
      </w:r>
      <w:r>
        <w:instrText xml:space="preserve"> PAGEREF _Toc182400260 \h </w:instrText>
      </w:r>
      <w:r>
        <w:fldChar w:fldCharType="separate"/>
      </w:r>
      <w:r>
        <w:t>19</w:t>
      </w:r>
      <w:r>
        <w:fldChar w:fldCharType="end"/>
      </w:r>
    </w:p>
    <w:p>
      <w:pPr>
        <w:pStyle w:val="TOC8"/>
        <w:rPr>
          <w:rFonts w:asciiTheme="minorHAnsi" w:eastAsiaTheme="minorEastAsia" w:hAnsiTheme="minorHAnsi" w:cstheme="minorBidi"/>
          <w:szCs w:val="22"/>
        </w:rPr>
      </w:pPr>
      <w:r>
        <w:t>32.</w:t>
      </w:r>
      <w:r>
        <w:tab/>
        <w:t>Presence at meetings may be remote</w:t>
      </w:r>
      <w:r>
        <w:tab/>
      </w:r>
      <w:r>
        <w:fldChar w:fldCharType="begin"/>
      </w:r>
      <w:r>
        <w:instrText xml:space="preserve"> PAGEREF _Toc182400261 \h </w:instrText>
      </w:r>
      <w:r>
        <w:fldChar w:fldCharType="separate"/>
      </w:r>
      <w:r>
        <w:t>19</w:t>
      </w:r>
      <w:r>
        <w:fldChar w:fldCharType="end"/>
      </w:r>
    </w:p>
    <w:p>
      <w:pPr>
        <w:pStyle w:val="TOC8"/>
        <w:rPr>
          <w:rFonts w:asciiTheme="minorHAnsi" w:eastAsiaTheme="minorEastAsia" w:hAnsiTheme="minorHAnsi" w:cstheme="minorBidi"/>
          <w:szCs w:val="22"/>
        </w:rPr>
      </w:pPr>
      <w:r>
        <w:t>33.</w:t>
      </w:r>
      <w:r>
        <w:tab/>
        <w:t>Voting</w:t>
      </w:r>
      <w:r>
        <w:tab/>
      </w:r>
      <w:r>
        <w:fldChar w:fldCharType="begin"/>
      </w:r>
      <w:r>
        <w:instrText xml:space="preserve"> PAGEREF _Toc182400262 \h </w:instrText>
      </w:r>
      <w:r>
        <w:fldChar w:fldCharType="separate"/>
      </w:r>
      <w:r>
        <w:t>19</w:t>
      </w:r>
      <w:r>
        <w:fldChar w:fldCharType="end"/>
      </w:r>
    </w:p>
    <w:p>
      <w:pPr>
        <w:pStyle w:val="TOC8"/>
        <w:rPr>
          <w:rFonts w:asciiTheme="minorHAnsi" w:eastAsiaTheme="minorEastAsia" w:hAnsiTheme="minorHAnsi" w:cstheme="minorBidi"/>
          <w:szCs w:val="22"/>
        </w:rPr>
      </w:pPr>
      <w:r>
        <w:t>34.</w:t>
      </w:r>
      <w:r>
        <w:tab/>
        <w:t>Resolution without meeting</w:t>
      </w:r>
      <w:r>
        <w:tab/>
      </w:r>
      <w:r>
        <w:fldChar w:fldCharType="begin"/>
      </w:r>
      <w:r>
        <w:instrText xml:space="preserve"> PAGEREF _Toc182400263 \h </w:instrText>
      </w:r>
      <w:r>
        <w:fldChar w:fldCharType="separate"/>
      </w:r>
      <w:r>
        <w:t>19</w:t>
      </w:r>
      <w:r>
        <w:fldChar w:fldCharType="end"/>
      </w:r>
    </w:p>
    <w:p>
      <w:pPr>
        <w:pStyle w:val="TOC8"/>
        <w:rPr>
          <w:rFonts w:asciiTheme="minorHAnsi" w:eastAsiaTheme="minorEastAsia" w:hAnsiTheme="minorHAnsi" w:cstheme="minorBidi"/>
          <w:szCs w:val="22"/>
        </w:rPr>
      </w:pPr>
      <w:r>
        <w:t>35.</w:t>
      </w:r>
      <w:r>
        <w:tab/>
        <w:t>Minutes to be kept</w:t>
      </w:r>
      <w:r>
        <w:tab/>
      </w:r>
      <w:r>
        <w:fldChar w:fldCharType="begin"/>
      </w:r>
      <w:r>
        <w:instrText xml:space="preserve"> PAGEREF _Toc182400264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CEOs</w:t>
      </w:r>
    </w:p>
    <w:p>
      <w:pPr>
        <w:pStyle w:val="TOC8"/>
        <w:rPr>
          <w:rFonts w:asciiTheme="minorHAnsi" w:eastAsiaTheme="minorEastAsia" w:hAnsiTheme="minorHAnsi" w:cstheme="minorBidi"/>
          <w:szCs w:val="22"/>
        </w:rPr>
      </w:pPr>
      <w:r>
        <w:t>36.</w:t>
      </w:r>
      <w:r>
        <w:tab/>
        <w:t>GTE’s chief executive officer</w:t>
      </w:r>
      <w:r>
        <w:tab/>
      </w:r>
      <w:r>
        <w:fldChar w:fldCharType="begin"/>
      </w:r>
      <w:r>
        <w:instrText xml:space="preserve"> PAGEREF _Toc182400266 \h </w:instrText>
      </w:r>
      <w:r>
        <w:fldChar w:fldCharType="separate"/>
      </w:r>
      <w:r>
        <w:t>21</w:t>
      </w:r>
      <w:r>
        <w:fldChar w:fldCharType="end"/>
      </w:r>
    </w:p>
    <w:p>
      <w:pPr>
        <w:pStyle w:val="TOC8"/>
        <w:rPr>
          <w:rFonts w:asciiTheme="minorHAnsi" w:eastAsiaTheme="minorEastAsia" w:hAnsiTheme="minorHAnsi" w:cstheme="minorBidi"/>
          <w:szCs w:val="22"/>
        </w:rPr>
      </w:pPr>
      <w:r>
        <w:t>37.</w:t>
      </w:r>
      <w:r>
        <w:tab/>
        <w:t>Appointment</w:t>
      </w:r>
      <w:r>
        <w:tab/>
      </w:r>
      <w:r>
        <w:fldChar w:fldCharType="begin"/>
      </w:r>
      <w:r>
        <w:instrText xml:space="preserve"> PAGEREF _Toc182400267 \h </w:instrText>
      </w:r>
      <w:r>
        <w:fldChar w:fldCharType="separate"/>
      </w:r>
      <w:r>
        <w:t>21</w:t>
      </w:r>
      <w:r>
        <w:fldChar w:fldCharType="end"/>
      </w:r>
    </w:p>
    <w:p>
      <w:pPr>
        <w:pStyle w:val="TOC8"/>
        <w:rPr>
          <w:rFonts w:asciiTheme="minorHAnsi" w:eastAsiaTheme="minorEastAsia" w:hAnsiTheme="minorHAnsi" w:cstheme="minorBidi"/>
          <w:szCs w:val="22"/>
        </w:rPr>
      </w:pPr>
      <w:r>
        <w:t>38.</w:t>
      </w:r>
      <w:r>
        <w:tab/>
        <w:t>Selection criteria</w:t>
      </w:r>
      <w:r>
        <w:tab/>
      </w:r>
      <w:r>
        <w:fldChar w:fldCharType="begin"/>
      </w:r>
      <w:r>
        <w:instrText xml:space="preserve"> PAGEREF _Toc182400268 \h </w:instrText>
      </w:r>
      <w:r>
        <w:fldChar w:fldCharType="separate"/>
      </w:r>
      <w:r>
        <w:t>21</w:t>
      </w:r>
      <w:r>
        <w:fldChar w:fldCharType="end"/>
      </w:r>
    </w:p>
    <w:p>
      <w:pPr>
        <w:pStyle w:val="TOC8"/>
        <w:rPr>
          <w:rFonts w:asciiTheme="minorHAnsi" w:eastAsiaTheme="minorEastAsia" w:hAnsiTheme="minorHAnsi" w:cstheme="minorBidi"/>
          <w:szCs w:val="22"/>
        </w:rPr>
      </w:pPr>
      <w:r>
        <w:t>39.</w:t>
      </w:r>
      <w:r>
        <w:tab/>
        <w:t>Remuneration</w:t>
      </w:r>
      <w:r>
        <w:tab/>
      </w:r>
      <w:r>
        <w:fldChar w:fldCharType="begin"/>
      </w:r>
      <w:r>
        <w:instrText xml:space="preserve"> PAGEREF _Toc182400269 \h </w:instrText>
      </w:r>
      <w:r>
        <w:fldChar w:fldCharType="separate"/>
      </w:r>
      <w:r>
        <w:t>22</w:t>
      </w:r>
      <w:r>
        <w:fldChar w:fldCharType="end"/>
      </w:r>
    </w:p>
    <w:p>
      <w:pPr>
        <w:pStyle w:val="TOC8"/>
        <w:rPr>
          <w:rFonts w:asciiTheme="minorHAnsi" w:eastAsiaTheme="minorEastAsia" w:hAnsiTheme="minorHAnsi" w:cstheme="minorBidi"/>
          <w:szCs w:val="22"/>
        </w:rPr>
      </w:pPr>
      <w:r>
        <w:t>40.</w:t>
      </w:r>
      <w:r>
        <w:tab/>
        <w:t>Resignation</w:t>
      </w:r>
      <w:r>
        <w:tab/>
      </w:r>
      <w:r>
        <w:fldChar w:fldCharType="begin"/>
      </w:r>
      <w:r>
        <w:instrText xml:space="preserve"> PAGEREF _Toc182400270 \h </w:instrText>
      </w:r>
      <w:r>
        <w:fldChar w:fldCharType="separate"/>
      </w:r>
      <w:r>
        <w:t>23</w:t>
      </w:r>
      <w:r>
        <w:fldChar w:fldCharType="end"/>
      </w:r>
    </w:p>
    <w:p>
      <w:pPr>
        <w:pStyle w:val="TOC8"/>
        <w:rPr>
          <w:rFonts w:asciiTheme="minorHAnsi" w:eastAsiaTheme="minorEastAsia" w:hAnsiTheme="minorHAnsi" w:cstheme="minorBidi"/>
          <w:szCs w:val="22"/>
        </w:rPr>
      </w:pPr>
      <w:r>
        <w:t>41.</w:t>
      </w:r>
      <w:r>
        <w:tab/>
        <w:t>Acting chief executive officer</w:t>
      </w:r>
      <w:r>
        <w:tab/>
      </w:r>
      <w:r>
        <w:fldChar w:fldCharType="begin"/>
      </w:r>
      <w:r>
        <w:instrText xml:space="preserve"> PAGEREF _Toc182400271 \h </w:instrText>
      </w:r>
      <w:r>
        <w:fldChar w:fldCharType="separate"/>
      </w:r>
      <w:r>
        <w:t>24</w:t>
      </w:r>
      <w:r>
        <w:fldChar w:fldCharType="end"/>
      </w:r>
    </w:p>
    <w:p>
      <w:pPr>
        <w:pStyle w:val="TOC8"/>
        <w:rPr>
          <w:rFonts w:asciiTheme="minorHAnsi" w:eastAsiaTheme="minorEastAsia" w:hAnsiTheme="minorHAnsi" w:cstheme="minorBidi"/>
          <w:szCs w:val="22"/>
        </w:rPr>
      </w:pPr>
      <w:r>
        <w:t>42.</w:t>
      </w:r>
      <w:r>
        <w:tab/>
        <w:t>Review of CEO’s performance</w:t>
      </w:r>
      <w:r>
        <w:tab/>
      </w:r>
      <w:r>
        <w:fldChar w:fldCharType="begin"/>
      </w:r>
      <w:r>
        <w:instrText xml:space="preserve"> PAGEREF _Toc182400272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Duties of directors, CEOs and staff</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t>Executive officers</w:t>
      </w:r>
      <w:r>
        <w:tab/>
      </w:r>
      <w:r>
        <w:fldChar w:fldCharType="begin"/>
      </w:r>
      <w:r>
        <w:instrText xml:space="preserve"> PAGEREF _Toc182400275 \h </w:instrText>
      </w:r>
      <w:r>
        <w:fldChar w:fldCharType="separate"/>
      </w:r>
      <w:r>
        <w:t>25</w:t>
      </w:r>
      <w:r>
        <w:fldChar w:fldCharType="end"/>
      </w:r>
    </w:p>
    <w:p>
      <w:pPr>
        <w:pStyle w:val="TOC8"/>
        <w:rPr>
          <w:rFonts w:asciiTheme="minorHAnsi" w:eastAsiaTheme="minorEastAsia" w:hAnsiTheme="minorHAnsi" w:cstheme="minorBidi"/>
          <w:szCs w:val="22"/>
        </w:rPr>
      </w:pPr>
      <w:r>
        <w:t>44.</w:t>
      </w:r>
      <w:r>
        <w:tab/>
        <w:t>Attempts</w:t>
      </w:r>
      <w:r>
        <w:tab/>
      </w:r>
      <w:r>
        <w:fldChar w:fldCharType="begin"/>
      </w:r>
      <w:r>
        <w:instrText xml:space="preserve"> PAGEREF _Toc182400276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Duties stated</w:t>
      </w:r>
    </w:p>
    <w:p>
      <w:pPr>
        <w:pStyle w:val="TOC8"/>
        <w:rPr>
          <w:rFonts w:asciiTheme="minorHAnsi" w:eastAsiaTheme="minorEastAsia" w:hAnsiTheme="minorHAnsi" w:cstheme="minorBidi"/>
          <w:szCs w:val="22"/>
        </w:rPr>
      </w:pPr>
      <w:r>
        <w:t>45.</w:t>
      </w:r>
      <w:r>
        <w:tab/>
        <w:t>Fiduciary relationship with, and duties to, GTE</w:t>
      </w:r>
      <w:r>
        <w:tab/>
      </w:r>
      <w:r>
        <w:fldChar w:fldCharType="begin"/>
      </w:r>
      <w:r>
        <w:instrText xml:space="preserve"> PAGEREF _Toc182400278 \h </w:instrText>
      </w:r>
      <w:r>
        <w:fldChar w:fldCharType="separate"/>
      </w:r>
      <w:r>
        <w:t>25</w:t>
      </w:r>
      <w:r>
        <w:fldChar w:fldCharType="end"/>
      </w:r>
    </w:p>
    <w:p>
      <w:pPr>
        <w:pStyle w:val="TOC8"/>
        <w:rPr>
          <w:rFonts w:asciiTheme="minorHAnsi" w:eastAsiaTheme="minorEastAsia" w:hAnsiTheme="minorHAnsi" w:cstheme="minorBidi"/>
          <w:szCs w:val="22"/>
        </w:rPr>
      </w:pPr>
      <w:r>
        <w:t>46.</w:t>
      </w:r>
      <w:r>
        <w:tab/>
        <w:t>Care and diligence</w:t>
      </w:r>
      <w:r>
        <w:tab/>
      </w:r>
      <w:r>
        <w:fldChar w:fldCharType="begin"/>
      </w:r>
      <w:r>
        <w:instrText xml:space="preserve"> PAGEREF _Toc182400279 \h </w:instrText>
      </w:r>
      <w:r>
        <w:fldChar w:fldCharType="separate"/>
      </w:r>
      <w:r>
        <w:t>26</w:t>
      </w:r>
      <w:r>
        <w:fldChar w:fldCharType="end"/>
      </w:r>
    </w:p>
    <w:p>
      <w:pPr>
        <w:pStyle w:val="TOC8"/>
        <w:rPr>
          <w:rFonts w:asciiTheme="minorHAnsi" w:eastAsiaTheme="minorEastAsia" w:hAnsiTheme="minorHAnsi" w:cstheme="minorBidi"/>
          <w:szCs w:val="22"/>
        </w:rPr>
      </w:pPr>
      <w:r>
        <w:t>47.</w:t>
      </w:r>
      <w:r>
        <w:tab/>
        <w:t>Good faith and proper purpose</w:t>
      </w:r>
      <w:r>
        <w:tab/>
      </w:r>
      <w:r>
        <w:fldChar w:fldCharType="begin"/>
      </w:r>
      <w:r>
        <w:instrText xml:space="preserve"> PAGEREF _Toc182400280 \h </w:instrText>
      </w:r>
      <w:r>
        <w:fldChar w:fldCharType="separate"/>
      </w:r>
      <w:r>
        <w:t>27</w:t>
      </w:r>
      <w:r>
        <w:fldChar w:fldCharType="end"/>
      </w:r>
    </w:p>
    <w:p>
      <w:pPr>
        <w:pStyle w:val="TOC8"/>
        <w:rPr>
          <w:rFonts w:asciiTheme="minorHAnsi" w:eastAsiaTheme="minorEastAsia" w:hAnsiTheme="minorHAnsi" w:cstheme="minorBidi"/>
          <w:szCs w:val="22"/>
        </w:rPr>
      </w:pPr>
      <w:r>
        <w:t>48.</w:t>
      </w:r>
      <w:r>
        <w:tab/>
        <w:t>Honesty</w:t>
      </w:r>
      <w:r>
        <w:tab/>
      </w:r>
      <w:r>
        <w:fldChar w:fldCharType="begin"/>
      </w:r>
      <w:r>
        <w:instrText xml:space="preserve"> PAGEREF _Toc182400281 \h </w:instrText>
      </w:r>
      <w:r>
        <w:fldChar w:fldCharType="separate"/>
      </w:r>
      <w:r>
        <w:t>27</w:t>
      </w:r>
      <w:r>
        <w:fldChar w:fldCharType="end"/>
      </w:r>
    </w:p>
    <w:p>
      <w:pPr>
        <w:pStyle w:val="TOC8"/>
        <w:rPr>
          <w:rFonts w:asciiTheme="minorHAnsi" w:eastAsiaTheme="minorEastAsia" w:hAnsiTheme="minorHAnsi" w:cstheme="minorBidi"/>
          <w:szCs w:val="22"/>
        </w:rPr>
      </w:pPr>
      <w:r>
        <w:t>49.</w:t>
      </w:r>
      <w:r>
        <w:tab/>
        <w:t>False or misleading information</w:t>
      </w:r>
      <w:r>
        <w:tab/>
      </w:r>
      <w:r>
        <w:fldChar w:fldCharType="begin"/>
      </w:r>
      <w:r>
        <w:instrText xml:space="preserve"> PAGEREF _Toc182400282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50.</w:t>
      </w:r>
      <w:r>
        <w:tab/>
        <w:t>Use of position</w:t>
      </w:r>
      <w:r>
        <w:tab/>
      </w:r>
      <w:r>
        <w:fldChar w:fldCharType="begin"/>
      </w:r>
      <w:r>
        <w:instrText xml:space="preserve"> PAGEREF _Toc182400283 \h </w:instrText>
      </w:r>
      <w:r>
        <w:fldChar w:fldCharType="separate"/>
      </w:r>
      <w:r>
        <w:t>29</w:t>
      </w:r>
      <w:r>
        <w:fldChar w:fldCharType="end"/>
      </w:r>
    </w:p>
    <w:p>
      <w:pPr>
        <w:pStyle w:val="TOC8"/>
        <w:rPr>
          <w:rFonts w:asciiTheme="minorHAnsi" w:eastAsiaTheme="minorEastAsia" w:hAnsiTheme="minorHAnsi" w:cstheme="minorBidi"/>
          <w:szCs w:val="22"/>
        </w:rPr>
      </w:pPr>
      <w:r>
        <w:t>51.</w:t>
      </w:r>
      <w:r>
        <w:tab/>
        <w:t>Use of information</w:t>
      </w:r>
      <w:r>
        <w:tab/>
      </w:r>
      <w:r>
        <w:fldChar w:fldCharType="begin"/>
      </w:r>
      <w:r>
        <w:instrText xml:space="preserve"> PAGEREF _Toc182400284 \h </w:instrText>
      </w:r>
      <w:r>
        <w:fldChar w:fldCharType="separate"/>
      </w:r>
      <w:r>
        <w:t>30</w:t>
      </w:r>
      <w:r>
        <w:fldChar w:fldCharType="end"/>
      </w:r>
    </w:p>
    <w:p>
      <w:pPr>
        <w:pStyle w:val="TOC8"/>
        <w:rPr>
          <w:rFonts w:asciiTheme="minorHAnsi" w:eastAsiaTheme="minorEastAsia" w:hAnsiTheme="minorHAnsi" w:cstheme="minorBidi"/>
          <w:szCs w:val="22"/>
        </w:rPr>
      </w:pPr>
      <w:r>
        <w:t>52.</w:t>
      </w:r>
      <w:r>
        <w:tab/>
        <w:t>Conflict of duties: public service officers</w:t>
      </w:r>
      <w:r>
        <w:tab/>
      </w:r>
      <w:r>
        <w:fldChar w:fldCharType="begin"/>
      </w:r>
      <w:r>
        <w:instrText xml:space="preserve"> PAGEREF _Toc182400285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Remedies for breach of duties</w:t>
      </w:r>
    </w:p>
    <w:p>
      <w:pPr>
        <w:pStyle w:val="TOC8"/>
        <w:rPr>
          <w:rFonts w:asciiTheme="minorHAnsi" w:eastAsiaTheme="minorEastAsia" w:hAnsiTheme="minorHAnsi" w:cstheme="minorBidi"/>
          <w:szCs w:val="22"/>
        </w:rPr>
      </w:pPr>
      <w:r>
        <w:t>53.</w:t>
      </w:r>
      <w:r>
        <w:tab/>
        <w:t>Civil proceedings for breach of duties</w:t>
      </w:r>
      <w:r>
        <w:tab/>
      </w:r>
      <w:r>
        <w:fldChar w:fldCharType="begin"/>
      </w:r>
      <w:r>
        <w:instrText xml:space="preserve"> PAGEREF _Toc182400287 \h </w:instrText>
      </w:r>
      <w:r>
        <w:fldChar w:fldCharType="separate"/>
      </w:r>
      <w:r>
        <w:t>31</w:t>
      </w:r>
      <w:r>
        <w:fldChar w:fldCharType="end"/>
      </w:r>
    </w:p>
    <w:p>
      <w:pPr>
        <w:pStyle w:val="TOC8"/>
        <w:rPr>
          <w:rFonts w:asciiTheme="minorHAnsi" w:eastAsiaTheme="minorEastAsia" w:hAnsiTheme="minorHAnsi" w:cstheme="minorBidi"/>
          <w:szCs w:val="22"/>
        </w:rPr>
      </w:pPr>
      <w:r>
        <w:t>54.</w:t>
      </w:r>
      <w:r>
        <w:tab/>
        <w:t>Compensation for breach of duties</w:t>
      </w:r>
      <w:r>
        <w:tab/>
      </w:r>
      <w:r>
        <w:fldChar w:fldCharType="begin"/>
      </w:r>
      <w:r>
        <w:instrText xml:space="preserve"> PAGEREF _Toc182400288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55.</w:t>
      </w:r>
      <w:r>
        <w:tab/>
        <w:t>Relief from liability</w:t>
      </w:r>
      <w:r>
        <w:tab/>
      </w:r>
      <w:r>
        <w:fldChar w:fldCharType="begin"/>
      </w:r>
      <w:r>
        <w:instrText xml:space="preserve"> PAGEREF _Toc182400290 \h </w:instrText>
      </w:r>
      <w:r>
        <w:fldChar w:fldCharType="separate"/>
      </w:r>
      <w:r>
        <w:t>31</w:t>
      </w:r>
      <w:r>
        <w:fldChar w:fldCharType="end"/>
      </w:r>
    </w:p>
    <w:p>
      <w:pPr>
        <w:pStyle w:val="TOC8"/>
        <w:rPr>
          <w:rFonts w:asciiTheme="minorHAnsi" w:eastAsiaTheme="minorEastAsia" w:hAnsiTheme="minorHAnsi" w:cstheme="minorBidi"/>
          <w:szCs w:val="22"/>
        </w:rPr>
      </w:pPr>
      <w:r>
        <w:t>56.</w:t>
      </w:r>
      <w:r>
        <w:tab/>
        <w:t>Application for relief from liability</w:t>
      </w:r>
      <w:r>
        <w:tab/>
      </w:r>
      <w:r>
        <w:fldChar w:fldCharType="begin"/>
      </w:r>
      <w:r>
        <w:instrText xml:space="preserve"> PAGEREF _Toc182400291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Disclosure of material personal interests</w:t>
      </w:r>
    </w:p>
    <w:p>
      <w:pPr>
        <w:pStyle w:val="TOC6"/>
        <w:tabs>
          <w:tab w:val="right" w:leader="dot" w:pos="7077"/>
        </w:tabs>
        <w:rPr>
          <w:rFonts w:asciiTheme="minorHAnsi" w:eastAsiaTheme="minorEastAsia" w:hAnsiTheme="minorHAnsi" w:cstheme="minorBidi"/>
          <w:b w:val="0"/>
          <w:sz w:val="22"/>
          <w:szCs w:val="22"/>
        </w:rPr>
      </w:pPr>
      <w:r>
        <w:t>Subdivision 1 — Directors</w:t>
      </w:r>
    </w:p>
    <w:p>
      <w:pPr>
        <w:pStyle w:val="TOC8"/>
        <w:rPr>
          <w:rFonts w:asciiTheme="minorHAnsi" w:eastAsiaTheme="minorEastAsia" w:hAnsiTheme="minorHAnsi" w:cstheme="minorBidi"/>
          <w:szCs w:val="22"/>
        </w:rPr>
      </w:pPr>
      <w:r>
        <w:t>57.</w:t>
      </w:r>
      <w:r>
        <w:tab/>
        <w:t>Term used: committee</w:t>
      </w:r>
      <w:r>
        <w:tab/>
      </w:r>
      <w:r>
        <w:fldChar w:fldCharType="begin"/>
      </w:r>
      <w:r>
        <w:instrText xml:space="preserve"> PAGEREF _Toc182400294 \h </w:instrText>
      </w:r>
      <w:r>
        <w:fldChar w:fldCharType="separate"/>
      </w:r>
      <w:r>
        <w:t>32</w:t>
      </w:r>
      <w:r>
        <w:fldChar w:fldCharType="end"/>
      </w:r>
    </w:p>
    <w:p>
      <w:pPr>
        <w:pStyle w:val="TOC8"/>
        <w:rPr>
          <w:rFonts w:asciiTheme="minorHAnsi" w:eastAsiaTheme="minorEastAsia" w:hAnsiTheme="minorHAnsi" w:cstheme="minorBidi"/>
          <w:szCs w:val="22"/>
        </w:rPr>
      </w:pPr>
      <w:r>
        <w:t>58.</w:t>
      </w:r>
      <w:r>
        <w:tab/>
        <w:t>Disclosure of material personal interests</w:t>
      </w:r>
      <w:r>
        <w:tab/>
      </w:r>
      <w:r>
        <w:fldChar w:fldCharType="begin"/>
      </w:r>
      <w:r>
        <w:instrText xml:space="preserve"> PAGEREF _Toc182400295 \h </w:instrText>
      </w:r>
      <w:r>
        <w:fldChar w:fldCharType="separate"/>
      </w:r>
      <w:r>
        <w:t>32</w:t>
      </w:r>
      <w:r>
        <w:fldChar w:fldCharType="end"/>
      </w:r>
    </w:p>
    <w:p>
      <w:pPr>
        <w:pStyle w:val="TOC8"/>
        <w:rPr>
          <w:rFonts w:asciiTheme="minorHAnsi" w:eastAsiaTheme="minorEastAsia" w:hAnsiTheme="minorHAnsi" w:cstheme="minorBidi"/>
          <w:szCs w:val="22"/>
        </w:rPr>
      </w:pPr>
      <w:r>
        <w:t>59.</w:t>
      </w:r>
      <w:r>
        <w:tab/>
        <w:t>Participation by interested members</w:t>
      </w:r>
      <w:r>
        <w:tab/>
      </w:r>
      <w:r>
        <w:fldChar w:fldCharType="begin"/>
      </w:r>
      <w:r>
        <w:instrText xml:space="preserve"> PAGEREF _Toc182400296 \h </w:instrText>
      </w:r>
      <w:r>
        <w:fldChar w:fldCharType="separate"/>
      </w:r>
      <w:r>
        <w:t>34</w:t>
      </w:r>
      <w:r>
        <w:fldChar w:fldCharType="end"/>
      </w:r>
    </w:p>
    <w:p>
      <w:pPr>
        <w:pStyle w:val="TOC8"/>
        <w:rPr>
          <w:rFonts w:asciiTheme="minorHAnsi" w:eastAsiaTheme="minorEastAsia" w:hAnsiTheme="minorHAnsi" w:cstheme="minorBidi"/>
          <w:szCs w:val="22"/>
        </w:rPr>
      </w:pPr>
      <w:r>
        <w:t>60.</w:t>
      </w:r>
      <w:r>
        <w:tab/>
        <w:t>Quorum if section 59 applies</w:t>
      </w:r>
      <w:r>
        <w:tab/>
      </w:r>
      <w:r>
        <w:fldChar w:fldCharType="begin"/>
      </w:r>
      <w:r>
        <w:instrText xml:space="preserve"> PAGEREF _Toc182400297 \h </w:instrText>
      </w:r>
      <w:r>
        <w:fldChar w:fldCharType="separate"/>
      </w:r>
      <w:r>
        <w:t>35</w:t>
      </w:r>
      <w:r>
        <w:fldChar w:fldCharType="end"/>
      </w:r>
    </w:p>
    <w:p>
      <w:pPr>
        <w:pStyle w:val="TOC8"/>
        <w:rPr>
          <w:rFonts w:asciiTheme="minorHAnsi" w:eastAsiaTheme="minorEastAsia" w:hAnsiTheme="minorHAnsi" w:cstheme="minorBidi"/>
          <w:szCs w:val="22"/>
        </w:rPr>
      </w:pPr>
      <w:r>
        <w:t>61.</w:t>
      </w:r>
      <w:r>
        <w:tab/>
        <w:t>Portfolio Minister may declare section 59(1) or 60(1) inapplicable</w:t>
      </w:r>
      <w:r>
        <w:tab/>
      </w:r>
      <w:r>
        <w:fldChar w:fldCharType="begin"/>
      </w:r>
      <w:r>
        <w:instrText xml:space="preserve"> PAGEREF _Toc182400298 \h </w:instrText>
      </w:r>
      <w:r>
        <w:fldChar w:fldCharType="separate"/>
      </w:r>
      <w:r>
        <w:t>36</w:t>
      </w:r>
      <w:r>
        <w:fldChar w:fldCharType="end"/>
      </w:r>
    </w:p>
    <w:p>
      <w:pPr>
        <w:pStyle w:val="TOC8"/>
        <w:rPr>
          <w:rFonts w:asciiTheme="minorHAnsi" w:eastAsiaTheme="minorEastAsia" w:hAnsiTheme="minorHAnsi" w:cstheme="minorBidi"/>
          <w:szCs w:val="22"/>
        </w:rPr>
      </w:pPr>
      <w:r>
        <w:t>62.</w:t>
      </w:r>
      <w:r>
        <w:tab/>
        <w:t>Register of material personal interests</w:t>
      </w:r>
      <w:r>
        <w:tab/>
      </w:r>
      <w:r>
        <w:fldChar w:fldCharType="begin"/>
      </w:r>
      <w:r>
        <w:instrText xml:space="preserve"> PAGEREF _Toc182400299 \h </w:instrText>
      </w:r>
      <w:r>
        <w:fldChar w:fldCharType="separate"/>
      </w:r>
      <w:r>
        <w:t>36</w:t>
      </w:r>
      <w:r>
        <w:fldChar w:fldCharType="end"/>
      </w:r>
    </w:p>
    <w:p>
      <w:pPr>
        <w:pStyle w:val="TOC8"/>
        <w:rPr>
          <w:rFonts w:asciiTheme="minorHAnsi" w:eastAsiaTheme="minorEastAsia" w:hAnsiTheme="minorHAnsi" w:cstheme="minorBidi"/>
          <w:szCs w:val="22"/>
        </w:rPr>
      </w:pPr>
      <w:r>
        <w:t>63.</w:t>
      </w:r>
      <w:r>
        <w:tab/>
        <w:t>Matters that must be included in departments’ annual reports</w:t>
      </w:r>
      <w:r>
        <w:tab/>
      </w:r>
      <w:r>
        <w:fldChar w:fldCharType="begin"/>
      </w:r>
      <w:r>
        <w:instrText xml:space="preserve"> PAGEREF _Toc182400300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CEOs</w:t>
      </w:r>
    </w:p>
    <w:p>
      <w:pPr>
        <w:pStyle w:val="TOC8"/>
        <w:rPr>
          <w:rFonts w:asciiTheme="minorHAnsi" w:eastAsiaTheme="minorEastAsia" w:hAnsiTheme="minorHAnsi" w:cstheme="minorBidi"/>
          <w:szCs w:val="22"/>
        </w:rPr>
      </w:pPr>
      <w:r>
        <w:t>64.</w:t>
      </w:r>
      <w:r>
        <w:tab/>
        <w:t>Disclosure of material personal interests</w:t>
      </w:r>
      <w:r>
        <w:tab/>
      </w:r>
      <w:r>
        <w:fldChar w:fldCharType="begin"/>
      </w:r>
      <w:r>
        <w:instrText xml:space="preserve"> PAGEREF _Toc182400302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Loans, insurance, indemnities and exemptions</w:t>
      </w:r>
    </w:p>
    <w:p>
      <w:pPr>
        <w:pStyle w:val="TOC8"/>
        <w:rPr>
          <w:rFonts w:asciiTheme="minorHAnsi" w:eastAsiaTheme="minorEastAsia" w:hAnsiTheme="minorHAnsi" w:cstheme="minorBidi"/>
          <w:szCs w:val="22"/>
        </w:rPr>
      </w:pPr>
      <w:r>
        <w:t>65.</w:t>
      </w:r>
      <w:r>
        <w:tab/>
        <w:t>Prohibition on loans to directors and related persons</w:t>
      </w:r>
      <w:r>
        <w:tab/>
      </w:r>
      <w:r>
        <w:fldChar w:fldCharType="begin"/>
      </w:r>
      <w:r>
        <w:instrText xml:space="preserve"> PAGEREF _Toc182400304 \h </w:instrText>
      </w:r>
      <w:r>
        <w:fldChar w:fldCharType="separate"/>
      </w:r>
      <w:r>
        <w:t>38</w:t>
      </w:r>
      <w:r>
        <w:fldChar w:fldCharType="end"/>
      </w:r>
    </w:p>
    <w:p>
      <w:pPr>
        <w:pStyle w:val="TOC8"/>
        <w:rPr>
          <w:rFonts w:asciiTheme="minorHAnsi" w:eastAsiaTheme="minorEastAsia" w:hAnsiTheme="minorHAnsi" w:cstheme="minorBidi"/>
          <w:szCs w:val="22"/>
        </w:rPr>
      </w:pPr>
      <w:r>
        <w:t>66.</w:t>
      </w:r>
      <w:r>
        <w:tab/>
        <w:t>Directors and others not to be exempted or indemnified from certain liabilities</w:t>
      </w:r>
      <w:r>
        <w:tab/>
      </w:r>
      <w:r>
        <w:fldChar w:fldCharType="begin"/>
      </w:r>
      <w:r>
        <w:instrText xml:space="preserve"> PAGEREF _Toc182400305 \h </w:instrText>
      </w:r>
      <w:r>
        <w:fldChar w:fldCharType="separate"/>
      </w:r>
      <w:r>
        <w:t>39</w:t>
      </w:r>
      <w:r>
        <w:fldChar w:fldCharType="end"/>
      </w:r>
    </w:p>
    <w:p>
      <w:pPr>
        <w:pStyle w:val="TOC8"/>
        <w:rPr>
          <w:rFonts w:asciiTheme="minorHAnsi" w:eastAsiaTheme="minorEastAsia" w:hAnsiTheme="minorHAnsi" w:cstheme="minorBidi"/>
          <w:szCs w:val="22"/>
        </w:rPr>
      </w:pPr>
      <w:r>
        <w:t>67.</w:t>
      </w:r>
      <w:r>
        <w:tab/>
        <w:t>Insurance for certain liabilities of directors and others not to be provided</w:t>
      </w:r>
      <w:r>
        <w:tab/>
      </w:r>
      <w:r>
        <w:fldChar w:fldCharType="begin"/>
      </w:r>
      <w:r>
        <w:instrText xml:space="preserve"> PAGEREF _Toc182400306 \h </w:instrText>
      </w:r>
      <w:r>
        <w:fldChar w:fldCharType="separate"/>
      </w:r>
      <w:r>
        <w:t>40</w:t>
      </w:r>
      <w:r>
        <w:fldChar w:fldCharType="end"/>
      </w:r>
    </w:p>
    <w:p>
      <w:pPr>
        <w:pStyle w:val="TOC8"/>
        <w:rPr>
          <w:rFonts w:asciiTheme="minorHAnsi" w:eastAsiaTheme="minorEastAsia" w:hAnsiTheme="minorHAnsi" w:cstheme="minorBidi"/>
          <w:szCs w:val="22"/>
        </w:rPr>
      </w:pPr>
      <w:r>
        <w:t>68.</w:t>
      </w:r>
      <w:r>
        <w:tab/>
        <w:t>Certain indemnities, exemptions and insurance void</w:t>
      </w:r>
      <w:r>
        <w:tab/>
      </w:r>
      <w:r>
        <w:fldChar w:fldCharType="begin"/>
      </w:r>
      <w:r>
        <w:instrText xml:space="preserve"> PAGEREF _Toc182400307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Strategic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_Toc182400310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Statement of expectations</w:t>
      </w:r>
    </w:p>
    <w:p>
      <w:pPr>
        <w:pStyle w:val="TOC8"/>
        <w:rPr>
          <w:rFonts w:asciiTheme="minorHAnsi" w:eastAsiaTheme="minorEastAsia" w:hAnsiTheme="minorHAnsi" w:cstheme="minorBidi"/>
          <w:szCs w:val="22"/>
        </w:rPr>
      </w:pPr>
      <w:r>
        <w:t>70.</w:t>
      </w:r>
      <w:r>
        <w:tab/>
        <w:t>Statement of expectations</w:t>
      </w:r>
      <w:r>
        <w:tab/>
      </w:r>
      <w:r>
        <w:fldChar w:fldCharType="begin"/>
      </w:r>
      <w:r>
        <w:instrText xml:space="preserve"> PAGEREF _Toc182400312 \h </w:instrText>
      </w:r>
      <w:r>
        <w:fldChar w:fldCharType="separate"/>
      </w:r>
      <w:r>
        <w:t>43</w:t>
      </w:r>
      <w:r>
        <w:fldChar w:fldCharType="end"/>
      </w:r>
    </w:p>
    <w:p>
      <w:pPr>
        <w:pStyle w:val="TOC8"/>
        <w:rPr>
          <w:rFonts w:asciiTheme="minorHAnsi" w:eastAsiaTheme="minorEastAsia" w:hAnsiTheme="minorHAnsi" w:cstheme="minorBidi"/>
          <w:szCs w:val="22"/>
        </w:rPr>
      </w:pPr>
      <w:r>
        <w:t>71.</w:t>
      </w:r>
      <w:r>
        <w:tab/>
        <w:t>Preparing draft statement of expectations</w:t>
      </w:r>
      <w:r>
        <w:tab/>
      </w:r>
      <w:r>
        <w:fldChar w:fldCharType="begin"/>
      </w:r>
      <w:r>
        <w:instrText xml:space="preserve"> PAGEREF _Toc182400313 \h </w:instrText>
      </w:r>
      <w:r>
        <w:fldChar w:fldCharType="separate"/>
      </w:r>
      <w:r>
        <w:t>44</w:t>
      </w:r>
      <w:r>
        <w:fldChar w:fldCharType="end"/>
      </w:r>
    </w:p>
    <w:p>
      <w:pPr>
        <w:pStyle w:val="TOC8"/>
        <w:rPr>
          <w:rFonts w:asciiTheme="minorHAnsi" w:eastAsiaTheme="minorEastAsia" w:hAnsiTheme="minorHAnsi" w:cstheme="minorBidi"/>
          <w:szCs w:val="22"/>
        </w:rPr>
      </w:pPr>
      <w:r>
        <w:t>72.</w:t>
      </w:r>
      <w:r>
        <w:tab/>
        <w:t>Adopting statement of expectations</w:t>
      </w:r>
      <w:r>
        <w:tab/>
      </w:r>
      <w:r>
        <w:fldChar w:fldCharType="begin"/>
      </w:r>
      <w:r>
        <w:instrText xml:space="preserve"> PAGEREF _Toc182400314 \h </w:instrText>
      </w:r>
      <w:r>
        <w:fldChar w:fldCharType="separate"/>
      </w:r>
      <w:r>
        <w:t>44</w:t>
      </w:r>
      <w:r>
        <w:fldChar w:fldCharType="end"/>
      </w:r>
    </w:p>
    <w:p>
      <w:pPr>
        <w:pStyle w:val="TOC8"/>
        <w:rPr>
          <w:rFonts w:asciiTheme="minorHAnsi" w:eastAsiaTheme="minorEastAsia" w:hAnsiTheme="minorHAnsi" w:cstheme="minorBidi"/>
          <w:szCs w:val="22"/>
        </w:rPr>
      </w:pPr>
      <w:r>
        <w:t>73.</w:t>
      </w:r>
      <w:r>
        <w:tab/>
        <w:t>Varying statement of expectations</w:t>
      </w:r>
      <w:r>
        <w:tab/>
      </w:r>
      <w:r>
        <w:fldChar w:fldCharType="begin"/>
      </w:r>
      <w:r>
        <w:instrText xml:space="preserve"> PAGEREF _Toc182400315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Annual performance statement</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_Toc182400317 \h </w:instrText>
      </w:r>
      <w:r>
        <w:fldChar w:fldCharType="separate"/>
      </w:r>
      <w:r>
        <w:t>46</w:t>
      </w:r>
      <w:r>
        <w:fldChar w:fldCharType="end"/>
      </w:r>
    </w:p>
    <w:p>
      <w:pPr>
        <w:pStyle w:val="TOC8"/>
        <w:rPr>
          <w:rFonts w:asciiTheme="minorHAnsi" w:eastAsiaTheme="minorEastAsia" w:hAnsiTheme="minorHAnsi" w:cstheme="minorBidi"/>
          <w:szCs w:val="22"/>
        </w:rPr>
      </w:pPr>
      <w:r>
        <w:t>75.</w:t>
      </w:r>
      <w:r>
        <w:tab/>
        <w:t>Annual performance statement for GTE</w:t>
      </w:r>
      <w:r>
        <w:tab/>
      </w:r>
      <w:r>
        <w:fldChar w:fldCharType="begin"/>
      </w:r>
      <w:r>
        <w:instrText xml:space="preserve"> PAGEREF _Toc182400318 \h </w:instrText>
      </w:r>
      <w:r>
        <w:fldChar w:fldCharType="separate"/>
      </w:r>
      <w:r>
        <w:t>47</w:t>
      </w:r>
      <w:r>
        <w:fldChar w:fldCharType="end"/>
      </w:r>
    </w:p>
    <w:p>
      <w:pPr>
        <w:pStyle w:val="TOC8"/>
        <w:rPr>
          <w:rFonts w:asciiTheme="minorHAnsi" w:eastAsiaTheme="minorEastAsia" w:hAnsiTheme="minorHAnsi" w:cstheme="minorBidi"/>
          <w:szCs w:val="22"/>
        </w:rPr>
      </w:pPr>
      <w:r>
        <w:t>76.</w:t>
      </w:r>
      <w:r>
        <w:tab/>
        <w:t>Submitting draft annual performance statement and related information</w:t>
      </w:r>
      <w:r>
        <w:tab/>
      </w:r>
      <w:r>
        <w:fldChar w:fldCharType="begin"/>
      </w:r>
      <w:r>
        <w:instrText xml:space="preserve"> PAGEREF _Toc182400319 \h </w:instrText>
      </w:r>
      <w:r>
        <w:fldChar w:fldCharType="separate"/>
      </w:r>
      <w:r>
        <w:t>49</w:t>
      </w:r>
      <w:r>
        <w:fldChar w:fldCharType="end"/>
      </w:r>
    </w:p>
    <w:p>
      <w:pPr>
        <w:pStyle w:val="TOC8"/>
        <w:rPr>
          <w:rFonts w:asciiTheme="minorHAnsi" w:eastAsiaTheme="minorEastAsia" w:hAnsiTheme="minorHAnsi" w:cstheme="minorBidi"/>
          <w:szCs w:val="22"/>
        </w:rPr>
      </w:pPr>
      <w:r>
        <w:t>77.</w:t>
      </w:r>
      <w:r>
        <w:tab/>
        <w:t>Adopting annual performance statement</w:t>
      </w:r>
      <w:r>
        <w:tab/>
      </w:r>
      <w:r>
        <w:fldChar w:fldCharType="begin"/>
      </w:r>
      <w:r>
        <w:instrText xml:space="preserve"> PAGEREF _Toc182400320 \h </w:instrText>
      </w:r>
      <w:r>
        <w:fldChar w:fldCharType="separate"/>
      </w:r>
      <w:r>
        <w:t>50</w:t>
      </w:r>
      <w:r>
        <w:fldChar w:fldCharType="end"/>
      </w:r>
    </w:p>
    <w:p>
      <w:pPr>
        <w:pStyle w:val="TOC8"/>
        <w:rPr>
          <w:rFonts w:asciiTheme="minorHAnsi" w:eastAsiaTheme="minorEastAsia" w:hAnsiTheme="minorHAnsi" w:cstheme="minorBidi"/>
          <w:szCs w:val="22"/>
        </w:rPr>
      </w:pPr>
      <w:r>
        <w:t>78.</w:t>
      </w:r>
      <w:r>
        <w:tab/>
        <w:t>Varying annual performance statement</w:t>
      </w:r>
      <w:r>
        <w:tab/>
      </w:r>
      <w:r>
        <w:fldChar w:fldCharType="begin"/>
      </w:r>
      <w:r>
        <w:instrText xml:space="preserve"> PAGEREF _Toc182400321 \h </w:instrText>
      </w:r>
      <w:r>
        <w:fldChar w:fldCharType="separate"/>
      </w:r>
      <w:r>
        <w:t>50</w:t>
      </w:r>
      <w:r>
        <w:fldChar w:fldCharType="end"/>
      </w:r>
    </w:p>
    <w:p>
      <w:pPr>
        <w:pStyle w:val="TOC8"/>
        <w:rPr>
          <w:rFonts w:asciiTheme="minorHAnsi" w:eastAsiaTheme="minorEastAsia" w:hAnsiTheme="minorHAnsi" w:cstheme="minorBidi"/>
          <w:szCs w:val="22"/>
        </w:rPr>
      </w:pPr>
      <w:r>
        <w:t>79.</w:t>
      </w:r>
      <w:r>
        <w:tab/>
        <w:t>Continuation of annual performance statement</w:t>
      </w:r>
      <w:r>
        <w:tab/>
      </w:r>
      <w:r>
        <w:fldChar w:fldCharType="begin"/>
      </w:r>
      <w:r>
        <w:instrText xml:space="preserve"> PAGEREF _Toc182400322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Accountability and control</w:t>
      </w:r>
    </w:p>
    <w:p>
      <w:pPr>
        <w:pStyle w:val="TOC4"/>
        <w:tabs>
          <w:tab w:val="right" w:leader="dot" w:pos="7077"/>
        </w:tabs>
        <w:rPr>
          <w:rFonts w:asciiTheme="minorHAnsi" w:eastAsiaTheme="minorEastAsia" w:hAnsiTheme="minorHAnsi" w:cstheme="minorBidi"/>
          <w:b w:val="0"/>
          <w:szCs w:val="22"/>
        </w:rPr>
      </w:pPr>
      <w:r>
        <w:t>Division 1 — Reporting</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_Toc182400325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snapToGrid w:val="0"/>
        </w:rPr>
        <w:t>Annual reports must be given to Portfolio Minister and Treasurer</w:t>
      </w:r>
      <w:r>
        <w:tab/>
      </w:r>
      <w:r>
        <w:fldChar w:fldCharType="begin"/>
      </w:r>
      <w:r>
        <w:instrText xml:space="preserve"> PAGEREF _Toc182400326 \h </w:instrText>
      </w:r>
      <w:r>
        <w:fldChar w:fldCharType="separate"/>
      </w:r>
      <w:r>
        <w:t>52</w:t>
      </w:r>
      <w:r>
        <w:fldChar w:fldCharType="end"/>
      </w:r>
    </w:p>
    <w:p>
      <w:pPr>
        <w:pStyle w:val="TOC8"/>
        <w:rPr>
          <w:rFonts w:asciiTheme="minorHAnsi" w:eastAsiaTheme="minorEastAsia" w:hAnsiTheme="minorHAnsi" w:cstheme="minorBidi"/>
          <w:szCs w:val="22"/>
        </w:rPr>
      </w:pPr>
      <w:r>
        <w:t>82.</w:t>
      </w:r>
      <w:r>
        <w:tab/>
      </w:r>
      <w:r>
        <w:rPr>
          <w:snapToGrid w:val="0"/>
        </w:rPr>
        <w:t>Interim reports must be given to Portfolio Minister and Treasurer</w:t>
      </w:r>
      <w:r>
        <w:tab/>
      </w:r>
      <w:r>
        <w:fldChar w:fldCharType="begin"/>
      </w:r>
      <w:r>
        <w:instrText xml:space="preserve"> PAGEREF _Toc182400327 \h </w:instrText>
      </w:r>
      <w:r>
        <w:fldChar w:fldCharType="separate"/>
      </w:r>
      <w:r>
        <w:t>52</w:t>
      </w:r>
      <w:r>
        <w:fldChar w:fldCharType="end"/>
      </w:r>
    </w:p>
    <w:p>
      <w:pPr>
        <w:pStyle w:val="TOC8"/>
        <w:rPr>
          <w:rFonts w:asciiTheme="minorHAnsi" w:eastAsiaTheme="minorEastAsia" w:hAnsiTheme="minorHAnsi" w:cstheme="minorBidi"/>
          <w:szCs w:val="22"/>
        </w:rPr>
      </w:pPr>
      <w:r>
        <w:t>83.</w:t>
      </w:r>
      <w:r>
        <w:tab/>
        <w:t>Copies of certain reports must be laid before Parliament</w:t>
      </w:r>
      <w:r>
        <w:tab/>
      </w:r>
      <w:r>
        <w:fldChar w:fldCharType="begin"/>
      </w:r>
      <w:r>
        <w:instrText xml:space="preserve"> PAGEREF _Toc182400328 \h </w:instrText>
      </w:r>
      <w:r>
        <w:fldChar w:fldCharType="separate"/>
      </w:r>
      <w:r>
        <w:t>52</w:t>
      </w:r>
      <w:r>
        <w:fldChar w:fldCharType="end"/>
      </w:r>
    </w:p>
    <w:p>
      <w:pPr>
        <w:pStyle w:val="TOC8"/>
        <w:rPr>
          <w:rFonts w:asciiTheme="minorHAnsi" w:eastAsiaTheme="minorEastAsia" w:hAnsiTheme="minorHAnsi" w:cstheme="minorBidi"/>
          <w:szCs w:val="22"/>
        </w:rPr>
      </w:pPr>
      <w:r>
        <w:t>84.</w:t>
      </w:r>
      <w:r>
        <w:tab/>
        <w:t>Copies of certain reports must be made publicly available</w:t>
      </w:r>
      <w:r>
        <w:tab/>
      </w:r>
      <w:r>
        <w:fldChar w:fldCharType="begin"/>
      </w:r>
      <w:r>
        <w:instrText xml:space="preserve"> PAGEREF _Toc182400329 \h </w:instrText>
      </w:r>
      <w:r>
        <w:fldChar w:fldCharType="separate"/>
      </w:r>
      <w:r>
        <w:t>53</w:t>
      </w:r>
      <w:r>
        <w:fldChar w:fldCharType="end"/>
      </w:r>
    </w:p>
    <w:p>
      <w:pPr>
        <w:pStyle w:val="TOC8"/>
        <w:rPr>
          <w:rFonts w:asciiTheme="minorHAnsi" w:eastAsiaTheme="minorEastAsia" w:hAnsiTheme="minorHAnsi" w:cstheme="minorBidi"/>
          <w:szCs w:val="22"/>
        </w:rPr>
      </w:pPr>
      <w:r>
        <w:t>85.</w:t>
      </w:r>
      <w:r>
        <w:tab/>
      </w:r>
      <w:r>
        <w:rPr>
          <w:snapToGrid w:val="0"/>
        </w:rPr>
        <w:t>Deletion of commercially sensitive information from copies of reports</w:t>
      </w:r>
      <w:r>
        <w:tab/>
      </w:r>
      <w:r>
        <w:fldChar w:fldCharType="begin"/>
      </w:r>
      <w:r>
        <w:instrText xml:space="preserve"> PAGEREF _Toc182400330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Consultation and provision of information</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_Toc182400332 \h </w:instrText>
      </w:r>
      <w:r>
        <w:fldChar w:fldCharType="separate"/>
      </w:r>
      <w:r>
        <w:t>54</w:t>
      </w:r>
      <w:r>
        <w:fldChar w:fldCharType="end"/>
      </w:r>
    </w:p>
    <w:p>
      <w:pPr>
        <w:pStyle w:val="TOC8"/>
        <w:rPr>
          <w:rFonts w:asciiTheme="minorHAnsi" w:eastAsiaTheme="minorEastAsia" w:hAnsiTheme="minorHAnsi" w:cstheme="minorBidi"/>
          <w:szCs w:val="22"/>
        </w:rPr>
      </w:pPr>
      <w:r>
        <w:t>87.</w:t>
      </w:r>
      <w:r>
        <w:tab/>
        <w:t>Consultation</w:t>
      </w:r>
      <w:r>
        <w:tab/>
      </w:r>
      <w:r>
        <w:fldChar w:fldCharType="begin"/>
      </w:r>
      <w:r>
        <w:instrText xml:space="preserve"> PAGEREF _Toc182400333 \h </w:instrText>
      </w:r>
      <w:r>
        <w:fldChar w:fldCharType="separate"/>
      </w:r>
      <w:r>
        <w:t>55</w:t>
      </w:r>
      <w:r>
        <w:fldChar w:fldCharType="end"/>
      </w:r>
    </w:p>
    <w:p>
      <w:pPr>
        <w:pStyle w:val="TOC8"/>
        <w:rPr>
          <w:rFonts w:asciiTheme="minorHAnsi" w:eastAsiaTheme="minorEastAsia" w:hAnsiTheme="minorHAnsi" w:cstheme="minorBidi"/>
          <w:szCs w:val="22"/>
        </w:rPr>
      </w:pPr>
      <w:r>
        <w:t>88.</w:t>
      </w:r>
      <w:r>
        <w:tab/>
        <w:t>Right to request, obtain and retain information</w:t>
      </w:r>
      <w:r>
        <w:tab/>
      </w:r>
      <w:r>
        <w:fldChar w:fldCharType="begin"/>
      </w:r>
      <w:r>
        <w:instrText xml:space="preserve"> PAGEREF _Toc182400334 \h </w:instrText>
      </w:r>
      <w:r>
        <w:fldChar w:fldCharType="separate"/>
      </w:r>
      <w:r>
        <w:t>55</w:t>
      </w:r>
      <w:r>
        <w:fldChar w:fldCharType="end"/>
      </w:r>
    </w:p>
    <w:p>
      <w:pPr>
        <w:pStyle w:val="TOC8"/>
        <w:rPr>
          <w:rFonts w:asciiTheme="minorHAnsi" w:eastAsiaTheme="minorEastAsia" w:hAnsiTheme="minorHAnsi" w:cstheme="minorBidi"/>
          <w:szCs w:val="22"/>
        </w:rPr>
      </w:pPr>
      <w:r>
        <w:t>89.</w:t>
      </w:r>
      <w:r>
        <w:tab/>
        <w:t>Duty to comply with information request</w:t>
      </w:r>
      <w:r>
        <w:tab/>
      </w:r>
      <w:r>
        <w:fldChar w:fldCharType="begin"/>
      </w:r>
      <w:r>
        <w:instrText xml:space="preserve"> PAGEREF _Toc182400335 \h </w:instrText>
      </w:r>
      <w:r>
        <w:fldChar w:fldCharType="separate"/>
      </w:r>
      <w:r>
        <w:t>56</w:t>
      </w:r>
      <w:r>
        <w:fldChar w:fldCharType="end"/>
      </w:r>
    </w:p>
    <w:p>
      <w:pPr>
        <w:pStyle w:val="TOC8"/>
        <w:rPr>
          <w:rFonts w:asciiTheme="minorHAnsi" w:eastAsiaTheme="minorEastAsia" w:hAnsiTheme="minorHAnsi" w:cstheme="minorBidi"/>
          <w:szCs w:val="22"/>
        </w:rPr>
      </w:pPr>
      <w:r>
        <w:t>90.</w:t>
      </w:r>
      <w:r>
        <w:tab/>
      </w:r>
      <w:r>
        <w:rPr>
          <w:snapToGrid w:val="0"/>
        </w:rPr>
        <w:t>Minister must be kept informed</w:t>
      </w:r>
      <w:r>
        <w:tab/>
      </w:r>
      <w:r>
        <w:fldChar w:fldCharType="begin"/>
      </w:r>
      <w:r>
        <w:instrText xml:space="preserve"> PAGEREF _Toc182400336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Notice of financial difficulty</w:t>
      </w:r>
      <w:r>
        <w:tab/>
      </w:r>
      <w:r>
        <w:fldChar w:fldCharType="begin"/>
      </w:r>
      <w:r>
        <w:instrText xml:space="preserve"> PAGEREF _Toc182400337 \h </w:instrText>
      </w:r>
      <w:r>
        <w:fldChar w:fldCharType="separate"/>
      </w:r>
      <w:r>
        <w:t>58</w:t>
      </w:r>
      <w:r>
        <w:fldChar w:fldCharType="end"/>
      </w:r>
    </w:p>
    <w:p>
      <w:pPr>
        <w:pStyle w:val="TOC8"/>
        <w:rPr>
          <w:rFonts w:asciiTheme="minorHAnsi" w:eastAsiaTheme="minorEastAsia" w:hAnsiTheme="minorHAnsi" w:cstheme="minorBidi"/>
          <w:szCs w:val="22"/>
        </w:rPr>
      </w:pPr>
      <w:r>
        <w:t>92.</w:t>
      </w:r>
      <w:r>
        <w:tab/>
        <w:t>Legal professional privilege preserved</w:t>
      </w:r>
      <w:r>
        <w:tab/>
      </w:r>
      <w:r>
        <w:fldChar w:fldCharType="begin"/>
      </w:r>
      <w:r>
        <w:instrText xml:space="preserve"> PAGEREF _Toc182400338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Matters requiring approval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93.</w:t>
      </w:r>
      <w:r>
        <w:tab/>
        <w:t>Term used: relevant entity</w:t>
      </w:r>
      <w:r>
        <w:tab/>
      </w:r>
      <w:r>
        <w:fldChar w:fldCharType="begin"/>
      </w:r>
      <w:r>
        <w:instrText xml:space="preserve"> PAGEREF _Toc182400341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94.</w:t>
      </w:r>
      <w:r>
        <w:tab/>
        <w:t>Approvals and declarations</w:t>
      </w:r>
      <w:r>
        <w:tab/>
      </w:r>
      <w:r>
        <w:fldChar w:fldCharType="begin"/>
      </w:r>
      <w:r>
        <w:instrText xml:space="preserve"> PAGEREF _Toc182400342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Disposal of significant assets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_Toc182400344 \h </w:instrText>
      </w:r>
      <w:r>
        <w:fldChar w:fldCharType="separate"/>
      </w:r>
      <w:r>
        <w:t>59</w:t>
      </w:r>
      <w:r>
        <w:fldChar w:fldCharType="end"/>
      </w:r>
    </w:p>
    <w:p>
      <w:pPr>
        <w:pStyle w:val="TOC8"/>
        <w:rPr>
          <w:rFonts w:asciiTheme="minorHAnsi" w:eastAsiaTheme="minorEastAsia" w:hAnsiTheme="minorHAnsi" w:cstheme="minorBidi"/>
          <w:szCs w:val="22"/>
        </w:rPr>
      </w:pPr>
      <w:r>
        <w:t>96.</w:t>
      </w:r>
      <w:r>
        <w:tab/>
        <w:t>Restriction on disposal of significant asset</w:t>
      </w:r>
      <w:r>
        <w:tab/>
      </w:r>
      <w:r>
        <w:fldChar w:fldCharType="begin"/>
      </w:r>
      <w:r>
        <w:instrText xml:space="preserve"> PAGEREF _Toc182400345 \h </w:instrText>
      </w:r>
      <w:r>
        <w:fldChar w:fldCharType="separate"/>
      </w:r>
      <w:r>
        <w:t>60</w:t>
      </w:r>
      <w:r>
        <w:fldChar w:fldCharType="end"/>
      </w:r>
    </w:p>
    <w:p>
      <w:pPr>
        <w:pStyle w:val="TOC8"/>
        <w:rPr>
          <w:rFonts w:asciiTheme="minorHAnsi" w:eastAsiaTheme="minorEastAsia" w:hAnsiTheme="minorHAnsi" w:cstheme="minorBidi"/>
          <w:szCs w:val="22"/>
        </w:rPr>
      </w:pPr>
      <w:r>
        <w:t>97.</w:t>
      </w:r>
      <w:r>
        <w:tab/>
        <w:t>Consultation regarding disposal of significant asset</w:t>
      </w:r>
      <w:r>
        <w:tab/>
      </w:r>
      <w:r>
        <w:fldChar w:fldCharType="begin"/>
      </w:r>
      <w:r>
        <w:instrText xml:space="preserve"> PAGEREF _Toc182400346 \h </w:instrText>
      </w:r>
      <w:r>
        <w:fldChar w:fldCharType="separate"/>
      </w:r>
      <w:r>
        <w:t>60</w:t>
      </w:r>
      <w:r>
        <w:fldChar w:fldCharType="end"/>
      </w:r>
    </w:p>
    <w:p>
      <w:pPr>
        <w:pStyle w:val="TOC8"/>
        <w:rPr>
          <w:rFonts w:asciiTheme="minorHAnsi" w:eastAsiaTheme="minorEastAsia" w:hAnsiTheme="minorHAnsi" w:cstheme="minorBidi"/>
          <w:szCs w:val="22"/>
        </w:rPr>
      </w:pPr>
      <w:r>
        <w:t>98.</w:t>
      </w:r>
      <w:r>
        <w:tab/>
        <w:t>Disposal orders</w:t>
      </w:r>
      <w:r>
        <w:tab/>
      </w:r>
      <w:r>
        <w:fldChar w:fldCharType="begin"/>
      </w:r>
      <w:r>
        <w:instrText xml:space="preserve"> PAGEREF _Toc182400347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Significant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_Toc182400349 \h </w:instrText>
      </w:r>
      <w:r>
        <w:fldChar w:fldCharType="separate"/>
      </w:r>
      <w:r>
        <w:t>62</w:t>
      </w:r>
      <w:r>
        <w:fldChar w:fldCharType="end"/>
      </w:r>
    </w:p>
    <w:p>
      <w:pPr>
        <w:pStyle w:val="TOC8"/>
        <w:rPr>
          <w:rFonts w:asciiTheme="minorHAnsi" w:eastAsiaTheme="minorEastAsia" w:hAnsiTheme="minorHAnsi" w:cstheme="minorBidi"/>
          <w:szCs w:val="22"/>
        </w:rPr>
      </w:pPr>
      <w:r>
        <w:t>100.</w:t>
      </w:r>
      <w:r>
        <w:tab/>
        <w:t>Term used: significant transaction</w:t>
      </w:r>
      <w:r>
        <w:tab/>
      </w:r>
      <w:r>
        <w:fldChar w:fldCharType="begin"/>
      </w:r>
      <w:r>
        <w:instrText xml:space="preserve"> PAGEREF _Toc182400350 \h </w:instrText>
      </w:r>
      <w:r>
        <w:fldChar w:fldCharType="separate"/>
      </w:r>
      <w:r>
        <w:t>63</w:t>
      </w:r>
      <w:r>
        <w:fldChar w:fldCharType="end"/>
      </w:r>
    </w:p>
    <w:p>
      <w:pPr>
        <w:pStyle w:val="TOC8"/>
        <w:rPr>
          <w:rFonts w:asciiTheme="minorHAnsi" w:eastAsiaTheme="minorEastAsia" w:hAnsiTheme="minorHAnsi" w:cstheme="minorBidi"/>
          <w:szCs w:val="22"/>
        </w:rPr>
      </w:pPr>
      <w:r>
        <w:t>101.</w:t>
      </w:r>
      <w:r>
        <w:tab/>
        <w:t>Restriction on effecting significant transactions</w:t>
      </w:r>
      <w:r>
        <w:tab/>
      </w:r>
      <w:r>
        <w:fldChar w:fldCharType="begin"/>
      </w:r>
      <w:r>
        <w:instrText xml:space="preserve"> PAGEREF _Toc182400351 \h </w:instrText>
      </w:r>
      <w:r>
        <w:fldChar w:fldCharType="separate"/>
      </w:r>
      <w:r>
        <w:t>64</w:t>
      </w:r>
      <w:r>
        <w:fldChar w:fldCharType="end"/>
      </w:r>
    </w:p>
    <w:p>
      <w:pPr>
        <w:pStyle w:val="TOC8"/>
        <w:rPr>
          <w:rFonts w:asciiTheme="minorHAnsi" w:eastAsiaTheme="minorEastAsia" w:hAnsiTheme="minorHAnsi" w:cstheme="minorBidi"/>
          <w:szCs w:val="22"/>
        </w:rPr>
      </w:pPr>
      <w:r>
        <w:t>102.</w:t>
      </w:r>
      <w:r>
        <w:tab/>
        <w:t>Consultation regarding significant transactions</w:t>
      </w:r>
      <w:r>
        <w:tab/>
      </w:r>
      <w:r>
        <w:fldChar w:fldCharType="begin"/>
      </w:r>
      <w:r>
        <w:instrText xml:space="preserve"> PAGEREF _Toc182400352 \h </w:instrText>
      </w:r>
      <w:r>
        <w:fldChar w:fldCharType="separate"/>
      </w:r>
      <w:r>
        <w:t>64</w:t>
      </w:r>
      <w:r>
        <w:fldChar w:fldCharType="end"/>
      </w:r>
    </w:p>
    <w:p>
      <w:pPr>
        <w:pStyle w:val="TOC8"/>
        <w:rPr>
          <w:rFonts w:asciiTheme="minorHAnsi" w:eastAsiaTheme="minorEastAsia" w:hAnsiTheme="minorHAnsi" w:cstheme="minorBidi"/>
          <w:szCs w:val="22"/>
        </w:rPr>
      </w:pPr>
      <w:r>
        <w:t>103.</w:t>
      </w:r>
      <w:r>
        <w:tab/>
        <w:t>Approval of significant transactions</w:t>
      </w:r>
      <w:r>
        <w:tab/>
      </w:r>
      <w:r>
        <w:fldChar w:fldCharType="begin"/>
      </w:r>
      <w:r>
        <w:instrText xml:space="preserve"> PAGEREF _Toc182400353 \h </w:instrText>
      </w:r>
      <w:r>
        <w:fldChar w:fldCharType="separate"/>
      </w:r>
      <w:r>
        <w:t>64</w:t>
      </w:r>
      <w:r>
        <w:fldChar w:fldCharType="end"/>
      </w:r>
    </w:p>
    <w:p>
      <w:pPr>
        <w:pStyle w:val="TOC8"/>
        <w:rPr>
          <w:rFonts w:asciiTheme="minorHAnsi" w:eastAsiaTheme="minorEastAsia" w:hAnsiTheme="minorHAnsi" w:cstheme="minorBidi"/>
          <w:szCs w:val="22"/>
        </w:rPr>
      </w:pPr>
      <w:r>
        <w:t>104.</w:t>
      </w:r>
      <w:r>
        <w:tab/>
        <w:t>Excluded transactions</w:t>
      </w:r>
      <w:r>
        <w:tab/>
      </w:r>
      <w:r>
        <w:fldChar w:fldCharType="begin"/>
      </w:r>
      <w:r>
        <w:instrText xml:space="preserve"> PAGEREF _Toc182400354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Significant initiatives</w:t>
      </w:r>
    </w:p>
    <w:p>
      <w:pPr>
        <w:pStyle w:val="TOC8"/>
        <w:rPr>
          <w:rFonts w:asciiTheme="minorHAnsi" w:eastAsiaTheme="minorEastAsia" w:hAnsiTheme="minorHAnsi" w:cstheme="minorBidi"/>
          <w:szCs w:val="22"/>
        </w:rPr>
      </w:pPr>
      <w:r>
        <w:t>105.</w:t>
      </w:r>
      <w:r>
        <w:tab/>
        <w:t>Term used: significant initiative</w:t>
      </w:r>
      <w:r>
        <w:tab/>
      </w:r>
      <w:r>
        <w:fldChar w:fldCharType="begin"/>
      </w:r>
      <w:r>
        <w:instrText xml:space="preserve"> PAGEREF _Toc182400356 \h </w:instrText>
      </w:r>
      <w:r>
        <w:fldChar w:fldCharType="separate"/>
      </w:r>
      <w:r>
        <w:t>65</w:t>
      </w:r>
      <w:r>
        <w:fldChar w:fldCharType="end"/>
      </w:r>
    </w:p>
    <w:p>
      <w:pPr>
        <w:pStyle w:val="TOC8"/>
        <w:rPr>
          <w:rFonts w:asciiTheme="minorHAnsi" w:eastAsiaTheme="minorEastAsia" w:hAnsiTheme="minorHAnsi" w:cstheme="minorBidi"/>
          <w:szCs w:val="22"/>
        </w:rPr>
      </w:pPr>
      <w:r>
        <w:t>106.</w:t>
      </w:r>
      <w:r>
        <w:tab/>
        <w:t>Consultation regarding significant initiatives</w:t>
      </w:r>
      <w:r>
        <w:tab/>
      </w:r>
      <w:r>
        <w:fldChar w:fldCharType="begin"/>
      </w:r>
      <w:r>
        <w:instrText xml:space="preserve"> PAGEREF _Toc182400357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107.</w:t>
      </w:r>
      <w:r>
        <w:tab/>
        <w:t>GTEs not generally subject to direction by Government</w:t>
      </w:r>
      <w:r>
        <w:tab/>
      </w:r>
      <w:r>
        <w:fldChar w:fldCharType="begin"/>
      </w:r>
      <w:r>
        <w:instrText xml:space="preserve"> PAGEREF _Toc182400359 \h </w:instrText>
      </w:r>
      <w:r>
        <w:fldChar w:fldCharType="separate"/>
      </w:r>
      <w:r>
        <w:t>66</w:t>
      </w:r>
      <w:r>
        <w:fldChar w:fldCharType="end"/>
      </w:r>
    </w:p>
    <w:p>
      <w:pPr>
        <w:pStyle w:val="TOC8"/>
        <w:rPr>
          <w:rFonts w:asciiTheme="minorHAnsi" w:eastAsiaTheme="minorEastAsia" w:hAnsiTheme="minorHAnsi" w:cstheme="minorBidi"/>
          <w:szCs w:val="22"/>
        </w:rPr>
      </w:pPr>
      <w:r>
        <w:t>108.</w:t>
      </w:r>
      <w:r>
        <w:tab/>
        <w:t>Ministerial d</w:t>
      </w:r>
      <w:r>
        <w:rPr>
          <w:snapToGrid w:val="0"/>
        </w:rPr>
        <w:t>irections</w:t>
      </w:r>
      <w:r>
        <w:tab/>
      </w:r>
      <w:r>
        <w:fldChar w:fldCharType="begin"/>
      </w:r>
      <w:r>
        <w:instrText xml:space="preserve"> PAGEREF _Toc182400360 \h </w:instrText>
      </w:r>
      <w:r>
        <w:fldChar w:fldCharType="separate"/>
      </w:r>
      <w:r>
        <w:t>66</w:t>
      </w:r>
      <w:r>
        <w:fldChar w:fldCharType="end"/>
      </w:r>
    </w:p>
    <w:p>
      <w:pPr>
        <w:pStyle w:val="TOC8"/>
        <w:rPr>
          <w:rFonts w:asciiTheme="minorHAnsi" w:eastAsiaTheme="minorEastAsia" w:hAnsiTheme="minorHAnsi" w:cstheme="minorBidi"/>
          <w:szCs w:val="22"/>
        </w:rPr>
      </w:pPr>
      <w:r>
        <w:t>109.</w:t>
      </w:r>
      <w:r>
        <w:tab/>
        <w:t>Limitation on directions under section 108</w:t>
      </w:r>
      <w:r>
        <w:tab/>
      </w:r>
      <w:r>
        <w:fldChar w:fldCharType="begin"/>
      </w:r>
      <w:r>
        <w:instrText xml:space="preserve"> PAGEREF _Toc182400361 \h </w:instrText>
      </w:r>
      <w:r>
        <w:fldChar w:fldCharType="separate"/>
      </w:r>
      <w:r>
        <w:t>67</w:t>
      </w:r>
      <w:r>
        <w:fldChar w:fldCharType="end"/>
      </w:r>
    </w:p>
    <w:p>
      <w:pPr>
        <w:pStyle w:val="TOC8"/>
        <w:rPr>
          <w:rFonts w:asciiTheme="minorHAnsi" w:eastAsiaTheme="minorEastAsia" w:hAnsiTheme="minorHAnsi" w:cstheme="minorBidi"/>
          <w:szCs w:val="22"/>
        </w:rPr>
      </w:pPr>
      <w:r>
        <w:t>110.</w:t>
      </w:r>
      <w:r>
        <w:tab/>
      </w:r>
      <w:r>
        <w:rPr>
          <w:snapToGrid w:val="0"/>
        </w:rPr>
        <w:t>When directions take effect</w:t>
      </w:r>
      <w:r>
        <w:tab/>
      </w:r>
      <w:r>
        <w:fldChar w:fldCharType="begin"/>
      </w:r>
      <w:r>
        <w:instrText xml:space="preserve"> PAGEREF _Toc182400362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Policy orders</w:t>
      </w:r>
    </w:p>
    <w:p>
      <w:pPr>
        <w:pStyle w:val="TOC8"/>
        <w:rPr>
          <w:rFonts w:asciiTheme="minorHAnsi" w:eastAsiaTheme="minorEastAsia" w:hAnsiTheme="minorHAnsi" w:cstheme="minorBidi"/>
          <w:szCs w:val="22"/>
        </w:rPr>
      </w:pPr>
      <w:r>
        <w:t>111.</w:t>
      </w:r>
      <w:r>
        <w:tab/>
        <w:t>Policy orders</w:t>
      </w:r>
      <w:r>
        <w:tab/>
      </w:r>
      <w:r>
        <w:fldChar w:fldCharType="begin"/>
      </w:r>
      <w:r>
        <w:instrText xml:space="preserve"> PAGEREF _Toc182400364 \h </w:instrText>
      </w:r>
      <w:r>
        <w:fldChar w:fldCharType="separate"/>
      </w:r>
      <w:r>
        <w:t>68</w:t>
      </w:r>
      <w:r>
        <w:fldChar w:fldCharType="end"/>
      </w:r>
    </w:p>
    <w:p>
      <w:pPr>
        <w:pStyle w:val="TOC8"/>
        <w:rPr>
          <w:rFonts w:asciiTheme="minorHAnsi" w:eastAsiaTheme="minorEastAsia" w:hAnsiTheme="minorHAnsi" w:cstheme="minorBidi"/>
          <w:szCs w:val="22"/>
        </w:rPr>
      </w:pPr>
      <w:r>
        <w:t>112.</w:t>
      </w:r>
      <w:r>
        <w:tab/>
        <w:t>When policy orders cease to apply</w:t>
      </w:r>
      <w:r>
        <w:tab/>
      </w:r>
      <w:r>
        <w:fldChar w:fldCharType="begin"/>
      </w:r>
      <w:r>
        <w:instrText xml:space="preserve"> PAGEREF _Toc182400365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Subsidiaries</w:t>
      </w:r>
    </w:p>
    <w:p>
      <w:pPr>
        <w:pStyle w:val="TOC6"/>
        <w:tabs>
          <w:tab w:val="right" w:leader="dot" w:pos="7077"/>
        </w:tabs>
        <w:rPr>
          <w:rFonts w:asciiTheme="minorHAnsi" w:eastAsiaTheme="minorEastAsia" w:hAnsiTheme="minorHAnsi" w:cstheme="minorBidi"/>
          <w:b w:val="0"/>
          <w:sz w:val="22"/>
          <w:szCs w:val="22"/>
        </w:rPr>
      </w:pPr>
      <w:r>
        <w:t>Subdivision 1 — Formation, acquisition and control of subsidiaries</w:t>
      </w:r>
    </w:p>
    <w:p>
      <w:pPr>
        <w:pStyle w:val="TOC8"/>
        <w:rPr>
          <w:rFonts w:asciiTheme="minorHAnsi" w:eastAsiaTheme="minorEastAsia" w:hAnsiTheme="minorHAnsi" w:cstheme="minorBidi"/>
          <w:szCs w:val="22"/>
        </w:rPr>
      </w:pPr>
      <w:r>
        <w:t>113.</w:t>
      </w:r>
      <w:r>
        <w:tab/>
        <w:t>Restriction on forming or acquiring subsidiary</w:t>
      </w:r>
      <w:r>
        <w:tab/>
      </w:r>
      <w:r>
        <w:fldChar w:fldCharType="begin"/>
      </w:r>
      <w:r>
        <w:instrText xml:space="preserve"> PAGEREF _Toc182400368 \h </w:instrText>
      </w:r>
      <w:r>
        <w:fldChar w:fldCharType="separate"/>
      </w:r>
      <w:r>
        <w:t>68</w:t>
      </w:r>
      <w:r>
        <w:fldChar w:fldCharType="end"/>
      </w:r>
    </w:p>
    <w:p>
      <w:pPr>
        <w:pStyle w:val="TOC8"/>
        <w:rPr>
          <w:rFonts w:asciiTheme="minorHAnsi" w:eastAsiaTheme="minorEastAsia" w:hAnsiTheme="minorHAnsi" w:cstheme="minorBidi"/>
          <w:szCs w:val="22"/>
        </w:rPr>
      </w:pPr>
      <w:r>
        <w:t>114.</w:t>
      </w:r>
      <w:r>
        <w:tab/>
        <w:t>Consultation regarding formation or acquisition of subsidiary</w:t>
      </w:r>
      <w:r>
        <w:tab/>
      </w:r>
      <w:r>
        <w:fldChar w:fldCharType="begin"/>
      </w:r>
      <w:r>
        <w:instrText xml:space="preserve"> PAGEREF _Toc182400369 \h </w:instrText>
      </w:r>
      <w:r>
        <w:fldChar w:fldCharType="separate"/>
      </w:r>
      <w:r>
        <w:t>69</w:t>
      </w:r>
      <w:r>
        <w:fldChar w:fldCharType="end"/>
      </w:r>
    </w:p>
    <w:p>
      <w:pPr>
        <w:pStyle w:val="TOC8"/>
        <w:rPr>
          <w:rFonts w:asciiTheme="minorHAnsi" w:eastAsiaTheme="minorEastAsia" w:hAnsiTheme="minorHAnsi" w:cstheme="minorBidi"/>
          <w:szCs w:val="22"/>
        </w:rPr>
      </w:pPr>
      <w:r>
        <w:t>115.</w:t>
      </w:r>
      <w:r>
        <w:tab/>
        <w:t>Control of subsidiary</w:t>
      </w:r>
      <w:r>
        <w:tab/>
      </w:r>
      <w:r>
        <w:fldChar w:fldCharType="begin"/>
      </w:r>
      <w:r>
        <w:instrText xml:space="preserve"> PAGEREF _Toc182400370 \h </w:instrText>
      </w:r>
      <w:r>
        <w:fldChar w:fldCharType="separate"/>
      </w:r>
      <w:r>
        <w:t>69</w:t>
      </w:r>
      <w:r>
        <w:fldChar w:fldCharType="end"/>
      </w:r>
    </w:p>
    <w:p>
      <w:pPr>
        <w:pStyle w:val="TOC8"/>
        <w:rPr>
          <w:rFonts w:asciiTheme="minorHAnsi" w:eastAsiaTheme="minorEastAsia" w:hAnsiTheme="minorHAnsi" w:cstheme="minorBidi"/>
          <w:szCs w:val="22"/>
        </w:rPr>
      </w:pPr>
      <w:r>
        <w:t>116.</w:t>
      </w:r>
      <w:r>
        <w:tab/>
        <w:t>Provisions affecting the Corporations Act</w:t>
      </w:r>
      <w:r>
        <w:tab/>
      </w:r>
      <w:r>
        <w:fldChar w:fldCharType="begin"/>
      </w:r>
      <w:r>
        <w:instrText xml:space="preserve"> PAGEREF _Toc182400371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Remuneration and expenses of directors and CEOs of wholly owned subsidiaries</w:t>
      </w:r>
    </w:p>
    <w:p>
      <w:pPr>
        <w:pStyle w:val="TOC8"/>
        <w:rPr>
          <w:rFonts w:asciiTheme="minorHAnsi" w:eastAsiaTheme="minorEastAsia" w:hAnsiTheme="minorHAnsi" w:cstheme="minorBidi"/>
          <w:szCs w:val="22"/>
        </w:rPr>
      </w:pPr>
      <w:r>
        <w:t>117.</w:t>
      </w:r>
      <w:r>
        <w:tab/>
        <w:t>Terms used</w:t>
      </w:r>
      <w:r>
        <w:tab/>
      </w:r>
      <w:r>
        <w:fldChar w:fldCharType="begin"/>
      </w:r>
      <w:r>
        <w:instrText xml:space="preserve"> PAGEREF _Toc182400373 \h </w:instrText>
      </w:r>
      <w:r>
        <w:fldChar w:fldCharType="separate"/>
      </w:r>
      <w:r>
        <w:t>71</w:t>
      </w:r>
      <w:r>
        <w:fldChar w:fldCharType="end"/>
      </w:r>
    </w:p>
    <w:p>
      <w:pPr>
        <w:pStyle w:val="TOC8"/>
        <w:rPr>
          <w:rFonts w:asciiTheme="minorHAnsi" w:eastAsiaTheme="minorEastAsia" w:hAnsiTheme="minorHAnsi" w:cstheme="minorBidi"/>
          <w:szCs w:val="22"/>
        </w:rPr>
      </w:pPr>
      <w:r>
        <w:t>118.</w:t>
      </w:r>
      <w:r>
        <w:tab/>
        <w:t>Remuneration of directors</w:t>
      </w:r>
      <w:r>
        <w:tab/>
      </w:r>
      <w:r>
        <w:fldChar w:fldCharType="begin"/>
      </w:r>
      <w:r>
        <w:instrText xml:space="preserve"> PAGEREF _Toc182400374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119.</w:t>
      </w:r>
      <w:r>
        <w:tab/>
        <w:t>Same remuneration for directors of subsidiary</w:t>
      </w:r>
      <w:r>
        <w:tab/>
      </w:r>
      <w:r>
        <w:fldChar w:fldCharType="begin"/>
      </w:r>
      <w:r>
        <w:instrText xml:space="preserve"> PAGEREF _Toc182400375 \h </w:instrText>
      </w:r>
      <w:r>
        <w:fldChar w:fldCharType="separate"/>
      </w:r>
      <w:r>
        <w:t>73</w:t>
      </w:r>
      <w:r>
        <w:fldChar w:fldCharType="end"/>
      </w:r>
    </w:p>
    <w:p>
      <w:pPr>
        <w:pStyle w:val="TOC8"/>
        <w:rPr>
          <w:rFonts w:asciiTheme="minorHAnsi" w:eastAsiaTheme="minorEastAsia" w:hAnsiTheme="minorHAnsi" w:cstheme="minorBidi"/>
          <w:szCs w:val="22"/>
        </w:rPr>
      </w:pPr>
      <w:r>
        <w:t>120.</w:t>
      </w:r>
      <w:r>
        <w:tab/>
        <w:t>Expenses of directors</w:t>
      </w:r>
      <w:r>
        <w:tab/>
      </w:r>
      <w:r>
        <w:fldChar w:fldCharType="begin"/>
      </w:r>
      <w:r>
        <w:instrText xml:space="preserve"> PAGEREF _Toc182400376 \h </w:instrText>
      </w:r>
      <w:r>
        <w:fldChar w:fldCharType="separate"/>
      </w:r>
      <w:r>
        <w:t>73</w:t>
      </w:r>
      <w:r>
        <w:fldChar w:fldCharType="end"/>
      </w:r>
    </w:p>
    <w:p>
      <w:pPr>
        <w:pStyle w:val="TOC8"/>
        <w:rPr>
          <w:rFonts w:asciiTheme="minorHAnsi" w:eastAsiaTheme="minorEastAsia" w:hAnsiTheme="minorHAnsi" w:cstheme="minorBidi"/>
          <w:szCs w:val="22"/>
        </w:rPr>
      </w:pPr>
      <w:r>
        <w:t>121.</w:t>
      </w:r>
      <w:r>
        <w:tab/>
        <w:t>Remuneration of chief executive officers</w:t>
      </w:r>
      <w:r>
        <w:tab/>
      </w:r>
      <w:r>
        <w:fldChar w:fldCharType="begin"/>
      </w:r>
      <w:r>
        <w:instrText xml:space="preserve"> PAGEREF _Toc182400377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122.</w:t>
      </w:r>
      <w:r>
        <w:tab/>
        <w:t>No liability for certain acts and omissions: disclosure of information and documents</w:t>
      </w:r>
      <w:r>
        <w:tab/>
      </w:r>
      <w:r>
        <w:fldChar w:fldCharType="begin"/>
      </w:r>
      <w:r>
        <w:instrText xml:space="preserve"> PAGEREF _Toc182400379 \h </w:instrText>
      </w:r>
      <w:r>
        <w:fldChar w:fldCharType="separate"/>
      </w:r>
      <w:r>
        <w:t>75</w:t>
      </w:r>
      <w:r>
        <w:fldChar w:fldCharType="end"/>
      </w:r>
    </w:p>
    <w:p>
      <w:pPr>
        <w:pStyle w:val="TOC8"/>
        <w:rPr>
          <w:rFonts w:asciiTheme="minorHAnsi" w:eastAsiaTheme="minorEastAsia" w:hAnsiTheme="minorHAnsi" w:cstheme="minorBidi"/>
          <w:szCs w:val="22"/>
        </w:rPr>
      </w:pPr>
      <w:r>
        <w:t>123.</w:t>
      </w:r>
      <w:r>
        <w:tab/>
        <w:t>No liability for certain acts and omissions: compliance with Ministerial directions</w:t>
      </w:r>
      <w:r>
        <w:tab/>
      </w:r>
      <w:r>
        <w:fldChar w:fldCharType="begin"/>
      </w:r>
      <w:r>
        <w:instrText xml:space="preserve"> PAGEREF _Toc182400380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Financial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_Toc182400383 \h </w:instrText>
      </w:r>
      <w:r>
        <w:fldChar w:fldCharType="separate"/>
      </w:r>
      <w:r>
        <w:t>77</w:t>
      </w:r>
      <w:r>
        <w:fldChar w:fldCharType="end"/>
      </w:r>
    </w:p>
    <w:p>
      <w:pPr>
        <w:pStyle w:val="TOC8"/>
        <w:rPr>
          <w:rFonts w:asciiTheme="minorHAnsi" w:eastAsiaTheme="minorEastAsia" w:hAnsiTheme="minorHAnsi" w:cstheme="minorBidi"/>
          <w:szCs w:val="22"/>
        </w:rPr>
      </w:pPr>
      <w:r>
        <w:t>125.</w:t>
      </w:r>
      <w:r>
        <w:tab/>
        <w:t>Delegation by Treasurer</w:t>
      </w:r>
      <w:r>
        <w:tab/>
      </w:r>
      <w:r>
        <w:fldChar w:fldCharType="begin"/>
      </w:r>
      <w:r>
        <w:instrText xml:space="preserve"> PAGEREF _Toc182400384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Bank and other accounts</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_Toc182400386 \h </w:instrText>
      </w:r>
      <w:r>
        <w:fldChar w:fldCharType="separate"/>
      </w:r>
      <w:r>
        <w:t>77</w:t>
      </w:r>
      <w:r>
        <w:fldChar w:fldCharType="end"/>
      </w:r>
    </w:p>
    <w:p>
      <w:pPr>
        <w:pStyle w:val="TOC8"/>
        <w:rPr>
          <w:rFonts w:asciiTheme="minorHAnsi" w:eastAsiaTheme="minorEastAsia" w:hAnsiTheme="minorHAnsi" w:cstheme="minorBidi"/>
          <w:szCs w:val="22"/>
        </w:rPr>
      </w:pPr>
      <w:r>
        <w:t>127.</w:t>
      </w:r>
      <w:r>
        <w:tab/>
        <w:t>Primary account of GTE</w:t>
      </w:r>
      <w:r>
        <w:tab/>
      </w:r>
      <w:r>
        <w:fldChar w:fldCharType="begin"/>
      </w:r>
      <w:r>
        <w:instrText xml:space="preserve"> PAGEREF _Toc182400387 \h </w:instrText>
      </w:r>
      <w:r>
        <w:fldChar w:fldCharType="separate"/>
      </w:r>
      <w:r>
        <w:t>78</w:t>
      </w:r>
      <w:r>
        <w:fldChar w:fldCharType="end"/>
      </w:r>
    </w:p>
    <w:p>
      <w:pPr>
        <w:pStyle w:val="TOC8"/>
        <w:rPr>
          <w:rFonts w:asciiTheme="minorHAnsi" w:eastAsiaTheme="minorEastAsia" w:hAnsiTheme="minorHAnsi" w:cstheme="minorBidi"/>
          <w:szCs w:val="22"/>
        </w:rPr>
      </w:pPr>
      <w:r>
        <w:t>128.</w:t>
      </w:r>
      <w:r>
        <w:tab/>
        <w:t>Other bank accounts of GTE</w:t>
      </w:r>
      <w:r>
        <w:tab/>
      </w:r>
      <w:r>
        <w:fldChar w:fldCharType="begin"/>
      </w:r>
      <w:r>
        <w:instrText xml:space="preserve"> PAGEREF _Toc182400388 \h </w:instrText>
      </w:r>
      <w:r>
        <w:fldChar w:fldCharType="separate"/>
      </w:r>
      <w:r>
        <w:t>78</w:t>
      </w:r>
      <w:r>
        <w:fldChar w:fldCharType="end"/>
      </w:r>
    </w:p>
    <w:p>
      <w:pPr>
        <w:pStyle w:val="TOC8"/>
        <w:rPr>
          <w:rFonts w:asciiTheme="minorHAnsi" w:eastAsiaTheme="minorEastAsia" w:hAnsiTheme="minorHAnsi" w:cstheme="minorBidi"/>
          <w:szCs w:val="22"/>
        </w:rPr>
      </w:pPr>
      <w:r>
        <w:t>129.</w:t>
      </w:r>
      <w:r>
        <w:tab/>
        <w:t>Operation of accounts</w:t>
      </w:r>
      <w:r>
        <w:tab/>
      </w:r>
      <w:r>
        <w:fldChar w:fldCharType="begin"/>
      </w:r>
      <w:r>
        <w:instrText xml:space="preserve"> PAGEREF _Toc182400389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Investment</w:t>
      </w:r>
    </w:p>
    <w:p>
      <w:pPr>
        <w:pStyle w:val="TOC8"/>
        <w:rPr>
          <w:rFonts w:asciiTheme="minorHAnsi" w:eastAsiaTheme="minorEastAsia" w:hAnsiTheme="minorHAnsi" w:cstheme="minorBidi"/>
          <w:szCs w:val="22"/>
        </w:rPr>
      </w:pPr>
      <w:r>
        <w:t>130.</w:t>
      </w:r>
      <w:r>
        <w:tab/>
        <w:t xml:space="preserve">Application of </w:t>
      </w:r>
      <w:r>
        <w:rPr>
          <w:i/>
        </w:rPr>
        <w:t>Financial Management Act 2006</w:t>
      </w:r>
      <w:r>
        <w:t xml:space="preserve"> Part 3 Division 3</w:t>
      </w:r>
      <w:r>
        <w:tab/>
      </w:r>
      <w:r>
        <w:fldChar w:fldCharType="begin"/>
      </w:r>
      <w:r>
        <w:instrText xml:space="preserve"> PAGEREF _Toc182400391 \h </w:instrText>
      </w:r>
      <w:r>
        <w:fldChar w:fldCharType="separate"/>
      </w:r>
      <w:r>
        <w:t>79</w:t>
      </w:r>
      <w:r>
        <w:fldChar w:fldCharType="end"/>
      </w:r>
    </w:p>
    <w:p>
      <w:pPr>
        <w:pStyle w:val="TOC8"/>
        <w:rPr>
          <w:rFonts w:asciiTheme="minorHAnsi" w:eastAsiaTheme="minorEastAsia" w:hAnsiTheme="minorHAnsi" w:cstheme="minorBidi"/>
          <w:szCs w:val="22"/>
        </w:rPr>
      </w:pPr>
      <w:r>
        <w:t>131.</w:t>
      </w:r>
      <w:r>
        <w:tab/>
        <w:t>Investment of funds</w:t>
      </w:r>
      <w:r>
        <w:tab/>
      </w:r>
      <w:r>
        <w:fldChar w:fldCharType="begin"/>
      </w:r>
      <w:r>
        <w:instrText xml:space="preserve"> PAGEREF _Toc182400392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Borrowing and guarantees</w:t>
      </w:r>
    </w:p>
    <w:p>
      <w:pPr>
        <w:pStyle w:val="TOC8"/>
        <w:rPr>
          <w:rFonts w:asciiTheme="minorHAnsi" w:eastAsiaTheme="minorEastAsia" w:hAnsiTheme="minorHAnsi" w:cstheme="minorBidi"/>
          <w:szCs w:val="22"/>
        </w:rPr>
      </w:pPr>
      <w:r>
        <w:t>132.</w:t>
      </w:r>
      <w:r>
        <w:tab/>
        <w:t>Borrowing powers</w:t>
      </w:r>
      <w:r>
        <w:tab/>
      </w:r>
      <w:r>
        <w:fldChar w:fldCharType="begin"/>
      </w:r>
      <w:r>
        <w:instrText xml:space="preserve"> PAGEREF _Toc182400394 \h </w:instrText>
      </w:r>
      <w:r>
        <w:fldChar w:fldCharType="separate"/>
      </w:r>
      <w:r>
        <w:t>80</w:t>
      </w:r>
      <w:r>
        <w:fldChar w:fldCharType="end"/>
      </w:r>
    </w:p>
    <w:p>
      <w:pPr>
        <w:pStyle w:val="TOC8"/>
        <w:rPr>
          <w:rFonts w:asciiTheme="minorHAnsi" w:eastAsiaTheme="minorEastAsia" w:hAnsiTheme="minorHAnsi" w:cstheme="minorBidi"/>
          <w:szCs w:val="22"/>
        </w:rPr>
      </w:pPr>
      <w:r>
        <w:t>133.</w:t>
      </w:r>
      <w:r>
        <w:tab/>
        <w:t>Borrowing limits</w:t>
      </w:r>
      <w:r>
        <w:tab/>
      </w:r>
      <w:r>
        <w:fldChar w:fldCharType="begin"/>
      </w:r>
      <w:r>
        <w:instrText xml:space="preserve"> PAGEREF _Toc182400395 \h </w:instrText>
      </w:r>
      <w:r>
        <w:fldChar w:fldCharType="separate"/>
      </w:r>
      <w:r>
        <w:t>80</w:t>
      </w:r>
      <w:r>
        <w:fldChar w:fldCharType="end"/>
      </w:r>
    </w:p>
    <w:p>
      <w:pPr>
        <w:pStyle w:val="TOC8"/>
        <w:rPr>
          <w:rFonts w:asciiTheme="minorHAnsi" w:eastAsiaTheme="minorEastAsia" w:hAnsiTheme="minorHAnsi" w:cstheme="minorBidi"/>
          <w:szCs w:val="22"/>
        </w:rPr>
      </w:pPr>
      <w:r>
        <w:t>134.</w:t>
      </w:r>
      <w:r>
        <w:tab/>
        <w:t>Breach of borrowing limits</w:t>
      </w:r>
      <w:r>
        <w:tab/>
      </w:r>
      <w:r>
        <w:fldChar w:fldCharType="begin"/>
      </w:r>
      <w:r>
        <w:instrText xml:space="preserve"> PAGEREF _Toc182400396 \h </w:instrText>
      </w:r>
      <w:r>
        <w:fldChar w:fldCharType="separate"/>
      </w:r>
      <w:r>
        <w:t>81</w:t>
      </w:r>
      <w:r>
        <w:fldChar w:fldCharType="end"/>
      </w:r>
    </w:p>
    <w:p>
      <w:pPr>
        <w:pStyle w:val="TOC8"/>
        <w:rPr>
          <w:rFonts w:asciiTheme="minorHAnsi" w:eastAsiaTheme="minorEastAsia" w:hAnsiTheme="minorHAnsi" w:cstheme="minorBidi"/>
          <w:szCs w:val="22"/>
        </w:rPr>
      </w:pPr>
      <w:r>
        <w:t>135.</w:t>
      </w:r>
      <w:r>
        <w:tab/>
        <w:t>Guarantee by Treasurer</w:t>
      </w:r>
      <w:r>
        <w:tab/>
      </w:r>
      <w:r>
        <w:fldChar w:fldCharType="begin"/>
      </w:r>
      <w:r>
        <w:instrText xml:space="preserve"> PAGEREF _Toc182400397 \h </w:instrText>
      </w:r>
      <w:r>
        <w:fldChar w:fldCharType="separate"/>
      </w:r>
      <w:r>
        <w:t>81</w:t>
      </w:r>
      <w:r>
        <w:fldChar w:fldCharType="end"/>
      </w:r>
    </w:p>
    <w:p>
      <w:pPr>
        <w:pStyle w:val="TOC8"/>
        <w:rPr>
          <w:rFonts w:asciiTheme="minorHAnsi" w:eastAsiaTheme="minorEastAsia" w:hAnsiTheme="minorHAnsi" w:cstheme="minorBidi"/>
          <w:szCs w:val="22"/>
        </w:rPr>
      </w:pPr>
      <w:r>
        <w:t>136.</w:t>
      </w:r>
      <w:r>
        <w:tab/>
      </w:r>
      <w:r>
        <w:rPr>
          <w:snapToGrid w:val="0"/>
        </w:rPr>
        <w:t>Charges for guarantee</w:t>
      </w:r>
      <w:r>
        <w:tab/>
      </w:r>
      <w:r>
        <w:fldChar w:fldCharType="begin"/>
      </w:r>
      <w:r>
        <w:instrText xml:space="preserve"> PAGEREF _Toc182400398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Risk management</w:t>
      </w:r>
    </w:p>
    <w:p>
      <w:pPr>
        <w:pStyle w:val="TOC8"/>
        <w:rPr>
          <w:rFonts w:asciiTheme="minorHAnsi" w:eastAsiaTheme="minorEastAsia" w:hAnsiTheme="minorHAnsi" w:cstheme="minorBidi"/>
          <w:szCs w:val="22"/>
        </w:rPr>
      </w:pPr>
      <w:r>
        <w:t>137.</w:t>
      </w:r>
      <w:r>
        <w:tab/>
        <w:t>Hedging transactions</w:t>
      </w:r>
      <w:r>
        <w:tab/>
      </w:r>
      <w:r>
        <w:fldChar w:fldCharType="begin"/>
      </w:r>
      <w:r>
        <w:instrText xml:space="preserve"> PAGEREF _Toc182400400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Dividends</w:t>
      </w:r>
    </w:p>
    <w:p>
      <w:pPr>
        <w:pStyle w:val="TOC8"/>
        <w:rPr>
          <w:rFonts w:asciiTheme="minorHAnsi" w:eastAsiaTheme="minorEastAsia" w:hAnsiTheme="minorHAnsi" w:cstheme="minorBidi"/>
          <w:szCs w:val="22"/>
        </w:rPr>
      </w:pPr>
      <w:r>
        <w:t>138.</w:t>
      </w:r>
      <w:r>
        <w:tab/>
        <w:t>Solvency requirement</w:t>
      </w:r>
      <w:r>
        <w:tab/>
      </w:r>
      <w:r>
        <w:fldChar w:fldCharType="begin"/>
      </w:r>
      <w:r>
        <w:instrText xml:space="preserve"> PAGEREF _Toc182400402 \h </w:instrText>
      </w:r>
      <w:r>
        <w:fldChar w:fldCharType="separate"/>
      </w:r>
      <w:r>
        <w:t>83</w:t>
      </w:r>
      <w:r>
        <w:fldChar w:fldCharType="end"/>
      </w:r>
    </w:p>
    <w:p>
      <w:pPr>
        <w:pStyle w:val="TOC8"/>
        <w:rPr>
          <w:rFonts w:asciiTheme="minorHAnsi" w:eastAsiaTheme="minorEastAsia" w:hAnsiTheme="minorHAnsi" w:cstheme="minorBidi"/>
          <w:szCs w:val="22"/>
        </w:rPr>
      </w:pPr>
      <w:r>
        <w:t>139.</w:t>
      </w:r>
      <w:r>
        <w:tab/>
        <w:t>Dividend formula</w:t>
      </w:r>
      <w:r>
        <w:tab/>
      </w:r>
      <w:r>
        <w:fldChar w:fldCharType="begin"/>
      </w:r>
      <w:r>
        <w:instrText xml:space="preserve"> PAGEREF _Toc182400403 \h </w:instrText>
      </w:r>
      <w:r>
        <w:fldChar w:fldCharType="separate"/>
      </w:r>
      <w:r>
        <w:t>83</w:t>
      </w:r>
      <w:r>
        <w:fldChar w:fldCharType="end"/>
      </w:r>
    </w:p>
    <w:p>
      <w:pPr>
        <w:pStyle w:val="TOC8"/>
        <w:rPr>
          <w:rFonts w:asciiTheme="minorHAnsi" w:eastAsiaTheme="minorEastAsia" w:hAnsiTheme="minorHAnsi" w:cstheme="minorBidi"/>
          <w:szCs w:val="22"/>
        </w:rPr>
      </w:pPr>
      <w:r>
        <w:t>140.</w:t>
      </w:r>
      <w:r>
        <w:tab/>
        <w:t>Final dividend</w:t>
      </w:r>
      <w:r>
        <w:tab/>
      </w:r>
      <w:r>
        <w:fldChar w:fldCharType="begin"/>
      </w:r>
      <w:r>
        <w:instrText xml:space="preserve"> PAGEREF _Toc182400404 \h </w:instrText>
      </w:r>
      <w:r>
        <w:fldChar w:fldCharType="separate"/>
      </w:r>
      <w:r>
        <w:t>83</w:t>
      </w:r>
      <w:r>
        <w:fldChar w:fldCharType="end"/>
      </w:r>
    </w:p>
    <w:p>
      <w:pPr>
        <w:pStyle w:val="TOC8"/>
        <w:rPr>
          <w:rFonts w:asciiTheme="minorHAnsi" w:eastAsiaTheme="minorEastAsia" w:hAnsiTheme="minorHAnsi" w:cstheme="minorBidi"/>
          <w:szCs w:val="22"/>
        </w:rPr>
      </w:pPr>
      <w:r>
        <w:t>141.</w:t>
      </w:r>
      <w:r>
        <w:tab/>
        <w:t>Interim and special dividends</w:t>
      </w:r>
      <w:r>
        <w:tab/>
      </w:r>
      <w:r>
        <w:fldChar w:fldCharType="begin"/>
      </w:r>
      <w:r>
        <w:instrText xml:space="preserve"> PAGEREF _Toc182400405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Financial administration and audit</w:t>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_Toc182400407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143.</w:t>
      </w:r>
      <w:r>
        <w:tab/>
        <w:t>Obligation to keep financial records</w:t>
      </w:r>
      <w:r>
        <w:tab/>
      </w:r>
      <w:r>
        <w:fldChar w:fldCharType="begin"/>
      </w:r>
      <w:r>
        <w:instrText xml:space="preserve"> PAGEREF _Toc182400408 \h </w:instrText>
      </w:r>
      <w:r>
        <w:fldChar w:fldCharType="separate"/>
      </w:r>
      <w:r>
        <w:t>86</w:t>
      </w:r>
      <w:r>
        <w:fldChar w:fldCharType="end"/>
      </w:r>
    </w:p>
    <w:p>
      <w:pPr>
        <w:pStyle w:val="TOC8"/>
        <w:rPr>
          <w:rFonts w:asciiTheme="minorHAnsi" w:eastAsiaTheme="minorEastAsia" w:hAnsiTheme="minorHAnsi" w:cstheme="minorBidi"/>
          <w:szCs w:val="22"/>
        </w:rPr>
      </w:pPr>
      <w:r>
        <w:t>144.</w:t>
      </w:r>
      <w:r>
        <w:tab/>
        <w:t>Preparation of annual financial reports and directors’ reports</w:t>
      </w:r>
      <w:r>
        <w:tab/>
      </w:r>
      <w:r>
        <w:fldChar w:fldCharType="begin"/>
      </w:r>
      <w:r>
        <w:instrText xml:space="preserve"> PAGEREF _Toc182400409 \h </w:instrText>
      </w:r>
      <w:r>
        <w:fldChar w:fldCharType="separate"/>
      </w:r>
      <w:r>
        <w:t>87</w:t>
      </w:r>
      <w:r>
        <w:fldChar w:fldCharType="end"/>
      </w:r>
    </w:p>
    <w:p>
      <w:pPr>
        <w:pStyle w:val="TOC8"/>
        <w:rPr>
          <w:rFonts w:asciiTheme="minorHAnsi" w:eastAsiaTheme="minorEastAsia" w:hAnsiTheme="minorHAnsi" w:cstheme="minorBidi"/>
          <w:szCs w:val="22"/>
        </w:rPr>
      </w:pPr>
      <w:r>
        <w:t>145.</w:t>
      </w:r>
      <w:r>
        <w:tab/>
        <w:t>Audit of annual financial report</w:t>
      </w:r>
      <w:r>
        <w:tab/>
      </w:r>
      <w:r>
        <w:fldChar w:fldCharType="begin"/>
      </w:r>
      <w:r>
        <w:instrText xml:space="preserve"> PAGEREF _Toc182400410 \h </w:instrText>
      </w:r>
      <w:r>
        <w:fldChar w:fldCharType="separate"/>
      </w:r>
      <w:r>
        <w:t>87</w:t>
      </w:r>
      <w:r>
        <w:fldChar w:fldCharType="end"/>
      </w:r>
    </w:p>
    <w:p>
      <w:pPr>
        <w:pStyle w:val="TOC8"/>
        <w:rPr>
          <w:rFonts w:asciiTheme="minorHAnsi" w:eastAsiaTheme="minorEastAsia" w:hAnsiTheme="minorHAnsi" w:cstheme="minorBidi"/>
          <w:szCs w:val="22"/>
        </w:rPr>
      </w:pPr>
      <w:r>
        <w:t>146.</w:t>
      </w:r>
      <w:r>
        <w:tab/>
        <w:t>Preparation of interim reports</w:t>
      </w:r>
      <w:r>
        <w:tab/>
      </w:r>
      <w:r>
        <w:fldChar w:fldCharType="begin"/>
      </w:r>
      <w:r>
        <w:instrText xml:space="preserve"> PAGEREF _Toc182400411 \h </w:instrText>
      </w:r>
      <w:r>
        <w:fldChar w:fldCharType="separate"/>
      </w:r>
      <w:r>
        <w:t>87</w:t>
      </w:r>
      <w:r>
        <w:fldChar w:fldCharType="end"/>
      </w:r>
    </w:p>
    <w:p>
      <w:pPr>
        <w:pStyle w:val="TOC8"/>
        <w:rPr>
          <w:rFonts w:asciiTheme="minorHAnsi" w:eastAsiaTheme="minorEastAsia" w:hAnsiTheme="minorHAnsi" w:cstheme="minorBidi"/>
          <w:szCs w:val="22"/>
        </w:rPr>
      </w:pPr>
      <w:r>
        <w:t>147.</w:t>
      </w:r>
      <w:r>
        <w:tab/>
        <w:t xml:space="preserve">Application of </w:t>
      </w:r>
      <w:r>
        <w:rPr>
          <w:i/>
        </w:rPr>
        <w:t>Financial Management Act 2006</w:t>
      </w:r>
      <w:r>
        <w:t xml:space="preserve"> sections 81 and 82</w:t>
      </w:r>
      <w:r>
        <w:tab/>
      </w:r>
      <w:r>
        <w:fldChar w:fldCharType="begin"/>
      </w:r>
      <w:r>
        <w:instrText xml:space="preserve"> PAGEREF _Toc182400412 \h </w:instrText>
      </w:r>
      <w:r>
        <w:fldChar w:fldCharType="separate"/>
      </w:r>
      <w:r>
        <w:t>88</w:t>
      </w:r>
      <w:r>
        <w:fldChar w:fldCharType="end"/>
      </w:r>
    </w:p>
    <w:p>
      <w:pPr>
        <w:pStyle w:val="TOC8"/>
        <w:rPr>
          <w:rFonts w:asciiTheme="minorHAnsi" w:eastAsiaTheme="minorEastAsia" w:hAnsiTheme="minorHAnsi" w:cstheme="minorBidi"/>
          <w:szCs w:val="22"/>
        </w:rPr>
      </w:pPr>
      <w:r>
        <w:t>148.</w:t>
      </w:r>
      <w:r>
        <w:tab/>
        <w:t>Treasurer’s GTE instructions</w:t>
      </w:r>
      <w:r>
        <w:tab/>
      </w:r>
      <w:r>
        <w:fldChar w:fldCharType="begin"/>
      </w:r>
      <w:r>
        <w:instrText xml:space="preserve"> PAGEREF _Toc182400413 \h </w:instrText>
      </w:r>
      <w:r>
        <w:fldChar w:fldCharType="separate"/>
      </w:r>
      <w:r>
        <w:t>88</w:t>
      </w:r>
      <w:r>
        <w:fldChar w:fldCharType="end"/>
      </w:r>
    </w:p>
    <w:p>
      <w:pPr>
        <w:pStyle w:val="TOC8"/>
        <w:rPr>
          <w:rFonts w:asciiTheme="minorHAnsi" w:eastAsiaTheme="minorEastAsia" w:hAnsiTheme="minorHAnsi" w:cstheme="minorBidi"/>
          <w:szCs w:val="22"/>
        </w:rPr>
      </w:pPr>
      <w:r>
        <w:t>149.</w:t>
      </w:r>
      <w:r>
        <w:tab/>
        <w:t>Regulations concerning financial administration and audit</w:t>
      </w:r>
      <w:r>
        <w:tab/>
      </w:r>
      <w:r>
        <w:fldChar w:fldCharType="begin"/>
      </w:r>
      <w:r>
        <w:instrText xml:space="preserve"> PAGEREF _Toc182400414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rates exemption</w:t>
      </w:r>
    </w:p>
    <w:p>
      <w:pPr>
        <w:pStyle w:val="TOC8"/>
        <w:rPr>
          <w:rFonts w:asciiTheme="minorHAnsi" w:eastAsiaTheme="minorEastAsia" w:hAnsiTheme="minorHAnsi" w:cstheme="minorBidi"/>
          <w:szCs w:val="22"/>
        </w:rPr>
      </w:pPr>
      <w:r>
        <w:t>150.</w:t>
      </w:r>
      <w:r>
        <w:tab/>
      </w:r>
      <w:r>
        <w:rPr>
          <w:snapToGrid w:val="0"/>
        </w:rPr>
        <w:t>Exemption from local government rates</w:t>
      </w:r>
      <w:r>
        <w:tab/>
      </w:r>
      <w:r>
        <w:fldChar w:fldCharType="begin"/>
      </w:r>
      <w:r>
        <w:instrText xml:space="preserve"> PAGEREF _Toc182400416 \h </w:instrText>
      </w:r>
      <w:r>
        <w:fldChar w:fldCharType="separate"/>
      </w:r>
      <w:r>
        <w:t>89</w:t>
      </w:r>
      <w:r>
        <w:fldChar w:fldCharType="end"/>
      </w:r>
    </w:p>
    <w:p>
      <w:pPr>
        <w:pStyle w:val="TOC8"/>
        <w:rPr>
          <w:rFonts w:asciiTheme="minorHAnsi" w:eastAsiaTheme="minorEastAsia" w:hAnsiTheme="minorHAnsi" w:cstheme="minorBidi"/>
          <w:szCs w:val="22"/>
        </w:rPr>
      </w:pPr>
      <w:r>
        <w:t>151.</w:t>
      </w:r>
      <w:r>
        <w:tab/>
      </w:r>
      <w:r>
        <w:rPr>
          <w:snapToGrid w:val="0"/>
        </w:rPr>
        <w:t>Payment in lieu of local government rates</w:t>
      </w:r>
      <w:r>
        <w:tab/>
      </w:r>
      <w:r>
        <w:fldChar w:fldCharType="begin"/>
      </w:r>
      <w:r>
        <w:instrText xml:space="preserve"> PAGEREF _Toc182400417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4"/>
        <w:tabs>
          <w:tab w:val="right" w:leader="dot" w:pos="7077"/>
        </w:tabs>
        <w:rPr>
          <w:rFonts w:asciiTheme="minorHAnsi" w:eastAsiaTheme="minorEastAsia" w:hAnsiTheme="minorHAnsi" w:cstheme="minorBidi"/>
          <w:b w:val="0"/>
          <w:szCs w:val="22"/>
        </w:rPr>
      </w:pPr>
      <w:r>
        <w:t>Division 1 — Protection of persons dealing with GTEs</w:t>
      </w:r>
    </w:p>
    <w:p>
      <w:pPr>
        <w:pStyle w:val="TOC8"/>
        <w:rPr>
          <w:rFonts w:asciiTheme="minorHAnsi" w:eastAsiaTheme="minorEastAsia" w:hAnsiTheme="minorHAnsi" w:cstheme="minorBidi"/>
          <w:szCs w:val="22"/>
        </w:rPr>
      </w:pPr>
      <w:r>
        <w:t>152.</w:t>
      </w:r>
      <w:r>
        <w:tab/>
        <w:t>Person dealing with GTE may make assumptions</w:t>
      </w:r>
      <w:r>
        <w:tab/>
      </w:r>
      <w:r>
        <w:fldChar w:fldCharType="begin"/>
      </w:r>
      <w:r>
        <w:instrText xml:space="preserve"> PAGEREF _Toc182400420 \h </w:instrText>
      </w:r>
      <w:r>
        <w:fldChar w:fldCharType="separate"/>
      </w:r>
      <w:r>
        <w:t>91</w:t>
      </w:r>
      <w:r>
        <w:fldChar w:fldCharType="end"/>
      </w:r>
    </w:p>
    <w:p>
      <w:pPr>
        <w:pStyle w:val="TOC8"/>
        <w:rPr>
          <w:rFonts w:asciiTheme="minorHAnsi" w:eastAsiaTheme="minorEastAsia" w:hAnsiTheme="minorHAnsi" w:cstheme="minorBidi"/>
          <w:szCs w:val="22"/>
        </w:rPr>
      </w:pPr>
      <w:r>
        <w:t>153.</w:t>
      </w:r>
      <w:r>
        <w:tab/>
        <w:t>Third party may make assumptions</w:t>
      </w:r>
      <w:r>
        <w:tab/>
      </w:r>
      <w:r>
        <w:fldChar w:fldCharType="begin"/>
      </w:r>
      <w:r>
        <w:instrText xml:space="preserve"> PAGEREF _Toc182400421 \h </w:instrText>
      </w:r>
      <w:r>
        <w:fldChar w:fldCharType="separate"/>
      </w:r>
      <w:r>
        <w:t>91</w:t>
      </w:r>
      <w:r>
        <w:fldChar w:fldCharType="end"/>
      </w:r>
    </w:p>
    <w:p>
      <w:pPr>
        <w:pStyle w:val="TOC8"/>
        <w:rPr>
          <w:rFonts w:asciiTheme="minorHAnsi" w:eastAsiaTheme="minorEastAsia" w:hAnsiTheme="minorHAnsi" w:cstheme="minorBidi"/>
          <w:szCs w:val="22"/>
        </w:rPr>
      </w:pPr>
      <w:r>
        <w:t>154.</w:t>
      </w:r>
      <w:r>
        <w:tab/>
        <w:t>Assumptions that may be made</w:t>
      </w:r>
      <w:r>
        <w:tab/>
      </w:r>
      <w:r>
        <w:fldChar w:fldCharType="begin"/>
      </w:r>
      <w:r>
        <w:instrText xml:space="preserve"> PAGEREF _Toc182400422 \h </w:instrText>
      </w:r>
      <w:r>
        <w:fldChar w:fldCharType="separate"/>
      </w:r>
      <w:r>
        <w:t>91</w:t>
      </w:r>
      <w:r>
        <w:fldChar w:fldCharType="end"/>
      </w:r>
    </w:p>
    <w:p>
      <w:pPr>
        <w:pStyle w:val="TOC8"/>
        <w:rPr>
          <w:rFonts w:asciiTheme="minorHAnsi" w:eastAsiaTheme="minorEastAsia" w:hAnsiTheme="minorHAnsi" w:cstheme="minorBidi"/>
          <w:szCs w:val="22"/>
        </w:rPr>
      </w:pPr>
      <w:r>
        <w:t>155.</w:t>
      </w:r>
      <w:r>
        <w:tab/>
        <w:t>Exception to sections 152 and 153</w:t>
      </w:r>
      <w:r>
        <w:tab/>
      </w:r>
      <w:r>
        <w:fldChar w:fldCharType="begin"/>
      </w:r>
      <w:r>
        <w:instrText xml:space="preserve"> PAGEREF _Toc182400423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Formalities</w:t>
      </w:r>
    </w:p>
    <w:p>
      <w:pPr>
        <w:pStyle w:val="TOC8"/>
        <w:rPr>
          <w:rFonts w:asciiTheme="minorHAnsi" w:eastAsiaTheme="minorEastAsia" w:hAnsiTheme="minorHAnsi" w:cstheme="minorBidi"/>
          <w:szCs w:val="22"/>
        </w:rPr>
      </w:pPr>
      <w:r>
        <w:t>156.</w:t>
      </w:r>
      <w:r>
        <w:tab/>
        <w:t>Execution of documents</w:t>
      </w:r>
      <w:r>
        <w:tab/>
      </w:r>
      <w:r>
        <w:fldChar w:fldCharType="begin"/>
      </w:r>
      <w:r>
        <w:instrText xml:space="preserve"> PAGEREF _Toc182400425 \h </w:instrText>
      </w:r>
      <w:r>
        <w:fldChar w:fldCharType="separate"/>
      </w:r>
      <w:r>
        <w:t>93</w:t>
      </w:r>
      <w:r>
        <w:fldChar w:fldCharType="end"/>
      </w:r>
    </w:p>
    <w:p>
      <w:pPr>
        <w:pStyle w:val="TOC8"/>
        <w:rPr>
          <w:rFonts w:asciiTheme="minorHAnsi" w:eastAsiaTheme="minorEastAsia" w:hAnsiTheme="minorHAnsi" w:cstheme="minorBidi"/>
          <w:szCs w:val="22"/>
        </w:rPr>
      </w:pPr>
      <w:r>
        <w:t>157.</w:t>
      </w:r>
      <w:r>
        <w:tab/>
        <w:t>Contract formalities</w:t>
      </w:r>
      <w:r>
        <w:tab/>
      </w:r>
      <w:r>
        <w:fldChar w:fldCharType="begin"/>
      </w:r>
      <w:r>
        <w:instrText xml:space="preserve"> PAGEREF _Toc182400426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158.</w:t>
      </w:r>
      <w:r>
        <w:tab/>
        <w:t>Making certain things publicly available</w:t>
      </w:r>
      <w:r>
        <w:tab/>
      </w:r>
      <w:r>
        <w:fldChar w:fldCharType="begin"/>
      </w:r>
      <w:r>
        <w:instrText xml:space="preserve"> PAGEREF _Toc182400428 \h </w:instrText>
      </w:r>
      <w:r>
        <w:fldChar w:fldCharType="separate"/>
      </w:r>
      <w:r>
        <w:t>95</w:t>
      </w:r>
      <w:r>
        <w:fldChar w:fldCharType="end"/>
      </w:r>
    </w:p>
    <w:p>
      <w:pPr>
        <w:pStyle w:val="TOC8"/>
        <w:rPr>
          <w:rFonts w:asciiTheme="minorHAnsi" w:eastAsiaTheme="minorEastAsia" w:hAnsiTheme="minorHAnsi" w:cstheme="minorBidi"/>
          <w:szCs w:val="22"/>
        </w:rPr>
      </w:pPr>
      <w:r>
        <w:t>159.</w:t>
      </w:r>
      <w:r>
        <w:tab/>
        <w:t>Laying documents before Parliament not sitting</w:t>
      </w:r>
      <w:r>
        <w:tab/>
      </w:r>
      <w:r>
        <w:fldChar w:fldCharType="begin"/>
      </w:r>
      <w:r>
        <w:instrText xml:space="preserve"> PAGEREF _Toc182400429 \h </w:instrText>
      </w:r>
      <w:r>
        <w:fldChar w:fldCharType="separate"/>
      </w:r>
      <w:r>
        <w:t>95</w:t>
      </w:r>
      <w:r>
        <w:fldChar w:fldCharType="end"/>
      </w:r>
    </w:p>
    <w:p>
      <w:pPr>
        <w:pStyle w:val="TOC8"/>
        <w:rPr>
          <w:rFonts w:asciiTheme="minorHAnsi" w:eastAsiaTheme="minorEastAsia" w:hAnsiTheme="minorHAnsi" w:cstheme="minorBidi"/>
          <w:szCs w:val="22"/>
        </w:rPr>
      </w:pPr>
      <w:r>
        <w:t>160.</w:t>
      </w:r>
      <w:r>
        <w:tab/>
        <w:t>Regulations</w:t>
      </w:r>
      <w:r>
        <w:tab/>
      </w:r>
      <w:r>
        <w:fldChar w:fldCharType="begin"/>
      </w:r>
      <w:r>
        <w:instrText xml:space="preserve"> PAGEREF _Toc182400430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161.</w:t>
      </w:r>
      <w:r>
        <w:tab/>
        <w:t>Terms used</w:t>
      </w:r>
      <w:r>
        <w:tab/>
      </w:r>
      <w:r>
        <w:fldChar w:fldCharType="begin"/>
      </w:r>
      <w:r>
        <w:instrText xml:space="preserve"> PAGEREF _Toc182400433 \h </w:instrText>
      </w:r>
      <w:r>
        <w:fldChar w:fldCharType="separate"/>
      </w:r>
      <w:r>
        <w:t>96</w:t>
      </w:r>
      <w:r>
        <w:fldChar w:fldCharType="end"/>
      </w:r>
    </w:p>
    <w:p>
      <w:pPr>
        <w:pStyle w:val="TOC8"/>
        <w:rPr>
          <w:rFonts w:asciiTheme="minorHAnsi" w:eastAsiaTheme="minorEastAsia" w:hAnsiTheme="minorHAnsi" w:cstheme="minorBidi"/>
          <w:szCs w:val="22"/>
        </w:rPr>
      </w:pPr>
      <w:r>
        <w:t>162.</w:t>
      </w:r>
      <w:r>
        <w:tab/>
        <w:t>New provisions that correspond to old provisions</w:t>
      </w:r>
      <w:r>
        <w:tab/>
      </w:r>
      <w:r>
        <w:fldChar w:fldCharType="begin"/>
      </w:r>
      <w:r>
        <w:instrText xml:space="preserve"> PAGEREF _Toc182400434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Application of </w:t>
      </w:r>
      <w:r>
        <w:rPr>
          <w:i/>
        </w:rPr>
        <w:t>Interpretation Act 1984</w:t>
      </w:r>
    </w:p>
    <w:p>
      <w:pPr>
        <w:pStyle w:val="TOC8"/>
        <w:rPr>
          <w:rFonts w:asciiTheme="minorHAnsi" w:eastAsiaTheme="minorEastAsia" w:hAnsiTheme="minorHAnsi" w:cstheme="minorBidi"/>
          <w:szCs w:val="22"/>
        </w:rPr>
      </w:pPr>
      <w:r>
        <w:t>163.</w:t>
      </w:r>
      <w:r>
        <w:tab/>
        <w:t xml:space="preserve">Application of </w:t>
      </w:r>
      <w:r>
        <w:rPr>
          <w:i/>
        </w:rPr>
        <w:t>Interpretation Act 1984</w:t>
      </w:r>
      <w:r>
        <w:tab/>
      </w:r>
      <w:r>
        <w:fldChar w:fldCharType="begin"/>
      </w:r>
      <w:r>
        <w:instrText xml:space="preserve"> PAGEREF _Toc182400436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General transitional provisions</w:t>
      </w:r>
    </w:p>
    <w:p>
      <w:pPr>
        <w:pStyle w:val="TOC8"/>
        <w:rPr>
          <w:rFonts w:asciiTheme="minorHAnsi" w:eastAsiaTheme="minorEastAsia" w:hAnsiTheme="minorHAnsi" w:cstheme="minorBidi"/>
          <w:szCs w:val="22"/>
        </w:rPr>
      </w:pPr>
      <w:r>
        <w:t>164.</w:t>
      </w:r>
      <w:r>
        <w:tab/>
        <w:t>Completion of things commenced before commencement day</w:t>
      </w:r>
      <w:r>
        <w:tab/>
      </w:r>
      <w:r>
        <w:fldChar w:fldCharType="begin"/>
      </w:r>
      <w:r>
        <w:instrText xml:space="preserve"> PAGEREF _Toc182400438 \h </w:instrText>
      </w:r>
      <w:r>
        <w:fldChar w:fldCharType="separate"/>
      </w:r>
      <w:r>
        <w:t>96</w:t>
      </w:r>
      <w:r>
        <w:fldChar w:fldCharType="end"/>
      </w:r>
    </w:p>
    <w:p>
      <w:pPr>
        <w:pStyle w:val="TOC8"/>
        <w:rPr>
          <w:rFonts w:asciiTheme="minorHAnsi" w:eastAsiaTheme="minorEastAsia" w:hAnsiTheme="minorHAnsi" w:cstheme="minorBidi"/>
          <w:szCs w:val="22"/>
        </w:rPr>
      </w:pPr>
      <w:r>
        <w:t>165.</w:t>
      </w:r>
      <w:r>
        <w:tab/>
        <w:t>Continuing effect of things done before commencement day</w:t>
      </w:r>
      <w:r>
        <w:tab/>
      </w:r>
      <w:r>
        <w:fldChar w:fldCharType="begin"/>
      </w:r>
      <w:r>
        <w:instrText xml:space="preserve"> PAGEREF _Toc182400439 \h </w:instrText>
      </w:r>
      <w:r>
        <w:fldChar w:fldCharType="separate"/>
      </w:r>
      <w:r>
        <w:t>97</w:t>
      </w:r>
      <w:r>
        <w:fldChar w:fldCharType="end"/>
      </w:r>
    </w:p>
    <w:p>
      <w:pPr>
        <w:pStyle w:val="TOC8"/>
        <w:rPr>
          <w:rFonts w:asciiTheme="minorHAnsi" w:eastAsiaTheme="minorEastAsia" w:hAnsiTheme="minorHAnsi" w:cstheme="minorBidi"/>
          <w:szCs w:val="22"/>
        </w:rPr>
      </w:pPr>
      <w:r>
        <w:t>166.</w:t>
      </w:r>
      <w:r>
        <w:tab/>
        <w:t>Relationship of this Division to other transitional provisions</w:t>
      </w:r>
      <w:r>
        <w:tab/>
      </w:r>
      <w:r>
        <w:fldChar w:fldCharType="begin"/>
      </w:r>
      <w:r>
        <w:instrText xml:space="preserve"> PAGEREF _Toc182400440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Specific transitional provisions</w:t>
      </w:r>
    </w:p>
    <w:p>
      <w:pPr>
        <w:pStyle w:val="TOC8"/>
        <w:rPr>
          <w:rFonts w:asciiTheme="minorHAnsi" w:eastAsiaTheme="minorEastAsia" w:hAnsiTheme="minorHAnsi" w:cstheme="minorBidi"/>
          <w:szCs w:val="22"/>
        </w:rPr>
      </w:pPr>
      <w:r>
        <w:t>167.</w:t>
      </w:r>
      <w:r>
        <w:tab/>
        <w:t>Boards of directors</w:t>
      </w:r>
      <w:r>
        <w:tab/>
      </w:r>
      <w:r>
        <w:fldChar w:fldCharType="begin"/>
      </w:r>
      <w:r>
        <w:instrText xml:space="preserve"> PAGEREF _Toc182400442 \h </w:instrText>
      </w:r>
      <w:r>
        <w:fldChar w:fldCharType="separate"/>
      </w:r>
      <w:r>
        <w:t>97</w:t>
      </w:r>
      <w:r>
        <w:fldChar w:fldCharType="end"/>
      </w:r>
    </w:p>
    <w:p>
      <w:pPr>
        <w:pStyle w:val="TOC8"/>
        <w:rPr>
          <w:rFonts w:asciiTheme="minorHAnsi" w:eastAsiaTheme="minorEastAsia" w:hAnsiTheme="minorHAnsi" w:cstheme="minorBidi"/>
          <w:szCs w:val="22"/>
        </w:rPr>
      </w:pPr>
      <w:r>
        <w:t>168.</w:t>
      </w:r>
      <w:r>
        <w:tab/>
        <w:t>Chief executive officers</w:t>
      </w:r>
      <w:r>
        <w:tab/>
      </w:r>
      <w:r>
        <w:fldChar w:fldCharType="begin"/>
      </w:r>
      <w:r>
        <w:instrText xml:space="preserve"> PAGEREF _Toc182400443 \h </w:instrText>
      </w:r>
      <w:r>
        <w:fldChar w:fldCharType="separate"/>
      </w:r>
      <w:r>
        <w:t>98</w:t>
      </w:r>
      <w:r>
        <w:fldChar w:fldCharType="end"/>
      </w:r>
    </w:p>
    <w:p>
      <w:pPr>
        <w:pStyle w:val="TOC8"/>
        <w:rPr>
          <w:rFonts w:asciiTheme="minorHAnsi" w:eastAsiaTheme="minorEastAsia" w:hAnsiTheme="minorHAnsi" w:cstheme="minorBidi"/>
          <w:szCs w:val="22"/>
        </w:rPr>
      </w:pPr>
      <w:r>
        <w:t>169.</w:t>
      </w:r>
      <w:r>
        <w:tab/>
        <w:t>Designation of executive officers</w:t>
      </w:r>
      <w:r>
        <w:tab/>
      </w:r>
      <w:r>
        <w:fldChar w:fldCharType="begin"/>
      </w:r>
      <w:r>
        <w:instrText xml:space="preserve"> PAGEREF _Toc182400444 \h </w:instrText>
      </w:r>
      <w:r>
        <w:fldChar w:fldCharType="separate"/>
      </w:r>
      <w:r>
        <w:t>98</w:t>
      </w:r>
      <w:r>
        <w:fldChar w:fldCharType="end"/>
      </w:r>
    </w:p>
    <w:p>
      <w:pPr>
        <w:pStyle w:val="TOC8"/>
        <w:rPr>
          <w:rFonts w:asciiTheme="minorHAnsi" w:eastAsiaTheme="minorEastAsia" w:hAnsiTheme="minorHAnsi" w:cstheme="minorBidi"/>
          <w:szCs w:val="22"/>
        </w:rPr>
      </w:pPr>
      <w:r>
        <w:t>170.</w:t>
      </w:r>
      <w:r>
        <w:tab/>
        <w:t>Indemnities, exemptions and insurance for certain liabilities of directors and others</w:t>
      </w:r>
      <w:r>
        <w:tab/>
      </w:r>
      <w:r>
        <w:fldChar w:fldCharType="begin"/>
      </w:r>
      <w:r>
        <w:instrText xml:space="preserve"> PAGEREF _Toc182400445 \h </w:instrText>
      </w:r>
      <w:r>
        <w:fldChar w:fldCharType="separate"/>
      </w:r>
      <w:r>
        <w:t>99</w:t>
      </w:r>
      <w:r>
        <w:fldChar w:fldCharType="end"/>
      </w:r>
    </w:p>
    <w:p>
      <w:pPr>
        <w:pStyle w:val="TOC8"/>
        <w:rPr>
          <w:rFonts w:asciiTheme="minorHAnsi" w:eastAsiaTheme="minorEastAsia" w:hAnsiTheme="minorHAnsi" w:cstheme="minorBidi"/>
          <w:szCs w:val="22"/>
        </w:rPr>
      </w:pPr>
      <w:r>
        <w:t>171.</w:t>
      </w:r>
      <w:r>
        <w:tab/>
        <w:t>Statement of expectations</w:t>
      </w:r>
      <w:r>
        <w:tab/>
      </w:r>
      <w:r>
        <w:fldChar w:fldCharType="begin"/>
      </w:r>
      <w:r>
        <w:instrText xml:space="preserve"> PAGEREF _Toc182400446 \h </w:instrText>
      </w:r>
      <w:r>
        <w:fldChar w:fldCharType="separate"/>
      </w:r>
      <w:r>
        <w:t>99</w:t>
      </w:r>
      <w:r>
        <w:fldChar w:fldCharType="end"/>
      </w:r>
    </w:p>
    <w:p>
      <w:pPr>
        <w:pStyle w:val="TOC8"/>
        <w:rPr>
          <w:rFonts w:asciiTheme="minorHAnsi" w:eastAsiaTheme="minorEastAsia" w:hAnsiTheme="minorHAnsi" w:cstheme="minorBidi"/>
          <w:szCs w:val="22"/>
        </w:rPr>
      </w:pPr>
      <w:r>
        <w:t>172.</w:t>
      </w:r>
      <w:r>
        <w:tab/>
        <w:t>Annual performance statement</w:t>
      </w:r>
      <w:r>
        <w:tab/>
      </w:r>
      <w:r>
        <w:fldChar w:fldCharType="begin"/>
      </w:r>
      <w:r>
        <w:instrText xml:space="preserve"> PAGEREF _Toc182400447 \h </w:instrText>
      </w:r>
      <w:r>
        <w:fldChar w:fldCharType="separate"/>
      </w:r>
      <w:r>
        <w:t>100</w:t>
      </w:r>
      <w:r>
        <w:fldChar w:fldCharType="end"/>
      </w:r>
    </w:p>
    <w:p>
      <w:pPr>
        <w:pStyle w:val="TOC8"/>
        <w:rPr>
          <w:rFonts w:asciiTheme="minorHAnsi" w:eastAsiaTheme="minorEastAsia" w:hAnsiTheme="minorHAnsi" w:cstheme="minorBidi"/>
          <w:szCs w:val="22"/>
        </w:rPr>
      </w:pPr>
      <w:r>
        <w:t>173.</w:t>
      </w:r>
      <w:r>
        <w:tab/>
        <w:t>Bank and other accounts</w:t>
      </w:r>
      <w:r>
        <w:tab/>
      </w:r>
      <w:r>
        <w:fldChar w:fldCharType="begin"/>
      </w:r>
      <w:r>
        <w:instrText xml:space="preserve"> PAGEREF _Toc182400448 \h </w:instrText>
      </w:r>
      <w:r>
        <w:fldChar w:fldCharType="separate"/>
      </w:r>
      <w:r>
        <w:t>100</w:t>
      </w:r>
      <w:r>
        <w:fldChar w:fldCharType="end"/>
      </w:r>
    </w:p>
    <w:p>
      <w:pPr>
        <w:pStyle w:val="TOC8"/>
        <w:rPr>
          <w:rFonts w:asciiTheme="minorHAnsi" w:eastAsiaTheme="minorEastAsia" w:hAnsiTheme="minorHAnsi" w:cstheme="minorBidi"/>
          <w:szCs w:val="22"/>
        </w:rPr>
      </w:pPr>
      <w:r>
        <w:t>174.</w:t>
      </w:r>
      <w:r>
        <w:tab/>
        <w:t>Hedging transactions</w:t>
      </w:r>
      <w:r>
        <w:tab/>
      </w:r>
      <w:r>
        <w:fldChar w:fldCharType="begin"/>
      </w:r>
      <w:r>
        <w:instrText xml:space="preserve"> PAGEREF _Toc182400449 \h </w:instrText>
      </w:r>
      <w:r>
        <w:fldChar w:fldCharType="separate"/>
      </w:r>
      <w:r>
        <w:t>101</w:t>
      </w:r>
      <w:r>
        <w:fldChar w:fldCharType="end"/>
      </w:r>
    </w:p>
    <w:p>
      <w:pPr>
        <w:pStyle w:val="TOC8"/>
        <w:rPr>
          <w:rFonts w:asciiTheme="minorHAnsi" w:eastAsiaTheme="minorEastAsia" w:hAnsiTheme="minorHAnsi" w:cstheme="minorBidi"/>
          <w:szCs w:val="22"/>
        </w:rPr>
      </w:pPr>
      <w:r>
        <w:t>175.</w:t>
      </w:r>
      <w:r>
        <w:tab/>
        <w:t>Dividends</w:t>
      </w:r>
      <w:r>
        <w:tab/>
      </w:r>
      <w:r>
        <w:fldChar w:fldCharType="begin"/>
      </w:r>
      <w:r>
        <w:instrText xml:space="preserve"> PAGEREF _Toc182400450 \h </w:instrText>
      </w:r>
      <w:r>
        <w:fldChar w:fldCharType="separate"/>
      </w:r>
      <w:r>
        <w:t>101</w:t>
      </w:r>
      <w:r>
        <w:fldChar w:fldCharType="end"/>
      </w:r>
    </w:p>
    <w:p>
      <w:pPr>
        <w:pStyle w:val="TOC8"/>
        <w:rPr>
          <w:rFonts w:asciiTheme="minorHAnsi" w:eastAsiaTheme="minorEastAsia" w:hAnsiTheme="minorHAnsi" w:cstheme="minorBidi"/>
          <w:szCs w:val="22"/>
        </w:rPr>
      </w:pPr>
      <w:r>
        <w:t>176.</w:t>
      </w:r>
      <w:r>
        <w:tab/>
        <w:t>Financial administration and audit</w:t>
      </w:r>
      <w:r>
        <w:tab/>
      </w:r>
      <w:r>
        <w:fldChar w:fldCharType="begin"/>
      </w:r>
      <w:r>
        <w:instrText xml:space="preserve"> PAGEREF _Toc182400451 \h </w:instrText>
      </w:r>
      <w:r>
        <w:fldChar w:fldCharType="separate"/>
      </w:r>
      <w:r>
        <w:t>102</w:t>
      </w:r>
      <w:r>
        <w:fldChar w:fldCharType="end"/>
      </w:r>
    </w:p>
    <w:p>
      <w:pPr>
        <w:pStyle w:val="TOC8"/>
        <w:rPr>
          <w:rFonts w:asciiTheme="minorHAnsi" w:eastAsiaTheme="minorEastAsia" w:hAnsiTheme="minorHAnsi" w:cstheme="minorBidi"/>
          <w:szCs w:val="22"/>
        </w:rPr>
      </w:pPr>
      <w:r>
        <w:t>177.</w:t>
      </w:r>
      <w:r>
        <w:tab/>
        <w:t>Local government rates</w:t>
      </w:r>
      <w:r>
        <w:tab/>
      </w:r>
      <w:r>
        <w:fldChar w:fldCharType="begin"/>
      </w:r>
      <w:r>
        <w:instrText xml:space="preserve"> PAGEREF _Toc182400452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Transitional regulations</w:t>
      </w:r>
    </w:p>
    <w:p>
      <w:pPr>
        <w:pStyle w:val="TOC8"/>
        <w:rPr>
          <w:rFonts w:asciiTheme="minorHAnsi" w:eastAsiaTheme="minorEastAsia" w:hAnsiTheme="minorHAnsi" w:cstheme="minorBidi"/>
          <w:szCs w:val="22"/>
        </w:rPr>
      </w:pPr>
      <w:r>
        <w:t>178.</w:t>
      </w:r>
      <w:r>
        <w:tab/>
        <w:t>Transitional regulations</w:t>
      </w:r>
      <w:r>
        <w:tab/>
      </w:r>
      <w:r>
        <w:fldChar w:fldCharType="begin"/>
      </w:r>
      <w:r>
        <w:instrText xml:space="preserve"> PAGEREF _Toc182400454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Electricity Corporations Act 2005</w:t>
      </w:r>
      <w:r>
        <w:t xml:space="preserve"> amended</w:t>
      </w:r>
    </w:p>
    <w:p>
      <w:pPr>
        <w:pStyle w:val="TOC8"/>
        <w:rPr>
          <w:rFonts w:asciiTheme="minorHAnsi" w:eastAsiaTheme="minorEastAsia" w:hAnsiTheme="minorHAnsi" w:cstheme="minorBidi"/>
          <w:szCs w:val="22"/>
        </w:rPr>
      </w:pPr>
      <w:r>
        <w:t>179.</w:t>
      </w:r>
      <w:r>
        <w:tab/>
        <w:t>Act amended</w:t>
      </w:r>
      <w:r>
        <w:tab/>
      </w:r>
      <w:r>
        <w:fldChar w:fldCharType="begin"/>
      </w:r>
      <w:r>
        <w:instrText xml:space="preserve"> PAGEREF _Toc182400457 \h </w:instrText>
      </w:r>
      <w:r>
        <w:fldChar w:fldCharType="separate"/>
      </w:r>
      <w:r>
        <w:t>105</w:t>
      </w:r>
      <w:r>
        <w:fldChar w:fldCharType="end"/>
      </w:r>
    </w:p>
    <w:p>
      <w:pPr>
        <w:pStyle w:val="TOC8"/>
        <w:rPr>
          <w:rFonts w:asciiTheme="minorHAnsi" w:eastAsiaTheme="minorEastAsia" w:hAnsiTheme="minorHAnsi" w:cstheme="minorBidi"/>
          <w:szCs w:val="22"/>
        </w:rPr>
      </w:pPr>
      <w:r>
        <w:t>180.</w:t>
      </w:r>
      <w:r>
        <w:tab/>
        <w:t>Section 3 amended</w:t>
      </w:r>
      <w:r>
        <w:tab/>
      </w:r>
      <w:r>
        <w:fldChar w:fldCharType="begin"/>
      </w:r>
      <w:r>
        <w:instrText xml:space="preserve"> PAGEREF _Toc182400458 \h </w:instrText>
      </w:r>
      <w:r>
        <w:fldChar w:fldCharType="separate"/>
      </w:r>
      <w:r>
        <w:t>105</w:t>
      </w:r>
      <w:r>
        <w:fldChar w:fldCharType="end"/>
      </w:r>
    </w:p>
    <w:p>
      <w:pPr>
        <w:pStyle w:val="TOC8"/>
        <w:rPr>
          <w:rFonts w:asciiTheme="minorHAnsi" w:eastAsiaTheme="minorEastAsia" w:hAnsiTheme="minorHAnsi" w:cstheme="minorBidi"/>
          <w:szCs w:val="22"/>
        </w:rPr>
      </w:pPr>
      <w:r>
        <w:t>181.</w:t>
      </w:r>
      <w:r>
        <w:tab/>
        <w:t>Section 3A inserted</w:t>
      </w:r>
      <w:r>
        <w:tab/>
      </w:r>
      <w:r>
        <w:fldChar w:fldCharType="begin"/>
      </w:r>
      <w:r>
        <w:instrText xml:space="preserve"> PAGEREF _Toc182400459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_Toc182400460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182.</w:t>
      </w:r>
      <w:r>
        <w:tab/>
        <w:t>Part 2 Division 2 deleted</w:t>
      </w:r>
      <w:r>
        <w:tab/>
      </w:r>
      <w:r>
        <w:fldChar w:fldCharType="begin"/>
      </w:r>
      <w:r>
        <w:instrText xml:space="preserve"> PAGEREF _Toc182400461 \h </w:instrText>
      </w:r>
      <w:r>
        <w:fldChar w:fldCharType="separate"/>
      </w:r>
      <w:r>
        <w:t>106</w:t>
      </w:r>
      <w:r>
        <w:fldChar w:fldCharType="end"/>
      </w:r>
    </w:p>
    <w:p>
      <w:pPr>
        <w:pStyle w:val="TOC8"/>
        <w:rPr>
          <w:rFonts w:asciiTheme="minorHAnsi" w:eastAsiaTheme="minorEastAsia" w:hAnsiTheme="minorHAnsi" w:cstheme="minorBidi"/>
          <w:szCs w:val="22"/>
        </w:rPr>
      </w:pPr>
      <w:r>
        <w:t>183.</w:t>
      </w:r>
      <w:r>
        <w:tab/>
        <w:t>Part 2 Division 3 Subdivision 1 deleted</w:t>
      </w:r>
      <w:r>
        <w:tab/>
      </w:r>
      <w:r>
        <w:fldChar w:fldCharType="begin"/>
      </w:r>
      <w:r>
        <w:instrText xml:space="preserve"> PAGEREF _Toc182400462 \h </w:instrText>
      </w:r>
      <w:r>
        <w:fldChar w:fldCharType="separate"/>
      </w:r>
      <w:r>
        <w:t>106</w:t>
      </w:r>
      <w:r>
        <w:fldChar w:fldCharType="end"/>
      </w:r>
    </w:p>
    <w:p>
      <w:pPr>
        <w:pStyle w:val="TOC8"/>
        <w:rPr>
          <w:rFonts w:asciiTheme="minorHAnsi" w:eastAsiaTheme="minorEastAsia" w:hAnsiTheme="minorHAnsi" w:cstheme="minorBidi"/>
          <w:szCs w:val="22"/>
        </w:rPr>
      </w:pPr>
      <w:r>
        <w:t>184.</w:t>
      </w:r>
      <w:r>
        <w:tab/>
        <w:t>Part 2 Division 3 Subdivision 2 heading replaced</w:t>
      </w:r>
      <w:r>
        <w:tab/>
      </w:r>
      <w:r>
        <w:fldChar w:fldCharType="begin"/>
      </w:r>
      <w:r>
        <w:instrText xml:space="preserve"> PAGEREF _Toc182400463 \h </w:instrText>
      </w:r>
      <w:r>
        <w:fldChar w:fldCharType="separate"/>
      </w:r>
      <w:r>
        <w:t>106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engage and manage staff</w:t>
      </w:r>
    </w:p>
    <w:p>
      <w:pPr>
        <w:pStyle w:val="TOC8"/>
        <w:rPr>
          <w:rFonts w:asciiTheme="minorHAnsi" w:eastAsiaTheme="minorEastAsia" w:hAnsiTheme="minorHAnsi" w:cstheme="minorBidi"/>
          <w:szCs w:val="22"/>
        </w:rPr>
      </w:pPr>
      <w:r>
        <w:t>185.</w:t>
      </w:r>
      <w:r>
        <w:tab/>
        <w:t>Section 20 deleted</w:t>
      </w:r>
      <w:r>
        <w:tab/>
      </w:r>
      <w:r>
        <w:fldChar w:fldCharType="begin"/>
      </w:r>
      <w:r>
        <w:instrText xml:space="preserve"> PAGEREF _Toc182400465 \h </w:instrText>
      </w:r>
      <w:r>
        <w:fldChar w:fldCharType="separate"/>
      </w:r>
      <w:r>
        <w:t>106</w:t>
      </w:r>
      <w:r>
        <w:fldChar w:fldCharType="end"/>
      </w:r>
    </w:p>
    <w:p>
      <w:pPr>
        <w:pStyle w:val="TOC8"/>
        <w:rPr>
          <w:rFonts w:asciiTheme="minorHAnsi" w:eastAsiaTheme="minorEastAsia" w:hAnsiTheme="minorHAnsi" w:cstheme="minorBidi"/>
          <w:szCs w:val="22"/>
        </w:rPr>
      </w:pPr>
      <w:r>
        <w:t>186.</w:t>
      </w:r>
      <w:r>
        <w:tab/>
        <w:t>Section 21 amended</w:t>
      </w:r>
      <w:r>
        <w:tab/>
      </w:r>
      <w:r>
        <w:fldChar w:fldCharType="begin"/>
      </w:r>
      <w:r>
        <w:instrText xml:space="preserve"> PAGEREF _Toc182400466 \h </w:instrText>
      </w:r>
      <w:r>
        <w:fldChar w:fldCharType="separate"/>
      </w:r>
      <w:r>
        <w:t>107</w:t>
      </w:r>
      <w:r>
        <w:fldChar w:fldCharType="end"/>
      </w:r>
    </w:p>
    <w:p>
      <w:pPr>
        <w:pStyle w:val="TOC8"/>
        <w:rPr>
          <w:rFonts w:asciiTheme="minorHAnsi" w:eastAsiaTheme="minorEastAsia" w:hAnsiTheme="minorHAnsi" w:cstheme="minorBidi"/>
          <w:szCs w:val="22"/>
        </w:rPr>
      </w:pPr>
      <w:r>
        <w:t>187.</w:t>
      </w:r>
      <w:r>
        <w:tab/>
        <w:t>Part 2 Division 3 Subdivision 5 heading replaced</w:t>
      </w:r>
      <w:r>
        <w:tab/>
      </w:r>
      <w:r>
        <w:fldChar w:fldCharType="begin"/>
      </w:r>
      <w:r>
        <w:instrText xml:space="preserve"> PAGEREF _Toc182400467 \h </w:instrText>
      </w:r>
      <w:r>
        <w:fldChar w:fldCharType="separate"/>
      </w:r>
      <w:r>
        <w:t>107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5 — Superannuation</w:t>
      </w:r>
    </w:p>
    <w:p>
      <w:pPr>
        <w:pStyle w:val="TOC8"/>
        <w:rPr>
          <w:rFonts w:asciiTheme="minorHAnsi" w:eastAsiaTheme="minorEastAsia" w:hAnsiTheme="minorHAnsi" w:cstheme="minorBidi"/>
          <w:szCs w:val="22"/>
        </w:rPr>
      </w:pPr>
      <w:r>
        <w:t>188.</w:t>
      </w:r>
      <w:r>
        <w:tab/>
        <w:t>Part 2 Division 4 heading replaced</w:t>
      </w:r>
      <w:r>
        <w:tab/>
      </w:r>
      <w:r>
        <w:fldChar w:fldCharType="begin"/>
      </w:r>
      <w:r>
        <w:instrText xml:space="preserve"> PAGEREF _Toc182400469 \h </w:instrText>
      </w:r>
      <w:r>
        <w:fldChar w:fldCharType="separate"/>
      </w:r>
      <w:r>
        <w:t>107</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189.</w:t>
      </w:r>
      <w:r>
        <w:tab/>
        <w:t>Sections 27 to 30 deleted</w:t>
      </w:r>
      <w:r>
        <w:tab/>
      </w:r>
      <w:r>
        <w:fldChar w:fldCharType="begin"/>
      </w:r>
      <w:r>
        <w:instrText xml:space="preserve"> PAGEREF _Toc182400471 \h </w:instrText>
      </w:r>
      <w:r>
        <w:fldChar w:fldCharType="separate"/>
      </w:r>
      <w:r>
        <w:t>107</w:t>
      </w:r>
      <w:r>
        <w:fldChar w:fldCharType="end"/>
      </w:r>
    </w:p>
    <w:p>
      <w:pPr>
        <w:pStyle w:val="TOC8"/>
        <w:rPr>
          <w:rFonts w:asciiTheme="minorHAnsi" w:eastAsiaTheme="minorEastAsia" w:hAnsiTheme="minorHAnsi" w:cstheme="minorBidi"/>
          <w:szCs w:val="22"/>
        </w:rPr>
      </w:pPr>
      <w:r>
        <w:t>190.</w:t>
      </w:r>
      <w:r>
        <w:tab/>
        <w:t>Section 33 amended</w:t>
      </w:r>
      <w:r>
        <w:tab/>
      </w:r>
      <w:r>
        <w:fldChar w:fldCharType="begin"/>
      </w:r>
      <w:r>
        <w:instrText xml:space="preserve"> PAGEREF _Toc182400472 \h </w:instrText>
      </w:r>
      <w:r>
        <w:fldChar w:fldCharType="separate"/>
      </w:r>
      <w:r>
        <w:t>108</w:t>
      </w:r>
      <w:r>
        <w:fldChar w:fldCharType="end"/>
      </w:r>
    </w:p>
    <w:p>
      <w:pPr>
        <w:pStyle w:val="TOC8"/>
        <w:rPr>
          <w:rFonts w:asciiTheme="minorHAnsi" w:eastAsiaTheme="minorEastAsia" w:hAnsiTheme="minorHAnsi" w:cstheme="minorBidi"/>
          <w:szCs w:val="22"/>
        </w:rPr>
      </w:pPr>
      <w:r>
        <w:t>191.</w:t>
      </w:r>
      <w:r>
        <w:tab/>
        <w:t>Section 53 amended</w:t>
      </w:r>
      <w:r>
        <w:tab/>
      </w:r>
      <w:r>
        <w:fldChar w:fldCharType="begin"/>
      </w:r>
      <w:r>
        <w:instrText xml:space="preserve"> PAGEREF _Toc182400473 \h </w:instrText>
      </w:r>
      <w:r>
        <w:fldChar w:fldCharType="separate"/>
      </w:r>
      <w:r>
        <w:t>108</w:t>
      </w:r>
      <w:r>
        <w:fldChar w:fldCharType="end"/>
      </w:r>
    </w:p>
    <w:p>
      <w:pPr>
        <w:pStyle w:val="TOC8"/>
        <w:rPr>
          <w:rFonts w:asciiTheme="minorHAnsi" w:eastAsiaTheme="minorEastAsia" w:hAnsiTheme="minorHAnsi" w:cstheme="minorBidi"/>
          <w:szCs w:val="22"/>
        </w:rPr>
      </w:pPr>
      <w:r>
        <w:t>192.</w:t>
      </w:r>
      <w:r>
        <w:tab/>
        <w:t>Section 54 amended</w:t>
      </w:r>
      <w:r>
        <w:tab/>
      </w:r>
      <w:r>
        <w:fldChar w:fldCharType="begin"/>
      </w:r>
      <w:r>
        <w:instrText xml:space="preserve"> PAGEREF _Toc182400474 \h </w:instrText>
      </w:r>
      <w:r>
        <w:fldChar w:fldCharType="separate"/>
      </w:r>
      <w:r>
        <w:t>108</w:t>
      </w:r>
      <w:r>
        <w:fldChar w:fldCharType="end"/>
      </w:r>
    </w:p>
    <w:p>
      <w:pPr>
        <w:pStyle w:val="TOC8"/>
        <w:rPr>
          <w:rFonts w:asciiTheme="minorHAnsi" w:eastAsiaTheme="minorEastAsia" w:hAnsiTheme="minorHAnsi" w:cstheme="minorBidi"/>
          <w:szCs w:val="22"/>
        </w:rPr>
      </w:pPr>
      <w:r>
        <w:t>193.</w:t>
      </w:r>
      <w:r>
        <w:tab/>
        <w:t>Section 55 deleted</w:t>
      </w:r>
      <w:r>
        <w:tab/>
      </w:r>
      <w:r>
        <w:fldChar w:fldCharType="begin"/>
      </w:r>
      <w:r>
        <w:instrText xml:space="preserve"> PAGEREF _Toc182400475 \h </w:instrText>
      </w:r>
      <w:r>
        <w:fldChar w:fldCharType="separate"/>
      </w:r>
      <w:r>
        <w:t>108</w:t>
      </w:r>
      <w:r>
        <w:fldChar w:fldCharType="end"/>
      </w:r>
    </w:p>
    <w:p>
      <w:pPr>
        <w:pStyle w:val="TOC8"/>
        <w:rPr>
          <w:rFonts w:asciiTheme="minorHAnsi" w:eastAsiaTheme="minorEastAsia" w:hAnsiTheme="minorHAnsi" w:cstheme="minorBidi"/>
          <w:szCs w:val="22"/>
        </w:rPr>
      </w:pPr>
      <w:r>
        <w:t>194.</w:t>
      </w:r>
      <w:r>
        <w:tab/>
        <w:t>Section 56 deleted</w:t>
      </w:r>
      <w:r>
        <w:tab/>
      </w:r>
      <w:r>
        <w:fldChar w:fldCharType="begin"/>
      </w:r>
      <w:r>
        <w:instrText xml:space="preserve"> PAGEREF _Toc182400476 \h </w:instrText>
      </w:r>
      <w:r>
        <w:fldChar w:fldCharType="separate"/>
      </w:r>
      <w:r>
        <w:t>108</w:t>
      </w:r>
      <w:r>
        <w:fldChar w:fldCharType="end"/>
      </w:r>
    </w:p>
    <w:p>
      <w:pPr>
        <w:pStyle w:val="TOC8"/>
        <w:rPr>
          <w:rFonts w:asciiTheme="minorHAnsi" w:eastAsiaTheme="minorEastAsia" w:hAnsiTheme="minorHAnsi" w:cstheme="minorBidi"/>
          <w:szCs w:val="22"/>
        </w:rPr>
      </w:pPr>
      <w:r>
        <w:t>195.</w:t>
      </w:r>
      <w:r>
        <w:tab/>
        <w:t>Section 58 deleted</w:t>
      </w:r>
      <w:r>
        <w:tab/>
      </w:r>
      <w:r>
        <w:fldChar w:fldCharType="begin"/>
      </w:r>
      <w:r>
        <w:instrText xml:space="preserve"> PAGEREF _Toc182400477 \h </w:instrText>
      </w:r>
      <w:r>
        <w:fldChar w:fldCharType="separate"/>
      </w:r>
      <w:r>
        <w:t>108</w:t>
      </w:r>
      <w:r>
        <w:fldChar w:fldCharType="end"/>
      </w:r>
    </w:p>
    <w:p>
      <w:pPr>
        <w:pStyle w:val="TOC8"/>
        <w:rPr>
          <w:rFonts w:asciiTheme="minorHAnsi" w:eastAsiaTheme="minorEastAsia" w:hAnsiTheme="minorHAnsi" w:cstheme="minorBidi"/>
          <w:szCs w:val="22"/>
        </w:rPr>
      </w:pPr>
      <w:r>
        <w:t>196.</w:t>
      </w:r>
      <w:r>
        <w:tab/>
        <w:t>Section 59 amended</w:t>
      </w:r>
      <w:r>
        <w:tab/>
      </w:r>
      <w:r>
        <w:fldChar w:fldCharType="begin"/>
      </w:r>
      <w:r>
        <w:instrText xml:space="preserve"> PAGEREF _Toc182400478 \h </w:instrText>
      </w:r>
      <w:r>
        <w:fldChar w:fldCharType="separate"/>
      </w:r>
      <w:r>
        <w:t>108</w:t>
      </w:r>
      <w:r>
        <w:fldChar w:fldCharType="end"/>
      </w:r>
    </w:p>
    <w:p>
      <w:pPr>
        <w:pStyle w:val="TOC8"/>
        <w:rPr>
          <w:rFonts w:asciiTheme="minorHAnsi" w:eastAsiaTheme="minorEastAsia" w:hAnsiTheme="minorHAnsi" w:cstheme="minorBidi"/>
          <w:szCs w:val="22"/>
        </w:rPr>
      </w:pPr>
      <w:r>
        <w:t>197.</w:t>
      </w:r>
      <w:r>
        <w:tab/>
        <w:t>Section 60 amended</w:t>
      </w:r>
      <w:r>
        <w:tab/>
      </w:r>
      <w:r>
        <w:fldChar w:fldCharType="begin"/>
      </w:r>
      <w:r>
        <w:instrText xml:space="preserve"> PAGEREF _Toc182400479 \h </w:instrText>
      </w:r>
      <w:r>
        <w:fldChar w:fldCharType="separate"/>
      </w:r>
      <w:r>
        <w:t>109</w:t>
      </w:r>
      <w:r>
        <w:fldChar w:fldCharType="end"/>
      </w:r>
    </w:p>
    <w:p>
      <w:pPr>
        <w:pStyle w:val="TOC8"/>
        <w:rPr>
          <w:rFonts w:asciiTheme="minorHAnsi" w:eastAsiaTheme="minorEastAsia" w:hAnsiTheme="minorHAnsi" w:cstheme="minorBidi"/>
          <w:szCs w:val="22"/>
        </w:rPr>
      </w:pPr>
      <w:r>
        <w:t>198.</w:t>
      </w:r>
      <w:r>
        <w:tab/>
        <w:t>Section 61 replaced</w:t>
      </w:r>
      <w:r>
        <w:tab/>
      </w:r>
      <w:r>
        <w:fldChar w:fldCharType="begin"/>
      </w:r>
      <w:r>
        <w:instrText xml:space="preserve"> PAGEREF _Toc182400480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61.</w:t>
      </w:r>
      <w:r>
        <w:rPr>
          <w:noProof/>
        </w:rPr>
        <w:tab/>
        <w:t>Limitation of corporation’s duty to act on commercial principles</w:t>
      </w:r>
      <w:r>
        <w:rPr>
          <w:noProof/>
        </w:rPr>
        <w:tab/>
      </w:r>
      <w:r>
        <w:rPr>
          <w:noProof/>
        </w:rPr>
        <w:fldChar w:fldCharType="begin"/>
      </w:r>
      <w:r>
        <w:rPr>
          <w:noProof/>
        </w:rPr>
        <w:instrText xml:space="preserve"> PAGEREF _Toc182400481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199.</w:t>
      </w:r>
      <w:r>
        <w:tab/>
        <w:t>Section 63 amended</w:t>
      </w:r>
      <w:r>
        <w:tab/>
      </w:r>
      <w:r>
        <w:fldChar w:fldCharType="begin"/>
      </w:r>
      <w:r>
        <w:instrText xml:space="preserve"> PAGEREF _Toc182400482 \h </w:instrText>
      </w:r>
      <w:r>
        <w:fldChar w:fldCharType="separate"/>
      </w:r>
      <w:r>
        <w:t>109</w:t>
      </w:r>
      <w:r>
        <w:fldChar w:fldCharType="end"/>
      </w:r>
    </w:p>
    <w:p>
      <w:pPr>
        <w:pStyle w:val="TOC8"/>
        <w:rPr>
          <w:rFonts w:asciiTheme="minorHAnsi" w:eastAsiaTheme="minorEastAsia" w:hAnsiTheme="minorHAnsi" w:cstheme="minorBidi"/>
          <w:szCs w:val="22"/>
        </w:rPr>
      </w:pPr>
      <w:r>
        <w:t>200.</w:t>
      </w:r>
      <w:r>
        <w:tab/>
        <w:t>Sections 64 to 70 deleted</w:t>
      </w:r>
      <w:r>
        <w:tab/>
      </w:r>
      <w:r>
        <w:fldChar w:fldCharType="begin"/>
      </w:r>
      <w:r>
        <w:instrText xml:space="preserve"> PAGEREF _Toc182400483 \h </w:instrText>
      </w:r>
      <w:r>
        <w:fldChar w:fldCharType="separate"/>
      </w:r>
      <w:r>
        <w:t>110</w:t>
      </w:r>
      <w:r>
        <w:fldChar w:fldCharType="end"/>
      </w:r>
    </w:p>
    <w:p>
      <w:pPr>
        <w:pStyle w:val="TOC8"/>
        <w:rPr>
          <w:rFonts w:asciiTheme="minorHAnsi" w:eastAsiaTheme="minorEastAsia" w:hAnsiTheme="minorHAnsi" w:cstheme="minorBidi"/>
          <w:szCs w:val="22"/>
        </w:rPr>
      </w:pPr>
      <w:r>
        <w:t>201.</w:t>
      </w:r>
      <w:r>
        <w:tab/>
        <w:t>Section 71 amended</w:t>
      </w:r>
      <w:r>
        <w:tab/>
      </w:r>
      <w:r>
        <w:fldChar w:fldCharType="begin"/>
      </w:r>
      <w:r>
        <w:instrText xml:space="preserve"> PAGEREF _Toc182400484 \h </w:instrText>
      </w:r>
      <w:r>
        <w:fldChar w:fldCharType="separate"/>
      </w:r>
      <w:r>
        <w:t>110</w:t>
      </w:r>
      <w:r>
        <w:fldChar w:fldCharType="end"/>
      </w:r>
    </w:p>
    <w:p>
      <w:pPr>
        <w:pStyle w:val="TOC8"/>
        <w:rPr>
          <w:rFonts w:asciiTheme="minorHAnsi" w:eastAsiaTheme="minorEastAsia" w:hAnsiTheme="minorHAnsi" w:cstheme="minorBidi"/>
          <w:szCs w:val="22"/>
        </w:rPr>
      </w:pPr>
      <w:r>
        <w:t>202.</w:t>
      </w:r>
      <w:r>
        <w:tab/>
        <w:t>Part 3 Division 4 deleted</w:t>
      </w:r>
      <w:r>
        <w:tab/>
      </w:r>
      <w:r>
        <w:fldChar w:fldCharType="begin"/>
      </w:r>
      <w:r>
        <w:instrText xml:space="preserve"> PAGEREF _Toc182400485 \h </w:instrText>
      </w:r>
      <w:r>
        <w:fldChar w:fldCharType="separate"/>
      </w:r>
      <w:r>
        <w:t>110</w:t>
      </w:r>
      <w:r>
        <w:fldChar w:fldCharType="end"/>
      </w:r>
    </w:p>
    <w:p>
      <w:pPr>
        <w:pStyle w:val="TOC8"/>
        <w:rPr>
          <w:rFonts w:asciiTheme="minorHAnsi" w:eastAsiaTheme="minorEastAsia" w:hAnsiTheme="minorHAnsi" w:cstheme="minorBidi"/>
          <w:szCs w:val="22"/>
        </w:rPr>
      </w:pPr>
      <w:r>
        <w:t>203.</w:t>
      </w:r>
      <w:r>
        <w:tab/>
        <w:t>Part 5 heading replaced</w:t>
      </w:r>
      <w:r>
        <w:tab/>
      </w:r>
      <w:r>
        <w:fldChar w:fldCharType="begin"/>
      </w:r>
      <w:r>
        <w:instrText xml:space="preserve"> PAGEREF _Toc182400486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204.</w:t>
      </w:r>
      <w:r>
        <w:tab/>
        <w:t>Part 5 Divisions 1 to 3 deleted</w:t>
      </w:r>
      <w:r>
        <w:tab/>
      </w:r>
      <w:r>
        <w:fldChar w:fldCharType="begin"/>
      </w:r>
      <w:r>
        <w:instrText xml:space="preserve"> PAGEREF _Toc182400488 \h </w:instrText>
      </w:r>
      <w:r>
        <w:fldChar w:fldCharType="separate"/>
      </w:r>
      <w:r>
        <w:t>110</w:t>
      </w:r>
      <w:r>
        <w:fldChar w:fldCharType="end"/>
      </w:r>
    </w:p>
    <w:p>
      <w:pPr>
        <w:pStyle w:val="TOC8"/>
        <w:rPr>
          <w:rFonts w:asciiTheme="minorHAnsi" w:eastAsiaTheme="minorEastAsia" w:hAnsiTheme="minorHAnsi" w:cstheme="minorBidi"/>
          <w:szCs w:val="22"/>
        </w:rPr>
      </w:pPr>
      <w:r>
        <w:t>205.</w:t>
      </w:r>
      <w:r>
        <w:tab/>
        <w:t>Part 5 Division 4 heading deleted</w:t>
      </w:r>
      <w:r>
        <w:tab/>
      </w:r>
      <w:r>
        <w:fldChar w:fldCharType="begin"/>
      </w:r>
      <w:r>
        <w:instrText xml:space="preserve"> PAGEREF _Toc182400489 \h </w:instrText>
      </w:r>
      <w:r>
        <w:fldChar w:fldCharType="separate"/>
      </w:r>
      <w:r>
        <w:t>110</w:t>
      </w:r>
      <w:r>
        <w:fldChar w:fldCharType="end"/>
      </w:r>
    </w:p>
    <w:p>
      <w:pPr>
        <w:pStyle w:val="TOC8"/>
        <w:rPr>
          <w:rFonts w:asciiTheme="minorHAnsi" w:eastAsiaTheme="minorEastAsia" w:hAnsiTheme="minorHAnsi" w:cstheme="minorBidi"/>
          <w:szCs w:val="22"/>
        </w:rPr>
      </w:pPr>
      <w:r>
        <w:t>206.</w:t>
      </w:r>
      <w:r>
        <w:tab/>
        <w:t>Sections 110 to 113 replaced</w:t>
      </w:r>
      <w:r>
        <w:tab/>
      </w:r>
      <w:r>
        <w:fldChar w:fldCharType="begin"/>
      </w:r>
      <w:r>
        <w:instrText xml:space="preserve"> PAGEREF _Toc182400490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111.</w:t>
      </w:r>
      <w:r>
        <w:rPr>
          <w:noProof/>
        </w:rPr>
        <w:tab/>
        <w:t>Directions that cannot be given under GTE Act s. 108</w:t>
      </w:r>
      <w:r>
        <w:rPr>
          <w:noProof/>
        </w:rPr>
        <w:tab/>
      </w:r>
      <w:r>
        <w:rPr>
          <w:noProof/>
        </w:rPr>
        <w:fldChar w:fldCharType="begin"/>
      </w:r>
      <w:r>
        <w:rPr>
          <w:noProof/>
        </w:rPr>
        <w:instrText xml:space="preserve"> PAGEREF _Toc182400491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207.</w:t>
      </w:r>
      <w:r>
        <w:tab/>
        <w:t>Part 5 Divisions 5 and 6 deleted</w:t>
      </w:r>
      <w:r>
        <w:tab/>
      </w:r>
      <w:r>
        <w:fldChar w:fldCharType="begin"/>
      </w:r>
      <w:r>
        <w:instrText xml:space="preserve"> PAGEREF _Toc182400492 \h </w:instrText>
      </w:r>
      <w:r>
        <w:fldChar w:fldCharType="separate"/>
      </w:r>
      <w:r>
        <w:t>111</w:t>
      </w:r>
      <w:r>
        <w:fldChar w:fldCharType="end"/>
      </w:r>
    </w:p>
    <w:p>
      <w:pPr>
        <w:pStyle w:val="TOC8"/>
        <w:rPr>
          <w:rFonts w:asciiTheme="minorHAnsi" w:eastAsiaTheme="minorEastAsia" w:hAnsiTheme="minorHAnsi" w:cstheme="minorBidi"/>
          <w:szCs w:val="22"/>
        </w:rPr>
      </w:pPr>
      <w:r>
        <w:t>208.</w:t>
      </w:r>
      <w:r>
        <w:tab/>
        <w:t>Part 6 deleted</w:t>
      </w:r>
      <w:r>
        <w:tab/>
      </w:r>
      <w:r>
        <w:fldChar w:fldCharType="begin"/>
      </w:r>
      <w:r>
        <w:instrText xml:space="preserve"> PAGEREF _Toc182400493 \h </w:instrText>
      </w:r>
      <w:r>
        <w:fldChar w:fldCharType="separate"/>
      </w:r>
      <w:r>
        <w:t>111</w:t>
      </w:r>
      <w:r>
        <w:fldChar w:fldCharType="end"/>
      </w:r>
    </w:p>
    <w:p>
      <w:pPr>
        <w:pStyle w:val="TOC8"/>
        <w:rPr>
          <w:rFonts w:asciiTheme="minorHAnsi" w:eastAsiaTheme="minorEastAsia" w:hAnsiTheme="minorHAnsi" w:cstheme="minorBidi"/>
          <w:szCs w:val="22"/>
        </w:rPr>
      </w:pPr>
      <w:r>
        <w:t>209.</w:t>
      </w:r>
      <w:r>
        <w:tab/>
        <w:t>Sections 134 to 136 replaced</w:t>
      </w:r>
      <w:r>
        <w:tab/>
      </w:r>
      <w:r>
        <w:fldChar w:fldCharType="begin"/>
      </w:r>
      <w:r>
        <w:instrText xml:space="preserve"> PAGEREF _Toc182400494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134.</w:t>
      </w:r>
      <w:r>
        <w:rPr>
          <w:noProof/>
        </w:rPr>
        <w:tab/>
        <w:t>Laying documents before Parliament not sitting</w:t>
      </w:r>
      <w:r>
        <w:rPr>
          <w:noProof/>
        </w:rPr>
        <w:tab/>
      </w:r>
      <w:r>
        <w:rPr>
          <w:noProof/>
        </w:rPr>
        <w:fldChar w:fldCharType="begin"/>
      </w:r>
      <w:r>
        <w:rPr>
          <w:noProof/>
        </w:rPr>
        <w:instrText xml:space="preserve"> PAGEREF _Toc182400495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210.</w:t>
      </w:r>
      <w:r>
        <w:tab/>
        <w:t>Section 138 amended</w:t>
      </w:r>
      <w:r>
        <w:tab/>
      </w:r>
      <w:r>
        <w:fldChar w:fldCharType="begin"/>
      </w:r>
      <w:r>
        <w:instrText xml:space="preserve"> PAGEREF _Toc182400496 \h </w:instrText>
      </w:r>
      <w:r>
        <w:fldChar w:fldCharType="separate"/>
      </w:r>
      <w:r>
        <w:t>112</w:t>
      </w:r>
      <w:r>
        <w:fldChar w:fldCharType="end"/>
      </w:r>
    </w:p>
    <w:p>
      <w:pPr>
        <w:pStyle w:val="TOC8"/>
        <w:rPr>
          <w:rFonts w:asciiTheme="minorHAnsi" w:eastAsiaTheme="minorEastAsia" w:hAnsiTheme="minorHAnsi" w:cstheme="minorBidi"/>
          <w:szCs w:val="22"/>
        </w:rPr>
      </w:pPr>
      <w:r>
        <w:t>211.</w:t>
      </w:r>
      <w:r>
        <w:tab/>
        <w:t>Schedules 1 to 4 deleted</w:t>
      </w:r>
      <w:r>
        <w:tab/>
      </w:r>
      <w:r>
        <w:fldChar w:fldCharType="begin"/>
      </w:r>
      <w:r>
        <w:instrText xml:space="preserve"> PAGEREF _Toc182400497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Gold Corporation Act 1987</w:t>
      </w:r>
      <w:r>
        <w:t xml:space="preserve"> amended</w:t>
      </w:r>
    </w:p>
    <w:p>
      <w:pPr>
        <w:pStyle w:val="TOC8"/>
        <w:rPr>
          <w:rFonts w:asciiTheme="minorHAnsi" w:eastAsiaTheme="minorEastAsia" w:hAnsiTheme="minorHAnsi" w:cstheme="minorBidi"/>
          <w:szCs w:val="22"/>
        </w:rPr>
      </w:pPr>
      <w:r>
        <w:t>212.</w:t>
      </w:r>
      <w:r>
        <w:tab/>
        <w:t>Act amended</w:t>
      </w:r>
      <w:r>
        <w:tab/>
      </w:r>
      <w:r>
        <w:fldChar w:fldCharType="begin"/>
      </w:r>
      <w:r>
        <w:instrText xml:space="preserve"> PAGEREF _Toc182400499 \h </w:instrText>
      </w:r>
      <w:r>
        <w:fldChar w:fldCharType="separate"/>
      </w:r>
      <w:r>
        <w:t>112</w:t>
      </w:r>
      <w:r>
        <w:fldChar w:fldCharType="end"/>
      </w:r>
    </w:p>
    <w:p>
      <w:pPr>
        <w:pStyle w:val="TOC8"/>
        <w:rPr>
          <w:rFonts w:asciiTheme="minorHAnsi" w:eastAsiaTheme="minorEastAsia" w:hAnsiTheme="minorHAnsi" w:cstheme="minorBidi"/>
          <w:szCs w:val="22"/>
        </w:rPr>
      </w:pPr>
      <w:r>
        <w:t>213.</w:t>
      </w:r>
      <w:r>
        <w:tab/>
        <w:t xml:space="preserve">Various references to </w:t>
      </w:r>
      <w:r>
        <w:rPr>
          <w:i/>
        </w:rPr>
        <w:t>Salaries and Allowances Act 1975</w:t>
      </w:r>
      <w:r>
        <w:t xml:space="preserve"> s. 7C amended</w:t>
      </w:r>
      <w:r>
        <w:tab/>
      </w:r>
      <w:r>
        <w:fldChar w:fldCharType="begin"/>
      </w:r>
      <w:r>
        <w:instrText xml:space="preserve"> PAGEREF _Toc182400500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Perth Market (Disposal) Act 2015</w:t>
      </w:r>
      <w:r>
        <w:t xml:space="preserve"> amended</w:t>
      </w:r>
    </w:p>
    <w:p>
      <w:pPr>
        <w:pStyle w:val="TOC8"/>
        <w:rPr>
          <w:rFonts w:asciiTheme="minorHAnsi" w:eastAsiaTheme="minorEastAsia" w:hAnsiTheme="minorHAnsi" w:cstheme="minorBidi"/>
          <w:szCs w:val="22"/>
        </w:rPr>
      </w:pPr>
      <w:r>
        <w:t>214.</w:t>
      </w:r>
      <w:r>
        <w:tab/>
        <w:t>Act amended</w:t>
      </w:r>
      <w:r>
        <w:tab/>
      </w:r>
      <w:r>
        <w:fldChar w:fldCharType="begin"/>
      </w:r>
      <w:r>
        <w:instrText xml:space="preserve"> PAGEREF _Toc182400502 \h </w:instrText>
      </w:r>
      <w:r>
        <w:fldChar w:fldCharType="separate"/>
      </w:r>
      <w:r>
        <w:t>113</w:t>
      </w:r>
      <w:r>
        <w:fldChar w:fldCharType="end"/>
      </w:r>
    </w:p>
    <w:p>
      <w:pPr>
        <w:pStyle w:val="TOC8"/>
        <w:rPr>
          <w:rFonts w:asciiTheme="minorHAnsi" w:eastAsiaTheme="minorEastAsia" w:hAnsiTheme="minorHAnsi" w:cstheme="minorBidi"/>
          <w:szCs w:val="22"/>
        </w:rPr>
      </w:pPr>
      <w:r>
        <w:t>215.</w:t>
      </w:r>
      <w:r>
        <w:tab/>
        <w:t>Section 28 amended</w:t>
      </w:r>
      <w:r>
        <w:tab/>
      </w:r>
      <w:r>
        <w:fldChar w:fldCharType="begin"/>
      </w:r>
      <w:r>
        <w:instrText xml:space="preserve"> PAGEREF _Toc182400503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Pilbara Port Assets (Disposal) Act 2016</w:t>
      </w:r>
      <w:r>
        <w:t xml:space="preserve"> amended</w:t>
      </w:r>
    </w:p>
    <w:p>
      <w:pPr>
        <w:pStyle w:val="TOC8"/>
        <w:rPr>
          <w:rFonts w:asciiTheme="minorHAnsi" w:eastAsiaTheme="minorEastAsia" w:hAnsiTheme="minorHAnsi" w:cstheme="minorBidi"/>
          <w:szCs w:val="22"/>
        </w:rPr>
      </w:pPr>
      <w:r>
        <w:t>216.</w:t>
      </w:r>
      <w:r>
        <w:tab/>
        <w:t>Act amended</w:t>
      </w:r>
      <w:r>
        <w:tab/>
      </w:r>
      <w:r>
        <w:fldChar w:fldCharType="begin"/>
      </w:r>
      <w:r>
        <w:instrText xml:space="preserve"> PAGEREF _Toc182400505 \h </w:instrText>
      </w:r>
      <w:r>
        <w:fldChar w:fldCharType="separate"/>
      </w:r>
      <w:r>
        <w:t>113</w:t>
      </w:r>
      <w:r>
        <w:fldChar w:fldCharType="end"/>
      </w:r>
    </w:p>
    <w:p>
      <w:pPr>
        <w:pStyle w:val="TOC8"/>
        <w:rPr>
          <w:rFonts w:asciiTheme="minorHAnsi" w:eastAsiaTheme="minorEastAsia" w:hAnsiTheme="minorHAnsi" w:cstheme="minorBidi"/>
          <w:szCs w:val="22"/>
        </w:rPr>
      </w:pPr>
      <w:r>
        <w:t>217.</w:t>
      </w:r>
      <w:r>
        <w:tab/>
        <w:t>Section 27 amended</w:t>
      </w:r>
      <w:r>
        <w:tab/>
      </w:r>
      <w:r>
        <w:fldChar w:fldCharType="begin"/>
      </w:r>
      <w:r>
        <w:instrText xml:space="preserve"> PAGEREF _Toc182400506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Port Authorities Act 1999</w:t>
      </w:r>
      <w:r>
        <w:t xml:space="preserve"> amended</w:t>
      </w:r>
    </w:p>
    <w:p>
      <w:pPr>
        <w:pStyle w:val="TOC8"/>
        <w:rPr>
          <w:rFonts w:asciiTheme="minorHAnsi" w:eastAsiaTheme="minorEastAsia" w:hAnsiTheme="minorHAnsi" w:cstheme="minorBidi"/>
          <w:szCs w:val="22"/>
        </w:rPr>
      </w:pPr>
      <w:r>
        <w:t>218.</w:t>
      </w:r>
      <w:r>
        <w:tab/>
        <w:t>Act amended</w:t>
      </w:r>
      <w:r>
        <w:tab/>
      </w:r>
      <w:r>
        <w:fldChar w:fldCharType="begin"/>
      </w:r>
      <w:r>
        <w:instrText xml:space="preserve"> PAGEREF _Toc182400508 \h </w:instrText>
      </w:r>
      <w:r>
        <w:fldChar w:fldCharType="separate"/>
      </w:r>
      <w:r>
        <w:t>114</w:t>
      </w:r>
      <w:r>
        <w:fldChar w:fldCharType="end"/>
      </w:r>
    </w:p>
    <w:p>
      <w:pPr>
        <w:pStyle w:val="TOC8"/>
        <w:rPr>
          <w:rFonts w:asciiTheme="minorHAnsi" w:eastAsiaTheme="minorEastAsia" w:hAnsiTheme="minorHAnsi" w:cstheme="minorBidi"/>
          <w:szCs w:val="22"/>
        </w:rPr>
      </w:pPr>
      <w:r>
        <w:t>219.</w:t>
      </w:r>
      <w:r>
        <w:tab/>
        <w:t>Section 3 amended</w:t>
      </w:r>
      <w:r>
        <w:tab/>
      </w:r>
      <w:r>
        <w:fldChar w:fldCharType="begin"/>
      </w:r>
      <w:r>
        <w:instrText xml:space="preserve"> PAGEREF _Toc182400509 \h </w:instrText>
      </w:r>
      <w:r>
        <w:fldChar w:fldCharType="separate"/>
      </w:r>
      <w:r>
        <w:t>114</w:t>
      </w:r>
      <w:r>
        <w:fldChar w:fldCharType="end"/>
      </w:r>
    </w:p>
    <w:p>
      <w:pPr>
        <w:pStyle w:val="TOC8"/>
        <w:rPr>
          <w:rFonts w:asciiTheme="minorHAnsi" w:eastAsiaTheme="minorEastAsia" w:hAnsiTheme="minorHAnsi" w:cstheme="minorBidi"/>
          <w:szCs w:val="22"/>
        </w:rPr>
      </w:pPr>
      <w:r>
        <w:t>220.</w:t>
      </w:r>
      <w:r>
        <w:tab/>
        <w:t>Section 3A inserted</w:t>
      </w:r>
      <w:r>
        <w:tab/>
      </w:r>
      <w:r>
        <w:fldChar w:fldCharType="begin"/>
      </w:r>
      <w:r>
        <w:instrText xml:space="preserve"> PAGEREF _Toc182400510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_Toc182400511 \h </w:instrText>
      </w:r>
      <w:r>
        <w:rPr>
          <w:noProof/>
        </w:rPr>
      </w:r>
      <w:r>
        <w:rPr>
          <w:noProof/>
        </w:rPr>
        <w:fldChar w:fldCharType="separate"/>
      </w:r>
      <w:r>
        <w:rPr>
          <w:noProof/>
        </w:rPr>
        <w:t>114</w:t>
      </w:r>
      <w:r>
        <w:rPr>
          <w:noProof/>
        </w:rPr>
        <w:fldChar w:fldCharType="end"/>
      </w:r>
    </w:p>
    <w:p>
      <w:pPr>
        <w:pStyle w:val="TOC8"/>
        <w:rPr>
          <w:rFonts w:asciiTheme="minorHAnsi" w:eastAsiaTheme="minorEastAsia" w:hAnsiTheme="minorHAnsi" w:cstheme="minorBidi"/>
          <w:szCs w:val="22"/>
        </w:rPr>
      </w:pPr>
      <w:r>
        <w:t>221.</w:t>
      </w:r>
      <w:r>
        <w:tab/>
        <w:t>Part 2 Division 2 heading replaced</w:t>
      </w:r>
      <w:r>
        <w:tab/>
      </w:r>
      <w:r>
        <w:fldChar w:fldCharType="begin"/>
      </w:r>
      <w:r>
        <w:instrText xml:space="preserve"> PAGEREF _Toc182400512 \h </w:instrText>
      </w:r>
      <w:r>
        <w:fldChar w:fldCharType="separate"/>
      </w:r>
      <w:r>
        <w:t>115</w:t>
      </w:r>
      <w:r>
        <w:fldChar w:fldCharType="end"/>
      </w:r>
    </w:p>
    <w:p>
      <w:pPr>
        <w:pStyle w:val="TOC5"/>
        <w:tabs>
          <w:tab w:val="right" w:leader="dot" w:pos="7077"/>
        </w:tabs>
        <w:rPr>
          <w:rFonts w:asciiTheme="minorHAnsi" w:eastAsiaTheme="minorEastAsia" w:hAnsiTheme="minorHAnsi" w:cstheme="minorBidi"/>
          <w:b w:val="0"/>
          <w:sz w:val="22"/>
          <w:szCs w:val="22"/>
        </w:rPr>
      </w:pPr>
      <w:r>
        <w:t>Division 2 — Community consultation committees</w:t>
      </w:r>
    </w:p>
    <w:p>
      <w:pPr>
        <w:pStyle w:val="TOC8"/>
        <w:rPr>
          <w:rFonts w:asciiTheme="minorHAnsi" w:eastAsiaTheme="minorEastAsia" w:hAnsiTheme="minorHAnsi" w:cstheme="minorBidi"/>
          <w:szCs w:val="22"/>
        </w:rPr>
      </w:pPr>
      <w:r>
        <w:t>222.</w:t>
      </w:r>
      <w:r>
        <w:tab/>
        <w:t>Sections 7 to 13 deleted</w:t>
      </w:r>
      <w:r>
        <w:tab/>
      </w:r>
      <w:r>
        <w:fldChar w:fldCharType="begin"/>
      </w:r>
      <w:r>
        <w:instrText xml:space="preserve"> PAGEREF _Toc182400514 \h </w:instrText>
      </w:r>
      <w:r>
        <w:fldChar w:fldCharType="separate"/>
      </w:r>
      <w:r>
        <w:t>115</w:t>
      </w:r>
      <w:r>
        <w:fldChar w:fldCharType="end"/>
      </w:r>
    </w:p>
    <w:p>
      <w:pPr>
        <w:pStyle w:val="TOC8"/>
        <w:rPr>
          <w:rFonts w:asciiTheme="minorHAnsi" w:eastAsiaTheme="minorEastAsia" w:hAnsiTheme="minorHAnsi" w:cstheme="minorBidi"/>
          <w:szCs w:val="22"/>
        </w:rPr>
      </w:pPr>
      <w:r>
        <w:t>223.</w:t>
      </w:r>
      <w:r>
        <w:tab/>
        <w:t>Section 14A amended</w:t>
      </w:r>
      <w:r>
        <w:tab/>
      </w:r>
      <w:r>
        <w:fldChar w:fldCharType="begin"/>
      </w:r>
      <w:r>
        <w:instrText xml:space="preserve"> PAGEREF _Toc182400515 \h </w:instrText>
      </w:r>
      <w:r>
        <w:fldChar w:fldCharType="separate"/>
      </w:r>
      <w:r>
        <w:t>115</w:t>
      </w:r>
      <w:r>
        <w:fldChar w:fldCharType="end"/>
      </w:r>
    </w:p>
    <w:p>
      <w:pPr>
        <w:pStyle w:val="TOC8"/>
        <w:rPr>
          <w:rFonts w:asciiTheme="minorHAnsi" w:eastAsiaTheme="minorEastAsia" w:hAnsiTheme="minorHAnsi" w:cstheme="minorBidi"/>
          <w:szCs w:val="22"/>
        </w:rPr>
      </w:pPr>
      <w:r>
        <w:t>224.</w:t>
      </w:r>
      <w:r>
        <w:tab/>
        <w:t>Sections 14, 15A, 15B and 15 deleted</w:t>
      </w:r>
      <w:r>
        <w:tab/>
      </w:r>
      <w:r>
        <w:fldChar w:fldCharType="begin"/>
      </w:r>
      <w:r>
        <w:instrText xml:space="preserve"> PAGEREF _Toc182400516 \h </w:instrText>
      </w:r>
      <w:r>
        <w:fldChar w:fldCharType="separate"/>
      </w:r>
      <w:r>
        <w:t>115</w:t>
      </w:r>
      <w:r>
        <w:fldChar w:fldCharType="end"/>
      </w:r>
    </w:p>
    <w:p>
      <w:pPr>
        <w:pStyle w:val="TOC8"/>
        <w:rPr>
          <w:rFonts w:asciiTheme="minorHAnsi" w:eastAsiaTheme="minorEastAsia" w:hAnsiTheme="minorHAnsi" w:cstheme="minorBidi"/>
          <w:szCs w:val="22"/>
        </w:rPr>
      </w:pPr>
      <w:r>
        <w:t>225.</w:t>
      </w:r>
      <w:r>
        <w:tab/>
        <w:t>Section 17 amended</w:t>
      </w:r>
      <w:r>
        <w:tab/>
      </w:r>
      <w:r>
        <w:fldChar w:fldCharType="begin"/>
      </w:r>
      <w:r>
        <w:instrText xml:space="preserve"> PAGEREF _Toc182400517 \h </w:instrText>
      </w:r>
      <w:r>
        <w:fldChar w:fldCharType="separate"/>
      </w:r>
      <w:r>
        <w:t>115</w:t>
      </w:r>
      <w:r>
        <w:fldChar w:fldCharType="end"/>
      </w:r>
    </w:p>
    <w:p>
      <w:pPr>
        <w:pStyle w:val="TOC8"/>
        <w:rPr>
          <w:rFonts w:asciiTheme="minorHAnsi" w:eastAsiaTheme="minorEastAsia" w:hAnsiTheme="minorHAnsi" w:cstheme="minorBidi"/>
          <w:szCs w:val="22"/>
        </w:rPr>
      </w:pPr>
      <w:r>
        <w:t>226.</w:t>
      </w:r>
      <w:r>
        <w:tab/>
        <w:t>Section 20 deleted</w:t>
      </w:r>
      <w:r>
        <w:tab/>
      </w:r>
      <w:r>
        <w:fldChar w:fldCharType="begin"/>
      </w:r>
      <w:r>
        <w:instrText xml:space="preserve"> PAGEREF _Toc182400518 \h </w:instrText>
      </w:r>
      <w:r>
        <w:fldChar w:fldCharType="separate"/>
      </w:r>
      <w:r>
        <w:t>116</w:t>
      </w:r>
      <w:r>
        <w:fldChar w:fldCharType="end"/>
      </w:r>
    </w:p>
    <w:p>
      <w:pPr>
        <w:pStyle w:val="TOC8"/>
        <w:rPr>
          <w:rFonts w:asciiTheme="minorHAnsi" w:eastAsiaTheme="minorEastAsia" w:hAnsiTheme="minorHAnsi" w:cstheme="minorBidi"/>
          <w:szCs w:val="22"/>
        </w:rPr>
      </w:pPr>
      <w:r>
        <w:t>227.</w:t>
      </w:r>
      <w:r>
        <w:tab/>
        <w:t>Section 23 amended</w:t>
      </w:r>
      <w:r>
        <w:tab/>
      </w:r>
      <w:r>
        <w:fldChar w:fldCharType="begin"/>
      </w:r>
      <w:r>
        <w:instrText xml:space="preserve"> PAGEREF _Toc182400519 \h </w:instrText>
      </w:r>
      <w:r>
        <w:fldChar w:fldCharType="separate"/>
      </w:r>
      <w:r>
        <w:t>116</w:t>
      </w:r>
      <w:r>
        <w:fldChar w:fldCharType="end"/>
      </w:r>
    </w:p>
    <w:p>
      <w:pPr>
        <w:pStyle w:val="TOC8"/>
        <w:rPr>
          <w:rFonts w:asciiTheme="minorHAnsi" w:eastAsiaTheme="minorEastAsia" w:hAnsiTheme="minorHAnsi" w:cstheme="minorBidi"/>
          <w:szCs w:val="22"/>
        </w:rPr>
      </w:pPr>
      <w:r>
        <w:t>228.</w:t>
      </w:r>
      <w:r>
        <w:tab/>
        <w:t>Part 4 Division 1 heading deleted</w:t>
      </w:r>
      <w:r>
        <w:tab/>
      </w:r>
      <w:r>
        <w:fldChar w:fldCharType="begin"/>
      </w:r>
      <w:r>
        <w:instrText xml:space="preserve"> PAGEREF _Toc182400520 \h </w:instrText>
      </w:r>
      <w:r>
        <w:fldChar w:fldCharType="separate"/>
      </w:r>
      <w:r>
        <w:t>116</w:t>
      </w:r>
      <w:r>
        <w:fldChar w:fldCharType="end"/>
      </w:r>
    </w:p>
    <w:p>
      <w:pPr>
        <w:pStyle w:val="TOC8"/>
        <w:rPr>
          <w:rFonts w:asciiTheme="minorHAnsi" w:eastAsiaTheme="minorEastAsia" w:hAnsiTheme="minorHAnsi" w:cstheme="minorBidi"/>
          <w:szCs w:val="22"/>
        </w:rPr>
      </w:pPr>
      <w:r>
        <w:t>229.</w:t>
      </w:r>
      <w:r>
        <w:tab/>
        <w:t>Section 31 replaced</w:t>
      </w:r>
      <w:r>
        <w:tab/>
      </w:r>
      <w:r>
        <w:fldChar w:fldCharType="begin"/>
      </w:r>
      <w:r>
        <w:instrText xml:space="preserve"> PAGEREF _Toc182400521 \h </w:instrText>
      </w:r>
      <w:r>
        <w:fldChar w:fldCharType="separate"/>
      </w:r>
      <w:r>
        <w:t>116</w:t>
      </w:r>
      <w:r>
        <w:fldChar w:fldCharType="end"/>
      </w:r>
    </w:p>
    <w:p>
      <w:pPr>
        <w:pStyle w:val="TOC9"/>
        <w:rPr>
          <w:rFonts w:asciiTheme="minorHAnsi" w:eastAsiaTheme="minorEastAsia" w:hAnsiTheme="minorHAnsi" w:cstheme="minorBidi"/>
          <w:noProof/>
          <w:sz w:val="22"/>
          <w:szCs w:val="22"/>
        </w:rPr>
      </w:pPr>
      <w:r>
        <w:rPr>
          <w:noProof/>
        </w:rPr>
        <w:t>31.</w:t>
      </w:r>
      <w:r>
        <w:rPr>
          <w:noProof/>
        </w:rPr>
        <w:tab/>
        <w:t xml:space="preserve">Relationship to </w:t>
      </w:r>
      <w:r>
        <w:rPr>
          <w:i/>
          <w:noProof/>
        </w:rPr>
        <w:t>Environmental Protection Act 1986</w:t>
      </w:r>
      <w:r>
        <w:rPr>
          <w:noProof/>
        </w:rPr>
        <w:tab/>
      </w:r>
      <w:r>
        <w:rPr>
          <w:noProof/>
        </w:rPr>
        <w:fldChar w:fldCharType="begin"/>
      </w:r>
      <w:r>
        <w:rPr>
          <w:noProof/>
        </w:rPr>
        <w:instrText xml:space="preserve"> PAGEREF _Toc182400522 \h </w:instrText>
      </w:r>
      <w:r>
        <w:rPr>
          <w:noProof/>
        </w:rPr>
      </w:r>
      <w:r>
        <w:rPr>
          <w:noProof/>
        </w:rPr>
        <w:fldChar w:fldCharType="separate"/>
      </w:r>
      <w:r>
        <w:rPr>
          <w:noProof/>
        </w:rPr>
        <w:t>116</w:t>
      </w:r>
      <w:r>
        <w:rPr>
          <w:noProof/>
        </w:rPr>
        <w:fldChar w:fldCharType="end"/>
      </w:r>
    </w:p>
    <w:p>
      <w:pPr>
        <w:pStyle w:val="TOC8"/>
        <w:rPr>
          <w:rFonts w:asciiTheme="minorHAnsi" w:eastAsiaTheme="minorEastAsia" w:hAnsiTheme="minorHAnsi" w:cstheme="minorBidi"/>
          <w:szCs w:val="22"/>
        </w:rPr>
      </w:pPr>
      <w:r>
        <w:t>230.</w:t>
      </w:r>
      <w:r>
        <w:tab/>
        <w:t>Section 32 amended</w:t>
      </w:r>
      <w:r>
        <w:tab/>
      </w:r>
      <w:r>
        <w:fldChar w:fldCharType="begin"/>
      </w:r>
      <w:r>
        <w:instrText xml:space="preserve"> PAGEREF _Toc182400523 \h </w:instrText>
      </w:r>
      <w:r>
        <w:fldChar w:fldCharType="separate"/>
      </w:r>
      <w:r>
        <w:t>116</w:t>
      </w:r>
      <w:r>
        <w:fldChar w:fldCharType="end"/>
      </w:r>
    </w:p>
    <w:p>
      <w:pPr>
        <w:pStyle w:val="TOC8"/>
        <w:rPr>
          <w:rFonts w:asciiTheme="minorHAnsi" w:eastAsiaTheme="minorEastAsia" w:hAnsiTheme="minorHAnsi" w:cstheme="minorBidi"/>
          <w:szCs w:val="22"/>
        </w:rPr>
      </w:pPr>
      <w:r>
        <w:t>231.</w:t>
      </w:r>
      <w:r>
        <w:tab/>
        <w:t>Sections 33, 34A and 34 deleted</w:t>
      </w:r>
      <w:r>
        <w:tab/>
      </w:r>
      <w:r>
        <w:fldChar w:fldCharType="begin"/>
      </w:r>
      <w:r>
        <w:instrText xml:space="preserve"> PAGEREF _Toc182400524 \h </w:instrText>
      </w:r>
      <w:r>
        <w:fldChar w:fldCharType="separate"/>
      </w:r>
      <w:r>
        <w:t>117</w:t>
      </w:r>
      <w:r>
        <w:fldChar w:fldCharType="end"/>
      </w:r>
    </w:p>
    <w:p>
      <w:pPr>
        <w:pStyle w:val="TOC8"/>
        <w:rPr>
          <w:rFonts w:asciiTheme="minorHAnsi" w:eastAsiaTheme="minorEastAsia" w:hAnsiTheme="minorHAnsi" w:cstheme="minorBidi"/>
          <w:szCs w:val="22"/>
        </w:rPr>
      </w:pPr>
      <w:r>
        <w:t>232.</w:t>
      </w:r>
      <w:r>
        <w:tab/>
        <w:t>Section 35 amended</w:t>
      </w:r>
      <w:r>
        <w:tab/>
      </w:r>
      <w:r>
        <w:fldChar w:fldCharType="begin"/>
      </w:r>
      <w:r>
        <w:instrText xml:space="preserve"> PAGEREF _Toc182400525 \h </w:instrText>
      </w:r>
      <w:r>
        <w:fldChar w:fldCharType="separate"/>
      </w:r>
      <w:r>
        <w:t>117</w:t>
      </w:r>
      <w:r>
        <w:fldChar w:fldCharType="end"/>
      </w:r>
    </w:p>
    <w:p>
      <w:pPr>
        <w:pStyle w:val="TOC8"/>
        <w:rPr>
          <w:rFonts w:asciiTheme="minorHAnsi" w:eastAsiaTheme="minorEastAsia" w:hAnsiTheme="minorHAnsi" w:cstheme="minorBidi"/>
          <w:szCs w:val="22"/>
        </w:rPr>
      </w:pPr>
      <w:r>
        <w:t>233.</w:t>
      </w:r>
      <w:r>
        <w:tab/>
        <w:t>Sections 39 to 43 deleted</w:t>
      </w:r>
      <w:r>
        <w:tab/>
      </w:r>
      <w:r>
        <w:fldChar w:fldCharType="begin"/>
      </w:r>
      <w:r>
        <w:instrText xml:space="preserve"> PAGEREF _Toc182400526 \h </w:instrText>
      </w:r>
      <w:r>
        <w:fldChar w:fldCharType="separate"/>
      </w:r>
      <w:r>
        <w:t>117</w:t>
      </w:r>
      <w:r>
        <w:fldChar w:fldCharType="end"/>
      </w:r>
    </w:p>
    <w:p>
      <w:pPr>
        <w:pStyle w:val="TOC8"/>
        <w:rPr>
          <w:rFonts w:asciiTheme="minorHAnsi" w:eastAsiaTheme="minorEastAsia" w:hAnsiTheme="minorHAnsi" w:cstheme="minorBidi"/>
          <w:szCs w:val="22"/>
        </w:rPr>
      </w:pPr>
      <w:r>
        <w:t>234.</w:t>
      </w:r>
      <w:r>
        <w:tab/>
        <w:t>Section 44 amended</w:t>
      </w:r>
      <w:r>
        <w:tab/>
      </w:r>
      <w:r>
        <w:fldChar w:fldCharType="begin"/>
      </w:r>
      <w:r>
        <w:instrText xml:space="preserve"> PAGEREF _Toc182400527 \h </w:instrText>
      </w:r>
      <w:r>
        <w:fldChar w:fldCharType="separate"/>
      </w:r>
      <w:r>
        <w:t>117</w:t>
      </w:r>
      <w:r>
        <w:fldChar w:fldCharType="end"/>
      </w:r>
    </w:p>
    <w:p>
      <w:pPr>
        <w:pStyle w:val="TOC8"/>
        <w:rPr>
          <w:rFonts w:asciiTheme="minorHAnsi" w:eastAsiaTheme="minorEastAsia" w:hAnsiTheme="minorHAnsi" w:cstheme="minorBidi"/>
          <w:szCs w:val="22"/>
        </w:rPr>
      </w:pPr>
      <w:r>
        <w:t>235.</w:t>
      </w:r>
      <w:r>
        <w:tab/>
        <w:t>Part 4 Division 2 deleted</w:t>
      </w:r>
      <w:r>
        <w:tab/>
      </w:r>
      <w:r>
        <w:fldChar w:fldCharType="begin"/>
      </w:r>
      <w:r>
        <w:instrText xml:space="preserve"> PAGEREF _Toc182400528 \h </w:instrText>
      </w:r>
      <w:r>
        <w:fldChar w:fldCharType="separate"/>
      </w:r>
      <w:r>
        <w:t>117</w:t>
      </w:r>
      <w:r>
        <w:fldChar w:fldCharType="end"/>
      </w:r>
    </w:p>
    <w:p>
      <w:pPr>
        <w:pStyle w:val="TOC8"/>
        <w:rPr>
          <w:rFonts w:asciiTheme="minorHAnsi" w:eastAsiaTheme="minorEastAsia" w:hAnsiTheme="minorHAnsi" w:cstheme="minorBidi"/>
          <w:szCs w:val="22"/>
        </w:rPr>
      </w:pPr>
      <w:r>
        <w:t>236.</w:t>
      </w:r>
      <w:r>
        <w:tab/>
        <w:t>Part 5 deleted</w:t>
      </w:r>
      <w:r>
        <w:tab/>
      </w:r>
      <w:r>
        <w:fldChar w:fldCharType="begin"/>
      </w:r>
      <w:r>
        <w:instrText xml:space="preserve"> PAGEREF _Toc182400529 \h </w:instrText>
      </w:r>
      <w:r>
        <w:fldChar w:fldCharType="separate"/>
      </w:r>
      <w:r>
        <w:t>118</w:t>
      </w:r>
      <w:r>
        <w:fldChar w:fldCharType="end"/>
      </w:r>
    </w:p>
    <w:p>
      <w:pPr>
        <w:pStyle w:val="TOC8"/>
        <w:rPr>
          <w:rFonts w:asciiTheme="minorHAnsi" w:eastAsiaTheme="minorEastAsia" w:hAnsiTheme="minorHAnsi" w:cstheme="minorBidi"/>
          <w:szCs w:val="22"/>
        </w:rPr>
      </w:pPr>
      <w:r>
        <w:t>237.</w:t>
      </w:r>
      <w:r>
        <w:tab/>
        <w:t>Part 6 heading deleted</w:t>
      </w:r>
      <w:r>
        <w:tab/>
      </w:r>
      <w:r>
        <w:fldChar w:fldCharType="begin"/>
      </w:r>
      <w:r>
        <w:instrText xml:space="preserve"> PAGEREF _Toc182400530 \h </w:instrText>
      </w:r>
      <w:r>
        <w:fldChar w:fldCharType="separate"/>
      </w:r>
      <w:r>
        <w:t>118</w:t>
      </w:r>
      <w:r>
        <w:fldChar w:fldCharType="end"/>
      </w:r>
    </w:p>
    <w:p>
      <w:pPr>
        <w:pStyle w:val="TOC8"/>
        <w:rPr>
          <w:rFonts w:asciiTheme="minorHAnsi" w:eastAsiaTheme="minorEastAsia" w:hAnsiTheme="minorHAnsi" w:cstheme="minorBidi"/>
          <w:szCs w:val="22"/>
        </w:rPr>
      </w:pPr>
      <w:r>
        <w:t>238.</w:t>
      </w:r>
      <w:r>
        <w:tab/>
        <w:t>Part 6 Divisions 1 to 5 deleted</w:t>
      </w:r>
      <w:r>
        <w:tab/>
      </w:r>
      <w:r>
        <w:fldChar w:fldCharType="begin"/>
      </w:r>
      <w:r>
        <w:instrText xml:space="preserve"> PAGEREF _Toc182400531 \h </w:instrText>
      </w:r>
      <w:r>
        <w:fldChar w:fldCharType="separate"/>
      </w:r>
      <w:r>
        <w:t>118</w:t>
      </w:r>
      <w:r>
        <w:fldChar w:fldCharType="end"/>
      </w:r>
    </w:p>
    <w:p>
      <w:pPr>
        <w:pStyle w:val="TOC8"/>
        <w:rPr>
          <w:rFonts w:asciiTheme="minorHAnsi" w:eastAsiaTheme="minorEastAsia" w:hAnsiTheme="minorHAnsi" w:cstheme="minorBidi"/>
          <w:szCs w:val="22"/>
        </w:rPr>
      </w:pPr>
      <w:r>
        <w:t>239.</w:t>
      </w:r>
      <w:r>
        <w:tab/>
        <w:t>Part 6 Division 6 heading deleted</w:t>
      </w:r>
      <w:r>
        <w:tab/>
      </w:r>
      <w:r>
        <w:fldChar w:fldCharType="begin"/>
      </w:r>
      <w:r>
        <w:instrText xml:space="preserve"> PAGEREF _Toc182400532 \h </w:instrText>
      </w:r>
      <w:r>
        <w:fldChar w:fldCharType="separate"/>
      </w:r>
      <w:r>
        <w:t>118</w:t>
      </w:r>
      <w:r>
        <w:fldChar w:fldCharType="end"/>
      </w:r>
    </w:p>
    <w:p>
      <w:pPr>
        <w:pStyle w:val="TOC8"/>
        <w:rPr>
          <w:rFonts w:asciiTheme="minorHAnsi" w:eastAsiaTheme="minorEastAsia" w:hAnsiTheme="minorHAnsi" w:cstheme="minorBidi"/>
          <w:szCs w:val="22"/>
        </w:rPr>
      </w:pPr>
      <w:r>
        <w:t>240.</w:t>
      </w:r>
      <w:r>
        <w:tab/>
        <w:t>Sections 133 to 135 replaced</w:t>
      </w:r>
      <w:r>
        <w:tab/>
      </w:r>
      <w:r>
        <w:fldChar w:fldCharType="begin"/>
      </w:r>
      <w:r>
        <w:instrText xml:space="preserve"> PAGEREF _Toc182400533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133.</w:t>
      </w:r>
      <w:r>
        <w:rPr>
          <w:noProof/>
        </w:rPr>
        <w:tab/>
        <w:t>Laying documents before Parliament not sitting</w:t>
      </w:r>
      <w:r>
        <w:rPr>
          <w:noProof/>
        </w:rPr>
        <w:tab/>
      </w:r>
      <w:r>
        <w:rPr>
          <w:noProof/>
        </w:rPr>
        <w:fldChar w:fldCharType="begin"/>
      </w:r>
      <w:r>
        <w:rPr>
          <w:noProof/>
        </w:rPr>
        <w:instrText xml:space="preserve"> PAGEREF _Toc182400534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241.</w:t>
      </w:r>
      <w:r>
        <w:tab/>
        <w:t>Section 139 amended</w:t>
      </w:r>
      <w:r>
        <w:tab/>
      </w:r>
      <w:r>
        <w:fldChar w:fldCharType="begin"/>
      </w:r>
      <w:r>
        <w:instrText xml:space="preserve"> PAGEREF _Toc182400535 \h </w:instrText>
      </w:r>
      <w:r>
        <w:fldChar w:fldCharType="separate"/>
      </w:r>
      <w:r>
        <w:t>118</w:t>
      </w:r>
      <w:r>
        <w:fldChar w:fldCharType="end"/>
      </w:r>
    </w:p>
    <w:p>
      <w:pPr>
        <w:pStyle w:val="TOC8"/>
        <w:rPr>
          <w:rFonts w:asciiTheme="minorHAnsi" w:eastAsiaTheme="minorEastAsia" w:hAnsiTheme="minorHAnsi" w:cstheme="minorBidi"/>
          <w:szCs w:val="22"/>
        </w:rPr>
      </w:pPr>
      <w:r>
        <w:t>242.</w:t>
      </w:r>
      <w:r>
        <w:tab/>
        <w:t>Part 12 deleted</w:t>
      </w:r>
      <w:r>
        <w:tab/>
      </w:r>
      <w:r>
        <w:fldChar w:fldCharType="begin"/>
      </w:r>
      <w:r>
        <w:instrText xml:space="preserve"> PAGEREF _Toc182400536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243.</w:t>
      </w:r>
      <w:r>
        <w:tab/>
        <w:t>Schedules 2 to 5 deleted</w:t>
      </w:r>
      <w:r>
        <w:tab/>
      </w:r>
      <w:r>
        <w:fldChar w:fldCharType="begin"/>
      </w:r>
      <w:r>
        <w:instrText xml:space="preserve"> PAGEREF _Toc182400537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Racing and Wagering Western Australia Act 2003</w:t>
      </w:r>
      <w:r>
        <w:t xml:space="preserve"> amended</w:t>
      </w:r>
    </w:p>
    <w:p>
      <w:pPr>
        <w:pStyle w:val="TOC8"/>
        <w:rPr>
          <w:rFonts w:asciiTheme="minorHAnsi" w:eastAsiaTheme="minorEastAsia" w:hAnsiTheme="minorHAnsi" w:cstheme="minorBidi"/>
          <w:szCs w:val="22"/>
        </w:rPr>
      </w:pPr>
      <w:r>
        <w:t>244.</w:t>
      </w:r>
      <w:r>
        <w:tab/>
        <w:t>Act amended</w:t>
      </w:r>
      <w:r>
        <w:tab/>
      </w:r>
      <w:r>
        <w:fldChar w:fldCharType="begin"/>
      </w:r>
      <w:r>
        <w:instrText xml:space="preserve"> PAGEREF _Toc182400539 \h </w:instrText>
      </w:r>
      <w:r>
        <w:fldChar w:fldCharType="separate"/>
      </w:r>
      <w:r>
        <w:t>119</w:t>
      </w:r>
      <w:r>
        <w:fldChar w:fldCharType="end"/>
      </w:r>
    </w:p>
    <w:p>
      <w:pPr>
        <w:pStyle w:val="TOC8"/>
        <w:rPr>
          <w:rFonts w:asciiTheme="minorHAnsi" w:eastAsiaTheme="minorEastAsia" w:hAnsiTheme="minorHAnsi" w:cstheme="minorBidi"/>
          <w:szCs w:val="22"/>
        </w:rPr>
      </w:pPr>
      <w:r>
        <w:t>245.</w:t>
      </w:r>
      <w:r>
        <w:tab/>
        <w:t>Section 21A amended</w:t>
      </w:r>
      <w:r>
        <w:tab/>
      </w:r>
      <w:r>
        <w:fldChar w:fldCharType="begin"/>
      </w:r>
      <w:r>
        <w:instrText xml:space="preserve"> PAGEREF _Toc182400540 \h </w:instrText>
      </w:r>
      <w:r>
        <w:fldChar w:fldCharType="separate"/>
      </w:r>
      <w:r>
        <w:t>119</w:t>
      </w:r>
      <w:r>
        <w:fldChar w:fldCharType="end"/>
      </w:r>
    </w:p>
    <w:p>
      <w:pPr>
        <w:pStyle w:val="TOC8"/>
        <w:rPr>
          <w:rFonts w:asciiTheme="minorHAnsi" w:eastAsiaTheme="minorEastAsia" w:hAnsiTheme="minorHAnsi" w:cstheme="minorBidi"/>
          <w:szCs w:val="22"/>
        </w:rPr>
      </w:pPr>
      <w:r>
        <w:t>246.</w:t>
      </w:r>
      <w:r>
        <w:tab/>
        <w:t>Section 21B amended</w:t>
      </w:r>
      <w:r>
        <w:tab/>
      </w:r>
      <w:r>
        <w:fldChar w:fldCharType="begin"/>
      </w:r>
      <w:r>
        <w:instrText xml:space="preserve"> PAGEREF _Toc182400541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Salaries and Allowances Act 1975</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_Toc182400543 \h </w:instrText>
      </w:r>
      <w:r>
        <w:fldChar w:fldCharType="separate"/>
      </w:r>
      <w:r>
        <w:t>120</w:t>
      </w:r>
      <w:r>
        <w:fldChar w:fldCharType="end"/>
      </w:r>
    </w:p>
    <w:p>
      <w:pPr>
        <w:pStyle w:val="TOC8"/>
        <w:rPr>
          <w:rFonts w:asciiTheme="minorHAnsi" w:eastAsiaTheme="minorEastAsia" w:hAnsiTheme="minorHAnsi" w:cstheme="minorBidi"/>
          <w:szCs w:val="22"/>
        </w:rPr>
      </w:pPr>
      <w:r>
        <w:t>248.</w:t>
      </w:r>
      <w:r>
        <w:tab/>
        <w:t>Section 4 amended</w:t>
      </w:r>
      <w:r>
        <w:tab/>
      </w:r>
      <w:r>
        <w:fldChar w:fldCharType="begin"/>
      </w:r>
      <w:r>
        <w:instrText xml:space="preserve"> PAGEREF _Toc182400544 \h </w:instrText>
      </w:r>
      <w:r>
        <w:fldChar w:fldCharType="separate"/>
      </w:r>
      <w:r>
        <w:t>120</w:t>
      </w:r>
      <w:r>
        <w:fldChar w:fldCharType="end"/>
      </w:r>
    </w:p>
    <w:p>
      <w:pPr>
        <w:pStyle w:val="TOC8"/>
        <w:rPr>
          <w:rFonts w:asciiTheme="minorHAnsi" w:eastAsiaTheme="minorEastAsia" w:hAnsiTheme="minorHAnsi" w:cstheme="minorBidi"/>
          <w:szCs w:val="22"/>
        </w:rPr>
      </w:pPr>
      <w:r>
        <w:t>249.</w:t>
      </w:r>
      <w:r>
        <w:tab/>
        <w:t>Section 7C replaced</w:t>
      </w:r>
      <w:r>
        <w:tab/>
      </w:r>
      <w:r>
        <w:fldChar w:fldCharType="begin"/>
      </w:r>
      <w:r>
        <w:instrText xml:space="preserve"> PAGEREF _Toc182400545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7BA.</w:t>
      </w:r>
      <w:r>
        <w:rPr>
          <w:noProof/>
        </w:rPr>
        <w:tab/>
        <w:t>Term used: Government entity</w:t>
      </w:r>
      <w:r>
        <w:rPr>
          <w:noProof/>
        </w:rPr>
        <w:tab/>
      </w:r>
      <w:r>
        <w:rPr>
          <w:noProof/>
        </w:rPr>
        <w:fldChar w:fldCharType="begin"/>
      </w:r>
      <w:r>
        <w:rPr>
          <w:noProof/>
        </w:rPr>
        <w:instrText xml:space="preserve"> PAGEREF _Toc182400546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Determinations as to remuneration of executive officers of Government entities</w:t>
      </w:r>
      <w:r>
        <w:rPr>
          <w:noProof/>
        </w:rPr>
        <w:tab/>
      </w:r>
      <w:r>
        <w:rPr>
          <w:noProof/>
        </w:rPr>
        <w:fldChar w:fldCharType="begin"/>
      </w:r>
      <w:r>
        <w:rPr>
          <w:noProof/>
        </w:rPr>
        <w:instrText xml:space="preserve"> PAGEREF _Toc182400547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7D.</w:t>
      </w:r>
      <w:r>
        <w:rPr>
          <w:noProof/>
        </w:rPr>
        <w:tab/>
        <w:t>Determinations as to remuneration of directors of certain Government entities</w:t>
      </w:r>
      <w:r>
        <w:rPr>
          <w:noProof/>
        </w:rPr>
        <w:tab/>
      </w:r>
      <w:r>
        <w:rPr>
          <w:noProof/>
        </w:rPr>
        <w:fldChar w:fldCharType="begin"/>
      </w:r>
      <w:r>
        <w:rPr>
          <w:noProof/>
        </w:rPr>
        <w:instrText xml:space="preserve"> PAGEREF _Toc182400548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7E.</w:t>
      </w:r>
      <w:r>
        <w:rPr>
          <w:noProof/>
        </w:rPr>
        <w:tab/>
        <w:t>Determinations as to allowance for directors of certain GTEs: audit and risk committee members</w:t>
      </w:r>
      <w:r>
        <w:rPr>
          <w:noProof/>
        </w:rPr>
        <w:tab/>
      </w:r>
      <w:r>
        <w:rPr>
          <w:noProof/>
        </w:rPr>
        <w:fldChar w:fldCharType="begin"/>
      </w:r>
      <w:r>
        <w:rPr>
          <w:noProof/>
        </w:rPr>
        <w:instrText xml:space="preserve"> PAGEREF _Toc182400549 \h </w:instrText>
      </w:r>
      <w:r>
        <w:rPr>
          <w:noProof/>
        </w:rPr>
      </w:r>
      <w:r>
        <w:rPr>
          <w:noProof/>
        </w:rPr>
        <w:fldChar w:fldCharType="separate"/>
      </w:r>
      <w:r>
        <w:rPr>
          <w:noProof/>
        </w:rPr>
        <w:t>122</w:t>
      </w:r>
      <w:r>
        <w:rPr>
          <w:noProof/>
        </w:rPr>
        <w:fldChar w:fldCharType="end"/>
      </w:r>
    </w:p>
    <w:p>
      <w:pPr>
        <w:pStyle w:val="TOC8"/>
        <w:rPr>
          <w:rFonts w:asciiTheme="minorHAnsi" w:eastAsiaTheme="minorEastAsia" w:hAnsiTheme="minorHAnsi" w:cstheme="minorBidi"/>
          <w:szCs w:val="22"/>
        </w:rPr>
      </w:pPr>
      <w:r>
        <w:t>250.</w:t>
      </w:r>
      <w:r>
        <w:tab/>
        <w:t>Section 8 amended</w:t>
      </w:r>
      <w:r>
        <w:tab/>
      </w:r>
      <w:r>
        <w:fldChar w:fldCharType="begin"/>
      </w:r>
      <w:r>
        <w:instrText xml:space="preserve"> PAGEREF _Toc182400550 \h </w:instrText>
      </w:r>
      <w:r>
        <w:fldChar w:fldCharType="separate"/>
      </w:r>
      <w:r>
        <w:t>122</w:t>
      </w:r>
      <w:r>
        <w:fldChar w:fldCharType="end"/>
      </w:r>
    </w:p>
    <w:p>
      <w:pPr>
        <w:pStyle w:val="TOC8"/>
        <w:rPr>
          <w:rFonts w:asciiTheme="minorHAnsi" w:eastAsiaTheme="minorEastAsia" w:hAnsiTheme="minorHAnsi" w:cstheme="minorBidi"/>
          <w:szCs w:val="22"/>
        </w:rPr>
      </w:pPr>
      <w:r>
        <w:t>251.</w:t>
      </w:r>
      <w:r>
        <w:tab/>
        <w:t>Section 10 amended</w:t>
      </w:r>
      <w:r>
        <w:tab/>
      </w:r>
      <w:r>
        <w:fldChar w:fldCharType="begin"/>
      </w:r>
      <w:r>
        <w:instrText xml:space="preserve"> PAGEREF _Toc182400551 \h </w:instrText>
      </w:r>
      <w:r>
        <w:fldChar w:fldCharType="separate"/>
      </w:r>
      <w:r>
        <w:t>123</w:t>
      </w:r>
      <w:r>
        <w:fldChar w:fldCharType="end"/>
      </w:r>
    </w:p>
    <w:p>
      <w:pPr>
        <w:pStyle w:val="TOC8"/>
        <w:rPr>
          <w:rFonts w:asciiTheme="minorHAnsi" w:eastAsiaTheme="minorEastAsia" w:hAnsiTheme="minorHAnsi" w:cstheme="minorBidi"/>
          <w:szCs w:val="22"/>
        </w:rPr>
      </w:pPr>
      <w:r>
        <w:t>252.</w:t>
      </w:r>
      <w:r>
        <w:tab/>
        <w:t>Section 10A amended</w:t>
      </w:r>
      <w:r>
        <w:tab/>
      </w:r>
      <w:r>
        <w:fldChar w:fldCharType="begin"/>
      </w:r>
      <w:r>
        <w:instrText xml:space="preserve"> PAGEREF _Toc182400552 \h </w:instrText>
      </w:r>
      <w:r>
        <w:fldChar w:fldCharType="separate"/>
      </w:r>
      <w:r>
        <w:t>123</w:t>
      </w:r>
      <w:r>
        <w:fldChar w:fldCharType="end"/>
      </w:r>
    </w:p>
    <w:p>
      <w:pPr>
        <w:pStyle w:val="TOC8"/>
        <w:rPr>
          <w:rFonts w:asciiTheme="minorHAnsi" w:eastAsiaTheme="minorEastAsia" w:hAnsiTheme="minorHAnsi" w:cstheme="minorBidi"/>
          <w:szCs w:val="22"/>
        </w:rPr>
      </w:pPr>
      <w:r>
        <w:t>253.</w:t>
      </w:r>
      <w:r>
        <w:tab/>
        <w:t>Schedule 2 amended</w:t>
      </w:r>
      <w:r>
        <w:tab/>
      </w:r>
      <w:r>
        <w:fldChar w:fldCharType="begin"/>
      </w:r>
      <w:r>
        <w:instrText xml:space="preserve"> PAGEREF _Toc182400553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Statutory Corporations (Liability of Directors) Act 1996</w:t>
      </w:r>
      <w:r>
        <w:t xml:space="preserve"> amended</w:t>
      </w:r>
    </w:p>
    <w:p>
      <w:pPr>
        <w:pStyle w:val="TOC8"/>
        <w:rPr>
          <w:rFonts w:asciiTheme="minorHAnsi" w:eastAsiaTheme="minorEastAsia" w:hAnsiTheme="minorHAnsi" w:cstheme="minorBidi"/>
          <w:szCs w:val="22"/>
        </w:rPr>
      </w:pPr>
      <w:r>
        <w:t>254.</w:t>
      </w:r>
      <w:r>
        <w:tab/>
        <w:t>Act amended</w:t>
      </w:r>
      <w:r>
        <w:tab/>
      </w:r>
      <w:r>
        <w:fldChar w:fldCharType="begin"/>
      </w:r>
      <w:r>
        <w:instrText xml:space="preserve"> PAGEREF _Toc182400555 \h </w:instrText>
      </w:r>
      <w:r>
        <w:fldChar w:fldCharType="separate"/>
      </w:r>
      <w:r>
        <w:t>125</w:t>
      </w:r>
      <w:r>
        <w:fldChar w:fldCharType="end"/>
      </w:r>
    </w:p>
    <w:p>
      <w:pPr>
        <w:pStyle w:val="TOC8"/>
        <w:rPr>
          <w:rFonts w:asciiTheme="minorHAnsi" w:eastAsiaTheme="minorEastAsia" w:hAnsiTheme="minorHAnsi" w:cstheme="minorBidi"/>
          <w:szCs w:val="22"/>
        </w:rPr>
      </w:pPr>
      <w:r>
        <w:t>255.</w:t>
      </w:r>
      <w:r>
        <w:tab/>
        <w:t>Section 4 amended</w:t>
      </w:r>
      <w:r>
        <w:tab/>
      </w:r>
      <w:r>
        <w:fldChar w:fldCharType="begin"/>
      </w:r>
      <w:r>
        <w:instrText xml:space="preserve"> PAGEREF _Toc182400556 \h </w:instrText>
      </w:r>
      <w:r>
        <w:fldChar w:fldCharType="separate"/>
      </w:r>
      <w:r>
        <w:t>125</w:t>
      </w:r>
      <w:r>
        <w:fldChar w:fldCharType="end"/>
      </w:r>
    </w:p>
    <w:p>
      <w:pPr>
        <w:pStyle w:val="TOC8"/>
        <w:rPr>
          <w:rFonts w:asciiTheme="minorHAnsi" w:eastAsiaTheme="minorEastAsia" w:hAnsiTheme="minorHAnsi" w:cstheme="minorBidi"/>
          <w:szCs w:val="22"/>
        </w:rPr>
      </w:pPr>
      <w:r>
        <w:t>256.</w:t>
      </w:r>
      <w:r>
        <w:tab/>
        <w:t>Schedule 1 amended</w:t>
      </w:r>
      <w:r>
        <w:tab/>
      </w:r>
      <w:r>
        <w:fldChar w:fldCharType="begin"/>
      </w:r>
      <w:r>
        <w:instrText xml:space="preserve"> PAGEREF _Toc182400557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Water Corporations Act 1995</w:t>
      </w:r>
      <w:r>
        <w:t xml:space="preserve"> amended</w:t>
      </w:r>
    </w:p>
    <w:p>
      <w:pPr>
        <w:pStyle w:val="TOC8"/>
        <w:rPr>
          <w:rFonts w:asciiTheme="minorHAnsi" w:eastAsiaTheme="minorEastAsia" w:hAnsiTheme="minorHAnsi" w:cstheme="minorBidi"/>
          <w:szCs w:val="22"/>
        </w:rPr>
      </w:pPr>
      <w:r>
        <w:t>257.</w:t>
      </w:r>
      <w:r>
        <w:tab/>
        <w:t>Act amended</w:t>
      </w:r>
      <w:r>
        <w:tab/>
      </w:r>
      <w:r>
        <w:fldChar w:fldCharType="begin"/>
      </w:r>
      <w:r>
        <w:instrText xml:space="preserve"> PAGEREF _Toc182400559 \h </w:instrText>
      </w:r>
      <w:r>
        <w:fldChar w:fldCharType="separate"/>
      </w:r>
      <w:r>
        <w:t>126</w:t>
      </w:r>
      <w:r>
        <w:fldChar w:fldCharType="end"/>
      </w:r>
    </w:p>
    <w:p>
      <w:pPr>
        <w:pStyle w:val="TOC8"/>
        <w:rPr>
          <w:rFonts w:asciiTheme="minorHAnsi" w:eastAsiaTheme="minorEastAsia" w:hAnsiTheme="minorHAnsi" w:cstheme="minorBidi"/>
          <w:szCs w:val="22"/>
        </w:rPr>
      </w:pPr>
      <w:r>
        <w:t>258.</w:t>
      </w:r>
      <w:r>
        <w:tab/>
        <w:t>Section 3 amended</w:t>
      </w:r>
      <w:r>
        <w:tab/>
      </w:r>
      <w:r>
        <w:fldChar w:fldCharType="begin"/>
      </w:r>
      <w:r>
        <w:instrText xml:space="preserve"> PAGEREF _Toc182400560 \h </w:instrText>
      </w:r>
      <w:r>
        <w:fldChar w:fldCharType="separate"/>
      </w:r>
      <w:r>
        <w:t>126</w:t>
      </w:r>
      <w:r>
        <w:fldChar w:fldCharType="end"/>
      </w:r>
    </w:p>
    <w:p>
      <w:pPr>
        <w:pStyle w:val="TOC8"/>
        <w:rPr>
          <w:rFonts w:asciiTheme="minorHAnsi" w:eastAsiaTheme="minorEastAsia" w:hAnsiTheme="minorHAnsi" w:cstheme="minorBidi"/>
          <w:szCs w:val="22"/>
        </w:rPr>
      </w:pPr>
      <w:r>
        <w:t>259.</w:t>
      </w:r>
      <w:r>
        <w:tab/>
        <w:t>Section 3A inserted</w:t>
      </w:r>
      <w:r>
        <w:tab/>
      </w:r>
      <w:r>
        <w:fldChar w:fldCharType="begin"/>
      </w:r>
      <w:r>
        <w:instrText xml:space="preserve"> PAGEREF _Toc182400561 \h </w:instrText>
      </w:r>
      <w:r>
        <w:fldChar w:fldCharType="separate"/>
      </w:r>
      <w:r>
        <w:t>127</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_Toc182400562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260.</w:t>
      </w:r>
      <w:r>
        <w:tab/>
        <w:t>Section 7A amended</w:t>
      </w:r>
      <w:r>
        <w:tab/>
      </w:r>
      <w:r>
        <w:fldChar w:fldCharType="begin"/>
      </w:r>
      <w:r>
        <w:instrText xml:space="preserve"> PAGEREF _Toc182400563 \h </w:instrText>
      </w:r>
      <w:r>
        <w:fldChar w:fldCharType="separate"/>
      </w:r>
      <w:r>
        <w:t>127</w:t>
      </w:r>
      <w:r>
        <w:fldChar w:fldCharType="end"/>
      </w:r>
    </w:p>
    <w:p>
      <w:pPr>
        <w:pStyle w:val="TOC8"/>
        <w:rPr>
          <w:rFonts w:asciiTheme="minorHAnsi" w:eastAsiaTheme="minorEastAsia" w:hAnsiTheme="minorHAnsi" w:cstheme="minorBidi"/>
          <w:szCs w:val="22"/>
        </w:rPr>
      </w:pPr>
      <w:r>
        <w:t>261.</w:t>
      </w:r>
      <w:r>
        <w:tab/>
        <w:t>Part 2 Division 2 replaced</w:t>
      </w:r>
      <w:r>
        <w:tab/>
      </w:r>
      <w:r>
        <w:fldChar w:fldCharType="begin"/>
      </w:r>
      <w:r>
        <w:instrText xml:space="preserve"> PAGEREF _Toc182400564 \h </w:instrText>
      </w:r>
      <w:r>
        <w:fldChar w:fldCharType="separate"/>
      </w:r>
      <w:r>
        <w:t>127</w:t>
      </w:r>
      <w:r>
        <w:fldChar w:fldCharType="end"/>
      </w:r>
    </w:p>
    <w:p>
      <w:pPr>
        <w:pStyle w:val="TOC5"/>
        <w:tabs>
          <w:tab w:val="right" w:leader="dot" w:pos="7077"/>
        </w:tabs>
        <w:rPr>
          <w:rFonts w:asciiTheme="minorHAnsi" w:eastAsiaTheme="minorEastAsia" w:hAnsiTheme="minorHAnsi" w:cstheme="minorBidi"/>
          <w:b w:val="0"/>
          <w:sz w:val="22"/>
          <w:szCs w:val="22"/>
        </w:rPr>
      </w:pPr>
      <w:r>
        <w:t>Division 2 — Regional water corporation board members</w:t>
      </w:r>
    </w:p>
    <w:p>
      <w:pPr>
        <w:pStyle w:val="TOC9"/>
        <w:rPr>
          <w:rFonts w:asciiTheme="minorHAnsi" w:eastAsiaTheme="minorEastAsia" w:hAnsiTheme="minorHAnsi" w:cstheme="minorBidi"/>
          <w:noProof/>
          <w:sz w:val="22"/>
          <w:szCs w:val="22"/>
        </w:rPr>
      </w:pPr>
      <w:r>
        <w:rPr>
          <w:noProof/>
        </w:rPr>
        <w:t>7.</w:t>
      </w:r>
      <w:r>
        <w:rPr>
          <w:noProof/>
        </w:rPr>
        <w:tab/>
        <w:t>Appointing board member: special provision for regional water corporations</w:t>
      </w:r>
      <w:r>
        <w:rPr>
          <w:noProof/>
        </w:rPr>
        <w:tab/>
      </w:r>
      <w:r>
        <w:rPr>
          <w:noProof/>
        </w:rPr>
        <w:fldChar w:fldCharType="begin"/>
      </w:r>
      <w:r>
        <w:rPr>
          <w:noProof/>
        </w:rPr>
        <w:instrText xml:space="preserve"> PAGEREF _Toc182400566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262.</w:t>
      </w:r>
      <w:r>
        <w:tab/>
        <w:t>Sections 13, 14A, 14B and 14 deleted</w:t>
      </w:r>
      <w:r>
        <w:tab/>
      </w:r>
      <w:r>
        <w:fldChar w:fldCharType="begin"/>
      </w:r>
      <w:r>
        <w:instrText xml:space="preserve"> PAGEREF _Toc182400567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263.</w:t>
      </w:r>
      <w:r>
        <w:tab/>
        <w:t>Section 16 amended</w:t>
      </w:r>
      <w:r>
        <w:tab/>
      </w:r>
      <w:r>
        <w:fldChar w:fldCharType="begin"/>
      </w:r>
      <w:r>
        <w:instrText xml:space="preserve"> PAGEREF _Toc182400568 \h </w:instrText>
      </w:r>
      <w:r>
        <w:fldChar w:fldCharType="separate"/>
      </w:r>
      <w:r>
        <w:t>128</w:t>
      </w:r>
      <w:r>
        <w:fldChar w:fldCharType="end"/>
      </w:r>
    </w:p>
    <w:p>
      <w:pPr>
        <w:pStyle w:val="TOC8"/>
        <w:rPr>
          <w:rFonts w:asciiTheme="minorHAnsi" w:eastAsiaTheme="minorEastAsia" w:hAnsiTheme="minorHAnsi" w:cstheme="minorBidi"/>
          <w:szCs w:val="22"/>
        </w:rPr>
      </w:pPr>
      <w:r>
        <w:t>264.</w:t>
      </w:r>
      <w:r>
        <w:tab/>
        <w:t>Section 18 deleted</w:t>
      </w:r>
      <w:r>
        <w:tab/>
      </w:r>
      <w:r>
        <w:fldChar w:fldCharType="begin"/>
      </w:r>
      <w:r>
        <w:instrText xml:space="preserve"> PAGEREF _Toc182400569 \h </w:instrText>
      </w:r>
      <w:r>
        <w:fldChar w:fldCharType="separate"/>
      </w:r>
      <w:r>
        <w:t>128</w:t>
      </w:r>
      <w:r>
        <w:fldChar w:fldCharType="end"/>
      </w:r>
    </w:p>
    <w:p>
      <w:pPr>
        <w:pStyle w:val="TOC8"/>
        <w:rPr>
          <w:rFonts w:asciiTheme="minorHAnsi" w:eastAsiaTheme="minorEastAsia" w:hAnsiTheme="minorHAnsi" w:cstheme="minorBidi"/>
          <w:szCs w:val="22"/>
        </w:rPr>
      </w:pPr>
      <w:r>
        <w:t>265.</w:t>
      </w:r>
      <w:r>
        <w:tab/>
        <w:t>Part 2 Division 4 heading replaced</w:t>
      </w:r>
      <w:r>
        <w:tab/>
      </w:r>
      <w:r>
        <w:fldChar w:fldCharType="begin"/>
      </w:r>
      <w:r>
        <w:instrText xml:space="preserve"> PAGEREF _Toc182400570 \h </w:instrText>
      </w:r>
      <w:r>
        <w:fldChar w:fldCharType="separate"/>
      </w:r>
      <w:r>
        <w:t>128</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266.</w:t>
      </w:r>
      <w:r>
        <w:tab/>
        <w:t>Sections 20 to 23 deleted</w:t>
      </w:r>
      <w:r>
        <w:tab/>
      </w:r>
      <w:r>
        <w:fldChar w:fldCharType="begin"/>
      </w:r>
      <w:r>
        <w:instrText xml:space="preserve"> PAGEREF _Toc182400572 \h </w:instrText>
      </w:r>
      <w:r>
        <w:fldChar w:fldCharType="separate"/>
      </w:r>
      <w:r>
        <w:t>128</w:t>
      </w:r>
      <w:r>
        <w:fldChar w:fldCharType="end"/>
      </w:r>
    </w:p>
    <w:p>
      <w:pPr>
        <w:pStyle w:val="TOC8"/>
        <w:rPr>
          <w:rFonts w:asciiTheme="minorHAnsi" w:eastAsiaTheme="minorEastAsia" w:hAnsiTheme="minorHAnsi" w:cstheme="minorBidi"/>
          <w:szCs w:val="22"/>
        </w:rPr>
      </w:pPr>
      <w:r>
        <w:t>267.</w:t>
      </w:r>
      <w:r>
        <w:tab/>
        <w:t>Section 26 amended</w:t>
      </w:r>
      <w:r>
        <w:tab/>
      </w:r>
      <w:r>
        <w:fldChar w:fldCharType="begin"/>
      </w:r>
      <w:r>
        <w:instrText xml:space="preserve"> PAGEREF _Toc182400573 \h </w:instrText>
      </w:r>
      <w:r>
        <w:fldChar w:fldCharType="separate"/>
      </w:r>
      <w:r>
        <w:t>129</w:t>
      </w:r>
      <w:r>
        <w:fldChar w:fldCharType="end"/>
      </w:r>
    </w:p>
    <w:p>
      <w:pPr>
        <w:pStyle w:val="TOC8"/>
        <w:rPr>
          <w:rFonts w:asciiTheme="minorHAnsi" w:eastAsiaTheme="minorEastAsia" w:hAnsiTheme="minorHAnsi" w:cstheme="minorBidi"/>
          <w:szCs w:val="22"/>
        </w:rPr>
      </w:pPr>
      <w:r>
        <w:t>268.</w:t>
      </w:r>
      <w:r>
        <w:tab/>
        <w:t>Sections 28A and 28 deleted</w:t>
      </w:r>
      <w:r>
        <w:tab/>
      </w:r>
      <w:r>
        <w:fldChar w:fldCharType="begin"/>
      </w:r>
      <w:r>
        <w:instrText xml:space="preserve"> PAGEREF _Toc182400574 \h </w:instrText>
      </w:r>
      <w:r>
        <w:fldChar w:fldCharType="separate"/>
      </w:r>
      <w:r>
        <w:t>129</w:t>
      </w:r>
      <w:r>
        <w:fldChar w:fldCharType="end"/>
      </w:r>
    </w:p>
    <w:p>
      <w:pPr>
        <w:pStyle w:val="TOC8"/>
        <w:rPr>
          <w:rFonts w:asciiTheme="minorHAnsi" w:eastAsiaTheme="minorEastAsia" w:hAnsiTheme="minorHAnsi" w:cstheme="minorBidi"/>
          <w:szCs w:val="22"/>
        </w:rPr>
      </w:pPr>
      <w:r>
        <w:t>269.</w:t>
      </w:r>
      <w:r>
        <w:tab/>
        <w:t>Section 29 amended</w:t>
      </w:r>
      <w:r>
        <w:tab/>
      </w:r>
      <w:r>
        <w:fldChar w:fldCharType="begin"/>
      </w:r>
      <w:r>
        <w:instrText xml:space="preserve"> PAGEREF _Toc182400575 \h </w:instrText>
      </w:r>
      <w:r>
        <w:fldChar w:fldCharType="separate"/>
      </w:r>
      <w:r>
        <w:t>129</w:t>
      </w:r>
      <w:r>
        <w:fldChar w:fldCharType="end"/>
      </w:r>
    </w:p>
    <w:p>
      <w:pPr>
        <w:pStyle w:val="TOC8"/>
        <w:rPr>
          <w:rFonts w:asciiTheme="minorHAnsi" w:eastAsiaTheme="minorEastAsia" w:hAnsiTheme="minorHAnsi" w:cstheme="minorBidi"/>
          <w:szCs w:val="22"/>
        </w:rPr>
      </w:pPr>
      <w:r>
        <w:t>270.</w:t>
      </w:r>
      <w:r>
        <w:tab/>
        <w:t>Sections 30 to 34 deleted</w:t>
      </w:r>
      <w:r>
        <w:tab/>
      </w:r>
      <w:r>
        <w:fldChar w:fldCharType="begin"/>
      </w:r>
      <w:r>
        <w:instrText xml:space="preserve"> PAGEREF _Toc182400576 \h </w:instrText>
      </w:r>
      <w:r>
        <w:fldChar w:fldCharType="separate"/>
      </w:r>
      <w:r>
        <w:t>129</w:t>
      </w:r>
      <w:r>
        <w:fldChar w:fldCharType="end"/>
      </w:r>
    </w:p>
    <w:p>
      <w:pPr>
        <w:pStyle w:val="TOC8"/>
        <w:rPr>
          <w:rFonts w:asciiTheme="minorHAnsi" w:eastAsiaTheme="minorEastAsia" w:hAnsiTheme="minorHAnsi" w:cstheme="minorBidi"/>
          <w:szCs w:val="22"/>
        </w:rPr>
      </w:pPr>
      <w:r>
        <w:t>271.</w:t>
      </w:r>
      <w:r>
        <w:tab/>
        <w:t>Section 35 amended</w:t>
      </w:r>
      <w:r>
        <w:tab/>
      </w:r>
      <w:r>
        <w:fldChar w:fldCharType="begin"/>
      </w:r>
      <w:r>
        <w:instrText xml:space="preserve"> PAGEREF _Toc182400577 \h </w:instrText>
      </w:r>
      <w:r>
        <w:fldChar w:fldCharType="separate"/>
      </w:r>
      <w:r>
        <w:t>129</w:t>
      </w:r>
      <w:r>
        <w:fldChar w:fldCharType="end"/>
      </w:r>
    </w:p>
    <w:p>
      <w:pPr>
        <w:pStyle w:val="TOC8"/>
        <w:rPr>
          <w:rFonts w:asciiTheme="minorHAnsi" w:eastAsiaTheme="minorEastAsia" w:hAnsiTheme="minorHAnsi" w:cstheme="minorBidi"/>
          <w:szCs w:val="22"/>
        </w:rPr>
      </w:pPr>
      <w:r>
        <w:t>272.</w:t>
      </w:r>
      <w:r>
        <w:tab/>
        <w:t>Part 3 Division 3 deleted</w:t>
      </w:r>
      <w:r>
        <w:tab/>
      </w:r>
      <w:r>
        <w:fldChar w:fldCharType="begin"/>
      </w:r>
      <w:r>
        <w:instrText xml:space="preserve"> PAGEREF _Toc182400578 \h </w:instrText>
      </w:r>
      <w:r>
        <w:fldChar w:fldCharType="separate"/>
      </w:r>
      <w:r>
        <w:t>130</w:t>
      </w:r>
      <w:r>
        <w:fldChar w:fldCharType="end"/>
      </w:r>
    </w:p>
    <w:p>
      <w:pPr>
        <w:pStyle w:val="TOC8"/>
        <w:rPr>
          <w:rFonts w:asciiTheme="minorHAnsi" w:eastAsiaTheme="minorEastAsia" w:hAnsiTheme="minorHAnsi" w:cstheme="minorBidi"/>
          <w:szCs w:val="22"/>
        </w:rPr>
      </w:pPr>
      <w:r>
        <w:t>273.</w:t>
      </w:r>
      <w:r>
        <w:tab/>
        <w:t>Parts 4 and 5 deleted</w:t>
      </w:r>
      <w:r>
        <w:tab/>
      </w:r>
      <w:r>
        <w:fldChar w:fldCharType="begin"/>
      </w:r>
      <w:r>
        <w:instrText xml:space="preserve"> PAGEREF _Toc182400579 \h </w:instrText>
      </w:r>
      <w:r>
        <w:fldChar w:fldCharType="separate"/>
      </w:r>
      <w:r>
        <w:t>130</w:t>
      </w:r>
      <w:r>
        <w:fldChar w:fldCharType="end"/>
      </w:r>
    </w:p>
    <w:p>
      <w:pPr>
        <w:pStyle w:val="TOC8"/>
        <w:rPr>
          <w:rFonts w:asciiTheme="minorHAnsi" w:eastAsiaTheme="minorEastAsia" w:hAnsiTheme="minorHAnsi" w:cstheme="minorBidi"/>
          <w:szCs w:val="22"/>
        </w:rPr>
      </w:pPr>
      <w:r>
        <w:t>274.</w:t>
      </w:r>
      <w:r>
        <w:tab/>
        <w:t>Sections 87 to 89 replaced</w:t>
      </w:r>
      <w:r>
        <w:tab/>
      </w:r>
      <w:r>
        <w:fldChar w:fldCharType="begin"/>
      </w:r>
      <w:r>
        <w:instrText xml:space="preserve"> PAGEREF _Toc182400580 \h </w:instrText>
      </w:r>
      <w:r>
        <w:fldChar w:fldCharType="separate"/>
      </w:r>
      <w:r>
        <w:t>130</w:t>
      </w:r>
      <w:r>
        <w:fldChar w:fldCharType="end"/>
      </w:r>
    </w:p>
    <w:p>
      <w:pPr>
        <w:pStyle w:val="TOC9"/>
        <w:rPr>
          <w:rFonts w:asciiTheme="minorHAnsi" w:eastAsiaTheme="minorEastAsia" w:hAnsiTheme="minorHAnsi" w:cstheme="minorBidi"/>
          <w:noProof/>
          <w:sz w:val="22"/>
          <w:szCs w:val="22"/>
        </w:rPr>
      </w:pPr>
      <w:r>
        <w:rPr>
          <w:noProof/>
        </w:rPr>
        <w:t>87.</w:t>
      </w:r>
      <w:r>
        <w:rPr>
          <w:noProof/>
        </w:rPr>
        <w:tab/>
        <w:t>Laying documents before Parliament not sitting</w:t>
      </w:r>
      <w:r>
        <w:rPr>
          <w:noProof/>
        </w:rPr>
        <w:tab/>
      </w:r>
      <w:r>
        <w:rPr>
          <w:noProof/>
        </w:rPr>
        <w:fldChar w:fldCharType="begin"/>
      </w:r>
      <w:r>
        <w:rPr>
          <w:noProof/>
        </w:rPr>
        <w:instrText xml:space="preserve"> PAGEREF _Toc182400581 \h </w:instrText>
      </w:r>
      <w:r>
        <w:rPr>
          <w:noProof/>
        </w:rPr>
      </w:r>
      <w:r>
        <w:rPr>
          <w:noProof/>
        </w:rPr>
        <w:fldChar w:fldCharType="separate"/>
      </w:r>
      <w:r>
        <w:rPr>
          <w:noProof/>
        </w:rPr>
        <w:t>130</w:t>
      </w:r>
      <w:r>
        <w:rPr>
          <w:noProof/>
        </w:rPr>
        <w:fldChar w:fldCharType="end"/>
      </w:r>
    </w:p>
    <w:p>
      <w:pPr>
        <w:pStyle w:val="TOC8"/>
        <w:rPr>
          <w:rFonts w:asciiTheme="minorHAnsi" w:eastAsiaTheme="minorEastAsia" w:hAnsiTheme="minorHAnsi" w:cstheme="minorBidi"/>
          <w:szCs w:val="22"/>
        </w:rPr>
      </w:pPr>
      <w:r>
        <w:t>275.</w:t>
      </w:r>
      <w:r>
        <w:tab/>
        <w:t>Section 91 amended</w:t>
      </w:r>
      <w:r>
        <w:tab/>
      </w:r>
      <w:r>
        <w:fldChar w:fldCharType="begin"/>
      </w:r>
      <w:r>
        <w:instrText xml:space="preserve"> PAGEREF _Toc182400582 \h </w:instrText>
      </w:r>
      <w:r>
        <w:fldChar w:fldCharType="separate"/>
      </w:r>
      <w:r>
        <w:t>130</w:t>
      </w:r>
      <w:r>
        <w:fldChar w:fldCharType="end"/>
      </w:r>
    </w:p>
    <w:p>
      <w:pPr>
        <w:pStyle w:val="TOC8"/>
        <w:rPr>
          <w:rFonts w:asciiTheme="minorHAnsi" w:eastAsiaTheme="minorEastAsia" w:hAnsiTheme="minorHAnsi" w:cstheme="minorBidi"/>
          <w:szCs w:val="22"/>
        </w:rPr>
      </w:pPr>
      <w:r>
        <w:t>276.</w:t>
      </w:r>
      <w:r>
        <w:tab/>
        <w:t>Schedules 1 to 4 deleted</w:t>
      </w:r>
      <w:r>
        <w:tab/>
      </w:r>
      <w:r>
        <w:fldChar w:fldCharType="begin"/>
      </w:r>
      <w:r>
        <w:instrText xml:space="preserve"> PAGEREF _Toc182400583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Land Authority Act 1992</w:t>
      </w:r>
      <w:r>
        <w:t xml:space="preserve"> amended</w:t>
      </w:r>
    </w:p>
    <w:p>
      <w:pPr>
        <w:pStyle w:val="TOC8"/>
        <w:rPr>
          <w:rFonts w:asciiTheme="minorHAnsi" w:eastAsiaTheme="minorEastAsia" w:hAnsiTheme="minorHAnsi" w:cstheme="minorBidi"/>
          <w:szCs w:val="22"/>
        </w:rPr>
      </w:pPr>
      <w:r>
        <w:t>277.</w:t>
      </w:r>
      <w:r>
        <w:tab/>
        <w:t>Act amended</w:t>
      </w:r>
      <w:r>
        <w:tab/>
      </w:r>
      <w:r>
        <w:fldChar w:fldCharType="begin"/>
      </w:r>
      <w:r>
        <w:instrText xml:space="preserve"> PAGEREF _Toc182400585 \h </w:instrText>
      </w:r>
      <w:r>
        <w:fldChar w:fldCharType="separate"/>
      </w:r>
      <w:r>
        <w:t>131</w:t>
      </w:r>
      <w:r>
        <w:fldChar w:fldCharType="end"/>
      </w:r>
    </w:p>
    <w:p>
      <w:pPr>
        <w:pStyle w:val="TOC8"/>
        <w:rPr>
          <w:rFonts w:asciiTheme="minorHAnsi" w:eastAsiaTheme="minorEastAsia" w:hAnsiTheme="minorHAnsi" w:cstheme="minorBidi"/>
          <w:szCs w:val="22"/>
        </w:rPr>
      </w:pPr>
      <w:r>
        <w:t>278.</w:t>
      </w:r>
      <w:r>
        <w:tab/>
        <w:t>Section 4 amended</w:t>
      </w:r>
      <w:r>
        <w:tab/>
      </w:r>
      <w:r>
        <w:fldChar w:fldCharType="begin"/>
      </w:r>
      <w:r>
        <w:instrText xml:space="preserve"> PAGEREF _Toc182400586 \h </w:instrText>
      </w:r>
      <w:r>
        <w:fldChar w:fldCharType="separate"/>
      </w:r>
      <w:r>
        <w:t>131</w:t>
      </w:r>
      <w:r>
        <w:fldChar w:fldCharType="end"/>
      </w:r>
    </w:p>
    <w:p>
      <w:pPr>
        <w:pStyle w:val="TOC8"/>
        <w:rPr>
          <w:rFonts w:asciiTheme="minorHAnsi" w:eastAsiaTheme="minorEastAsia" w:hAnsiTheme="minorHAnsi" w:cstheme="minorBidi"/>
          <w:szCs w:val="22"/>
        </w:rPr>
      </w:pPr>
      <w:r>
        <w:t>279.</w:t>
      </w:r>
      <w:r>
        <w:tab/>
        <w:t>Section 4A inserted</w:t>
      </w:r>
      <w:r>
        <w:tab/>
      </w:r>
      <w:r>
        <w:fldChar w:fldCharType="begin"/>
      </w:r>
      <w:r>
        <w:instrText xml:space="preserve"> PAGEREF _Toc182400587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4A.</w:t>
      </w:r>
      <w:r>
        <w:rPr>
          <w:noProof/>
        </w:rPr>
        <w:tab/>
        <w:t>Relationship to GTE Act</w:t>
      </w:r>
      <w:r>
        <w:rPr>
          <w:noProof/>
        </w:rPr>
        <w:tab/>
      </w:r>
      <w:r>
        <w:rPr>
          <w:noProof/>
        </w:rPr>
        <w:fldChar w:fldCharType="begin"/>
      </w:r>
      <w:r>
        <w:rPr>
          <w:noProof/>
        </w:rPr>
        <w:instrText xml:space="preserve"> PAGEREF _Toc182400588 \h </w:instrText>
      </w:r>
      <w:r>
        <w:rPr>
          <w:noProof/>
        </w:rPr>
      </w:r>
      <w:r>
        <w:rPr>
          <w:noProof/>
        </w:rPr>
        <w:fldChar w:fldCharType="separate"/>
      </w:r>
      <w:r>
        <w:rPr>
          <w:noProof/>
        </w:rPr>
        <w:t>132</w:t>
      </w:r>
      <w:r>
        <w:rPr>
          <w:noProof/>
        </w:rPr>
        <w:fldChar w:fldCharType="end"/>
      </w:r>
    </w:p>
    <w:p>
      <w:pPr>
        <w:pStyle w:val="TOC8"/>
        <w:rPr>
          <w:rFonts w:asciiTheme="minorHAnsi" w:eastAsiaTheme="minorEastAsia" w:hAnsiTheme="minorHAnsi" w:cstheme="minorBidi"/>
          <w:szCs w:val="22"/>
        </w:rPr>
      </w:pPr>
      <w:r>
        <w:t>280.</w:t>
      </w:r>
      <w:r>
        <w:tab/>
        <w:t>Sections 6 to 8B deleted</w:t>
      </w:r>
      <w:r>
        <w:tab/>
      </w:r>
      <w:r>
        <w:fldChar w:fldCharType="begin"/>
      </w:r>
      <w:r>
        <w:instrText xml:space="preserve"> PAGEREF _Toc182400589 \h </w:instrText>
      </w:r>
      <w:r>
        <w:fldChar w:fldCharType="separate"/>
      </w:r>
      <w:r>
        <w:t>132</w:t>
      </w:r>
      <w:r>
        <w:fldChar w:fldCharType="end"/>
      </w:r>
    </w:p>
    <w:p>
      <w:pPr>
        <w:pStyle w:val="TOC8"/>
        <w:rPr>
          <w:rFonts w:asciiTheme="minorHAnsi" w:eastAsiaTheme="minorEastAsia" w:hAnsiTheme="minorHAnsi" w:cstheme="minorBidi"/>
          <w:szCs w:val="22"/>
        </w:rPr>
      </w:pPr>
      <w:r>
        <w:t>281.</w:t>
      </w:r>
      <w:r>
        <w:tab/>
        <w:t>Sections 10, 11A and 11B deleted</w:t>
      </w:r>
      <w:r>
        <w:tab/>
      </w:r>
      <w:r>
        <w:fldChar w:fldCharType="begin"/>
      </w:r>
      <w:r>
        <w:instrText xml:space="preserve"> PAGEREF _Toc182400590 \h </w:instrText>
      </w:r>
      <w:r>
        <w:fldChar w:fldCharType="separate"/>
      </w:r>
      <w:r>
        <w:t>132</w:t>
      </w:r>
      <w:r>
        <w:fldChar w:fldCharType="end"/>
      </w:r>
    </w:p>
    <w:p>
      <w:pPr>
        <w:pStyle w:val="TOC8"/>
        <w:rPr>
          <w:rFonts w:asciiTheme="minorHAnsi" w:eastAsiaTheme="minorEastAsia" w:hAnsiTheme="minorHAnsi" w:cstheme="minorBidi"/>
          <w:szCs w:val="22"/>
        </w:rPr>
      </w:pPr>
      <w:r>
        <w:t>282.</w:t>
      </w:r>
      <w:r>
        <w:tab/>
        <w:t>Section 12 amended</w:t>
      </w:r>
      <w:r>
        <w:tab/>
      </w:r>
      <w:r>
        <w:fldChar w:fldCharType="begin"/>
      </w:r>
      <w:r>
        <w:instrText xml:space="preserve"> PAGEREF _Toc182400591 \h </w:instrText>
      </w:r>
      <w:r>
        <w:fldChar w:fldCharType="separate"/>
      </w:r>
      <w:r>
        <w:t>133</w:t>
      </w:r>
      <w:r>
        <w:fldChar w:fldCharType="end"/>
      </w:r>
    </w:p>
    <w:p>
      <w:pPr>
        <w:pStyle w:val="TOC8"/>
        <w:rPr>
          <w:rFonts w:asciiTheme="minorHAnsi" w:eastAsiaTheme="minorEastAsia" w:hAnsiTheme="minorHAnsi" w:cstheme="minorBidi"/>
          <w:szCs w:val="22"/>
        </w:rPr>
      </w:pPr>
      <w:r>
        <w:t>283.</w:t>
      </w:r>
      <w:r>
        <w:tab/>
        <w:t>Section 14 amended</w:t>
      </w:r>
      <w:r>
        <w:tab/>
      </w:r>
      <w:r>
        <w:fldChar w:fldCharType="begin"/>
      </w:r>
      <w:r>
        <w:instrText xml:space="preserve"> PAGEREF _Toc182400592 \h </w:instrText>
      </w:r>
      <w:r>
        <w:fldChar w:fldCharType="separate"/>
      </w:r>
      <w:r>
        <w:t>133</w:t>
      </w:r>
      <w:r>
        <w:fldChar w:fldCharType="end"/>
      </w:r>
    </w:p>
    <w:p>
      <w:pPr>
        <w:pStyle w:val="TOC8"/>
        <w:rPr>
          <w:rFonts w:asciiTheme="minorHAnsi" w:eastAsiaTheme="minorEastAsia" w:hAnsiTheme="minorHAnsi" w:cstheme="minorBidi"/>
          <w:szCs w:val="22"/>
        </w:rPr>
      </w:pPr>
      <w:r>
        <w:t>284.</w:t>
      </w:r>
      <w:r>
        <w:tab/>
        <w:t>Section 14A deleted</w:t>
      </w:r>
      <w:r>
        <w:tab/>
      </w:r>
      <w:r>
        <w:fldChar w:fldCharType="begin"/>
      </w:r>
      <w:r>
        <w:instrText xml:space="preserve"> PAGEREF _Toc182400593 \h </w:instrText>
      </w:r>
      <w:r>
        <w:fldChar w:fldCharType="separate"/>
      </w:r>
      <w:r>
        <w:t>133</w:t>
      </w:r>
      <w:r>
        <w:fldChar w:fldCharType="end"/>
      </w:r>
    </w:p>
    <w:p>
      <w:pPr>
        <w:pStyle w:val="TOC8"/>
        <w:rPr>
          <w:rFonts w:asciiTheme="minorHAnsi" w:eastAsiaTheme="minorEastAsia" w:hAnsiTheme="minorHAnsi" w:cstheme="minorBidi"/>
          <w:szCs w:val="22"/>
        </w:rPr>
      </w:pPr>
      <w:r>
        <w:t>285.</w:t>
      </w:r>
      <w:r>
        <w:tab/>
        <w:t>Section 14D amended</w:t>
      </w:r>
      <w:r>
        <w:tab/>
      </w:r>
      <w:r>
        <w:fldChar w:fldCharType="begin"/>
      </w:r>
      <w:r>
        <w:instrText xml:space="preserve"> PAGEREF _Toc182400594 \h </w:instrText>
      </w:r>
      <w:r>
        <w:fldChar w:fldCharType="separate"/>
      </w:r>
      <w:r>
        <w:t>133</w:t>
      </w:r>
      <w:r>
        <w:fldChar w:fldCharType="end"/>
      </w:r>
    </w:p>
    <w:p>
      <w:pPr>
        <w:pStyle w:val="TOC8"/>
        <w:rPr>
          <w:rFonts w:asciiTheme="minorHAnsi" w:eastAsiaTheme="minorEastAsia" w:hAnsiTheme="minorHAnsi" w:cstheme="minorBidi"/>
          <w:szCs w:val="22"/>
        </w:rPr>
      </w:pPr>
      <w:r>
        <w:t>286.</w:t>
      </w:r>
      <w:r>
        <w:tab/>
        <w:t>Section 16A deleted</w:t>
      </w:r>
      <w:r>
        <w:tab/>
      </w:r>
      <w:r>
        <w:fldChar w:fldCharType="begin"/>
      </w:r>
      <w:r>
        <w:instrText xml:space="preserve"> PAGEREF _Toc182400595 \h </w:instrText>
      </w:r>
      <w:r>
        <w:fldChar w:fldCharType="separate"/>
      </w:r>
      <w:r>
        <w:t>133</w:t>
      </w:r>
      <w:r>
        <w:fldChar w:fldCharType="end"/>
      </w:r>
    </w:p>
    <w:p>
      <w:pPr>
        <w:pStyle w:val="TOC8"/>
        <w:rPr>
          <w:rFonts w:asciiTheme="minorHAnsi" w:eastAsiaTheme="minorEastAsia" w:hAnsiTheme="minorHAnsi" w:cstheme="minorBidi"/>
          <w:szCs w:val="22"/>
        </w:rPr>
      </w:pPr>
      <w:r>
        <w:t>287.</w:t>
      </w:r>
      <w:r>
        <w:tab/>
        <w:t>Section 16C deleted</w:t>
      </w:r>
      <w:r>
        <w:tab/>
      </w:r>
      <w:r>
        <w:fldChar w:fldCharType="begin"/>
      </w:r>
      <w:r>
        <w:instrText xml:space="preserve"> PAGEREF _Toc182400596 \h </w:instrText>
      </w:r>
      <w:r>
        <w:fldChar w:fldCharType="separate"/>
      </w:r>
      <w:r>
        <w:t>134</w:t>
      </w:r>
      <w:r>
        <w:fldChar w:fldCharType="end"/>
      </w:r>
    </w:p>
    <w:p>
      <w:pPr>
        <w:pStyle w:val="TOC8"/>
        <w:rPr>
          <w:rFonts w:asciiTheme="minorHAnsi" w:eastAsiaTheme="minorEastAsia" w:hAnsiTheme="minorHAnsi" w:cstheme="minorBidi"/>
          <w:szCs w:val="22"/>
        </w:rPr>
      </w:pPr>
      <w:r>
        <w:t>288.</w:t>
      </w:r>
      <w:r>
        <w:tab/>
        <w:t>Section 17 amended</w:t>
      </w:r>
      <w:r>
        <w:tab/>
      </w:r>
      <w:r>
        <w:fldChar w:fldCharType="begin"/>
      </w:r>
      <w:r>
        <w:instrText xml:space="preserve"> PAGEREF _Toc182400597 \h </w:instrText>
      </w:r>
      <w:r>
        <w:fldChar w:fldCharType="separate"/>
      </w:r>
      <w:r>
        <w:t>134</w:t>
      </w:r>
      <w:r>
        <w:fldChar w:fldCharType="end"/>
      </w:r>
    </w:p>
    <w:p>
      <w:pPr>
        <w:pStyle w:val="TOC8"/>
        <w:rPr>
          <w:rFonts w:asciiTheme="minorHAnsi" w:eastAsiaTheme="minorEastAsia" w:hAnsiTheme="minorHAnsi" w:cstheme="minorBidi"/>
          <w:szCs w:val="22"/>
        </w:rPr>
      </w:pPr>
      <w:r>
        <w:t>289.</w:t>
      </w:r>
      <w:r>
        <w:tab/>
        <w:t>Sections 17A to 17C deleted</w:t>
      </w:r>
      <w:r>
        <w:tab/>
      </w:r>
      <w:r>
        <w:fldChar w:fldCharType="begin"/>
      </w:r>
      <w:r>
        <w:instrText xml:space="preserve"> PAGEREF _Toc182400598 \h </w:instrText>
      </w:r>
      <w:r>
        <w:fldChar w:fldCharType="separate"/>
      </w:r>
      <w:r>
        <w:t>134</w:t>
      </w:r>
      <w:r>
        <w:fldChar w:fldCharType="end"/>
      </w:r>
    </w:p>
    <w:p>
      <w:pPr>
        <w:pStyle w:val="TOC8"/>
        <w:rPr>
          <w:rFonts w:asciiTheme="minorHAnsi" w:eastAsiaTheme="minorEastAsia" w:hAnsiTheme="minorHAnsi" w:cstheme="minorBidi"/>
          <w:szCs w:val="22"/>
        </w:rPr>
      </w:pPr>
      <w:r>
        <w:t>290.</w:t>
      </w:r>
      <w:r>
        <w:tab/>
        <w:t>Section 19 deleted</w:t>
      </w:r>
      <w:r>
        <w:tab/>
      </w:r>
      <w:r>
        <w:fldChar w:fldCharType="begin"/>
      </w:r>
      <w:r>
        <w:instrText xml:space="preserve"> PAGEREF _Toc182400599 \h </w:instrText>
      </w:r>
      <w:r>
        <w:fldChar w:fldCharType="separate"/>
      </w:r>
      <w:r>
        <w:t>134</w:t>
      </w:r>
      <w:r>
        <w:fldChar w:fldCharType="end"/>
      </w:r>
    </w:p>
    <w:p>
      <w:pPr>
        <w:pStyle w:val="TOC8"/>
        <w:rPr>
          <w:rFonts w:asciiTheme="minorHAnsi" w:eastAsiaTheme="minorEastAsia" w:hAnsiTheme="minorHAnsi" w:cstheme="minorBidi"/>
          <w:szCs w:val="22"/>
        </w:rPr>
      </w:pPr>
      <w:r>
        <w:t>291.</w:t>
      </w:r>
      <w:r>
        <w:tab/>
        <w:t>Section 22 deleted</w:t>
      </w:r>
      <w:r>
        <w:tab/>
      </w:r>
      <w:r>
        <w:fldChar w:fldCharType="begin"/>
      </w:r>
      <w:r>
        <w:instrText xml:space="preserve"> PAGEREF _Toc182400600 \h </w:instrText>
      </w:r>
      <w:r>
        <w:fldChar w:fldCharType="separate"/>
      </w:r>
      <w:r>
        <w:t>134</w:t>
      </w:r>
      <w:r>
        <w:fldChar w:fldCharType="end"/>
      </w:r>
    </w:p>
    <w:p>
      <w:pPr>
        <w:pStyle w:val="TOC8"/>
        <w:rPr>
          <w:rFonts w:asciiTheme="minorHAnsi" w:eastAsiaTheme="minorEastAsia" w:hAnsiTheme="minorHAnsi" w:cstheme="minorBidi"/>
          <w:szCs w:val="22"/>
        </w:rPr>
      </w:pPr>
      <w:r>
        <w:t>292.</w:t>
      </w:r>
      <w:r>
        <w:tab/>
        <w:t>Section 23 amended</w:t>
      </w:r>
      <w:r>
        <w:tab/>
      </w:r>
      <w:r>
        <w:fldChar w:fldCharType="begin"/>
      </w:r>
      <w:r>
        <w:instrText xml:space="preserve"> PAGEREF _Toc182400601 \h </w:instrText>
      </w:r>
      <w:r>
        <w:fldChar w:fldCharType="separate"/>
      </w:r>
      <w:r>
        <w:t>134</w:t>
      </w:r>
      <w:r>
        <w:fldChar w:fldCharType="end"/>
      </w:r>
    </w:p>
    <w:p>
      <w:pPr>
        <w:pStyle w:val="TOC8"/>
        <w:rPr>
          <w:rFonts w:asciiTheme="minorHAnsi" w:eastAsiaTheme="minorEastAsia" w:hAnsiTheme="minorHAnsi" w:cstheme="minorBidi"/>
          <w:szCs w:val="22"/>
        </w:rPr>
      </w:pPr>
      <w:r>
        <w:t>293.</w:t>
      </w:r>
      <w:r>
        <w:tab/>
        <w:t>Sections 23A to 23D deleted</w:t>
      </w:r>
      <w:r>
        <w:tab/>
      </w:r>
      <w:r>
        <w:fldChar w:fldCharType="begin"/>
      </w:r>
      <w:r>
        <w:instrText xml:space="preserve"> PAGEREF _Toc182400602 \h </w:instrText>
      </w:r>
      <w:r>
        <w:fldChar w:fldCharType="separate"/>
      </w:r>
      <w:r>
        <w:t>135</w:t>
      </w:r>
      <w:r>
        <w:fldChar w:fldCharType="end"/>
      </w:r>
    </w:p>
    <w:p>
      <w:pPr>
        <w:pStyle w:val="TOC8"/>
        <w:rPr>
          <w:rFonts w:asciiTheme="minorHAnsi" w:eastAsiaTheme="minorEastAsia" w:hAnsiTheme="minorHAnsi" w:cstheme="minorBidi"/>
          <w:szCs w:val="22"/>
        </w:rPr>
      </w:pPr>
      <w:r>
        <w:t>294.</w:t>
      </w:r>
      <w:r>
        <w:tab/>
        <w:t>Parts 3A and 5 deleted</w:t>
      </w:r>
      <w:r>
        <w:tab/>
      </w:r>
      <w:r>
        <w:fldChar w:fldCharType="begin"/>
      </w:r>
      <w:r>
        <w:instrText xml:space="preserve"> PAGEREF _Toc182400603 \h </w:instrText>
      </w:r>
      <w:r>
        <w:fldChar w:fldCharType="separate"/>
      </w:r>
      <w:r>
        <w:t>135</w:t>
      </w:r>
      <w:r>
        <w:fldChar w:fldCharType="end"/>
      </w:r>
    </w:p>
    <w:p>
      <w:pPr>
        <w:pStyle w:val="TOC8"/>
        <w:rPr>
          <w:rFonts w:asciiTheme="minorHAnsi" w:eastAsiaTheme="minorEastAsia" w:hAnsiTheme="minorHAnsi" w:cstheme="minorBidi"/>
          <w:szCs w:val="22"/>
        </w:rPr>
      </w:pPr>
      <w:r>
        <w:t>295.</w:t>
      </w:r>
      <w:r>
        <w:tab/>
        <w:t>Sections 45, 45AA and 45A replaced</w:t>
      </w:r>
      <w:r>
        <w:tab/>
      </w:r>
      <w:r>
        <w:fldChar w:fldCharType="begin"/>
      </w:r>
      <w:r>
        <w:instrText xml:space="preserve"> PAGEREF _Toc182400604 \h </w:instrText>
      </w:r>
      <w:r>
        <w:fldChar w:fldCharType="separate"/>
      </w:r>
      <w:r>
        <w:t>135</w:t>
      </w:r>
      <w:r>
        <w:fldChar w:fldCharType="end"/>
      </w:r>
    </w:p>
    <w:p>
      <w:pPr>
        <w:pStyle w:val="TOC9"/>
        <w:rPr>
          <w:rFonts w:asciiTheme="minorHAnsi" w:eastAsiaTheme="minorEastAsia" w:hAnsiTheme="minorHAnsi" w:cstheme="minorBidi"/>
          <w:noProof/>
          <w:sz w:val="22"/>
          <w:szCs w:val="22"/>
        </w:rPr>
      </w:pPr>
      <w:r>
        <w:rPr>
          <w:noProof/>
        </w:rPr>
        <w:lastRenderedPageBreak/>
        <w:t>45.</w:t>
      </w:r>
      <w:r>
        <w:rPr>
          <w:noProof/>
        </w:rPr>
        <w:tab/>
        <w:t>Laying documents before Parliament not sitting</w:t>
      </w:r>
      <w:r>
        <w:rPr>
          <w:noProof/>
        </w:rPr>
        <w:tab/>
      </w:r>
      <w:r>
        <w:rPr>
          <w:noProof/>
        </w:rPr>
        <w:fldChar w:fldCharType="begin"/>
      </w:r>
      <w:r>
        <w:rPr>
          <w:noProof/>
        </w:rPr>
        <w:instrText xml:space="preserve"> PAGEREF _Toc182400605 \h </w:instrText>
      </w:r>
      <w:r>
        <w:rPr>
          <w:noProof/>
        </w:rPr>
      </w:r>
      <w:r>
        <w:rPr>
          <w:noProof/>
        </w:rPr>
        <w:fldChar w:fldCharType="separate"/>
      </w:r>
      <w:r>
        <w:rPr>
          <w:noProof/>
        </w:rPr>
        <w:t>135</w:t>
      </w:r>
      <w:r>
        <w:rPr>
          <w:noProof/>
        </w:rPr>
        <w:fldChar w:fldCharType="end"/>
      </w:r>
    </w:p>
    <w:p>
      <w:pPr>
        <w:pStyle w:val="TOC8"/>
        <w:rPr>
          <w:rFonts w:asciiTheme="minorHAnsi" w:eastAsiaTheme="minorEastAsia" w:hAnsiTheme="minorHAnsi" w:cstheme="minorBidi"/>
          <w:szCs w:val="22"/>
        </w:rPr>
      </w:pPr>
      <w:r>
        <w:t>296.</w:t>
      </w:r>
      <w:r>
        <w:tab/>
        <w:t>Section 47 amended</w:t>
      </w:r>
      <w:r>
        <w:tab/>
      </w:r>
      <w:r>
        <w:fldChar w:fldCharType="begin"/>
      </w:r>
      <w:r>
        <w:instrText xml:space="preserve"> PAGEREF _Toc182400606 \h </w:instrText>
      </w:r>
      <w:r>
        <w:fldChar w:fldCharType="separate"/>
      </w:r>
      <w:r>
        <w:t>135</w:t>
      </w:r>
      <w:r>
        <w:fldChar w:fldCharType="end"/>
      </w:r>
    </w:p>
    <w:p>
      <w:pPr>
        <w:pStyle w:val="TOC8"/>
        <w:rPr>
          <w:rFonts w:asciiTheme="minorHAnsi" w:eastAsiaTheme="minorEastAsia" w:hAnsiTheme="minorHAnsi" w:cstheme="minorBidi"/>
          <w:szCs w:val="22"/>
        </w:rPr>
      </w:pPr>
      <w:r>
        <w:t>297.</w:t>
      </w:r>
      <w:r>
        <w:tab/>
        <w:t>Schedules 1 and 1A deleted</w:t>
      </w:r>
      <w:r>
        <w:tab/>
      </w:r>
      <w:r>
        <w:fldChar w:fldCharType="begin"/>
      </w:r>
      <w:r>
        <w:instrText xml:space="preserve"> PAGEREF _Toc182400607 \h </w:instrText>
      </w:r>
      <w:r>
        <w:fldChar w:fldCharType="separate"/>
      </w:r>
      <w:r>
        <w:t>136</w:t>
      </w:r>
      <w:r>
        <w:fldChar w:fldCharType="end"/>
      </w:r>
    </w:p>
    <w:p>
      <w:pPr>
        <w:pStyle w:val="TOC8"/>
        <w:rPr>
          <w:rFonts w:asciiTheme="minorHAnsi" w:eastAsiaTheme="minorEastAsia" w:hAnsiTheme="minorHAnsi" w:cstheme="minorBidi"/>
          <w:szCs w:val="22"/>
        </w:rPr>
      </w:pPr>
      <w:r>
        <w:t>298.</w:t>
      </w:r>
      <w:r>
        <w:tab/>
        <w:t>Schedule 2 amended</w:t>
      </w:r>
      <w:r>
        <w:tab/>
      </w:r>
      <w:r>
        <w:fldChar w:fldCharType="begin"/>
      </w:r>
      <w:r>
        <w:instrText xml:space="preserve"> PAGEREF _Toc182400608 \h </w:instrText>
      </w:r>
      <w:r>
        <w:fldChar w:fldCharType="separate"/>
      </w:r>
      <w:r>
        <w:t>136</w:t>
      </w:r>
      <w:r>
        <w:fldChar w:fldCharType="end"/>
      </w:r>
    </w:p>
    <w:p>
      <w:pPr>
        <w:pStyle w:val="TOC8"/>
        <w:rPr>
          <w:rFonts w:asciiTheme="minorHAnsi" w:eastAsiaTheme="minorEastAsia" w:hAnsiTheme="minorHAnsi" w:cstheme="minorBidi"/>
          <w:szCs w:val="22"/>
        </w:rPr>
      </w:pPr>
      <w:r>
        <w:t>299.</w:t>
      </w:r>
      <w:r>
        <w:tab/>
        <w:t>Schedules 3 and 3A deleted</w:t>
      </w:r>
      <w:r>
        <w:tab/>
      </w:r>
      <w:r>
        <w:fldChar w:fldCharType="begin"/>
      </w:r>
      <w:r>
        <w:instrText xml:space="preserve"> PAGEREF _Toc182400609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Western Australian Treasury Corporation Act 1986</w:t>
      </w:r>
      <w:r>
        <w:t xml:space="preserve"> amended</w:t>
      </w:r>
    </w:p>
    <w:p>
      <w:pPr>
        <w:pStyle w:val="TOC8"/>
        <w:rPr>
          <w:rFonts w:asciiTheme="minorHAnsi" w:eastAsiaTheme="minorEastAsia" w:hAnsiTheme="minorHAnsi" w:cstheme="minorBidi"/>
          <w:szCs w:val="22"/>
        </w:rPr>
      </w:pPr>
      <w:r>
        <w:t>300.</w:t>
      </w:r>
      <w:r>
        <w:tab/>
        <w:t>Act amended</w:t>
      </w:r>
      <w:r>
        <w:tab/>
      </w:r>
      <w:r>
        <w:fldChar w:fldCharType="begin"/>
      </w:r>
      <w:r>
        <w:instrText xml:space="preserve"> PAGEREF _Toc182400611 \h </w:instrText>
      </w:r>
      <w:r>
        <w:fldChar w:fldCharType="separate"/>
      </w:r>
      <w:r>
        <w:t>136</w:t>
      </w:r>
      <w:r>
        <w:fldChar w:fldCharType="end"/>
      </w:r>
    </w:p>
    <w:p>
      <w:pPr>
        <w:pStyle w:val="TOC8"/>
        <w:rPr>
          <w:rFonts w:asciiTheme="minorHAnsi" w:eastAsiaTheme="minorEastAsia" w:hAnsiTheme="minorHAnsi" w:cstheme="minorBidi"/>
          <w:szCs w:val="22"/>
        </w:rPr>
      </w:pPr>
      <w:r>
        <w:t>301.</w:t>
      </w:r>
      <w:r>
        <w:tab/>
        <w:t>Section 8AA amended</w:t>
      </w:r>
      <w:r>
        <w:tab/>
      </w:r>
      <w:r>
        <w:fldChar w:fldCharType="begin"/>
      </w:r>
      <w:r>
        <w:instrText xml:space="preserve"> PAGEREF _Toc182400612 \h </w:instrText>
      </w:r>
      <w:r>
        <w:fldChar w:fldCharType="separate"/>
      </w:r>
      <w:r>
        <w:t>136</w:t>
      </w:r>
      <w:r>
        <w:fldChar w:fldCharType="end"/>
      </w:r>
    </w:p>
    <w:p>
      <w:pPr>
        <w:pStyle w:val="TOC8"/>
        <w:rPr>
          <w:rFonts w:asciiTheme="minorHAnsi" w:eastAsiaTheme="minorEastAsia" w:hAnsiTheme="minorHAnsi" w:cstheme="minorBidi"/>
          <w:szCs w:val="22"/>
        </w:rPr>
      </w:pPr>
      <w:r>
        <w:t>302.</w:t>
      </w:r>
      <w:r>
        <w:tab/>
        <w:t>Section 8AB amended</w:t>
      </w:r>
      <w:r>
        <w:tab/>
      </w:r>
      <w:r>
        <w:fldChar w:fldCharType="begin"/>
      </w:r>
      <w:r>
        <w:instrText xml:space="preserve"> PAGEREF _Toc182400613 \h </w:instrText>
      </w:r>
      <w:r>
        <w:fldChar w:fldCharType="separate"/>
      </w:r>
      <w:r>
        <w:t>137</w:t>
      </w:r>
      <w:r>
        <w:fldChar w:fldCharType="end"/>
      </w:r>
    </w:p>
    <w:p>
      <w:pPr>
        <w:pStyle w:val="TOC8"/>
        <w:rPr>
          <w:rFonts w:asciiTheme="minorHAnsi" w:eastAsiaTheme="minorEastAsia" w:hAnsiTheme="minorHAnsi" w:cstheme="minorBidi"/>
          <w:szCs w:val="22"/>
        </w:rPr>
      </w:pPr>
      <w:r>
        <w:t>303.</w:t>
      </w:r>
      <w:r>
        <w:tab/>
        <w:t>Section 9 amended</w:t>
      </w:r>
      <w:r>
        <w:tab/>
      </w:r>
      <w:r>
        <w:fldChar w:fldCharType="begin"/>
      </w:r>
      <w:r>
        <w:instrText xml:space="preserve"> PAGEREF _Toc182400614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Schedule 1 — Effect of provisions to be included in constitution or governing instrument of subsidiary of GTE</w:t>
      </w:r>
    </w:p>
    <w:p>
      <w:pPr>
        <w:pStyle w:val="TOC8"/>
        <w:rPr>
          <w:rFonts w:asciiTheme="minorHAnsi" w:eastAsiaTheme="minorEastAsia" w:hAnsiTheme="minorHAnsi" w:cstheme="minorBidi"/>
          <w:szCs w:val="22"/>
        </w:rPr>
      </w:pPr>
      <w:r>
        <w:t>1.</w:t>
      </w:r>
      <w:r>
        <w:tab/>
        <w:t>Disposal of shares or interests</w:t>
      </w:r>
      <w:r>
        <w:tab/>
      </w:r>
      <w:r>
        <w:fldChar w:fldCharType="begin"/>
      </w:r>
      <w:r>
        <w:instrText xml:space="preserve"> PAGEREF _Toc182400616 \h </w:instrText>
      </w:r>
      <w:r>
        <w:fldChar w:fldCharType="separate"/>
      </w:r>
      <w:r>
        <w:t>138</w:t>
      </w:r>
      <w:r>
        <w:fldChar w:fldCharType="end"/>
      </w:r>
    </w:p>
    <w:p>
      <w:pPr>
        <w:pStyle w:val="TOC8"/>
        <w:rPr>
          <w:rFonts w:asciiTheme="minorHAnsi" w:eastAsiaTheme="minorEastAsia" w:hAnsiTheme="minorHAnsi" w:cstheme="minorBidi"/>
          <w:szCs w:val="22"/>
        </w:rPr>
      </w:pPr>
      <w:r>
        <w:t>2.</w:t>
      </w:r>
      <w:r>
        <w:tab/>
        <w:t>Board or governing body</w:t>
      </w:r>
      <w:r>
        <w:tab/>
      </w:r>
      <w:r>
        <w:fldChar w:fldCharType="begin"/>
      </w:r>
      <w:r>
        <w:instrText xml:space="preserve"> PAGEREF _Toc182400617 \h </w:instrText>
      </w:r>
      <w:r>
        <w:fldChar w:fldCharType="separate"/>
      </w:r>
      <w:r>
        <w:t>138</w:t>
      </w:r>
      <w:r>
        <w:fldChar w:fldCharType="end"/>
      </w:r>
    </w:p>
    <w:p>
      <w:pPr>
        <w:pStyle w:val="TOC8"/>
        <w:rPr>
          <w:rFonts w:asciiTheme="minorHAnsi" w:eastAsiaTheme="minorEastAsia" w:hAnsiTheme="minorHAnsi" w:cstheme="minorBidi"/>
          <w:szCs w:val="22"/>
        </w:rPr>
      </w:pPr>
      <w:r>
        <w:t>3.</w:t>
      </w:r>
      <w:r>
        <w:tab/>
        <w:t>Issue and transfer of shares or interests restricted</w:t>
      </w:r>
      <w:r>
        <w:tab/>
      </w:r>
      <w:r>
        <w:fldChar w:fldCharType="begin"/>
      </w:r>
      <w:r>
        <w:instrText xml:space="preserve"> PAGEREF _Toc182400618 \h </w:instrText>
      </w:r>
      <w:r>
        <w:fldChar w:fldCharType="separate"/>
      </w:r>
      <w:r>
        <w:t>138</w:t>
      </w:r>
      <w:r>
        <w:fldChar w:fldCharType="end"/>
      </w:r>
    </w:p>
    <w:p>
      <w:pPr>
        <w:pStyle w:val="TOC8"/>
        <w:rPr>
          <w:rFonts w:asciiTheme="minorHAnsi" w:eastAsiaTheme="minorEastAsia" w:hAnsiTheme="minorHAnsi" w:cstheme="minorBidi"/>
          <w:szCs w:val="22"/>
        </w:rPr>
      </w:pPr>
      <w:r>
        <w:t>4.</w:t>
      </w:r>
      <w:r>
        <w:tab/>
        <w:t>Subsidiary must not have subsidiaries</w:t>
      </w:r>
      <w:r>
        <w:tab/>
      </w:r>
      <w:r>
        <w:fldChar w:fldCharType="begin"/>
      </w:r>
      <w:r>
        <w:instrText xml:space="preserve"> PAGEREF _Toc182400619 \h </w:instrText>
      </w:r>
      <w:r>
        <w:fldChar w:fldCharType="separate"/>
      </w:r>
      <w:r>
        <w:t>138</w:t>
      </w:r>
      <w:r>
        <w:fldChar w:fldCharType="end"/>
      </w:r>
    </w:p>
    <w:p>
      <w:pPr>
        <w:pStyle w:val="TOC8"/>
        <w:rPr>
          <w:rFonts w:asciiTheme="minorHAnsi" w:eastAsiaTheme="minorEastAsia" w:hAnsiTheme="minorHAnsi" w:cstheme="minorBidi"/>
          <w:szCs w:val="22"/>
        </w:rPr>
      </w:pPr>
      <w:r>
        <w:t>5.</w:t>
      </w:r>
      <w:r>
        <w:tab/>
        <w:t>Subsidiary to furnish information to GTE</w:t>
      </w:r>
      <w:r>
        <w:tab/>
      </w:r>
      <w:r>
        <w:fldChar w:fldCharType="begin"/>
      </w:r>
      <w:r>
        <w:instrText xml:space="preserve"> PAGEREF _Toc182400620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_Toc182400622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Government Trading Enterprises Act 2023</w:t>
      </w:r>
    </w:p>
    <w:p>
      <w:pPr>
        <w:pStyle w:val="LongTitle"/>
      </w:pPr>
      <w:bookmarkStart w:id="2" w:name="BillCited"/>
      <w:bookmarkEnd w:id="2"/>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83461"/>
      <w:bookmarkStart w:id="4" w:name="_Toc182384070"/>
      <w:bookmarkStart w:id="5" w:name="_Toc18240022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2400224"/>
      <w:r>
        <w:rPr>
          <w:rStyle w:val="CharSectno"/>
        </w:rPr>
        <w:t>1</w:t>
      </w:r>
      <w:r>
        <w:t>.</w:t>
      </w:r>
      <w:r>
        <w:tab/>
        <w:t>Short title</w:t>
      </w:r>
      <w:bookmarkEnd w:id="6"/>
    </w:p>
    <w:p>
      <w:pPr>
        <w:pStyle w:val="Subsection"/>
      </w:pPr>
      <w:r>
        <w:tab/>
      </w:r>
      <w:r>
        <w:tab/>
        <w:t>This is the</w:t>
      </w:r>
      <w:r>
        <w:rPr>
          <w:i/>
        </w:rPr>
        <w:t xml:space="preserve"> Government Trading Enterprises Act 2023</w:t>
      </w:r>
      <w:r>
        <w:t>.</w:t>
      </w:r>
    </w:p>
    <w:p>
      <w:pPr>
        <w:pStyle w:val="Heading5"/>
      </w:pPr>
      <w:bookmarkStart w:id="7" w:name="_Toc18240022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82400226"/>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(aa)</w:t>
      </w:r>
      <w:r>
        <w:tab/>
        <w:t xml:space="preserve">the </w:t>
      </w:r>
      <w:r>
        <w:rPr>
          <w:i/>
          <w:iCs/>
        </w:rPr>
        <w:t xml:space="preserve">Keystart Act 2024 </w:t>
      </w:r>
      <w:r>
        <w:t>section 6;</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lastRenderedPageBreak/>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Footnotesection"/>
      </w:pPr>
      <w:r>
        <w:tab/>
        <w:t>[Section 3 amended: No. 44 of 2024 s. 63.]</w:t>
      </w:r>
    </w:p>
    <w:p>
      <w:pPr>
        <w:pStyle w:val="Heading5"/>
      </w:pPr>
      <w:bookmarkStart w:id="9" w:name="_Toc182400227"/>
      <w:r>
        <w:rPr>
          <w:rStyle w:val="CharSectno"/>
        </w:rPr>
        <w:t>4</w:t>
      </w:r>
      <w:r>
        <w:t>.</w:t>
      </w:r>
      <w:r>
        <w:tab/>
        <w:t>Term used: subsidiary</w:t>
      </w:r>
      <w:bookmarkEnd w:id="9"/>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0" w:name="_Toc182400228"/>
      <w:r>
        <w:rPr>
          <w:rStyle w:val="CharSectno"/>
        </w:rPr>
        <w:lastRenderedPageBreak/>
        <w:t>5</w:t>
      </w:r>
      <w:r>
        <w:t>.</w:t>
      </w:r>
      <w:r>
        <w:tab/>
        <w:t>Relationship to GTEs’ Establishing Acts</w:t>
      </w:r>
      <w:bookmarkEnd w:id="10"/>
    </w:p>
    <w:p>
      <w:pPr>
        <w:pStyle w:val="Subsection"/>
      </w:pPr>
      <w:r>
        <w:tab/>
      </w:r>
      <w:r>
        <w:tab/>
        <w:t>This Act is, in relation to a GTE’s Establishing Act, to be read with the Establishing Act as if they were a single Act.</w:t>
      </w:r>
    </w:p>
    <w:p>
      <w:pPr>
        <w:pStyle w:val="Heading5"/>
      </w:pPr>
      <w:bookmarkStart w:id="11" w:name="_Toc182400229"/>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82383468"/>
      <w:bookmarkStart w:id="13" w:name="_Toc182384077"/>
      <w:bookmarkStart w:id="14" w:name="_Toc182400230"/>
      <w:r>
        <w:rPr>
          <w:rStyle w:val="CharPartNo"/>
        </w:rPr>
        <w:lastRenderedPageBreak/>
        <w:t>Part 2</w:t>
      </w:r>
      <w:r>
        <w:rPr>
          <w:rStyle w:val="CharDivNo"/>
        </w:rPr>
        <w:t> </w:t>
      </w:r>
      <w:r>
        <w:t>—</w:t>
      </w:r>
      <w:r>
        <w:rPr>
          <w:rStyle w:val="CharDivText"/>
        </w:rPr>
        <w:t> </w:t>
      </w:r>
      <w:r>
        <w:rPr>
          <w:rStyle w:val="CharPartText"/>
        </w:rPr>
        <w:t>Purpose and functions of GTEs</w:t>
      </w:r>
      <w:bookmarkEnd w:id="12"/>
      <w:bookmarkEnd w:id="13"/>
      <w:bookmarkEnd w:id="14"/>
    </w:p>
    <w:p>
      <w:pPr>
        <w:pStyle w:val="Heading5"/>
      </w:pPr>
      <w:bookmarkStart w:id="15" w:name="_Toc182400231"/>
      <w:r>
        <w:rPr>
          <w:rStyle w:val="CharSectno"/>
        </w:rPr>
        <w:t>7</w:t>
      </w:r>
      <w:r>
        <w:t>.</w:t>
      </w:r>
      <w:r>
        <w:tab/>
        <w:t>GTE’s purpose</w:t>
      </w:r>
      <w:bookmarkEnd w:id="15"/>
    </w:p>
    <w:p>
      <w:pPr>
        <w:pStyle w:val="Subsection"/>
      </w:pPr>
      <w:r>
        <w:tab/>
      </w:r>
      <w:r>
        <w:tab/>
        <w:t>A GTE’s purpose is to advance the public benefit through the performance of its functions.</w:t>
      </w:r>
    </w:p>
    <w:p>
      <w:pPr>
        <w:pStyle w:val="Heading5"/>
      </w:pPr>
      <w:bookmarkStart w:id="16" w:name="_Toc182400232"/>
      <w:r>
        <w:rPr>
          <w:rStyle w:val="CharSectno"/>
        </w:rPr>
        <w:t>8</w:t>
      </w:r>
      <w:r>
        <w:t>.</w:t>
      </w:r>
      <w:r>
        <w:tab/>
        <w:t>GTE’s functions</w:t>
      </w:r>
      <w:bookmarkEnd w:id="16"/>
    </w:p>
    <w:p>
      <w:pPr>
        <w:pStyle w:val="Subsection"/>
      </w:pPr>
      <w:r>
        <w:tab/>
      </w:r>
      <w:r>
        <w:tab/>
        <w:t xml:space="preserve">A GTE’s functions are — </w:t>
      </w:r>
    </w:p>
    <w:p>
      <w:pPr>
        <w:pStyle w:val="Indenta"/>
      </w:pPr>
      <w:r>
        <w:tab/>
        <w:t>(a)</w:t>
      </w:r>
      <w:r>
        <w:tab/>
        <w:t>the functions conferred on it under its Establishing Act; and</w:t>
      </w:r>
    </w:p>
    <w:p>
      <w:pPr>
        <w:pStyle w:val="Indenta"/>
      </w:pPr>
      <w:r>
        <w:tab/>
        <w:t>(b)</w:t>
      </w:r>
      <w:r>
        <w:tab/>
        <w:t>any other functions conferred on it under this Act or another written law.</w:t>
      </w:r>
    </w:p>
    <w:p>
      <w:pPr>
        <w:pStyle w:val="Heading5"/>
      </w:pPr>
      <w:bookmarkStart w:id="17" w:name="_Toc182400233"/>
      <w:r>
        <w:rPr>
          <w:rStyle w:val="CharSectno"/>
        </w:rPr>
        <w:t>9</w:t>
      </w:r>
      <w:r>
        <w:t>.</w:t>
      </w:r>
      <w:r>
        <w:tab/>
        <w:t>Performance of GTE’s functions</w:t>
      </w:r>
      <w:bookmarkEnd w:id="17"/>
    </w:p>
    <w:p>
      <w:pPr>
        <w:pStyle w:val="Subsection"/>
      </w:pPr>
      <w:r>
        <w:tab/>
        <w:t>(1)</w:t>
      </w:r>
      <w:r>
        <w:tab/>
        <w:t xml:space="preserve">A GTE must perform its functions in accordance with its statement of expectations and annual performance statement and, in particular, must — </w:t>
      </w:r>
    </w:p>
    <w:p>
      <w:pPr>
        <w:pStyle w:val="Indenta"/>
      </w:pPr>
      <w:r>
        <w:tab/>
        <w:t>(a)</w:t>
      </w:r>
      <w:r>
        <w:tab/>
        <w:t>endeavour to pursue performance objectives and attain key performance indicators contained in its annual performance statement; and</w:t>
      </w:r>
    </w:p>
    <w:p>
      <w:pPr>
        <w:pStyle w:val="Indenta"/>
      </w:pPr>
      <w:r>
        <w:tab/>
        <w:t>(b)</w:t>
      </w:r>
      <w:r>
        <w:tab/>
        <w:t>endeavour to achieve financial outcomes that are consistent with forecasts and forward year estimates contained in its annual performance statement.</w:t>
      </w:r>
    </w:p>
    <w:p>
      <w:pPr>
        <w:pStyle w:val="Subsection"/>
      </w:pPr>
      <w:r>
        <w:tab/>
        <w:t>(2)</w:t>
      </w:r>
      <w:r>
        <w:tab/>
        <w:t xml:space="preserve">A GTE in performing its functions must, consistently with its purpose — </w:t>
      </w:r>
    </w:p>
    <w:p>
      <w:pPr>
        <w:pStyle w:val="Indenta"/>
      </w:pPr>
      <w:r>
        <w:tab/>
        <w:t>(a)</w:t>
      </w:r>
      <w:r>
        <w:tab/>
        <w:t>endeavour to achieve policy objectives set out in a policy order applying to the GTE; and</w:t>
      </w:r>
    </w:p>
    <w:p>
      <w:pPr>
        <w:pStyle w:val="Indenta"/>
      </w:pPr>
      <w:r>
        <w:tab/>
        <w:t>(b)</w:t>
      </w:r>
      <w:r>
        <w:tab/>
        <w:t>act in accordance with prudent commercial principles.</w:t>
      </w:r>
    </w:p>
    <w:p>
      <w:pPr>
        <w:pStyle w:val="Heading5"/>
      </w:pPr>
      <w:bookmarkStart w:id="18" w:name="_Toc182400234"/>
      <w:r>
        <w:rPr>
          <w:rStyle w:val="CharSectno"/>
        </w:rPr>
        <w:t>10</w:t>
      </w:r>
      <w:r>
        <w:t>.</w:t>
      </w:r>
      <w:r>
        <w:tab/>
        <w:t>GTE may act at its discretion</w:t>
      </w:r>
      <w:bookmarkEnd w:id="18"/>
    </w:p>
    <w:p>
      <w:pPr>
        <w:pStyle w:val="Subsection"/>
      </w:pPr>
      <w:r>
        <w:tab/>
        <w:t>(1)</w:t>
      </w:r>
      <w:r>
        <w:tab/>
        <w:t>The fact that a GTE has a function given to it by its Establishing Act or any other written law does not impose a duty on it to do any particular thing.</w:t>
      </w:r>
    </w:p>
    <w:p>
      <w:pPr>
        <w:pStyle w:val="Subsection"/>
      </w:pPr>
      <w:r>
        <w:lastRenderedPageBreak/>
        <w:tab/>
        <w:t>(2)</w:t>
      </w:r>
      <w:r>
        <w:tab/>
        <w:t xml:space="preserve">A GTE has a discretion as to how and when it performs its functions, subject to — </w:t>
      </w:r>
    </w:p>
    <w:p>
      <w:pPr>
        <w:pStyle w:val="Indenta"/>
      </w:pPr>
      <w:r>
        <w:tab/>
        <w:t>(a)</w:t>
      </w:r>
      <w:r>
        <w:tab/>
        <w:t>this Act; and</w:t>
      </w:r>
    </w:p>
    <w:p>
      <w:pPr>
        <w:pStyle w:val="Indenta"/>
      </w:pPr>
      <w:r>
        <w:tab/>
        <w:t>(b)</w:t>
      </w:r>
      <w:r>
        <w:tab/>
        <w:t>the GTE’s Establishing Act; and</w:t>
      </w:r>
    </w:p>
    <w:p>
      <w:pPr>
        <w:pStyle w:val="Indenta"/>
      </w:pPr>
      <w:r>
        <w:tab/>
        <w:t>(c)</w:t>
      </w:r>
      <w:r>
        <w:tab/>
        <w:t>any direction given to the GTE under this Act or the GTE’s Establishing Act.</w:t>
      </w:r>
    </w:p>
    <w:p>
      <w:pPr>
        <w:pStyle w:val="Heading2"/>
      </w:pPr>
      <w:bookmarkStart w:id="19" w:name="_Toc182383473"/>
      <w:bookmarkStart w:id="20" w:name="_Toc182384082"/>
      <w:bookmarkStart w:id="21" w:name="_Toc182400235"/>
      <w:r>
        <w:rPr>
          <w:rStyle w:val="CharPartNo"/>
        </w:rPr>
        <w:lastRenderedPageBreak/>
        <w:t>Part 3</w:t>
      </w:r>
      <w:r>
        <w:t> — </w:t>
      </w:r>
      <w:r>
        <w:rPr>
          <w:rStyle w:val="CharPartText"/>
        </w:rPr>
        <w:t>Boards of directors</w:t>
      </w:r>
      <w:bookmarkEnd w:id="19"/>
      <w:bookmarkEnd w:id="20"/>
      <w:bookmarkEnd w:id="21"/>
    </w:p>
    <w:p>
      <w:pPr>
        <w:pStyle w:val="Heading3"/>
      </w:pPr>
      <w:bookmarkStart w:id="22" w:name="_Toc182383474"/>
      <w:bookmarkStart w:id="23" w:name="_Toc182384083"/>
      <w:bookmarkStart w:id="24" w:name="_Toc182400236"/>
      <w:r>
        <w:rPr>
          <w:rStyle w:val="CharDivNo"/>
        </w:rPr>
        <w:t>Division 1</w:t>
      </w:r>
      <w:r>
        <w:t> — </w:t>
      </w:r>
      <w:r>
        <w:rPr>
          <w:rStyle w:val="CharDivText"/>
        </w:rPr>
        <w:t>Boards and board membership</w:t>
      </w:r>
      <w:bookmarkEnd w:id="22"/>
      <w:bookmarkEnd w:id="23"/>
      <w:bookmarkEnd w:id="24"/>
    </w:p>
    <w:p>
      <w:pPr>
        <w:pStyle w:val="Heading5"/>
      </w:pPr>
      <w:bookmarkStart w:id="25" w:name="_Toc182400237"/>
      <w:r>
        <w:rPr>
          <w:rStyle w:val="CharSectno"/>
        </w:rPr>
        <w:t>11</w:t>
      </w:r>
      <w:r>
        <w:t>.</w:t>
      </w:r>
      <w:r>
        <w:tab/>
        <w:t>Board to be GTE’s governing body</w:t>
      </w:r>
      <w:bookmarkEnd w:id="25"/>
    </w:p>
    <w:p>
      <w:pPr>
        <w:pStyle w:val="Subsection"/>
      </w:pPr>
      <w:r>
        <w:tab/>
        <w:t>(1)</w:t>
      </w:r>
      <w:r>
        <w:tab/>
        <w:t>A GTE must have a board.</w:t>
      </w:r>
    </w:p>
    <w:p>
      <w:pPr>
        <w:pStyle w:val="Subsection"/>
      </w:pPr>
      <w:r>
        <w:tab/>
        <w:t>(2)</w:t>
      </w:r>
      <w:r>
        <w:tab/>
        <w:t xml:space="preserve">A GTE’s board is its governing body with authority, in the name of the GTE, to — </w:t>
      </w:r>
    </w:p>
    <w:p>
      <w:pPr>
        <w:pStyle w:val="Indenta"/>
      </w:pPr>
      <w:r>
        <w:tab/>
        <w:t>(a)</w:t>
      </w:r>
      <w:r>
        <w:tab/>
        <w:t>perform its functions; and</w:t>
      </w:r>
    </w:p>
    <w:p>
      <w:pPr>
        <w:pStyle w:val="Indenta"/>
      </w:pPr>
      <w:r>
        <w:tab/>
        <w:t>(b)</w:t>
      </w:r>
      <w:r>
        <w:tab/>
        <w:t>determine its policies; and</w:t>
      </w:r>
    </w:p>
    <w:p>
      <w:pPr>
        <w:pStyle w:val="Indenta"/>
      </w:pPr>
      <w:r>
        <w:tab/>
        <w:t>(c)</w:t>
      </w:r>
      <w:r>
        <w:tab/>
        <w:t>control its affairs.</w:t>
      </w:r>
    </w:p>
    <w:p>
      <w:pPr>
        <w:pStyle w:val="Heading5"/>
      </w:pPr>
      <w:bookmarkStart w:id="26" w:name="_Toc182400238"/>
      <w:r>
        <w:rPr>
          <w:rStyle w:val="CharSectno"/>
        </w:rPr>
        <w:t>12</w:t>
      </w:r>
      <w:r>
        <w:t>.</w:t>
      </w:r>
      <w:r>
        <w:tab/>
        <w:t>Board membership</w:t>
      </w:r>
      <w:bookmarkEnd w:id="26"/>
    </w:p>
    <w:p>
      <w:pPr>
        <w:pStyle w:val="Subsection"/>
      </w:pPr>
      <w:r>
        <w:tab/>
        <w:t>(1)</w:t>
      </w:r>
      <w:r>
        <w:tab/>
        <w:t>A GTE’s board consists of between 5 and 9 members.</w:t>
      </w:r>
    </w:p>
    <w:p>
      <w:pPr>
        <w:pStyle w:val="Subsection"/>
      </w:pPr>
      <w:r>
        <w:tab/>
        <w:t>(2)</w:t>
      </w:r>
      <w:r>
        <w:tab/>
        <w:t>A board may, with the GTE Minister’s approval, have less than 5 or more than 9 members.</w:t>
      </w:r>
    </w:p>
    <w:p>
      <w:pPr>
        <w:pStyle w:val="Subsection"/>
      </w:pPr>
      <w:r>
        <w:tab/>
        <w:t>(3)</w:t>
      </w:r>
      <w:r>
        <w:tab/>
        <w:t>A GTE must ensure that the prescribed details of the membership of the GTE’s board are publicly available.</w:t>
      </w:r>
    </w:p>
    <w:p>
      <w:pPr>
        <w:pStyle w:val="Heading5"/>
      </w:pPr>
      <w:bookmarkStart w:id="27" w:name="_Toc182400239"/>
      <w:r>
        <w:rPr>
          <w:rStyle w:val="CharSectno"/>
        </w:rPr>
        <w:t>13</w:t>
      </w:r>
      <w:r>
        <w:t>.</w:t>
      </w:r>
      <w:r>
        <w:tab/>
        <w:t>Appointment of board members</w:t>
      </w:r>
      <w:bookmarkEnd w:id="27"/>
    </w:p>
    <w:p>
      <w:pPr>
        <w:pStyle w:val="Subsection"/>
      </w:pPr>
      <w:r>
        <w:tab/>
        <w:t>(1)</w:t>
      </w:r>
      <w:r>
        <w:tab/>
        <w:t>The Portfolio Minister must, after consultation with the board, appoint the members of a GTE’s board.</w:t>
      </w:r>
    </w:p>
    <w:p>
      <w:pPr>
        <w:pStyle w:val="Subsection"/>
      </w:pPr>
      <w:r>
        <w:tab/>
        <w:t>(2)</w:t>
      </w:r>
      <w:r>
        <w:tab/>
        <w:t>The Portfolio Minister may, with the approval of the GTE Minister, appoint a GTE’s chief executive officer to its board.</w:t>
      </w:r>
    </w:p>
    <w:p>
      <w:pPr>
        <w:pStyle w:val="Subsection"/>
      </w:pPr>
      <w:r>
        <w:tab/>
        <w:t>(3)</w:t>
      </w:r>
      <w:r>
        <w:tab/>
        <w:t>The Portfolio Minister cannot appoint a member of staff of a GTE to its board.</w:t>
      </w:r>
    </w:p>
    <w:p>
      <w:pPr>
        <w:pStyle w:val="Subsection"/>
        <w:keepNext/>
      </w:pPr>
      <w:r>
        <w:lastRenderedPageBreak/>
        <w:tab/>
        <w:t>(4)</w:t>
      </w:r>
      <w:r>
        <w:tab/>
        <w:t>In appointing the members of a GTE’s board, the Portfolio Minister must comply with any requirements contained in the GTE’s Establishing Act.</w:t>
      </w:r>
    </w:p>
    <w:p>
      <w:pPr>
        <w:pStyle w:val="PermNoteHeading"/>
      </w:pPr>
      <w:r>
        <w:tab/>
        <w:t xml:space="preserve">Note for this subsection: </w:t>
      </w:r>
    </w:p>
    <w:p>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pPr>
        <w:pStyle w:val="Subsection"/>
      </w:pPr>
      <w:r>
        <w:tab/>
        <w:t>(5)</w:t>
      </w:r>
      <w:r>
        <w:tab/>
        <w:t>Upon making an appointment to a GTE’s board, the Portfolio Minister must make the prescribed details of the appointment publicly available.</w:t>
      </w:r>
    </w:p>
    <w:p>
      <w:pPr>
        <w:pStyle w:val="Heading5"/>
      </w:pPr>
      <w:bookmarkStart w:id="28" w:name="_Toc182400240"/>
      <w:r>
        <w:rPr>
          <w:rStyle w:val="CharSectno"/>
        </w:rPr>
        <w:t>14</w:t>
      </w:r>
      <w:r>
        <w:t>.</w:t>
      </w:r>
      <w:r>
        <w:tab/>
        <w:t>Directors’ skills matrix</w:t>
      </w:r>
      <w:bookmarkEnd w:id="28"/>
    </w:p>
    <w:p>
      <w:pPr>
        <w:pStyle w:val="Subsection"/>
      </w:pPr>
      <w:r>
        <w:tab/>
        <w:t>(1)</w:t>
      </w:r>
      <w:r>
        <w:tab/>
        <w:t xml:space="preserve">A GTE’s board and the Portfolio Minister must endeavour to agree a skills matrix for the board (the </w:t>
      </w:r>
      <w:r>
        <w:rPr>
          <w:rStyle w:val="CharDefText"/>
        </w:rPr>
        <w:t>directors’ skills matrix</w:t>
      </w:r>
      <w:r>
        <w:t>).</w:t>
      </w:r>
    </w:p>
    <w:p>
      <w:pPr>
        <w:pStyle w:val="Subsection"/>
      </w:pPr>
      <w:r>
        <w:tab/>
        <w:t>(2)</w:t>
      </w:r>
      <w:r>
        <w:tab/>
        <w:t>The board and the Portfolio Minister may, by agreement, amend or replace the directors’ skills matrix from time to time.</w:t>
      </w:r>
    </w:p>
    <w:p>
      <w:pPr>
        <w:pStyle w:val="Subsection"/>
      </w:pPr>
      <w:r>
        <w:tab/>
        <w:t>(3)</w:t>
      </w:r>
      <w:r>
        <w:tab/>
        <w:t>The directors’ skills matrix must indicate the skills, qualifications and experience required of the GTE’s directors, individually and collectively.</w:t>
      </w:r>
    </w:p>
    <w:p>
      <w:pPr>
        <w:pStyle w:val="Subsection"/>
      </w:pPr>
      <w:r>
        <w:tab/>
        <w:t>(4)</w:t>
      </w:r>
      <w:r>
        <w:tab/>
        <w:t>The Portfolio Minister for a GTE must take into account the directors’ skills matrix of the GTE when making an appointment to the GTE’s board.</w:t>
      </w:r>
    </w:p>
    <w:p>
      <w:pPr>
        <w:pStyle w:val="Subsection"/>
      </w:pPr>
      <w:r>
        <w:tab/>
        <w:t>(5)</w:t>
      </w:r>
      <w:r>
        <w:tab/>
        <w:t xml:space="preserve">The regulations may provide for any of the following — </w:t>
      </w:r>
    </w:p>
    <w:p>
      <w:pPr>
        <w:pStyle w:val="Indenta"/>
      </w:pPr>
      <w:r>
        <w:tab/>
        <w:t>(a)</w:t>
      </w:r>
      <w:r>
        <w:tab/>
        <w:t>the processes by which a directors’ skills matrix is to be agreed, reviewed, amended or replaced;</w:t>
      </w:r>
    </w:p>
    <w:p>
      <w:pPr>
        <w:pStyle w:val="Indenta"/>
      </w:pPr>
      <w:r>
        <w:tab/>
        <w:t>(b)</w:t>
      </w:r>
      <w:r>
        <w:tab/>
        <w:t>the adoption of a directors’ skills matrix in the absence of agreement;</w:t>
      </w:r>
    </w:p>
    <w:p>
      <w:pPr>
        <w:pStyle w:val="Indenta"/>
      </w:pPr>
      <w:r>
        <w:tab/>
        <w:t>(c)</w:t>
      </w:r>
      <w:r>
        <w:tab/>
        <w:t>the content of a directors’ skills matrix.</w:t>
      </w:r>
    </w:p>
    <w:p>
      <w:pPr>
        <w:pStyle w:val="Heading5"/>
      </w:pPr>
      <w:bookmarkStart w:id="29" w:name="_Toc182400241"/>
      <w:r>
        <w:rPr>
          <w:rStyle w:val="CharSectno"/>
        </w:rPr>
        <w:lastRenderedPageBreak/>
        <w:t>15</w:t>
      </w:r>
      <w:r>
        <w:t>.</w:t>
      </w:r>
      <w:r>
        <w:tab/>
        <w:t>Recommending candidates for vacancies</w:t>
      </w:r>
      <w:bookmarkEnd w:id="29"/>
    </w:p>
    <w:p>
      <w:pPr>
        <w:pStyle w:val="Subsection"/>
      </w:pPr>
      <w:r>
        <w:tab/>
        <w:t>(1)</w:t>
      </w:r>
      <w:r>
        <w:tab/>
        <w:t>If a vacancy occurs, or is soon to occur, in the membership of a GTE’s board, the board may recommend a candidate to the Portfolio Minister.</w:t>
      </w:r>
    </w:p>
    <w:p>
      <w:pPr>
        <w:pStyle w:val="Subsection"/>
      </w:pPr>
      <w:r>
        <w:tab/>
        <w:t>(2)</w:t>
      </w:r>
      <w:r>
        <w:tab/>
        <w:t>The recommendation must include advice to the Portfolio Minister on the extent to which the board, if the candidate were to be appointed, would satisfy the directors’ skills matrix.</w:t>
      </w:r>
    </w:p>
    <w:p>
      <w:pPr>
        <w:pStyle w:val="Subsection"/>
      </w:pPr>
      <w:r>
        <w:tab/>
        <w:t>(3)</w:t>
      </w:r>
      <w:r>
        <w:tab/>
        <w:t>The Portfolio Minister is not required to wait for, or follow, a recommendation.</w:t>
      </w:r>
    </w:p>
    <w:p>
      <w:pPr>
        <w:pStyle w:val="Heading5"/>
      </w:pPr>
      <w:bookmarkStart w:id="30" w:name="_Toc182400242"/>
      <w:r>
        <w:rPr>
          <w:rStyle w:val="CharSectno"/>
        </w:rPr>
        <w:t>16</w:t>
      </w:r>
      <w:r>
        <w:t>.</w:t>
      </w:r>
      <w:r>
        <w:tab/>
        <w:t>Chairperson and deputy chairperson</w:t>
      </w:r>
      <w:bookmarkEnd w:id="30"/>
    </w:p>
    <w:p>
      <w:pPr>
        <w:pStyle w:val="Subsection"/>
      </w:pPr>
      <w:r>
        <w:tab/>
        <w:t>(1)</w:t>
      </w:r>
      <w:r>
        <w:tab/>
        <w:t xml:space="preserve">The Portfolio Minister for a GTE — </w:t>
      </w:r>
    </w:p>
    <w:p>
      <w:pPr>
        <w:pStyle w:val="Indenta"/>
      </w:pPr>
      <w:r>
        <w:tab/>
        <w:t>(a)</w:t>
      </w:r>
      <w:r>
        <w:tab/>
        <w:t>must designate a director to be the chairperson of the GTE’s board; and</w:t>
      </w:r>
    </w:p>
    <w:p>
      <w:pPr>
        <w:pStyle w:val="Indenta"/>
      </w:pPr>
      <w:r>
        <w:tab/>
        <w:t>(b)</w:t>
      </w:r>
      <w:r>
        <w:tab/>
        <w:t>may designate a director to be the deputy chairperson of the GTE’s board.</w:t>
      </w:r>
    </w:p>
    <w:p>
      <w:pPr>
        <w:pStyle w:val="Subsection"/>
      </w:pPr>
      <w:r>
        <w:tab/>
        <w:t>(2)</w:t>
      </w:r>
      <w:r>
        <w:tab/>
        <w:t xml:space="preserve">While the position of chairperson is vacant or while the chairperson is unable to act — </w:t>
      </w:r>
    </w:p>
    <w:p>
      <w:pPr>
        <w:pStyle w:val="Indenta"/>
      </w:pPr>
      <w:r>
        <w:tab/>
        <w:t>(a)</w:t>
      </w:r>
      <w:r>
        <w:tab/>
        <w:t>the deputy chairperson, if any, must act in the chairperson’s place; and</w:t>
      </w:r>
    </w:p>
    <w:p>
      <w:pPr>
        <w:pStyle w:val="Indenta"/>
      </w:pPr>
      <w:r>
        <w:tab/>
        <w:t>(b)</w:t>
      </w:r>
      <w:r>
        <w:tab/>
        <w:t>if there is no deputy chairperson or if the deputy chairperson is unable to act, the Portfolio Minister must designate another director to act in the chairperson’s place.</w:t>
      </w:r>
    </w:p>
    <w:p>
      <w:pPr>
        <w:pStyle w:val="Subsection"/>
      </w:pPr>
      <w:r>
        <w:tab/>
        <w:t>(3)</w:t>
      </w:r>
      <w:r>
        <w:tab/>
        <w:t>The Portfolio Minister cannot, under subsection (1)(a) or (b) or (2)(b), designate a director who is also the GTE’s chief executive officer.</w:t>
      </w:r>
    </w:p>
    <w:p>
      <w:pPr>
        <w:pStyle w:val="Subsection"/>
      </w:pPr>
      <w:r>
        <w:tab/>
        <w:t>(4)</w:t>
      </w:r>
      <w:r>
        <w:tab/>
        <w:t xml:space="preserve">While the deputy chairperson or another director is acting in the chairperson’s place — </w:t>
      </w:r>
    </w:p>
    <w:p>
      <w:pPr>
        <w:pStyle w:val="Indenta"/>
      </w:pPr>
      <w:r>
        <w:lastRenderedPageBreak/>
        <w:tab/>
        <w:t>(a)</w:t>
      </w:r>
      <w:r>
        <w:tab/>
        <w:t>the deputy chairperson or other director is taken to be the chairperson and has the equivalent entitlements of the chairperson; and</w:t>
      </w:r>
    </w:p>
    <w:p>
      <w:pPr>
        <w:pStyle w:val="Indenta"/>
      </w:pPr>
      <w:r>
        <w:tab/>
        <w:t>(b)</w:t>
      </w:r>
      <w:r>
        <w:tab/>
        <w:t>the chairperson, if any, is not entitled to remuneration under section 18, unless the Portfolio Minister approves otherwise.</w:t>
      </w:r>
    </w:p>
    <w:p>
      <w:pPr>
        <w:pStyle w:val="Subsection"/>
      </w:pPr>
      <w:r>
        <w:tab/>
        <w:t>(5)</w:t>
      </w:r>
      <w:r>
        <w:tab/>
        <w:t>An act or omission of the deputy chairperson or another director acting in place of the chairperson cannot be questioned on the ground that the occasion for acting had not arisen or had ceased.</w:t>
      </w:r>
    </w:p>
    <w:p>
      <w:pPr>
        <w:pStyle w:val="Heading5"/>
      </w:pPr>
      <w:bookmarkStart w:id="31" w:name="_Toc182400243"/>
      <w:r>
        <w:rPr>
          <w:rStyle w:val="CharSectno"/>
        </w:rPr>
        <w:t>17</w:t>
      </w:r>
      <w:r>
        <w:t>.</w:t>
      </w:r>
      <w:r>
        <w:tab/>
        <w:t>Terms and conditions of appointment</w:t>
      </w:r>
      <w:bookmarkEnd w:id="31"/>
    </w:p>
    <w:p>
      <w:pPr>
        <w:pStyle w:val="Subsection"/>
      </w:pPr>
      <w:r>
        <w:tab/>
        <w:t>(1)</w:t>
      </w:r>
      <w:r>
        <w:tab/>
        <w:t>The duties of a director of a GTE need not be performed on a full</w:t>
      </w:r>
      <w:r>
        <w:noBreakHyphen/>
        <w:t>time basis.</w:t>
      </w:r>
    </w:p>
    <w:p>
      <w:pPr>
        <w:pStyle w:val="Subsection"/>
      </w:pPr>
      <w:r>
        <w:tab/>
        <w:t>(2)</w:t>
      </w:r>
      <w:r>
        <w:tab/>
        <w:t>A director of a GTE holds office on the terms and conditions of appointment determined by the Portfolio Minister.</w:t>
      </w:r>
    </w:p>
    <w:p>
      <w:pPr>
        <w:pStyle w:val="Subsection"/>
      </w:pPr>
      <w:r>
        <w:tab/>
        <w:t>(3)</w:t>
      </w:r>
      <w:r>
        <w:tab/>
        <w:t xml:space="preserve">A director of a GTE, other than a director who is also the GTE’s chief executive officer — </w:t>
      </w:r>
    </w:p>
    <w:p>
      <w:pPr>
        <w:pStyle w:val="Indenta"/>
      </w:pPr>
      <w:r>
        <w:tab/>
        <w:t>(a)</w:t>
      </w:r>
      <w:r>
        <w:tab/>
        <w:t>holds office for the period, not exceeding 3 years, specified in the instrument of appointment; and</w:t>
      </w:r>
    </w:p>
    <w:p>
      <w:pPr>
        <w:pStyle w:val="Indenta"/>
      </w:pPr>
      <w:r>
        <w:tab/>
        <w:t>(b)</w:t>
      </w:r>
      <w:r>
        <w:tab/>
        <w:t>is eligible for reappointment, but cannot hold office for more than 9 consecutive years.</w:t>
      </w:r>
    </w:p>
    <w:p>
      <w:pPr>
        <w:pStyle w:val="Subsection"/>
      </w:pPr>
      <w:r>
        <w:tab/>
        <w:t>(4)</w:t>
      </w:r>
      <w:r>
        <w:tab/>
        <w:t xml:space="preserve">A director of a GTE who is also the GTE’s chief executive officer — </w:t>
      </w:r>
    </w:p>
    <w:p>
      <w:pPr>
        <w:pStyle w:val="Indenta"/>
      </w:pPr>
      <w:r>
        <w:tab/>
        <w:t>(a)</w:t>
      </w:r>
      <w:r>
        <w:tab/>
        <w:t>holds office for the period specified in the instrument of appointment; and</w:t>
      </w:r>
    </w:p>
    <w:p>
      <w:pPr>
        <w:pStyle w:val="Indenta"/>
      </w:pPr>
      <w:r>
        <w:tab/>
        <w:t>(b)</w:t>
      </w:r>
      <w:r>
        <w:tab/>
        <w:t>is eligible for reappointment.</w:t>
      </w:r>
    </w:p>
    <w:p>
      <w:pPr>
        <w:pStyle w:val="Subsection"/>
      </w:pPr>
      <w:r>
        <w:tab/>
        <w:t>(5)</w:t>
      </w:r>
      <w:r>
        <w:tab/>
        <w:t>The power to determine a director’s remuneration is subject to section 18.</w:t>
      </w:r>
    </w:p>
    <w:p>
      <w:pPr>
        <w:pStyle w:val="Heading5"/>
      </w:pPr>
      <w:bookmarkStart w:id="32" w:name="_Toc182400244"/>
      <w:r>
        <w:rPr>
          <w:rStyle w:val="CharSectno"/>
        </w:rPr>
        <w:lastRenderedPageBreak/>
        <w:t>18</w:t>
      </w:r>
      <w:r>
        <w:t>.</w:t>
      </w:r>
      <w:r>
        <w:tab/>
        <w:t>Remuneration</w:t>
      </w:r>
      <w:bookmarkEnd w:id="32"/>
    </w:p>
    <w:p>
      <w:pPr>
        <w:pStyle w:val="Subsection"/>
        <w:keepNext/>
      </w:pPr>
      <w:r>
        <w:tab/>
        <w:t>(1)</w:t>
      </w:r>
      <w:r>
        <w:tab/>
        <w:t xml:space="preserve">Subsection (2) applies in relation to the remuneration of a director of a GTE while — </w:t>
      </w:r>
    </w:p>
    <w:p>
      <w:pPr>
        <w:pStyle w:val="Indenta"/>
      </w:pPr>
      <w:r>
        <w:tab/>
        <w:t>(a)</w:t>
      </w:r>
      <w:r>
        <w:tab/>
        <w:t>the GTE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pPr>
      <w:r>
        <w:tab/>
        <w:t>(3)</w:t>
      </w:r>
      <w:r>
        <w:tab/>
        <w:t xml:space="preserve">Subsection (4) applies in relation to the remuneration of a director of a GTE while either — </w:t>
      </w:r>
    </w:p>
    <w:p>
      <w:pPr>
        <w:pStyle w:val="Indenta"/>
      </w:pPr>
      <w:r>
        <w:tab/>
        <w:t>(a)</w:t>
      </w:r>
      <w:r>
        <w:tab/>
        <w:t>the GTE is not a Government entity; or</w:t>
      </w:r>
    </w:p>
    <w:p>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pPr>
        <w:pStyle w:val="Subsection"/>
        <w:keepNext/>
      </w:pPr>
      <w:r>
        <w:tab/>
        <w:t>(6)</w:t>
      </w:r>
      <w:r>
        <w:tab/>
        <w:t xml:space="preserve">Despite subsections (1) to (5), a director is not entitled to remuneration under this Division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lastRenderedPageBreak/>
        <w:tab/>
        <w:t>(c)</w:t>
      </w:r>
      <w:r>
        <w:tab/>
        <w:t>a prescribed circumstance applies to or in relation to the director.</w:t>
      </w:r>
    </w:p>
    <w:p>
      <w:pPr>
        <w:pStyle w:val="Subsection"/>
      </w:pPr>
      <w:r>
        <w:tab/>
        <w:t>(7)</w:t>
      </w:r>
      <w:r>
        <w:tab/>
        <w:t>This section, other than subsection (6), has effect subject to section 19.</w:t>
      </w:r>
    </w:p>
    <w:p>
      <w:pPr>
        <w:pStyle w:val="Heading5"/>
      </w:pPr>
      <w:bookmarkStart w:id="33" w:name="_Toc182400245"/>
      <w:r>
        <w:rPr>
          <w:rStyle w:val="CharSectno"/>
        </w:rPr>
        <w:t>19</w:t>
      </w:r>
      <w:r>
        <w:t>.</w:t>
      </w:r>
      <w:r>
        <w:tab/>
        <w:t>Same remuneration for directors of GTE</w:t>
      </w:r>
      <w:bookmarkEnd w:id="33"/>
    </w:p>
    <w:p>
      <w:pPr>
        <w:pStyle w:val="Subsection"/>
      </w:pPr>
      <w:r>
        <w:tab/>
        <w:t>(1)</w:t>
      </w:r>
      <w:r>
        <w:tab/>
        <w:t xml:space="preserve">This section applies to the remuneration of a GTE’s directors, other than of — </w:t>
      </w:r>
    </w:p>
    <w:p>
      <w:pPr>
        <w:pStyle w:val="Indenta"/>
      </w:pPr>
      <w:r>
        <w:tab/>
        <w:t>(a)</w:t>
      </w:r>
      <w:r>
        <w:tab/>
        <w:t>its chairperson; and</w:t>
      </w:r>
    </w:p>
    <w:p>
      <w:pPr>
        <w:pStyle w:val="Indenta"/>
      </w:pPr>
      <w:r>
        <w:tab/>
        <w:t>(b)</w:t>
      </w:r>
      <w:r>
        <w:tab/>
        <w:t>its deputy chairperson; and</w:t>
      </w:r>
    </w:p>
    <w:p>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pPr>
        <w:pStyle w:val="Heading5"/>
      </w:pPr>
      <w:bookmarkStart w:id="34" w:name="_Toc182400246"/>
      <w:r>
        <w:rPr>
          <w:rStyle w:val="CharSectno"/>
        </w:rPr>
        <w:t>20</w:t>
      </w:r>
      <w:r>
        <w:t>.</w:t>
      </w:r>
      <w:r>
        <w:tab/>
        <w:t>Expenses</w:t>
      </w:r>
      <w:bookmarkEnd w:id="34"/>
    </w:p>
    <w:p>
      <w:pPr>
        <w:pStyle w:val="Subsection"/>
      </w:pPr>
      <w:r>
        <w:tab/>
      </w:r>
      <w:r>
        <w:tab/>
        <w:t>A GTE’s director may be reimbursed expenses reasonably incurred in the performance of their functions as a director, as determined by the Portfolio Minister from time to time.</w:t>
      </w:r>
    </w:p>
    <w:p>
      <w:pPr>
        <w:pStyle w:val="Heading5"/>
      </w:pPr>
      <w:bookmarkStart w:id="35" w:name="_Toc182400247"/>
      <w:r>
        <w:rPr>
          <w:rStyle w:val="CharSectno"/>
        </w:rPr>
        <w:t>21</w:t>
      </w:r>
      <w:r>
        <w:t>.</w:t>
      </w:r>
      <w:r>
        <w:tab/>
        <w:t>Casual vacancies</w:t>
      </w:r>
      <w:bookmarkEnd w:id="35"/>
    </w:p>
    <w:p>
      <w:pPr>
        <w:pStyle w:val="Subsection"/>
        <w:keepNext/>
      </w:pPr>
      <w:r>
        <w:tab/>
        <w:t>(1)</w:t>
      </w:r>
      <w:r>
        <w:tab/>
        <w:t xml:space="preserve">The office of a director of a GTE becomes vacant if the director —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lastRenderedPageBreak/>
        <w:tab/>
        <w:t>(2)</w:t>
      </w:r>
      <w:r>
        <w:tab/>
        <w:t>A director of a GTE may at any time resign from office by writing signed and given to the Portfolio Minister.</w:t>
      </w:r>
    </w:p>
    <w:p>
      <w:pPr>
        <w:pStyle w:val="Subsection"/>
      </w:pPr>
      <w:r>
        <w:tab/>
        <w:t>(3)</w:t>
      </w:r>
      <w:r>
        <w:tab/>
        <w:t xml:space="preserve">The resignation takes effect on the later of — </w:t>
      </w:r>
    </w:p>
    <w:p>
      <w:pPr>
        <w:pStyle w:val="Indenta"/>
      </w:pPr>
      <w:r>
        <w:tab/>
        <w:t>(a)</w:t>
      </w:r>
      <w:r>
        <w:tab/>
        <w:t>receipt by the Portfolio Minister; and</w:t>
      </w:r>
    </w:p>
    <w:p>
      <w:pPr>
        <w:pStyle w:val="Indenta"/>
      </w:pPr>
      <w:r>
        <w:tab/>
        <w:t>(b)</w:t>
      </w:r>
      <w:r>
        <w:tab/>
        <w:t>the day specified in the resignation.</w:t>
      </w:r>
    </w:p>
    <w:p>
      <w:pPr>
        <w:pStyle w:val="Subsection"/>
      </w:pPr>
      <w:r>
        <w:tab/>
        <w:t>(4)</w:t>
      </w:r>
      <w:r>
        <w:tab/>
        <w:t>The Portfolio Minister for a GTE may at any time remove a director from the GTE’s board and is not required to give reasons.</w:t>
      </w:r>
    </w:p>
    <w:p>
      <w:pPr>
        <w:pStyle w:val="Heading5"/>
      </w:pPr>
      <w:bookmarkStart w:id="36" w:name="_Toc182400248"/>
      <w:r>
        <w:rPr>
          <w:rStyle w:val="CharSectno"/>
        </w:rPr>
        <w:t>22</w:t>
      </w:r>
      <w:r>
        <w:t>.</w:t>
      </w:r>
      <w:r>
        <w:tab/>
        <w:t>Leave of absence</w:t>
      </w:r>
      <w:bookmarkEnd w:id="36"/>
    </w:p>
    <w:p>
      <w:pPr>
        <w:pStyle w:val="Subsection"/>
      </w:pPr>
      <w:r>
        <w:tab/>
        <w:t>(1)</w:t>
      </w:r>
      <w:r>
        <w:tab/>
        <w:t>A GTE’s board may grant a director leave of absence for a period not exceeding 1 month, on the terms and conditions that it considers appropriate.</w:t>
      </w:r>
    </w:p>
    <w:p>
      <w:pPr>
        <w:pStyle w:val="Subsection"/>
      </w:pPr>
      <w:r>
        <w:tab/>
        <w:t>(2)</w:t>
      </w:r>
      <w:r>
        <w:tab/>
        <w:t>With the prior approval of the Portfolio Minister, a GTE’s board may grant a director leave of absence for a period exceeding 1 month, on the terms and conditions that it considers appropriate.</w:t>
      </w:r>
    </w:p>
    <w:p>
      <w:pPr>
        <w:pStyle w:val="Heading5"/>
      </w:pPr>
      <w:bookmarkStart w:id="37" w:name="_Toc182400249"/>
      <w:r>
        <w:rPr>
          <w:rStyle w:val="CharSectno"/>
        </w:rPr>
        <w:t>23</w:t>
      </w:r>
      <w:r>
        <w:t>.</w:t>
      </w:r>
      <w:r>
        <w:tab/>
        <w:t>Alternate directors</w:t>
      </w:r>
      <w:bookmarkEnd w:id="37"/>
    </w:p>
    <w:p>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pPr>
        <w:pStyle w:val="Subsection"/>
      </w:pPr>
      <w:r>
        <w:tab/>
        <w:t>(2)</w:t>
      </w:r>
      <w:r>
        <w:tab/>
        <w:t>Subsection (1) does not apply in relation to the chairperson of a GTE’s board.</w:t>
      </w:r>
    </w:p>
    <w:p>
      <w:pPr>
        <w:pStyle w:val="PermNoteHeading"/>
      </w:pPr>
      <w:r>
        <w:tab/>
        <w:t>Note for this subsection:</w:t>
      </w:r>
    </w:p>
    <w:p>
      <w:pPr>
        <w:pStyle w:val="PermNoteText"/>
      </w:pPr>
      <w:r>
        <w:tab/>
      </w:r>
      <w:r>
        <w:tab/>
        <w:t>Section 16 makes provision for when a GTE’s chairperson is unable to act.</w:t>
      </w:r>
    </w:p>
    <w:p>
      <w:pPr>
        <w:pStyle w:val="Subsection"/>
      </w:pPr>
      <w:r>
        <w:tab/>
        <w:t>(3)</w:t>
      </w:r>
      <w:r>
        <w:tab/>
        <w:t>In making an appointment under subsection (1), the Portfolio Minister must, to the extent practicable, take into account the directors’ skills matrix of the GTE.</w:t>
      </w:r>
    </w:p>
    <w:p>
      <w:pPr>
        <w:pStyle w:val="Subsection"/>
      </w:pPr>
      <w:r>
        <w:lastRenderedPageBreak/>
        <w:tab/>
        <w:t>(4)</w:t>
      </w:r>
      <w:r>
        <w:tab/>
        <w:t>If a GTE’s director is acting as the chairperson, the Portfolio Minister may, under subsection (1), appoint another person as an alternate director to act temporarily in the director’s place.</w:t>
      </w:r>
    </w:p>
    <w:p>
      <w:pPr>
        <w:pStyle w:val="Subsection"/>
      </w:pPr>
      <w:r>
        <w:tab/>
        <w:t>(5)</w:t>
      </w:r>
      <w:r>
        <w:tab/>
        <w:t>A member of staff of a GTE cannot be appointed as an alternate director of the GTE.</w:t>
      </w:r>
    </w:p>
    <w:p>
      <w:pPr>
        <w:pStyle w:val="Subsection"/>
      </w:pPr>
      <w:r>
        <w:tab/>
        <w:t>(6)</w:t>
      </w:r>
      <w:r>
        <w:tab/>
        <w:t>While acting in accordance with their appointment, an alternate director is taken to be a director of the GTE and to have the equivalent entitlements of the director in whose place they are acting.</w:t>
      </w:r>
    </w:p>
    <w:p>
      <w:pPr>
        <w:pStyle w:val="Subsection"/>
      </w:pPr>
      <w:r>
        <w:tab/>
        <w:t>(7)</w:t>
      </w:r>
      <w:r>
        <w:tab/>
        <w:t>A director is not entitled to remuneration under section 18 while an alternate director is acting in the place of the director, unless the Portfolio Minister approves otherwise.</w:t>
      </w:r>
    </w:p>
    <w:p>
      <w:pPr>
        <w:pStyle w:val="Subsection"/>
      </w:pPr>
      <w:r>
        <w:tab/>
        <w:t>(8)</w:t>
      </w:r>
      <w:r>
        <w:tab/>
        <w:t>An act or omission of an alternate director cannot be questioned on the ground that the occasion for the appointment or acting had not arisen or had ceased.</w:t>
      </w:r>
    </w:p>
    <w:p>
      <w:pPr>
        <w:pStyle w:val="Heading3"/>
      </w:pPr>
      <w:bookmarkStart w:id="38" w:name="_Toc182383488"/>
      <w:bookmarkStart w:id="39" w:name="_Toc182384097"/>
      <w:bookmarkStart w:id="40" w:name="_Toc182400250"/>
      <w:r>
        <w:rPr>
          <w:rStyle w:val="CharDivNo"/>
        </w:rPr>
        <w:t>Division 2</w:t>
      </w:r>
      <w:r>
        <w:t> — </w:t>
      </w:r>
      <w:r>
        <w:rPr>
          <w:rStyle w:val="CharDivText"/>
        </w:rPr>
        <w:t>Review of board performance</w:t>
      </w:r>
      <w:bookmarkEnd w:id="38"/>
      <w:bookmarkEnd w:id="39"/>
      <w:bookmarkEnd w:id="40"/>
    </w:p>
    <w:p>
      <w:pPr>
        <w:pStyle w:val="Heading5"/>
      </w:pPr>
      <w:bookmarkStart w:id="41" w:name="_Toc182400251"/>
      <w:r>
        <w:rPr>
          <w:rStyle w:val="CharSectno"/>
        </w:rPr>
        <w:t>24</w:t>
      </w:r>
      <w:r>
        <w:t>.</w:t>
      </w:r>
      <w:r>
        <w:tab/>
        <w:t>Review of board performance: self</w:t>
      </w:r>
      <w:r>
        <w:noBreakHyphen/>
        <w:t>assessment</w:t>
      </w:r>
      <w:bookmarkEnd w:id="41"/>
    </w:p>
    <w:p>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pPr>
        <w:pStyle w:val="Subsection"/>
      </w:pPr>
      <w:r>
        <w:tab/>
        <w:t>(2)</w:t>
      </w:r>
      <w:r>
        <w:tab/>
        <w:t>The first report of a GTE’s board under this section must cover the period, and be given to the Portfolio Minister within the period, agreed by the Minister and the board.</w:t>
      </w:r>
    </w:p>
    <w:p>
      <w:pPr>
        <w:pStyle w:val="Subsection"/>
      </w:pPr>
      <w:r>
        <w:tab/>
        <w:t>(3)</w:t>
      </w:r>
      <w:r>
        <w:tab/>
        <w:t xml:space="preserve">The report of a GTE’s board must include — </w:t>
      </w:r>
    </w:p>
    <w:p>
      <w:pPr>
        <w:pStyle w:val="Indenta"/>
      </w:pPr>
      <w:r>
        <w:tab/>
        <w:t>(a)</w:t>
      </w:r>
      <w:r>
        <w:tab/>
        <w:t>an assessment, by reference to the GTE’s statement of expectations and annual performance statement, of the board’s performance in governing the GTE; and</w:t>
      </w:r>
    </w:p>
    <w:p>
      <w:pPr>
        <w:pStyle w:val="Indenta"/>
      </w:pPr>
      <w:r>
        <w:lastRenderedPageBreak/>
        <w:tab/>
        <w:t>(b)</w:t>
      </w:r>
      <w:r>
        <w:tab/>
        <w:t>an assessment of the board’s performance, collectively and individually, by reference to self</w:t>
      </w:r>
      <w:r>
        <w:noBreakHyphen/>
        <w:t>assessment criteria agreed by the Portfolio Minister and the Board.</w:t>
      </w:r>
    </w:p>
    <w:p>
      <w:pPr>
        <w:pStyle w:val="Subsection"/>
      </w:pPr>
      <w:r>
        <w:tab/>
        <w:t>(4)</w:t>
      </w:r>
      <w:r>
        <w:tab/>
        <w:t>If a GTE’s board and the Portfolio Minister cannot agree self</w:t>
      </w:r>
      <w:r>
        <w:noBreakHyphen/>
        <w:t>assessment criteria within a reasonable time, the Minister may determine the criteria that are to apply.</w:t>
      </w:r>
    </w:p>
    <w:p>
      <w:pPr>
        <w:pStyle w:val="Heading5"/>
      </w:pPr>
      <w:bookmarkStart w:id="42" w:name="_Toc182400252"/>
      <w:r>
        <w:rPr>
          <w:rStyle w:val="CharSectno"/>
        </w:rPr>
        <w:t>25</w:t>
      </w:r>
      <w:r>
        <w:t>.</w:t>
      </w:r>
      <w:r>
        <w:tab/>
        <w:t>Review of board performance: external review</w:t>
      </w:r>
      <w:bookmarkEnd w:id="42"/>
    </w:p>
    <w:p>
      <w:pPr>
        <w:pStyle w:val="Subsection"/>
      </w:pPr>
      <w:r>
        <w:tab/>
        <w:t>(1)</w:t>
      </w:r>
      <w:r>
        <w:tab/>
        <w:t>A GTE’s board must arrange for its performance to be externally reviewed, and a report to be given to the Portfolio Minister, in accordance with the regulations.</w:t>
      </w:r>
    </w:p>
    <w:p>
      <w:pPr>
        <w:pStyle w:val="Subsection"/>
        <w:keepNext/>
      </w:pPr>
      <w:r>
        <w:tab/>
        <w:t>(2)</w:t>
      </w:r>
      <w:r>
        <w:tab/>
        <w:t xml:space="preserve">The matters that the regulations may deal with include — </w:t>
      </w:r>
    </w:p>
    <w:p>
      <w:pPr>
        <w:pStyle w:val="Indenta"/>
      </w:pPr>
      <w:r>
        <w:tab/>
        <w:t>(a)</w:t>
      </w:r>
      <w:r>
        <w:tab/>
        <w:t>the periodicity of review; and</w:t>
      </w:r>
    </w:p>
    <w:p>
      <w:pPr>
        <w:pStyle w:val="Indenta"/>
      </w:pPr>
      <w:r>
        <w:tab/>
        <w:t>(b)</w:t>
      </w:r>
      <w:r>
        <w:tab/>
        <w:t>the criteria of review, including by providing that some or all of the criteria may be determined by the Portfolio Minister; and</w:t>
      </w:r>
    </w:p>
    <w:p>
      <w:pPr>
        <w:pStyle w:val="Indenta"/>
      </w:pPr>
      <w:r>
        <w:tab/>
        <w:t>(c)</w:t>
      </w:r>
      <w:r>
        <w:tab/>
        <w:t>the process for appointing, and the skills, qualifications and experience of, a reviewer.</w:t>
      </w:r>
    </w:p>
    <w:p>
      <w:pPr>
        <w:pStyle w:val="Subsection"/>
      </w:pPr>
      <w:r>
        <w:tab/>
        <w:t>(3)</w:t>
      </w:r>
      <w:r>
        <w:tab/>
        <w:t>If a GTE’s board does not arrange for external review in accordance with the regulations, the Portfolio Minister may arrange for external review at the expense of the GTE.</w:t>
      </w:r>
    </w:p>
    <w:p>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pPr>
        <w:pStyle w:val="Subsection"/>
      </w:pPr>
      <w:r>
        <w:tab/>
        <w:t>(5)</w:t>
      </w:r>
      <w:r>
        <w:tab/>
        <w:t>The Portfolio Minister is not bound by regulations made for the purposes of subsection (1) when acting under subsection (3) or (4).</w:t>
      </w:r>
    </w:p>
    <w:p>
      <w:pPr>
        <w:pStyle w:val="Heading3"/>
      </w:pPr>
      <w:bookmarkStart w:id="43" w:name="_Toc182383491"/>
      <w:bookmarkStart w:id="44" w:name="_Toc182384100"/>
      <w:bookmarkStart w:id="45" w:name="_Toc182400253"/>
      <w:r>
        <w:rPr>
          <w:rStyle w:val="CharDivNo"/>
        </w:rPr>
        <w:lastRenderedPageBreak/>
        <w:t>Division 3</w:t>
      </w:r>
      <w:r>
        <w:t> — </w:t>
      </w:r>
      <w:r>
        <w:rPr>
          <w:rStyle w:val="CharDivText"/>
        </w:rPr>
        <w:t>Board committees</w:t>
      </w:r>
      <w:bookmarkEnd w:id="43"/>
      <w:bookmarkEnd w:id="44"/>
      <w:bookmarkEnd w:id="45"/>
    </w:p>
    <w:p>
      <w:pPr>
        <w:pStyle w:val="Heading5"/>
      </w:pPr>
      <w:bookmarkStart w:id="46" w:name="_Toc182400254"/>
      <w:r>
        <w:rPr>
          <w:rStyle w:val="CharSectno"/>
        </w:rPr>
        <w:t>26</w:t>
      </w:r>
      <w:r>
        <w:t>.</w:t>
      </w:r>
      <w:r>
        <w:tab/>
        <w:t>Committees</w:t>
      </w:r>
      <w:bookmarkEnd w:id="46"/>
    </w:p>
    <w:p>
      <w:pPr>
        <w:pStyle w:val="Subsection"/>
      </w:pPr>
      <w:r>
        <w:tab/>
        <w:t>(1)</w:t>
      </w:r>
      <w:r>
        <w:tab/>
        <w:t>A GTE’s board may appoint committees to assist it in the performance of its functions, and may alter or discharge any committee.</w:t>
      </w:r>
    </w:p>
    <w:p>
      <w:pPr>
        <w:pStyle w:val="Subsection"/>
      </w:pPr>
      <w:r>
        <w:tab/>
        <w:t>(2)</w:t>
      </w:r>
      <w:r>
        <w:tab/>
        <w:t>A committee may determine its own procedures, to the extent that they are not fixed under this Act, subject to the direction of the board.</w:t>
      </w:r>
    </w:p>
    <w:p>
      <w:pPr>
        <w:pStyle w:val="Subsection"/>
      </w:pPr>
      <w:r>
        <w:tab/>
        <w:t>(3)</w:t>
      </w:r>
      <w:r>
        <w:tab/>
        <w:t>A meeting of a committee cannot proceed unless the number of members of the committee present who are directors of the GTE exceeds the number of members present who are not.</w:t>
      </w:r>
    </w:p>
    <w:p>
      <w:pPr>
        <w:pStyle w:val="Subsection"/>
      </w:pPr>
      <w:r>
        <w:tab/>
        <w:t>(4)</w:t>
      </w:r>
      <w:r>
        <w:tab/>
        <w:t>The regulations may provide for the remuneration of the members of a committee who are not also directors or members of staff of the GTE.</w:t>
      </w:r>
    </w:p>
    <w:p>
      <w:pPr>
        <w:pStyle w:val="Subsection"/>
      </w:pPr>
      <w:r>
        <w:tab/>
        <w:t>(5)</w:t>
      </w:r>
      <w:r>
        <w:tab/>
        <w:t xml:space="preserve">The matters that the regulations may deal with include — </w:t>
      </w:r>
    </w:p>
    <w:p>
      <w:pPr>
        <w:pStyle w:val="Indenta"/>
      </w:pPr>
      <w:r>
        <w:tab/>
        <w:t>(a)</w:t>
      </w:r>
      <w:r>
        <w:tab/>
        <w:t>whether a member is entitled to remuneration; and</w:t>
      </w:r>
    </w:p>
    <w:p>
      <w:pPr>
        <w:pStyle w:val="Indenta"/>
      </w:pPr>
      <w:r>
        <w:tab/>
        <w:t>(b)</w:t>
      </w:r>
      <w:r>
        <w:tab/>
        <w:t xml:space="preserve">whether the remuneration may be determined by the GTE’s board; and </w:t>
      </w:r>
    </w:p>
    <w:p>
      <w:pPr>
        <w:pStyle w:val="Indenta"/>
      </w:pPr>
      <w:r>
        <w:tab/>
        <w:t>(c)</w:t>
      </w:r>
      <w:r>
        <w:tab/>
        <w:t>whether the remuneration must be determined on the recommendation of the Portfolio Minister.</w:t>
      </w:r>
    </w:p>
    <w:p>
      <w:pPr>
        <w:pStyle w:val="Subsection"/>
      </w:pPr>
      <w:r>
        <w:tab/>
        <w:t>(6)</w:t>
      </w:r>
      <w:r>
        <w:tab/>
        <w:t>A member of a committee may be reimbursed expenses reasonably incurred in the performance of their functions as a member of the committee, as determined by the Portfolio Minister from time to time.</w:t>
      </w:r>
    </w:p>
    <w:p>
      <w:pPr>
        <w:pStyle w:val="Subsection"/>
      </w:pPr>
      <w:r>
        <w:tab/>
        <w:t>(7)</w:t>
      </w:r>
      <w:r>
        <w:tab/>
        <w:t>A GTE must provide a committee with the administrative support and facilities the committee reasonably requires for the performance of the committee’s functions.</w:t>
      </w:r>
    </w:p>
    <w:p>
      <w:pPr>
        <w:pStyle w:val="Heading5"/>
      </w:pPr>
      <w:bookmarkStart w:id="47" w:name="_Toc182400255"/>
      <w:r>
        <w:rPr>
          <w:rStyle w:val="CharSectno"/>
        </w:rPr>
        <w:lastRenderedPageBreak/>
        <w:t>27</w:t>
      </w:r>
      <w:r>
        <w:t>.</w:t>
      </w:r>
      <w:r>
        <w:tab/>
        <w:t>Audit and risk management committees</w:t>
      </w:r>
      <w:bookmarkEnd w:id="47"/>
    </w:p>
    <w:p>
      <w:pPr>
        <w:pStyle w:val="Subsection"/>
      </w:pPr>
      <w:r>
        <w:tab/>
        <w:t>(1)</w:t>
      </w:r>
      <w:r>
        <w:tab/>
        <w:t>A GTE’s board must appoint a committee to assist the board in performing its audit and risk management functions.</w:t>
      </w:r>
    </w:p>
    <w:p>
      <w:pPr>
        <w:pStyle w:val="Subsection"/>
      </w:pPr>
      <w:r>
        <w:tab/>
        <w:t>(2)</w:t>
      </w:r>
      <w:r>
        <w:tab/>
        <w:t>A member of a GTE’s audit and risk management committee who is also a director of the GTE is entitled to an allowance determined by the Salaries and Allowances Tribunal.</w:t>
      </w:r>
    </w:p>
    <w:p>
      <w:pPr>
        <w:pStyle w:val="Subsection"/>
      </w:pPr>
      <w:r>
        <w:tab/>
        <w:t>(3)</w:t>
      </w:r>
      <w:r>
        <w:tab/>
        <w:t>The allowance is in addition to any other remuneration to which the director is entitled under this Act.</w:t>
      </w:r>
    </w:p>
    <w:p>
      <w:pPr>
        <w:pStyle w:val="Subsection"/>
      </w:pPr>
      <w:r>
        <w:tab/>
        <w:t>(4)</w:t>
      </w:r>
      <w:r>
        <w:tab/>
        <w:t xml:space="preserve">Despite subsections (2) and (3), a director is not entitled to remuneration under this section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Heading3"/>
      </w:pPr>
      <w:bookmarkStart w:id="48" w:name="_Toc182383494"/>
      <w:bookmarkStart w:id="49" w:name="_Toc182384103"/>
      <w:bookmarkStart w:id="50" w:name="_Toc182400256"/>
      <w:r>
        <w:rPr>
          <w:rStyle w:val="CharDivNo"/>
        </w:rPr>
        <w:t>Division 4</w:t>
      </w:r>
      <w:r>
        <w:t> — </w:t>
      </w:r>
      <w:r>
        <w:rPr>
          <w:rStyle w:val="CharDivText"/>
        </w:rPr>
        <w:t>Board procedures</w:t>
      </w:r>
      <w:bookmarkEnd w:id="48"/>
      <w:bookmarkEnd w:id="49"/>
      <w:bookmarkEnd w:id="50"/>
    </w:p>
    <w:p>
      <w:pPr>
        <w:pStyle w:val="Heading5"/>
      </w:pPr>
      <w:bookmarkStart w:id="51" w:name="_Toc182400257"/>
      <w:r>
        <w:rPr>
          <w:rStyle w:val="CharSectno"/>
        </w:rPr>
        <w:t>28</w:t>
      </w:r>
      <w:r>
        <w:t>.</w:t>
      </w:r>
      <w:r>
        <w:tab/>
        <w:t>Holding meetings</w:t>
      </w:r>
      <w:bookmarkEnd w:id="51"/>
    </w:p>
    <w:p>
      <w:pPr>
        <w:pStyle w:val="Subsection"/>
      </w:pPr>
      <w:r>
        <w:tab/>
        <w:t>(1)</w:t>
      </w:r>
      <w:r>
        <w:tab/>
        <w:t>Meetings of a GTE’s board must be held at times and places determined by the board.</w:t>
      </w:r>
    </w:p>
    <w:p>
      <w:pPr>
        <w:pStyle w:val="Subsection"/>
      </w:pPr>
      <w:r>
        <w:tab/>
        <w:t>(2)</w:t>
      </w:r>
      <w:r>
        <w:tab/>
        <w:t>A GTE’s board must meet at least 6 times a year.</w:t>
      </w:r>
    </w:p>
    <w:p>
      <w:pPr>
        <w:pStyle w:val="Subsection"/>
      </w:pPr>
      <w:r>
        <w:tab/>
        <w:t>(3)</w:t>
      </w:r>
      <w:r>
        <w:tab/>
        <w:t xml:space="preserve">A special meeting of a GTE’s board — </w:t>
      </w:r>
    </w:p>
    <w:p>
      <w:pPr>
        <w:pStyle w:val="Indenta"/>
      </w:pPr>
      <w:r>
        <w:tab/>
        <w:t>(a)</w:t>
      </w:r>
      <w:r>
        <w:tab/>
        <w:t>may be convened by the chairperson at any time; and</w:t>
      </w:r>
    </w:p>
    <w:p>
      <w:pPr>
        <w:pStyle w:val="Indenta"/>
      </w:pPr>
      <w:r>
        <w:tab/>
        <w:t>(b)</w:t>
      </w:r>
      <w:r>
        <w:tab/>
        <w:t>must be convened by the chairperson if 2 or more directors request the chairperson to do so.</w:t>
      </w:r>
    </w:p>
    <w:p>
      <w:pPr>
        <w:pStyle w:val="Heading5"/>
      </w:pPr>
      <w:bookmarkStart w:id="52" w:name="_Toc182400258"/>
      <w:r>
        <w:rPr>
          <w:rStyle w:val="CharSectno"/>
        </w:rPr>
        <w:t>29</w:t>
      </w:r>
      <w:r>
        <w:t>.</w:t>
      </w:r>
      <w:r>
        <w:tab/>
        <w:t>Quorum</w:t>
      </w:r>
      <w:bookmarkEnd w:id="52"/>
    </w:p>
    <w:p>
      <w:pPr>
        <w:pStyle w:val="Subsection"/>
      </w:pPr>
      <w:r>
        <w:tab/>
      </w:r>
      <w:r>
        <w:tab/>
        <w:t>The quorum for a meeting of a GTE’s board is one</w:t>
      </w:r>
      <w:r>
        <w:noBreakHyphen/>
        <w:t>half of the number of directors.</w:t>
      </w:r>
    </w:p>
    <w:p>
      <w:pPr>
        <w:pStyle w:val="Heading5"/>
      </w:pPr>
      <w:bookmarkStart w:id="53" w:name="_Toc182400259"/>
      <w:r>
        <w:rPr>
          <w:rStyle w:val="CharSectno"/>
        </w:rPr>
        <w:lastRenderedPageBreak/>
        <w:t>30</w:t>
      </w:r>
      <w:r>
        <w:t>.</w:t>
      </w:r>
      <w:r>
        <w:tab/>
        <w:t>Presiding members</w:t>
      </w:r>
      <w:bookmarkEnd w:id="53"/>
    </w:p>
    <w:p>
      <w:pPr>
        <w:pStyle w:val="Subsection"/>
      </w:pPr>
      <w:r>
        <w:tab/>
        <w:t>(1)</w:t>
      </w:r>
      <w:r>
        <w:tab/>
        <w:t>The chairperson, if present, must preside at a meeting of a GTE’s board.</w:t>
      </w:r>
    </w:p>
    <w:p>
      <w:pPr>
        <w:pStyle w:val="Subsection"/>
      </w:pPr>
      <w:r>
        <w:tab/>
        <w:t>(2)</w:t>
      </w:r>
      <w:r>
        <w:tab/>
        <w:t>Otherwise, the directors present at the meeting must elect 1 of their number to preside.</w:t>
      </w:r>
    </w:p>
    <w:p>
      <w:pPr>
        <w:pStyle w:val="Heading5"/>
      </w:pPr>
      <w:bookmarkStart w:id="54" w:name="_Toc182400260"/>
      <w:r>
        <w:rPr>
          <w:rStyle w:val="CharSectno"/>
        </w:rPr>
        <w:t>31</w:t>
      </w:r>
      <w:r>
        <w:t>.</w:t>
      </w:r>
      <w:r>
        <w:tab/>
        <w:t>Procedure</w:t>
      </w:r>
      <w:bookmarkEnd w:id="54"/>
    </w:p>
    <w:p>
      <w:pPr>
        <w:pStyle w:val="Subsection"/>
      </w:pPr>
      <w:r>
        <w:tab/>
      </w:r>
      <w:r>
        <w:tab/>
        <w:t>A GTE’s board may determine its own procedures to the extent that they are not fixed under this Act.</w:t>
      </w:r>
    </w:p>
    <w:p>
      <w:pPr>
        <w:pStyle w:val="Heading5"/>
      </w:pPr>
      <w:bookmarkStart w:id="55" w:name="_Toc182400261"/>
      <w:r>
        <w:rPr>
          <w:rStyle w:val="CharSectno"/>
        </w:rPr>
        <w:t>32</w:t>
      </w:r>
      <w:r>
        <w:t>.</w:t>
      </w:r>
      <w:r>
        <w:tab/>
        <w:t>Presence at meetings may be remote</w:t>
      </w:r>
      <w:bookmarkEnd w:id="55"/>
    </w:p>
    <w:p>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pPr>
        <w:pStyle w:val="Heading5"/>
      </w:pPr>
      <w:bookmarkStart w:id="56" w:name="_Toc182400262"/>
      <w:r>
        <w:rPr>
          <w:rStyle w:val="CharSectno"/>
        </w:rPr>
        <w:t>33</w:t>
      </w:r>
      <w:r>
        <w:t>.</w:t>
      </w:r>
      <w:r>
        <w:tab/>
        <w:t>Voting</w:t>
      </w:r>
      <w:bookmarkEnd w:id="56"/>
    </w:p>
    <w:p>
      <w:pPr>
        <w:pStyle w:val="Subsection"/>
      </w:pPr>
      <w:r>
        <w:tab/>
        <w:t>(1)</w:t>
      </w:r>
      <w:r>
        <w:tab/>
        <w:t>Each director present at a meeting of a GTE’s board has a deliberative vote, unless they are prevented from voting under section 59.</w:t>
      </w:r>
    </w:p>
    <w:p>
      <w:pPr>
        <w:pStyle w:val="Subsection"/>
      </w:pPr>
      <w:r>
        <w:tab/>
        <w:t>(2)</w:t>
      </w:r>
      <w:r>
        <w:tab/>
        <w:t>A question is resolved by a majority of the votes cast.</w:t>
      </w:r>
    </w:p>
    <w:p>
      <w:pPr>
        <w:pStyle w:val="Subsection"/>
      </w:pPr>
      <w:r>
        <w:tab/>
        <w:t>(3)</w:t>
      </w:r>
      <w:r>
        <w:tab/>
        <w:t>In the case of an equality of votes, the person presiding has a casting vote in addition to a deliberative vote.</w:t>
      </w:r>
    </w:p>
    <w:p>
      <w:pPr>
        <w:pStyle w:val="Heading5"/>
      </w:pPr>
      <w:bookmarkStart w:id="57" w:name="_Toc182400263"/>
      <w:r>
        <w:rPr>
          <w:rStyle w:val="CharSectno"/>
        </w:rPr>
        <w:t>34</w:t>
      </w:r>
      <w:r>
        <w:t>.</w:t>
      </w:r>
      <w:r>
        <w:tab/>
        <w:t>Resolution without meeting</w:t>
      </w:r>
      <w:bookmarkEnd w:id="57"/>
    </w:p>
    <w:p>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pPr>
        <w:pStyle w:val="Subsection"/>
      </w:pPr>
      <w:r>
        <w:lastRenderedPageBreak/>
        <w:tab/>
        <w:t>(2)</w:t>
      </w:r>
      <w:r>
        <w:tab/>
        <w:t>Separate copies of a document may be used for signing by directors if the wording of the resolution and statement is identical in each copy.</w:t>
      </w:r>
    </w:p>
    <w:p>
      <w:pPr>
        <w:pStyle w:val="Subsection"/>
      </w:pPr>
      <w:r>
        <w:tab/>
        <w:t>(3)</w:t>
      </w:r>
      <w:r>
        <w:tab/>
        <w:t>The resolution is passed when the last director signs.</w:t>
      </w:r>
    </w:p>
    <w:p>
      <w:pPr>
        <w:pStyle w:val="Subsection"/>
      </w:pPr>
      <w:r>
        <w:tab/>
        <w:t>(4)</w:t>
      </w:r>
      <w:r>
        <w:tab/>
        <w:t>The resolution must be recorded in the minutes of the board’s next meeting.</w:t>
      </w:r>
    </w:p>
    <w:p>
      <w:pPr>
        <w:pStyle w:val="Subsection"/>
      </w:pPr>
      <w:r>
        <w:tab/>
        <w:t>(5)</w:t>
      </w:r>
      <w:r>
        <w:tab/>
        <w:t>Section 59 has effect as if the resolution were being voted on at a meeting of the GTE’s board.</w:t>
      </w:r>
    </w:p>
    <w:p>
      <w:pPr>
        <w:pStyle w:val="Heading5"/>
      </w:pPr>
      <w:bookmarkStart w:id="58" w:name="_Toc182400264"/>
      <w:r>
        <w:rPr>
          <w:rStyle w:val="CharSectno"/>
        </w:rPr>
        <w:t>35</w:t>
      </w:r>
      <w:r>
        <w:t>.</w:t>
      </w:r>
      <w:r>
        <w:tab/>
        <w:t>Minutes to be kept</w:t>
      </w:r>
      <w:bookmarkEnd w:id="58"/>
    </w:p>
    <w:p>
      <w:pPr>
        <w:pStyle w:val="Subsection"/>
      </w:pPr>
      <w:r>
        <w:tab/>
      </w:r>
      <w:r>
        <w:tab/>
        <w:t>A GTE’s board must ensure that accurate records of the proceedings of the board are kept.</w:t>
      </w:r>
    </w:p>
    <w:p>
      <w:pPr>
        <w:pStyle w:val="Heading2"/>
      </w:pPr>
      <w:bookmarkStart w:id="59" w:name="_Toc182383503"/>
      <w:bookmarkStart w:id="60" w:name="_Toc182384112"/>
      <w:bookmarkStart w:id="61" w:name="_Toc182400265"/>
      <w:r>
        <w:rPr>
          <w:rStyle w:val="CharPartNo"/>
        </w:rPr>
        <w:lastRenderedPageBreak/>
        <w:t>Part 4</w:t>
      </w:r>
      <w:r>
        <w:rPr>
          <w:rStyle w:val="CharDivNo"/>
        </w:rPr>
        <w:t> </w:t>
      </w:r>
      <w:r>
        <w:t>—</w:t>
      </w:r>
      <w:r>
        <w:rPr>
          <w:rStyle w:val="CharDivText"/>
        </w:rPr>
        <w:t> </w:t>
      </w:r>
      <w:r>
        <w:rPr>
          <w:rStyle w:val="CharPartText"/>
        </w:rPr>
        <w:t>CEOs</w:t>
      </w:r>
      <w:bookmarkEnd w:id="59"/>
      <w:bookmarkEnd w:id="60"/>
      <w:bookmarkEnd w:id="61"/>
    </w:p>
    <w:p>
      <w:pPr>
        <w:pStyle w:val="Heading5"/>
      </w:pPr>
      <w:bookmarkStart w:id="62" w:name="_Toc182400266"/>
      <w:r>
        <w:rPr>
          <w:rStyle w:val="CharSectno"/>
        </w:rPr>
        <w:t>36</w:t>
      </w:r>
      <w:r>
        <w:t>.</w:t>
      </w:r>
      <w:r>
        <w:tab/>
        <w:t>GTE’s chief executive officer</w:t>
      </w:r>
      <w:bookmarkEnd w:id="62"/>
    </w:p>
    <w:p>
      <w:pPr>
        <w:pStyle w:val="Subsection"/>
      </w:pPr>
      <w:r>
        <w:tab/>
        <w:t>(1)</w:t>
      </w:r>
      <w:r>
        <w:tab/>
        <w:t>A GTE must have a chief executive officer.</w:t>
      </w:r>
    </w:p>
    <w:p>
      <w:pPr>
        <w:pStyle w:val="Subsection"/>
      </w:pPr>
      <w:r>
        <w:tab/>
        <w:t>(2)</w:t>
      </w:r>
      <w:r>
        <w:tab/>
        <w:t>The chief executive officer is to administer the GTE’s day</w:t>
      </w:r>
      <w:r>
        <w:noBreakHyphen/>
        <w:t>to</w:t>
      </w:r>
      <w:r>
        <w:noBreakHyphen/>
        <w:t>day operations, subject to the control of the GTE’s board.</w:t>
      </w:r>
    </w:p>
    <w:p>
      <w:pPr>
        <w:pStyle w:val="Heading5"/>
      </w:pPr>
      <w:bookmarkStart w:id="63" w:name="_Toc182400267"/>
      <w:r>
        <w:rPr>
          <w:rStyle w:val="CharSectno"/>
        </w:rPr>
        <w:t>37</w:t>
      </w:r>
      <w:r>
        <w:t>.</w:t>
      </w:r>
      <w:r>
        <w:tab/>
        <w:t>Appointment</w:t>
      </w:r>
      <w:bookmarkEnd w:id="63"/>
    </w:p>
    <w:p>
      <w:pPr>
        <w:pStyle w:val="Subsection"/>
      </w:pPr>
      <w:r>
        <w:tab/>
        <w:t>(1)</w:t>
      </w:r>
      <w:r>
        <w:tab/>
        <w:t>A GTE’s chief executive officer is appointed by, and may be removed by, the GTE’s board.</w:t>
      </w:r>
    </w:p>
    <w:p>
      <w:pPr>
        <w:pStyle w:val="Subsection"/>
      </w:pPr>
      <w:r>
        <w:tab/>
        <w:t>(2)</w:t>
      </w:r>
      <w:r>
        <w:tab/>
        <w:t>The chief executive officer must be appointed on a full</w:t>
      </w:r>
      <w:r>
        <w:noBreakHyphen/>
        <w:t>time basis.</w:t>
      </w:r>
    </w:p>
    <w:p>
      <w:pPr>
        <w:pStyle w:val="Subsection"/>
      </w:pPr>
      <w:r>
        <w:tab/>
        <w:t>(3)</w:t>
      </w:r>
      <w:r>
        <w:tab/>
        <w:t xml:space="preserve">The chief executive officer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The chief executive officer holds office on the terms and conditions of appointment determined by the GTE’s board.</w:t>
      </w:r>
    </w:p>
    <w:p>
      <w:pPr>
        <w:pStyle w:val="Subsection"/>
      </w:pPr>
      <w:r>
        <w:tab/>
        <w:t>(5)</w:t>
      </w:r>
      <w:r>
        <w:tab/>
        <w:t>The powers in this section, other than the power to determine remuneration, can only be exercised with the approval of the Portfolio Minister.</w:t>
      </w:r>
    </w:p>
    <w:p>
      <w:pPr>
        <w:pStyle w:val="Subsection"/>
      </w:pPr>
      <w:r>
        <w:tab/>
        <w:t>(6)</w:t>
      </w:r>
      <w:r>
        <w:tab/>
        <w:t>The power to determine the chief executive officer’s remuneration is subject to section 39.</w:t>
      </w:r>
    </w:p>
    <w:p>
      <w:pPr>
        <w:pStyle w:val="Heading5"/>
      </w:pPr>
      <w:bookmarkStart w:id="64" w:name="_Toc182400268"/>
      <w:r>
        <w:rPr>
          <w:rStyle w:val="CharSectno"/>
        </w:rPr>
        <w:t>38</w:t>
      </w:r>
      <w:r>
        <w:t>.</w:t>
      </w:r>
      <w:r>
        <w:tab/>
        <w:t>Selection criteria</w:t>
      </w:r>
      <w:bookmarkEnd w:id="64"/>
    </w:p>
    <w:p>
      <w:pPr>
        <w:pStyle w:val="Subsection"/>
      </w:pPr>
      <w:r>
        <w:tab/>
        <w:t>(1)</w:t>
      </w:r>
      <w:r>
        <w:tab/>
        <w:t>A GTE’s board and the Portfolio Minister must endeavour to agree selection criteria for the office of the GTE’s chief executive officer.</w:t>
      </w:r>
    </w:p>
    <w:p>
      <w:pPr>
        <w:pStyle w:val="Subsection"/>
      </w:pPr>
      <w:r>
        <w:tab/>
        <w:t>(2)</w:t>
      </w:r>
      <w:r>
        <w:tab/>
        <w:t>The board and the Portfolio Minister may, by agreement, amend or replace the selection criteria from time to time.</w:t>
      </w:r>
    </w:p>
    <w:p>
      <w:pPr>
        <w:pStyle w:val="Subsection"/>
      </w:pPr>
      <w:r>
        <w:lastRenderedPageBreak/>
        <w:tab/>
        <w:t>(3)</w:t>
      </w:r>
      <w:r>
        <w:tab/>
        <w:t>A GTE’s board must take into account the selection criteria when appointing the GTE’s chief executive officer.</w:t>
      </w:r>
    </w:p>
    <w:p>
      <w:pPr>
        <w:pStyle w:val="Subsection"/>
      </w:pPr>
      <w:r>
        <w:tab/>
        <w:t>(4)</w:t>
      </w:r>
      <w:r>
        <w:tab/>
        <w:t xml:space="preserve">The regulations may — </w:t>
      </w:r>
    </w:p>
    <w:p>
      <w:pPr>
        <w:pStyle w:val="Indenta"/>
      </w:pPr>
      <w:r>
        <w:tab/>
        <w:t>(a)</w:t>
      </w:r>
      <w:r>
        <w:tab/>
        <w:t>deal with the process by which selection criteria may be agreed, amended, reviewed or replaced; and</w:t>
      </w:r>
    </w:p>
    <w:p>
      <w:pPr>
        <w:pStyle w:val="Indenta"/>
      </w:pPr>
      <w:r>
        <w:tab/>
        <w:t>(b)</w:t>
      </w:r>
      <w:r>
        <w:tab/>
        <w:t>provide for the occasions on which selection criteria must be reviewed or amended; and</w:t>
      </w:r>
    </w:p>
    <w:p>
      <w:pPr>
        <w:pStyle w:val="Indenta"/>
      </w:pPr>
      <w:r>
        <w:tab/>
        <w:t>(c)</w:t>
      </w:r>
      <w:r>
        <w:tab/>
        <w:t>provide for selection criteria in the absence of agreement, including by providing that some or all of the criteria may be determined by the Portfolio Minister; and</w:t>
      </w:r>
    </w:p>
    <w:p>
      <w:pPr>
        <w:pStyle w:val="Indenta"/>
      </w:pPr>
      <w:r>
        <w:tab/>
        <w:t>(d)</w:t>
      </w:r>
      <w:r>
        <w:tab/>
        <w:t>provide for the content of selection criteria.</w:t>
      </w:r>
    </w:p>
    <w:p>
      <w:pPr>
        <w:pStyle w:val="Heading5"/>
      </w:pPr>
      <w:bookmarkStart w:id="65" w:name="_Toc182400269"/>
      <w:r>
        <w:rPr>
          <w:rStyle w:val="CharSectno"/>
        </w:rPr>
        <w:t>39</w:t>
      </w:r>
      <w:r>
        <w:t>.</w:t>
      </w:r>
      <w:r>
        <w:tab/>
        <w:t>Remuneration</w:t>
      </w:r>
      <w:bookmarkEnd w:id="65"/>
    </w:p>
    <w:p>
      <w:pPr>
        <w:pStyle w:val="Subsection"/>
      </w:pPr>
      <w:r>
        <w:tab/>
        <w:t>(1)</w:t>
      </w:r>
      <w:r>
        <w:tab/>
        <w:t xml:space="preserve">Subsections (2) and (3) apply in relation to the remuneration of a GTE’s chief executive officer while — </w:t>
      </w:r>
    </w:p>
    <w:p>
      <w:pPr>
        <w:pStyle w:val="Indenta"/>
      </w:pPr>
      <w:r>
        <w:tab/>
        <w:t>(a)</w:t>
      </w:r>
      <w:r>
        <w:tab/>
        <w:t>the GTE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keepNext/>
      </w:pPr>
      <w:r>
        <w:tab/>
        <w:t>(4)</w:t>
      </w:r>
      <w:r>
        <w:tab/>
        <w:t xml:space="preserve">Subsection (5) applies in relation to the remuneration of a GTE’s chief executive officer while either — </w:t>
      </w:r>
    </w:p>
    <w:p>
      <w:pPr>
        <w:pStyle w:val="Indenta"/>
      </w:pPr>
      <w:r>
        <w:tab/>
        <w:t>(a)</w:t>
      </w:r>
      <w:r>
        <w:tab/>
        <w:t>the GTE is not a Government entity; or</w:t>
      </w:r>
    </w:p>
    <w:p>
      <w:pPr>
        <w:pStyle w:val="Indenta"/>
      </w:pPr>
      <w:r>
        <w:lastRenderedPageBreak/>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pPr>
        <w:pStyle w:val="Heading5"/>
      </w:pPr>
      <w:bookmarkStart w:id="66" w:name="_Toc182400270"/>
      <w:r>
        <w:rPr>
          <w:rStyle w:val="CharSectno"/>
        </w:rPr>
        <w:t>40</w:t>
      </w:r>
      <w:r>
        <w:t>.</w:t>
      </w:r>
      <w:r>
        <w:tab/>
        <w:t>Resignation</w:t>
      </w:r>
      <w:bookmarkEnd w:id="66"/>
    </w:p>
    <w:p>
      <w:pPr>
        <w:pStyle w:val="Subsection"/>
      </w:pPr>
      <w:r>
        <w:tab/>
        <w:t>(1)</w:t>
      </w:r>
      <w:r>
        <w:tab/>
        <w:t>A GTE’s chief executive officer may at any time resign from office by writing signed and given to the chairperson of the GTE’s board.</w:t>
      </w:r>
    </w:p>
    <w:p>
      <w:pPr>
        <w:pStyle w:val="Subsection"/>
      </w:pPr>
      <w:r>
        <w:tab/>
        <w:t>(2)</w:t>
      </w:r>
      <w:r>
        <w:tab/>
        <w:t xml:space="preserve">The resignation takes effect on the later of — </w:t>
      </w:r>
    </w:p>
    <w:p>
      <w:pPr>
        <w:pStyle w:val="Indenta"/>
      </w:pPr>
      <w:r>
        <w:tab/>
        <w:t>(a)</w:t>
      </w:r>
      <w:r>
        <w:tab/>
        <w:t>receipt by the chairperson; and</w:t>
      </w:r>
    </w:p>
    <w:p>
      <w:pPr>
        <w:pStyle w:val="Indenta"/>
      </w:pPr>
      <w:r>
        <w:tab/>
        <w:t>(b)</w:t>
      </w:r>
      <w:r>
        <w:tab/>
        <w:t>the day specified in the resignation.</w:t>
      </w:r>
    </w:p>
    <w:p>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pPr>
        <w:pStyle w:val="Subsection"/>
      </w:pPr>
      <w:r>
        <w:tab/>
        <w:t>(4)</w:t>
      </w:r>
      <w:r>
        <w:tab/>
        <w:t>As soon as practicable after receiving a resignation, the chairperson must notify the Portfolio Minister of the resignation.</w:t>
      </w:r>
    </w:p>
    <w:p>
      <w:pPr>
        <w:pStyle w:val="Heading5"/>
      </w:pPr>
      <w:bookmarkStart w:id="67" w:name="_Toc182400271"/>
      <w:r>
        <w:rPr>
          <w:rStyle w:val="CharSectno"/>
        </w:rPr>
        <w:lastRenderedPageBreak/>
        <w:t>41</w:t>
      </w:r>
      <w:r>
        <w:t>.</w:t>
      </w:r>
      <w:r>
        <w:tab/>
        <w:t>Acting chief executive officer</w:t>
      </w:r>
      <w:bookmarkEnd w:id="67"/>
    </w:p>
    <w:p>
      <w:pPr>
        <w:pStyle w:val="Subsection"/>
        <w:keepNext/>
      </w:pPr>
      <w:r>
        <w:tab/>
        <w:t>(1)</w:t>
      </w:r>
      <w:r>
        <w:tab/>
        <w:t xml:space="preserve">A GTE’s board may appoint a person to act in place of the GTE’s chief executive officer — </w:t>
      </w:r>
    </w:p>
    <w:p>
      <w:pPr>
        <w:pStyle w:val="Indenta"/>
      </w:pPr>
      <w:r>
        <w:tab/>
        <w:t>(a)</w:t>
      </w:r>
      <w:r>
        <w:tab/>
        <w:t>during a vacancy in that office; or</w:t>
      </w:r>
    </w:p>
    <w:p>
      <w:pPr>
        <w:pStyle w:val="Indenta"/>
      </w:pPr>
      <w:r>
        <w:tab/>
        <w:t>(b)</w:t>
      </w:r>
      <w:r>
        <w:tab/>
        <w:t>during any period when the chief executive officer is unable to act.</w:t>
      </w:r>
    </w:p>
    <w:p>
      <w:pPr>
        <w:pStyle w:val="Subsection"/>
      </w:pPr>
      <w:r>
        <w:tab/>
        <w:t>(2)</w:t>
      </w:r>
      <w:r>
        <w:tab/>
        <w:t>A person cannot act in place of a GTE’s chief executive officer for a continuous period of more than 3 months without the Portfolio Minister’s approval.</w:t>
      </w:r>
    </w:p>
    <w:p>
      <w:pPr>
        <w:pStyle w:val="Subsection"/>
      </w:pPr>
      <w:r>
        <w:tab/>
        <w:t>(3)</w:t>
      </w:r>
      <w:r>
        <w:tab/>
        <w:t>A person cannot act in place of a GTE’s chief executive officer for a continuous period of more than 12 months.</w:t>
      </w:r>
    </w:p>
    <w:p>
      <w:pPr>
        <w:pStyle w:val="Subsection"/>
      </w:pPr>
      <w:r>
        <w:tab/>
        <w:t>(4)</w:t>
      </w:r>
      <w:r>
        <w:tab/>
        <w:t>An act or omission of a person acting in place of a GTE’s chief executive officer cannot be questioned on the ground that the occasion for the appointment or acting had not arisen or had ceased.</w:t>
      </w:r>
    </w:p>
    <w:p>
      <w:pPr>
        <w:pStyle w:val="Heading5"/>
      </w:pPr>
      <w:bookmarkStart w:id="68" w:name="_Toc182400272"/>
      <w:r>
        <w:rPr>
          <w:rStyle w:val="CharSectno"/>
        </w:rPr>
        <w:t>42</w:t>
      </w:r>
      <w:r>
        <w:t>.</w:t>
      </w:r>
      <w:r>
        <w:tab/>
        <w:t>Review of CEO’s performance</w:t>
      </w:r>
      <w:bookmarkEnd w:id="68"/>
    </w:p>
    <w:p>
      <w:pPr>
        <w:pStyle w:val="Subsection"/>
      </w:pPr>
      <w:r>
        <w:tab/>
      </w:r>
      <w:r>
        <w:tab/>
        <w:t>A GTE’s board must review the chief executive officer’s performance at least annually.</w:t>
      </w:r>
    </w:p>
    <w:p>
      <w:pPr>
        <w:pStyle w:val="Heading2"/>
      </w:pPr>
      <w:bookmarkStart w:id="69" w:name="_Toc182383511"/>
      <w:bookmarkStart w:id="70" w:name="_Toc182384120"/>
      <w:bookmarkStart w:id="71" w:name="_Toc182400273"/>
      <w:r>
        <w:rPr>
          <w:rStyle w:val="CharPartNo"/>
        </w:rPr>
        <w:lastRenderedPageBreak/>
        <w:t>Part 5</w:t>
      </w:r>
      <w:r>
        <w:t> — </w:t>
      </w:r>
      <w:r>
        <w:rPr>
          <w:rStyle w:val="CharPartText"/>
        </w:rPr>
        <w:t>Duties of directors, CEOs and staff</w:t>
      </w:r>
      <w:bookmarkEnd w:id="69"/>
      <w:bookmarkEnd w:id="70"/>
      <w:bookmarkEnd w:id="71"/>
    </w:p>
    <w:p>
      <w:pPr>
        <w:pStyle w:val="Heading3"/>
      </w:pPr>
      <w:bookmarkStart w:id="72" w:name="_Toc182383512"/>
      <w:bookmarkStart w:id="73" w:name="_Toc182384121"/>
      <w:bookmarkStart w:id="74" w:name="_Toc182400274"/>
      <w:r>
        <w:rPr>
          <w:rStyle w:val="CharDivNo"/>
        </w:rPr>
        <w:t>Division 1</w:t>
      </w:r>
      <w:r>
        <w:t> — </w:t>
      </w:r>
      <w:r>
        <w:rPr>
          <w:rStyle w:val="CharDivText"/>
        </w:rPr>
        <w:t>Preliminary</w:t>
      </w:r>
      <w:bookmarkEnd w:id="72"/>
      <w:bookmarkEnd w:id="73"/>
      <w:bookmarkEnd w:id="74"/>
    </w:p>
    <w:p>
      <w:pPr>
        <w:pStyle w:val="Heading5"/>
      </w:pPr>
      <w:bookmarkStart w:id="75" w:name="_Toc182400275"/>
      <w:r>
        <w:rPr>
          <w:rStyle w:val="CharSectno"/>
        </w:rPr>
        <w:t>43</w:t>
      </w:r>
      <w:r>
        <w:t>.</w:t>
      </w:r>
      <w:r>
        <w:tab/>
        <w:t>Executive officers</w:t>
      </w:r>
      <w:bookmarkEnd w:id="75"/>
    </w:p>
    <w:p>
      <w:pPr>
        <w:pStyle w:val="Subsection"/>
      </w:pPr>
      <w:r>
        <w:tab/>
        <w:t>(1)</w:t>
      </w:r>
      <w:r>
        <w:tab/>
        <w:t>A GTE’s board may designate a member of staff as an executive officer for the purposes of this Part.</w:t>
      </w:r>
    </w:p>
    <w:p>
      <w:pPr>
        <w:pStyle w:val="Subsection"/>
      </w:pPr>
      <w:r>
        <w:tab/>
        <w:t>(2)</w:t>
      </w:r>
      <w:r>
        <w:tab/>
        <w:t>The designation does not have effect until the member of staff is notified in writing.</w:t>
      </w:r>
    </w:p>
    <w:p>
      <w:pPr>
        <w:pStyle w:val="Heading5"/>
      </w:pPr>
      <w:bookmarkStart w:id="76" w:name="_Toc182400276"/>
      <w:r>
        <w:rPr>
          <w:rStyle w:val="CharSectno"/>
        </w:rPr>
        <w:t>44</w:t>
      </w:r>
      <w:r>
        <w:t>.</w:t>
      </w:r>
      <w:r>
        <w:tab/>
        <w:t>Attempts</w:t>
      </w:r>
      <w:bookmarkEnd w:id="76"/>
    </w:p>
    <w:p>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pPr>
        <w:pStyle w:val="Heading3"/>
      </w:pPr>
      <w:bookmarkStart w:id="77" w:name="_Toc182383515"/>
      <w:bookmarkStart w:id="78" w:name="_Toc182384124"/>
      <w:bookmarkStart w:id="79" w:name="_Toc182400277"/>
      <w:r>
        <w:rPr>
          <w:rStyle w:val="CharDivNo"/>
        </w:rPr>
        <w:t>Division 2</w:t>
      </w:r>
      <w:r>
        <w:t> — </w:t>
      </w:r>
      <w:r>
        <w:rPr>
          <w:rStyle w:val="CharDivText"/>
        </w:rPr>
        <w:t>Duties stated</w:t>
      </w:r>
      <w:bookmarkEnd w:id="77"/>
      <w:bookmarkEnd w:id="78"/>
      <w:bookmarkEnd w:id="79"/>
    </w:p>
    <w:p>
      <w:pPr>
        <w:pStyle w:val="Heading5"/>
      </w:pPr>
      <w:bookmarkStart w:id="80" w:name="_Toc182400278"/>
      <w:r>
        <w:rPr>
          <w:rStyle w:val="CharSectno"/>
        </w:rPr>
        <w:t>45</w:t>
      </w:r>
      <w:r>
        <w:t>.</w:t>
      </w:r>
      <w:r>
        <w:tab/>
        <w:t>Fiduciary relationship with, and duties to, GTE</w:t>
      </w:r>
      <w:bookmarkEnd w:id="80"/>
    </w:p>
    <w:p>
      <w:pPr>
        <w:pStyle w:val="Subsection"/>
      </w:pPr>
      <w:r>
        <w:tab/>
        <w:t>(1)</w:t>
      </w:r>
      <w:r>
        <w:tab/>
        <w:t xml:space="preserve">A GTE’s directors and chief executive officer each have — </w:t>
      </w:r>
    </w:p>
    <w:p>
      <w:pPr>
        <w:pStyle w:val="Indenta"/>
      </w:pPr>
      <w:r>
        <w:tab/>
        <w:t>(a)</w:t>
      </w:r>
      <w:r>
        <w:tab/>
        <w:t>the same fiduciary relationship with the GTE as a director of a company incorporated under the Corporations Act has with the company; and</w:t>
      </w:r>
    </w:p>
    <w:p>
      <w:pPr>
        <w:pStyle w:val="Indenta"/>
      </w:pPr>
      <w:r>
        <w:tab/>
        <w:t>(b)</w:t>
      </w:r>
      <w:r>
        <w:tab/>
        <w:t>the same duties to the GTE to act with loyalty and in good faith, in advancing the purpose of the GTE, as a director of a company incorporated under the Corporations Act has to the company.</w:t>
      </w:r>
    </w:p>
    <w:p>
      <w:pPr>
        <w:pStyle w:val="Subsection"/>
      </w:pPr>
      <w:r>
        <w:tab/>
        <w:t>(2)</w:t>
      </w:r>
      <w:r>
        <w:tab/>
        <w:t>The duties of a GTE’s directors under subsection (1) are enforceable by the GTE Minister or the Portfolio Minister and not otherwise.</w:t>
      </w:r>
    </w:p>
    <w:p>
      <w:pPr>
        <w:pStyle w:val="Subsection"/>
      </w:pPr>
      <w:r>
        <w:tab/>
        <w:t>(3)</w:t>
      </w:r>
      <w:r>
        <w:tab/>
        <w:t>The duties of a GTE’s chief executive officer under subsection (1) are enforceable by the GTE’s board and not otherwise.</w:t>
      </w:r>
    </w:p>
    <w:p>
      <w:pPr>
        <w:pStyle w:val="Subsection"/>
      </w:pPr>
      <w:r>
        <w:lastRenderedPageBreak/>
        <w:tab/>
        <w:t>(4)</w:t>
      </w:r>
      <w:r>
        <w:tab/>
        <w:t>The duties under sections 46 to 51 are in addition to those under subsection (1).</w:t>
      </w:r>
    </w:p>
    <w:p>
      <w:pPr>
        <w:pStyle w:val="Heading5"/>
      </w:pPr>
      <w:bookmarkStart w:id="81" w:name="_Toc182400279"/>
      <w:r>
        <w:rPr>
          <w:rStyle w:val="CharSectno"/>
        </w:rPr>
        <w:t>46</w:t>
      </w:r>
      <w:r>
        <w:t>.</w:t>
      </w:r>
      <w:r>
        <w:tab/>
        <w:t>Care and diligence</w:t>
      </w:r>
      <w:bookmarkEnd w:id="81"/>
    </w:p>
    <w:p>
      <w:pPr>
        <w:pStyle w:val="Subsection"/>
      </w:pPr>
      <w:r>
        <w:tab/>
        <w:t>(1)</w:t>
      </w:r>
      <w:r>
        <w:tab/>
        <w:t xml:space="preserve">In this section — </w:t>
      </w:r>
    </w:p>
    <w:p>
      <w:pPr>
        <w:pStyle w:val="Defstart"/>
      </w:pPr>
      <w:r>
        <w:tab/>
      </w:r>
      <w:r>
        <w:rPr>
          <w:rStyle w:val="CharDefText"/>
        </w:rPr>
        <w:t>business judgment</w:t>
      </w:r>
      <w:r>
        <w:t>, in relation to a GTE, means any decision to take or not take action in respect of a matter relevant to the business operations of the GTE.</w:t>
      </w:r>
    </w:p>
    <w:p>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pPr>
        <w:pStyle w:val="Indenta"/>
      </w:pPr>
      <w:r>
        <w:tab/>
        <w:t>(a)</w:t>
      </w:r>
      <w:r>
        <w:tab/>
        <w:t>were a director or officer of a corporation in the GTE’s circumstances; and</w:t>
      </w:r>
    </w:p>
    <w:p>
      <w:pPr>
        <w:pStyle w:val="Indenta"/>
      </w:pPr>
      <w:r>
        <w:tab/>
        <w:t>(b)</w:t>
      </w:r>
      <w:r>
        <w:tab/>
        <w:t>occupied the office held by, and had the same responsibilities within the GTE as, the director or officer.</w:t>
      </w:r>
    </w:p>
    <w:p>
      <w:pPr>
        <w:pStyle w:val="Subsection"/>
      </w:pPr>
      <w:r>
        <w:tab/>
        <w:t>(3)</w:t>
      </w:r>
      <w:r>
        <w:tab/>
        <w:t>A person commits an offence if they contravene subsection (2).</w:t>
      </w:r>
    </w:p>
    <w:p>
      <w:pPr>
        <w:pStyle w:val="Penstart"/>
      </w:pPr>
      <w:r>
        <w:tab/>
        <w:t>Penalty for this subsection: a fine of $5 000.</w:t>
      </w:r>
    </w:p>
    <w:p>
      <w:pPr>
        <w:pStyle w:val="Subsection"/>
      </w:pPr>
      <w:r>
        <w:tab/>
        <w:t>(4)</w:t>
      </w:r>
      <w:r>
        <w:tab/>
        <w:t xml:space="preserve">A director or officer of a GTE who makes a business judgment is taken to meet the requirements of subsection (2), and their duties under section 45(1), in respect of the judgment if they — </w:t>
      </w:r>
    </w:p>
    <w:p>
      <w:pPr>
        <w:pStyle w:val="Indenta"/>
      </w:pPr>
      <w:r>
        <w:tab/>
        <w:t>(a)</w:t>
      </w:r>
      <w:r>
        <w:tab/>
        <w:t>make the judgment in good faith for a proper purpose;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GTE.</w:t>
      </w:r>
    </w:p>
    <w:p>
      <w:pPr>
        <w:pStyle w:val="Subsection"/>
      </w:pPr>
      <w:r>
        <w:lastRenderedPageBreak/>
        <w:tab/>
        <w:t>(5)</w:t>
      </w:r>
      <w:r>
        <w:tab/>
        <w:t>A director’s or officer’s belief that a judgment is in the best interests of the GTE is a rational one unless the belief is one that no reasonable person in their position would hold.</w:t>
      </w:r>
    </w:p>
    <w:p>
      <w:pPr>
        <w:pStyle w:val="Heading5"/>
      </w:pPr>
      <w:bookmarkStart w:id="82" w:name="_Toc182400280"/>
      <w:r>
        <w:rPr>
          <w:rStyle w:val="CharSectno"/>
        </w:rPr>
        <w:t>47</w:t>
      </w:r>
      <w:r>
        <w:t>.</w:t>
      </w:r>
      <w:r>
        <w:tab/>
        <w:t>Good faith and proper purpose</w:t>
      </w:r>
      <w:bookmarkEnd w:id="82"/>
    </w:p>
    <w:p>
      <w:pPr>
        <w:pStyle w:val="Subsection"/>
      </w:pPr>
      <w:r>
        <w:tab/>
        <w:t>(1)</w:t>
      </w:r>
      <w:r>
        <w:tab/>
        <w:t xml:space="preserve">A director or chief executive officer of a GTE must perform the functions of their office — </w:t>
      </w:r>
    </w:p>
    <w:p>
      <w:pPr>
        <w:pStyle w:val="Indenta"/>
      </w:pPr>
      <w:r>
        <w:tab/>
        <w:t>(a)</w:t>
      </w:r>
      <w:r>
        <w:tab/>
        <w:t>in good faith in the best interests of the GTE; and</w:t>
      </w:r>
    </w:p>
    <w:p>
      <w:pPr>
        <w:pStyle w:val="Indenta"/>
      </w:pPr>
      <w:r>
        <w:tab/>
        <w:t>(b)</w:t>
      </w:r>
      <w:r>
        <w:tab/>
        <w:t>for a proper purpose.</w:t>
      </w:r>
    </w:p>
    <w:p>
      <w:pPr>
        <w:pStyle w:val="Subsection"/>
      </w:pPr>
      <w:r>
        <w:tab/>
        <w:t>(2)</w:t>
      </w:r>
      <w:r>
        <w:tab/>
        <w:t>A person commits an offence if they contravene subsection (1).</w:t>
      </w:r>
    </w:p>
    <w:p>
      <w:pPr>
        <w:pStyle w:val="Penstart"/>
      </w:pPr>
      <w:r>
        <w:tab/>
        <w:t>Penalty for this subsection: a fine of $5 000.</w:t>
      </w:r>
    </w:p>
    <w:p>
      <w:pPr>
        <w:pStyle w:val="Subsection"/>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83" w:name="_Toc182400281"/>
      <w:r>
        <w:rPr>
          <w:rStyle w:val="CharSectno"/>
        </w:rPr>
        <w:t>48</w:t>
      </w:r>
      <w:r>
        <w:t>.</w:t>
      </w:r>
      <w:r>
        <w:tab/>
        <w:t>Honesty</w:t>
      </w:r>
      <w:bookmarkEnd w:id="83"/>
    </w:p>
    <w:p>
      <w:pPr>
        <w:pStyle w:val="Subsection"/>
      </w:pPr>
      <w:r>
        <w:tab/>
        <w:t>(1)</w:t>
      </w:r>
      <w:r>
        <w:tab/>
        <w:t>A director, chief executive officer or executive officer of a GTE must at all times act honestly in the performance of the functions of their office.</w:t>
      </w:r>
    </w:p>
    <w:p>
      <w:pPr>
        <w:pStyle w:val="Subsection"/>
      </w:pPr>
      <w:r>
        <w:tab/>
        <w:t>(2)</w:t>
      </w:r>
      <w:r>
        <w:tab/>
        <w:t>A person commits an offence if they contravene subsection (1).</w:t>
      </w:r>
    </w:p>
    <w:p>
      <w:pPr>
        <w:pStyle w:val="Penstart"/>
      </w:pPr>
      <w:r>
        <w:tab/>
        <w:t>Penalty for this subsection: a fine of $5 000.</w:t>
      </w:r>
    </w:p>
    <w:p>
      <w:pPr>
        <w:pStyle w:val="Subsection"/>
        <w:keepNext/>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keepNext/>
      </w:pPr>
      <w:r>
        <w:lastRenderedPageBreak/>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84" w:name="_Toc182400282"/>
      <w:r>
        <w:rPr>
          <w:rStyle w:val="CharSectno"/>
        </w:rPr>
        <w:t>49</w:t>
      </w:r>
      <w:r>
        <w:t>.</w:t>
      </w:r>
      <w:r>
        <w:tab/>
        <w:t>False or misleading information</w:t>
      </w:r>
      <w:bookmarkEnd w:id="84"/>
    </w:p>
    <w:p>
      <w:pPr>
        <w:pStyle w:val="Subsection"/>
      </w:pPr>
      <w:r>
        <w:tab/>
        <w:t>(1)</w:t>
      </w:r>
      <w:r>
        <w:tab/>
        <w:t xml:space="preserve">In this section — </w:t>
      </w:r>
    </w:p>
    <w:p>
      <w:pPr>
        <w:pStyle w:val="Defstart"/>
      </w:pPr>
      <w:r>
        <w:tab/>
      </w:r>
      <w:r>
        <w:rPr>
          <w:rStyle w:val="CharDefText"/>
        </w:rPr>
        <w:t>false or misleading information</w:t>
      </w:r>
      <w:r>
        <w:t xml:space="preserve"> means, subject to subsection (2), information provided, whether in documentary or any other form — </w:t>
      </w:r>
    </w:p>
    <w:p>
      <w:pPr>
        <w:pStyle w:val="Defpara"/>
      </w:pPr>
      <w:r>
        <w:tab/>
        <w:t>(a)</w:t>
      </w:r>
      <w:r>
        <w:tab/>
        <w:t>that relates to the affairs of a GTE (including information as to the state of knowledge of the person providing it with respect to the affairs of the GTE); and</w:t>
      </w:r>
    </w:p>
    <w:p>
      <w:pPr>
        <w:pStyle w:val="Defpara"/>
      </w:pPr>
      <w:r>
        <w:tab/>
        <w:t>(b)</w:t>
      </w:r>
      <w:r>
        <w:tab/>
        <w:t xml:space="preserve">that — </w:t>
      </w:r>
    </w:p>
    <w:p>
      <w:pPr>
        <w:pStyle w:val="Defsubpara"/>
      </w:pPr>
      <w:r>
        <w:tab/>
        <w:t>(i)</w:t>
      </w:r>
      <w:r>
        <w:tab/>
        <w:t>is false or misleading in a material particular; or</w:t>
      </w:r>
    </w:p>
    <w:p>
      <w:pPr>
        <w:pStyle w:val="Defsubpara"/>
      </w:pPr>
      <w:r>
        <w:tab/>
        <w:t>(ii)</w:t>
      </w:r>
      <w:r>
        <w:tab/>
        <w:t>has omitted from it a matter or thing, the omission of which renders the information misleading in a material respect;</w:t>
      </w:r>
    </w:p>
    <w:p>
      <w:pPr>
        <w:pStyle w:val="Defstart"/>
      </w:pPr>
      <w:r>
        <w:tab/>
      </w:r>
      <w:r>
        <w:rPr>
          <w:rStyle w:val="CharDefText"/>
        </w:rPr>
        <w:t>provide</w:t>
      </w:r>
      <w:r>
        <w:t xml:space="preserve">, in relation to information, means — </w:t>
      </w:r>
    </w:p>
    <w:p>
      <w:pPr>
        <w:pStyle w:val="Defpara"/>
      </w:pPr>
      <w:r>
        <w:tab/>
        <w:t>(a)</w:t>
      </w:r>
      <w:r>
        <w:tab/>
        <w:t>make available or furnish the information; and</w:t>
      </w:r>
    </w:p>
    <w:p>
      <w:pPr>
        <w:pStyle w:val="Defpara"/>
      </w:pPr>
      <w:r>
        <w:tab/>
        <w:t>(b)</w:t>
      </w:r>
      <w:r>
        <w:tab/>
        <w:t>authorise or permit the making available or furnishing of the information;</w:t>
      </w:r>
    </w:p>
    <w:p>
      <w:pPr>
        <w:pStyle w:val="Defstart"/>
      </w:pPr>
      <w:r>
        <w:tab/>
      </w:r>
      <w:r>
        <w:rPr>
          <w:rStyle w:val="CharDefText"/>
        </w:rPr>
        <w:t>relevant official</w:t>
      </w:r>
      <w:r>
        <w:t>, in relation to a GTE, means</w:t>
      </w:r>
    </w:p>
    <w:p>
      <w:pPr>
        <w:pStyle w:val="Defpara"/>
      </w:pPr>
      <w:r>
        <w:tab/>
        <w:t>(a)</w:t>
      </w:r>
      <w:r>
        <w:tab/>
        <w:t>the Treasurer, the GTE Minister or the GTE’s Portfolio Minister; or</w:t>
      </w:r>
    </w:p>
    <w:p>
      <w:pPr>
        <w:pStyle w:val="Defpara"/>
      </w:pPr>
      <w:r>
        <w:tab/>
        <w:t>(b)</w:t>
      </w:r>
      <w:r>
        <w:tab/>
        <w:t>a director or auditor of the GTE.</w:t>
      </w:r>
    </w:p>
    <w:p>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pPr>
        <w:pStyle w:val="Subsection"/>
        <w:rPr>
          <w:snapToGrid w:val="0"/>
        </w:rPr>
      </w:pPr>
      <w:r>
        <w:lastRenderedPageBreak/>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pPr>
        <w:pStyle w:val="Penstart"/>
        <w:rPr>
          <w:snapToGrid w:val="0"/>
        </w:rPr>
      </w:pPr>
      <w:r>
        <w:tab/>
        <w:t xml:space="preserve">Penalty for this subsection: </w:t>
      </w:r>
      <w:r>
        <w:rPr>
          <w:snapToGrid w:val="0"/>
        </w:rPr>
        <w:t>imprisonment for 2 years and a fine of $10 000.</w:t>
      </w:r>
    </w:p>
    <w:p>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pPr>
        <w:pStyle w:val="Penstart"/>
        <w:rPr>
          <w:snapToGrid w:val="0"/>
        </w:rPr>
      </w:pPr>
      <w:r>
        <w:tab/>
        <w:t xml:space="preserve">Penalty for this subsection: </w:t>
      </w:r>
      <w:r>
        <w:rPr>
          <w:snapToGrid w:val="0"/>
        </w:rPr>
        <w:t>imprisonment for 1 year and a fine of $5 000.</w:t>
      </w:r>
    </w:p>
    <w:p>
      <w:pPr>
        <w:pStyle w:val="Heading5"/>
      </w:pPr>
      <w:bookmarkStart w:id="85" w:name="_Toc182400283"/>
      <w:r>
        <w:rPr>
          <w:rStyle w:val="CharSectno"/>
        </w:rPr>
        <w:t>50</w:t>
      </w:r>
      <w:r>
        <w:t>.</w:t>
      </w:r>
      <w:r>
        <w:tab/>
        <w:t>Use of position</w:t>
      </w:r>
      <w:bookmarkEnd w:id="85"/>
    </w:p>
    <w:p>
      <w:pPr>
        <w:pStyle w:val="Subsection"/>
      </w:pPr>
      <w:r>
        <w:tab/>
        <w:t>(1)</w:t>
      </w:r>
      <w:r>
        <w:tab/>
        <w:t xml:space="preserve">A director, chief executive officer or member of staff of a GTE must not improperly use their position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keepLines w:val="0"/>
      </w:pPr>
      <w:bookmarkStart w:id="86" w:name="_Toc182400284"/>
      <w:r>
        <w:rPr>
          <w:rStyle w:val="CharSectno"/>
        </w:rPr>
        <w:lastRenderedPageBreak/>
        <w:t>51</w:t>
      </w:r>
      <w:r>
        <w:t>.</w:t>
      </w:r>
      <w:r>
        <w:tab/>
        <w:t>Use of information</w:t>
      </w:r>
      <w:bookmarkEnd w:id="86"/>
    </w:p>
    <w:p>
      <w:pPr>
        <w:pStyle w:val="Subsection"/>
      </w:pPr>
      <w:r>
        <w:tab/>
        <w:t>(1)</w:t>
      </w:r>
      <w:r>
        <w:tab/>
        <w:t xml:space="preserve">A person who obtains information because they are, or have been, a director, chief executive officer or member of staff of a GTE must not improperly use the information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pPr>
      <w:bookmarkStart w:id="87" w:name="_Toc182400285"/>
      <w:r>
        <w:rPr>
          <w:rStyle w:val="CharSectno"/>
        </w:rPr>
        <w:t>52</w:t>
      </w:r>
      <w:r>
        <w:t>.</w:t>
      </w:r>
      <w:r>
        <w:tab/>
        <w:t>Conflict of duties: public service officers</w:t>
      </w:r>
      <w:bookmarkEnd w:id="87"/>
    </w:p>
    <w:p>
      <w:pPr>
        <w:pStyle w:val="Subsection"/>
      </w:pPr>
      <w:r>
        <w:tab/>
      </w:r>
      <w:r>
        <w:tab/>
        <w:t xml:space="preserve">If a director of a GTE is also a public service officer — </w:t>
      </w:r>
    </w:p>
    <w:p>
      <w:pPr>
        <w:pStyle w:val="Indenta"/>
      </w:pPr>
      <w:r>
        <w:tab/>
        <w:t>(a)</w:t>
      </w:r>
      <w:r>
        <w:tab/>
        <w:t>the person’s duties as a director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Heading3"/>
      </w:pPr>
      <w:bookmarkStart w:id="88" w:name="_Toc182383524"/>
      <w:bookmarkStart w:id="89" w:name="_Toc182384133"/>
      <w:bookmarkStart w:id="90" w:name="_Toc182400286"/>
      <w:r>
        <w:rPr>
          <w:rStyle w:val="CharDivNo"/>
        </w:rPr>
        <w:lastRenderedPageBreak/>
        <w:t>Division 3</w:t>
      </w:r>
      <w:r>
        <w:t> — </w:t>
      </w:r>
      <w:r>
        <w:rPr>
          <w:rStyle w:val="CharDivText"/>
        </w:rPr>
        <w:t>Remedies for breach of duties</w:t>
      </w:r>
      <w:bookmarkEnd w:id="88"/>
      <w:bookmarkEnd w:id="89"/>
      <w:bookmarkEnd w:id="90"/>
    </w:p>
    <w:p>
      <w:pPr>
        <w:pStyle w:val="Heading5"/>
      </w:pPr>
      <w:bookmarkStart w:id="91" w:name="_Toc182400287"/>
      <w:r>
        <w:rPr>
          <w:rStyle w:val="CharSectno"/>
        </w:rPr>
        <w:t>53</w:t>
      </w:r>
      <w:r>
        <w:t>.</w:t>
      </w:r>
      <w:r>
        <w:tab/>
        <w:t>Civil proceedings for breach of duties</w:t>
      </w:r>
      <w:bookmarkEnd w:id="91"/>
    </w:p>
    <w:p>
      <w:pPr>
        <w:pStyle w:val="Subsection"/>
        <w:keepNext/>
      </w:pPr>
      <w:r>
        <w:tab/>
        <w:t>(1)</w:t>
      </w:r>
      <w:r>
        <w:tab/>
        <w:t xml:space="preserve">This section applies if a person contravenes section 46, 47, 48, 50 or 51, and 1 or both of the following is the case — </w:t>
      </w:r>
    </w:p>
    <w:p>
      <w:pPr>
        <w:pStyle w:val="Indenta"/>
      </w:pPr>
      <w:r>
        <w:tab/>
        <w:t>(a)</w:t>
      </w:r>
      <w:r>
        <w:tab/>
        <w:t>the person or any other person made a profit as a result of the contravention;</w:t>
      </w:r>
    </w:p>
    <w:p>
      <w:pPr>
        <w:pStyle w:val="Indenta"/>
      </w:pPr>
      <w:r>
        <w:tab/>
        <w:t>(b)</w:t>
      </w:r>
      <w:r>
        <w:tab/>
        <w:t>the GTE suffered loss or damage as a result of the contravention.</w:t>
      </w:r>
    </w:p>
    <w:p>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pPr>
        <w:pStyle w:val="Heading5"/>
      </w:pPr>
      <w:bookmarkStart w:id="92" w:name="_Toc182400288"/>
      <w:r>
        <w:rPr>
          <w:rStyle w:val="CharSectno"/>
        </w:rPr>
        <w:t>54</w:t>
      </w:r>
      <w:r>
        <w:t>.</w:t>
      </w:r>
      <w:r>
        <w:tab/>
        <w:t>Compensation for breach of duties</w:t>
      </w:r>
      <w:bookmarkEnd w:id="92"/>
    </w:p>
    <w:p>
      <w:pPr>
        <w:pStyle w:val="Subsection"/>
      </w:pPr>
      <w:r>
        <w:tab/>
        <w:t>(1)</w:t>
      </w:r>
      <w:r>
        <w:tab/>
        <w:t>This section applies if a person is convicted of an offence against section 46, 47, 48, 50 or 51.</w:t>
      </w:r>
    </w:p>
    <w:p>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pPr>
        <w:pStyle w:val="Subsection"/>
      </w:pPr>
      <w:r>
        <w:tab/>
        <w:t>(3)</w:t>
      </w:r>
      <w:r>
        <w:tab/>
        <w:t>An order under this section may be enforced as if it were a judgment of the court.</w:t>
      </w:r>
    </w:p>
    <w:p>
      <w:pPr>
        <w:pStyle w:val="Heading3"/>
      </w:pPr>
      <w:bookmarkStart w:id="93" w:name="_Toc182383527"/>
      <w:bookmarkStart w:id="94" w:name="_Toc182384136"/>
      <w:bookmarkStart w:id="95" w:name="_Toc182400289"/>
      <w:r>
        <w:rPr>
          <w:rStyle w:val="CharDivNo"/>
        </w:rPr>
        <w:t>Division 4</w:t>
      </w:r>
      <w:r>
        <w:t> — </w:t>
      </w:r>
      <w:r>
        <w:rPr>
          <w:rStyle w:val="CharDivText"/>
        </w:rPr>
        <w:t>Relief from liability</w:t>
      </w:r>
      <w:bookmarkEnd w:id="93"/>
      <w:bookmarkEnd w:id="94"/>
      <w:bookmarkEnd w:id="95"/>
    </w:p>
    <w:p>
      <w:pPr>
        <w:pStyle w:val="Heading5"/>
      </w:pPr>
      <w:bookmarkStart w:id="96" w:name="_Toc182400290"/>
      <w:r>
        <w:rPr>
          <w:rStyle w:val="CharSectno"/>
        </w:rPr>
        <w:t>55</w:t>
      </w:r>
      <w:r>
        <w:t>.</w:t>
      </w:r>
      <w:r>
        <w:tab/>
        <w:t>Relief from liability</w:t>
      </w:r>
      <w:bookmarkEnd w:id="96"/>
    </w:p>
    <w:p>
      <w:pPr>
        <w:pStyle w:val="Subsection"/>
        <w:keepNext/>
      </w:pPr>
      <w:r>
        <w:tab/>
        <w:t>(1)</w:t>
      </w:r>
      <w:r>
        <w:tab/>
        <w:t xml:space="preserve">This section applies if, in proceedings under section 45, 53 or 54, it appears to the court that a person is, or may be, liable under that section but the person — </w:t>
      </w:r>
    </w:p>
    <w:p>
      <w:pPr>
        <w:pStyle w:val="Indenta"/>
      </w:pPr>
      <w:r>
        <w:tab/>
        <w:t>(a)</w:t>
      </w:r>
      <w:r>
        <w:tab/>
        <w:t>has acted honestly; and</w:t>
      </w:r>
    </w:p>
    <w:p>
      <w:pPr>
        <w:pStyle w:val="Indenta"/>
      </w:pPr>
      <w:r>
        <w:lastRenderedPageBreak/>
        <w:tab/>
        <w:t>(b)</w:t>
      </w:r>
      <w:r>
        <w:tab/>
        <w:t>ought fairly to be excused having regard to all the circumstances of the case, including those connected with the person’s appointment.</w:t>
      </w:r>
    </w:p>
    <w:p>
      <w:pPr>
        <w:pStyle w:val="Subsection"/>
      </w:pPr>
      <w:r>
        <w:tab/>
        <w:t>(2)</w:t>
      </w:r>
      <w:r>
        <w:tab/>
        <w:t>The court may relieve the person either wholly or partly from liability on any terms (including as to costs) the court thinks appropriate.</w:t>
      </w:r>
    </w:p>
    <w:p>
      <w:pPr>
        <w:pStyle w:val="Heading5"/>
      </w:pPr>
      <w:bookmarkStart w:id="97" w:name="_Toc182400291"/>
      <w:r>
        <w:rPr>
          <w:rStyle w:val="CharSectno"/>
        </w:rPr>
        <w:t>56</w:t>
      </w:r>
      <w:r>
        <w:t>.</w:t>
      </w:r>
      <w:r>
        <w:tab/>
        <w:t>Application for relief from liability</w:t>
      </w:r>
      <w:bookmarkEnd w:id="97"/>
    </w:p>
    <w:p>
      <w:pPr>
        <w:pStyle w:val="Subsection"/>
      </w:pPr>
      <w:r>
        <w:tab/>
        <w:t>(1)</w:t>
      </w:r>
      <w:r>
        <w:tab/>
        <w:t>If a person has reason to believe that a claim may or will be made against them under section 45, 53 or 54, the person may apply to the Supreme Court for relief.</w:t>
      </w:r>
    </w:p>
    <w:p>
      <w:pPr>
        <w:pStyle w:val="Subsection"/>
      </w:pPr>
      <w:r>
        <w:tab/>
        <w:t>(2)</w:t>
      </w:r>
      <w:r>
        <w:tab/>
        <w:t xml:space="preserve">The court may relieve the person either wholly or partly from liability, on any terms (including as to costs) the court thinks appropriate, if it appears to the court that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Heading3"/>
      </w:pPr>
      <w:bookmarkStart w:id="98" w:name="_Toc182383530"/>
      <w:bookmarkStart w:id="99" w:name="_Toc182384139"/>
      <w:bookmarkStart w:id="100" w:name="_Toc182400292"/>
      <w:r>
        <w:rPr>
          <w:rStyle w:val="CharDivNo"/>
        </w:rPr>
        <w:t>Division 5</w:t>
      </w:r>
      <w:r>
        <w:t> — </w:t>
      </w:r>
      <w:r>
        <w:rPr>
          <w:rStyle w:val="CharDivText"/>
        </w:rPr>
        <w:t>Disclosure of material personal interests</w:t>
      </w:r>
      <w:bookmarkEnd w:id="98"/>
      <w:bookmarkEnd w:id="99"/>
      <w:bookmarkEnd w:id="100"/>
    </w:p>
    <w:p>
      <w:pPr>
        <w:pStyle w:val="Heading4"/>
      </w:pPr>
      <w:bookmarkStart w:id="101" w:name="_Toc182383531"/>
      <w:bookmarkStart w:id="102" w:name="_Toc182384140"/>
      <w:bookmarkStart w:id="103" w:name="_Toc182400293"/>
      <w:r>
        <w:t>Subdivision 1 — Directors</w:t>
      </w:r>
      <w:bookmarkEnd w:id="101"/>
      <w:bookmarkEnd w:id="102"/>
      <w:bookmarkEnd w:id="103"/>
    </w:p>
    <w:p>
      <w:pPr>
        <w:pStyle w:val="Heading5"/>
      </w:pPr>
      <w:bookmarkStart w:id="104" w:name="_Toc182400294"/>
      <w:r>
        <w:rPr>
          <w:rStyle w:val="CharSectno"/>
        </w:rPr>
        <w:t>57</w:t>
      </w:r>
      <w:r>
        <w:t>.</w:t>
      </w:r>
      <w:r>
        <w:tab/>
        <w:t>Term used: committee</w:t>
      </w:r>
      <w:bookmarkEnd w:id="104"/>
    </w:p>
    <w:p>
      <w:pPr>
        <w:pStyle w:val="Subsection"/>
      </w:pPr>
      <w:r>
        <w:tab/>
      </w:r>
      <w:r>
        <w:tab/>
        <w:t xml:space="preserve">In this Subdivision — </w:t>
      </w:r>
    </w:p>
    <w:p>
      <w:pPr>
        <w:pStyle w:val="Defstart"/>
      </w:pPr>
      <w:r>
        <w:tab/>
      </w:r>
      <w:r>
        <w:rPr>
          <w:rStyle w:val="CharDefText"/>
        </w:rPr>
        <w:t>committee</w:t>
      </w:r>
      <w:r>
        <w:t>, in relation to a GTE, means a committee of the GTE’s board.</w:t>
      </w:r>
    </w:p>
    <w:p>
      <w:pPr>
        <w:pStyle w:val="Heading5"/>
      </w:pPr>
      <w:bookmarkStart w:id="105" w:name="_Toc182400295"/>
      <w:r>
        <w:rPr>
          <w:rStyle w:val="CharSectno"/>
        </w:rPr>
        <w:t>58</w:t>
      </w:r>
      <w:r>
        <w:t>.</w:t>
      </w:r>
      <w:r>
        <w:tab/>
        <w:t>Disclosure of material personal interests</w:t>
      </w:r>
      <w:bookmarkEnd w:id="105"/>
    </w:p>
    <w:p>
      <w:pPr>
        <w:pStyle w:val="Subsection"/>
        <w:keepNext/>
      </w:pPr>
      <w:r>
        <w:tab/>
        <w:t>(1)</w:t>
      </w:r>
      <w:r>
        <w:tab/>
        <w:t xml:space="preserve">A director of a GTE who has a material personal interest in a matter that relates to the GTE’s affairs must, as soon as practicable after the relevant facts become known to the </w:t>
      </w:r>
      <w:r>
        <w:lastRenderedPageBreak/>
        <w:t>director, disclose the nature and extent of the interest to the other directors.</w:t>
      </w:r>
    </w:p>
    <w:p>
      <w:pPr>
        <w:pStyle w:val="Penstart"/>
      </w:pPr>
      <w:r>
        <w:tab/>
        <w:t>Penalty for this subsection: a fine of $10 000.</w:t>
      </w:r>
    </w:p>
    <w:p>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pPr>
        <w:pStyle w:val="Penstart"/>
      </w:pPr>
      <w:r>
        <w:tab/>
        <w:t>Penalty for this subsection: a fine of $10 000.</w:t>
      </w:r>
    </w:p>
    <w:p>
      <w:pPr>
        <w:pStyle w:val="Subsection"/>
      </w:pPr>
      <w:r>
        <w:tab/>
        <w:t>(3)</w:t>
      </w:r>
      <w:r>
        <w:tab/>
        <w:t>Subsections (1) and (2) both apply to a director of a GTE who is also a member of a committee.</w:t>
      </w:r>
    </w:p>
    <w:p>
      <w:pPr>
        <w:pStyle w:val="Subsection"/>
      </w:pPr>
      <w:r>
        <w:tab/>
        <w:t>(4)</w:t>
      </w:r>
      <w:r>
        <w:tab/>
        <w:t xml:space="preserve">A director or member of a committee may fulfil a duty to disclose the nature and extent of a material personal interest by — </w:t>
      </w:r>
    </w:p>
    <w:p>
      <w:pPr>
        <w:pStyle w:val="Indenta"/>
      </w:pPr>
      <w:r>
        <w:tab/>
        <w:t>(a)</w:t>
      </w:r>
      <w:r>
        <w:tab/>
        <w:t>making the disclosure at a meeting of the board or committee; or</w:t>
      </w:r>
    </w:p>
    <w:p>
      <w:pPr>
        <w:pStyle w:val="Indenta"/>
      </w:pPr>
      <w:r>
        <w:tab/>
        <w:t>(b)</w:t>
      </w:r>
      <w:r>
        <w:tab/>
        <w:t>if the duty arises because of a resolution that is being dealt with under section 34 — making the disclosure to the chairperson of the GTE’s board; or</w:t>
      </w:r>
    </w:p>
    <w:p>
      <w:pPr>
        <w:pStyle w:val="Indenta"/>
      </w:pPr>
      <w:r>
        <w:tab/>
        <w:t>(c)</w:t>
      </w:r>
      <w:r>
        <w:tab/>
        <w:t>if the matter is not being dealt with at a meeting or by a resolution dealt with under section 34 — making the disclosure to the chairperson of the GTE’s board.</w:t>
      </w:r>
    </w:p>
    <w:p>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pPr>
        <w:pStyle w:val="Indenta"/>
      </w:pPr>
      <w:r>
        <w:tab/>
        <w:t>(a)</w:t>
      </w:r>
      <w:r>
        <w:tab/>
        <w:t>call on the director or member to disclose the nature and extent of the interest under subsection (1) or (2); and</w:t>
      </w:r>
    </w:p>
    <w:p>
      <w:pPr>
        <w:pStyle w:val="Indenta"/>
      </w:pPr>
      <w:r>
        <w:tab/>
        <w:t>(b)</w:t>
      </w:r>
      <w:r>
        <w:tab/>
        <w:t>if the director or member does not do so — determine that the director or member has the interest.</w:t>
      </w:r>
    </w:p>
    <w:p>
      <w:pPr>
        <w:pStyle w:val="Subsection"/>
      </w:pPr>
      <w:r>
        <w:lastRenderedPageBreak/>
        <w:tab/>
        <w:t>(6)</w:t>
      </w:r>
      <w:r>
        <w:tab/>
        <w:t>A disclosure under subsection (1) or (2) at a meeting or a determination under subsection (5) must be recorded in the minutes of the meeting.</w:t>
      </w:r>
    </w:p>
    <w:p>
      <w:pPr>
        <w:pStyle w:val="Subsection"/>
      </w:pPr>
      <w:r>
        <w:tab/>
        <w:t>(7)</w:t>
      </w:r>
      <w:r>
        <w:tab/>
        <w:t>A contravention of this section by a director or member of a committee does not affect the validity of any act, transaction, agreement, instrument, resolution or other thing.</w:t>
      </w:r>
    </w:p>
    <w:p>
      <w:pPr>
        <w:pStyle w:val="Heading5"/>
      </w:pPr>
      <w:bookmarkStart w:id="106" w:name="_Toc182400296"/>
      <w:r>
        <w:rPr>
          <w:rStyle w:val="CharSectno"/>
        </w:rPr>
        <w:t>59</w:t>
      </w:r>
      <w:r>
        <w:t>.</w:t>
      </w:r>
      <w:r>
        <w:tab/>
        <w:t>Participation by interested members</w:t>
      </w:r>
      <w:bookmarkEnd w:id="106"/>
    </w:p>
    <w:p>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The scope of the matter referred to in subsection (1) includes a proposed resolution under subsection (3) in respect of the matter, whether relating to the interested person or another person.</w:t>
      </w:r>
    </w:p>
    <w:p>
      <w:pPr>
        <w:pStyle w:val="Subsection"/>
      </w:pPr>
      <w:r>
        <w:tab/>
        <w:t>(3)</w:t>
      </w:r>
      <w:r>
        <w:tab/>
        <w:t xml:space="preserve">The restrictions in subsection (1) do not apply to the interested person to the extent that the board or committee has at any time passed a resolution that — </w:t>
      </w:r>
    </w:p>
    <w:p>
      <w:pPr>
        <w:pStyle w:val="Indenta"/>
      </w:pPr>
      <w:r>
        <w:tab/>
        <w:t>(a)</w:t>
      </w:r>
      <w:r>
        <w:tab/>
        <w:t>specifies the interested person, the interest and the matter; and</w:t>
      </w:r>
    </w:p>
    <w:p>
      <w:pPr>
        <w:pStyle w:val="Indenta"/>
      </w:pPr>
      <w:r>
        <w:tab/>
        <w:t>(b)</w:t>
      </w:r>
      <w:r>
        <w:tab/>
        <w:t>states that the directors or members voting for the resolution are satisfied that the interest should not disqualify the interested person from considering the matter or considering and voting on the matter.</w:t>
      </w:r>
    </w:p>
    <w:p>
      <w:pPr>
        <w:pStyle w:val="Subsection"/>
        <w:keepNext/>
      </w:pPr>
      <w:r>
        <w:lastRenderedPageBreak/>
        <w:tab/>
        <w:t>(4)</w:t>
      </w:r>
      <w:r>
        <w:tab/>
        <w:t xml:space="preserve">For the purposes of subsection (1), a director or member — </w:t>
      </w:r>
    </w:p>
    <w:p>
      <w:pPr>
        <w:pStyle w:val="Indenta"/>
        <w:keepNext/>
      </w:pPr>
      <w:r>
        <w:tab/>
        <w:t>(a)</w:t>
      </w:r>
      <w:r>
        <w:tab/>
        <w:t xml:space="preserve">does not have a material personal interest in a matter if the interest — </w:t>
      </w:r>
    </w:p>
    <w:p>
      <w:pPr>
        <w:pStyle w:val="Indenti"/>
      </w:pPr>
      <w:r>
        <w:tab/>
        <w:t>(i)</w:t>
      </w:r>
      <w:r>
        <w:tab/>
        <w:t>arises merely because the director or member has a shareholding in a public company; and</w:t>
      </w:r>
    </w:p>
    <w:p>
      <w:pPr>
        <w:pStyle w:val="Indenti"/>
      </w:pPr>
      <w:r>
        <w:tab/>
        <w:t>(ii)</w:t>
      </w:r>
      <w:r>
        <w:tab/>
        <w:t>is shared in common with other shareholders in that company;</w:t>
      </w:r>
    </w:p>
    <w:p>
      <w:pPr>
        <w:pStyle w:val="Indenta"/>
      </w:pPr>
      <w:r>
        <w:tab/>
      </w:r>
      <w:r>
        <w:tab/>
        <w:t>and</w:t>
      </w:r>
    </w:p>
    <w:p>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pPr>
        <w:pStyle w:val="Subsection"/>
      </w:pPr>
      <w:r>
        <w:tab/>
        <w:t>(5)</w:t>
      </w:r>
      <w:r>
        <w:tab/>
        <w:t>Subsection (4) does not limit what is or is not a material personal interest.</w:t>
      </w:r>
    </w:p>
    <w:p>
      <w:pPr>
        <w:pStyle w:val="Subsection"/>
      </w:pPr>
      <w:r>
        <w:tab/>
        <w:t>(6)</w:t>
      </w:r>
      <w:r>
        <w:tab/>
        <w:t>A contravention of this section by a director or member of a committee does not affect the validity of any act, transaction, agreement, instrument, resolution or other thing.</w:t>
      </w:r>
    </w:p>
    <w:p>
      <w:pPr>
        <w:pStyle w:val="Heading5"/>
      </w:pPr>
      <w:bookmarkStart w:id="107" w:name="_Toc182400297"/>
      <w:r>
        <w:rPr>
          <w:rStyle w:val="CharSectno"/>
        </w:rPr>
        <w:t>60</w:t>
      </w:r>
      <w:r>
        <w:t>.</w:t>
      </w:r>
      <w:r>
        <w:tab/>
        <w:t>Quorum if section 59 applies</w:t>
      </w:r>
      <w:bookmarkEnd w:id="107"/>
    </w:p>
    <w:p>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pPr>
        <w:pStyle w:val="Indenta"/>
      </w:pPr>
      <w:r>
        <w:tab/>
        <w:t>(a)</w:t>
      </w:r>
      <w:r>
        <w:tab/>
        <w:t>at least the quorum under section 29, less 1; and</w:t>
      </w:r>
    </w:p>
    <w:p>
      <w:pPr>
        <w:pStyle w:val="Indenta"/>
      </w:pPr>
      <w:r>
        <w:tab/>
        <w:t>(b)</w:t>
      </w:r>
      <w:r>
        <w:tab/>
        <w:t>not less than 3.</w:t>
      </w:r>
    </w:p>
    <w:p>
      <w:pPr>
        <w:pStyle w:val="Subsection"/>
      </w:pPr>
      <w:r>
        <w:tab/>
        <w:t>(2)</w:t>
      </w:r>
      <w:r>
        <w:tab/>
        <w:t>The Portfolio Minister may deal with a matter to the extent that the board cannot because of subsection (1).</w:t>
      </w:r>
    </w:p>
    <w:p>
      <w:pPr>
        <w:pStyle w:val="Heading5"/>
      </w:pPr>
      <w:bookmarkStart w:id="108" w:name="_Toc182400298"/>
      <w:r>
        <w:rPr>
          <w:rStyle w:val="CharSectno"/>
        </w:rPr>
        <w:lastRenderedPageBreak/>
        <w:t>61</w:t>
      </w:r>
      <w:r>
        <w:t>.</w:t>
      </w:r>
      <w:r>
        <w:tab/>
        <w:t>Portfolio Minister may declare section 59(1) or 60(1) inapplicable</w:t>
      </w:r>
      <w:bookmarkEnd w:id="108"/>
    </w:p>
    <w:p>
      <w:pPr>
        <w:pStyle w:val="Subsection"/>
      </w:pPr>
      <w:r>
        <w:tab/>
        <w:t>(1)</w:t>
      </w:r>
      <w:r>
        <w:tab/>
        <w:t xml:space="preserve">The Portfolio Minister for a GTE may in writing declare that section 59(1) or 60(1) does not apply in relation to the GTE and a specified matter — </w:t>
      </w:r>
    </w:p>
    <w:p>
      <w:pPr>
        <w:pStyle w:val="Indenta"/>
      </w:pPr>
      <w:r>
        <w:tab/>
        <w:t>(a)</w:t>
      </w:r>
      <w:r>
        <w:tab/>
        <w:t>either generally or for the purpose of dealing with particular proposed resolutions; and</w:t>
      </w:r>
    </w:p>
    <w:p>
      <w:pPr>
        <w:pStyle w:val="Indenta"/>
      </w:pPr>
      <w:r>
        <w:tab/>
        <w:t>(b)</w:t>
      </w:r>
      <w:r>
        <w:tab/>
        <w:t>either wholly or to a specified extent.</w:t>
      </w:r>
    </w:p>
    <w:p>
      <w:pPr>
        <w:pStyle w:val="Subsection"/>
      </w:pPr>
      <w:r>
        <w:tab/>
        <w:t>(2)</w:t>
      </w:r>
      <w:r>
        <w:tab/>
        <w:t>The Portfolio Minister must cause the declaration to be laid before each House of Parliament within 14 sitting days of the House after the declaration is made.</w:t>
      </w:r>
    </w:p>
    <w:p>
      <w:pPr>
        <w:pStyle w:val="Heading5"/>
      </w:pPr>
      <w:bookmarkStart w:id="109" w:name="_Toc182400299"/>
      <w:r>
        <w:rPr>
          <w:rStyle w:val="CharSectno"/>
        </w:rPr>
        <w:t>62</w:t>
      </w:r>
      <w:r>
        <w:t>.</w:t>
      </w:r>
      <w:r>
        <w:tab/>
        <w:t>Register of material personal interests</w:t>
      </w:r>
      <w:bookmarkEnd w:id="109"/>
    </w:p>
    <w:p>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pPr>
        <w:pStyle w:val="Subsection"/>
      </w:pPr>
      <w:r>
        <w:tab/>
        <w:t>(2)</w:t>
      </w:r>
      <w:r>
        <w:tab/>
        <w:t>A record must include particulars of the nature and extent of the interest.</w:t>
      </w:r>
    </w:p>
    <w:p>
      <w:pPr>
        <w:pStyle w:val="Subsection"/>
      </w:pPr>
      <w:r>
        <w:tab/>
        <w:t>(3)</w:t>
      </w:r>
      <w:r>
        <w:tab/>
        <w:t>The register must be available to the directors of the GTE.</w:t>
      </w:r>
    </w:p>
    <w:p>
      <w:pPr>
        <w:pStyle w:val="Heading5"/>
      </w:pPr>
      <w:bookmarkStart w:id="110" w:name="_Toc182400300"/>
      <w:r>
        <w:rPr>
          <w:rStyle w:val="CharSectno"/>
        </w:rPr>
        <w:t>63</w:t>
      </w:r>
      <w:r>
        <w:t>.</w:t>
      </w:r>
      <w:r>
        <w:tab/>
        <w:t>Matters that must be included in departments’ annual reports</w:t>
      </w:r>
      <w:bookmarkEnd w:id="110"/>
    </w:p>
    <w:p>
      <w:pPr>
        <w:pStyle w:val="Subsection"/>
      </w:pPr>
      <w:r>
        <w:tab/>
        <w:t>(1)</w:t>
      </w:r>
      <w:r>
        <w:tab/>
        <w:t xml:space="preserve">In this section — </w:t>
      </w:r>
    </w:p>
    <w:p>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pPr>
        <w:pStyle w:val="Subsection"/>
        <w:keepNext/>
      </w:pPr>
      <w:r>
        <w:tab/>
        <w:t>(2)</w:t>
      </w:r>
      <w:r>
        <w:tab/>
        <w:t xml:space="preserve">If the Portfolio Minister for a GTE deals with a matter under section 60(2), the annual report of the department principally </w:t>
      </w:r>
      <w:r>
        <w:lastRenderedPageBreak/>
        <w:t xml:space="preserve">assisting in the administration of the GTE’s Establishing Act must include — </w:t>
      </w:r>
    </w:p>
    <w:p>
      <w:pPr>
        <w:pStyle w:val="Indenta"/>
      </w:pPr>
      <w:r>
        <w:tab/>
        <w:t>(a)</w:t>
      </w:r>
      <w:r>
        <w:tab/>
        <w:t>a statement that the Minister dealt with the matter under section 60(2); and</w:t>
      </w:r>
    </w:p>
    <w:p>
      <w:pPr>
        <w:pStyle w:val="Indenta"/>
      </w:pPr>
      <w:r>
        <w:tab/>
        <w:t>(b)</w:t>
      </w:r>
      <w:r>
        <w:tab/>
        <w:t>a brief description of why and how the Minister dealt with it.</w:t>
      </w:r>
    </w:p>
    <w:p>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pPr>
        <w:pStyle w:val="Indenta"/>
      </w:pPr>
      <w:r>
        <w:tab/>
        <w:t>(a)</w:t>
      </w:r>
      <w:r>
        <w:tab/>
        <w:t>the text of the declaration; and</w:t>
      </w:r>
    </w:p>
    <w:p>
      <w:pPr>
        <w:pStyle w:val="Indenta"/>
      </w:pPr>
      <w:r>
        <w:tab/>
        <w:t>(b)</w:t>
      </w:r>
      <w:r>
        <w:tab/>
        <w:t>a brief description of why the Minister made the declaration.</w:t>
      </w:r>
    </w:p>
    <w:p>
      <w:pPr>
        <w:pStyle w:val="Heading4"/>
      </w:pPr>
      <w:bookmarkStart w:id="111" w:name="_Toc182383539"/>
      <w:bookmarkStart w:id="112" w:name="_Toc182384148"/>
      <w:bookmarkStart w:id="113" w:name="_Toc182400301"/>
      <w:r>
        <w:t>Subdivision 2 — CEOs</w:t>
      </w:r>
      <w:bookmarkEnd w:id="111"/>
      <w:bookmarkEnd w:id="112"/>
      <w:bookmarkEnd w:id="113"/>
    </w:p>
    <w:p>
      <w:pPr>
        <w:pStyle w:val="Heading5"/>
      </w:pPr>
      <w:bookmarkStart w:id="114" w:name="_Toc182400302"/>
      <w:r>
        <w:rPr>
          <w:rStyle w:val="CharSectno"/>
        </w:rPr>
        <w:t>64</w:t>
      </w:r>
      <w:r>
        <w:t>.</w:t>
      </w:r>
      <w:r>
        <w:tab/>
        <w:t>Disclosure of material personal interests</w:t>
      </w:r>
      <w:bookmarkEnd w:id="114"/>
    </w:p>
    <w:p>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pPr>
        <w:pStyle w:val="Indenta"/>
      </w:pPr>
      <w:r>
        <w:tab/>
        <w:t>(a)</w:t>
      </w:r>
      <w:r>
        <w:tab/>
        <w:t>disclose the nature and extent of the interest to the GTE’s board; and</w:t>
      </w:r>
    </w:p>
    <w:p>
      <w:pPr>
        <w:pStyle w:val="Indenta"/>
      </w:pPr>
      <w:r>
        <w:tab/>
        <w:t>(b)</w:t>
      </w:r>
      <w:r>
        <w:tab/>
        <w:t>not take action or further action in relation to the matter unless authorised to do so by the GTE’s board.</w:t>
      </w:r>
    </w:p>
    <w:p>
      <w:pPr>
        <w:pStyle w:val="Penstar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chief executive officer is unable to act in relation to a matter, the board may appoint a member of staff to act in relation to the matter.</w:t>
      </w:r>
    </w:p>
    <w:p>
      <w:pPr>
        <w:pStyle w:val="Heading3"/>
      </w:pPr>
      <w:bookmarkStart w:id="115" w:name="_Toc182383541"/>
      <w:bookmarkStart w:id="116" w:name="_Toc182384150"/>
      <w:bookmarkStart w:id="117" w:name="_Toc182400303"/>
      <w:r>
        <w:rPr>
          <w:rStyle w:val="CharDivNo"/>
        </w:rPr>
        <w:lastRenderedPageBreak/>
        <w:t>Division 6</w:t>
      </w:r>
      <w:r>
        <w:t> — </w:t>
      </w:r>
      <w:r>
        <w:rPr>
          <w:rStyle w:val="CharDivText"/>
        </w:rPr>
        <w:t>Loans, insurance, indemnities and exemptions</w:t>
      </w:r>
      <w:bookmarkEnd w:id="115"/>
      <w:bookmarkEnd w:id="116"/>
      <w:bookmarkEnd w:id="117"/>
    </w:p>
    <w:p>
      <w:pPr>
        <w:pStyle w:val="Heading5"/>
      </w:pPr>
      <w:bookmarkStart w:id="118" w:name="_Toc182400304"/>
      <w:r>
        <w:rPr>
          <w:rStyle w:val="CharSectno"/>
        </w:rPr>
        <w:t>65</w:t>
      </w:r>
      <w:r>
        <w:t>.</w:t>
      </w:r>
      <w:r>
        <w:tab/>
        <w:t>Prohibition on loans to directors and related persons</w:t>
      </w:r>
      <w:bookmarkEnd w:id="118"/>
    </w:p>
    <w:p>
      <w:pPr>
        <w:pStyle w:val="Subsection"/>
        <w:keepNext/>
      </w:pPr>
      <w:r>
        <w:tab/>
        <w:t>(1)</w:t>
      </w:r>
      <w:r>
        <w:tab/>
        <w:t xml:space="preserve">In this section — </w:t>
      </w:r>
    </w:p>
    <w:p>
      <w:pPr>
        <w:pStyle w:val="Defstart"/>
      </w:pPr>
      <w:r>
        <w:tab/>
      </w:r>
      <w:r>
        <w:rPr>
          <w:rStyle w:val="CharDefText"/>
        </w:rPr>
        <w:t>relative</w:t>
      </w:r>
      <w:r>
        <w:t>, in relation to a person, means a parent or remoter lineal ancestor, child or remoter lineal descendant, or sibling of the person.</w:t>
      </w:r>
    </w:p>
    <w:p>
      <w:pPr>
        <w:pStyle w:val="Subsection"/>
      </w:pPr>
      <w:r>
        <w:tab/>
        <w:t>(2)</w:t>
      </w:r>
      <w:r>
        <w:tab/>
        <w:t xml:space="preserve">A GTE or a subsidiary of the GTE must not provide (whether directly or through an interposed entity) financial accommodation to — </w:t>
      </w:r>
    </w:p>
    <w:p>
      <w:pPr>
        <w:pStyle w:val="Indenta"/>
      </w:pPr>
      <w:r>
        <w:tab/>
        <w:t>(a)</w:t>
      </w:r>
      <w:r>
        <w:tab/>
        <w:t>a director or chief executive officer of the GTE or of a subsidiary of the GTE; or</w:t>
      </w:r>
    </w:p>
    <w:p>
      <w:pPr>
        <w:pStyle w:val="Indenta"/>
      </w:pPr>
      <w:r>
        <w:tab/>
        <w:t>(b)</w:t>
      </w:r>
      <w:r>
        <w:tab/>
        <w:t xml:space="preserve">a spouse or de facto partner of the director or chief executive officer; or </w:t>
      </w:r>
    </w:p>
    <w:p>
      <w:pPr>
        <w:pStyle w:val="Indenta"/>
      </w:pPr>
      <w:r>
        <w:tab/>
        <w:t>(c)</w:t>
      </w:r>
      <w:r>
        <w:tab/>
        <w:t>a relative of the director or chief executive officer, or of a spouse or de facto partner of the director or chief executive officer.</w:t>
      </w:r>
    </w:p>
    <w:p>
      <w:pPr>
        <w:pStyle w:val="Subsection"/>
      </w:pPr>
      <w:r>
        <w:tab/>
        <w:t>(3)</w:t>
      </w:r>
      <w:r>
        <w:tab/>
        <w:t xml:space="preserve">A GTE provides financial accommodation to a person if the GTE — </w:t>
      </w:r>
    </w:p>
    <w:p>
      <w:pPr>
        <w:pStyle w:val="Indenta"/>
      </w:pPr>
      <w:r>
        <w:tab/>
        <w:t>(a)</w:t>
      </w:r>
      <w:r>
        <w:tab/>
        <w:t>makes a loan to the person or to a company or entity owned or controlled by the person; or</w:t>
      </w:r>
    </w:p>
    <w:p>
      <w:pPr>
        <w:pStyle w:val="Indenta"/>
      </w:pPr>
      <w:r>
        <w:tab/>
        <w:t>(b)</w:t>
      </w:r>
      <w:r>
        <w:tab/>
        <w:t>gives a guarantee or provides security in connection with a loan made (whether or not by the GTE) to the person or to a company or entity owned or controlled by the person.</w:t>
      </w:r>
    </w:p>
    <w:p>
      <w:pPr>
        <w:pStyle w:val="Subsection"/>
      </w:pPr>
      <w:r>
        <w:tab/>
        <w:t>(4)</w:t>
      </w:r>
      <w:r>
        <w:tab/>
        <w:t>Financial accommodation provided in contravention of subsection (2) is void.</w:t>
      </w:r>
    </w:p>
    <w:p>
      <w:pPr>
        <w:pStyle w:val="Subsection"/>
        <w:keepNext/>
      </w:pPr>
      <w:r>
        <w:tab/>
        <w:t>(5)</w:t>
      </w:r>
      <w:r>
        <w:tab/>
        <w:t xml:space="preserve">A director or chief executive officer of a GTE or of a subsidiary of the GTE commits an offence if they are concerned in a contravention of subsection (2) by the GTE or the subsidiary </w:t>
      </w:r>
      <w:r>
        <w:lastRenderedPageBreak/>
        <w:t>(whether or not the loan is in relation to the director or chief executive officer).</w:t>
      </w:r>
    </w:p>
    <w:p>
      <w:pPr>
        <w:pStyle w:val="Penstart"/>
      </w:pPr>
      <w:r>
        <w:tab/>
        <w:t>Penalty for this subsection: a fine of $5 000.</w:t>
      </w:r>
    </w:p>
    <w:p>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pPr>
        <w:pStyle w:val="Indenta"/>
      </w:pPr>
      <w:r>
        <w:tab/>
        <w:t>(a)</w:t>
      </w:r>
      <w:r>
        <w:tab/>
        <w:t xml:space="preserve">with intent to deceive or defraud — </w:t>
      </w:r>
    </w:p>
    <w:p>
      <w:pPr>
        <w:pStyle w:val="Indenti"/>
      </w:pPr>
      <w:r>
        <w:tab/>
        <w:t>(i)</w:t>
      </w:r>
      <w:r>
        <w:tab/>
        <w:t>the GTE; or</w:t>
      </w:r>
    </w:p>
    <w:p>
      <w:pPr>
        <w:pStyle w:val="Indenti"/>
      </w:pPr>
      <w:r>
        <w:tab/>
        <w:t>(ii)</w:t>
      </w:r>
      <w:r>
        <w:tab/>
        <w:t>creditors of the GTE or of any other person;</w:t>
      </w:r>
    </w:p>
    <w:p>
      <w:pPr>
        <w:pStyle w:val="Indenta"/>
      </w:pPr>
      <w:r>
        <w:tab/>
      </w:r>
      <w:r>
        <w:tab/>
        <w:t>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pPr>
        <w:pStyle w:val="Heading5"/>
      </w:pPr>
      <w:bookmarkStart w:id="119" w:name="_Toc182400305"/>
      <w:r>
        <w:rPr>
          <w:rStyle w:val="CharSectno"/>
        </w:rPr>
        <w:t>66</w:t>
      </w:r>
      <w:r>
        <w:t>.</w:t>
      </w:r>
      <w:r>
        <w:tab/>
        <w:t>Directors and others not to be exempted or indemnified from certain liabilities</w:t>
      </w:r>
      <w:bookmarkEnd w:id="119"/>
    </w:p>
    <w:p>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pPr>
        <w:pStyle w:val="Subsection"/>
      </w:pPr>
      <w:r>
        <w:lastRenderedPageBreak/>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pPr>
        <w:pStyle w:val="Subsection"/>
      </w:pPr>
      <w:r>
        <w:tab/>
        <w:t>(5)</w:t>
      </w:r>
      <w:r>
        <w:tab/>
        <w:t xml:space="preserve">Subsection (3) does not prevent a person from being indemnified against a liability for costs and expenses incurred by the person — </w:t>
      </w:r>
    </w:p>
    <w:p>
      <w:pPr>
        <w:pStyle w:val="Indenta"/>
      </w:pPr>
      <w:r>
        <w:tab/>
        <w:t>(a)</w:t>
      </w:r>
      <w:r>
        <w:tab/>
        <w:t>in defending proceedings, whether civil or criminal, in which judgment is given in favour of the person or in which the person is acquitted; or</w:t>
      </w:r>
    </w:p>
    <w:p>
      <w:pPr>
        <w:pStyle w:val="Indenta"/>
      </w:pPr>
      <w:r>
        <w:tab/>
        <w:t>(b)</w:t>
      </w:r>
      <w:r>
        <w:tab/>
        <w:t>in obtaining relief under section 55 or 56.</w:t>
      </w:r>
    </w:p>
    <w:p>
      <w:pPr>
        <w:pStyle w:val="Subsection"/>
      </w:pPr>
      <w:r>
        <w:tab/>
        <w:t>(6)</w:t>
      </w:r>
      <w:r>
        <w:tab/>
        <w:t>In determining the outcome of proceedings referred to in subsection (5), the result of any appeal in relation to the proceedings must be taken into account.</w:t>
      </w:r>
    </w:p>
    <w:p>
      <w:pPr>
        <w:pStyle w:val="Heading5"/>
      </w:pPr>
      <w:bookmarkStart w:id="120" w:name="_Toc182400306"/>
      <w:r>
        <w:rPr>
          <w:rStyle w:val="CharSectno"/>
        </w:rPr>
        <w:t>67</w:t>
      </w:r>
      <w:r>
        <w:t>.</w:t>
      </w:r>
      <w:r>
        <w:tab/>
        <w:t>Insurance for certain liabilities of directors and others not to be provided</w:t>
      </w:r>
      <w:bookmarkEnd w:id="120"/>
    </w:p>
    <w:p>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pPr>
        <w:pStyle w:val="Indenta"/>
      </w:pPr>
      <w:r>
        <w:tab/>
        <w:t>(a)</w:t>
      </w:r>
      <w:r>
        <w:tab/>
        <w:t>conduct involving a wilful breach of duty in relation to the GTE or the subsidiary; or</w:t>
      </w:r>
    </w:p>
    <w:p>
      <w:pPr>
        <w:pStyle w:val="Indenta"/>
      </w:pPr>
      <w:r>
        <w:tab/>
        <w:t>(b)</w:t>
      </w:r>
      <w:r>
        <w:tab/>
        <w:t>a contravention of section 50(1) or 51(1).</w:t>
      </w:r>
    </w:p>
    <w:p>
      <w:pPr>
        <w:pStyle w:val="Subsection"/>
      </w:pPr>
      <w:r>
        <w:tab/>
        <w:t>(2)</w:t>
      </w:r>
      <w:r>
        <w:tab/>
        <w:t>Subsection (1) applies to a premium whether it is paid directly or through an interposed entity.</w:t>
      </w:r>
    </w:p>
    <w:p>
      <w:pPr>
        <w:pStyle w:val="Subsection"/>
      </w:pPr>
      <w:r>
        <w:lastRenderedPageBreak/>
        <w:tab/>
        <w:t>(3)</w:t>
      </w:r>
      <w:r>
        <w:tab/>
        <w:t>A GTE or a subsidiary of a GTE must not itself insure or indemnify a person who is or has been a director, chief executive officer or executive officer of the GTE or a subsidiary of the GTE against a liability referred to in subsection (1).</w:t>
      </w:r>
    </w:p>
    <w:p>
      <w:pPr>
        <w:pStyle w:val="Heading5"/>
      </w:pPr>
      <w:bookmarkStart w:id="121" w:name="_Toc182400307"/>
      <w:r>
        <w:rPr>
          <w:rStyle w:val="CharSectno"/>
        </w:rPr>
        <w:t>68</w:t>
      </w:r>
      <w:r>
        <w:t>.</w:t>
      </w:r>
      <w:r>
        <w:tab/>
        <w:t>Certain indemnities, exemptions and insurance void</w:t>
      </w:r>
      <w:bookmarkEnd w:id="121"/>
    </w:p>
    <w:p>
      <w:pPr>
        <w:pStyle w:val="Subsection"/>
      </w:pPr>
      <w:r>
        <w:tab/>
        <w:t>(1)</w:t>
      </w:r>
      <w:r>
        <w:tab/>
        <w:t>Sections 66 and 67 do not authorise anything that would otherwise be unlawful.</w:t>
      </w:r>
    </w:p>
    <w:p>
      <w:pPr>
        <w:pStyle w:val="Subsection"/>
      </w:pPr>
      <w:r>
        <w:tab/>
        <w:t>(2)</w:t>
      </w:r>
      <w:r>
        <w:tab/>
        <w:t>Anything that purports to indemnify or insure a person against a liability or exempt a person from a liability is void to the extent that it contravenes section 66 or 67.</w:t>
      </w:r>
    </w:p>
    <w:p>
      <w:pPr>
        <w:pStyle w:val="Heading2"/>
      </w:pPr>
      <w:bookmarkStart w:id="122" w:name="_Toc182383546"/>
      <w:bookmarkStart w:id="123" w:name="_Toc182384155"/>
      <w:bookmarkStart w:id="124" w:name="_Toc182400308"/>
      <w:r>
        <w:rPr>
          <w:rStyle w:val="CharPartNo"/>
        </w:rPr>
        <w:lastRenderedPageBreak/>
        <w:t>Part 6</w:t>
      </w:r>
      <w:r>
        <w:t> — </w:t>
      </w:r>
      <w:r>
        <w:rPr>
          <w:rStyle w:val="CharPartText"/>
        </w:rPr>
        <w:t>Strategic planning</w:t>
      </w:r>
      <w:bookmarkEnd w:id="122"/>
      <w:bookmarkEnd w:id="123"/>
      <w:bookmarkEnd w:id="124"/>
    </w:p>
    <w:p>
      <w:pPr>
        <w:pStyle w:val="Heading3"/>
      </w:pPr>
      <w:bookmarkStart w:id="125" w:name="_Toc182383547"/>
      <w:bookmarkStart w:id="126" w:name="_Toc182384156"/>
      <w:bookmarkStart w:id="127" w:name="_Toc182400309"/>
      <w:r>
        <w:rPr>
          <w:rStyle w:val="CharDivNo"/>
        </w:rPr>
        <w:t>Division 1</w:t>
      </w:r>
      <w:r>
        <w:t> — </w:t>
      </w:r>
      <w:r>
        <w:rPr>
          <w:rStyle w:val="CharDivText"/>
        </w:rPr>
        <w:t>Preliminary</w:t>
      </w:r>
      <w:bookmarkEnd w:id="125"/>
      <w:bookmarkEnd w:id="126"/>
      <w:bookmarkEnd w:id="127"/>
    </w:p>
    <w:p>
      <w:pPr>
        <w:pStyle w:val="Heading5"/>
      </w:pPr>
      <w:bookmarkStart w:id="128" w:name="_Toc182400310"/>
      <w:r>
        <w:rPr>
          <w:rStyle w:val="CharSectno"/>
        </w:rPr>
        <w:t>69</w:t>
      </w:r>
      <w:r>
        <w:t>.</w:t>
      </w:r>
      <w:r>
        <w:tab/>
        <w:t>Terms used</w:t>
      </w:r>
      <w:bookmarkEnd w:id="128"/>
    </w:p>
    <w:p>
      <w:pPr>
        <w:pStyle w:val="Subsection"/>
      </w:pPr>
      <w:r>
        <w:tab/>
        <w:t>(1)</w:t>
      </w:r>
      <w:r>
        <w:tab/>
        <w:t xml:space="preserve">In this Part — </w:t>
      </w:r>
    </w:p>
    <w:p>
      <w:pPr>
        <w:pStyle w:val="Defstart"/>
      </w:pPr>
      <w:r>
        <w:tab/>
      </w:r>
      <w:r>
        <w:rPr>
          <w:rStyle w:val="CharDefText"/>
        </w:rPr>
        <w:t>community service obligation</w:t>
      </w:r>
      <w:r>
        <w:t xml:space="preserve"> means a thing — </w:t>
      </w:r>
    </w:p>
    <w:p>
      <w:pPr>
        <w:pStyle w:val="Defpara"/>
      </w:pPr>
      <w:r>
        <w:tab/>
        <w:t>(a)</w:t>
      </w:r>
      <w:r>
        <w:tab/>
        <w:t>that the Portfolio Minister specifically wishes a GTE to do so as to advance the public benefit; and</w:t>
      </w:r>
    </w:p>
    <w:p>
      <w:pPr>
        <w:pStyle w:val="Defpara"/>
      </w:pPr>
      <w:r>
        <w:tab/>
        <w:t>(b)</w:t>
      </w:r>
      <w:r>
        <w:tab/>
        <w:t>that, in accordance with prudent commercial principles, the GTE would not do, but for the Portfolio Minister’s wish; and</w:t>
      </w:r>
    </w:p>
    <w:p>
      <w:pPr>
        <w:pStyle w:val="Indenta"/>
      </w:pPr>
      <w:r>
        <w:tab/>
        <w:t>(c)</w:t>
      </w:r>
      <w:r>
        <w:tab/>
        <w:t>that is not something that businesses in the public or private sector are generally required or expected to do;</w:t>
      </w:r>
    </w:p>
    <w:p>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pPr>
        <w:pStyle w:val="Defstart"/>
      </w:pPr>
      <w:r>
        <w:tab/>
      </w:r>
      <w:r>
        <w:rPr>
          <w:rStyle w:val="CharDefText"/>
        </w:rPr>
        <w:t>preparation period</w:t>
      </w:r>
      <w:r>
        <w:t>, in relation to a statement period, means the first 4 months of the statement period;</w:t>
      </w:r>
    </w:p>
    <w:p>
      <w:pPr>
        <w:pStyle w:val="Defstart"/>
      </w:pPr>
      <w:r>
        <w:tab/>
      </w:r>
      <w:r>
        <w:rPr>
          <w:rStyle w:val="CharDefText"/>
        </w:rPr>
        <w:t>statement period</w:t>
      </w:r>
      <w:r>
        <w:t xml:space="preserve">, in relation to a GTE, means, subject to subsection (2), a period — </w:t>
      </w:r>
    </w:p>
    <w:p>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pPr>
        <w:pStyle w:val="Defpara"/>
      </w:pPr>
      <w:r>
        <w:tab/>
        <w:t>(b)</w:t>
      </w:r>
      <w:r>
        <w:tab/>
        <w:t xml:space="preserve">ending immediately before the first day after the next general election on which similar notice is published in the </w:t>
      </w:r>
      <w:r>
        <w:rPr>
          <w:i/>
        </w:rPr>
        <w:t>Gazette</w:t>
      </w:r>
      <w:r>
        <w:t>.</w:t>
      </w:r>
    </w:p>
    <w:p>
      <w:pPr>
        <w:pStyle w:val="Subsection"/>
      </w:pPr>
      <w:r>
        <w:tab/>
        <w:t>(2)</w:t>
      </w:r>
      <w:r>
        <w:tab/>
        <w:t>When a GTE is first established its first statement period begins on the day of its establishment.</w:t>
      </w:r>
    </w:p>
    <w:p>
      <w:pPr>
        <w:pStyle w:val="Heading3"/>
      </w:pPr>
      <w:bookmarkStart w:id="129" w:name="_Toc182383549"/>
      <w:bookmarkStart w:id="130" w:name="_Toc182384158"/>
      <w:bookmarkStart w:id="131" w:name="_Toc182400311"/>
      <w:r>
        <w:rPr>
          <w:rStyle w:val="CharDivNo"/>
        </w:rPr>
        <w:lastRenderedPageBreak/>
        <w:t>Division 2</w:t>
      </w:r>
      <w:r>
        <w:t> — </w:t>
      </w:r>
      <w:r>
        <w:rPr>
          <w:rStyle w:val="CharDivText"/>
        </w:rPr>
        <w:t>Statement of expectations</w:t>
      </w:r>
      <w:bookmarkEnd w:id="129"/>
      <w:bookmarkEnd w:id="130"/>
      <w:bookmarkEnd w:id="131"/>
    </w:p>
    <w:p>
      <w:pPr>
        <w:pStyle w:val="Heading5"/>
      </w:pPr>
      <w:bookmarkStart w:id="132" w:name="_Toc182400312"/>
      <w:r>
        <w:rPr>
          <w:rStyle w:val="CharSectno"/>
        </w:rPr>
        <w:t>70</w:t>
      </w:r>
      <w:r>
        <w:t>.</w:t>
      </w:r>
      <w:r>
        <w:tab/>
        <w:t>Statement of expectations</w:t>
      </w:r>
      <w:bookmarkEnd w:id="132"/>
    </w:p>
    <w:p>
      <w:pPr>
        <w:pStyle w:val="Subsection"/>
      </w:pPr>
      <w:r>
        <w:tab/>
        <w:t>(1)</w:t>
      </w:r>
      <w:r>
        <w:tab/>
        <w:t>For each statement period, a GTE’s board and the Portfolio Minister must endeavour to agree a statement of expectations for the GTE in accordance with this Division.</w:t>
      </w:r>
    </w:p>
    <w:p>
      <w:pPr>
        <w:pStyle w:val="Subsection"/>
      </w:pPr>
      <w:r>
        <w:tab/>
        <w:t>(2)</w:t>
      </w:r>
      <w:r>
        <w:tab/>
        <w:t xml:space="preserve">A GTE’s statement of expectations must — </w:t>
      </w:r>
    </w:p>
    <w:p>
      <w:pPr>
        <w:pStyle w:val="Indenta"/>
      </w:pPr>
      <w:r>
        <w:tab/>
        <w:t>(a)</w:t>
      </w:r>
      <w:r>
        <w:tab/>
        <w:t>be in a form acceptable to the Portfolio Minister and the Treasurer; and</w:t>
      </w:r>
    </w:p>
    <w:p>
      <w:pPr>
        <w:pStyle w:val="Indenta"/>
        <w:keepNext/>
      </w:pPr>
      <w:r>
        <w:tab/>
        <w:t>(b)</w:t>
      </w:r>
      <w:r>
        <w:tab/>
        <w:t xml:space="preserve">contain, in respect of the statement period — </w:t>
      </w:r>
    </w:p>
    <w:p>
      <w:pPr>
        <w:pStyle w:val="Indenti"/>
      </w:pPr>
      <w:r>
        <w:tab/>
        <w:t>(i)</w:t>
      </w:r>
      <w:r>
        <w:tab/>
        <w:t>an analysis of the operating environment of, and key strategic risks for, the GTE and its subsidiaries; and</w:t>
      </w:r>
    </w:p>
    <w:p>
      <w:pPr>
        <w:pStyle w:val="Indenti"/>
      </w:pPr>
      <w:r>
        <w:tab/>
        <w:t>(ii)</w:t>
      </w:r>
      <w:r>
        <w:tab/>
        <w:t>a statement of the expectations of the Government and of the Portfolio Minister that are relevant to the GTE and its subsidiaries; and</w:t>
      </w:r>
    </w:p>
    <w:p>
      <w:pPr>
        <w:pStyle w:val="Indenti"/>
      </w:pPr>
      <w:r>
        <w:tab/>
        <w:t>(iii)</w:t>
      </w:r>
      <w:r>
        <w:tab/>
        <w:t>a statement of the strategic direction and objectives of the GTE and its subsidiaries; and</w:t>
      </w:r>
    </w:p>
    <w:p>
      <w:pPr>
        <w:pStyle w:val="Indenti"/>
      </w:pPr>
      <w:r>
        <w:tab/>
        <w:t>(iv)</w:t>
      </w:r>
      <w:r>
        <w:tab/>
        <w:t>a statement of major initiatives and business operations to be undertaken during the statement period by the GTE and its subsidiaries;</w:t>
      </w:r>
    </w:p>
    <w:p>
      <w:pPr>
        <w:pStyle w:val="Indenta"/>
      </w:pPr>
      <w:r>
        <w:tab/>
      </w:r>
      <w:r>
        <w:tab/>
        <w:t>and</w:t>
      </w:r>
    </w:p>
    <w:p>
      <w:pPr>
        <w:pStyle w:val="Indenta"/>
      </w:pPr>
      <w:r>
        <w:tab/>
        <w:t>(c)</w:t>
      </w:r>
      <w:r>
        <w:tab/>
        <w:t>contain or address any other matter that the regulations require it to contain or address.</w:t>
      </w:r>
    </w:p>
    <w:p>
      <w:pPr>
        <w:pStyle w:val="Subsection"/>
      </w:pPr>
      <w:r>
        <w:tab/>
        <w:t>(3)</w:t>
      </w:r>
      <w:r>
        <w:tab/>
        <w:t xml:space="preserve">A GTE’s statement of expectations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133" w:name="_Toc182400313"/>
      <w:r>
        <w:rPr>
          <w:rStyle w:val="CharSectno"/>
        </w:rPr>
        <w:lastRenderedPageBreak/>
        <w:t>71</w:t>
      </w:r>
      <w:r>
        <w:t>.</w:t>
      </w:r>
      <w:r>
        <w:tab/>
        <w:t>Preparing draft statement of expectations</w:t>
      </w:r>
      <w:bookmarkEnd w:id="133"/>
    </w:p>
    <w:p>
      <w:pPr>
        <w:pStyle w:val="Subsection"/>
      </w:pPr>
      <w:r>
        <w:tab/>
        <w:t>(1)</w:t>
      </w:r>
      <w:r>
        <w:tab/>
        <w:t xml:space="preserve">During the preparation period a GTE’s board must — </w:t>
      </w:r>
    </w:p>
    <w:p>
      <w:pPr>
        <w:pStyle w:val="Indenta"/>
      </w:pPr>
      <w:r>
        <w:tab/>
        <w:t>(a)</w:t>
      </w:r>
      <w:r>
        <w:tab/>
        <w:t>consult the Portfolio Minister and the Treasurer regarding the GTE’s statement of expectations for the statement period; and</w:t>
      </w:r>
    </w:p>
    <w:p>
      <w:pPr>
        <w:pStyle w:val="Indenta"/>
      </w:pPr>
      <w:r>
        <w:tab/>
        <w:t>(b)</w:t>
      </w:r>
      <w:r>
        <w:tab/>
        <w:t>prepare a draft statement of expectations and submit it to the Portfolio Minister and the Treasurer by a date set by the Portfolio Minister.</w:t>
      </w:r>
    </w:p>
    <w:p>
      <w:pPr>
        <w:pStyle w:val="Subsection"/>
      </w:pPr>
      <w:r>
        <w:tab/>
        <w:t>(2)</w:t>
      </w:r>
      <w:r>
        <w:tab/>
        <w:t xml:space="preserve">After receiving a draft statement of expectations, the Portfolio Minister may require the board — </w:t>
      </w:r>
    </w:p>
    <w:p>
      <w:pPr>
        <w:pStyle w:val="Indenta"/>
      </w:pPr>
      <w:r>
        <w:tab/>
        <w:t>(a)</w:t>
      </w:r>
      <w:r>
        <w:tab/>
        <w:t>to consider or further consider any matter; and</w:t>
      </w:r>
    </w:p>
    <w:p>
      <w:pPr>
        <w:pStyle w:val="Indenta"/>
      </w:pPr>
      <w:r>
        <w:tab/>
        <w:t>(b)</w:t>
      </w:r>
      <w:r>
        <w:tab/>
        <w:t>to submit a draft revised in light of that consideration to the Portfolio Minister and the Treasurer by a further date set by the Portfolio Minister.</w:t>
      </w:r>
    </w:p>
    <w:p>
      <w:pPr>
        <w:pStyle w:val="Subsection"/>
      </w:pPr>
      <w:r>
        <w:tab/>
        <w:t>(3)</w:t>
      </w:r>
      <w:r>
        <w:tab/>
        <w:t>The board must comply with a requirement under subsection (2).</w:t>
      </w:r>
    </w:p>
    <w:p>
      <w:pPr>
        <w:pStyle w:val="Heading5"/>
      </w:pPr>
      <w:bookmarkStart w:id="134" w:name="_Toc182400314"/>
      <w:r>
        <w:rPr>
          <w:rStyle w:val="CharSectno"/>
        </w:rPr>
        <w:t>72</w:t>
      </w:r>
      <w:r>
        <w:t>.</w:t>
      </w:r>
      <w:r>
        <w:tab/>
        <w:t>Adopting statement of expectations</w:t>
      </w:r>
      <w:bookmarkEnd w:id="134"/>
    </w:p>
    <w:p>
      <w:pPr>
        <w:pStyle w:val="Subsection"/>
      </w:pPr>
      <w:r>
        <w:tab/>
        <w:t>(1)</w:t>
      </w:r>
      <w:r>
        <w:tab/>
        <w:t>A GTE’s board and the Portfolio Minister must endeavour to agree a draft statement of expectations for the GTE for the statement period.</w:t>
      </w:r>
    </w:p>
    <w:p>
      <w:pPr>
        <w:pStyle w:val="Subsection"/>
      </w:pPr>
      <w:r>
        <w:tab/>
        <w:t>(2)</w:t>
      </w:r>
      <w:r>
        <w:tab/>
        <w:t>The Portfolio Minister must not agree a draft statement of expectations without the approval of the Treasurer.</w:t>
      </w:r>
    </w:p>
    <w:p>
      <w:pPr>
        <w:pStyle w:val="Subsection"/>
      </w:pPr>
      <w:r>
        <w:tab/>
        <w:t>(3)</w:t>
      </w:r>
      <w:r>
        <w:tab/>
        <w:t>If the board and the Portfolio Minister agree a draft statement of expectations, it becomes the statement of expectations for the GTE for the statement period.</w:t>
      </w:r>
    </w:p>
    <w:p>
      <w:pPr>
        <w:pStyle w:val="Subsection"/>
        <w:keepNext/>
      </w:pPr>
      <w:r>
        <w:tab/>
        <w:t>(4)</w:t>
      </w:r>
      <w:r>
        <w:tab/>
        <w:t xml:space="preserve">If, at the expiry of the preparation period, the board and the Portfolio Minister have not reached agreement on a draft </w:t>
      </w:r>
      <w:r>
        <w:lastRenderedPageBreak/>
        <w:t xml:space="preserve">statement of expectations, the Portfolio Minister may, with the approval of the Treasurer — </w:t>
      </w:r>
    </w:p>
    <w:p>
      <w:pPr>
        <w:pStyle w:val="Indenta"/>
      </w:pPr>
      <w:r>
        <w:tab/>
        <w:t>(a)</w:t>
      </w:r>
      <w:r>
        <w:tab/>
        <w:t>present to the board a draft statement of expectations; and</w:t>
      </w:r>
    </w:p>
    <w:p>
      <w:pPr>
        <w:pStyle w:val="Indenta"/>
      </w:pPr>
      <w:r>
        <w:tab/>
        <w:t>(b)</w:t>
      </w:r>
      <w:r>
        <w:tab/>
        <w:t>notify the board that it is to be the GTE’s statement of expectations for the statement period.</w:t>
      </w:r>
    </w:p>
    <w:p>
      <w:pPr>
        <w:pStyle w:val="Subsection"/>
      </w:pPr>
      <w:r>
        <w:tab/>
        <w:t>(5)</w:t>
      </w:r>
      <w:r>
        <w:tab/>
        <w:t>If the Portfolio Minister gives a notification under subsection (4)(b) in relation to a draft statement of expectations, it becomes the statement of expectations for the GTE for the statement period.</w:t>
      </w:r>
    </w:p>
    <w:p>
      <w:pPr>
        <w:pStyle w:val="Subsection"/>
      </w:pPr>
      <w:r>
        <w:tab/>
        <w:t>(6)</w:t>
      </w:r>
      <w:r>
        <w:tab/>
        <w:t>The Portfolio Minister must cause the text of a notification under subsection (4)(b) to be laid before each House of Parliament within 14 sitting days of the House after the notification is given.</w:t>
      </w:r>
    </w:p>
    <w:p>
      <w:pPr>
        <w:pStyle w:val="Subsection"/>
      </w:pPr>
      <w:r>
        <w:tab/>
        <w:t>(7)</w:t>
      </w:r>
      <w:r>
        <w:tab/>
        <w:t>Subsection (6) does not require the Portfolio Minister to cause the text of the statement of expectations to be laid before each House of Parliament.</w:t>
      </w:r>
    </w:p>
    <w:p>
      <w:pPr>
        <w:pStyle w:val="Heading5"/>
      </w:pPr>
      <w:bookmarkStart w:id="135" w:name="_Toc182400315"/>
      <w:r>
        <w:rPr>
          <w:rStyle w:val="CharSectno"/>
        </w:rPr>
        <w:t>73</w:t>
      </w:r>
      <w:r>
        <w:t>.</w:t>
      </w:r>
      <w:r>
        <w:tab/>
        <w:t>Varying statement of expectations</w:t>
      </w:r>
      <w:bookmarkEnd w:id="135"/>
    </w:p>
    <w:p>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statement of expectations; and</w:t>
      </w:r>
    </w:p>
    <w:p>
      <w:pPr>
        <w:pStyle w:val="Indenta"/>
      </w:pPr>
      <w:r>
        <w:tab/>
        <w:t>(b)</w:t>
      </w:r>
      <w:r>
        <w:tab/>
        <w:t>notify the board that the statement as varied is to be the GTE’s statement of expectations.</w:t>
      </w:r>
    </w:p>
    <w:p>
      <w:pPr>
        <w:pStyle w:val="Subsection"/>
      </w:pPr>
      <w:r>
        <w:tab/>
        <w:t>(3)</w:t>
      </w:r>
      <w:r>
        <w:tab/>
        <w:t xml:space="preserve">If the Portfolio Minister gives a notification under subsection (2)(b), the statement as varied becomes the statement </w:t>
      </w:r>
      <w:r>
        <w:lastRenderedPageBreak/>
        <w:t>of expectations for the GTE for the remainder of the statement period.</w:t>
      </w:r>
    </w:p>
    <w:p>
      <w:pPr>
        <w:pStyle w:val="Subsection"/>
      </w:pPr>
      <w:r>
        <w:tab/>
        <w:t>(4)</w:t>
      </w:r>
      <w:r>
        <w:tab/>
        <w:t>The Portfolio Minister must cause the text of a notification under subsection (2)(b)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statement of expectations as varied to be laid before each House of Parliament.</w:t>
      </w:r>
    </w:p>
    <w:p>
      <w:pPr>
        <w:pStyle w:val="Heading3"/>
      </w:pPr>
      <w:bookmarkStart w:id="136" w:name="_Toc182383554"/>
      <w:bookmarkStart w:id="137" w:name="_Toc182384163"/>
      <w:bookmarkStart w:id="138" w:name="_Toc182400316"/>
      <w:r>
        <w:rPr>
          <w:rStyle w:val="CharDivNo"/>
        </w:rPr>
        <w:t>Division 3</w:t>
      </w:r>
      <w:r>
        <w:t> — </w:t>
      </w:r>
      <w:r>
        <w:rPr>
          <w:rStyle w:val="CharDivText"/>
        </w:rPr>
        <w:t>Annual performance statement</w:t>
      </w:r>
      <w:bookmarkEnd w:id="136"/>
      <w:bookmarkEnd w:id="137"/>
      <w:bookmarkEnd w:id="138"/>
    </w:p>
    <w:p>
      <w:pPr>
        <w:pStyle w:val="Heading5"/>
      </w:pPr>
      <w:bookmarkStart w:id="139" w:name="_Toc182400317"/>
      <w:r>
        <w:rPr>
          <w:rStyle w:val="CharSectno"/>
        </w:rPr>
        <w:t>74</w:t>
      </w:r>
      <w:r>
        <w:t>.</w:t>
      </w:r>
      <w:r>
        <w:tab/>
        <w:t>Terms used</w:t>
      </w:r>
      <w:bookmarkEnd w:id="139"/>
    </w:p>
    <w:p>
      <w:pPr>
        <w:pStyle w:val="Subsection"/>
      </w:pPr>
      <w:r>
        <w:tab/>
      </w:r>
      <w:r>
        <w:tab/>
        <w:t xml:space="preserve">In this Division — </w:t>
      </w:r>
    </w:p>
    <w:p>
      <w:pPr>
        <w:pStyle w:val="Defstart"/>
      </w:pPr>
      <w:r>
        <w:tab/>
      </w:r>
      <w:r>
        <w:rPr>
          <w:rStyle w:val="CharDefText"/>
        </w:rPr>
        <w:t>budget day</w:t>
      </w:r>
      <w:r>
        <w:t>, in relation to a budget year, means the day on which the budget papers for that budget year are tabled in the Legislative Assembly;</w:t>
      </w:r>
    </w:p>
    <w:p>
      <w:pPr>
        <w:pStyle w:val="Defstart"/>
      </w:pPr>
      <w:r>
        <w:tab/>
      </w:r>
      <w:r>
        <w:rPr>
          <w:rStyle w:val="CharDefText"/>
        </w:rPr>
        <w:t>budget year</w:t>
      </w:r>
      <w:r>
        <w:t xml:space="preserve"> has the meaning given in the </w:t>
      </w:r>
      <w:r>
        <w:rPr>
          <w:i/>
        </w:rPr>
        <w:t>Government Financial Responsibility Act 2000</w:t>
      </w:r>
      <w:r>
        <w:t xml:space="preserve"> section 4;</w:t>
      </w:r>
    </w:p>
    <w:p>
      <w:pPr>
        <w:pStyle w:val="Defstart"/>
      </w:pPr>
      <w:r>
        <w:tab/>
      </w:r>
      <w:r>
        <w:rPr>
          <w:rStyle w:val="CharDefText"/>
        </w:rPr>
        <w:t>relevant budget papers</w:t>
      </w:r>
      <w:r>
        <w:t xml:space="preserve">, in relation to a GTE, means — </w:t>
      </w:r>
    </w:p>
    <w:p>
      <w:pPr>
        <w:pStyle w:val="Defpara"/>
      </w:pPr>
      <w:r>
        <w:tab/>
        <w:t>(a)</w:t>
      </w:r>
      <w:r>
        <w:tab/>
        <w:t>the part of the budget papers tabled in the Legislative Assembly for a budget year that deals with the GTE under the title “Agency Information in Support of the Estimates”; or</w:t>
      </w:r>
    </w:p>
    <w:p>
      <w:pPr>
        <w:pStyle w:val="Defpara"/>
      </w:pPr>
      <w:r>
        <w:tab/>
        <w:t>(b)</w:t>
      </w:r>
      <w:r>
        <w:tab/>
        <w:t>if the regulations prescribe another part of those budget papers, that other part;</w:t>
      </w:r>
    </w:p>
    <w:p>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pPr>
        <w:pStyle w:val="Defstart"/>
      </w:pPr>
      <w:r>
        <w:lastRenderedPageBreak/>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pPr>
        <w:pStyle w:val="Heading5"/>
      </w:pPr>
      <w:bookmarkStart w:id="140" w:name="_Toc182400318"/>
      <w:r>
        <w:rPr>
          <w:rStyle w:val="CharSectno"/>
        </w:rPr>
        <w:t>75</w:t>
      </w:r>
      <w:r>
        <w:t>.</w:t>
      </w:r>
      <w:r>
        <w:tab/>
        <w:t>Annual performance statement for GTE</w:t>
      </w:r>
      <w:bookmarkEnd w:id="140"/>
    </w:p>
    <w:p>
      <w:pPr>
        <w:pStyle w:val="Subsection"/>
      </w:pPr>
      <w:r>
        <w:tab/>
        <w:t>(1)</w:t>
      </w:r>
      <w:r>
        <w:tab/>
        <w:t>Subject to subsection (2), for each budget year a GTE’s board must adopt an annual performance statement for the GTE in accordance with this Division.</w:t>
      </w:r>
    </w:p>
    <w:p>
      <w:pPr>
        <w:pStyle w:val="Subsection"/>
      </w:pPr>
      <w:r>
        <w:tab/>
        <w:t>(2)</w:t>
      </w:r>
      <w:r>
        <w:tab/>
        <w:t>A GTE is not required to adopt an annual performance statement for the budget year in which it is first established.</w:t>
      </w:r>
    </w:p>
    <w:p>
      <w:pPr>
        <w:pStyle w:val="Subsection"/>
      </w:pPr>
      <w:r>
        <w:tab/>
        <w:t>(3)</w:t>
      </w:r>
      <w:r>
        <w:tab/>
        <w:t xml:space="preserve">A GTE’s annual performance statement for a budget year must — </w:t>
      </w:r>
    </w:p>
    <w:p>
      <w:pPr>
        <w:pStyle w:val="Indenta"/>
      </w:pPr>
      <w:r>
        <w:tab/>
        <w:t>(a)</w:t>
      </w:r>
      <w:r>
        <w:tab/>
        <w:t>be in a form acceptable to the Portfolio Minister and the Treasurer; and</w:t>
      </w:r>
    </w:p>
    <w:p>
      <w:pPr>
        <w:pStyle w:val="Indenta"/>
      </w:pPr>
      <w:r>
        <w:tab/>
        <w:t>(b)</w:t>
      </w:r>
      <w:r>
        <w:tab/>
        <w:t>be consistent with the relevant budget papers for the year; and</w:t>
      </w:r>
    </w:p>
    <w:p>
      <w:pPr>
        <w:pStyle w:val="Indenta"/>
      </w:pPr>
      <w:r>
        <w:tab/>
        <w:t>(c)</w:t>
      </w:r>
      <w:r>
        <w:tab/>
        <w:t xml:space="preserve">contain — </w:t>
      </w:r>
    </w:p>
    <w:p>
      <w:pPr>
        <w:pStyle w:val="Indenti"/>
      </w:pPr>
      <w:r>
        <w:tab/>
        <w:t>(i)</w:t>
      </w:r>
      <w:r>
        <w:tab/>
        <w:t>financial statements (including forward year estimates) as required by the Treasurer; and</w:t>
      </w:r>
    </w:p>
    <w:p>
      <w:pPr>
        <w:pStyle w:val="Indenti"/>
      </w:pPr>
      <w:r>
        <w:tab/>
        <w:t>(ii)</w:t>
      </w:r>
      <w:r>
        <w:tab/>
        <w:t>performance objectives for the GTE and its subsidiaries for the budget year; and</w:t>
      </w:r>
    </w:p>
    <w:p>
      <w:pPr>
        <w:pStyle w:val="Indenti"/>
      </w:pPr>
      <w:r>
        <w:tab/>
        <w:t>(iii)</w:t>
      </w:r>
      <w:r>
        <w:tab/>
        <w:t>key performance indicators in respect of the performance objectives;</w:t>
      </w:r>
    </w:p>
    <w:p>
      <w:pPr>
        <w:pStyle w:val="Indenta"/>
      </w:pPr>
      <w:r>
        <w:tab/>
      </w:r>
      <w:r>
        <w:tab/>
        <w:t>and</w:t>
      </w:r>
    </w:p>
    <w:p>
      <w:pPr>
        <w:pStyle w:val="Indenta"/>
      </w:pPr>
      <w:r>
        <w:tab/>
        <w:t>(d)</w:t>
      </w:r>
      <w:r>
        <w:tab/>
        <w:t xml:space="preserve">outline any issues, projects or initiatives that may — </w:t>
      </w:r>
    </w:p>
    <w:p>
      <w:pPr>
        <w:pStyle w:val="Indenti"/>
      </w:pPr>
      <w:r>
        <w:tab/>
        <w:t>(i)</w:t>
      </w:r>
      <w:r>
        <w:tab/>
        <w:t>materially affect the financial position of the GTE; or</w:t>
      </w:r>
    </w:p>
    <w:p>
      <w:pPr>
        <w:pStyle w:val="Indenti"/>
      </w:pPr>
      <w:r>
        <w:t> </w:t>
      </w:r>
      <w:r>
        <w:tab/>
        <w:t>(ii)</w:t>
      </w:r>
      <w:r>
        <w:tab/>
        <w:t>lead to the adjustment of the forward year estimates;</w:t>
      </w:r>
    </w:p>
    <w:p>
      <w:pPr>
        <w:pStyle w:val="Indenta"/>
      </w:pPr>
      <w:r>
        <w:tab/>
      </w:r>
      <w:r>
        <w:tab/>
        <w:t>and</w:t>
      </w:r>
    </w:p>
    <w:p>
      <w:pPr>
        <w:pStyle w:val="Indenta"/>
        <w:keepNext/>
      </w:pPr>
      <w:r>
        <w:lastRenderedPageBreak/>
        <w:tab/>
        <w:t>(e)</w:t>
      </w:r>
      <w:r>
        <w:tab/>
        <w:t xml:space="preserve">outline any issues, projects or initiatives that may materially affect the attainment of — </w:t>
      </w:r>
    </w:p>
    <w:p>
      <w:pPr>
        <w:pStyle w:val="Indenti"/>
      </w:pPr>
      <w:r>
        <w:tab/>
        <w:t>(i)</w:t>
      </w:r>
      <w:r>
        <w:tab/>
        <w:t>the performance objectives for the GTE and its subsidiaries; or</w:t>
      </w:r>
    </w:p>
    <w:p>
      <w:pPr>
        <w:pStyle w:val="Indenti"/>
      </w:pPr>
      <w:r>
        <w:tab/>
        <w:t>(ii)</w:t>
      </w:r>
      <w:r>
        <w:tab/>
        <w:t>the key performance indicators in respect of the performance objectives;</w:t>
      </w:r>
    </w:p>
    <w:p>
      <w:pPr>
        <w:pStyle w:val="Indenta"/>
      </w:pPr>
      <w:r>
        <w:tab/>
      </w:r>
      <w:r>
        <w:tab/>
        <w:t>and</w:t>
      </w:r>
    </w:p>
    <w:p>
      <w:pPr>
        <w:pStyle w:val="Indenta"/>
      </w:pPr>
      <w:r>
        <w:tab/>
        <w:t>(f)</w:t>
      </w:r>
      <w:r>
        <w:tab/>
        <w:t>if a dividend formula for the budget year has been notified to the GTE’s board under section 139(2), set out the formula; and</w:t>
      </w:r>
    </w:p>
    <w:p>
      <w:pPr>
        <w:pStyle w:val="Indenta"/>
      </w:pPr>
      <w:r>
        <w:tab/>
        <w:t>(g)</w:t>
      </w:r>
      <w:r>
        <w:tab/>
        <w:t>contain or address any other matter that the regulations require the annual performance statement to contain or address; and</w:t>
      </w:r>
    </w:p>
    <w:p>
      <w:pPr>
        <w:pStyle w:val="Indenta"/>
      </w:pPr>
      <w:r>
        <w:tab/>
        <w:t>(h)</w:t>
      </w:r>
      <w:r>
        <w:tab/>
        <w:t>contain or address any other matter that the Portfolio Minister requires the annual performance statement to contain or address.</w:t>
      </w:r>
    </w:p>
    <w:p>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pPr>
        <w:pStyle w:val="Subsection"/>
      </w:pPr>
      <w:r>
        <w:tab/>
        <w:t>(5)</w:t>
      </w:r>
      <w:r>
        <w:tab/>
        <w:t xml:space="preserve">A GTE’s annual performance statement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141" w:name="_Toc182400319"/>
      <w:r>
        <w:rPr>
          <w:rStyle w:val="CharSectno"/>
        </w:rPr>
        <w:lastRenderedPageBreak/>
        <w:t>76</w:t>
      </w:r>
      <w:r>
        <w:t>.</w:t>
      </w:r>
      <w:r>
        <w:tab/>
        <w:t>Submitting draft annual performance statement and related information</w:t>
      </w:r>
      <w:bookmarkEnd w:id="141"/>
    </w:p>
    <w:p>
      <w:pPr>
        <w:pStyle w:val="Subsection"/>
        <w:keepNext/>
      </w:pPr>
      <w:r>
        <w:tab/>
        <w:t>(1)</w:t>
      </w:r>
      <w:r>
        <w:tab/>
        <w:t xml:space="preserve">On or before the submission date for a GTE for a budget year, the GTE’s board must submit to the Portfolio Minister and the Treasurer — </w:t>
      </w:r>
    </w:p>
    <w:p>
      <w:pPr>
        <w:pStyle w:val="Indenta"/>
      </w:pPr>
      <w:r>
        <w:tab/>
        <w:t>(a)</w:t>
      </w:r>
      <w:r>
        <w:tab/>
        <w:t>any information in the possession or control of the GTE and its subsidiaries that is required by the Treasurer for the purposes of preparing the relevant budget papers for the year; and</w:t>
      </w:r>
    </w:p>
    <w:p>
      <w:pPr>
        <w:pStyle w:val="Indenta"/>
      </w:pPr>
      <w:r>
        <w:tab/>
        <w:t>(b)</w:t>
      </w:r>
      <w:r>
        <w:tab/>
        <w:t>a draft annual performance statement for the GTE for the year; and</w:t>
      </w:r>
    </w:p>
    <w:p>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pPr>
        <w:pStyle w:val="Subsection"/>
      </w:pPr>
      <w:r>
        <w:tab/>
        <w:t>(2)</w:t>
      </w:r>
      <w:r>
        <w:tab/>
        <w:t xml:space="preserve">After receiving a draft annual performance statement, the Portfolio Minister may require the board — </w:t>
      </w:r>
    </w:p>
    <w:p>
      <w:pPr>
        <w:pStyle w:val="Indenta"/>
      </w:pPr>
      <w:r>
        <w:tab/>
        <w:t>(a)</w:t>
      </w:r>
      <w:r>
        <w:tab/>
        <w:t>to consider or further consider any matter; and</w:t>
      </w:r>
    </w:p>
    <w:p>
      <w:pPr>
        <w:pStyle w:val="Indenta"/>
      </w:pPr>
      <w:r>
        <w:tab/>
        <w:t>(b)</w:t>
      </w:r>
      <w:r>
        <w:tab/>
        <w:t xml:space="preserve">to submit to the Portfolio Minister and the Treasurer — </w:t>
      </w:r>
    </w:p>
    <w:p>
      <w:pPr>
        <w:pStyle w:val="Indenti"/>
      </w:pPr>
      <w:r>
        <w:tab/>
        <w:t>(i)</w:t>
      </w:r>
      <w:r>
        <w:tab/>
        <w:t>a draft annual performance statement revised in light of that consideration; and</w:t>
      </w:r>
    </w:p>
    <w:p>
      <w:pPr>
        <w:pStyle w:val="Indenti"/>
      </w:pPr>
      <w:r>
        <w:tab/>
        <w:t>(ii)</w:t>
      </w:r>
      <w:r>
        <w:tab/>
        <w:t>any information in the possession or control of the GTE and its subsidiaries that is required by the Portfolio Minister or the Treasurer for the purpose of considering the revised draft.</w:t>
      </w:r>
    </w:p>
    <w:p>
      <w:pPr>
        <w:pStyle w:val="Subsection"/>
      </w:pPr>
      <w:r>
        <w:tab/>
        <w:t>(3)</w:t>
      </w:r>
      <w:r>
        <w:tab/>
        <w:t>The board must comply with a requirement under subsection (2).</w:t>
      </w:r>
    </w:p>
    <w:p>
      <w:pPr>
        <w:pStyle w:val="Heading5"/>
      </w:pPr>
      <w:bookmarkStart w:id="142" w:name="_Toc182400320"/>
      <w:r>
        <w:rPr>
          <w:rStyle w:val="CharSectno"/>
        </w:rPr>
        <w:lastRenderedPageBreak/>
        <w:t>77</w:t>
      </w:r>
      <w:r>
        <w:t>.</w:t>
      </w:r>
      <w:r>
        <w:tab/>
        <w:t>Adopting annual performance statement</w:t>
      </w:r>
      <w:bookmarkEnd w:id="142"/>
    </w:p>
    <w:p>
      <w:pPr>
        <w:pStyle w:val="Subsection"/>
        <w:keepNext/>
      </w:pPr>
      <w:r>
        <w:tab/>
        <w:t>(1)</w:t>
      </w:r>
      <w:r>
        <w:tab/>
        <w:t xml:space="preserve">Before or as soon as practicable after budget day, a GTE’s board must — </w:t>
      </w:r>
    </w:p>
    <w:p>
      <w:pPr>
        <w:pStyle w:val="Indenta"/>
      </w:pPr>
      <w:r>
        <w:tab/>
        <w:t>(a)</w:t>
      </w:r>
      <w:r>
        <w:tab/>
        <w:t>adopt an annual performance statement for the budget year that has been prepared in accordance with section 76; and</w:t>
      </w:r>
    </w:p>
    <w:p>
      <w:pPr>
        <w:pStyle w:val="Indenta"/>
      </w:pPr>
      <w:r>
        <w:tab/>
        <w:t>(b)</w:t>
      </w:r>
      <w:r>
        <w:tab/>
        <w:t>submit it to the Portfolio Minister and the Treasurer.</w:t>
      </w:r>
    </w:p>
    <w:p>
      <w:pPr>
        <w:pStyle w:val="Subsection"/>
      </w:pPr>
      <w:r>
        <w:tab/>
        <w:t>(2)</w:t>
      </w:r>
      <w:r>
        <w:tab/>
        <w:t>If the annual performance statement as adopted by the board is inconsistent with the relevant budget papers, it is modified by this subsection to the extent necessary to remove the inconsistency.</w:t>
      </w:r>
    </w:p>
    <w:p>
      <w:pPr>
        <w:pStyle w:val="Subsection"/>
      </w:pPr>
      <w:r>
        <w:tab/>
        <w:t>(3)</w:t>
      </w:r>
      <w:r>
        <w:tab/>
        <w:t>Subject to section 78, the annual performance statement as adopted by the board and modified by subsection (2) becomes the GTE’s annual performance statement for the budget year.</w:t>
      </w:r>
    </w:p>
    <w:p>
      <w:pPr>
        <w:pStyle w:val="Heading5"/>
      </w:pPr>
      <w:bookmarkStart w:id="143" w:name="_Toc182400321"/>
      <w:r>
        <w:rPr>
          <w:rStyle w:val="CharSectno"/>
        </w:rPr>
        <w:t>78</w:t>
      </w:r>
      <w:r>
        <w:t>.</w:t>
      </w:r>
      <w:r>
        <w:tab/>
        <w:t>Varying annual performance statement</w:t>
      </w:r>
      <w:bookmarkEnd w:id="143"/>
    </w:p>
    <w:p>
      <w:pPr>
        <w:pStyle w:val="Subsection"/>
      </w:pPr>
      <w:r>
        <w:tab/>
        <w:t>(1)</w:t>
      </w:r>
      <w:r>
        <w:tab/>
        <w:t>After consulting the Portfolio Minister and the Treasurer, a GTE’s board may vary the GTE’s annual performance statement for a budget year.</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annual performance statement; and</w:t>
      </w:r>
    </w:p>
    <w:p>
      <w:pPr>
        <w:pStyle w:val="Indenta"/>
      </w:pPr>
      <w:r>
        <w:tab/>
        <w:t>(b)</w:t>
      </w:r>
      <w:r>
        <w:tab/>
        <w:t>notify the board that the statement as varied is to be the GTE’s annual performance statement.</w:t>
      </w:r>
    </w:p>
    <w:p>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pPr>
        <w:pStyle w:val="Subsection"/>
      </w:pPr>
      <w:r>
        <w:tab/>
        <w:t>(4)</w:t>
      </w:r>
      <w:r>
        <w:tab/>
        <w:t xml:space="preserve">The Portfolio Minister must cause the text of a notification under subsection (2) to be laid before each House of Parliament </w:t>
      </w:r>
      <w:r>
        <w:lastRenderedPageBreak/>
        <w:t>within 14 sitting days of the House after the notification is given.</w:t>
      </w:r>
    </w:p>
    <w:p>
      <w:pPr>
        <w:pStyle w:val="Subsection"/>
      </w:pPr>
      <w:r>
        <w:tab/>
        <w:t>(5)</w:t>
      </w:r>
      <w:r>
        <w:tab/>
        <w:t>Subsection (4) does not require the Portfolio Minister to cause the text of the variation or of the annual performance statement as varied to be laid before each House of Parliament.</w:t>
      </w:r>
    </w:p>
    <w:p>
      <w:pPr>
        <w:pStyle w:val="Heading5"/>
      </w:pPr>
      <w:bookmarkStart w:id="144" w:name="_Toc182400322"/>
      <w:r>
        <w:rPr>
          <w:rStyle w:val="CharSectno"/>
        </w:rPr>
        <w:t>79</w:t>
      </w:r>
      <w:r>
        <w:t>.</w:t>
      </w:r>
      <w:r>
        <w:tab/>
        <w:t>Continuation of annual performance statement</w:t>
      </w:r>
      <w:bookmarkEnd w:id="144"/>
    </w:p>
    <w:p>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pPr>
        <w:pStyle w:val="Indenta"/>
      </w:pPr>
      <w:r>
        <w:tab/>
        <w:t>(a)</w:t>
      </w:r>
      <w:r>
        <w:tab/>
        <w:t>the day on which an annual performance statement for the next budget year is adopted; or</w:t>
      </w:r>
    </w:p>
    <w:p>
      <w:pPr>
        <w:pStyle w:val="Indenta"/>
      </w:pPr>
      <w:r>
        <w:tab/>
        <w:t>(b)</w:t>
      </w:r>
      <w:r>
        <w:tab/>
        <w:t>the day on which the relevant budget papers for the next budget year are tabled in the Legislative Assembly.</w:t>
      </w:r>
    </w:p>
    <w:p>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pPr>
        <w:pStyle w:val="Heading2"/>
      </w:pPr>
      <w:bookmarkStart w:id="145" w:name="_Toc182383561"/>
      <w:bookmarkStart w:id="146" w:name="_Toc182384170"/>
      <w:bookmarkStart w:id="147" w:name="_Toc182400323"/>
      <w:r>
        <w:rPr>
          <w:rStyle w:val="CharPartNo"/>
        </w:rPr>
        <w:lastRenderedPageBreak/>
        <w:t>Part 7</w:t>
      </w:r>
      <w:r>
        <w:t> — </w:t>
      </w:r>
      <w:r>
        <w:rPr>
          <w:rStyle w:val="CharPartText"/>
        </w:rPr>
        <w:t>Accountability and control</w:t>
      </w:r>
      <w:bookmarkEnd w:id="145"/>
      <w:bookmarkEnd w:id="146"/>
      <w:bookmarkEnd w:id="147"/>
    </w:p>
    <w:p>
      <w:pPr>
        <w:pStyle w:val="Heading3"/>
        <w:keepNext w:val="0"/>
      </w:pPr>
      <w:bookmarkStart w:id="148" w:name="_Toc182383562"/>
      <w:bookmarkStart w:id="149" w:name="_Toc182384171"/>
      <w:bookmarkStart w:id="150" w:name="_Toc182400324"/>
      <w:r>
        <w:rPr>
          <w:rStyle w:val="CharDivNo"/>
        </w:rPr>
        <w:t>Division 1</w:t>
      </w:r>
      <w:r>
        <w:t> — </w:t>
      </w:r>
      <w:r>
        <w:rPr>
          <w:rStyle w:val="CharDivText"/>
        </w:rPr>
        <w:t>Reporting</w:t>
      </w:r>
      <w:bookmarkEnd w:id="148"/>
      <w:bookmarkEnd w:id="149"/>
      <w:bookmarkEnd w:id="150"/>
    </w:p>
    <w:p>
      <w:pPr>
        <w:pStyle w:val="Heading5"/>
        <w:rPr>
          <w:snapToGrid w:val="0"/>
        </w:rPr>
      </w:pPr>
      <w:bookmarkStart w:id="151" w:name="_Toc182400325"/>
      <w:r>
        <w:rPr>
          <w:rStyle w:val="CharSectno"/>
        </w:rPr>
        <w:t>80</w:t>
      </w:r>
      <w:r>
        <w:t>.</w:t>
      </w:r>
      <w:r>
        <w:tab/>
        <w:t>Terms used</w:t>
      </w:r>
      <w:bookmarkEnd w:id="151"/>
      <w:r>
        <w:rPr>
          <w:snapToGrid w:val="0"/>
        </w:rPr>
        <w:t xml:space="preserve"> </w:t>
      </w:r>
    </w:p>
    <w:p>
      <w:pPr>
        <w:pStyle w:val="Subsection"/>
        <w:rPr>
          <w:snapToGrid w:val="0"/>
        </w:rPr>
      </w:pPr>
      <w:r>
        <w:tab/>
      </w:r>
      <w:r>
        <w:tab/>
      </w:r>
      <w:r>
        <w:rPr>
          <w:snapToGrid w:val="0"/>
        </w:rPr>
        <w:t xml:space="preserve">In this Division — </w:t>
      </w:r>
    </w:p>
    <w:p>
      <w:pPr>
        <w:pStyle w:val="Defstart"/>
      </w:pPr>
      <w:r>
        <w:tab/>
      </w:r>
      <w:r>
        <w:rPr>
          <w:rStyle w:val="CharDefText"/>
        </w:rPr>
        <w:t>annual report</w:t>
      </w:r>
      <w:r>
        <w:t xml:space="preserve"> means a financial report and a directors’ report prepared under section 144 for a financial year;</w:t>
      </w:r>
    </w:p>
    <w:p>
      <w:pPr>
        <w:pStyle w:val="Defstart"/>
      </w:pPr>
      <w:r>
        <w:tab/>
      </w:r>
      <w:r>
        <w:rPr>
          <w:rStyle w:val="CharDefText"/>
        </w:rPr>
        <w:t>interim report</w:t>
      </w:r>
      <w:r>
        <w:t xml:space="preserve"> means a report prepared under section 146 for a prescribed period during a financial year;</w:t>
      </w:r>
    </w:p>
    <w:p>
      <w:pPr>
        <w:pStyle w:val="Defstart"/>
      </w:pPr>
      <w:r>
        <w:tab/>
      </w:r>
      <w:r>
        <w:rPr>
          <w:rStyle w:val="CharDefText"/>
        </w:rPr>
        <w:t>separate subsidiary report</w:t>
      </w:r>
      <w:r>
        <w:t xml:space="preserve"> means an annual report relating to a subsidiary of a GTE that is separate from the annual report relating to the GTE.</w:t>
      </w:r>
    </w:p>
    <w:p>
      <w:pPr>
        <w:pStyle w:val="Heading5"/>
        <w:rPr>
          <w:snapToGrid w:val="0"/>
        </w:rPr>
      </w:pPr>
      <w:bookmarkStart w:id="152" w:name="_Toc182400326"/>
      <w:r>
        <w:rPr>
          <w:rStyle w:val="CharSectno"/>
        </w:rPr>
        <w:t>81</w:t>
      </w:r>
      <w:r>
        <w:t>.</w:t>
      </w:r>
      <w:r>
        <w:tab/>
      </w:r>
      <w:r>
        <w:rPr>
          <w:snapToGrid w:val="0"/>
        </w:rPr>
        <w:t>Annual reports must be given to Portfolio Minister and Treasurer</w:t>
      </w:r>
      <w:bookmarkEnd w:id="152"/>
    </w:p>
    <w:p>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pPr>
        <w:pStyle w:val="Heading5"/>
        <w:rPr>
          <w:snapToGrid w:val="0"/>
        </w:rPr>
      </w:pPr>
      <w:bookmarkStart w:id="153" w:name="_Toc182400327"/>
      <w:r>
        <w:rPr>
          <w:rStyle w:val="CharSectno"/>
        </w:rPr>
        <w:t>82</w:t>
      </w:r>
      <w:r>
        <w:t>.</w:t>
      </w:r>
      <w:r>
        <w:tab/>
      </w:r>
      <w:r>
        <w:rPr>
          <w:snapToGrid w:val="0"/>
        </w:rPr>
        <w:t>Interim reports must be given to Portfolio Minister and Treasurer</w:t>
      </w:r>
      <w:bookmarkEnd w:id="153"/>
    </w:p>
    <w:p>
      <w:pPr>
        <w:pStyle w:val="Subsection"/>
        <w:rPr>
          <w:snapToGrid w:val="0"/>
        </w:rPr>
      </w:pPr>
      <w:r>
        <w:tab/>
      </w:r>
      <w:r>
        <w:tab/>
        <w:t xml:space="preserve">A GTE must give its </w:t>
      </w:r>
      <w:r>
        <w:rPr>
          <w:snapToGrid w:val="0"/>
        </w:rPr>
        <w:t>interim report to the Portfolio Minister, and a copy of it to the Treasurer — </w:t>
      </w:r>
    </w:p>
    <w:p>
      <w:pPr>
        <w:pStyle w:val="Indenta"/>
        <w:spacing w:before="70"/>
        <w:rPr>
          <w:snapToGrid w:val="0"/>
        </w:rPr>
      </w:pPr>
      <w:r>
        <w:tab/>
        <w:t>(a)</w:t>
      </w:r>
      <w:r>
        <w:tab/>
      </w:r>
      <w:r>
        <w:rPr>
          <w:snapToGrid w:val="0"/>
        </w:rPr>
        <w:t>within 2 months after the end of the period to which it relates; or</w:t>
      </w:r>
    </w:p>
    <w:p>
      <w:pPr>
        <w:pStyle w:val="Indenta"/>
        <w:spacing w:before="70"/>
        <w:rPr>
          <w:snapToGrid w:val="0"/>
        </w:rPr>
      </w:pPr>
      <w:r>
        <w:tab/>
        <w:t>(b)</w:t>
      </w:r>
      <w:r>
        <w:tab/>
      </w:r>
      <w:r>
        <w:rPr>
          <w:snapToGrid w:val="0"/>
        </w:rPr>
        <w:t>if another time is prescribed for the purposes of this section — within the prescribed time.</w:t>
      </w:r>
    </w:p>
    <w:p>
      <w:pPr>
        <w:pStyle w:val="Heading5"/>
        <w:rPr>
          <w:snapToGrid w:val="0"/>
        </w:rPr>
      </w:pPr>
      <w:bookmarkStart w:id="154" w:name="_Toc182400328"/>
      <w:r>
        <w:rPr>
          <w:rStyle w:val="CharSectno"/>
        </w:rPr>
        <w:t>83</w:t>
      </w:r>
      <w:r>
        <w:t>.</w:t>
      </w:r>
      <w:r>
        <w:tab/>
        <w:t>Copies of certain reports must be laid before Parliament</w:t>
      </w:r>
      <w:bookmarkEnd w:id="154"/>
      <w:r>
        <w:t xml:space="preserve"> </w:t>
      </w:r>
    </w:p>
    <w:p>
      <w:pPr>
        <w:pStyle w:val="Subsection"/>
      </w:pPr>
      <w:r>
        <w:tab/>
        <w:t>(1)</w:t>
      </w:r>
      <w:r>
        <w:tab/>
        <w:t>This section applies to an annual report that is not a separate subsidiary report.</w:t>
      </w:r>
    </w:p>
    <w:p>
      <w:pPr>
        <w:pStyle w:val="Subsection"/>
      </w:pPr>
      <w:r>
        <w:lastRenderedPageBreak/>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pPr>
        <w:pStyle w:val="Subsection"/>
      </w:pPr>
      <w:r>
        <w:tab/>
        <w:t>(3)</w:t>
      </w:r>
      <w:r>
        <w:tab/>
        <w:t xml:space="preserve">A Portfolio Minister who is unable to cause a copy of a report to be laid before each House of Parliament by 31 October after the end of the financial year to which it relates must — </w:t>
      </w:r>
    </w:p>
    <w:p>
      <w:pPr>
        <w:pStyle w:val="Indenta"/>
      </w:pPr>
      <w:r>
        <w:tab/>
        <w:t>(a)</w:t>
      </w:r>
      <w:r>
        <w:tab/>
        <w:t xml:space="preserve">by that date or as soon after that date as each House is sitting, inform each House of — </w:t>
      </w:r>
    </w:p>
    <w:p>
      <w:pPr>
        <w:pStyle w:val="Indenti"/>
      </w:pPr>
      <w:r>
        <w:tab/>
        <w:t>(i)</w:t>
      </w:r>
      <w:r>
        <w:tab/>
        <w:t>the Minister’s inability to cause a copy of the report to be laid; and</w:t>
      </w:r>
    </w:p>
    <w:p>
      <w:pPr>
        <w:pStyle w:val="Indenti"/>
      </w:pPr>
      <w:r>
        <w:tab/>
        <w:t>(ii)</w:t>
      </w:r>
      <w:r>
        <w:tab/>
        <w:t>the reasons for the inability; and</w:t>
      </w:r>
    </w:p>
    <w:p>
      <w:pPr>
        <w:pStyle w:val="Indenti"/>
      </w:pPr>
      <w:r>
        <w:tab/>
        <w:t>(iii)</w:t>
      </w:r>
      <w:r>
        <w:tab/>
        <w:t>the date by which the Minister expects a copy of the report to be laid before the House;</w:t>
      </w:r>
    </w:p>
    <w:p>
      <w:pPr>
        <w:pStyle w:val="Indenta"/>
      </w:pPr>
      <w:r>
        <w:tab/>
      </w:r>
      <w:r>
        <w:tab/>
        <w:t>and</w:t>
      </w:r>
    </w:p>
    <w:p>
      <w:pPr>
        <w:pStyle w:val="Indenta"/>
      </w:pPr>
      <w:r>
        <w:tab/>
        <w:t>(b)</w:t>
      </w:r>
      <w:r>
        <w:tab/>
        <w:t>as soon as practicable, cause a copy of the report to be laid before each House.</w:t>
      </w:r>
    </w:p>
    <w:p>
      <w:pPr>
        <w:pStyle w:val="Heading5"/>
        <w:rPr>
          <w:snapToGrid w:val="0"/>
        </w:rPr>
      </w:pPr>
      <w:bookmarkStart w:id="155" w:name="_Toc182400329"/>
      <w:r>
        <w:rPr>
          <w:rStyle w:val="CharSectno"/>
        </w:rPr>
        <w:t>84</w:t>
      </w:r>
      <w:r>
        <w:t>.</w:t>
      </w:r>
      <w:r>
        <w:tab/>
        <w:t>Copies of certain reports must be made publicly available</w:t>
      </w:r>
      <w:bookmarkEnd w:id="155"/>
    </w:p>
    <w:p>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pPr>
        <w:pStyle w:val="Heading5"/>
        <w:rPr>
          <w:snapToGrid w:val="0"/>
        </w:rPr>
      </w:pPr>
      <w:bookmarkStart w:id="156" w:name="_Toc182400330"/>
      <w:r>
        <w:rPr>
          <w:rStyle w:val="CharSectno"/>
        </w:rPr>
        <w:t>85</w:t>
      </w:r>
      <w:r>
        <w:t>.</w:t>
      </w:r>
      <w:r>
        <w:tab/>
      </w:r>
      <w:r>
        <w:rPr>
          <w:snapToGrid w:val="0"/>
        </w:rPr>
        <w:t>Deletion of commercially sensitive information from copies of reports</w:t>
      </w:r>
      <w:bookmarkEnd w:id="156"/>
    </w:p>
    <w:p>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pPr>
        <w:pStyle w:val="Subsection"/>
        <w:rPr>
          <w:snapToGrid w:val="0"/>
        </w:rPr>
      </w:pPr>
      <w:r>
        <w:rPr>
          <w:snapToGrid w:val="0"/>
        </w:rPr>
        <w:lastRenderedPageBreak/>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pPr>
        <w:pStyle w:val="Indenta"/>
        <w:rPr>
          <w:snapToGrid w:val="0"/>
        </w:rPr>
      </w:pPr>
      <w:r>
        <w:tab/>
        <w:t>(a)</w:t>
      </w:r>
      <w:r>
        <w:tab/>
        <w:t xml:space="preserve">must </w:t>
      </w:r>
      <w:r>
        <w:rPr>
          <w:snapToGrid w:val="0"/>
        </w:rPr>
        <w:t>include a statement that information has been deleted from it under this section; and</w:t>
      </w:r>
    </w:p>
    <w:p>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57" w:name="_Toc182383569"/>
      <w:bookmarkStart w:id="158" w:name="_Toc182384178"/>
      <w:bookmarkStart w:id="159" w:name="_Toc182400331"/>
      <w:r>
        <w:rPr>
          <w:rStyle w:val="CharDivNo"/>
        </w:rPr>
        <w:t>Division 2</w:t>
      </w:r>
      <w:r>
        <w:t> — </w:t>
      </w:r>
      <w:r>
        <w:rPr>
          <w:rStyle w:val="CharDivText"/>
        </w:rPr>
        <w:t>Consultation and provision of information</w:t>
      </w:r>
      <w:bookmarkEnd w:id="157"/>
      <w:bookmarkEnd w:id="158"/>
      <w:bookmarkEnd w:id="159"/>
    </w:p>
    <w:p>
      <w:pPr>
        <w:pStyle w:val="Heading5"/>
      </w:pPr>
      <w:bookmarkStart w:id="160" w:name="_Toc182400332"/>
      <w:r>
        <w:rPr>
          <w:rStyle w:val="CharSectno"/>
        </w:rPr>
        <w:t>86</w:t>
      </w:r>
      <w:r>
        <w:t>.</w:t>
      </w:r>
      <w:r>
        <w:tab/>
        <w:t>Terms used</w:t>
      </w:r>
      <w:bookmarkEnd w:id="160"/>
    </w:p>
    <w:p>
      <w:pPr>
        <w:pStyle w:val="Subsection"/>
      </w:pPr>
      <w:r>
        <w:tab/>
      </w:r>
      <w:r>
        <w:tab/>
        <w:t xml:space="preserve">In this Division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relating to the functions, operations or affairs of a GTE or of a subsidiary of a GTE;</w:t>
      </w:r>
    </w:p>
    <w:p>
      <w:pPr>
        <w:pStyle w:val="Defstart"/>
      </w:pPr>
      <w:r>
        <w:rPr>
          <w:b/>
        </w:rPr>
        <w:tab/>
      </w:r>
      <w:r>
        <w:rPr>
          <w:rStyle w:val="CharDefText"/>
        </w:rPr>
        <w:t>information request</w:t>
      </w:r>
      <w:r>
        <w:t xml:space="preserve"> means a request under section 88(2)(a) or (b);</w:t>
      </w:r>
    </w:p>
    <w:p>
      <w:pPr>
        <w:pStyle w:val="Defstart"/>
      </w:pPr>
      <w:r>
        <w:tab/>
      </w:r>
      <w:r>
        <w:rPr>
          <w:rStyle w:val="CharDefText"/>
        </w:rPr>
        <w:t>personal information</w:t>
      </w:r>
      <w:r>
        <w:t xml:space="preserve"> has the meaning given in the </w:t>
      </w:r>
      <w:r>
        <w:rPr>
          <w:i/>
        </w:rPr>
        <w:t>Privacy Act 1988</w:t>
      </w:r>
      <w:r>
        <w:t xml:space="preserve"> (Commonwealth) section 6(1);</w:t>
      </w:r>
    </w:p>
    <w:p>
      <w:pPr>
        <w:pStyle w:val="Defstart"/>
      </w:pPr>
      <w:r>
        <w:tab/>
      </w:r>
      <w:r>
        <w:rPr>
          <w:rStyle w:val="CharDefText"/>
        </w:rPr>
        <w:t>relevant department</w:t>
      </w:r>
      <w:r>
        <w:t xml:space="preserve"> means, in relation to a GTE — </w:t>
      </w:r>
    </w:p>
    <w:p>
      <w:pPr>
        <w:pStyle w:val="Defpara"/>
      </w:pPr>
      <w:r>
        <w:tab/>
        <w:t>(a)</w:t>
      </w:r>
      <w:r>
        <w:tab/>
        <w:t>the department principally assisting the Portfolio Minister in the administration of the GTE’s Establishing Act; and</w:t>
      </w:r>
    </w:p>
    <w:p>
      <w:pPr>
        <w:pStyle w:val="Defpara"/>
      </w:pPr>
      <w:r>
        <w:lastRenderedPageBreak/>
        <w:tab/>
        <w:t>(b)</w:t>
      </w:r>
      <w:r>
        <w:tab/>
        <w:t>the department principally assisting the GTE Minister in the administration of this Act; and</w:t>
      </w:r>
    </w:p>
    <w:p>
      <w:pPr>
        <w:pStyle w:val="Defpara"/>
      </w:pPr>
      <w:r>
        <w:tab/>
        <w:t>(c)</w:t>
      </w:r>
      <w:r>
        <w:tab/>
        <w:t xml:space="preserve">the department principally assisting the Treasurer in the administration of the </w:t>
      </w:r>
      <w:r>
        <w:rPr>
          <w:i/>
        </w:rPr>
        <w:t>Financial Management Act 2006</w:t>
      </w:r>
      <w:r>
        <w:t>;</w:t>
      </w:r>
    </w:p>
    <w:p>
      <w:pPr>
        <w:pStyle w:val="Defstart"/>
      </w:pPr>
      <w:r>
        <w:tab/>
      </w:r>
      <w:r>
        <w:rPr>
          <w:rStyle w:val="CharDefText"/>
        </w:rPr>
        <w:t>relevant Minister</w:t>
      </w:r>
      <w:r>
        <w:t>, in relation to a GTE, means the GTE’s Portfolio Minister, the GTE Minister and the Treasurer;</w:t>
      </w:r>
    </w:p>
    <w:p>
      <w:pPr>
        <w:pStyle w:val="Defstart"/>
      </w:pPr>
      <w:r>
        <w:tab/>
      </w:r>
      <w:r>
        <w:rPr>
          <w:rStyle w:val="CharDefText"/>
        </w:rPr>
        <w:t>specified information</w:t>
      </w:r>
      <w:r>
        <w:t xml:space="preserve"> — </w:t>
      </w:r>
    </w:p>
    <w:p>
      <w:pPr>
        <w:pStyle w:val="Defpara"/>
      </w:pPr>
      <w:r>
        <w:tab/>
        <w:t>(a)</w:t>
      </w:r>
      <w:r>
        <w:tab/>
        <w:t>means information specified in an information request; and</w:t>
      </w:r>
    </w:p>
    <w:p>
      <w:pPr>
        <w:pStyle w:val="Defpara"/>
      </w:pPr>
      <w:r>
        <w:tab/>
        <w:t>(b)</w:t>
      </w:r>
      <w:r>
        <w:tab/>
        <w:t>includes a document on which information specified in an information request is recorded or stored.</w:t>
      </w:r>
    </w:p>
    <w:p>
      <w:pPr>
        <w:pStyle w:val="Heading5"/>
      </w:pPr>
      <w:bookmarkStart w:id="161" w:name="_Toc182400333"/>
      <w:r>
        <w:rPr>
          <w:rStyle w:val="CharSectno"/>
        </w:rPr>
        <w:t>87</w:t>
      </w:r>
      <w:r>
        <w:t>.</w:t>
      </w:r>
      <w:r>
        <w:tab/>
        <w:t>Consultation</w:t>
      </w:r>
      <w:bookmarkEnd w:id="161"/>
      <w:r>
        <w:t xml:space="preserve"> </w:t>
      </w:r>
    </w:p>
    <w:p>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pPr>
        <w:pStyle w:val="Heading5"/>
      </w:pPr>
      <w:bookmarkStart w:id="162" w:name="_Toc182400334"/>
      <w:r>
        <w:rPr>
          <w:rStyle w:val="CharSectno"/>
        </w:rPr>
        <w:t>88</w:t>
      </w:r>
      <w:r>
        <w:t>.</w:t>
      </w:r>
      <w:r>
        <w:tab/>
        <w:t>Right to request, obtain and retain information</w:t>
      </w:r>
      <w:bookmarkEnd w:id="162"/>
    </w:p>
    <w:p>
      <w:pPr>
        <w:pStyle w:val="Subsection"/>
        <w:spacing w:before="140"/>
        <w:rPr>
          <w:snapToGrid w:val="0"/>
        </w:rPr>
      </w:pPr>
      <w:r>
        <w:tab/>
        <w:t>(1)</w:t>
      </w:r>
      <w:r>
        <w:tab/>
        <w:t xml:space="preserve">A relevant Minister </w:t>
      </w:r>
      <w:r>
        <w:rPr>
          <w:snapToGrid w:val="0"/>
        </w:rPr>
        <w:t>is entitled — </w:t>
      </w:r>
    </w:p>
    <w:p>
      <w:pPr>
        <w:pStyle w:val="Indenta"/>
        <w:spacing w:before="60"/>
        <w:rPr>
          <w:snapToGrid w:val="0"/>
        </w:rPr>
      </w:pPr>
      <w:r>
        <w:rPr>
          <w:snapToGrid w:val="0"/>
        </w:rPr>
        <w:tab/>
      </w:r>
      <w:r>
        <w:t>(a)</w:t>
      </w:r>
      <w:r>
        <w:rPr>
          <w:snapToGrid w:val="0"/>
        </w:rPr>
        <w:tab/>
        <w:t>to be given, and to retain, information in the possession of a GTE or any subsidiary of the GTE; and</w:t>
      </w:r>
    </w:p>
    <w:p>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pPr>
        <w:pStyle w:val="Subsection"/>
        <w:spacing w:before="140"/>
        <w:rPr>
          <w:snapToGrid w:val="0"/>
        </w:rPr>
      </w:pPr>
      <w:r>
        <w:rPr>
          <w:snapToGrid w:val="0"/>
        </w:rPr>
        <w:tab/>
      </w:r>
      <w:r>
        <w:t>(2)</w:t>
      </w:r>
      <w:r>
        <w:rPr>
          <w:snapToGrid w:val="0"/>
        </w:rPr>
        <w:tab/>
        <w:t>For the purposes of subsection (1) the relevant Minister may —</w:t>
      </w:r>
    </w:p>
    <w:p>
      <w:pPr>
        <w:pStyle w:val="Indenta"/>
        <w:spacing w:before="60"/>
        <w:rPr>
          <w:snapToGrid w:val="0"/>
        </w:rPr>
      </w:pPr>
      <w:r>
        <w:rPr>
          <w:snapToGrid w:val="0"/>
        </w:rPr>
        <w:tab/>
      </w:r>
      <w:r>
        <w:t>(a)</w:t>
      </w:r>
      <w:r>
        <w:rPr>
          <w:snapToGrid w:val="0"/>
        </w:rPr>
        <w:tab/>
        <w:t>request the GTE in writing to give specified information to the Minister; and</w:t>
      </w:r>
    </w:p>
    <w:p>
      <w:pPr>
        <w:pStyle w:val="Indenta"/>
        <w:spacing w:before="60"/>
        <w:rPr>
          <w:snapToGrid w:val="0"/>
        </w:rPr>
      </w:pPr>
      <w:r>
        <w:rPr>
          <w:snapToGrid w:val="0"/>
        </w:rPr>
        <w:tab/>
      </w:r>
      <w:r>
        <w:t>(b)</w:t>
      </w:r>
      <w:r>
        <w:rPr>
          <w:snapToGrid w:val="0"/>
        </w:rPr>
        <w:tab/>
        <w:t>request the GTE to give the Minister access to specified information; and</w:t>
      </w:r>
    </w:p>
    <w:p>
      <w:pPr>
        <w:pStyle w:val="Indenta"/>
        <w:spacing w:before="60"/>
        <w:rPr>
          <w:snapToGrid w:val="0"/>
        </w:rPr>
      </w:pPr>
      <w:r>
        <w:rPr>
          <w:snapToGrid w:val="0"/>
        </w:rPr>
        <w:lastRenderedPageBreak/>
        <w:tab/>
      </w:r>
      <w:r>
        <w:t>(c)</w:t>
      </w:r>
      <w:r>
        <w:rPr>
          <w:snapToGrid w:val="0"/>
        </w:rPr>
        <w:tab/>
        <w:t>for the purposes of paragraph (b), make use of the staff and facilities of the GTE or of any subsidiary of the GTE to obtain the specified information and give the Minister access to it.</w:t>
      </w:r>
    </w:p>
    <w:p>
      <w:pPr>
        <w:pStyle w:val="Subsection"/>
        <w:spacing w:before="140"/>
        <w:rPr>
          <w:snapToGrid w:val="0"/>
        </w:rPr>
      </w:pPr>
      <w:r>
        <w:tab/>
        <w:t>(3)</w:t>
      </w:r>
      <w:r>
        <w:tab/>
        <w:t xml:space="preserve">An information request may ask the GTE </w:t>
      </w:r>
      <w:r>
        <w:rPr>
          <w:snapToGrid w:val="0"/>
        </w:rPr>
        <w:t xml:space="preserve">to give, or give access to, information — </w:t>
      </w:r>
    </w:p>
    <w:p>
      <w:pPr>
        <w:pStyle w:val="Indenta"/>
      </w:pPr>
      <w:r>
        <w:tab/>
        <w:t>(a)</w:t>
      </w:r>
      <w:r>
        <w:tab/>
        <w:t>of a specified description; or</w:t>
      </w:r>
    </w:p>
    <w:p>
      <w:pPr>
        <w:pStyle w:val="Indenta"/>
      </w:pPr>
      <w:r>
        <w:tab/>
        <w:t>(b)</w:t>
      </w:r>
      <w:r>
        <w:tab/>
        <w:t>presented in a specified way; or</w:t>
      </w:r>
    </w:p>
    <w:p>
      <w:pPr>
        <w:pStyle w:val="Indenta"/>
      </w:pPr>
      <w:r>
        <w:tab/>
        <w:t>(c)</w:t>
      </w:r>
      <w:r>
        <w:tab/>
        <w:t>relating to a specified period; or</w:t>
      </w:r>
    </w:p>
    <w:p>
      <w:pPr>
        <w:pStyle w:val="Indenta"/>
      </w:pPr>
      <w:r>
        <w:tab/>
        <w:t>(d)</w:t>
      </w:r>
      <w:r>
        <w:tab/>
        <w:t>having any other specified characteristic.</w:t>
      </w:r>
    </w:p>
    <w:p>
      <w:pPr>
        <w:pStyle w:val="Subsection"/>
        <w:spacing w:before="140"/>
      </w:pPr>
      <w:r>
        <w:tab/>
        <w:t>(4)</w:t>
      </w:r>
      <w:r>
        <w:tab/>
        <w:t>An information request may specify a time before which the information, or access to it, must be given.</w:t>
      </w:r>
    </w:p>
    <w:p>
      <w:pPr>
        <w:pStyle w:val="Heading5"/>
      </w:pPr>
      <w:bookmarkStart w:id="163" w:name="_Toc182400335"/>
      <w:r>
        <w:rPr>
          <w:rStyle w:val="CharSectno"/>
        </w:rPr>
        <w:t>89</w:t>
      </w:r>
      <w:r>
        <w:t>.</w:t>
      </w:r>
      <w:r>
        <w:tab/>
        <w:t>Duty to comply with information request</w:t>
      </w:r>
      <w:bookmarkEnd w:id="163"/>
    </w:p>
    <w:p>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pPr>
        <w:pStyle w:val="Indenta"/>
      </w:pPr>
      <w:r>
        <w:tab/>
        <w:t>(a)</w:t>
      </w:r>
      <w:r>
        <w:tab/>
        <w:t xml:space="preserve">is in the possession of the GTE or a subsidiary of the GTE; or </w:t>
      </w:r>
    </w:p>
    <w:p>
      <w:pPr>
        <w:pStyle w:val="Indenta"/>
        <w:rPr>
          <w:snapToGrid w:val="0"/>
        </w:rPr>
      </w:pPr>
      <w:r>
        <w:tab/>
        <w:t>(b)</w:t>
      </w:r>
      <w:r>
        <w:tab/>
        <w:t>is capable of being assembled or compiled from information in the possession of the GTE or a subsidiary of the GTE</w:t>
      </w:r>
      <w:r>
        <w:rPr>
          <w:snapToGrid w:val="0"/>
        </w:rPr>
        <w:t>.</w:t>
      </w:r>
    </w:p>
    <w:p>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pPr>
        <w:pStyle w:val="Subsection"/>
        <w:keepNext/>
        <w:rPr>
          <w:snapToGrid w:val="0"/>
        </w:rPr>
      </w:pPr>
      <w:r>
        <w:rPr>
          <w:snapToGrid w:val="0"/>
        </w:rPr>
        <w:lastRenderedPageBreak/>
        <w:tab/>
      </w:r>
      <w:r>
        <w:t>(4)</w:t>
      </w:r>
      <w:r>
        <w:rPr>
          <w:snapToGrid w:val="0"/>
        </w:rPr>
        <w:tab/>
        <w:t xml:space="preserve">When giving, or giving access to, information a GTE must advise the relevant Minister if, in the opinion of the GTE — </w:t>
      </w:r>
    </w:p>
    <w:p>
      <w:pPr>
        <w:pStyle w:val="Indenta"/>
        <w:keepNext/>
        <w:rPr>
          <w:snapToGrid w:val="0"/>
        </w:rPr>
      </w:pPr>
      <w:r>
        <w:tab/>
        <w:t>(a)</w:t>
      </w:r>
      <w:r>
        <w:tab/>
      </w:r>
      <w:r>
        <w:rPr>
          <w:snapToGrid w:val="0"/>
        </w:rPr>
        <w:t xml:space="preserve">the public disclosure of any of the information would adversely affect the commercial interests of — </w:t>
      </w:r>
    </w:p>
    <w:p>
      <w:pPr>
        <w:pStyle w:val="Indenti"/>
        <w:rPr>
          <w:snapToGrid w:val="0"/>
        </w:rPr>
      </w:pPr>
      <w:r>
        <w:tab/>
        <w:t>(i)</w:t>
      </w:r>
      <w:r>
        <w:tab/>
      </w:r>
      <w:r>
        <w:rPr>
          <w:snapToGrid w:val="0"/>
        </w:rPr>
        <w:t>the GTE or any subsidiary of the GTE; or</w:t>
      </w:r>
    </w:p>
    <w:p>
      <w:pPr>
        <w:pStyle w:val="Indenti"/>
        <w:rPr>
          <w:snapToGrid w:val="0"/>
        </w:rPr>
      </w:pPr>
      <w:r>
        <w:rPr>
          <w:snapToGrid w:val="0"/>
        </w:rPr>
        <w:tab/>
      </w:r>
      <w:r>
        <w:t>(ii)</w:t>
      </w:r>
      <w:r>
        <w:rPr>
          <w:snapToGrid w:val="0"/>
        </w:rPr>
        <w:tab/>
        <w:t>the State; or</w:t>
      </w:r>
    </w:p>
    <w:p>
      <w:pPr>
        <w:pStyle w:val="Indenti"/>
        <w:rPr>
          <w:snapToGrid w:val="0"/>
        </w:rPr>
      </w:pPr>
      <w:r>
        <w:rPr>
          <w:snapToGrid w:val="0"/>
        </w:rPr>
        <w:tab/>
      </w:r>
      <w:r>
        <w:t>(iii)</w:t>
      </w:r>
      <w:r>
        <w:rPr>
          <w:snapToGrid w:val="0"/>
        </w:rPr>
        <w:tab/>
        <w:t>any other person;</w:t>
      </w:r>
    </w:p>
    <w:p>
      <w:pPr>
        <w:pStyle w:val="Indenta"/>
      </w:pPr>
      <w:r>
        <w:tab/>
      </w:r>
      <w:r>
        <w:tab/>
        <w:t>or</w:t>
      </w:r>
    </w:p>
    <w:p>
      <w:pPr>
        <w:pStyle w:val="Indenta"/>
        <w:rPr>
          <w:snapToGrid w:val="0"/>
        </w:rPr>
      </w:pPr>
      <w:r>
        <w:rPr>
          <w:snapToGrid w:val="0"/>
        </w:rPr>
        <w:tab/>
      </w:r>
      <w:r>
        <w:t>(b)</w:t>
      </w:r>
      <w:r>
        <w:rPr>
          <w:snapToGrid w:val="0"/>
        </w:rPr>
        <w:tab/>
        <w:t xml:space="preserve">any of the information is — </w:t>
      </w:r>
    </w:p>
    <w:p>
      <w:pPr>
        <w:pStyle w:val="Indenti"/>
        <w:rPr>
          <w:snapToGrid w:val="0"/>
        </w:rPr>
      </w:pPr>
      <w:r>
        <w:rPr>
          <w:snapToGrid w:val="0"/>
        </w:rPr>
        <w:tab/>
      </w:r>
      <w:r>
        <w:t>(i)</w:t>
      </w:r>
      <w:r>
        <w:rPr>
          <w:snapToGrid w:val="0"/>
        </w:rPr>
        <w:tab/>
        <w:t>personal information; or</w:t>
      </w:r>
    </w:p>
    <w:p>
      <w:pPr>
        <w:pStyle w:val="Indenti"/>
        <w:rPr>
          <w:snapToGrid w:val="0"/>
        </w:rPr>
      </w:pPr>
      <w:r>
        <w:tab/>
        <w:t>(ii)</w:t>
      </w:r>
      <w:r>
        <w:tab/>
      </w:r>
      <w:r>
        <w:rPr>
          <w:snapToGrid w:val="0"/>
        </w:rPr>
        <w:t>the subject of legal professional privilege; or</w:t>
      </w:r>
    </w:p>
    <w:p>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pPr>
        <w:pStyle w:val="Heading5"/>
        <w:rPr>
          <w:snapToGrid w:val="0"/>
        </w:rPr>
      </w:pPr>
      <w:bookmarkStart w:id="164" w:name="_Toc182400336"/>
      <w:r>
        <w:rPr>
          <w:rStyle w:val="CharSectno"/>
        </w:rPr>
        <w:t>90</w:t>
      </w:r>
      <w:r>
        <w:t>.</w:t>
      </w:r>
      <w:r>
        <w:tab/>
      </w:r>
      <w:r>
        <w:rPr>
          <w:snapToGrid w:val="0"/>
        </w:rPr>
        <w:t>Minister must be kept informed</w:t>
      </w:r>
      <w:bookmarkEnd w:id="164"/>
      <w:r>
        <w:rPr>
          <w:snapToGrid w:val="0"/>
        </w:rPr>
        <w:t xml:space="preserve"> </w:t>
      </w:r>
    </w:p>
    <w:p>
      <w:pPr>
        <w:pStyle w:val="Subsection"/>
        <w:keepNext/>
        <w:rPr>
          <w:snapToGrid w:val="0"/>
        </w:rPr>
      </w:pPr>
      <w:r>
        <w:rPr>
          <w:snapToGrid w:val="0"/>
        </w:rPr>
        <w:tab/>
      </w:r>
      <w:r>
        <w:rPr>
          <w:snapToGrid w:val="0"/>
        </w:rPr>
        <w:tab/>
        <w:t>A GTE must — </w:t>
      </w:r>
    </w:p>
    <w:p>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pPr>
        <w:pStyle w:val="Indenti"/>
        <w:keepNext/>
        <w:spacing w:before="60"/>
        <w:rPr>
          <w:snapToGrid w:val="0"/>
        </w:rPr>
      </w:pPr>
      <w:r>
        <w:rPr>
          <w:snapToGrid w:val="0"/>
        </w:rPr>
        <w:tab/>
      </w:r>
      <w:r>
        <w:t>(ii)</w:t>
      </w:r>
      <w:r>
        <w:rPr>
          <w:snapToGrid w:val="0"/>
        </w:rPr>
        <w:tab/>
        <w:t xml:space="preserve">the meeting of the expectations, or the pursuit of the strategic direction, objectives or major </w:t>
      </w:r>
      <w:r>
        <w:rPr>
          <w:snapToGrid w:val="0"/>
        </w:rPr>
        <w:lastRenderedPageBreak/>
        <w:t>initiatives, contained in the GTE’s statement of expectations.</w:t>
      </w:r>
    </w:p>
    <w:p>
      <w:pPr>
        <w:pStyle w:val="Heading5"/>
        <w:rPr>
          <w:snapToGrid w:val="0"/>
        </w:rPr>
      </w:pPr>
      <w:bookmarkStart w:id="165" w:name="_Toc182400337"/>
      <w:r>
        <w:rPr>
          <w:rStyle w:val="CharSectno"/>
        </w:rPr>
        <w:t>91</w:t>
      </w:r>
      <w:r>
        <w:t>.</w:t>
      </w:r>
      <w:r>
        <w:tab/>
      </w:r>
      <w:r>
        <w:rPr>
          <w:snapToGrid w:val="0"/>
        </w:rPr>
        <w:t>Notice of financial difficulty</w:t>
      </w:r>
      <w:bookmarkEnd w:id="165"/>
      <w:r>
        <w:rPr>
          <w:snapToGrid w:val="0"/>
        </w:rPr>
        <w:t xml:space="preserve"> </w:t>
      </w:r>
    </w:p>
    <w:p>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pPr>
        <w:pStyle w:val="Indenta"/>
        <w:rPr>
          <w:snapToGrid w:val="0"/>
        </w:rPr>
      </w:pPr>
      <w:r>
        <w:tab/>
        <w:t>(a)</w:t>
      </w:r>
      <w:r>
        <w:tab/>
      </w:r>
      <w:r>
        <w:rPr>
          <w:snapToGrid w:val="0"/>
        </w:rPr>
        <w:t>is unable to satisfy a financial obligation that has fallen due from the financial resources available to it; or</w:t>
      </w:r>
    </w:p>
    <w:p>
      <w:pPr>
        <w:pStyle w:val="Indenta"/>
        <w:rPr>
          <w:snapToGrid w:val="0"/>
        </w:rPr>
      </w:pPr>
      <w:r>
        <w:tab/>
        <w:t>(b)</w:t>
      </w:r>
      <w:r>
        <w:tab/>
      </w:r>
      <w:r>
        <w:rPr>
          <w:snapToGrid w:val="0"/>
        </w:rPr>
        <w:t>will likely be unable to satisfy a financial obligation when it falls due from the financial resources available, or likely to be available, to it.</w:t>
      </w:r>
    </w:p>
    <w:p>
      <w:pPr>
        <w:pStyle w:val="Subsection"/>
        <w:rPr>
          <w:snapToGrid w:val="0"/>
        </w:rPr>
      </w:pPr>
      <w:r>
        <w:rPr>
          <w:snapToGrid w:val="0"/>
        </w:rPr>
        <w:tab/>
      </w:r>
      <w:r>
        <w:t>(2)</w:t>
      </w:r>
      <w:r>
        <w:rPr>
          <w:snapToGrid w:val="0"/>
        </w:rPr>
        <w:tab/>
        <w:t>The notice must — </w:t>
      </w:r>
    </w:p>
    <w:p>
      <w:pPr>
        <w:pStyle w:val="Indenta"/>
        <w:spacing w:before="60"/>
        <w:rPr>
          <w:snapToGrid w:val="0"/>
        </w:rPr>
      </w:pPr>
      <w:r>
        <w:rPr>
          <w:snapToGrid w:val="0"/>
        </w:rPr>
        <w:tab/>
      </w:r>
      <w:r>
        <w:t>(a)</w:t>
      </w:r>
      <w:r>
        <w:rPr>
          <w:snapToGrid w:val="0"/>
        </w:rPr>
        <w:tab/>
        <w:t>be in writing; and</w:t>
      </w:r>
    </w:p>
    <w:p>
      <w:pPr>
        <w:pStyle w:val="Indenta"/>
        <w:spacing w:before="60"/>
        <w:rPr>
          <w:snapToGrid w:val="0"/>
        </w:rPr>
      </w:pPr>
      <w:r>
        <w:rPr>
          <w:snapToGrid w:val="0"/>
        </w:rPr>
        <w:tab/>
      </w:r>
      <w:r>
        <w:t>(b)</w:t>
      </w:r>
      <w:r>
        <w:rPr>
          <w:snapToGrid w:val="0"/>
        </w:rPr>
        <w:tab/>
        <w:t>give the reasons for the board’s opinion; and</w:t>
      </w:r>
    </w:p>
    <w:p>
      <w:pPr>
        <w:pStyle w:val="Indenta"/>
        <w:spacing w:before="60"/>
        <w:rPr>
          <w:snapToGrid w:val="0"/>
        </w:rPr>
      </w:pPr>
      <w:r>
        <w:rPr>
          <w:snapToGrid w:val="0"/>
        </w:rPr>
        <w:tab/>
      </w:r>
      <w:r>
        <w:t>(c)</w:t>
      </w:r>
      <w:r>
        <w:rPr>
          <w:snapToGrid w:val="0"/>
        </w:rPr>
        <w:tab/>
        <w:t>give any other information that the board considers relevant.</w:t>
      </w:r>
    </w:p>
    <w:p>
      <w:pPr>
        <w:pStyle w:val="Subsection"/>
        <w:rPr>
          <w:snapToGrid w:val="0"/>
        </w:rPr>
      </w:pPr>
      <w:r>
        <w:rPr>
          <w:snapToGrid w:val="0"/>
        </w:rPr>
        <w:tab/>
      </w:r>
      <w:r>
        <w:t>(3)</w:t>
      </w:r>
      <w:r>
        <w:rPr>
          <w:snapToGrid w:val="0"/>
        </w:rPr>
        <w:tab/>
        <w:t>Within 7 days of receipt of the notice, the Portfolio Minister and the Treasurer must — </w:t>
      </w:r>
    </w:p>
    <w:p>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pPr>
        <w:pStyle w:val="Heading5"/>
      </w:pPr>
      <w:bookmarkStart w:id="166" w:name="_Toc182400338"/>
      <w:r>
        <w:rPr>
          <w:rStyle w:val="CharSectno"/>
        </w:rPr>
        <w:t>92</w:t>
      </w:r>
      <w:r>
        <w:t>.</w:t>
      </w:r>
      <w:r>
        <w:tab/>
        <w:t>Legal professional privilege preserved</w:t>
      </w:r>
      <w:bookmarkEnd w:id="166"/>
    </w:p>
    <w:p>
      <w:pPr>
        <w:pStyle w:val="Subsection"/>
      </w:pPr>
      <w:r>
        <w:tab/>
        <w:t>(1)</w:t>
      </w:r>
      <w:r>
        <w:tab/>
        <w:t>Nothing in this Part requires a person to give, or give access to, any document or information that is the subject of legal professional privilege.</w:t>
      </w:r>
    </w:p>
    <w:p>
      <w:pPr>
        <w:pStyle w:val="Subsection"/>
      </w:pPr>
      <w:r>
        <w:lastRenderedPageBreak/>
        <w:tab/>
        <w:t>(2)</w:t>
      </w:r>
      <w:r>
        <w:tab/>
        <w:t>The giving, or giving of access to, any document or information under this Part is not a waiver of legal professional privilege in respect of that document.</w:t>
      </w:r>
    </w:p>
    <w:p>
      <w:pPr>
        <w:pStyle w:val="Heading3"/>
      </w:pPr>
      <w:bookmarkStart w:id="167" w:name="_Toc182383577"/>
      <w:bookmarkStart w:id="168" w:name="_Toc182384186"/>
      <w:bookmarkStart w:id="169" w:name="_Toc182400339"/>
      <w:r>
        <w:rPr>
          <w:rStyle w:val="CharDivNo"/>
        </w:rPr>
        <w:t>Division 3</w:t>
      </w:r>
      <w:r>
        <w:t> — </w:t>
      </w:r>
      <w:r>
        <w:rPr>
          <w:rStyle w:val="CharDivText"/>
        </w:rPr>
        <w:t>Matters requiring approval</w:t>
      </w:r>
      <w:bookmarkEnd w:id="167"/>
      <w:bookmarkEnd w:id="168"/>
      <w:bookmarkEnd w:id="169"/>
    </w:p>
    <w:p>
      <w:pPr>
        <w:pStyle w:val="Heading4"/>
      </w:pPr>
      <w:bookmarkStart w:id="170" w:name="_Toc182383578"/>
      <w:bookmarkStart w:id="171" w:name="_Toc182384187"/>
      <w:bookmarkStart w:id="172" w:name="_Toc182400340"/>
      <w:r>
        <w:t>Subdivision 1 — Preliminary</w:t>
      </w:r>
      <w:bookmarkEnd w:id="170"/>
      <w:bookmarkEnd w:id="171"/>
      <w:bookmarkEnd w:id="172"/>
    </w:p>
    <w:p>
      <w:pPr>
        <w:pStyle w:val="Heading5"/>
      </w:pPr>
      <w:bookmarkStart w:id="173" w:name="_Toc182400341"/>
      <w:r>
        <w:rPr>
          <w:rStyle w:val="CharSectno"/>
        </w:rPr>
        <w:t>93</w:t>
      </w:r>
      <w:r>
        <w:t>.</w:t>
      </w:r>
      <w:r>
        <w:tab/>
        <w:t>Term used: relevant entity</w:t>
      </w:r>
      <w:bookmarkEnd w:id="173"/>
    </w:p>
    <w:p>
      <w:pPr>
        <w:pStyle w:val="Subsection"/>
      </w:pPr>
      <w:r>
        <w:tab/>
      </w:r>
      <w:r>
        <w:tab/>
        <w:t xml:space="preserve">In this Division — </w:t>
      </w:r>
    </w:p>
    <w:p>
      <w:pPr>
        <w:pStyle w:val="Defstart"/>
      </w:pPr>
      <w:r>
        <w:tab/>
      </w:r>
      <w:r>
        <w:rPr>
          <w:rStyle w:val="CharDefText"/>
        </w:rPr>
        <w:t>relevant entity</w:t>
      </w:r>
      <w:r>
        <w:t xml:space="preserve"> means a GTE or a subsidiary of a GTE.</w:t>
      </w:r>
    </w:p>
    <w:p>
      <w:pPr>
        <w:pStyle w:val="Heading5"/>
      </w:pPr>
      <w:bookmarkStart w:id="174" w:name="_Toc182400342"/>
      <w:r>
        <w:rPr>
          <w:rStyle w:val="CharSectno"/>
        </w:rPr>
        <w:t>94</w:t>
      </w:r>
      <w:r>
        <w:t>.</w:t>
      </w:r>
      <w:r>
        <w:tab/>
        <w:t>Approvals and declarations</w:t>
      </w:r>
      <w:bookmarkEnd w:id="174"/>
    </w:p>
    <w:p>
      <w:pPr>
        <w:pStyle w:val="Subsection"/>
      </w:pPr>
      <w:r>
        <w:tab/>
        <w:t>(1)</w:t>
      </w:r>
      <w:r>
        <w:tab/>
        <w:t>An approval or declaration by a Portfolio Minister under this Division may only be given by instrument signed by the Portfolio Minister.</w:t>
      </w:r>
    </w:p>
    <w:p>
      <w:pPr>
        <w:pStyle w:val="Subsection"/>
      </w:pPr>
      <w:r>
        <w:tab/>
        <w:t>(2)</w:t>
      </w:r>
      <w:r>
        <w:tab/>
        <w:t xml:space="preserve">The approval of the Treasurer of an approval or declaration by a Portfolio Minister under this Division may only be given by the Treasurer — </w:t>
      </w:r>
    </w:p>
    <w:p>
      <w:pPr>
        <w:pStyle w:val="Indenta"/>
      </w:pPr>
      <w:r>
        <w:tab/>
        <w:t>(a)</w:t>
      </w:r>
      <w:r>
        <w:tab/>
        <w:t>countersigning the instrument signed by the Portfolio Minister; or</w:t>
      </w:r>
    </w:p>
    <w:p>
      <w:pPr>
        <w:pStyle w:val="Indenta"/>
      </w:pPr>
      <w:r>
        <w:tab/>
        <w:t>(b)</w:t>
      </w:r>
      <w:r>
        <w:tab/>
        <w:t>signing a separate instrument.</w:t>
      </w:r>
    </w:p>
    <w:p>
      <w:pPr>
        <w:pStyle w:val="Heading4"/>
      </w:pPr>
      <w:bookmarkStart w:id="175" w:name="_Toc182383581"/>
      <w:bookmarkStart w:id="176" w:name="_Toc182384190"/>
      <w:bookmarkStart w:id="177" w:name="_Toc182400343"/>
      <w:r>
        <w:t>Subdivision 2 — Disposal of significant assets</w:t>
      </w:r>
      <w:bookmarkEnd w:id="175"/>
      <w:bookmarkEnd w:id="176"/>
      <w:bookmarkEnd w:id="177"/>
    </w:p>
    <w:p>
      <w:pPr>
        <w:pStyle w:val="Heading5"/>
      </w:pPr>
      <w:bookmarkStart w:id="178" w:name="_Toc182400344"/>
      <w:r>
        <w:rPr>
          <w:rStyle w:val="CharSectno"/>
        </w:rPr>
        <w:t>95</w:t>
      </w:r>
      <w:r>
        <w:t>.</w:t>
      </w:r>
      <w:r>
        <w:tab/>
        <w:t>Terms used</w:t>
      </w:r>
      <w:bookmarkEnd w:id="178"/>
    </w:p>
    <w:p>
      <w:pPr>
        <w:pStyle w:val="Subsection"/>
      </w:pPr>
      <w:r>
        <w:tab/>
        <w:t>(1)</w:t>
      </w:r>
      <w:r>
        <w:tab/>
        <w:t xml:space="preserve">In this Subdivision — </w:t>
      </w:r>
    </w:p>
    <w:p>
      <w:pPr>
        <w:pStyle w:val="Defstart"/>
      </w:pPr>
      <w:r>
        <w:tab/>
      </w:r>
      <w:r>
        <w:rPr>
          <w:rStyle w:val="CharDefText"/>
        </w:rPr>
        <w:t>disposal order</w:t>
      </w:r>
      <w:r>
        <w:t xml:space="preserve"> means an order under section 98(2);</w:t>
      </w:r>
    </w:p>
    <w:p>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pPr>
        <w:pStyle w:val="Defstart"/>
        <w:keepNext/>
      </w:pPr>
      <w:r>
        <w:lastRenderedPageBreak/>
        <w:tab/>
      </w:r>
      <w:r>
        <w:rPr>
          <w:rStyle w:val="CharDefText"/>
        </w:rPr>
        <w:t>group</w:t>
      </w:r>
      <w:r>
        <w:t xml:space="preserve"> — </w:t>
      </w:r>
    </w:p>
    <w:p>
      <w:pPr>
        <w:pStyle w:val="Defpara"/>
      </w:pPr>
      <w:r>
        <w:tab/>
        <w:t>(a)</w:t>
      </w:r>
      <w:r>
        <w:tab/>
        <w:t>means a GTE and all subsidiaries the GTE may have; and</w:t>
      </w:r>
    </w:p>
    <w:p>
      <w:pPr>
        <w:pStyle w:val="Defpara"/>
      </w:pPr>
      <w:r>
        <w:t> </w:t>
      </w:r>
      <w:r>
        <w:tab/>
        <w:t>(b)</w:t>
      </w:r>
      <w:r>
        <w:tab/>
        <w:t>in relation to a relevant entity, means the group of which it is a part;</w:t>
      </w:r>
    </w:p>
    <w:p>
      <w:pPr>
        <w:pStyle w:val="Defstart"/>
      </w:pPr>
      <w:r>
        <w:tab/>
      </w:r>
      <w:r>
        <w:rPr>
          <w:rStyle w:val="CharDefText"/>
        </w:rPr>
        <w:t>significant asset</w:t>
      </w:r>
      <w:r>
        <w:t xml:space="preserve"> has the meaning given in subsection (2).</w:t>
      </w:r>
    </w:p>
    <w:p>
      <w:pPr>
        <w:pStyle w:val="Subsection"/>
      </w:pPr>
      <w:r>
        <w:tab/>
        <w:t>(2)</w:t>
      </w:r>
      <w:r>
        <w:tab/>
        <w:t xml:space="preserve">An asset is a </w:t>
      </w:r>
      <w:r>
        <w:rPr>
          <w:rStyle w:val="CharDefText"/>
        </w:rPr>
        <w:t>significant asset</w:t>
      </w:r>
      <w:r>
        <w:t xml:space="preserve"> of a relevant entity if — </w:t>
      </w:r>
    </w:p>
    <w:p>
      <w:pPr>
        <w:pStyle w:val="Indenta"/>
      </w:pPr>
      <w:r>
        <w:tab/>
        <w:t>(a)</w:t>
      </w:r>
      <w:r>
        <w:tab/>
        <w:t>it is a beneficial interest of the relevant entity in property (including rights under a contract, shares in a company or an interest in a joint venture); and</w:t>
      </w:r>
    </w:p>
    <w:p>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pPr>
        <w:pStyle w:val="Indenta"/>
      </w:pPr>
      <w:r>
        <w:tab/>
        <w:t>(c)</w:t>
      </w:r>
      <w:r>
        <w:tab/>
        <w:t xml:space="preserve">the total value of the property exceeds the greater of — </w:t>
      </w:r>
    </w:p>
    <w:p>
      <w:pPr>
        <w:pStyle w:val="Indenti"/>
      </w:pPr>
      <w:r>
        <w:tab/>
        <w:t>(i)</w:t>
      </w:r>
      <w:r>
        <w:tab/>
        <w:t>a sum equal to 5% of the written down value of consolidated fixed assets and investments of the relevant entity’s group stated in the group’s most recent audited accounts; or</w:t>
      </w:r>
    </w:p>
    <w:p>
      <w:pPr>
        <w:pStyle w:val="Indenti"/>
      </w:pPr>
      <w:r>
        <w:tab/>
        <w:t>(ii)</w:t>
      </w:r>
      <w:r>
        <w:tab/>
        <w:t>$100 000 000.</w:t>
      </w:r>
    </w:p>
    <w:p>
      <w:pPr>
        <w:pStyle w:val="Heading5"/>
      </w:pPr>
      <w:bookmarkStart w:id="179" w:name="_Toc182400345"/>
      <w:r>
        <w:rPr>
          <w:rStyle w:val="CharSectno"/>
        </w:rPr>
        <w:t>96</w:t>
      </w:r>
      <w:r>
        <w:t>.</w:t>
      </w:r>
      <w:r>
        <w:tab/>
        <w:t>Restriction on disposal of significant asset</w:t>
      </w:r>
      <w:bookmarkEnd w:id="179"/>
    </w:p>
    <w:p>
      <w:pPr>
        <w:pStyle w:val="Subsection"/>
      </w:pPr>
      <w:r>
        <w:tab/>
      </w:r>
      <w:r>
        <w:tab/>
        <w:t>A relevant entity must not dispose of a significant asset except under and in accordance with a disposal order that has effect under section 98.</w:t>
      </w:r>
    </w:p>
    <w:p>
      <w:pPr>
        <w:pStyle w:val="Heading5"/>
      </w:pPr>
      <w:bookmarkStart w:id="180" w:name="_Toc182400346"/>
      <w:r>
        <w:rPr>
          <w:rStyle w:val="CharSectno"/>
        </w:rPr>
        <w:t>97</w:t>
      </w:r>
      <w:r>
        <w:t>.</w:t>
      </w:r>
      <w:r>
        <w:tab/>
        <w:t>Consultation regarding disposal of significant asset</w:t>
      </w:r>
      <w:bookmarkEnd w:id="180"/>
    </w:p>
    <w:p>
      <w:pPr>
        <w:pStyle w:val="Subsection"/>
      </w:pPr>
      <w:r>
        <w:tab/>
        <w:t>(1)</w:t>
      </w:r>
      <w:r>
        <w:tab/>
        <w:t xml:space="preserve">A relevant entity considering disposing of a significant asset must inform the Portfolio Minister and the Treasurer of the contemplated disposal — </w:t>
      </w:r>
    </w:p>
    <w:p>
      <w:pPr>
        <w:pStyle w:val="Indenta"/>
      </w:pPr>
      <w:r>
        <w:tab/>
        <w:t>(a)</w:t>
      </w:r>
      <w:r>
        <w:tab/>
        <w:t>as soon as practicable; and</w:t>
      </w:r>
    </w:p>
    <w:p>
      <w:pPr>
        <w:pStyle w:val="Indenta"/>
      </w:pPr>
      <w:r>
        <w:lastRenderedPageBreak/>
        <w:tab/>
        <w:t>(b)</w:t>
      </w:r>
      <w:r>
        <w:tab/>
        <w:t>in any event before engaging advisers, consultants or agents in connection with the contemplated disposal.</w:t>
      </w:r>
    </w:p>
    <w:p>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pPr>
        <w:pStyle w:val="Heading5"/>
      </w:pPr>
      <w:bookmarkStart w:id="181" w:name="_Toc182400347"/>
      <w:r>
        <w:rPr>
          <w:rStyle w:val="CharSectno"/>
        </w:rPr>
        <w:t>98</w:t>
      </w:r>
      <w:r>
        <w:t>.</w:t>
      </w:r>
      <w:r>
        <w:tab/>
        <w:t>Disposal orders</w:t>
      </w:r>
      <w:bookmarkEnd w:id="181"/>
    </w:p>
    <w:p>
      <w:pPr>
        <w:pStyle w:val="Subsection"/>
      </w:pPr>
      <w:r>
        <w:tab/>
        <w:t>(1)</w:t>
      </w:r>
      <w:r>
        <w:tab/>
        <w:t xml:space="preserve">In this section — </w:t>
      </w:r>
    </w:p>
    <w:p>
      <w:pPr>
        <w:pStyle w:val="Defstart"/>
      </w:pPr>
      <w:r>
        <w:tab/>
      </w:r>
      <w:r>
        <w:rPr>
          <w:rStyle w:val="CharDefText"/>
        </w:rPr>
        <w:t>disallowance resolution</w:t>
      </w:r>
      <w:r>
        <w:t xml:space="preserve"> means a resolution that a disposal order be disallowed.</w:t>
      </w:r>
    </w:p>
    <w:p>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pPr>
        <w:pStyle w:val="Subsection"/>
      </w:pPr>
      <w:r>
        <w:tab/>
        <w:t>(3)</w:t>
      </w:r>
      <w:r>
        <w:tab/>
        <w:t xml:space="preserve">A disposal order may set out — </w:t>
      </w:r>
    </w:p>
    <w:p>
      <w:pPr>
        <w:pStyle w:val="Indenta"/>
      </w:pPr>
      <w:r>
        <w:tab/>
        <w:t>(a)</w:t>
      </w:r>
      <w:r>
        <w:tab/>
        <w:t>terms and conditions on which the relevant entity must effect the disposal; and</w:t>
      </w:r>
    </w:p>
    <w:p>
      <w:pPr>
        <w:pStyle w:val="Indenta"/>
      </w:pPr>
      <w:r>
        <w:tab/>
        <w:t>(b)</w:t>
      </w:r>
      <w:r>
        <w:tab/>
        <w:t>processes that the relevant entity must follow in effecting the disposal.</w:t>
      </w:r>
    </w:p>
    <w:p>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pPr>
        <w:pStyle w:val="Subsection"/>
        <w:keepNext/>
      </w:pPr>
      <w:r>
        <w:tab/>
        <w:t>(5)</w:t>
      </w:r>
      <w:r>
        <w:tab/>
        <w:t xml:space="preserve">A disposal order has effect if it is laid before each House of Parliament under subsection (4) and either — </w:t>
      </w:r>
    </w:p>
    <w:p>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pPr>
        <w:pStyle w:val="Indenta"/>
      </w:pPr>
      <w:r>
        <w:lastRenderedPageBreak/>
        <w:tab/>
        <w:t>(b)</w:t>
      </w:r>
      <w:r>
        <w:tab/>
        <w:t xml:space="preserve">for each notice of a disallowance resolution that is given in either House, by the expiry of the disallowance period for that House — </w:t>
      </w:r>
    </w:p>
    <w:p>
      <w:pPr>
        <w:pStyle w:val="Indenti"/>
      </w:pPr>
      <w:r>
        <w:tab/>
        <w:t>(i)</w:t>
      </w:r>
      <w:r>
        <w:tab/>
        <w:t>the notice has been withdrawn or discharged; or</w:t>
      </w:r>
    </w:p>
    <w:p>
      <w:pPr>
        <w:pStyle w:val="Indenti"/>
      </w:pPr>
      <w:r>
        <w:tab/>
        <w:t>(ii)</w:t>
      </w:r>
      <w:r>
        <w:tab/>
        <w:t>the disallowance resolution has been lost or not agreed to.</w:t>
      </w:r>
    </w:p>
    <w:p>
      <w:pPr>
        <w:pStyle w:val="Subsection"/>
        <w:keepNext/>
      </w:pPr>
      <w:r>
        <w:tab/>
        <w:t>(6)</w:t>
      </w:r>
      <w:r>
        <w:tab/>
        <w:t xml:space="preserve">For the purposes of this section — </w:t>
      </w:r>
    </w:p>
    <w:p>
      <w:pPr>
        <w:pStyle w:val="Indenta"/>
      </w:pPr>
      <w:r>
        <w:tab/>
        <w:t>(a)</w:t>
      </w:r>
      <w:r>
        <w:tab/>
        <w:t>a tabling period or a disallowance period continues to run even though a House of Parliament is dissolved, prorogued or expires; and</w:t>
      </w:r>
    </w:p>
    <w:p>
      <w:pPr>
        <w:pStyle w:val="Indenta"/>
      </w:pPr>
      <w:r>
        <w:tab/>
        <w:t>(b)</w:t>
      </w:r>
      <w:r>
        <w:tab/>
        <w:t>notice of a disallowance resolution given in a House of Parliament does not lapse even though the House is dissolved, prorogued or expires.</w:t>
      </w:r>
    </w:p>
    <w:p>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pPr>
        <w:pStyle w:val="Subsection"/>
      </w:pPr>
      <w:r>
        <w:tab/>
        <w:t>(8)</w:t>
      </w:r>
      <w:r>
        <w:tab/>
        <w:t>A person dealing with a relevant entity is not bound or concerned to enquire whether the GTE has effected a disposal on terms and conditions, or has followed processes, set out under subsection (3).</w:t>
      </w:r>
    </w:p>
    <w:p>
      <w:pPr>
        <w:pStyle w:val="Heading4"/>
      </w:pPr>
      <w:bookmarkStart w:id="182" w:name="_Toc182383586"/>
      <w:bookmarkStart w:id="183" w:name="_Toc182384195"/>
      <w:bookmarkStart w:id="184" w:name="_Toc182400348"/>
      <w:r>
        <w:t>Subdivision 3 — Significant transactions</w:t>
      </w:r>
      <w:bookmarkEnd w:id="182"/>
      <w:bookmarkEnd w:id="183"/>
      <w:bookmarkEnd w:id="184"/>
    </w:p>
    <w:p>
      <w:pPr>
        <w:pStyle w:val="Heading5"/>
      </w:pPr>
      <w:bookmarkStart w:id="185" w:name="_Toc182400349"/>
      <w:r>
        <w:rPr>
          <w:rStyle w:val="CharSectno"/>
        </w:rPr>
        <w:t>99</w:t>
      </w:r>
      <w:r>
        <w:t>.</w:t>
      </w:r>
      <w:r>
        <w:tab/>
        <w:t>Terms used</w:t>
      </w:r>
      <w:bookmarkEnd w:id="185"/>
    </w:p>
    <w:p>
      <w:pPr>
        <w:pStyle w:val="Subsection"/>
      </w:pPr>
      <w:r>
        <w:tab/>
      </w:r>
      <w:r>
        <w:tab/>
        <w:t xml:space="preserve">In this Subdivision — </w:t>
      </w:r>
    </w:p>
    <w:p>
      <w:pPr>
        <w:pStyle w:val="Defstart"/>
      </w:pPr>
      <w:r>
        <w:tab/>
      </w:r>
      <w:r>
        <w:rPr>
          <w:rStyle w:val="CharDefText"/>
        </w:rPr>
        <w:t>significant transaction</w:t>
      </w:r>
      <w:r>
        <w:t xml:space="preserve"> has the meaning given in section 100;</w:t>
      </w:r>
    </w:p>
    <w:p>
      <w:pPr>
        <w:pStyle w:val="Defstart"/>
      </w:pPr>
      <w:r>
        <w:tab/>
      </w:r>
      <w:r>
        <w:rPr>
          <w:rStyle w:val="CharDefText"/>
        </w:rPr>
        <w:t>transaction</w:t>
      </w:r>
      <w:r>
        <w:t xml:space="preserve"> means — </w:t>
      </w:r>
    </w:p>
    <w:p>
      <w:pPr>
        <w:pStyle w:val="Defpara"/>
      </w:pPr>
      <w:r>
        <w:tab/>
        <w:t>(a)</w:t>
      </w:r>
      <w:r>
        <w:tab/>
        <w:t>a contract or other arrangement; or</w:t>
      </w:r>
    </w:p>
    <w:p>
      <w:pPr>
        <w:pStyle w:val="Defpara"/>
        <w:keepNext/>
      </w:pPr>
      <w:r>
        <w:lastRenderedPageBreak/>
        <w:tab/>
        <w:t>(b)</w:t>
      </w:r>
      <w:r>
        <w:tab/>
        <w:t xml:space="preserve">the set of all the contracts and arrangements which — </w:t>
      </w:r>
    </w:p>
    <w:p>
      <w:pPr>
        <w:pStyle w:val="Defsubpara"/>
      </w:pPr>
      <w:r>
        <w:tab/>
        <w:t>(i)</w:t>
      </w:r>
      <w:r>
        <w:tab/>
        <w:t>are entered into for the purpose of achieving a particular outcome and would not be entered into but for that purpose; or</w:t>
      </w:r>
    </w:p>
    <w:p>
      <w:pPr>
        <w:pStyle w:val="Defsubpara"/>
      </w:pPr>
      <w:r>
        <w:tab/>
        <w:t>(ii)</w:t>
      </w:r>
      <w:r>
        <w:tab/>
        <w:t>are incidental or ancillary to that purpose.</w:t>
      </w:r>
    </w:p>
    <w:p>
      <w:pPr>
        <w:pStyle w:val="Heading5"/>
      </w:pPr>
      <w:bookmarkStart w:id="186" w:name="_Toc182400350"/>
      <w:r>
        <w:rPr>
          <w:rStyle w:val="CharSectno"/>
        </w:rPr>
        <w:t>100</w:t>
      </w:r>
      <w:r>
        <w:t>.</w:t>
      </w:r>
      <w:r>
        <w:tab/>
        <w:t>Term used: significant transaction</w:t>
      </w:r>
      <w:bookmarkEnd w:id="186"/>
    </w:p>
    <w:p>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pPr>
        <w:pStyle w:val="Subsection"/>
      </w:pPr>
      <w:r>
        <w:tab/>
        <w:t>(3)</w:t>
      </w:r>
      <w:r>
        <w:tab/>
        <w:t>In considering the impact of a transaction for the purposes of subsection (2), regard must be had to any criteria prescribed for the purposes of this section.</w:t>
      </w:r>
    </w:p>
    <w:p>
      <w:pPr>
        <w:pStyle w:val="Subsection"/>
      </w:pPr>
      <w:r>
        <w:tab/>
        <w:t>(4)</w:t>
      </w:r>
      <w:r>
        <w:tab/>
        <w:t xml:space="preserve">A transaction of a relevant entity is not a </w:t>
      </w:r>
      <w:r>
        <w:rPr>
          <w:rStyle w:val="CharDefText"/>
        </w:rPr>
        <w:t>significant transaction</w:t>
      </w:r>
      <w:r>
        <w:t xml:space="preserve"> if it is —</w:t>
      </w:r>
    </w:p>
    <w:p>
      <w:pPr>
        <w:pStyle w:val="Indenta"/>
      </w:pPr>
      <w:r>
        <w:tab/>
        <w:t>(a)</w:t>
      </w:r>
      <w:r>
        <w:tab/>
        <w:t>a disposal to which Subdivision 2 applies; or</w:t>
      </w:r>
    </w:p>
    <w:p>
      <w:pPr>
        <w:pStyle w:val="Indenta"/>
      </w:pPr>
      <w:r>
        <w:tab/>
        <w:t>(b)</w:t>
      </w:r>
      <w:r>
        <w:tab/>
        <w:t>a transaction to which Part 8 Division 4 applies; or</w:t>
      </w:r>
    </w:p>
    <w:p>
      <w:pPr>
        <w:pStyle w:val="Indenta"/>
      </w:pPr>
      <w:r>
        <w:tab/>
        <w:t>(c)</w:t>
      </w:r>
      <w:r>
        <w:tab/>
        <w:t>a prescribed transaction for the purposes of section 137; or</w:t>
      </w:r>
    </w:p>
    <w:p>
      <w:pPr>
        <w:pStyle w:val="Indenta"/>
      </w:pPr>
      <w:r>
        <w:tab/>
        <w:t>(d)</w:t>
      </w:r>
      <w:r>
        <w:tab/>
        <w:t>a transaction that is declared not to be a significant transaction for the relevant entity under section 104(1).</w:t>
      </w:r>
    </w:p>
    <w:p>
      <w:pPr>
        <w:pStyle w:val="Heading5"/>
      </w:pPr>
      <w:bookmarkStart w:id="187" w:name="_Toc182400351"/>
      <w:r>
        <w:rPr>
          <w:rStyle w:val="CharSectno"/>
        </w:rPr>
        <w:lastRenderedPageBreak/>
        <w:t>101</w:t>
      </w:r>
      <w:r>
        <w:t>.</w:t>
      </w:r>
      <w:r>
        <w:tab/>
        <w:t>Restriction on effecting significant transactions</w:t>
      </w:r>
      <w:bookmarkEnd w:id="187"/>
    </w:p>
    <w:p>
      <w:pPr>
        <w:pStyle w:val="Subsection"/>
      </w:pPr>
      <w:r>
        <w:tab/>
        <w:t>(1)</w:t>
      </w:r>
      <w:r>
        <w:tab/>
        <w:t>A relevant entity must not enter into a significant transaction unless the Portfolio Minister has approved the significant transaction under section 103.</w:t>
      </w:r>
    </w:p>
    <w:p>
      <w:pPr>
        <w:pStyle w:val="Subsection"/>
      </w:pPr>
      <w:r>
        <w:tab/>
        <w:t>(2)</w:t>
      </w:r>
      <w:r>
        <w:tab/>
        <w:t>A relevant entity must not organise or structure a transaction with the sole or dominant purpose of avoiding the application of subsection (1) to that transaction.</w:t>
      </w:r>
    </w:p>
    <w:p>
      <w:pPr>
        <w:pStyle w:val="Subsection"/>
      </w:pPr>
      <w:r>
        <w:tab/>
        <w:t>(3)</w:t>
      </w:r>
      <w:r>
        <w:tab/>
        <w:t>A contravention of this section by a relevant entity in relation to a transaction entered into does not affect the validity of the transaction.</w:t>
      </w:r>
    </w:p>
    <w:p>
      <w:pPr>
        <w:pStyle w:val="Heading5"/>
      </w:pPr>
      <w:bookmarkStart w:id="188" w:name="_Toc182400352"/>
      <w:r>
        <w:rPr>
          <w:rStyle w:val="CharSectno"/>
        </w:rPr>
        <w:t>102</w:t>
      </w:r>
      <w:r>
        <w:t>.</w:t>
      </w:r>
      <w:r>
        <w:tab/>
        <w:t>Consultation regarding significant transactions</w:t>
      </w:r>
      <w:bookmarkEnd w:id="188"/>
    </w:p>
    <w:p>
      <w:pPr>
        <w:pStyle w:val="Subsection"/>
      </w:pPr>
      <w:r>
        <w:tab/>
        <w:t>(1)</w:t>
      </w:r>
      <w:r>
        <w:tab/>
        <w:t>A relevant entity considering entering into a significant transaction must inform the Portfolio Minister and the Treasurer of the contemplated transaction as soon as practicable.</w:t>
      </w:r>
    </w:p>
    <w:p>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pPr>
        <w:pStyle w:val="Heading5"/>
      </w:pPr>
      <w:bookmarkStart w:id="189" w:name="_Toc182400353"/>
      <w:r>
        <w:rPr>
          <w:rStyle w:val="CharSectno"/>
        </w:rPr>
        <w:t>103</w:t>
      </w:r>
      <w:r>
        <w:t>.</w:t>
      </w:r>
      <w:r>
        <w:tab/>
        <w:t>Approval of significant transactions</w:t>
      </w:r>
      <w:bookmarkEnd w:id="189"/>
    </w:p>
    <w:p>
      <w:pPr>
        <w:pStyle w:val="Subsection"/>
      </w:pPr>
      <w:r>
        <w:tab/>
      </w:r>
      <w:r>
        <w:tab/>
        <w:t>The Portfolio Minister for a relevant entity may, with the approval of the Treasurer, approve a significant transaction of the relevant entity.</w:t>
      </w:r>
    </w:p>
    <w:p>
      <w:pPr>
        <w:pStyle w:val="Heading5"/>
      </w:pPr>
      <w:bookmarkStart w:id="190" w:name="_Toc182400354"/>
      <w:r>
        <w:rPr>
          <w:rStyle w:val="CharSectno"/>
        </w:rPr>
        <w:t>104</w:t>
      </w:r>
      <w:r>
        <w:t>.</w:t>
      </w:r>
      <w:r>
        <w:tab/>
        <w:t>Excluded transactions</w:t>
      </w:r>
      <w:bookmarkEnd w:id="190"/>
    </w:p>
    <w:p>
      <w:pPr>
        <w:pStyle w:val="Subsection"/>
      </w:pPr>
      <w:r>
        <w:tab/>
        <w:t>(1)</w:t>
      </w:r>
      <w:r>
        <w:tab/>
        <w:t xml:space="preserve">With the approval of the Treasurer, the Portfolio Minister for a relevant entity may declare — </w:t>
      </w:r>
    </w:p>
    <w:p>
      <w:pPr>
        <w:pStyle w:val="Indenta"/>
      </w:pPr>
      <w:r>
        <w:tab/>
        <w:t>(a)</w:t>
      </w:r>
      <w:r>
        <w:tab/>
        <w:t>a specified transaction not to be a significant transaction for the relevant entity; or</w:t>
      </w:r>
    </w:p>
    <w:p>
      <w:pPr>
        <w:pStyle w:val="Indenta"/>
      </w:pPr>
      <w:r>
        <w:lastRenderedPageBreak/>
        <w:tab/>
        <w:t>(b)</w:t>
      </w:r>
      <w:r>
        <w:tab/>
        <w:t>transactions of a specified class not to be significant transactions for the relevant entity.</w:t>
      </w:r>
    </w:p>
    <w:p>
      <w:pPr>
        <w:pStyle w:val="Subsection"/>
      </w:pPr>
      <w:r>
        <w:tab/>
        <w:t>(2)</w:t>
      </w:r>
      <w:r>
        <w:tab/>
        <w:t>A declaration under subsection (1) may set out conditions to which the declaration is subject.</w:t>
      </w:r>
    </w:p>
    <w:p>
      <w:pPr>
        <w:pStyle w:val="Heading4"/>
      </w:pPr>
      <w:bookmarkStart w:id="191" w:name="_Toc182383593"/>
      <w:bookmarkStart w:id="192" w:name="_Toc182384202"/>
      <w:bookmarkStart w:id="193" w:name="_Toc182400355"/>
      <w:r>
        <w:t>Subdivision 4 — Significant initiatives</w:t>
      </w:r>
      <w:bookmarkEnd w:id="191"/>
      <w:bookmarkEnd w:id="192"/>
      <w:bookmarkEnd w:id="193"/>
    </w:p>
    <w:p>
      <w:pPr>
        <w:pStyle w:val="Heading5"/>
      </w:pPr>
      <w:bookmarkStart w:id="194" w:name="_Toc182400356"/>
      <w:r>
        <w:rPr>
          <w:rStyle w:val="CharSectno"/>
        </w:rPr>
        <w:t>105</w:t>
      </w:r>
      <w:r>
        <w:t>.</w:t>
      </w:r>
      <w:r>
        <w:tab/>
        <w:t>Term used: significant initiative</w:t>
      </w:r>
      <w:bookmarkEnd w:id="194"/>
    </w:p>
    <w:p>
      <w:pPr>
        <w:pStyle w:val="Subsection"/>
        <w:keepNext/>
      </w:pPr>
      <w:r>
        <w:tab/>
        <w:t>(1)</w:t>
      </w:r>
      <w:r>
        <w:tab/>
        <w:t xml:space="preserve">In this Subdivision — </w:t>
      </w:r>
    </w:p>
    <w:p>
      <w:pPr>
        <w:pStyle w:val="Defstart"/>
      </w:pPr>
      <w:r>
        <w:tab/>
      </w:r>
      <w:r>
        <w:rPr>
          <w:rStyle w:val="CharDefText"/>
        </w:rPr>
        <w:t>significant initiative</w:t>
      </w:r>
      <w:r>
        <w:t xml:space="preserve"> means a course of action of a relevant entity that —</w:t>
      </w:r>
    </w:p>
    <w:p>
      <w:pPr>
        <w:pStyle w:val="Defpara"/>
      </w:pPr>
      <w:r>
        <w:tab/>
        <w:t>(a)</w:t>
      </w:r>
      <w:r>
        <w:tab/>
        <w:t>is likely to be of significant public interest; or</w:t>
      </w:r>
    </w:p>
    <w:p>
      <w:pPr>
        <w:pStyle w:val="Defpara"/>
      </w:pPr>
      <w:r>
        <w:tab/>
        <w:t>(b)</w:t>
      </w:r>
      <w:r>
        <w:tab/>
        <w:t>is likely to have a significant social, economic, technological or industrial impact or a significant impact of another prescribed type.</w:t>
      </w:r>
    </w:p>
    <w:p>
      <w:pPr>
        <w:pStyle w:val="Subsection"/>
      </w:pPr>
      <w:r>
        <w:tab/>
        <w:t>(2)</w:t>
      </w:r>
      <w:r>
        <w:tab/>
        <w:t>In considering the impact of a course of action for the purposes of subsection (1)(b), regard must be had to any criteria prescribed for the purposes of this section.</w:t>
      </w:r>
    </w:p>
    <w:p>
      <w:pPr>
        <w:pStyle w:val="Heading5"/>
      </w:pPr>
      <w:bookmarkStart w:id="195" w:name="_Toc182400357"/>
      <w:r>
        <w:rPr>
          <w:rStyle w:val="CharSectno"/>
        </w:rPr>
        <w:t>106</w:t>
      </w:r>
      <w:r>
        <w:t>.</w:t>
      </w:r>
      <w:r>
        <w:tab/>
        <w:t>Consultation regarding significant initiatives</w:t>
      </w:r>
      <w:bookmarkEnd w:id="195"/>
    </w:p>
    <w:p>
      <w:pPr>
        <w:pStyle w:val="Subsection"/>
      </w:pPr>
      <w:r>
        <w:tab/>
        <w:t>(1)</w:t>
      </w:r>
      <w:r>
        <w:tab/>
        <w:t>A relevant entity considering undertaking a significant initiative must inform the Portfolio Minister and the Treasurer of the contemplated initiative as soon as practicable.</w:t>
      </w:r>
    </w:p>
    <w:p>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pPr>
        <w:pStyle w:val="Heading3"/>
      </w:pPr>
      <w:bookmarkStart w:id="196" w:name="_Toc182383596"/>
      <w:bookmarkStart w:id="197" w:name="_Toc182384205"/>
      <w:bookmarkStart w:id="198" w:name="_Toc182400358"/>
      <w:r>
        <w:rPr>
          <w:rStyle w:val="CharDivNo"/>
        </w:rPr>
        <w:lastRenderedPageBreak/>
        <w:t>Division 4</w:t>
      </w:r>
      <w:r>
        <w:t> — </w:t>
      </w:r>
      <w:r>
        <w:rPr>
          <w:rStyle w:val="CharDivText"/>
        </w:rPr>
        <w:t>Ministerial directions</w:t>
      </w:r>
      <w:bookmarkEnd w:id="196"/>
      <w:bookmarkEnd w:id="197"/>
      <w:bookmarkEnd w:id="198"/>
    </w:p>
    <w:p>
      <w:pPr>
        <w:pStyle w:val="Heading5"/>
      </w:pPr>
      <w:bookmarkStart w:id="199" w:name="_Toc182400359"/>
      <w:r>
        <w:rPr>
          <w:rStyle w:val="CharSectno"/>
        </w:rPr>
        <w:t>107</w:t>
      </w:r>
      <w:r>
        <w:t>.</w:t>
      </w:r>
      <w:r>
        <w:tab/>
        <w:t>GTEs not generally subject to direction by Government</w:t>
      </w:r>
      <w:bookmarkEnd w:id="199"/>
    </w:p>
    <w:p>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pPr>
        <w:pStyle w:val="Heading5"/>
        <w:rPr>
          <w:snapToGrid w:val="0"/>
        </w:rPr>
      </w:pPr>
      <w:bookmarkStart w:id="200" w:name="_Toc182400360"/>
      <w:r>
        <w:rPr>
          <w:rStyle w:val="CharSectno"/>
        </w:rPr>
        <w:t>108</w:t>
      </w:r>
      <w:r>
        <w:t>.</w:t>
      </w:r>
      <w:r>
        <w:tab/>
        <w:t>Ministerial d</w:t>
      </w:r>
      <w:r>
        <w:rPr>
          <w:snapToGrid w:val="0"/>
        </w:rPr>
        <w:t>irections</w:t>
      </w:r>
      <w:bookmarkEnd w:id="200"/>
    </w:p>
    <w:p>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pPr>
        <w:pStyle w:val="Subsection"/>
      </w:pPr>
      <w:r>
        <w:tab/>
        <w:t>(2)</w:t>
      </w:r>
      <w:r>
        <w:tab/>
        <w:t xml:space="preserve">Without limiting subsection (1) and despite anything in Part 2, the Portfolio Minister may under that subsection direct a GTE — </w:t>
      </w:r>
    </w:p>
    <w:p>
      <w:pPr>
        <w:pStyle w:val="Indenta"/>
      </w:pPr>
      <w:r>
        <w:tab/>
        <w:t>(a)</w:t>
      </w:r>
      <w:r>
        <w:tab/>
        <w:t>not to perform a specified function; or</w:t>
      </w:r>
    </w:p>
    <w:p>
      <w:pPr>
        <w:pStyle w:val="Indenta"/>
      </w:pPr>
      <w:r>
        <w:tab/>
        <w:t>(b)</w:t>
      </w:r>
      <w:r>
        <w:tab/>
        <w:t>not to perform a specified function to a specified extent, or except to a specified extent; or</w:t>
      </w:r>
    </w:p>
    <w:p>
      <w:pPr>
        <w:pStyle w:val="Indenta"/>
      </w:pPr>
      <w:r>
        <w:tab/>
        <w:t>(c)</w:t>
      </w:r>
      <w:r>
        <w:tab/>
        <w:t>not to perform a specified function in or in relation to a specified area, or except in or in relation to a specified area.</w:t>
      </w:r>
    </w:p>
    <w:p>
      <w:pPr>
        <w:pStyle w:val="Subsection"/>
        <w:rPr>
          <w:snapToGrid w:val="0"/>
        </w:rPr>
      </w:pPr>
      <w:r>
        <w:tab/>
        <w:t>(3)</w:t>
      </w:r>
      <w:r>
        <w:tab/>
      </w:r>
      <w:r>
        <w:rPr>
          <w:snapToGrid w:val="0"/>
        </w:rPr>
        <w:t xml:space="preserve">A direction has effect despite any inconsistency with — </w:t>
      </w:r>
    </w:p>
    <w:p>
      <w:pPr>
        <w:pStyle w:val="Indenta"/>
        <w:rPr>
          <w:snapToGrid w:val="0"/>
        </w:rPr>
      </w:pPr>
      <w:r>
        <w:tab/>
        <w:t>(a)</w:t>
      </w:r>
      <w:r>
        <w:tab/>
      </w:r>
      <w:r>
        <w:rPr>
          <w:snapToGrid w:val="0"/>
        </w:rPr>
        <w:t>the GTE’s statement of expectations or annual performance statement; or</w:t>
      </w:r>
    </w:p>
    <w:p>
      <w:pPr>
        <w:pStyle w:val="Indenta"/>
        <w:rPr>
          <w:snapToGrid w:val="0"/>
        </w:rPr>
      </w:pPr>
      <w:r>
        <w:tab/>
        <w:t>(b)</w:t>
      </w:r>
      <w:r>
        <w:tab/>
        <w:t>the GTE’s duty under section 9(2)(b) to act in accordance with prudent commercial principles</w:t>
      </w:r>
      <w:r>
        <w:rPr>
          <w:snapToGrid w:val="0"/>
        </w:rPr>
        <w:t>.</w:t>
      </w:r>
    </w:p>
    <w:p>
      <w:pPr>
        <w:pStyle w:val="Subsection"/>
        <w:rPr>
          <w:snapToGrid w:val="0"/>
        </w:rPr>
      </w:pPr>
      <w:r>
        <w:tab/>
        <w:t>(4)</w:t>
      </w:r>
      <w:r>
        <w:tab/>
      </w:r>
      <w:r>
        <w:rPr>
          <w:snapToGrid w:val="0"/>
        </w:rPr>
        <w:t>If and to the extent that a direction expressly so provides, it has effect despite any inconsistency with a policy order that applies to the GTE.</w:t>
      </w:r>
    </w:p>
    <w:p>
      <w:pPr>
        <w:pStyle w:val="Subsection"/>
        <w:rPr>
          <w:snapToGrid w:val="0"/>
        </w:rPr>
      </w:pPr>
      <w:r>
        <w:lastRenderedPageBreak/>
        <w:tab/>
        <w:t>(5)</w:t>
      </w:r>
      <w:r>
        <w:tab/>
      </w:r>
      <w:r>
        <w:rPr>
          <w:snapToGrid w:val="0"/>
        </w:rPr>
        <w:t>The Portfolio Minister may not give a direction that has the effect described in subsection (4) without the approval of the GTE Minister.</w:t>
      </w:r>
    </w:p>
    <w:p>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pPr>
        <w:pStyle w:val="Heading5"/>
        <w:rPr>
          <w:snapToGrid w:val="0"/>
        </w:rPr>
      </w:pPr>
      <w:bookmarkStart w:id="201" w:name="_Toc182400361"/>
      <w:r>
        <w:rPr>
          <w:rStyle w:val="CharSectno"/>
        </w:rPr>
        <w:t>109</w:t>
      </w:r>
      <w:r>
        <w:t>.</w:t>
      </w:r>
      <w:r>
        <w:tab/>
        <w:t>Limitation on directions under section 108</w:t>
      </w:r>
      <w:bookmarkEnd w:id="201"/>
    </w:p>
    <w:p>
      <w:pPr>
        <w:pStyle w:val="Subsection"/>
      </w:pPr>
      <w:r>
        <w:tab/>
        <w:t>(1)</w:t>
      </w:r>
      <w:r>
        <w:tab/>
        <w:t>Section 108 does not authorise the giving of a direction to a GTE if the GTE’s Establishing Act expressly provides that a direction of that kind cannot be given under section 108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111 forbids certain directions to the Electricity Networks Corporation.</w:t>
      </w:r>
    </w:p>
    <w:p>
      <w:pPr>
        <w:pStyle w:val="Subsection"/>
      </w:pPr>
      <w:r>
        <w:tab/>
        <w:t>(2)</w:t>
      </w:r>
      <w:r>
        <w:tab/>
        <w:t>Section 108 does not authorise the giving of a direction to a GTE if a provision of the GTE’s Establishing Act confers power on the Portfolio Minister to give a direction of that kind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pPr>
        <w:pStyle w:val="Heading5"/>
        <w:rPr>
          <w:snapToGrid w:val="0"/>
        </w:rPr>
      </w:pPr>
      <w:bookmarkStart w:id="202" w:name="_Toc182400362"/>
      <w:r>
        <w:rPr>
          <w:rStyle w:val="CharSectno"/>
        </w:rPr>
        <w:t>110</w:t>
      </w:r>
      <w:r>
        <w:t>.</w:t>
      </w:r>
      <w:r>
        <w:tab/>
      </w:r>
      <w:r>
        <w:rPr>
          <w:snapToGrid w:val="0"/>
        </w:rPr>
        <w:t>When directions take effect</w:t>
      </w:r>
      <w:bookmarkEnd w:id="202"/>
      <w:r>
        <w:rPr>
          <w:snapToGrid w:val="0"/>
        </w:rPr>
        <w:t xml:space="preserve"> </w:t>
      </w:r>
    </w:p>
    <w:p>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pPr>
        <w:pStyle w:val="Indenta"/>
        <w:rPr>
          <w:snapToGrid w:val="0"/>
        </w:rPr>
      </w:pPr>
      <w:r>
        <w:tab/>
        <w:t>(a)</w:t>
      </w:r>
      <w:r>
        <w:tab/>
      </w:r>
      <w:r>
        <w:rPr>
          <w:snapToGrid w:val="0"/>
        </w:rPr>
        <w:t>consider the request; and</w:t>
      </w:r>
    </w:p>
    <w:p>
      <w:pPr>
        <w:pStyle w:val="Indenta"/>
        <w:rPr>
          <w:snapToGrid w:val="0"/>
        </w:rPr>
      </w:pPr>
      <w:r>
        <w:rPr>
          <w:snapToGrid w:val="0"/>
        </w:rPr>
        <w:tab/>
      </w:r>
      <w:r>
        <w:t>(b)</w:t>
      </w:r>
      <w:r>
        <w:tab/>
      </w:r>
      <w:r>
        <w:rPr>
          <w:snapToGrid w:val="0"/>
        </w:rPr>
        <w:t>make, and notify the board of, a decision on the request.</w:t>
      </w:r>
    </w:p>
    <w:p>
      <w:pPr>
        <w:pStyle w:val="Heading3"/>
      </w:pPr>
      <w:bookmarkStart w:id="203" w:name="_Toc182383601"/>
      <w:bookmarkStart w:id="204" w:name="_Toc182384210"/>
      <w:bookmarkStart w:id="205" w:name="_Toc182400363"/>
      <w:r>
        <w:rPr>
          <w:rStyle w:val="CharDivNo"/>
        </w:rPr>
        <w:lastRenderedPageBreak/>
        <w:t>Division 5</w:t>
      </w:r>
      <w:r>
        <w:t> — </w:t>
      </w:r>
      <w:r>
        <w:rPr>
          <w:rStyle w:val="CharDivText"/>
        </w:rPr>
        <w:t>Policy orders</w:t>
      </w:r>
      <w:bookmarkEnd w:id="203"/>
      <w:bookmarkEnd w:id="204"/>
      <w:bookmarkEnd w:id="205"/>
    </w:p>
    <w:p>
      <w:pPr>
        <w:pStyle w:val="Heading5"/>
      </w:pPr>
      <w:bookmarkStart w:id="206" w:name="_Toc182400364"/>
      <w:r>
        <w:rPr>
          <w:rStyle w:val="CharSectno"/>
        </w:rPr>
        <w:t>111</w:t>
      </w:r>
      <w:r>
        <w:t>.</w:t>
      </w:r>
      <w:r>
        <w:tab/>
        <w:t>Policy orders</w:t>
      </w:r>
      <w:bookmarkEnd w:id="206"/>
    </w:p>
    <w:p>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pPr>
        <w:pStyle w:val="Subsection"/>
      </w:pPr>
      <w:r>
        <w:tab/>
        <w:t>(2)</w:t>
      </w:r>
      <w:r>
        <w:tab/>
        <w:t>A policy order must specify the GTEs to which it applies.</w:t>
      </w:r>
    </w:p>
    <w:p>
      <w:pPr>
        <w:pStyle w:val="Subsection"/>
      </w:pPr>
      <w:r>
        <w:tab/>
        <w:t>(3)</w:t>
      </w:r>
      <w:r>
        <w:tab/>
        <w:t>The GTE Minister may not publish a policy order without the approval of the Portfolio Minister for each GTE to which it applies.</w:t>
      </w:r>
    </w:p>
    <w:p>
      <w:pPr>
        <w:pStyle w:val="Subsection"/>
      </w:pPr>
      <w:r>
        <w:tab/>
        <w:t>(4)</w:t>
      </w:r>
      <w:r>
        <w:tab/>
        <w:t xml:space="preserve">The GTE Minister must — </w:t>
      </w:r>
    </w:p>
    <w:p>
      <w:pPr>
        <w:pStyle w:val="Indenta"/>
      </w:pPr>
      <w:r>
        <w:tab/>
        <w:t>(a)</w:t>
      </w:r>
      <w:r>
        <w:tab/>
        <w:t>give written notice of a policy order to each GTE to which the order applies; and</w:t>
      </w:r>
    </w:p>
    <w:p>
      <w:pPr>
        <w:pStyle w:val="Indenta"/>
      </w:pPr>
      <w:r>
        <w:tab/>
        <w:t>(b)</w:t>
      </w:r>
      <w:r>
        <w:tab/>
        <w:t>ensure that a policy order is made publicly available for so long as the order applies.</w:t>
      </w:r>
    </w:p>
    <w:p>
      <w:pPr>
        <w:pStyle w:val="Heading5"/>
      </w:pPr>
      <w:bookmarkStart w:id="207" w:name="_Toc182400365"/>
      <w:r>
        <w:rPr>
          <w:rStyle w:val="CharSectno"/>
        </w:rPr>
        <w:t>112</w:t>
      </w:r>
      <w:r>
        <w:t>.</w:t>
      </w:r>
      <w:r>
        <w:tab/>
        <w:t>When policy orders cease to apply</w:t>
      </w:r>
      <w:bookmarkEnd w:id="207"/>
    </w:p>
    <w:p>
      <w:pPr>
        <w:pStyle w:val="Subsection"/>
      </w:pPr>
      <w:r>
        <w:tab/>
        <w:t>(1)</w:t>
      </w:r>
      <w:r>
        <w:tab/>
        <w:t xml:space="preserve">A policy order ceases to apply on the earlier of — </w:t>
      </w:r>
    </w:p>
    <w:p>
      <w:pPr>
        <w:pStyle w:val="Indenta"/>
      </w:pPr>
      <w:r>
        <w:tab/>
        <w:t>(a)</w:t>
      </w:r>
      <w:r>
        <w:tab/>
        <w:t>the end of the statement period in which it is published; and</w:t>
      </w:r>
    </w:p>
    <w:p>
      <w:pPr>
        <w:pStyle w:val="Indenta"/>
      </w:pPr>
      <w:r>
        <w:tab/>
        <w:t>(b)</w:t>
      </w:r>
      <w:r>
        <w:tab/>
        <w:t>the revocation of the order under subsection (2).</w:t>
      </w:r>
    </w:p>
    <w:p>
      <w:pPr>
        <w:pStyle w:val="Subsection"/>
      </w:pPr>
      <w:r>
        <w:tab/>
        <w:t>(2)</w:t>
      </w:r>
      <w:r>
        <w:tab/>
        <w:t xml:space="preserve">The GTE Minister may at any time revoke a policy order by notice published in the </w:t>
      </w:r>
      <w:r>
        <w:rPr>
          <w:i/>
        </w:rPr>
        <w:t>Gazette</w:t>
      </w:r>
      <w:r>
        <w:t>.</w:t>
      </w:r>
    </w:p>
    <w:p>
      <w:pPr>
        <w:pStyle w:val="Heading3"/>
      </w:pPr>
      <w:bookmarkStart w:id="208" w:name="_Toc182383604"/>
      <w:bookmarkStart w:id="209" w:name="_Toc182384213"/>
      <w:bookmarkStart w:id="210" w:name="_Toc182400366"/>
      <w:r>
        <w:rPr>
          <w:rStyle w:val="CharDivNo"/>
        </w:rPr>
        <w:t>Division 6</w:t>
      </w:r>
      <w:r>
        <w:t> — </w:t>
      </w:r>
      <w:r>
        <w:rPr>
          <w:rStyle w:val="CharDivText"/>
        </w:rPr>
        <w:t>Subsidiaries</w:t>
      </w:r>
      <w:bookmarkEnd w:id="208"/>
      <w:bookmarkEnd w:id="209"/>
      <w:bookmarkEnd w:id="210"/>
    </w:p>
    <w:p>
      <w:pPr>
        <w:pStyle w:val="Heading4"/>
      </w:pPr>
      <w:bookmarkStart w:id="211" w:name="_Toc182383605"/>
      <w:bookmarkStart w:id="212" w:name="_Toc182384214"/>
      <w:bookmarkStart w:id="213" w:name="_Toc182400367"/>
      <w:r>
        <w:t>Subdivision 1 — Formation, acquisition and control of subsidiaries</w:t>
      </w:r>
      <w:bookmarkEnd w:id="211"/>
      <w:bookmarkEnd w:id="212"/>
      <w:bookmarkEnd w:id="213"/>
    </w:p>
    <w:p>
      <w:pPr>
        <w:pStyle w:val="Heading5"/>
      </w:pPr>
      <w:bookmarkStart w:id="214" w:name="_Toc182400368"/>
      <w:r>
        <w:rPr>
          <w:rStyle w:val="CharSectno"/>
        </w:rPr>
        <w:t>113</w:t>
      </w:r>
      <w:r>
        <w:t>.</w:t>
      </w:r>
      <w:r>
        <w:tab/>
        <w:t>Restriction on forming or acquiring subsidiary</w:t>
      </w:r>
      <w:bookmarkEnd w:id="214"/>
    </w:p>
    <w:p>
      <w:pPr>
        <w:pStyle w:val="Subsection"/>
      </w:pPr>
      <w:r>
        <w:tab/>
        <w:t>(1)</w:t>
      </w:r>
      <w:r>
        <w:tab/>
        <w:t>A GTE must not form or acquire a subsidiary unless the Portfolio Minister has approved the formation or acquisition.</w:t>
      </w:r>
    </w:p>
    <w:p>
      <w:pPr>
        <w:pStyle w:val="Subsection"/>
      </w:pPr>
      <w:r>
        <w:lastRenderedPageBreak/>
        <w:tab/>
        <w:t>(2)</w:t>
      </w:r>
      <w:r>
        <w:tab/>
        <w:t>The Portfolio Minister must not approve the formation or acquisition of the subsidiary without the approval of the Treasurer.</w:t>
      </w:r>
    </w:p>
    <w:p>
      <w:pPr>
        <w:pStyle w:val="Subsection"/>
      </w:pPr>
      <w:r>
        <w:tab/>
        <w:t>(3)</w:t>
      </w:r>
      <w:r>
        <w:tab/>
        <w:t>For the purposes of this section a GTE acquires a subsidiary if it enters into a transaction that will result in another entity becoming a subsidiary of the GTE.</w:t>
      </w:r>
    </w:p>
    <w:p>
      <w:pPr>
        <w:pStyle w:val="Heading5"/>
      </w:pPr>
      <w:bookmarkStart w:id="215" w:name="_Toc182400369"/>
      <w:r>
        <w:rPr>
          <w:rStyle w:val="CharSectno"/>
        </w:rPr>
        <w:t>114</w:t>
      </w:r>
      <w:r>
        <w:t>.</w:t>
      </w:r>
      <w:r>
        <w:tab/>
        <w:t>Consultation regarding formation or acquisition of subsidiary</w:t>
      </w:r>
      <w:bookmarkEnd w:id="215"/>
    </w:p>
    <w:p>
      <w:pPr>
        <w:pStyle w:val="Subsection"/>
      </w:pPr>
      <w:r>
        <w:tab/>
        <w:t>(1)</w:t>
      </w:r>
      <w:r>
        <w:tab/>
        <w:t xml:space="preserve">A GTE considering an arrangement that involves the formation or acquisition of a subsidiary must inform the Portfolio Minister and the Treasurer of the contemplated arrangement — </w:t>
      </w:r>
    </w:p>
    <w:p>
      <w:pPr>
        <w:pStyle w:val="Indenta"/>
      </w:pPr>
      <w:r>
        <w:tab/>
        <w:t>(a)</w:t>
      </w:r>
      <w:r>
        <w:tab/>
        <w:t>as soon as practicable; and</w:t>
      </w:r>
    </w:p>
    <w:p>
      <w:pPr>
        <w:pStyle w:val="Indenta"/>
      </w:pPr>
      <w:r>
        <w:tab/>
        <w:t>(b)</w:t>
      </w:r>
      <w:r>
        <w:tab/>
        <w:t xml:space="preserve">in any event before — </w:t>
      </w:r>
    </w:p>
    <w:p>
      <w:pPr>
        <w:pStyle w:val="Indenti"/>
      </w:pPr>
      <w:r>
        <w:tab/>
        <w:t>(i)</w:t>
      </w:r>
      <w:r>
        <w:tab/>
        <w:t>engaging advisers, consultants or agents in connection with the contemplated arrangement; or</w:t>
      </w:r>
    </w:p>
    <w:p>
      <w:pPr>
        <w:pStyle w:val="Indenti"/>
      </w:pPr>
      <w:r>
        <w:tab/>
        <w:t>(ii)</w:t>
      </w:r>
      <w:r>
        <w:tab/>
        <w:t>issuing any invitation for expressions of interest, request for proposals, invitation to tender or the like, either publicly or to selected parties; or</w:t>
      </w:r>
    </w:p>
    <w:p>
      <w:pPr>
        <w:pStyle w:val="Indenti"/>
      </w:pPr>
      <w:r>
        <w:tab/>
        <w:t>(iii)</w:t>
      </w:r>
      <w:r>
        <w:tab/>
        <w:t>entering into any commitment arising out of or in connection with the contemplated arrangement.</w:t>
      </w:r>
    </w:p>
    <w:p>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pPr>
        <w:pStyle w:val="Heading5"/>
      </w:pPr>
      <w:bookmarkStart w:id="216" w:name="_Toc182400370"/>
      <w:r>
        <w:rPr>
          <w:rStyle w:val="CharSectno"/>
        </w:rPr>
        <w:t>115</w:t>
      </w:r>
      <w:r>
        <w:t>.</w:t>
      </w:r>
      <w:r>
        <w:tab/>
        <w:t>Control of subsidiary</w:t>
      </w:r>
      <w:bookmarkEnd w:id="216"/>
    </w:p>
    <w:p>
      <w:pPr>
        <w:pStyle w:val="Subsection"/>
      </w:pPr>
      <w:r>
        <w:tab/>
        <w:t>(1)</w:t>
      </w:r>
      <w:r>
        <w:tab/>
        <w:t xml:space="preserve">In this section — </w:t>
      </w:r>
    </w:p>
    <w:p>
      <w:pPr>
        <w:pStyle w:val="Defstart"/>
      </w:pPr>
      <w:r>
        <w:tab/>
      </w:r>
      <w:r>
        <w:rPr>
          <w:rStyle w:val="CharDefText"/>
        </w:rPr>
        <w:t>constitution</w:t>
      </w:r>
      <w:r>
        <w:t>, in relation to a subsidiary, means the instrument or instruments, however called, which establish or govern the subsidiary.</w:t>
      </w:r>
    </w:p>
    <w:p>
      <w:pPr>
        <w:pStyle w:val="Subsection"/>
      </w:pPr>
      <w:r>
        <w:lastRenderedPageBreak/>
        <w:tab/>
        <w:t>(2)</w:t>
      </w:r>
      <w:r>
        <w:tab/>
        <w:t xml:space="preserve">A GTE must ensure that the constitution of each of its subsidiaries — </w:t>
      </w:r>
    </w:p>
    <w:p>
      <w:pPr>
        <w:pStyle w:val="Indenta"/>
      </w:pPr>
      <w:r>
        <w:tab/>
        <w:t>(a)</w:t>
      </w:r>
      <w:r>
        <w:tab/>
        <w:t>contains provisions to the effect of those set out in Schedule 1; and</w:t>
      </w:r>
    </w:p>
    <w:p>
      <w:pPr>
        <w:pStyle w:val="Indenta"/>
      </w:pPr>
      <w:r>
        <w:tab/>
        <w:t>(b)</w:t>
      </w:r>
      <w:r>
        <w:tab/>
        <w:t>is consistent with this Act and the GTE’s Establishing Act.</w:t>
      </w:r>
    </w:p>
    <w:p>
      <w:pPr>
        <w:pStyle w:val="Subsection"/>
      </w:pPr>
      <w:r>
        <w:tab/>
        <w:t>(3)</w:t>
      </w:r>
      <w:r>
        <w:tab/>
        <w:t xml:space="preserve">A GTE must ensure that each of its subsidiaries — </w:t>
      </w:r>
    </w:p>
    <w:p>
      <w:pPr>
        <w:pStyle w:val="Indenta"/>
      </w:pPr>
      <w:r>
        <w:tab/>
        <w:t>(a)</w:t>
      </w:r>
      <w:r>
        <w:tab/>
        <w:t>complies with its constitution, this Act and the GTE’s Establishing Act; and</w:t>
      </w:r>
    </w:p>
    <w:p>
      <w:pPr>
        <w:pStyle w:val="Indenta"/>
      </w:pPr>
      <w:r>
        <w:tab/>
        <w:t>(b)</w:t>
      </w:r>
      <w:r>
        <w:tab/>
        <w:t>does not, by any act or omission, prevent the GTE from complying with this Act and its Establishing Act.</w:t>
      </w:r>
    </w:p>
    <w:p>
      <w:pPr>
        <w:pStyle w:val="Subsection"/>
      </w:pPr>
      <w:r>
        <w:tab/>
        <w:t>(4)</w:t>
      </w:r>
      <w:r>
        <w:tab/>
        <w:t xml:space="preserve">With the approval of the GTE’s board, a member of the board, the GTE’s chief executive officer or a member of the GTE’s staff — </w:t>
      </w:r>
    </w:p>
    <w:p>
      <w:pPr>
        <w:pStyle w:val="Indenta"/>
      </w:pPr>
      <w:r>
        <w:tab/>
        <w:t>(a)</w:t>
      </w:r>
      <w:r>
        <w:tab/>
        <w:t xml:space="preserve">may become — </w:t>
      </w:r>
    </w:p>
    <w:p>
      <w:pPr>
        <w:pStyle w:val="Indenti"/>
      </w:pPr>
      <w:r>
        <w:tab/>
        <w:t>(i)</w:t>
      </w:r>
      <w:r>
        <w:tab/>
        <w:t>a director of a company that is or is to be a subsidiary of the GTE; or</w:t>
      </w:r>
    </w:p>
    <w:p>
      <w:pPr>
        <w:pStyle w:val="Indenti"/>
      </w:pPr>
      <w:r>
        <w:tab/>
        <w:t>(ii)</w:t>
      </w:r>
      <w:r>
        <w:tab/>
        <w:t>a member of the governing body of any other entity that is or is to be a subsidiary of the GTE;</w:t>
      </w:r>
    </w:p>
    <w:p>
      <w:pPr>
        <w:pStyle w:val="Indenta"/>
      </w:pPr>
      <w:r>
        <w:tab/>
      </w:r>
      <w:r>
        <w:tab/>
        <w:t>and</w:t>
      </w:r>
    </w:p>
    <w:p>
      <w:pPr>
        <w:pStyle w:val="Indenta"/>
      </w:pPr>
      <w:r>
        <w:tab/>
        <w:t>(b)</w:t>
      </w:r>
      <w:r>
        <w:tab/>
        <w:t>may represent the GTE’s interests on the board of that company or on that governing body.</w:t>
      </w:r>
    </w:p>
    <w:p>
      <w:pPr>
        <w:pStyle w:val="Subsection"/>
      </w:pPr>
      <w:r>
        <w:tab/>
        <w:t>(5)</w:t>
      </w:r>
      <w:r>
        <w:tab/>
        <w:t>The GTE’s board must not give its approval under subsection (4) unless it has given the Portfolio Minister prior written notice of the matter that is to be approved.</w:t>
      </w:r>
    </w:p>
    <w:p>
      <w:pPr>
        <w:pStyle w:val="Subsection"/>
      </w:pPr>
      <w:r>
        <w:tab/>
        <w:t>(6)</w:t>
      </w:r>
      <w:r>
        <w:tab/>
        <w:t>The provisions of this Act and a GTE’s Establishing Act prevail to the extent of any inconsistency with the constitution of a subsidiary of the GTE.</w:t>
      </w:r>
    </w:p>
    <w:p>
      <w:pPr>
        <w:pStyle w:val="Heading5"/>
      </w:pPr>
      <w:bookmarkStart w:id="217" w:name="_Toc182400371"/>
      <w:r>
        <w:rPr>
          <w:rStyle w:val="CharSectno"/>
        </w:rPr>
        <w:lastRenderedPageBreak/>
        <w:t>116</w:t>
      </w:r>
      <w:r>
        <w:t>.</w:t>
      </w:r>
      <w:r>
        <w:tab/>
        <w:t>Provisions affecting the Corporations Act</w:t>
      </w:r>
      <w:bookmarkEnd w:id="217"/>
    </w:p>
    <w:p>
      <w:pPr>
        <w:pStyle w:val="Subsection"/>
      </w:pPr>
      <w:r>
        <w:tab/>
        <w:t>(1)</w:t>
      </w:r>
      <w:r>
        <w:tab/>
        <w:t>Nothing in this Act makes a GTE or the Portfolio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pPr>
        <w:pStyle w:val="Indenta"/>
      </w:pPr>
      <w:r>
        <w:tab/>
        <w:t>(a)</w:t>
      </w:r>
      <w:r>
        <w:tab/>
        <w:t>section 115;</w:t>
      </w:r>
    </w:p>
    <w:p>
      <w:pPr>
        <w:pStyle w:val="Indenta"/>
      </w:pPr>
      <w:r>
        <w:tab/>
        <w:t>(b)</w:t>
      </w:r>
      <w:r>
        <w:tab/>
        <w:t>subsection (1);</w:t>
      </w:r>
    </w:p>
    <w:p>
      <w:pPr>
        <w:pStyle w:val="Indenta"/>
      </w:pPr>
      <w:r>
        <w:tab/>
        <w:t>(c)</w:t>
      </w:r>
      <w:r>
        <w:tab/>
        <w:t>Schedule 1.</w:t>
      </w:r>
    </w:p>
    <w:p>
      <w:pPr>
        <w:pStyle w:val="Heading4"/>
      </w:pPr>
      <w:bookmarkStart w:id="218" w:name="_Toc182383610"/>
      <w:bookmarkStart w:id="219" w:name="_Toc182384219"/>
      <w:bookmarkStart w:id="220" w:name="_Toc182400372"/>
      <w:r>
        <w:t>Subdivision 2 — Remuneration and expenses of directors and CEOs of wholly owned subsidiaries</w:t>
      </w:r>
      <w:bookmarkEnd w:id="218"/>
      <w:bookmarkEnd w:id="219"/>
      <w:bookmarkEnd w:id="220"/>
    </w:p>
    <w:p>
      <w:pPr>
        <w:pStyle w:val="Heading5"/>
      </w:pPr>
      <w:bookmarkStart w:id="221" w:name="_Toc182400373"/>
      <w:r>
        <w:rPr>
          <w:rStyle w:val="CharSectno"/>
        </w:rPr>
        <w:t>117</w:t>
      </w:r>
      <w:r>
        <w:t>.</w:t>
      </w:r>
      <w:r>
        <w:tab/>
        <w:t>Terms used</w:t>
      </w:r>
      <w:bookmarkEnd w:id="221"/>
    </w:p>
    <w:p>
      <w:pPr>
        <w:pStyle w:val="Subsection"/>
      </w:pPr>
      <w:r>
        <w:tab/>
      </w:r>
      <w:r>
        <w:tab/>
        <w:t xml:space="preserve">In this Subdivision — </w:t>
      </w:r>
    </w:p>
    <w:p>
      <w:pPr>
        <w:pStyle w:val="Defstart"/>
      </w:pPr>
      <w:r>
        <w:tab/>
      </w:r>
      <w:r>
        <w:rPr>
          <w:rStyle w:val="CharDefText"/>
        </w:rPr>
        <w:t>director</w:t>
      </w:r>
      <w:r>
        <w:t>, in relation to a wholly</w:t>
      </w:r>
      <w:r>
        <w:noBreakHyphen/>
        <w:t>owned subsidiary, means a member of the subsidiary’s governing body;</w:t>
      </w:r>
    </w:p>
    <w:p>
      <w:pPr>
        <w:pStyle w:val="Defstart"/>
      </w:pPr>
      <w:r>
        <w:tab/>
      </w:r>
      <w:r>
        <w:rPr>
          <w:rStyle w:val="CharDefText"/>
        </w:rPr>
        <w:t>wholly</w:t>
      </w:r>
      <w:r>
        <w:rPr>
          <w:rStyle w:val="CharDefText"/>
        </w:rPr>
        <w:noBreakHyphen/>
        <w:t>owned subsidiary</w:t>
      </w:r>
      <w:r>
        <w:t xml:space="preserve"> means a subsidiary of a GTE that is wholly owned by the GTE.</w:t>
      </w:r>
    </w:p>
    <w:p>
      <w:pPr>
        <w:pStyle w:val="Heading5"/>
      </w:pPr>
      <w:bookmarkStart w:id="222" w:name="_Toc182400374"/>
      <w:r>
        <w:rPr>
          <w:rStyle w:val="CharSectno"/>
        </w:rPr>
        <w:t>118</w:t>
      </w:r>
      <w:r>
        <w:t>.</w:t>
      </w:r>
      <w:r>
        <w:tab/>
        <w:t>Remuneration of directors</w:t>
      </w:r>
      <w:bookmarkEnd w:id="222"/>
    </w:p>
    <w:p>
      <w:pPr>
        <w:pStyle w:val="Subsection"/>
      </w:pPr>
      <w:r>
        <w:tab/>
        <w:t>(1)</w:t>
      </w:r>
      <w:r>
        <w:tab/>
        <w:t>Subsection (2) applies in relation to the remuneration of a director of a wholly</w:t>
      </w:r>
      <w:r>
        <w:noBreakHyphen/>
        <w:t xml:space="preserve">owned subsidiary while — </w:t>
      </w:r>
    </w:p>
    <w:p>
      <w:pPr>
        <w:pStyle w:val="Indenta"/>
      </w:pPr>
      <w:r>
        <w:tab/>
        <w:t>(a)</w:t>
      </w:r>
      <w:r>
        <w:tab/>
        <w:t>the subsidiary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keepNext/>
      </w:pPr>
      <w:r>
        <w:lastRenderedPageBreak/>
        <w:tab/>
        <w:t>(3)</w:t>
      </w:r>
      <w:r>
        <w:tab/>
        <w:t>Subsection (4) applies in relation to the remuneration of a director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pPr>
        <w:pStyle w:val="Subsection"/>
      </w:pPr>
      <w:r>
        <w:tab/>
        <w:t>(6)</w:t>
      </w:r>
      <w:r>
        <w:tab/>
        <w:t>Despite subsections (1) to (5) but subject to subsection (7), a director of a wholly</w:t>
      </w:r>
      <w:r>
        <w:noBreakHyphen/>
        <w:t xml:space="preserve">owned subsidiary is not entitled to remuneration under this section if — </w:t>
      </w:r>
    </w:p>
    <w:p>
      <w:pPr>
        <w:pStyle w:val="Indenta"/>
      </w:pPr>
      <w:r>
        <w:tab/>
        <w:t>(a)</w:t>
      </w:r>
      <w:r>
        <w:tab/>
        <w:t>the director is also a director of the GTE; or</w:t>
      </w:r>
    </w:p>
    <w:p>
      <w:pPr>
        <w:pStyle w:val="Indenta"/>
      </w:pPr>
      <w:r>
        <w:tab/>
        <w:t>(b)</w:t>
      </w:r>
      <w:r>
        <w:tab/>
        <w:t>the director is also the chief executive officer of the GTE or the subsidiary; or</w:t>
      </w:r>
    </w:p>
    <w:p>
      <w:pPr>
        <w:pStyle w:val="Indenta"/>
      </w:pPr>
      <w:r>
        <w:tab/>
        <w:t>(c)</w:t>
      </w:r>
      <w:r>
        <w:tab/>
        <w:t>the director is also a member of staff of the GTE or the subsidiary; or</w:t>
      </w:r>
    </w:p>
    <w:p>
      <w:pPr>
        <w:pStyle w:val="Indenta"/>
      </w:pPr>
      <w:r>
        <w:tab/>
        <w:t>(d)</w:t>
      </w:r>
      <w:r>
        <w:tab/>
        <w:t>the director holds a full</w:t>
      </w:r>
      <w:r>
        <w:noBreakHyphen/>
        <w:t>time office or position that is remunerated out of funds appropriated by Parliament; or</w:t>
      </w:r>
    </w:p>
    <w:p>
      <w:pPr>
        <w:pStyle w:val="Indenta"/>
      </w:pPr>
      <w:r>
        <w:tab/>
        <w:t>(e)</w:t>
      </w:r>
      <w:r>
        <w:tab/>
        <w:t>a prescribed circumstance applies to or in relation to the director.</w:t>
      </w:r>
    </w:p>
    <w:p>
      <w:pPr>
        <w:pStyle w:val="Subsection"/>
      </w:pPr>
      <w:r>
        <w:tab/>
        <w:t>(7)</w:t>
      </w:r>
      <w:r>
        <w:tab/>
        <w:t>Subsection (6)(a) does not apply to a director of a wholly</w:t>
      </w:r>
      <w:r>
        <w:noBreakHyphen/>
        <w:t>owned subsidiary who is also a director of the GTE if the Portfolio Minister, in writing, determines that it is not to apply.</w:t>
      </w:r>
    </w:p>
    <w:p>
      <w:pPr>
        <w:pStyle w:val="Subsection"/>
      </w:pPr>
      <w:r>
        <w:tab/>
        <w:t>(8)</w:t>
      </w:r>
      <w:r>
        <w:tab/>
        <w:t>This section, other than subsection (6), has effect subject to section 119.</w:t>
      </w:r>
    </w:p>
    <w:p>
      <w:pPr>
        <w:pStyle w:val="Heading5"/>
      </w:pPr>
      <w:bookmarkStart w:id="223" w:name="_Toc182400375"/>
      <w:r>
        <w:rPr>
          <w:rStyle w:val="CharSectno"/>
        </w:rPr>
        <w:lastRenderedPageBreak/>
        <w:t>119</w:t>
      </w:r>
      <w:r>
        <w:t>.</w:t>
      </w:r>
      <w:r>
        <w:tab/>
        <w:t>Same remuneration for directors of subsidiary</w:t>
      </w:r>
      <w:bookmarkEnd w:id="223"/>
    </w:p>
    <w:p>
      <w:pPr>
        <w:pStyle w:val="Subsection"/>
        <w:keepNext/>
      </w:pPr>
      <w:r>
        <w:tab/>
        <w:t>(1)</w:t>
      </w:r>
      <w:r>
        <w:tab/>
        <w:t>This section applies to the remuneration of the directors of a wholly</w:t>
      </w:r>
      <w:r>
        <w:noBreakHyphen/>
        <w:t xml:space="preserve">owned subsidiary, other than of — </w:t>
      </w:r>
    </w:p>
    <w:p>
      <w:pPr>
        <w:pStyle w:val="Indenta"/>
      </w:pPr>
      <w:r>
        <w:tab/>
        <w:t>(a)</w:t>
      </w:r>
      <w:r>
        <w:tab/>
        <w:t>its chairperson; and</w:t>
      </w:r>
    </w:p>
    <w:p>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pPr>
        <w:pStyle w:val="Heading5"/>
      </w:pPr>
      <w:bookmarkStart w:id="224" w:name="_Toc182400376"/>
      <w:r>
        <w:rPr>
          <w:rStyle w:val="CharSectno"/>
        </w:rPr>
        <w:t>120</w:t>
      </w:r>
      <w:r>
        <w:t>.</w:t>
      </w:r>
      <w:r>
        <w:tab/>
        <w:t>Expenses of directors</w:t>
      </w:r>
      <w:bookmarkEnd w:id="224"/>
    </w:p>
    <w:p>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pPr>
        <w:pStyle w:val="Heading5"/>
      </w:pPr>
      <w:bookmarkStart w:id="225" w:name="_Toc182400377"/>
      <w:r>
        <w:rPr>
          <w:rStyle w:val="CharSectno"/>
        </w:rPr>
        <w:t>121</w:t>
      </w:r>
      <w:r>
        <w:t>.</w:t>
      </w:r>
      <w:r>
        <w:tab/>
        <w:t>Remuneration of chief executive officers</w:t>
      </w:r>
      <w:bookmarkEnd w:id="225"/>
    </w:p>
    <w:p>
      <w:pPr>
        <w:pStyle w:val="Subsection"/>
      </w:pPr>
      <w:r>
        <w:tab/>
        <w:t>(1)</w:t>
      </w:r>
      <w:r>
        <w:tab/>
        <w:t>Subsections (2) and (3) apply in relation to the remuneration of the chief executive officer (however described) of a wholly</w:t>
      </w:r>
      <w:r>
        <w:noBreakHyphen/>
        <w:t xml:space="preserve">owned subsidiary while — </w:t>
      </w:r>
    </w:p>
    <w:p>
      <w:pPr>
        <w:pStyle w:val="Indenta"/>
      </w:pPr>
      <w:r>
        <w:tab/>
        <w:t>(a)</w:t>
      </w:r>
      <w:r>
        <w:tab/>
        <w:t>the subsidiary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keepLines/>
      </w:pPr>
      <w:r>
        <w:lastRenderedPageBreak/>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pPr>
      <w:r>
        <w:tab/>
        <w:t>(4)</w:t>
      </w:r>
      <w:r>
        <w:tab/>
        <w:t>Subsection (5) applies in relation to the remuneration of the chief executive officer (however described)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pPr>
        <w:pStyle w:val="Subsection"/>
      </w:pPr>
      <w:r>
        <w:tab/>
        <w:t>(7)</w:t>
      </w:r>
      <w:r>
        <w:tab/>
        <w:t>Despite subsections (1) to (5), the chief executive officer of a wholly</w:t>
      </w:r>
      <w:r>
        <w:noBreakHyphen/>
        <w:t xml:space="preserve">owned subsidiary is not entitled to remuneration under this section if — </w:t>
      </w:r>
    </w:p>
    <w:p>
      <w:pPr>
        <w:pStyle w:val="Indenta"/>
      </w:pPr>
      <w:r>
        <w:tab/>
        <w:t>(a)</w:t>
      </w:r>
      <w:r>
        <w:tab/>
        <w:t>the chief executive officer holds a full</w:t>
      </w:r>
      <w:r>
        <w:noBreakHyphen/>
        <w:t>time office or position that is remunerated out of funds appropriated by Parliament; or</w:t>
      </w:r>
    </w:p>
    <w:p>
      <w:pPr>
        <w:pStyle w:val="Indenta"/>
      </w:pPr>
      <w:r>
        <w:tab/>
        <w:t>(b)</w:t>
      </w:r>
      <w:r>
        <w:tab/>
        <w:t>a prescribed circumstance applies to or in relation to the chief executive officer.</w:t>
      </w:r>
    </w:p>
    <w:p>
      <w:pPr>
        <w:pStyle w:val="Heading3"/>
      </w:pPr>
      <w:bookmarkStart w:id="226" w:name="_Toc182383616"/>
      <w:bookmarkStart w:id="227" w:name="_Toc182384225"/>
      <w:bookmarkStart w:id="228" w:name="_Toc182400378"/>
      <w:r>
        <w:rPr>
          <w:rStyle w:val="CharDivNo"/>
        </w:rPr>
        <w:lastRenderedPageBreak/>
        <w:t>Division 7</w:t>
      </w:r>
      <w:r>
        <w:t> — </w:t>
      </w:r>
      <w:r>
        <w:rPr>
          <w:rStyle w:val="CharDivText"/>
        </w:rPr>
        <w:t>Protection from liability</w:t>
      </w:r>
      <w:bookmarkEnd w:id="226"/>
      <w:bookmarkEnd w:id="227"/>
      <w:bookmarkEnd w:id="228"/>
    </w:p>
    <w:p>
      <w:pPr>
        <w:pStyle w:val="Heading5"/>
      </w:pPr>
      <w:bookmarkStart w:id="229" w:name="_Toc182400379"/>
      <w:r>
        <w:rPr>
          <w:rStyle w:val="CharSectno"/>
        </w:rPr>
        <w:t>122</w:t>
      </w:r>
      <w:r>
        <w:t>.</w:t>
      </w:r>
      <w:r>
        <w:tab/>
        <w:t>No liability for certain acts and omissions: disclosure of information and documents</w:t>
      </w:r>
      <w:bookmarkEnd w:id="229"/>
    </w:p>
    <w:p>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(2)</w:t>
      </w:r>
      <w:r>
        <w:tab/>
        <w:t>Subsection (1) does not extend to the manner in which a thing is done if it is done in a manner contrary to a duty to exercise reasonable care and diligence.</w:t>
      </w:r>
    </w:p>
    <w:p>
      <w:pPr>
        <w:pStyle w:val="Heading5"/>
      </w:pPr>
      <w:bookmarkStart w:id="230" w:name="_Toc182400380"/>
      <w:r>
        <w:rPr>
          <w:rStyle w:val="CharSectno"/>
        </w:rPr>
        <w:t>123</w:t>
      </w:r>
      <w:r>
        <w:t>.</w:t>
      </w:r>
      <w:r>
        <w:tab/>
        <w:t>No liability for certain acts and omissions: compliance with Ministerial directions</w:t>
      </w:r>
      <w:bookmarkEnd w:id="230"/>
    </w:p>
    <w:p>
      <w:pPr>
        <w:pStyle w:val="Subsection"/>
      </w:pPr>
      <w:r>
        <w:tab/>
        <w:t>(1)</w:t>
      </w:r>
      <w:r>
        <w:tab/>
        <w:t xml:space="preserve">In this section — </w:t>
      </w:r>
    </w:p>
    <w:p>
      <w:pPr>
        <w:pStyle w:val="Defstart"/>
      </w:pPr>
      <w:r>
        <w:tab/>
      </w:r>
      <w:r>
        <w:rPr>
          <w:rStyle w:val="CharDefText"/>
        </w:rPr>
        <w:t>Ministerial direction</w:t>
      </w:r>
      <w:r>
        <w:t xml:space="preserve"> means a direction or purported direction</w:t>
      </w:r>
    </w:p>
    <w:p>
      <w:pPr>
        <w:pStyle w:val="Defpara"/>
      </w:pPr>
      <w:r>
        <w:tab/>
        <w:t>(a)</w:t>
      </w:r>
      <w:r>
        <w:tab/>
        <w:t>under Division 4; or</w:t>
      </w:r>
    </w:p>
    <w:p>
      <w:pPr>
        <w:pStyle w:val="Indenta"/>
      </w:pPr>
      <w:r>
        <w:tab/>
        <w:t>(b)</w:t>
      </w:r>
      <w:r>
        <w:tab/>
        <w:t>under a provision in a GTE’s Establishing Act that confers a power on a Minister to give directions;</w:t>
      </w:r>
    </w:p>
    <w:p>
      <w:pPr>
        <w:pStyle w:val="Defstart"/>
      </w:pPr>
      <w:r>
        <w:tab/>
      </w:r>
      <w:r>
        <w:rPr>
          <w:rStyle w:val="CharDefText"/>
        </w:rPr>
        <w:t>officer</w:t>
      </w:r>
      <w:r>
        <w:t>, in relation to a GTE, means a director, chief executive officer or executive officer of the GTE.</w:t>
      </w:r>
    </w:p>
    <w:p>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pPr>
        <w:pStyle w:val="Subsection"/>
      </w:pPr>
      <w:r>
        <w:lastRenderedPageBreak/>
        <w:tab/>
        <w:t>(3)</w:t>
      </w:r>
      <w:r>
        <w:tab/>
        <w:t>Subsection (2) does not extend to the manner in which a thing is done if it is done in a manner contrary to section 46 or 48.</w:t>
      </w:r>
    </w:p>
    <w:p>
      <w:pPr>
        <w:pStyle w:val="Heading2"/>
      </w:pPr>
      <w:bookmarkStart w:id="231" w:name="_Toc182383619"/>
      <w:bookmarkStart w:id="232" w:name="_Toc182384228"/>
      <w:bookmarkStart w:id="233" w:name="_Toc182400381"/>
      <w:r>
        <w:rPr>
          <w:rStyle w:val="CharPartNo"/>
        </w:rPr>
        <w:lastRenderedPageBreak/>
        <w:t>Part 8</w:t>
      </w:r>
      <w:r>
        <w:t> — </w:t>
      </w:r>
      <w:r>
        <w:rPr>
          <w:rStyle w:val="CharPartText"/>
        </w:rPr>
        <w:t>Financial provisions</w:t>
      </w:r>
      <w:bookmarkEnd w:id="231"/>
      <w:bookmarkEnd w:id="232"/>
      <w:bookmarkEnd w:id="233"/>
    </w:p>
    <w:p>
      <w:pPr>
        <w:pStyle w:val="Heading3"/>
      </w:pPr>
      <w:bookmarkStart w:id="234" w:name="_Toc182383620"/>
      <w:bookmarkStart w:id="235" w:name="_Toc182384229"/>
      <w:bookmarkStart w:id="236" w:name="_Toc182400382"/>
      <w:r>
        <w:rPr>
          <w:rStyle w:val="CharDivNo"/>
        </w:rPr>
        <w:t>Division 1</w:t>
      </w:r>
      <w:r>
        <w:t> — </w:t>
      </w:r>
      <w:r>
        <w:rPr>
          <w:rStyle w:val="CharDivText"/>
        </w:rPr>
        <w:t>Preliminary</w:t>
      </w:r>
      <w:bookmarkEnd w:id="234"/>
      <w:bookmarkEnd w:id="235"/>
      <w:bookmarkEnd w:id="236"/>
    </w:p>
    <w:p>
      <w:pPr>
        <w:pStyle w:val="Heading5"/>
      </w:pPr>
      <w:bookmarkStart w:id="237" w:name="_Toc182400383"/>
      <w:r>
        <w:rPr>
          <w:rStyle w:val="CharSectno"/>
        </w:rPr>
        <w:t>124</w:t>
      </w:r>
      <w:r>
        <w:t>.</w:t>
      </w:r>
      <w:r>
        <w:tab/>
        <w:t>Terms used</w:t>
      </w:r>
      <w:bookmarkEnd w:id="237"/>
    </w:p>
    <w:p>
      <w:pPr>
        <w:pStyle w:val="Subsection"/>
      </w:pPr>
      <w:r>
        <w:tab/>
      </w:r>
      <w:r>
        <w:tab/>
        <w:t xml:space="preserve">In this Part — </w:t>
      </w:r>
    </w:p>
    <w:p>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pPr>
        <w:pStyle w:val="Heading5"/>
      </w:pPr>
      <w:bookmarkStart w:id="238" w:name="_Toc182400384"/>
      <w:r>
        <w:rPr>
          <w:rStyle w:val="CharSectno"/>
        </w:rPr>
        <w:t>125</w:t>
      </w:r>
      <w:r>
        <w:t>.</w:t>
      </w:r>
      <w:r>
        <w:tab/>
        <w:t>Delegation by Treasurer</w:t>
      </w:r>
      <w:bookmarkEnd w:id="238"/>
    </w:p>
    <w:p>
      <w:pPr>
        <w:pStyle w:val="Subsection"/>
      </w:pPr>
      <w:r>
        <w:tab/>
        <w:t>(1)</w:t>
      </w:r>
      <w:r>
        <w:tab/>
        <w:t>The Treasurer may delegate to a Minister any power or duty of the Treasurer under another provision of this Part.</w:t>
      </w:r>
    </w:p>
    <w:p>
      <w:pPr>
        <w:pStyle w:val="Subsection"/>
      </w:pPr>
      <w:r>
        <w:tab/>
        <w:t>(2)</w:t>
      </w:r>
      <w:r>
        <w:tab/>
        <w:t>The Treasurer may delegate to an officer of the Treasury any power or duty of the Treasurer under another provision of this Part.</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Treasurer to perform a function through an officer or agent.</w:t>
      </w:r>
    </w:p>
    <w:p>
      <w:pPr>
        <w:pStyle w:val="Heading3"/>
      </w:pPr>
      <w:bookmarkStart w:id="239" w:name="_Toc182383623"/>
      <w:bookmarkStart w:id="240" w:name="_Toc182384232"/>
      <w:bookmarkStart w:id="241" w:name="_Toc182400385"/>
      <w:r>
        <w:rPr>
          <w:rStyle w:val="CharDivNo"/>
        </w:rPr>
        <w:t>Division 2</w:t>
      </w:r>
      <w:r>
        <w:t> — </w:t>
      </w:r>
      <w:r>
        <w:rPr>
          <w:rStyle w:val="CharDivText"/>
        </w:rPr>
        <w:t>Bank and other accounts</w:t>
      </w:r>
      <w:bookmarkEnd w:id="239"/>
      <w:bookmarkEnd w:id="240"/>
      <w:bookmarkEnd w:id="241"/>
    </w:p>
    <w:p>
      <w:pPr>
        <w:pStyle w:val="Heading5"/>
      </w:pPr>
      <w:bookmarkStart w:id="242" w:name="_Toc182400386"/>
      <w:r>
        <w:rPr>
          <w:rStyle w:val="CharSectno"/>
        </w:rPr>
        <w:t>126</w:t>
      </w:r>
      <w:r>
        <w:t>.</w:t>
      </w:r>
      <w:r>
        <w:tab/>
        <w:t>Terms used</w:t>
      </w:r>
      <w:bookmarkEnd w:id="242"/>
    </w:p>
    <w:p>
      <w:pPr>
        <w:pStyle w:val="Subsection"/>
      </w:pPr>
      <w:r>
        <w:tab/>
      </w:r>
      <w:r>
        <w:tab/>
        <w:t xml:space="preserve">In this Division — </w:t>
      </w:r>
    </w:p>
    <w:p>
      <w:pPr>
        <w:pStyle w:val="Defstart"/>
      </w:pPr>
      <w:r>
        <w:tab/>
      </w:r>
      <w:r>
        <w:rPr>
          <w:rStyle w:val="CharDefText"/>
        </w:rPr>
        <w:t>agency special purpose account</w:t>
      </w:r>
      <w:r>
        <w:t xml:space="preserve"> has the meaning given in the </w:t>
      </w:r>
      <w:r>
        <w:rPr>
          <w:i/>
        </w:rPr>
        <w:t>Financial Management Act 2006</w:t>
      </w:r>
      <w:r>
        <w:t xml:space="preserve"> section 3;</w:t>
      </w:r>
    </w:p>
    <w:p>
      <w:pPr>
        <w:pStyle w:val="Defstart"/>
      </w:pPr>
      <w:r>
        <w:lastRenderedPageBreak/>
        <w:tab/>
      </w:r>
      <w:r>
        <w:rPr>
          <w:rStyle w:val="CharDefText"/>
        </w:rPr>
        <w:t>bank</w:t>
      </w:r>
      <w:r>
        <w:t xml:space="preserve"> has the meaning given in the </w:t>
      </w:r>
      <w:r>
        <w:rPr>
          <w:i/>
        </w:rPr>
        <w:t>Financial Management Act 2006</w:t>
      </w:r>
      <w:r>
        <w:t xml:space="preserve"> section 3;</w:t>
      </w:r>
    </w:p>
    <w:p>
      <w:pPr>
        <w:pStyle w:val="Defstart"/>
      </w:pPr>
      <w:r>
        <w:tab/>
      </w:r>
      <w:r>
        <w:rPr>
          <w:rStyle w:val="CharDefText"/>
        </w:rPr>
        <w:t>bank account</w:t>
      </w:r>
      <w:r>
        <w:t xml:space="preserve"> means an account maintained at a bank;</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Heading5"/>
      </w:pPr>
      <w:bookmarkStart w:id="243" w:name="_Toc182400387"/>
      <w:r>
        <w:rPr>
          <w:rStyle w:val="CharSectno"/>
        </w:rPr>
        <w:t>127</w:t>
      </w:r>
      <w:r>
        <w:t>.</w:t>
      </w:r>
      <w:r>
        <w:tab/>
        <w:t>Primary account of GTE</w:t>
      </w:r>
      <w:bookmarkEnd w:id="243"/>
    </w:p>
    <w:p>
      <w:pPr>
        <w:pStyle w:val="Subsection"/>
      </w:pPr>
      <w:r>
        <w:tab/>
        <w:t>(1)</w:t>
      </w:r>
      <w:r>
        <w:tab/>
        <w:t xml:space="preserve">A GTE — </w:t>
      </w:r>
    </w:p>
    <w:p>
      <w:pPr>
        <w:pStyle w:val="Indenta"/>
      </w:pPr>
      <w:r>
        <w:tab/>
        <w:t>(a)</w:t>
      </w:r>
      <w:r>
        <w:tab/>
        <w:t>must establish and maintain an account for the purposes of its operations; and</w:t>
      </w:r>
    </w:p>
    <w:p>
      <w:pPr>
        <w:pStyle w:val="Indenta"/>
      </w:pPr>
      <w:r>
        <w:tab/>
        <w:t>(b)</w:t>
      </w:r>
      <w:r>
        <w:tab/>
        <w:t>must operate that account through a subdivision of the Public Bank Account.</w:t>
      </w:r>
    </w:p>
    <w:p>
      <w:pPr>
        <w:pStyle w:val="Subsection"/>
      </w:pPr>
      <w:r>
        <w:tab/>
        <w:t>(2)</w:t>
      </w:r>
      <w:r>
        <w:tab/>
        <w:t>The account maintained under subsection (1) is an agency special purpose account of the GTE.</w:t>
      </w:r>
    </w:p>
    <w:p>
      <w:pPr>
        <w:pStyle w:val="Subsection"/>
      </w:pPr>
      <w:r>
        <w:tab/>
        <w:t>(3)</w:t>
      </w:r>
      <w:r>
        <w:tab/>
        <w:t xml:space="preserve">The </w:t>
      </w:r>
      <w:r>
        <w:rPr>
          <w:i/>
        </w:rPr>
        <w:t xml:space="preserve">Financial Management Act 2006 </w:t>
      </w:r>
      <w:r>
        <w:t xml:space="preserve">Part 2 applies to and in respect of the account maintained under subsection (1)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244" w:name="_Toc182400388"/>
      <w:r>
        <w:rPr>
          <w:rStyle w:val="CharSectno"/>
        </w:rPr>
        <w:t>128</w:t>
      </w:r>
      <w:r>
        <w:t>.</w:t>
      </w:r>
      <w:r>
        <w:tab/>
        <w:t>Other bank accounts of GTE</w:t>
      </w:r>
      <w:bookmarkEnd w:id="244"/>
    </w:p>
    <w:p>
      <w:pPr>
        <w:pStyle w:val="Subsection"/>
      </w:pPr>
      <w:r>
        <w:tab/>
        <w:t>(1)</w:t>
      </w:r>
      <w:r>
        <w:tab/>
        <w:t>A GTE may, with the approval of the Treasurer, establish and maintain bank accounts in addition to the subdivision of the Public Bank Account referred to in section 127(1).</w:t>
      </w:r>
    </w:p>
    <w:p>
      <w:pPr>
        <w:pStyle w:val="Subsection"/>
        <w:keepNext/>
      </w:pPr>
      <w:r>
        <w:tab/>
        <w:t>(2)</w:t>
      </w:r>
      <w:r>
        <w:tab/>
        <w:t xml:space="preserve">The Treasurer’s approval under subsection (1) — </w:t>
      </w:r>
    </w:p>
    <w:p>
      <w:pPr>
        <w:pStyle w:val="Indenta"/>
      </w:pPr>
      <w:r>
        <w:tab/>
        <w:t>(a)</w:t>
      </w:r>
      <w:r>
        <w:tab/>
        <w:t>may be subject to conditions determined by the Treasurer; and</w:t>
      </w:r>
    </w:p>
    <w:p>
      <w:pPr>
        <w:pStyle w:val="Indenta"/>
      </w:pPr>
      <w:r>
        <w:tab/>
        <w:t>(b)</w:t>
      </w:r>
      <w:r>
        <w:tab/>
        <w:t>may be varied by the Treasurer from time to time; and</w:t>
      </w:r>
    </w:p>
    <w:p>
      <w:pPr>
        <w:pStyle w:val="Indenta"/>
      </w:pPr>
      <w:r>
        <w:tab/>
        <w:t>(c)</w:t>
      </w:r>
      <w:r>
        <w:tab/>
        <w:t>may be revoked by the Treasurer.</w:t>
      </w:r>
    </w:p>
    <w:p>
      <w:pPr>
        <w:pStyle w:val="Subsection"/>
      </w:pPr>
      <w:r>
        <w:tab/>
        <w:t>(3)</w:t>
      </w:r>
      <w:r>
        <w:tab/>
        <w:t>A GTE must operate an account maintained under subsection (1) in accordance with any conditions to which the Treasurer’s approval is subject.</w:t>
      </w:r>
    </w:p>
    <w:p>
      <w:pPr>
        <w:pStyle w:val="Subsection"/>
      </w:pPr>
      <w:r>
        <w:lastRenderedPageBreak/>
        <w:tab/>
        <w:t>(4)</w:t>
      </w:r>
      <w:r>
        <w:tab/>
        <w:t>If the Treasurer revokes approval for an account maintained under subsection (1), the GTE must wind up and close the account in an orderly fashion as soon as practicable.</w:t>
      </w:r>
    </w:p>
    <w:p>
      <w:pPr>
        <w:pStyle w:val="Heading5"/>
      </w:pPr>
      <w:bookmarkStart w:id="245" w:name="_Toc182400389"/>
      <w:r>
        <w:rPr>
          <w:rStyle w:val="CharSectno"/>
        </w:rPr>
        <w:t>129</w:t>
      </w:r>
      <w:r>
        <w:t>.</w:t>
      </w:r>
      <w:r>
        <w:tab/>
        <w:t>Operation of accounts</w:t>
      </w:r>
      <w:bookmarkEnd w:id="245"/>
    </w:p>
    <w:p>
      <w:pPr>
        <w:pStyle w:val="Subsection"/>
      </w:pPr>
      <w:r>
        <w:tab/>
        <w:t>(1)</w:t>
      </w:r>
      <w:r>
        <w:tab/>
        <w:t>A GTE must credit all money received, and debit all money expended, to an account maintained under section 127(1) or 128(1).</w:t>
      </w:r>
    </w:p>
    <w:p>
      <w:pPr>
        <w:pStyle w:val="Subsection"/>
      </w:pPr>
      <w:r>
        <w:tab/>
        <w:t>(2)</w:t>
      </w:r>
      <w:r>
        <w:tab/>
        <w:t>A GTE must not transfer funds between accounts maintained under section 127(1) or 128(1), except as approved by the Treasurer.</w:t>
      </w:r>
    </w:p>
    <w:p>
      <w:pPr>
        <w:pStyle w:val="Heading3"/>
      </w:pPr>
      <w:bookmarkStart w:id="246" w:name="_Toc182383628"/>
      <w:bookmarkStart w:id="247" w:name="_Toc182384237"/>
      <w:bookmarkStart w:id="248" w:name="_Toc182400390"/>
      <w:r>
        <w:rPr>
          <w:rStyle w:val="CharDivNo"/>
        </w:rPr>
        <w:t>Division 3</w:t>
      </w:r>
      <w:r>
        <w:t> — </w:t>
      </w:r>
      <w:r>
        <w:rPr>
          <w:rStyle w:val="CharDivText"/>
        </w:rPr>
        <w:t>Investment</w:t>
      </w:r>
      <w:bookmarkEnd w:id="246"/>
      <w:bookmarkEnd w:id="247"/>
      <w:bookmarkEnd w:id="248"/>
    </w:p>
    <w:p>
      <w:pPr>
        <w:pStyle w:val="Heading5"/>
      </w:pPr>
      <w:bookmarkStart w:id="249" w:name="_Toc182400391"/>
      <w:r>
        <w:rPr>
          <w:rStyle w:val="CharSectno"/>
        </w:rPr>
        <w:t>130</w:t>
      </w:r>
      <w:r>
        <w:t>.</w:t>
      </w:r>
      <w:r>
        <w:tab/>
        <w:t xml:space="preserve">Application of </w:t>
      </w:r>
      <w:r>
        <w:rPr>
          <w:i/>
        </w:rPr>
        <w:t>Financial Management Act 2006</w:t>
      </w:r>
      <w:r>
        <w:t xml:space="preserve"> Part 3 Division 3</w:t>
      </w:r>
      <w:bookmarkEnd w:id="249"/>
    </w:p>
    <w:p>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250" w:name="_Toc182400392"/>
      <w:r>
        <w:rPr>
          <w:rStyle w:val="CharSectno"/>
        </w:rPr>
        <w:t>131</w:t>
      </w:r>
      <w:r>
        <w:t>.</w:t>
      </w:r>
      <w:r>
        <w:tab/>
        <w:t>Investment of funds</w:t>
      </w:r>
      <w:bookmarkEnd w:id="250"/>
    </w:p>
    <w:p>
      <w:pPr>
        <w:pStyle w:val="Subsection"/>
      </w:pPr>
      <w:r>
        <w:tab/>
        <w:t>(1)</w:t>
      </w:r>
      <w:r>
        <w:tab/>
        <w:t xml:space="preserve">This section does not apply to a GTE’s funds that are invested under the </w:t>
      </w:r>
      <w:r>
        <w:rPr>
          <w:i/>
        </w:rPr>
        <w:t>Financial Management Act 2006</w:t>
      </w:r>
      <w:r>
        <w:t xml:space="preserve"> section 37 or 39.</w:t>
      </w:r>
    </w:p>
    <w:p>
      <w:pPr>
        <w:pStyle w:val="Subsection"/>
      </w:pPr>
      <w:r>
        <w:tab/>
        <w:t>(2)</w:t>
      </w:r>
      <w:r>
        <w:tab/>
        <w:t>Subject to subsection (3), a GTE’s funds that are not immediately required for the performance of its functions may be invested as the GTE’s board determines.</w:t>
      </w:r>
    </w:p>
    <w:p>
      <w:pPr>
        <w:pStyle w:val="Subsection"/>
      </w:pPr>
      <w:r>
        <w:tab/>
        <w:t>(3)</w:t>
      </w:r>
      <w:r>
        <w:tab/>
        <w:t>The regulations may provide for the manner of investment of a GTE’s funds.</w:t>
      </w:r>
    </w:p>
    <w:p>
      <w:pPr>
        <w:pStyle w:val="Heading3"/>
      </w:pPr>
      <w:bookmarkStart w:id="251" w:name="_Toc182383631"/>
      <w:bookmarkStart w:id="252" w:name="_Toc182384240"/>
      <w:bookmarkStart w:id="253" w:name="_Toc182400393"/>
      <w:r>
        <w:rPr>
          <w:rStyle w:val="CharDivNo"/>
        </w:rPr>
        <w:lastRenderedPageBreak/>
        <w:t>Division 4</w:t>
      </w:r>
      <w:r>
        <w:t> — </w:t>
      </w:r>
      <w:r>
        <w:rPr>
          <w:rStyle w:val="CharDivText"/>
        </w:rPr>
        <w:t>Borrowing and guarantees</w:t>
      </w:r>
      <w:bookmarkEnd w:id="251"/>
      <w:bookmarkEnd w:id="252"/>
      <w:bookmarkEnd w:id="253"/>
    </w:p>
    <w:p>
      <w:pPr>
        <w:pStyle w:val="Heading5"/>
      </w:pPr>
      <w:bookmarkStart w:id="254" w:name="_Toc182400394"/>
      <w:r>
        <w:rPr>
          <w:rStyle w:val="CharSectno"/>
        </w:rPr>
        <w:t>132</w:t>
      </w:r>
      <w:r>
        <w:t>.</w:t>
      </w:r>
      <w:r>
        <w:tab/>
        <w:t>Borrowing powers</w:t>
      </w:r>
      <w:bookmarkEnd w:id="254"/>
    </w:p>
    <w:p>
      <w:pPr>
        <w:pStyle w:val="Subsection"/>
        <w:keepNext/>
      </w:pPr>
      <w:r>
        <w:tab/>
        <w:t>(1)</w:t>
      </w:r>
      <w:r>
        <w:tab/>
        <w:t xml:space="preserve">A GTE may, subject to section 133 — </w:t>
      </w:r>
    </w:p>
    <w:p>
      <w:pPr>
        <w:pStyle w:val="Indenta"/>
      </w:pPr>
      <w:r>
        <w:tab/>
        <w:t>(a)</w:t>
      </w:r>
      <w:r>
        <w:tab/>
        <w:t>borrow money; or</w:t>
      </w:r>
    </w:p>
    <w:p>
      <w:pPr>
        <w:pStyle w:val="Indenta"/>
      </w:pPr>
      <w:r>
        <w:tab/>
        <w:t>(b)</w:t>
      </w:r>
      <w:r>
        <w:tab/>
        <w:t>otherwise arrange for financial accommodation to be extended to the GTE.</w:t>
      </w:r>
    </w:p>
    <w:p>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pPr>
        <w:pStyle w:val="Indenta"/>
      </w:pPr>
      <w:r>
        <w:tab/>
        <w:t>(a)</w:t>
      </w:r>
      <w:r>
        <w:tab/>
        <w:t>the Western Australian Treasury Corporation; or</w:t>
      </w:r>
    </w:p>
    <w:p>
      <w:pPr>
        <w:pStyle w:val="Indenta"/>
      </w:pPr>
      <w:r>
        <w:tab/>
        <w:t>(b)</w:t>
      </w:r>
      <w:r>
        <w:tab/>
        <w:t>the Treasurer; or</w:t>
      </w:r>
    </w:p>
    <w:p>
      <w:pPr>
        <w:pStyle w:val="Indenta"/>
      </w:pPr>
      <w:r>
        <w:tab/>
        <w:t>(c)</w:t>
      </w:r>
      <w:r>
        <w:tab/>
        <w:t>with the approval of the Treasurer, and on terms and conditions (including conditions as to repayment and payment of interest) approved by the Treasurer, any other person.</w:t>
      </w:r>
    </w:p>
    <w:p>
      <w:pPr>
        <w:pStyle w:val="Subsection"/>
      </w:pPr>
      <w:r>
        <w:tab/>
        <w:t>(3)</w:t>
      </w:r>
      <w:r>
        <w:tab/>
        <w:t>A GTE must keep any registers prescribed by the regulations for the purposes of this section.</w:t>
      </w:r>
    </w:p>
    <w:p>
      <w:pPr>
        <w:pStyle w:val="Heading5"/>
      </w:pPr>
      <w:bookmarkStart w:id="255" w:name="_Toc182400395"/>
      <w:r>
        <w:rPr>
          <w:rStyle w:val="CharSectno"/>
        </w:rPr>
        <w:t>133</w:t>
      </w:r>
      <w:r>
        <w:t>.</w:t>
      </w:r>
      <w:r>
        <w:tab/>
        <w:t>Borrowing limits</w:t>
      </w:r>
      <w:bookmarkEnd w:id="255"/>
    </w:p>
    <w:p>
      <w:pPr>
        <w:pStyle w:val="Subsection"/>
        <w:spacing w:before="140"/>
        <w:rPr>
          <w:snapToGrid w:val="0"/>
        </w:rPr>
      </w:pPr>
      <w:r>
        <w:tab/>
        <w:t>(1)</w:t>
      </w:r>
      <w:r>
        <w:tab/>
      </w:r>
      <w:r>
        <w:rPr>
          <w:snapToGrid w:val="0"/>
        </w:rPr>
        <w:t xml:space="preserve">The Treasurer may, by written instrument, limit — </w:t>
      </w:r>
    </w:p>
    <w:p>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pPr>
        <w:pStyle w:val="Subsection"/>
        <w:rPr>
          <w:snapToGrid w:val="0"/>
        </w:rPr>
      </w:pPr>
      <w:r>
        <w:rPr>
          <w:snapToGrid w:val="0"/>
        </w:rPr>
        <w:tab/>
        <w:t>(2)</w:t>
      </w:r>
      <w:r>
        <w:rPr>
          <w:snapToGrid w:val="0"/>
        </w:rPr>
        <w:tab/>
        <w:t>The Treasurer may, by written instrument, vary or withdraw a limit imposed under subsection (1).</w:t>
      </w:r>
    </w:p>
    <w:p>
      <w:pPr>
        <w:pStyle w:val="Subsection"/>
        <w:rPr>
          <w:snapToGrid w:val="0"/>
        </w:rPr>
      </w:pPr>
      <w:r>
        <w:rPr>
          <w:snapToGrid w:val="0"/>
        </w:rPr>
        <w:lastRenderedPageBreak/>
        <w:tab/>
        <w:t>(3)</w:t>
      </w:r>
      <w:r>
        <w:rPr>
          <w:snapToGrid w:val="0"/>
        </w:rPr>
        <w:tab/>
        <w:t>A limit imposed under subsection (1) continues to apply until it is varied or withdrawn under subsection (2), or until the end of a specified period for which it has been imposed.</w:t>
      </w:r>
    </w:p>
    <w:p>
      <w:pPr>
        <w:pStyle w:val="Subsection"/>
        <w:spacing w:before="140"/>
        <w:rPr>
          <w:snapToGrid w:val="0"/>
        </w:rPr>
      </w:pPr>
      <w:r>
        <w:tab/>
        <w:t>(4)</w:t>
      </w:r>
      <w:r>
        <w:tab/>
      </w:r>
      <w:r>
        <w:rPr>
          <w:snapToGrid w:val="0"/>
        </w:rPr>
        <w:t>A GTE must comply with a limit that applies to it.</w:t>
      </w:r>
    </w:p>
    <w:p>
      <w:pPr>
        <w:pStyle w:val="Heading5"/>
      </w:pPr>
      <w:bookmarkStart w:id="256" w:name="_Toc182400396"/>
      <w:r>
        <w:rPr>
          <w:rStyle w:val="CharSectno"/>
        </w:rPr>
        <w:t>134</w:t>
      </w:r>
      <w:r>
        <w:t>.</w:t>
      </w:r>
      <w:r>
        <w:tab/>
        <w:t>Breach of borrowing limits</w:t>
      </w:r>
      <w:bookmarkEnd w:id="256"/>
    </w:p>
    <w:p>
      <w:pPr>
        <w:pStyle w:val="Subsection"/>
        <w:spacing w:before="140"/>
        <w:rPr>
          <w:snapToGrid w:val="0"/>
        </w:rPr>
      </w:pPr>
      <w:r>
        <w:tab/>
        <w:t>(1)</w:t>
      </w:r>
      <w:r>
        <w:tab/>
      </w:r>
      <w:r>
        <w:rPr>
          <w:snapToGrid w:val="0"/>
        </w:rPr>
        <w:t>A liability of a GTE is not unenforceable or in any way affected by a failure of the GTE to comply with section 133.</w:t>
      </w:r>
    </w:p>
    <w:p>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pPr>
        <w:pStyle w:val="Heading5"/>
      </w:pPr>
      <w:bookmarkStart w:id="257" w:name="_Toc182400397"/>
      <w:r>
        <w:rPr>
          <w:rStyle w:val="CharSectno"/>
        </w:rPr>
        <w:t>135</w:t>
      </w:r>
      <w:r>
        <w:t>.</w:t>
      </w:r>
      <w:r>
        <w:tab/>
        <w:t>Guarantee by Treasurer</w:t>
      </w:r>
      <w:bookmarkEnd w:id="257"/>
    </w:p>
    <w:p>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pPr>
        <w:pStyle w:val="Subsection"/>
        <w:rPr>
          <w:snapToGrid w:val="0"/>
        </w:rPr>
      </w:pPr>
      <w:r>
        <w:rPr>
          <w:snapToGrid w:val="0"/>
        </w:rPr>
        <w:tab/>
        <w:t>(2)</w:t>
      </w:r>
      <w:r>
        <w:rPr>
          <w:snapToGrid w:val="0"/>
        </w:rPr>
        <w:tab/>
        <w:t xml:space="preserve">A guarantee — </w:t>
      </w:r>
    </w:p>
    <w:p>
      <w:pPr>
        <w:pStyle w:val="Indenta"/>
      </w:pPr>
      <w:r>
        <w:rPr>
          <w:snapToGrid w:val="0"/>
        </w:rPr>
        <w:tab/>
        <w:t>(a)</w:t>
      </w:r>
      <w:r>
        <w:rPr>
          <w:snapToGrid w:val="0"/>
        </w:rPr>
        <w:tab/>
      </w:r>
      <w:r>
        <w:t>must be given</w:t>
      </w:r>
      <w:r>
        <w:rPr>
          <w:snapToGrid w:val="0"/>
        </w:rPr>
        <w:t xml:space="preserve"> in the name and on behalf of the State; and</w:t>
      </w:r>
    </w:p>
    <w:p>
      <w:pPr>
        <w:pStyle w:val="Indenta"/>
        <w:rPr>
          <w:snapToGrid w:val="0"/>
        </w:rPr>
      </w:pPr>
      <w:r>
        <w:rPr>
          <w:snapToGrid w:val="0"/>
        </w:rPr>
        <w:tab/>
        <w:t>(b)</w:t>
      </w:r>
      <w:r>
        <w:rPr>
          <w:snapToGrid w:val="0"/>
        </w:rPr>
        <w:tab/>
        <w:t>must be in a form, and subject to the terms and conditions, determined by the Treasurer.</w:t>
      </w:r>
    </w:p>
    <w:p>
      <w:pPr>
        <w:pStyle w:val="Subsection"/>
        <w:rPr>
          <w:snapToGrid w:val="0"/>
        </w:rPr>
      </w:pPr>
      <w:r>
        <w:rPr>
          <w:snapToGrid w:val="0"/>
        </w:rPr>
        <w:tab/>
        <w:t>(3)</w:t>
      </w:r>
      <w:r>
        <w:rPr>
          <w:snapToGrid w:val="0"/>
        </w:rPr>
        <w:tab/>
        <w:t xml:space="preserve">The due payment of an amount payable by the Treasurer under a guarantee — </w:t>
      </w:r>
    </w:p>
    <w:p>
      <w:pPr>
        <w:pStyle w:val="Indenta"/>
        <w:rPr>
          <w:snapToGrid w:val="0"/>
        </w:rPr>
      </w:pPr>
      <w:r>
        <w:tab/>
        <w:t>(a)</w:t>
      </w:r>
      <w:r>
        <w:tab/>
      </w:r>
      <w:r>
        <w:rPr>
          <w:snapToGrid w:val="0"/>
        </w:rPr>
        <w:t>is by this subsection guaranteed by the State; and</w:t>
      </w:r>
    </w:p>
    <w:p>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pPr>
        <w:pStyle w:val="Heading5"/>
        <w:rPr>
          <w:snapToGrid w:val="0"/>
        </w:rPr>
      </w:pPr>
      <w:bookmarkStart w:id="258" w:name="_Toc182400398"/>
      <w:r>
        <w:rPr>
          <w:rStyle w:val="CharSectno"/>
        </w:rPr>
        <w:lastRenderedPageBreak/>
        <w:t>136</w:t>
      </w:r>
      <w:r>
        <w:t>.</w:t>
      </w:r>
      <w:r>
        <w:tab/>
      </w:r>
      <w:r>
        <w:rPr>
          <w:snapToGrid w:val="0"/>
        </w:rPr>
        <w:t>Charges for guarantee</w:t>
      </w:r>
      <w:bookmarkEnd w:id="258"/>
    </w:p>
    <w:p>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pPr>
        <w:pStyle w:val="Subsection"/>
        <w:rPr>
          <w:snapToGrid w:val="0"/>
        </w:rPr>
      </w:pPr>
      <w:r>
        <w:tab/>
        <w:t>(2)</w:t>
      </w:r>
      <w:r>
        <w:tab/>
        <w:t xml:space="preserve">The GTE must pay the charges </w:t>
      </w:r>
      <w:r>
        <w:rPr>
          <w:snapToGrid w:val="0"/>
        </w:rPr>
        <w:t>to the Treasurer at the times, and in the instalments, determined by the Treasurer.</w:t>
      </w:r>
    </w:p>
    <w:p>
      <w:pPr>
        <w:pStyle w:val="Subsection"/>
        <w:rPr>
          <w:snapToGrid w:val="0"/>
        </w:rPr>
      </w:pPr>
      <w:r>
        <w:rPr>
          <w:snapToGrid w:val="0"/>
        </w:rPr>
        <w:tab/>
        <w:t>(3)</w:t>
      </w:r>
      <w:r>
        <w:rPr>
          <w:snapToGrid w:val="0"/>
        </w:rPr>
        <w:tab/>
        <w:t>The Treasurer must cause any payments received in respect of the charges to be credited to the Consolidated Account.</w:t>
      </w:r>
    </w:p>
    <w:p>
      <w:pPr>
        <w:pStyle w:val="Heading3"/>
      </w:pPr>
      <w:bookmarkStart w:id="259" w:name="_Toc182383637"/>
      <w:bookmarkStart w:id="260" w:name="_Toc182384246"/>
      <w:bookmarkStart w:id="261" w:name="_Toc182400399"/>
      <w:r>
        <w:rPr>
          <w:rStyle w:val="CharDivNo"/>
        </w:rPr>
        <w:t>Division 5</w:t>
      </w:r>
      <w:r>
        <w:t> — </w:t>
      </w:r>
      <w:r>
        <w:rPr>
          <w:rStyle w:val="CharDivText"/>
        </w:rPr>
        <w:t>Risk management</w:t>
      </w:r>
      <w:bookmarkEnd w:id="259"/>
      <w:bookmarkEnd w:id="260"/>
      <w:bookmarkEnd w:id="261"/>
    </w:p>
    <w:p>
      <w:pPr>
        <w:pStyle w:val="Heading5"/>
      </w:pPr>
      <w:bookmarkStart w:id="262" w:name="_Toc182400400"/>
      <w:r>
        <w:rPr>
          <w:rStyle w:val="CharSectno"/>
        </w:rPr>
        <w:t>137</w:t>
      </w:r>
      <w:r>
        <w:t>.</w:t>
      </w:r>
      <w:r>
        <w:tab/>
        <w:t>Hedging transactions</w:t>
      </w:r>
      <w:bookmarkEnd w:id="262"/>
    </w:p>
    <w:p>
      <w:pPr>
        <w:pStyle w:val="Subsection"/>
      </w:pPr>
      <w:r>
        <w:tab/>
        <w:t>(1)</w:t>
      </w:r>
      <w:r>
        <w:tab/>
        <w:t xml:space="preserve">In this section — </w:t>
      </w:r>
    </w:p>
    <w:p>
      <w:pPr>
        <w:pStyle w:val="Defstart"/>
      </w:pPr>
      <w:r>
        <w:tab/>
      </w:r>
      <w:r>
        <w:rPr>
          <w:rStyle w:val="CharDefText"/>
        </w:rPr>
        <w:t>business risk</w:t>
      </w:r>
      <w:r>
        <w:t xml:space="preserve"> means the risk that a rate or price movement will cause a GTE to incur increased expenditure, reduced revenue or capital losses in — </w:t>
      </w:r>
    </w:p>
    <w:p>
      <w:pPr>
        <w:pStyle w:val="Defpara"/>
      </w:pPr>
      <w:r>
        <w:tab/>
        <w:t>(a)</w:t>
      </w:r>
      <w:r>
        <w:tab/>
        <w:t>the performance by the GTE of any of its functions; or</w:t>
      </w:r>
    </w:p>
    <w:p>
      <w:pPr>
        <w:pStyle w:val="Defpara"/>
      </w:pPr>
      <w:r>
        <w:tab/>
        <w:t>(b)</w:t>
      </w:r>
      <w:r>
        <w:tab/>
        <w:t>the exercise by the GTE of any power conferred by Division 4;</w:t>
      </w:r>
    </w:p>
    <w:p>
      <w:pPr>
        <w:pStyle w:val="Defstart"/>
      </w:pPr>
      <w:r>
        <w:tab/>
      </w:r>
      <w:r>
        <w:rPr>
          <w:rStyle w:val="CharDefText"/>
        </w:rPr>
        <w:t>prescribed transaction</w:t>
      </w:r>
      <w:r>
        <w:t xml:space="preserve"> means a financial transaction of a kind prescribed for the purposes of this section;</w:t>
      </w:r>
    </w:p>
    <w:p>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pPr>
        <w:pStyle w:val="Subsection"/>
      </w:pPr>
      <w:r>
        <w:tab/>
        <w:t>(2)</w:t>
      </w:r>
      <w:r>
        <w:tab/>
        <w:t>After consulting the Western Australian Treasury Corporation, a GTE may enter into a prescribed transaction for the purpose of managing, limiting or reducing business risk to the GTE.</w:t>
      </w:r>
    </w:p>
    <w:p>
      <w:pPr>
        <w:pStyle w:val="Heading3"/>
      </w:pPr>
      <w:bookmarkStart w:id="263" w:name="_Toc182383639"/>
      <w:bookmarkStart w:id="264" w:name="_Toc182384248"/>
      <w:bookmarkStart w:id="265" w:name="_Toc182400401"/>
      <w:r>
        <w:rPr>
          <w:rStyle w:val="CharDivNo"/>
        </w:rPr>
        <w:lastRenderedPageBreak/>
        <w:t>Division 6</w:t>
      </w:r>
      <w:r>
        <w:t> — </w:t>
      </w:r>
      <w:r>
        <w:rPr>
          <w:rStyle w:val="CharDivText"/>
        </w:rPr>
        <w:t>Dividends</w:t>
      </w:r>
      <w:bookmarkEnd w:id="263"/>
      <w:bookmarkEnd w:id="264"/>
      <w:bookmarkEnd w:id="265"/>
    </w:p>
    <w:p>
      <w:pPr>
        <w:pStyle w:val="Heading5"/>
      </w:pPr>
      <w:bookmarkStart w:id="266" w:name="_Toc182400402"/>
      <w:r>
        <w:rPr>
          <w:rStyle w:val="CharSectno"/>
        </w:rPr>
        <w:t>138</w:t>
      </w:r>
      <w:r>
        <w:t>.</w:t>
      </w:r>
      <w:r>
        <w:tab/>
        <w:t>Solvency requirement</w:t>
      </w:r>
      <w:bookmarkEnd w:id="266"/>
    </w:p>
    <w:p>
      <w:pPr>
        <w:pStyle w:val="Subsection"/>
        <w:keepNext/>
      </w:pPr>
      <w:r>
        <w:tab/>
      </w:r>
      <w:r>
        <w:tab/>
        <w:t xml:space="preserve">The amount of a payment to be made by a GTE under this Division meets the solvency requirement if — </w:t>
      </w:r>
    </w:p>
    <w:p>
      <w:pPr>
        <w:pStyle w:val="Indenta"/>
      </w:pPr>
      <w:r>
        <w:tab/>
        <w:t>(a)</w:t>
      </w:r>
      <w:r>
        <w:tab/>
        <w:t>immediately before the payment is made, the GTE’s assets exceed its liabilities by an amount that is equal to or greater than the amount of the payment; and</w:t>
      </w:r>
    </w:p>
    <w:p>
      <w:pPr>
        <w:pStyle w:val="Indenta"/>
      </w:pPr>
      <w:r>
        <w:tab/>
        <w:t>(b)</w:t>
      </w:r>
      <w:r>
        <w:tab/>
        <w:t>immediately after the payment is made, the GTE is solvent (within the meaning given in the Corporations Act section 95A(1)).</w:t>
      </w:r>
    </w:p>
    <w:p>
      <w:pPr>
        <w:pStyle w:val="Heading5"/>
      </w:pPr>
      <w:bookmarkStart w:id="267" w:name="_Toc182400403"/>
      <w:r>
        <w:rPr>
          <w:rStyle w:val="CharSectno"/>
        </w:rPr>
        <w:t>139</w:t>
      </w:r>
      <w:r>
        <w:t>.</w:t>
      </w:r>
      <w:r>
        <w:tab/>
        <w:t>Dividend formula</w:t>
      </w:r>
      <w:bookmarkEnd w:id="267"/>
    </w:p>
    <w:p>
      <w:pPr>
        <w:pStyle w:val="Subsection"/>
      </w:pPr>
      <w:r>
        <w:tab/>
        <w:t>(1)</w:t>
      </w:r>
      <w:r>
        <w:tab/>
        <w:t xml:space="preserve">For each financial year, the Portfolio Minister for a GTE and the Treasurer may — </w:t>
      </w:r>
    </w:p>
    <w:p>
      <w:pPr>
        <w:pStyle w:val="Indenta"/>
      </w:pPr>
      <w:r>
        <w:tab/>
        <w:t>(a)</w:t>
      </w:r>
      <w:r>
        <w:tab/>
        <w:t>determine a formula for calculating the final dividend to be paid under section 140; and</w:t>
      </w:r>
    </w:p>
    <w:p>
      <w:pPr>
        <w:pStyle w:val="Indenta"/>
      </w:pPr>
      <w:r>
        <w:tab/>
        <w:t>(b)</w:t>
      </w:r>
      <w:r>
        <w:tab/>
        <w:t>at any time before the final dividend for the year is fixed under section 140(3), vary a formula previously determined under paragraph (a).</w:t>
      </w:r>
    </w:p>
    <w:p>
      <w:pPr>
        <w:pStyle w:val="Subsection"/>
      </w:pPr>
      <w:r>
        <w:tab/>
        <w:t>(2)</w:t>
      </w:r>
      <w:r>
        <w:tab/>
        <w:t>The Portfolio Minister must notify the GTE’s board of a dividend formula determined or varied under subsection (1).</w:t>
      </w:r>
    </w:p>
    <w:p>
      <w:pPr>
        <w:pStyle w:val="Heading5"/>
      </w:pPr>
      <w:bookmarkStart w:id="268" w:name="_Toc182400404"/>
      <w:r>
        <w:rPr>
          <w:rStyle w:val="CharSectno"/>
        </w:rPr>
        <w:t>140</w:t>
      </w:r>
      <w:r>
        <w:t>.</w:t>
      </w:r>
      <w:r>
        <w:tab/>
        <w:t>Final dividend</w:t>
      </w:r>
      <w:bookmarkEnd w:id="268"/>
    </w:p>
    <w:p>
      <w:pPr>
        <w:pStyle w:val="Subsection"/>
      </w:pPr>
      <w:r>
        <w:tab/>
        <w:t>(1)</w:t>
      </w:r>
      <w:r>
        <w:tab/>
        <w:t>As soon as practicable after the end of each financial year a GTE’s board must recommend to the Portfolio Minister —</w:t>
      </w:r>
    </w:p>
    <w:p>
      <w:pPr>
        <w:pStyle w:val="Indenta"/>
      </w:pPr>
      <w:r>
        <w:tab/>
        <w:t>(a)</w:t>
      </w:r>
      <w:r>
        <w:tab/>
        <w:t>whether the GTE should pay a dividend for that year; and</w:t>
      </w:r>
    </w:p>
    <w:p>
      <w:pPr>
        <w:pStyle w:val="Indenta"/>
      </w:pPr>
      <w:r>
        <w:tab/>
        <w:t>(b)</w:t>
      </w:r>
      <w:r>
        <w:tab/>
        <w:t>if so, the amount of the dividend.</w:t>
      </w:r>
    </w:p>
    <w:p>
      <w:pPr>
        <w:pStyle w:val="Subsection"/>
        <w:keepNext/>
      </w:pPr>
      <w:r>
        <w:lastRenderedPageBreak/>
        <w:tab/>
        <w:t>(2)</w:t>
      </w:r>
      <w:r>
        <w:tab/>
        <w:t xml:space="preserve">In making a recommendation under subsection (1), the board must recommend an amount that — </w:t>
      </w:r>
    </w:p>
    <w:p>
      <w:pPr>
        <w:pStyle w:val="Indenta"/>
      </w:pPr>
      <w:r>
        <w:tab/>
        <w:t>(a)</w:t>
      </w:r>
      <w:r>
        <w:tab/>
        <w:t>the board is satisfied will meet the solvency requirement; and</w:t>
      </w:r>
    </w:p>
    <w:p>
      <w:pPr>
        <w:pStyle w:val="Indenta"/>
      </w:pPr>
      <w:r>
        <w:tab/>
        <w:t>(b)</w:t>
      </w:r>
      <w:r>
        <w:tab/>
        <w:t>subject to paragraph (a), has been calculated in accordance with any dividend formula for the financial year that has been notified to the board under section 139(2).</w:t>
      </w:r>
    </w:p>
    <w:p>
      <w:pPr>
        <w:pStyle w:val="Subsection"/>
      </w:pPr>
      <w:r>
        <w:tab/>
        <w:t>(3)</w:t>
      </w:r>
      <w:r>
        <w:tab/>
        <w:t xml:space="preserve">The Portfolio Minister may, with the Treasurer’s approval — </w:t>
      </w:r>
    </w:p>
    <w:p>
      <w:pPr>
        <w:pStyle w:val="Indenta"/>
      </w:pPr>
      <w:r>
        <w:tab/>
        <w:t>(a)</w:t>
      </w:r>
      <w:r>
        <w:tab/>
        <w:t>accept a recommendation under subsection (1); or</w:t>
      </w:r>
    </w:p>
    <w:p>
      <w:pPr>
        <w:pStyle w:val="Indenta"/>
      </w:pPr>
      <w:r>
        <w:tab/>
        <w:t>(b)</w:t>
      </w:r>
      <w:r>
        <w:tab/>
        <w:t>after consultation with the board, notify the GTE that it must pay a dividend of an amount stated in the notification that the Portfolio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of the House after the notification is given.</w:t>
      </w:r>
    </w:p>
    <w:p>
      <w:pPr>
        <w:pStyle w:val="Subsection"/>
      </w:pPr>
      <w:r>
        <w:tab/>
        <w:t>(6)</w:t>
      </w:r>
      <w:r>
        <w:tab/>
        <w:t xml:space="preserve">The GTE must pay a final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6 months after the end of the financial year to which the dividend relates; or</w:t>
      </w:r>
    </w:p>
    <w:p>
      <w:pPr>
        <w:pStyle w:val="Indenti"/>
      </w:pPr>
      <w:r>
        <w:tab/>
        <w:t>(ii)</w:t>
      </w:r>
      <w:r>
        <w:tab/>
        <w:t xml:space="preserve">another time agreed between the Treasurer and the board. </w:t>
      </w:r>
    </w:p>
    <w:p>
      <w:pPr>
        <w:pStyle w:val="Heading5"/>
      </w:pPr>
      <w:bookmarkStart w:id="269" w:name="_Toc182400405"/>
      <w:r>
        <w:rPr>
          <w:rStyle w:val="CharSectno"/>
        </w:rPr>
        <w:lastRenderedPageBreak/>
        <w:t>141</w:t>
      </w:r>
      <w:r>
        <w:t>.</w:t>
      </w:r>
      <w:r>
        <w:tab/>
        <w:t>Interim and special dividends</w:t>
      </w:r>
      <w:bookmarkEnd w:id="269"/>
    </w:p>
    <w:p>
      <w:pPr>
        <w:pStyle w:val="Subsection"/>
        <w:keepNext/>
      </w:pPr>
      <w:r>
        <w:tab/>
        <w:t>(1)</w:t>
      </w:r>
      <w:r>
        <w:tab/>
        <w:t xml:space="preserve">At any time the Portfolio Minister may, with the approval of the Treasurer, by written notice request a GTE’s board to recommend an appropriate amount — </w:t>
      </w:r>
    </w:p>
    <w:p>
      <w:pPr>
        <w:pStyle w:val="Indenta"/>
      </w:pPr>
      <w:r>
        <w:tab/>
        <w:t>(a)</w:t>
      </w:r>
      <w:r>
        <w:tab/>
        <w:t>for an interim dividend for the financial year in which the request is made; or</w:t>
      </w:r>
    </w:p>
    <w:p>
      <w:pPr>
        <w:pStyle w:val="Indenta"/>
      </w:pPr>
      <w:r>
        <w:tab/>
        <w:t>(b)</w:t>
      </w:r>
      <w:r>
        <w:tab/>
        <w:t>for a special dividend.</w:t>
      </w:r>
    </w:p>
    <w:p>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pPr>
        <w:pStyle w:val="Indenta"/>
      </w:pPr>
      <w:r>
        <w:tab/>
        <w:t>(a)</w:t>
      </w:r>
      <w:r>
        <w:tab/>
        <w:t>is satisfied will meet the solvency requirement; and</w:t>
      </w:r>
    </w:p>
    <w:p>
      <w:pPr>
        <w:pStyle w:val="Indenta"/>
      </w:pPr>
      <w:r>
        <w:tab/>
        <w:t>(b)</w:t>
      </w:r>
      <w:r>
        <w:tab/>
        <w:t>otherwise considers to be appropriate.</w:t>
      </w:r>
    </w:p>
    <w:p>
      <w:pPr>
        <w:pStyle w:val="Subsection"/>
      </w:pPr>
      <w:r>
        <w:tab/>
        <w:t>(3)</w:t>
      </w:r>
      <w:r>
        <w:tab/>
        <w:t xml:space="preserve">The Portfolio Minister may, with the Treasurer’s approval — </w:t>
      </w:r>
    </w:p>
    <w:p>
      <w:pPr>
        <w:pStyle w:val="Indenta"/>
      </w:pPr>
      <w:r>
        <w:tab/>
        <w:t>(a)</w:t>
      </w:r>
      <w:r>
        <w:tab/>
        <w:t>accept a recommendation under subsection (2); or</w:t>
      </w:r>
    </w:p>
    <w:p>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after the notification is given.</w:t>
      </w:r>
    </w:p>
    <w:p>
      <w:pPr>
        <w:pStyle w:val="Subsection"/>
      </w:pPr>
      <w:r>
        <w:tab/>
        <w:t>(6)</w:t>
      </w:r>
      <w:r>
        <w:tab/>
        <w:t xml:space="preserve">A GTE must pay an interim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the end of the financial year to which the interim dividend relates; or</w:t>
      </w:r>
    </w:p>
    <w:p>
      <w:pPr>
        <w:pStyle w:val="Indenti"/>
      </w:pPr>
      <w:r>
        <w:lastRenderedPageBreak/>
        <w:tab/>
        <w:t>(ii)</w:t>
      </w:r>
      <w:r>
        <w:tab/>
        <w:t>another time agreed between the Treasurer and the board.</w:t>
      </w:r>
    </w:p>
    <w:p>
      <w:pPr>
        <w:pStyle w:val="Subsection"/>
      </w:pPr>
      <w:r>
        <w:tab/>
        <w:t>(7)</w:t>
      </w:r>
      <w:r>
        <w:tab/>
        <w:t xml:space="preserve">A GTE must pay a special dividend to the Treasurer — </w:t>
      </w:r>
    </w:p>
    <w:p>
      <w:pPr>
        <w:pStyle w:val="Indenta"/>
      </w:pPr>
      <w:r>
        <w:tab/>
        <w:t>(a)</w:t>
      </w:r>
      <w:r>
        <w:tab/>
        <w:t>as soon as practicable after the amount is fixed under subsection (3); and</w:t>
      </w:r>
    </w:p>
    <w:p>
      <w:pPr>
        <w:pStyle w:val="Indenta"/>
      </w:pPr>
      <w:r>
        <w:tab/>
        <w:t>(b)</w:t>
      </w:r>
      <w:r>
        <w:tab/>
        <w:t>in any event, not later than a time agreed between the Treasurer and the board.</w:t>
      </w:r>
    </w:p>
    <w:p>
      <w:pPr>
        <w:pStyle w:val="Heading3"/>
      </w:pPr>
      <w:bookmarkStart w:id="270" w:name="_Toc182383644"/>
      <w:bookmarkStart w:id="271" w:name="_Toc182384253"/>
      <w:bookmarkStart w:id="272" w:name="_Toc182400406"/>
      <w:r>
        <w:rPr>
          <w:rStyle w:val="CharDivNo"/>
        </w:rPr>
        <w:t>Division 7</w:t>
      </w:r>
      <w:r>
        <w:t> — </w:t>
      </w:r>
      <w:r>
        <w:rPr>
          <w:rStyle w:val="CharDivText"/>
        </w:rPr>
        <w:t>Financial administration and audit</w:t>
      </w:r>
      <w:bookmarkEnd w:id="270"/>
      <w:bookmarkEnd w:id="271"/>
      <w:bookmarkEnd w:id="272"/>
    </w:p>
    <w:p>
      <w:pPr>
        <w:pStyle w:val="Heading5"/>
      </w:pPr>
      <w:bookmarkStart w:id="273" w:name="_Toc182400407"/>
      <w:r>
        <w:rPr>
          <w:rStyle w:val="CharSectno"/>
        </w:rPr>
        <w:t>142</w:t>
      </w:r>
      <w:r>
        <w:t>.</w:t>
      </w:r>
      <w:r>
        <w:tab/>
        <w:t>Terms used</w:t>
      </w:r>
      <w:bookmarkEnd w:id="273"/>
    </w:p>
    <w:p>
      <w:pPr>
        <w:pStyle w:val="Subsection"/>
      </w:pPr>
      <w:r>
        <w:tab/>
      </w:r>
      <w:r>
        <w:tab/>
        <w:t xml:space="preserve">In this Division — </w:t>
      </w:r>
    </w:p>
    <w:p>
      <w:pPr>
        <w:pStyle w:val="Defstart"/>
      </w:pPr>
      <w:r>
        <w:tab/>
      </w:r>
      <w:r>
        <w:rPr>
          <w:rStyle w:val="CharDefText"/>
        </w:rPr>
        <w:t>accounting standard</w:t>
      </w:r>
      <w:r>
        <w:t xml:space="preserve"> has the meaning given in the Corporations Act section 9;</w:t>
      </w:r>
    </w:p>
    <w:p>
      <w:pPr>
        <w:pStyle w:val="Defstart"/>
      </w:pPr>
      <w:r>
        <w:tab/>
      </w:r>
      <w:r>
        <w:rPr>
          <w:rStyle w:val="CharDefText"/>
        </w:rPr>
        <w:t>FAA regulations</w:t>
      </w:r>
      <w:r>
        <w:t xml:space="preserve"> means the regulations for the purposes of section 149;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Treasurer’s GTE instructions</w:t>
      </w:r>
      <w:r>
        <w:t xml:space="preserve"> means instructions issued under section 148(1).</w:t>
      </w:r>
    </w:p>
    <w:p>
      <w:pPr>
        <w:pStyle w:val="Heading5"/>
      </w:pPr>
      <w:bookmarkStart w:id="274" w:name="_Toc182400408"/>
      <w:r>
        <w:rPr>
          <w:rStyle w:val="CharSectno"/>
        </w:rPr>
        <w:t>143</w:t>
      </w:r>
      <w:r>
        <w:t>.</w:t>
      </w:r>
      <w:r>
        <w:tab/>
        <w:t>Obligation to keep financial records</w:t>
      </w:r>
      <w:bookmarkEnd w:id="274"/>
    </w:p>
    <w:p>
      <w:pPr>
        <w:pStyle w:val="Subsection"/>
      </w:pPr>
      <w:r>
        <w:tab/>
        <w:t>(1)</w:t>
      </w:r>
      <w:r>
        <w:tab/>
        <w:t xml:space="preserve">A GTE and each of its subsidiaries must keep written financial records that — </w:t>
      </w:r>
    </w:p>
    <w:p>
      <w:pPr>
        <w:pStyle w:val="Indenta"/>
      </w:pPr>
      <w:r>
        <w:t> </w:t>
      </w:r>
      <w:r>
        <w:tab/>
        <w:t>(a)</w:t>
      </w:r>
      <w:r>
        <w:tab/>
        <w:t>correctly record and explain its transactions and financial position and performance; and</w:t>
      </w:r>
    </w:p>
    <w:p>
      <w:pPr>
        <w:pStyle w:val="Indenta"/>
      </w:pPr>
      <w:r>
        <w:tab/>
        <w:t>(b)</w:t>
      </w:r>
      <w:r>
        <w:tab/>
        <w:t>would enable true and fair financial statements to be prepared and audited.</w:t>
      </w:r>
    </w:p>
    <w:p>
      <w:pPr>
        <w:pStyle w:val="Subsection"/>
      </w:pPr>
      <w:r>
        <w:tab/>
        <w:t>(2)</w:t>
      </w:r>
      <w:r>
        <w:tab/>
        <w:t>The obligation to keep financial records of transactions extends to transactions undertaken as trustee.</w:t>
      </w:r>
    </w:p>
    <w:p>
      <w:pPr>
        <w:pStyle w:val="Subsection"/>
      </w:pPr>
      <w:r>
        <w:tab/>
        <w:t>(3)</w:t>
      </w:r>
      <w:r>
        <w:tab/>
        <w:t>The financial records must be retained for 7 years after the transaction covered by the records is completed.</w:t>
      </w:r>
    </w:p>
    <w:p>
      <w:pPr>
        <w:pStyle w:val="Heading5"/>
      </w:pPr>
      <w:bookmarkStart w:id="275" w:name="_Toc182400409"/>
      <w:r>
        <w:rPr>
          <w:rStyle w:val="CharSectno"/>
        </w:rPr>
        <w:lastRenderedPageBreak/>
        <w:t>144</w:t>
      </w:r>
      <w:r>
        <w:t>.</w:t>
      </w:r>
      <w:r>
        <w:tab/>
        <w:t>Preparation of annual financial reports and directors’ reports</w:t>
      </w:r>
      <w:bookmarkEnd w:id="275"/>
    </w:p>
    <w:p>
      <w:pPr>
        <w:pStyle w:val="Subsection"/>
      </w:pPr>
      <w:r>
        <w:tab/>
        <w:t>(1)</w:t>
      </w:r>
      <w:r>
        <w:tab/>
        <w:t>A GTE must prepare a financial report and a directors’ report for each financial year in accordance with the FAA regulations.</w:t>
      </w:r>
    </w:p>
    <w:p>
      <w:pPr>
        <w:pStyle w:val="Subsection"/>
      </w:pPr>
      <w:r>
        <w:tab/>
        <w:t>(2)</w:t>
      </w:r>
      <w:r>
        <w:tab/>
        <w:t>Except as provided by the Treasurer’s GTE instructions, the financial report must comply with the accounting standards.</w:t>
      </w:r>
    </w:p>
    <w:p>
      <w:pPr>
        <w:pStyle w:val="Heading5"/>
      </w:pPr>
      <w:bookmarkStart w:id="276" w:name="_Toc182400410"/>
      <w:r>
        <w:rPr>
          <w:rStyle w:val="CharSectno"/>
        </w:rPr>
        <w:t>145</w:t>
      </w:r>
      <w:r>
        <w:t>.</w:t>
      </w:r>
      <w:r>
        <w:tab/>
        <w:t>Audit of annual financial report</w:t>
      </w:r>
      <w:bookmarkEnd w:id="276"/>
    </w:p>
    <w:p>
      <w:pPr>
        <w:pStyle w:val="Subsection"/>
      </w:pPr>
      <w:r>
        <w:tab/>
        <w:t>(1)</w:t>
      </w:r>
      <w:r>
        <w:tab/>
        <w:t xml:space="preserve">A GTE must — </w:t>
      </w:r>
    </w:p>
    <w:p>
      <w:pPr>
        <w:pStyle w:val="Indenta"/>
      </w:pPr>
      <w:r>
        <w:tab/>
        <w:t>(a)</w:t>
      </w:r>
      <w:r>
        <w:tab/>
        <w:t>have the financial report for a financial year audited by the Auditor General in accordance with the FAA regulations; and</w:t>
      </w:r>
    </w:p>
    <w:p>
      <w:pPr>
        <w:pStyle w:val="Indenta"/>
      </w:pPr>
      <w:r>
        <w:tab/>
        <w:t>(b)</w:t>
      </w:r>
      <w:r>
        <w:tab/>
        <w:t>obtain an auditor’s report.</w:t>
      </w:r>
    </w:p>
    <w:p>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pPr>
        <w:pStyle w:val="Indenta"/>
      </w:pPr>
      <w:r>
        <w:tab/>
        <w:t>(a)</w:t>
      </w:r>
      <w:r>
        <w:tab/>
        <w:t>it were a statutory authority; and</w:t>
      </w:r>
    </w:p>
    <w:p>
      <w:pPr>
        <w:pStyle w:val="Indenta"/>
        <w:keepNext/>
      </w:pPr>
      <w:r>
        <w:tab/>
        <w:t>(b)</w:t>
      </w:r>
      <w:r>
        <w:tab/>
        <w:t>its board were its accountable authority.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14</w:t>
            </w:r>
          </w:p>
        </w:tc>
        <w:tc>
          <w:tcPr>
            <w:tcW w:w="3034" w:type="dxa"/>
            <w:noWrap/>
          </w:tcPr>
          <w:p>
            <w:pPr>
              <w:pStyle w:val="TableNAm"/>
            </w:pPr>
            <w:r>
              <w:t>s. 16 to 18</w:t>
            </w:r>
          </w:p>
        </w:tc>
      </w:tr>
      <w:tr>
        <w:tc>
          <w:tcPr>
            <w:tcW w:w="3033" w:type="dxa"/>
            <w:noWrap/>
          </w:tcPr>
          <w:p>
            <w:pPr>
              <w:pStyle w:val="TableNAm"/>
            </w:pPr>
            <w:r>
              <w:t>s. 21</w:t>
            </w:r>
          </w:p>
        </w:tc>
        <w:tc>
          <w:tcPr>
            <w:tcW w:w="3034" w:type="dxa"/>
            <w:noWrap/>
          </w:tcPr>
          <w:p>
            <w:pPr>
              <w:pStyle w:val="TableNAm"/>
            </w:pPr>
            <w:r>
              <w:t>s. 24 to 37</w:t>
            </w:r>
          </w:p>
        </w:tc>
      </w:tr>
      <w:tr>
        <w:tc>
          <w:tcPr>
            <w:tcW w:w="3033" w:type="dxa"/>
            <w:noWrap/>
          </w:tcPr>
          <w:p>
            <w:pPr>
              <w:pStyle w:val="TableNAm"/>
            </w:pPr>
            <w:r>
              <w:t>s. 45</w:t>
            </w:r>
          </w:p>
        </w:tc>
        <w:tc>
          <w:tcPr>
            <w:tcW w:w="3034" w:type="dxa"/>
            <w:noWrap/>
          </w:tcPr>
          <w:p>
            <w:pPr>
              <w:pStyle w:val="TableNAm"/>
            </w:pPr>
            <w:r>
              <w:t>s. 46</w:t>
            </w:r>
          </w:p>
        </w:tc>
      </w:tr>
    </w:tbl>
    <w:p>
      <w:pPr>
        <w:pStyle w:val="Heading5"/>
      </w:pPr>
      <w:bookmarkStart w:id="277" w:name="_Toc182400411"/>
      <w:r>
        <w:rPr>
          <w:rStyle w:val="CharSectno"/>
        </w:rPr>
        <w:t>146</w:t>
      </w:r>
      <w:r>
        <w:t>.</w:t>
      </w:r>
      <w:r>
        <w:tab/>
        <w:t>Preparation of interim reports</w:t>
      </w:r>
      <w:bookmarkEnd w:id="277"/>
    </w:p>
    <w:p>
      <w:pPr>
        <w:pStyle w:val="Subsection"/>
      </w:pPr>
      <w:r>
        <w:tab/>
        <w:t>(1)</w:t>
      </w:r>
      <w:r>
        <w:tab/>
        <w:t xml:space="preserve">A GTE must prepare a report for each </w:t>
      </w:r>
      <w:r>
        <w:rPr>
          <w:snapToGrid w:val="0"/>
        </w:rPr>
        <w:t xml:space="preserve">prescribed period within a </w:t>
      </w:r>
      <w:r>
        <w:t>financial year in accordance with the FAA regulations.</w:t>
      </w:r>
    </w:p>
    <w:p>
      <w:pPr>
        <w:pStyle w:val="Subsection"/>
      </w:pPr>
      <w:r>
        <w:tab/>
        <w:t>(2)</w:t>
      </w:r>
      <w:r>
        <w:tab/>
        <w:t>Except as provided by the Treasurer’s GTE instructions, the report must comply with the accounting standards.</w:t>
      </w:r>
    </w:p>
    <w:p>
      <w:pPr>
        <w:pStyle w:val="Heading5"/>
      </w:pPr>
      <w:bookmarkStart w:id="278" w:name="_Toc182400412"/>
      <w:r>
        <w:rPr>
          <w:rStyle w:val="CharSectno"/>
        </w:rPr>
        <w:lastRenderedPageBreak/>
        <w:t>147</w:t>
      </w:r>
      <w:r>
        <w:t>.</w:t>
      </w:r>
      <w:r>
        <w:tab/>
        <w:t xml:space="preserve">Application of </w:t>
      </w:r>
      <w:r>
        <w:rPr>
          <w:i/>
        </w:rPr>
        <w:t>Financial Management Act 2006</w:t>
      </w:r>
      <w:r>
        <w:t xml:space="preserve"> sections 81 and 82</w:t>
      </w:r>
      <w:bookmarkEnd w:id="278"/>
    </w:p>
    <w:p>
      <w:pPr>
        <w:pStyle w:val="Subsection"/>
      </w:pPr>
      <w:r>
        <w:tab/>
      </w:r>
      <w:r>
        <w:tab/>
        <w:t xml:space="preserve">The </w:t>
      </w:r>
      <w:r>
        <w:rPr>
          <w:i/>
        </w:rPr>
        <w:t xml:space="preserve">Financial Management Act 2006 </w:t>
      </w:r>
      <w:r>
        <w:t xml:space="preserve">sections 81 and 82 apply to and in respect of a GTE as if — </w:t>
      </w:r>
    </w:p>
    <w:p>
      <w:pPr>
        <w:pStyle w:val="Indenta"/>
      </w:pPr>
      <w:r>
        <w:tab/>
        <w:t>(a)</w:t>
      </w:r>
      <w:r>
        <w:tab/>
        <w:t>it were a statutory authority; and</w:t>
      </w:r>
    </w:p>
    <w:p>
      <w:pPr>
        <w:pStyle w:val="Indenta"/>
      </w:pPr>
      <w:r>
        <w:tab/>
        <w:t>(b)</w:t>
      </w:r>
      <w:r>
        <w:tab/>
        <w:t>its board were its accountable authority; and</w:t>
      </w:r>
    </w:p>
    <w:p>
      <w:pPr>
        <w:pStyle w:val="Indenta"/>
      </w:pPr>
      <w:r>
        <w:tab/>
        <w:t>(c)</w:t>
      </w:r>
      <w:r>
        <w:tab/>
        <w:t>references to the Minister were references to the GTE’s Portfolio Minister.</w:t>
      </w:r>
    </w:p>
    <w:p>
      <w:pPr>
        <w:pStyle w:val="Heading5"/>
      </w:pPr>
      <w:bookmarkStart w:id="279" w:name="_Toc182400413"/>
      <w:r>
        <w:rPr>
          <w:rStyle w:val="CharSectno"/>
        </w:rPr>
        <w:t>148</w:t>
      </w:r>
      <w:r>
        <w:t>.</w:t>
      </w:r>
      <w:r>
        <w:tab/>
        <w:t>Treasurer’s GTE instructions</w:t>
      </w:r>
      <w:bookmarkEnd w:id="279"/>
    </w:p>
    <w:p>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pPr>
        <w:pStyle w:val="Subsection"/>
      </w:pPr>
      <w:r>
        <w:tab/>
        <w:t>(2)</w:t>
      </w:r>
      <w:r>
        <w:tab/>
        <w:t>The Treasurer’s GTE instructions must not be inconsistent with this Act or the FAA regulations.</w:t>
      </w:r>
    </w:p>
    <w:p>
      <w:pPr>
        <w:pStyle w:val="Subsection"/>
      </w:pPr>
      <w:r>
        <w:tab/>
        <w:t>(3)</w:t>
      </w:r>
      <w:r>
        <w:tab/>
        <w:t>A GTE must comply with the Treasurer’s GTE instructions.</w:t>
      </w:r>
    </w:p>
    <w:p>
      <w:pPr>
        <w:pStyle w:val="Subsection"/>
      </w:pPr>
      <w:r>
        <w:tab/>
        <w:t>(4)</w:t>
      </w:r>
      <w:r>
        <w:tab/>
        <w:t>The Treasurer must give a GTE written notice of the issue, amendment or revocation of the Treasurer’s GTE instructions.</w:t>
      </w:r>
    </w:p>
    <w:p>
      <w:pPr>
        <w:pStyle w:val="Subsection"/>
      </w:pPr>
      <w:r>
        <w:tab/>
        <w:t>(5)</w:t>
      </w:r>
      <w:r>
        <w:tab/>
        <w:t>The validity of the Treasurer’s GTE instructions is not affected by any failure to comply with subsection (4).</w:t>
      </w:r>
    </w:p>
    <w:p>
      <w:pPr>
        <w:pStyle w:val="Heading5"/>
      </w:pPr>
      <w:bookmarkStart w:id="280" w:name="_Toc182400414"/>
      <w:r>
        <w:rPr>
          <w:rStyle w:val="CharSectno"/>
        </w:rPr>
        <w:t>149</w:t>
      </w:r>
      <w:r>
        <w:t>.</w:t>
      </w:r>
      <w:r>
        <w:tab/>
        <w:t>Regulations concerning financial administration and audit</w:t>
      </w:r>
      <w:bookmarkEnd w:id="280"/>
    </w:p>
    <w:p>
      <w:pPr>
        <w:pStyle w:val="Subsection"/>
      </w:pPr>
      <w:r>
        <w:tab/>
        <w:t>(1)</w:t>
      </w:r>
      <w:r>
        <w:tab/>
        <w:t>The regulations may provide for the financial administration and audit of GTEs.</w:t>
      </w:r>
    </w:p>
    <w:p>
      <w:pPr>
        <w:pStyle w:val="Subsection"/>
      </w:pPr>
      <w:r>
        <w:tab/>
        <w:t>(2)</w:t>
      </w:r>
      <w:r>
        <w:tab/>
        <w:t xml:space="preserve">Without limiting subsection (1), the regulations — </w:t>
      </w:r>
    </w:p>
    <w:p>
      <w:pPr>
        <w:pStyle w:val="Indenta"/>
      </w:pPr>
      <w:r>
        <w:tab/>
        <w:t>(a)</w:t>
      </w:r>
      <w:r>
        <w:tab/>
        <w:t>may supplement the provisions applied by sections 147 and 145(2); and</w:t>
      </w:r>
    </w:p>
    <w:p>
      <w:pPr>
        <w:pStyle w:val="Indenta"/>
        <w:keepNext/>
      </w:pPr>
      <w:r>
        <w:lastRenderedPageBreak/>
        <w:tab/>
        <w:t>(b)</w:t>
      </w:r>
      <w:r>
        <w:tab/>
        <w:t xml:space="preserve">may apply, adopt or incorporate, with or without modification — </w:t>
      </w:r>
    </w:p>
    <w:p>
      <w:pPr>
        <w:pStyle w:val="Indenti"/>
      </w:pPr>
      <w:r>
        <w:tab/>
        <w:t>(i)</w:t>
      </w:r>
      <w:r>
        <w:tab/>
        <w:t>a provision of the Corporations Act or of regulations made under the Corporations Act; or</w:t>
      </w:r>
    </w:p>
    <w:p>
      <w:pPr>
        <w:pStyle w:val="Indenti"/>
      </w:pPr>
      <w:r>
        <w:tab/>
        <w:t>(ii)</w:t>
      </w:r>
      <w:r>
        <w:tab/>
        <w:t>all or part of an accounting standard as in effect from time to time, or as in effect at a time specified in the regulations.</w:t>
      </w:r>
    </w:p>
    <w:p>
      <w:pPr>
        <w:pStyle w:val="Heading3"/>
      </w:pPr>
      <w:bookmarkStart w:id="281" w:name="_Toc182383653"/>
      <w:bookmarkStart w:id="282" w:name="_Toc182384262"/>
      <w:bookmarkStart w:id="283" w:name="_Toc182400415"/>
      <w:r>
        <w:rPr>
          <w:rStyle w:val="CharDivNo"/>
        </w:rPr>
        <w:t>Division 8</w:t>
      </w:r>
      <w:r>
        <w:t> — </w:t>
      </w:r>
      <w:r>
        <w:rPr>
          <w:rStyle w:val="CharDivText"/>
        </w:rPr>
        <w:t>Local government rates exemption</w:t>
      </w:r>
      <w:bookmarkEnd w:id="281"/>
      <w:bookmarkEnd w:id="282"/>
      <w:bookmarkEnd w:id="283"/>
    </w:p>
    <w:p>
      <w:pPr>
        <w:pStyle w:val="Heading5"/>
        <w:rPr>
          <w:snapToGrid w:val="0"/>
        </w:rPr>
      </w:pPr>
      <w:bookmarkStart w:id="284" w:name="_Toc182400416"/>
      <w:r>
        <w:rPr>
          <w:rStyle w:val="CharSectno"/>
        </w:rPr>
        <w:t>150</w:t>
      </w:r>
      <w:r>
        <w:t>.</w:t>
      </w:r>
      <w:r>
        <w:tab/>
      </w:r>
      <w:r>
        <w:rPr>
          <w:snapToGrid w:val="0"/>
        </w:rPr>
        <w:t>Exemption from local government rates</w:t>
      </w:r>
      <w:bookmarkEnd w:id="284"/>
    </w:p>
    <w:p>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pPr>
        <w:pStyle w:val="Indenta"/>
        <w:rPr>
          <w:snapToGrid w:val="0"/>
        </w:rPr>
      </w:pPr>
      <w:r>
        <w:rPr>
          <w:snapToGrid w:val="0"/>
        </w:rPr>
        <w:tab/>
        <w:t>(a)</w:t>
      </w:r>
      <w:r>
        <w:rPr>
          <w:snapToGrid w:val="0"/>
        </w:rPr>
        <w:tab/>
        <w:t>vested in, or under the care, control or management of, a GTE; and</w:t>
      </w:r>
    </w:p>
    <w:p>
      <w:pPr>
        <w:pStyle w:val="Indenta"/>
        <w:rPr>
          <w:snapToGrid w:val="0"/>
        </w:rPr>
      </w:pPr>
      <w:r>
        <w:rPr>
          <w:snapToGrid w:val="0"/>
        </w:rPr>
        <w:tab/>
        <w:t>(b)</w:t>
      </w:r>
      <w:r>
        <w:rPr>
          <w:snapToGrid w:val="0"/>
        </w:rPr>
        <w:tab/>
      </w:r>
      <w:r>
        <w:t>used or reserved exclusively for the performance of the GTE’s functions</w:t>
      </w:r>
      <w:r>
        <w:rPr>
          <w:snapToGrid w:val="0"/>
        </w:rPr>
        <w:t>.</w:t>
      </w:r>
    </w:p>
    <w:p>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5"/>
        <w:rPr>
          <w:snapToGrid w:val="0"/>
        </w:rPr>
      </w:pPr>
      <w:bookmarkStart w:id="285" w:name="_Toc182400417"/>
      <w:r>
        <w:rPr>
          <w:rStyle w:val="CharSectno"/>
        </w:rPr>
        <w:t>151</w:t>
      </w:r>
      <w:r>
        <w:t>.</w:t>
      </w:r>
      <w:r>
        <w:tab/>
      </w:r>
      <w:r>
        <w:rPr>
          <w:snapToGrid w:val="0"/>
        </w:rPr>
        <w:t>Payment in lieu of local government rates</w:t>
      </w:r>
      <w:bookmarkEnd w:id="285"/>
    </w:p>
    <w:p>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pPr>
        <w:pStyle w:val="Indenta"/>
        <w:rPr>
          <w:snapToGrid w:val="0"/>
        </w:rPr>
      </w:pPr>
      <w:r>
        <w:rPr>
          <w:snapToGrid w:val="0"/>
        </w:rPr>
        <w:tab/>
        <w:t>(a)</w:t>
      </w:r>
      <w:r>
        <w:rPr>
          <w:snapToGrid w:val="0"/>
        </w:rPr>
        <w:tab/>
        <w:t>section 150; and</w:t>
      </w:r>
    </w:p>
    <w:p>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pPr>
        <w:pStyle w:val="Subsection"/>
        <w:keepNext/>
        <w:rPr>
          <w:snapToGrid w:val="0"/>
        </w:rPr>
      </w:pPr>
      <w:r>
        <w:rPr>
          <w:snapToGrid w:val="0"/>
        </w:rPr>
        <w:tab/>
        <w:t>(2)</w:t>
      </w:r>
      <w:r>
        <w:rPr>
          <w:snapToGrid w:val="0"/>
        </w:rPr>
        <w:tab/>
        <w:t xml:space="preserve">Subsection (1) does not apply in relation to — </w:t>
      </w:r>
    </w:p>
    <w:p>
      <w:pPr>
        <w:pStyle w:val="Indenta"/>
        <w:rPr>
          <w:snapToGrid w:val="0"/>
        </w:rPr>
      </w:pPr>
      <w:r>
        <w:rPr>
          <w:snapToGrid w:val="0"/>
        </w:rPr>
        <w:tab/>
        <w:t>(a)</w:t>
      </w:r>
      <w:r>
        <w:rPr>
          <w:snapToGrid w:val="0"/>
        </w:rPr>
        <w:tab/>
        <w:t>land used or reserved for a purpose prescribed for the purposes of this subsection; or</w:t>
      </w:r>
    </w:p>
    <w:p>
      <w:pPr>
        <w:pStyle w:val="Indenta"/>
        <w:rPr>
          <w:snapToGrid w:val="0"/>
        </w:rPr>
      </w:pPr>
      <w:r>
        <w:rPr>
          <w:snapToGrid w:val="0"/>
        </w:rPr>
        <w:lastRenderedPageBreak/>
        <w:tab/>
        <w:t>(b)</w:t>
      </w:r>
      <w:r>
        <w:rPr>
          <w:snapToGrid w:val="0"/>
        </w:rPr>
        <w:tab/>
        <w:t>an area of land prescribed for the purposes of this subsection.</w:t>
      </w:r>
    </w:p>
    <w:p>
      <w:pPr>
        <w:pStyle w:val="Subsection"/>
        <w:rPr>
          <w:snapToGrid w:val="0"/>
        </w:rPr>
      </w:pPr>
      <w:r>
        <w:rPr>
          <w:snapToGrid w:val="0"/>
        </w:rPr>
        <w:tab/>
        <w:t>(3)</w:t>
      </w:r>
      <w:r>
        <w:rPr>
          <w:snapToGrid w:val="0"/>
        </w:rPr>
        <w:tab/>
        <w:t xml:space="preserve">An amount payable under subsection (1) — </w:t>
      </w:r>
    </w:p>
    <w:p>
      <w:pPr>
        <w:pStyle w:val="Indenta"/>
        <w:rPr>
          <w:snapToGrid w:val="0"/>
        </w:rPr>
      </w:pPr>
      <w:r>
        <w:rPr>
          <w:snapToGrid w:val="0"/>
        </w:rPr>
        <w:tab/>
        <w:t>(a)</w:t>
      </w:r>
      <w:r>
        <w:rPr>
          <w:snapToGrid w:val="0"/>
        </w:rPr>
        <w:tab/>
        <w:t>must be calculated in accordance with such principles as the Treasurer may direct; and</w:t>
      </w:r>
    </w:p>
    <w:p>
      <w:pPr>
        <w:pStyle w:val="Indenta"/>
        <w:keepNext/>
        <w:rPr>
          <w:snapToGrid w:val="0"/>
        </w:rPr>
      </w:pPr>
      <w:r>
        <w:rPr>
          <w:snapToGrid w:val="0"/>
        </w:rPr>
        <w:tab/>
        <w:t>(b)</w:t>
      </w:r>
      <w:r>
        <w:rPr>
          <w:snapToGrid w:val="0"/>
        </w:rPr>
        <w:tab/>
        <w:t>must be paid at such time or times as the Treasurer may direct.</w:t>
      </w:r>
    </w:p>
    <w:p>
      <w:pPr>
        <w:pStyle w:val="Heading2"/>
      </w:pPr>
      <w:bookmarkStart w:id="286" w:name="_Toc182383656"/>
      <w:bookmarkStart w:id="287" w:name="_Toc182384265"/>
      <w:bookmarkStart w:id="288" w:name="_Toc182400418"/>
      <w:r>
        <w:rPr>
          <w:rStyle w:val="CharPartNo"/>
        </w:rPr>
        <w:lastRenderedPageBreak/>
        <w:t>Part 9</w:t>
      </w:r>
      <w:r>
        <w:t> — </w:t>
      </w:r>
      <w:r>
        <w:rPr>
          <w:rStyle w:val="CharPartText"/>
        </w:rPr>
        <w:t>General provisions</w:t>
      </w:r>
      <w:bookmarkEnd w:id="286"/>
      <w:bookmarkEnd w:id="287"/>
      <w:bookmarkEnd w:id="288"/>
    </w:p>
    <w:p>
      <w:pPr>
        <w:pStyle w:val="Heading3"/>
      </w:pPr>
      <w:bookmarkStart w:id="289" w:name="_Toc182383657"/>
      <w:bookmarkStart w:id="290" w:name="_Toc182384266"/>
      <w:bookmarkStart w:id="291" w:name="_Toc182400419"/>
      <w:r>
        <w:rPr>
          <w:rStyle w:val="CharDivNo"/>
        </w:rPr>
        <w:t>Division 1</w:t>
      </w:r>
      <w:r>
        <w:t> — </w:t>
      </w:r>
      <w:r>
        <w:rPr>
          <w:rStyle w:val="CharDivText"/>
        </w:rPr>
        <w:t>Protection of persons dealing with GTEs</w:t>
      </w:r>
      <w:bookmarkEnd w:id="289"/>
      <w:bookmarkEnd w:id="290"/>
      <w:bookmarkEnd w:id="291"/>
    </w:p>
    <w:p>
      <w:pPr>
        <w:pStyle w:val="Heading5"/>
      </w:pPr>
      <w:bookmarkStart w:id="292" w:name="_Toc182400420"/>
      <w:r>
        <w:rPr>
          <w:rStyle w:val="CharSectno"/>
        </w:rPr>
        <w:t>152</w:t>
      </w:r>
      <w:r>
        <w:t>.</w:t>
      </w:r>
      <w:r>
        <w:tab/>
        <w:t>Person dealing with GTE may make assumptions</w:t>
      </w:r>
      <w:bookmarkEnd w:id="292"/>
    </w:p>
    <w:p>
      <w:pPr>
        <w:pStyle w:val="Subsection"/>
      </w:pPr>
      <w:r>
        <w:tab/>
        <w:t>(1)</w:t>
      </w:r>
      <w:r>
        <w:tab/>
        <w:t>A person dealing with a GTE is entitled to make the assumptions mentioned in section 154.</w:t>
      </w:r>
    </w:p>
    <w:p>
      <w:pPr>
        <w:pStyle w:val="Subsection"/>
      </w:pPr>
      <w:r>
        <w:tab/>
        <w:t>(2)</w:t>
      </w:r>
      <w:r>
        <w:tab/>
        <w:t>In any proceedings in relation to the dealings, any assertion by the GTE that an assumption that the person is entitled to make is not correct must be disregarded.</w:t>
      </w:r>
    </w:p>
    <w:p>
      <w:pPr>
        <w:pStyle w:val="Heading5"/>
      </w:pPr>
      <w:bookmarkStart w:id="293" w:name="_Toc182400421"/>
      <w:r>
        <w:rPr>
          <w:rStyle w:val="CharSectno"/>
        </w:rPr>
        <w:t>153</w:t>
      </w:r>
      <w:r>
        <w:t>.</w:t>
      </w:r>
      <w:r>
        <w:tab/>
        <w:t>Third party may make assumptions</w:t>
      </w:r>
      <w:bookmarkEnd w:id="293"/>
    </w:p>
    <w:p>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pPr>
        <w:pStyle w:val="Subsection"/>
      </w:pPr>
      <w:r>
        <w:tab/>
        <w:t>(2)</w:t>
      </w:r>
      <w:r>
        <w:tab/>
        <w:t>In any proceedings in relation to the dealings, any assertion by the GTE or the new owner that an assumption that the third party is entitled to make is not correct must be disregarded.</w:t>
      </w:r>
    </w:p>
    <w:p>
      <w:pPr>
        <w:pStyle w:val="Heading5"/>
      </w:pPr>
      <w:bookmarkStart w:id="294" w:name="_Toc182400422"/>
      <w:r>
        <w:rPr>
          <w:rStyle w:val="CharSectno"/>
        </w:rPr>
        <w:t>154</w:t>
      </w:r>
      <w:r>
        <w:t>.</w:t>
      </w:r>
      <w:r>
        <w:tab/>
        <w:t>Assumptions that may be made</w:t>
      </w:r>
      <w:bookmarkEnd w:id="294"/>
    </w:p>
    <w:p>
      <w:pPr>
        <w:pStyle w:val="Subsection"/>
      </w:pPr>
      <w:r>
        <w:tab/>
      </w:r>
      <w:r>
        <w:tab/>
        <w:t xml:space="preserve">The assumptions that a person is entitled to make are — </w:t>
      </w:r>
    </w:p>
    <w:p>
      <w:pPr>
        <w:pStyle w:val="Indenta"/>
      </w:pPr>
      <w:r>
        <w:tab/>
        <w:t>(a)</w:t>
      </w:r>
      <w:r>
        <w:tab/>
        <w:t>that, at all relevant times, this Act and the GTE’s Establishing Act have been complied with; and</w:t>
      </w:r>
    </w:p>
    <w:p>
      <w:pPr>
        <w:pStyle w:val="Indenta"/>
      </w:pPr>
      <w:r>
        <w:tab/>
        <w:t>(b)</w:t>
      </w:r>
      <w:r>
        <w:tab/>
        <w:t xml:space="preserve">that a person who is held out by the GTE to be a director, the chief executive officer, an executive officer or another member of staff or an agent of a particular kind — </w:t>
      </w:r>
    </w:p>
    <w:p>
      <w:pPr>
        <w:pStyle w:val="Indenti"/>
      </w:pPr>
      <w:r>
        <w:tab/>
        <w:t>(i)</w:t>
      </w:r>
      <w:r>
        <w:tab/>
        <w:t>has been properly appointed; and</w:t>
      </w:r>
    </w:p>
    <w:p>
      <w:pPr>
        <w:pStyle w:val="Indenti"/>
      </w:pPr>
      <w:r>
        <w:tab/>
        <w:t>(ii)</w:t>
      </w:r>
      <w:r>
        <w:tab/>
        <w:t xml:space="preserve">has authority to perform the functions customarily performed by a director, the chief executive officer, an executive officer or another </w:t>
      </w:r>
      <w:r>
        <w:lastRenderedPageBreak/>
        <w:t>member of staff or an agent of that kind (as is relevant);</w:t>
      </w:r>
    </w:p>
    <w:p>
      <w:pPr>
        <w:pStyle w:val="Indenta"/>
      </w:pPr>
      <w:r>
        <w:tab/>
      </w:r>
      <w:r>
        <w:tab/>
        <w:t>and</w:t>
      </w:r>
    </w:p>
    <w:p>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pPr>
        <w:pStyle w:val="Indenta"/>
      </w:pPr>
      <w:r>
        <w:tab/>
        <w:t>(e)</w:t>
      </w:r>
      <w:r>
        <w:tab/>
        <w:t xml:space="preserve">that a document has been properly sealed by the GTE if — </w:t>
      </w:r>
    </w:p>
    <w:p>
      <w:pPr>
        <w:pStyle w:val="Indenti"/>
      </w:pPr>
      <w:r>
        <w:tab/>
        <w:t>(i)</w:t>
      </w:r>
      <w:r>
        <w:tab/>
        <w:t>it bears what appears to be an imprint of the GTE’s common seal; and</w:t>
      </w:r>
    </w:p>
    <w:p>
      <w:pPr>
        <w:pStyle w:val="Indenti"/>
      </w:pPr>
      <w:r>
        <w:tab/>
        <w:t>(ii)</w:t>
      </w:r>
      <w:r>
        <w:tab/>
        <w:t>the sealing of the document appears to comply with section 156;</w:t>
      </w:r>
    </w:p>
    <w:p>
      <w:pPr>
        <w:pStyle w:val="Indenta"/>
      </w:pPr>
      <w:r>
        <w:tab/>
      </w:r>
      <w:r>
        <w:tab/>
        <w:t>and</w:t>
      </w:r>
    </w:p>
    <w:p>
      <w:pPr>
        <w:pStyle w:val="Indenta"/>
      </w:pPr>
      <w:r>
        <w:tab/>
        <w:t>(f)</w:t>
      </w:r>
      <w:r>
        <w:tab/>
        <w:t>that the directors, chief executive officer, members of staff and agents of the GTE have properly performed their duties to the GTE.</w:t>
      </w:r>
    </w:p>
    <w:p>
      <w:pPr>
        <w:pStyle w:val="Heading5"/>
      </w:pPr>
      <w:bookmarkStart w:id="295" w:name="_Toc182400423"/>
      <w:r>
        <w:rPr>
          <w:rStyle w:val="CharSectno"/>
        </w:rPr>
        <w:t>155</w:t>
      </w:r>
      <w:r>
        <w:t>.</w:t>
      </w:r>
      <w:r>
        <w:tab/>
        <w:t>Exception to sections 152 and 153</w:t>
      </w:r>
      <w:bookmarkEnd w:id="295"/>
    </w:p>
    <w:p>
      <w:pPr>
        <w:pStyle w:val="Subsection"/>
      </w:pPr>
      <w:r>
        <w:tab/>
        <w:t>(1)</w:t>
      </w:r>
      <w:r>
        <w:tab/>
        <w:t xml:space="preserve">Despite sections 152 and 153, a person is not entitled to assume a matter mentioned in section 154 if — </w:t>
      </w:r>
    </w:p>
    <w:p>
      <w:pPr>
        <w:pStyle w:val="Indenta"/>
      </w:pPr>
      <w:r>
        <w:tab/>
        <w:t>(a)</w:t>
      </w:r>
      <w:r>
        <w:tab/>
        <w:t>the person has actual knowledge that the assumption is incorrect; or</w:t>
      </w:r>
    </w:p>
    <w:p>
      <w:pPr>
        <w:pStyle w:val="Indenta"/>
      </w:pPr>
      <w:r>
        <w:tab/>
        <w:t>(b)</w:t>
      </w:r>
      <w:r>
        <w:tab/>
        <w:t>because of the person’s connection or relationship with the GTE, the person ought to know that the assumption is incorrect.</w:t>
      </w:r>
    </w:p>
    <w:p>
      <w:pPr>
        <w:pStyle w:val="Subsection"/>
        <w:keepLines/>
      </w:pPr>
      <w:r>
        <w:lastRenderedPageBreak/>
        <w:tab/>
        <w:t>(2)</w:t>
      </w:r>
      <w:r>
        <w:tab/>
        <w:t>If, because of subsection (1), a person is not entitled to make a particular assumption in relation to dealings with a GTE, section 152(2) does not apply to any assertion by the GTE in relation to the assumption.</w:t>
      </w:r>
    </w:p>
    <w:p>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pPr>
        <w:pStyle w:val="Heading3"/>
      </w:pPr>
      <w:bookmarkStart w:id="296" w:name="_Toc182383662"/>
      <w:bookmarkStart w:id="297" w:name="_Toc182384271"/>
      <w:bookmarkStart w:id="298" w:name="_Toc182400424"/>
      <w:r>
        <w:rPr>
          <w:rStyle w:val="CharDivNo"/>
        </w:rPr>
        <w:t>Division 2</w:t>
      </w:r>
      <w:r>
        <w:t> — </w:t>
      </w:r>
      <w:r>
        <w:rPr>
          <w:rStyle w:val="CharDivText"/>
        </w:rPr>
        <w:t>Formalities</w:t>
      </w:r>
      <w:bookmarkEnd w:id="296"/>
      <w:bookmarkEnd w:id="297"/>
      <w:bookmarkEnd w:id="298"/>
    </w:p>
    <w:p>
      <w:pPr>
        <w:pStyle w:val="Heading5"/>
      </w:pPr>
      <w:bookmarkStart w:id="299" w:name="_Toc182400425"/>
      <w:r>
        <w:rPr>
          <w:rStyle w:val="CharSectno"/>
        </w:rPr>
        <w:t>156</w:t>
      </w:r>
      <w:r>
        <w:t>.</w:t>
      </w:r>
      <w:r>
        <w:tab/>
        <w:t>Execution of documents</w:t>
      </w:r>
      <w:bookmarkEnd w:id="299"/>
    </w:p>
    <w:p>
      <w:pPr>
        <w:pStyle w:val="Subsection"/>
      </w:pPr>
      <w:r>
        <w:tab/>
        <w:t>(1)</w:t>
      </w:r>
      <w:r>
        <w:tab/>
        <w:t>A GTE must have a common seal.</w:t>
      </w:r>
    </w:p>
    <w:p>
      <w:pPr>
        <w:pStyle w:val="Subsection"/>
      </w:pPr>
      <w:r>
        <w:tab/>
        <w:t>(2)</w:t>
      </w:r>
      <w:r>
        <w:tab/>
        <w:t xml:space="preserve">A document is duly executed by a GTE if — </w:t>
      </w:r>
    </w:p>
    <w:p>
      <w:pPr>
        <w:pStyle w:val="Indenta"/>
      </w:pPr>
      <w:r>
        <w:tab/>
        <w:t>(a)</w:t>
      </w:r>
      <w:r>
        <w:tab/>
        <w:t xml:space="preserve">the common seal of the GTE is affixed to it in the presence of — </w:t>
      </w:r>
    </w:p>
    <w:p>
      <w:pPr>
        <w:pStyle w:val="Indenti"/>
      </w:pPr>
      <w:r>
        <w:tab/>
        <w:t>(i)</w:t>
      </w:r>
      <w:r>
        <w:tab/>
        <w:t>2 directors; or</w:t>
      </w:r>
    </w:p>
    <w:p>
      <w:pPr>
        <w:pStyle w:val="Indenti"/>
      </w:pPr>
      <w:r>
        <w:tab/>
        <w:t>(ii)</w:t>
      </w:r>
      <w:r>
        <w:tab/>
        <w:t>a director and the chief executive officer;</w:t>
      </w:r>
    </w:p>
    <w:p>
      <w:pPr>
        <w:pStyle w:val="Indenta"/>
      </w:pPr>
      <w:r>
        <w:tab/>
      </w:r>
      <w:r>
        <w:tab/>
        <w:t>or</w:t>
      </w:r>
    </w:p>
    <w:p>
      <w:pPr>
        <w:pStyle w:val="Indenta"/>
      </w:pPr>
      <w:r>
        <w:tab/>
        <w:t>(b)</w:t>
      </w:r>
      <w:r>
        <w:tab/>
        <w:t>it is signed on behalf of the GTE by a person or persons referred to in subsection (4).</w:t>
      </w:r>
    </w:p>
    <w:p>
      <w:pPr>
        <w:pStyle w:val="Subsection"/>
      </w:pPr>
      <w:r>
        <w:tab/>
        <w:t>(3)</w:t>
      </w:r>
      <w:r>
        <w:tab/>
        <w:t>The common seal of a GTE must not be affixed to a document except in accordance with this section.</w:t>
      </w:r>
    </w:p>
    <w:p>
      <w:pPr>
        <w:pStyle w:val="Subsection"/>
      </w:pPr>
      <w:r>
        <w:tab/>
        <w:t>(4)</w:t>
      </w:r>
      <w:r>
        <w:tab/>
        <w:t>A GTE may, by writing under its common seal, authorise a director, the chief executive officer, a member of staff or other agent of the GTE to execute documents on its behalf.</w:t>
      </w:r>
    </w:p>
    <w:p>
      <w:pPr>
        <w:pStyle w:val="Subsection"/>
      </w:pPr>
      <w:r>
        <w:tab/>
        <w:t>(5)</w:t>
      </w:r>
      <w:r>
        <w:tab/>
        <w:t xml:space="preserve">An authority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lastRenderedPageBreak/>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the GTE to continue — </w:t>
      </w:r>
    </w:p>
    <w:p>
      <w:pPr>
        <w:pStyle w:val="Indenti"/>
      </w:pPr>
      <w:r>
        <w:tab/>
        <w:t>(i)</w:t>
      </w:r>
      <w:r>
        <w:tab/>
        <w:t>during any period for which it is conferred; or</w:t>
      </w:r>
    </w:p>
    <w:p>
      <w:pPr>
        <w:pStyle w:val="Indenti"/>
      </w:pPr>
      <w:r>
        <w:tab/>
        <w:t>(ii)</w:t>
      </w:r>
      <w:r>
        <w:tab/>
        <w:t>if subparagraph (i) does not apply, until notice of termination of the authority is given to the person so dealing.</w:t>
      </w:r>
    </w:p>
    <w:p>
      <w:pPr>
        <w:pStyle w:val="Subsection"/>
      </w:pPr>
      <w:r>
        <w:tab/>
        <w:t>(6)</w:t>
      </w:r>
      <w:r>
        <w:tab/>
        <w:t>A document executed by a person under an authority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taken to be duly executed until the contrary is shown.</w:t>
      </w:r>
    </w:p>
    <w:p>
      <w:pPr>
        <w:pStyle w:val="Heading5"/>
      </w:pPr>
      <w:bookmarkStart w:id="300" w:name="_Toc182400426"/>
      <w:r>
        <w:rPr>
          <w:rStyle w:val="CharSectno"/>
        </w:rPr>
        <w:t>157</w:t>
      </w:r>
      <w:r>
        <w:t>.</w:t>
      </w:r>
      <w:r>
        <w:tab/>
        <w:t>Contract formalities</w:t>
      </w:r>
      <w:bookmarkEnd w:id="300"/>
    </w:p>
    <w:p>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pPr>
        <w:pStyle w:val="Subsection"/>
      </w:pPr>
      <w:r>
        <w:tab/>
        <w:t>(2)</w:t>
      </w:r>
      <w:r>
        <w:tab/>
        <w:t>The making, variation or discharge of a contract in accordance with subsection (1) is effectual in law and binds the GTE concerned and other parties to the contract.</w:t>
      </w:r>
    </w:p>
    <w:p>
      <w:pPr>
        <w:pStyle w:val="Subsection"/>
      </w:pPr>
      <w:r>
        <w:tab/>
        <w:t>(3)</w:t>
      </w:r>
      <w:r>
        <w:tab/>
        <w:t>Subsection (1) does not prevent a GTE from making, varying or discharging a contract under its common seal.</w:t>
      </w:r>
    </w:p>
    <w:p>
      <w:pPr>
        <w:pStyle w:val="Heading2"/>
      </w:pPr>
      <w:bookmarkStart w:id="301" w:name="_Toc182383665"/>
      <w:bookmarkStart w:id="302" w:name="_Toc182384274"/>
      <w:bookmarkStart w:id="303" w:name="_Toc182400427"/>
      <w:r>
        <w:rPr>
          <w:rStyle w:val="CharPartNo"/>
        </w:rPr>
        <w:lastRenderedPageBreak/>
        <w:t>Part 10</w:t>
      </w:r>
      <w:r>
        <w:rPr>
          <w:rStyle w:val="CharDivNo"/>
        </w:rPr>
        <w:t> </w:t>
      </w:r>
      <w:r>
        <w:t>—</w:t>
      </w:r>
      <w:r>
        <w:rPr>
          <w:rStyle w:val="CharDivText"/>
        </w:rPr>
        <w:t> </w:t>
      </w:r>
      <w:r>
        <w:rPr>
          <w:rStyle w:val="CharPartText"/>
        </w:rPr>
        <w:t>Miscellaneous</w:t>
      </w:r>
      <w:bookmarkEnd w:id="301"/>
      <w:bookmarkEnd w:id="302"/>
      <w:bookmarkEnd w:id="303"/>
    </w:p>
    <w:p>
      <w:pPr>
        <w:pStyle w:val="Heading5"/>
      </w:pPr>
      <w:bookmarkStart w:id="304" w:name="_Toc182400428"/>
      <w:r>
        <w:rPr>
          <w:rStyle w:val="CharSectno"/>
        </w:rPr>
        <w:t>158</w:t>
      </w:r>
      <w:r>
        <w:t>.</w:t>
      </w:r>
      <w:r>
        <w:tab/>
        <w:t>Making certain things publicly available</w:t>
      </w:r>
      <w:bookmarkEnd w:id="304"/>
    </w:p>
    <w:p>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pPr>
        <w:pStyle w:val="Heading5"/>
      </w:pPr>
      <w:bookmarkStart w:id="305" w:name="_Toc182400429"/>
      <w:r>
        <w:rPr>
          <w:rStyle w:val="CharSectno"/>
        </w:rPr>
        <w:t>159</w:t>
      </w:r>
      <w:r>
        <w:t>.</w:t>
      </w:r>
      <w:r>
        <w:tab/>
        <w:t>Laying documents before Parliament not sitting</w:t>
      </w:r>
      <w:bookmarkEnd w:id="305"/>
    </w:p>
    <w:p>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306" w:name="_Toc182400430"/>
      <w:r>
        <w:rPr>
          <w:rStyle w:val="CharSectno"/>
        </w:rPr>
        <w:t>160</w:t>
      </w:r>
      <w:r>
        <w:t>.</w:t>
      </w:r>
      <w:r>
        <w:tab/>
        <w:t>Regulations</w:t>
      </w:r>
      <w:bookmarkEnd w:id="306"/>
    </w:p>
    <w:p>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for the purposes of section 149 may only be made on the recommendation of the Treasurer.</w:t>
      </w:r>
    </w:p>
    <w:p>
      <w:pPr>
        <w:pStyle w:val="Heading2"/>
      </w:pPr>
      <w:bookmarkStart w:id="307" w:name="_Toc182383669"/>
      <w:bookmarkStart w:id="308" w:name="_Toc182384278"/>
      <w:bookmarkStart w:id="309" w:name="_Toc182400431"/>
      <w:r>
        <w:rPr>
          <w:rStyle w:val="CharPartNo"/>
        </w:rPr>
        <w:lastRenderedPageBreak/>
        <w:t>Part 11</w:t>
      </w:r>
      <w:r>
        <w:t> — </w:t>
      </w:r>
      <w:r>
        <w:rPr>
          <w:rStyle w:val="CharPartText"/>
        </w:rPr>
        <w:t>Transitional provisions</w:t>
      </w:r>
      <w:bookmarkEnd w:id="307"/>
      <w:bookmarkEnd w:id="308"/>
      <w:bookmarkEnd w:id="309"/>
    </w:p>
    <w:p>
      <w:pPr>
        <w:pStyle w:val="Heading3"/>
      </w:pPr>
      <w:bookmarkStart w:id="310" w:name="_Toc182383670"/>
      <w:bookmarkStart w:id="311" w:name="_Toc182384279"/>
      <w:bookmarkStart w:id="312" w:name="_Toc182400432"/>
      <w:r>
        <w:rPr>
          <w:rStyle w:val="CharDivNo"/>
        </w:rPr>
        <w:t>Division 1</w:t>
      </w:r>
      <w:r>
        <w:t> — </w:t>
      </w:r>
      <w:r>
        <w:rPr>
          <w:rStyle w:val="CharDivText"/>
        </w:rPr>
        <w:t>Preliminary</w:t>
      </w:r>
      <w:bookmarkEnd w:id="310"/>
      <w:bookmarkEnd w:id="311"/>
      <w:bookmarkEnd w:id="312"/>
    </w:p>
    <w:p>
      <w:pPr>
        <w:pStyle w:val="Heading5"/>
      </w:pPr>
      <w:bookmarkStart w:id="313" w:name="_Toc182400433"/>
      <w:r>
        <w:rPr>
          <w:rStyle w:val="CharSectno"/>
        </w:rPr>
        <w:t>161</w:t>
      </w:r>
      <w:r>
        <w:t>.</w:t>
      </w:r>
      <w:r>
        <w:tab/>
        <w:t>Terms used</w:t>
      </w:r>
      <w:bookmarkEnd w:id="313"/>
    </w:p>
    <w:p>
      <w:pPr>
        <w:pStyle w:val="Subsection"/>
      </w:pPr>
      <w:r>
        <w:tab/>
      </w:r>
      <w:r>
        <w:tab/>
        <w:t xml:space="preserve">In this Part — </w:t>
      </w:r>
    </w:p>
    <w:p>
      <w:pPr>
        <w:pStyle w:val="Defstart"/>
      </w:pPr>
      <w:r>
        <w:tab/>
      </w:r>
      <w:r>
        <w:rPr>
          <w:rStyle w:val="CharDefText"/>
        </w:rPr>
        <w:t>commencement day</w:t>
      </w:r>
      <w:r>
        <w:t xml:space="preserve"> means the day on which section 7 comes into operation;</w:t>
      </w:r>
    </w:p>
    <w:p>
      <w:pPr>
        <w:pStyle w:val="Defstart"/>
      </w:pPr>
      <w:r>
        <w:tab/>
      </w:r>
      <w:r>
        <w:rPr>
          <w:rStyle w:val="CharDefText"/>
        </w:rPr>
        <w:t>new provision</w:t>
      </w:r>
      <w:r>
        <w:t xml:space="preserve"> means a provision of this Act;</w:t>
      </w:r>
    </w:p>
    <w:p>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pPr>
        <w:pStyle w:val="Heading5"/>
      </w:pPr>
      <w:bookmarkStart w:id="314" w:name="_Toc182400434"/>
      <w:r>
        <w:rPr>
          <w:rStyle w:val="CharSectno"/>
        </w:rPr>
        <w:t>162</w:t>
      </w:r>
      <w:r>
        <w:t>.</w:t>
      </w:r>
      <w:r>
        <w:tab/>
        <w:t>New provisions that correspond to old provisions</w:t>
      </w:r>
      <w:bookmarkEnd w:id="314"/>
    </w:p>
    <w:p>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pPr>
        <w:pStyle w:val="Heading3"/>
        <w:rPr>
          <w:rStyle w:val="CharDivText"/>
          <w:i/>
        </w:rPr>
      </w:pPr>
      <w:bookmarkStart w:id="315" w:name="_Toc182383673"/>
      <w:bookmarkStart w:id="316" w:name="_Toc182384282"/>
      <w:bookmarkStart w:id="317" w:name="_Toc182400435"/>
      <w:r>
        <w:rPr>
          <w:rStyle w:val="CharDivNo"/>
        </w:rPr>
        <w:t>Division 2</w:t>
      </w:r>
      <w:r>
        <w:t> — </w:t>
      </w:r>
      <w:r>
        <w:rPr>
          <w:rStyle w:val="CharDivText"/>
        </w:rPr>
        <w:t xml:space="preserve">Application of </w:t>
      </w:r>
      <w:r>
        <w:rPr>
          <w:rStyle w:val="CharDivText"/>
          <w:i/>
        </w:rPr>
        <w:t>Interpretation Act 1984</w:t>
      </w:r>
      <w:bookmarkEnd w:id="315"/>
      <w:bookmarkEnd w:id="316"/>
      <w:bookmarkEnd w:id="317"/>
    </w:p>
    <w:p>
      <w:pPr>
        <w:pStyle w:val="Heading5"/>
      </w:pPr>
      <w:bookmarkStart w:id="318" w:name="_Toc182400436"/>
      <w:r>
        <w:rPr>
          <w:rStyle w:val="CharSectno"/>
        </w:rPr>
        <w:t>163</w:t>
      </w:r>
      <w:r>
        <w:t>.</w:t>
      </w:r>
      <w:r>
        <w:tab/>
        <w:t xml:space="preserve">Application of </w:t>
      </w:r>
      <w:r>
        <w:rPr>
          <w:i/>
        </w:rPr>
        <w:t>Interpretation Act 1984</w:t>
      </w:r>
      <w:bookmarkEnd w:id="318"/>
    </w:p>
    <w:p>
      <w:pPr>
        <w:pStyle w:val="Subsection"/>
      </w:pPr>
      <w:r>
        <w:tab/>
        <w:t>(1)</w:t>
      </w:r>
      <w:r>
        <w:tab/>
        <w:t xml:space="preserve">This Part does not limit the operation of the </w:t>
      </w:r>
      <w:r>
        <w:rPr>
          <w:i/>
        </w:rPr>
        <w:t>Interpretation Act 1984</w:t>
      </w:r>
      <w:r>
        <w:t xml:space="preserve"> except to the extent provided for by this section.</w:t>
      </w:r>
    </w:p>
    <w:p>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pPr>
        <w:pStyle w:val="Heading3"/>
      </w:pPr>
      <w:bookmarkStart w:id="319" w:name="_Toc182383675"/>
      <w:bookmarkStart w:id="320" w:name="_Toc182384284"/>
      <w:bookmarkStart w:id="321" w:name="_Toc182400437"/>
      <w:r>
        <w:rPr>
          <w:rStyle w:val="CharDivNo"/>
        </w:rPr>
        <w:t>Division 3</w:t>
      </w:r>
      <w:r>
        <w:t> — </w:t>
      </w:r>
      <w:r>
        <w:rPr>
          <w:rStyle w:val="CharDivText"/>
        </w:rPr>
        <w:t>General transitional provisions</w:t>
      </w:r>
      <w:bookmarkEnd w:id="319"/>
      <w:bookmarkEnd w:id="320"/>
      <w:bookmarkEnd w:id="321"/>
    </w:p>
    <w:p>
      <w:pPr>
        <w:pStyle w:val="Heading5"/>
      </w:pPr>
      <w:bookmarkStart w:id="322" w:name="_Toc182400438"/>
      <w:r>
        <w:rPr>
          <w:rStyle w:val="CharSectno"/>
        </w:rPr>
        <w:t>164</w:t>
      </w:r>
      <w:r>
        <w:t>.</w:t>
      </w:r>
      <w:r>
        <w:tab/>
        <w:t>Completion of things commenced before commencement day</w:t>
      </w:r>
      <w:bookmarkEnd w:id="322"/>
    </w:p>
    <w:p>
      <w:pPr>
        <w:pStyle w:val="Subsection"/>
      </w:pPr>
      <w:r>
        <w:tab/>
      </w:r>
      <w:r>
        <w:tab/>
        <w:t xml:space="preserve">Anything commenced by a person under or for the purposes of an old provision before commencement day may, if there is a </w:t>
      </w:r>
      <w:r>
        <w:lastRenderedPageBreak/>
        <w:t>new provision that corresponds to the old provision in relation to that thing, be continued by the person on and after commencement day under the new provision.</w:t>
      </w:r>
    </w:p>
    <w:p>
      <w:pPr>
        <w:pStyle w:val="Heading5"/>
      </w:pPr>
      <w:bookmarkStart w:id="323" w:name="_Toc182400439"/>
      <w:r>
        <w:rPr>
          <w:rStyle w:val="CharSectno"/>
        </w:rPr>
        <w:t>165</w:t>
      </w:r>
      <w:r>
        <w:t>.</w:t>
      </w:r>
      <w:r>
        <w:tab/>
        <w:t>Continuing effect of things done before commencement day</w:t>
      </w:r>
      <w:bookmarkEnd w:id="323"/>
    </w:p>
    <w:p>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pPr>
        <w:pStyle w:val="Heading5"/>
      </w:pPr>
      <w:bookmarkStart w:id="324" w:name="_Toc182400440"/>
      <w:r>
        <w:rPr>
          <w:rStyle w:val="CharSectno"/>
        </w:rPr>
        <w:t>166</w:t>
      </w:r>
      <w:r>
        <w:t>.</w:t>
      </w:r>
      <w:r>
        <w:tab/>
        <w:t>Relationship of this Division to other transitional provisions</w:t>
      </w:r>
      <w:bookmarkEnd w:id="324"/>
    </w:p>
    <w:p>
      <w:pPr>
        <w:pStyle w:val="Subsection"/>
      </w:pPr>
      <w:r>
        <w:tab/>
      </w:r>
      <w:r>
        <w:tab/>
        <w:t>The provisions of Division 4 and of regulations made for the purposes of this Part prevail over the provisions of this Division to the extent of any inconsistency.</w:t>
      </w:r>
    </w:p>
    <w:p>
      <w:pPr>
        <w:pStyle w:val="Heading3"/>
      </w:pPr>
      <w:bookmarkStart w:id="325" w:name="_Toc182383679"/>
      <w:bookmarkStart w:id="326" w:name="_Toc182384288"/>
      <w:bookmarkStart w:id="327" w:name="_Toc182400441"/>
      <w:r>
        <w:rPr>
          <w:rStyle w:val="CharDivNo"/>
        </w:rPr>
        <w:t>Division 4</w:t>
      </w:r>
      <w:r>
        <w:t> — </w:t>
      </w:r>
      <w:r>
        <w:rPr>
          <w:rStyle w:val="CharDivText"/>
        </w:rPr>
        <w:t>Specific transitional provisions</w:t>
      </w:r>
      <w:bookmarkEnd w:id="325"/>
      <w:bookmarkEnd w:id="326"/>
      <w:bookmarkEnd w:id="327"/>
    </w:p>
    <w:p>
      <w:pPr>
        <w:pStyle w:val="Heading5"/>
      </w:pPr>
      <w:bookmarkStart w:id="328" w:name="_Toc182400442"/>
      <w:r>
        <w:rPr>
          <w:rStyle w:val="CharSectno"/>
        </w:rPr>
        <w:t>167</w:t>
      </w:r>
      <w:r>
        <w:t>.</w:t>
      </w:r>
      <w:r>
        <w:tab/>
        <w:t>Boards of directors</w:t>
      </w:r>
      <w:bookmarkEnd w:id="328"/>
    </w:p>
    <w:p>
      <w:pPr>
        <w:pStyle w:val="Subsection"/>
      </w:pPr>
      <w:r>
        <w:tab/>
        <w:t>(1)</w:t>
      </w:r>
      <w:r>
        <w:tab/>
        <w:t>A person who was a member of a GTE’s governing body immediately before commencement day becomes, on commencement day, a member of the GTE’s board.</w:t>
      </w:r>
    </w:p>
    <w:p>
      <w:pPr>
        <w:pStyle w:val="Subsection"/>
        <w:keepNext/>
      </w:pPr>
      <w:r>
        <w:tab/>
        <w:t>(2)</w:t>
      </w:r>
      <w:r>
        <w:tab/>
        <w:t xml:space="preserve">The person holds office, under section 12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lastRenderedPageBreak/>
        <w:tab/>
        <w:t>(3)</w:t>
      </w:r>
      <w:r>
        <w:tab/>
        <w:t>Subsection </w:t>
      </w:r>
      <w:r>
        <w:rPr>
          <w:szCs w:val="24"/>
        </w:rPr>
        <w:t>(2)</w:t>
      </w:r>
      <w:r>
        <w:t xml:space="preserve"> does not prevent — </w:t>
      </w:r>
    </w:p>
    <w:p>
      <w:pPr>
        <w:pStyle w:val="Indenta"/>
      </w:pPr>
      <w:r>
        <w:tab/>
        <w:t>(a)</w:t>
      </w:r>
      <w:r>
        <w:tab/>
        <w:t>the person from resigning from or being removed from office, or their office becoming vacant, under section 21; or</w:t>
      </w:r>
    </w:p>
    <w:p>
      <w:pPr>
        <w:pStyle w:val="Indenta"/>
      </w:pPr>
      <w:r>
        <w:tab/>
        <w:t>(b)</w:t>
      </w:r>
      <w:r>
        <w:tab/>
        <w:t>the remuneration of the person being determined in accordance with sections 18 and 19.</w:t>
      </w:r>
    </w:p>
    <w:p>
      <w:pPr>
        <w:pStyle w:val="Heading5"/>
      </w:pPr>
      <w:bookmarkStart w:id="329" w:name="_Toc182400443"/>
      <w:r>
        <w:rPr>
          <w:rStyle w:val="CharSectno"/>
        </w:rPr>
        <w:t>168</w:t>
      </w:r>
      <w:r>
        <w:t>.</w:t>
      </w:r>
      <w:r>
        <w:tab/>
        <w:t>Chief executive officers</w:t>
      </w:r>
      <w:bookmarkEnd w:id="329"/>
    </w:p>
    <w:p>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pPr>
        <w:pStyle w:val="PermNoteHeading"/>
      </w:pPr>
      <w:r>
        <w:tab/>
        <w:t>Note for this subsection:</w:t>
      </w:r>
    </w:p>
    <w:p>
      <w:pPr>
        <w:pStyle w:val="PermNoteText"/>
      </w:pPr>
      <w:r>
        <w:tab/>
      </w:r>
      <w:r>
        <w:tab/>
        <w:t>The person may have held office in an acting capacity.</w:t>
      </w:r>
    </w:p>
    <w:p>
      <w:pPr>
        <w:pStyle w:val="Subsection"/>
      </w:pPr>
      <w:r>
        <w:tab/>
        <w:t>(2)</w:t>
      </w:r>
      <w:r>
        <w:tab/>
        <w:t xml:space="preserve">The person holds office, under section 37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 xml:space="preserve">Subsection (2) does not prevent — </w:t>
      </w:r>
    </w:p>
    <w:p>
      <w:pPr>
        <w:pStyle w:val="Indenta"/>
      </w:pPr>
      <w:r>
        <w:tab/>
        <w:t>(a)</w:t>
      </w:r>
      <w:r>
        <w:tab/>
        <w:t>the person from resigning from office under section 40 or being removed from office under their terms and conditions of appointment; or</w:t>
      </w:r>
    </w:p>
    <w:p>
      <w:pPr>
        <w:pStyle w:val="Indenta"/>
      </w:pPr>
      <w:r>
        <w:tab/>
        <w:t>(b)</w:t>
      </w:r>
      <w:r>
        <w:tab/>
        <w:t>the remuneration of the person being dealt with in accordance with section 39.</w:t>
      </w:r>
    </w:p>
    <w:p>
      <w:pPr>
        <w:pStyle w:val="Heading5"/>
      </w:pPr>
      <w:bookmarkStart w:id="330" w:name="_Toc182400444"/>
      <w:r>
        <w:rPr>
          <w:rStyle w:val="CharSectno"/>
        </w:rPr>
        <w:t>169</w:t>
      </w:r>
      <w:r>
        <w:t>.</w:t>
      </w:r>
      <w:r>
        <w:tab/>
        <w:t>Designation of executive officers</w:t>
      </w:r>
      <w:bookmarkEnd w:id="330"/>
    </w:p>
    <w:p>
      <w:pPr>
        <w:pStyle w:val="Subsection"/>
      </w:pPr>
      <w:r>
        <w:tab/>
        <w:t>(1)</w:t>
      </w:r>
      <w:r>
        <w:tab/>
        <w:t xml:space="preserve">In this section — </w:t>
      </w:r>
    </w:p>
    <w:p>
      <w:pPr>
        <w:pStyle w:val="Defstart"/>
      </w:pPr>
      <w:r>
        <w:tab/>
      </w:r>
      <w:r>
        <w:rPr>
          <w:rStyle w:val="CharDefText"/>
        </w:rPr>
        <w:t>designation</w:t>
      </w:r>
      <w:r>
        <w:t xml:space="preserve"> means a designation of a person as an executive officer under 1 of the following — </w:t>
      </w:r>
    </w:p>
    <w:p>
      <w:pPr>
        <w:pStyle w:val="Defpara"/>
      </w:pPr>
      <w:r>
        <w:tab/>
        <w:t>(a)</w:t>
      </w:r>
      <w:r>
        <w:tab/>
        <w:t xml:space="preserve">the </w:t>
      </w:r>
      <w:r>
        <w:rPr>
          <w:i/>
        </w:rPr>
        <w:t>Electricity Corporations Act 2005</w:t>
      </w:r>
      <w:r>
        <w:t xml:space="preserve"> section 20;</w:t>
      </w:r>
    </w:p>
    <w:p>
      <w:pPr>
        <w:pStyle w:val="Defpara"/>
      </w:pPr>
      <w:r>
        <w:tab/>
        <w:t>(b)</w:t>
      </w:r>
      <w:r>
        <w:tab/>
        <w:t xml:space="preserve">the </w:t>
      </w:r>
      <w:r>
        <w:rPr>
          <w:i/>
        </w:rPr>
        <w:t>Port Authorities Act 1999</w:t>
      </w:r>
      <w:r>
        <w:t xml:space="preserve"> section 20(2);</w:t>
      </w:r>
    </w:p>
    <w:p>
      <w:pPr>
        <w:pStyle w:val="Defpara"/>
      </w:pPr>
      <w:r>
        <w:lastRenderedPageBreak/>
        <w:tab/>
        <w:t>(c)</w:t>
      </w:r>
      <w:r>
        <w:tab/>
        <w:t xml:space="preserve">the </w:t>
      </w:r>
      <w:r>
        <w:rPr>
          <w:i/>
        </w:rPr>
        <w:t>Water Corporations Act 1995</w:t>
      </w:r>
      <w:r>
        <w:t xml:space="preserve"> section 18;</w:t>
      </w:r>
    </w:p>
    <w:p>
      <w:pPr>
        <w:pStyle w:val="Defpara"/>
      </w:pPr>
      <w:r>
        <w:tab/>
        <w:t>(d)</w:t>
      </w:r>
      <w:r>
        <w:tab/>
        <w:t xml:space="preserve">the </w:t>
      </w:r>
      <w:r>
        <w:rPr>
          <w:i/>
        </w:rPr>
        <w:t>Western Australian Land Authority Act 1992</w:t>
      </w:r>
      <w:r>
        <w:t xml:space="preserve"> section 14A(2);</w:t>
      </w:r>
    </w:p>
    <w:p>
      <w:pPr>
        <w:pStyle w:val="Subsection"/>
      </w:pPr>
      <w:r>
        <w:tab/>
        <w:t>(2)</w:t>
      </w:r>
      <w:r>
        <w:tab/>
        <w:t>A designation in effect immediately before commencement day becomes, on commencement day, a designation under section 43 of this Act.</w:t>
      </w:r>
    </w:p>
    <w:p>
      <w:pPr>
        <w:pStyle w:val="Heading5"/>
      </w:pPr>
      <w:bookmarkStart w:id="331" w:name="_Toc182400445"/>
      <w:r>
        <w:rPr>
          <w:rStyle w:val="CharSectno"/>
        </w:rPr>
        <w:t>170</w:t>
      </w:r>
      <w:r>
        <w:t>.</w:t>
      </w:r>
      <w:r>
        <w:tab/>
        <w:t>Indemnities, exemptions and insurance for certain liabilities of directors and others</w:t>
      </w:r>
      <w:bookmarkEnd w:id="331"/>
    </w:p>
    <w:p>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pPr>
        <w:pStyle w:val="Indenta"/>
      </w:pPr>
      <w:r>
        <w:tab/>
        <w:t>(a)</w:t>
      </w:r>
      <w:r>
        <w:tab/>
        <w:t>an agreement to exempt a person from or indemnify a person against a liability;</w:t>
      </w:r>
    </w:p>
    <w:p>
      <w:pPr>
        <w:pStyle w:val="Indenta"/>
      </w:pPr>
      <w:r>
        <w:tab/>
        <w:t>(b)</w:t>
      </w:r>
      <w:r>
        <w:tab/>
        <w:t>an agreement to pay a premium for a contract of insurance against a liability;</w:t>
      </w:r>
    </w:p>
    <w:p>
      <w:pPr>
        <w:pStyle w:val="Indenta"/>
      </w:pPr>
      <w:r>
        <w:tab/>
        <w:t>(c)</w:t>
      </w:r>
      <w:r>
        <w:tab/>
        <w:t>a contract of insurance against a liability.</w:t>
      </w:r>
    </w:p>
    <w:p>
      <w:pPr>
        <w:pStyle w:val="Subsection"/>
        <w:keepNext/>
      </w:pPr>
      <w:r>
        <w:tab/>
        <w:t>(2)</w:t>
      </w:r>
      <w:r>
        <w:tab/>
        <w:t>The agreement or contract is not void to the extent that the agreement or contract was not prohibited by the Establishing Act under or in relation to which it was entered into.</w:t>
      </w:r>
    </w:p>
    <w:p>
      <w:pPr>
        <w:pStyle w:val="PermNoteHeading"/>
      </w:pPr>
      <w:r>
        <w:tab/>
        <w:t>Note for this section:</w:t>
      </w:r>
    </w:p>
    <w:p>
      <w:pPr>
        <w:pStyle w:val="PermNoteText"/>
      </w:pPr>
      <w:r>
        <w:tab/>
      </w:r>
      <w:r>
        <w:tab/>
        <w:t>This section has effect in relation to liabilities of directors, chief executive officers and, in some cases, auditors of GTEs.</w:t>
      </w:r>
    </w:p>
    <w:p>
      <w:pPr>
        <w:pStyle w:val="Heading5"/>
      </w:pPr>
      <w:r>
        <w:rPr>
          <w:rStyle w:val="CharSectno"/>
        </w:rPr>
        <w:t> </w:t>
      </w:r>
      <w:bookmarkStart w:id="332" w:name="_Toc182400446"/>
      <w:r>
        <w:rPr>
          <w:rStyle w:val="CharSectno"/>
        </w:rPr>
        <w:t>171</w:t>
      </w:r>
      <w:r>
        <w:t>.</w:t>
      </w:r>
      <w:r>
        <w:tab/>
        <w:t>Statement of expectations</w:t>
      </w:r>
      <w:bookmarkEnd w:id="332"/>
    </w:p>
    <w:p>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pPr>
        <w:pStyle w:val="Subsection"/>
      </w:pPr>
      <w:r>
        <w:tab/>
        <w:t>(2)</w:t>
      </w:r>
      <w:r>
        <w:tab/>
        <w:t xml:space="preserve">A GTE’s strategic development plan in effect under its Establishing Act immediately before commencement day has effect, to the extent practicable, as the GTE’s statement of expectations for the first statement period until the day on which </w:t>
      </w:r>
      <w:r>
        <w:lastRenderedPageBreak/>
        <w:t>a statement of expectations is adopted for the first statement period under section 72.</w:t>
      </w:r>
    </w:p>
    <w:p>
      <w:pPr>
        <w:pStyle w:val="Heading5"/>
      </w:pPr>
      <w:r>
        <w:rPr>
          <w:rStyle w:val="CharSectno"/>
        </w:rPr>
        <w:t> </w:t>
      </w:r>
      <w:bookmarkStart w:id="333" w:name="_Toc182400447"/>
      <w:r>
        <w:rPr>
          <w:rStyle w:val="CharSectno"/>
        </w:rPr>
        <w:t>172</w:t>
      </w:r>
      <w:r>
        <w:t>.</w:t>
      </w:r>
      <w:r>
        <w:tab/>
        <w:t>Annual performance statement</w:t>
      </w:r>
      <w:bookmarkEnd w:id="333"/>
    </w:p>
    <w:p>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pPr>
        <w:pStyle w:val="Heading5"/>
      </w:pPr>
      <w:bookmarkStart w:id="334" w:name="_Toc182400448"/>
      <w:r>
        <w:rPr>
          <w:rStyle w:val="CharSectno"/>
        </w:rPr>
        <w:t>173</w:t>
      </w:r>
      <w:r>
        <w:t>.</w:t>
      </w:r>
      <w:r>
        <w:tab/>
        <w:t>Bank and other accounts</w:t>
      </w:r>
      <w:bookmarkEnd w:id="334"/>
    </w:p>
    <w:p>
      <w:pPr>
        <w:pStyle w:val="Subsection"/>
      </w:pPr>
      <w:r>
        <w:tab/>
        <w:t>(1)</w:t>
      </w:r>
      <w:r>
        <w:tab/>
        <w:t xml:space="preserve">In this section — </w:t>
      </w:r>
    </w:p>
    <w:p>
      <w:pPr>
        <w:pStyle w:val="Defstart"/>
      </w:pPr>
      <w:r>
        <w:tab/>
      </w:r>
      <w:r>
        <w:rPr>
          <w:rStyle w:val="CharDefText"/>
        </w:rPr>
        <w:t>established account</w:t>
      </w:r>
      <w:r>
        <w:t xml:space="preserve"> means an account referred to in section 128(1) that a GTE maintains on commencement day;</w:t>
      </w:r>
    </w:p>
    <w:p>
      <w:pPr>
        <w:pStyle w:val="Defstart"/>
      </w:pPr>
      <w:r>
        <w:tab/>
      </w:r>
      <w:r>
        <w:rPr>
          <w:rStyle w:val="CharDefText"/>
        </w:rPr>
        <w:t>primary account</w:t>
      </w:r>
      <w:r>
        <w:t xml:space="preserve"> means the account required by section 127(1).</w:t>
      </w:r>
    </w:p>
    <w:p>
      <w:pPr>
        <w:pStyle w:val="Subsection"/>
      </w:pPr>
      <w:r>
        <w:tab/>
        <w:t>(2)</w:t>
      </w:r>
      <w:r>
        <w:tab/>
        <w:t>The Treasurer is taken to have approved an established account under section 128(1) and section 128(2) applies to that approval.</w:t>
      </w:r>
    </w:p>
    <w:p>
      <w:pPr>
        <w:pStyle w:val="Subsection"/>
      </w:pPr>
      <w:r>
        <w:tab/>
        <w:t>(3)</w:t>
      </w:r>
      <w:r>
        <w:tab/>
        <w:t xml:space="preserve">If on commencement day a GTE does not have a primary account — </w:t>
      </w:r>
    </w:p>
    <w:p>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pPr>
        <w:pStyle w:val="Indenta"/>
      </w:pPr>
      <w:r>
        <w:tab/>
        <w:t>(b)</w:t>
      </w:r>
      <w:r>
        <w:tab/>
        <w:t xml:space="preserve">as soon as reasonably practicable after commencement day, the GTE must — </w:t>
      </w:r>
    </w:p>
    <w:p>
      <w:pPr>
        <w:pStyle w:val="Indenti"/>
      </w:pPr>
      <w:r>
        <w:tab/>
        <w:t>(i)</w:t>
      </w:r>
      <w:r>
        <w:tab/>
        <w:t>establish a primary account; and</w:t>
      </w:r>
    </w:p>
    <w:p>
      <w:pPr>
        <w:pStyle w:val="Indenti"/>
      </w:pPr>
      <w:r>
        <w:tab/>
        <w:t>(ii)</w:t>
      </w:r>
      <w:r>
        <w:tab/>
        <w:t>cause all moneys employed by it for the purposes of its operations and credited to the interim operating account to be credited to the primary account.</w:t>
      </w:r>
    </w:p>
    <w:p>
      <w:pPr>
        <w:pStyle w:val="Subsection"/>
      </w:pPr>
      <w:r>
        <w:tab/>
        <w:t>(4)</w:t>
      </w:r>
      <w:r>
        <w:tab/>
        <w:t>Section 129(2) does not apply to a transfer made for the purposes of subsection (3)(b)(ii).</w:t>
      </w:r>
    </w:p>
    <w:p>
      <w:pPr>
        <w:pStyle w:val="Heading5"/>
      </w:pPr>
      <w:bookmarkStart w:id="335" w:name="_Toc182400449"/>
      <w:r>
        <w:rPr>
          <w:rStyle w:val="CharSectno"/>
        </w:rPr>
        <w:lastRenderedPageBreak/>
        <w:t>174</w:t>
      </w:r>
      <w:r>
        <w:t>.</w:t>
      </w:r>
      <w:r>
        <w:tab/>
        <w:t>Hedging transactions</w:t>
      </w:r>
      <w:bookmarkEnd w:id="335"/>
    </w:p>
    <w:p>
      <w:pPr>
        <w:pStyle w:val="Subsection"/>
      </w:pPr>
      <w:r>
        <w:tab/>
        <w:t>(1)</w:t>
      </w:r>
      <w:r>
        <w:tab/>
        <w:t xml:space="preserve">In this section — </w:t>
      </w:r>
    </w:p>
    <w:p>
      <w:pPr>
        <w:pStyle w:val="Defstart"/>
      </w:pPr>
      <w:r>
        <w:tab/>
      </w:r>
      <w:r>
        <w:rPr>
          <w:rStyle w:val="CharDefText"/>
        </w:rPr>
        <w:t>former hedging provisions</w:t>
      </w:r>
      <w:r>
        <w:t xml:space="preserve"> means — </w:t>
      </w:r>
    </w:p>
    <w:p>
      <w:pPr>
        <w:pStyle w:val="Defpara"/>
      </w:pPr>
      <w:r>
        <w:tab/>
        <w:t>(a)</w:t>
      </w:r>
      <w:r>
        <w:tab/>
        <w:t xml:space="preserve">the </w:t>
      </w:r>
      <w:r>
        <w:rPr>
          <w:i/>
        </w:rPr>
        <w:t>Electricity Corporations Act 2005</w:t>
      </w:r>
      <w:r>
        <w:t xml:space="preserve"> section 129; and</w:t>
      </w:r>
    </w:p>
    <w:p>
      <w:pPr>
        <w:pStyle w:val="Defpara"/>
      </w:pPr>
      <w:r>
        <w:tab/>
        <w:t>(b)</w:t>
      </w:r>
      <w:r>
        <w:tab/>
        <w:t xml:space="preserve">the </w:t>
      </w:r>
      <w:r>
        <w:rPr>
          <w:i/>
        </w:rPr>
        <w:t>Port Authorities Act 1999</w:t>
      </w:r>
      <w:r>
        <w:t xml:space="preserve"> section 87; and</w:t>
      </w:r>
    </w:p>
    <w:p>
      <w:pPr>
        <w:pStyle w:val="Defpara"/>
      </w:pPr>
      <w:r>
        <w:tab/>
        <w:t>(c)</w:t>
      </w:r>
      <w:r>
        <w:tab/>
        <w:t xml:space="preserve">the </w:t>
      </w:r>
      <w:r>
        <w:rPr>
          <w:i/>
        </w:rPr>
        <w:t>Water Corporations Act 1995</w:t>
      </w:r>
      <w:r>
        <w:t xml:space="preserve"> section 82; and</w:t>
      </w:r>
    </w:p>
    <w:p>
      <w:pPr>
        <w:pStyle w:val="Defpara"/>
      </w:pPr>
      <w:r>
        <w:tab/>
        <w:t>(d)</w:t>
      </w:r>
      <w:r>
        <w:tab/>
        <w:t xml:space="preserve">the </w:t>
      </w:r>
      <w:r>
        <w:rPr>
          <w:i/>
        </w:rPr>
        <w:t>Western Australian Land Authority Act 1992</w:t>
      </w:r>
      <w:r>
        <w:t xml:space="preserve"> section 35A.</w:t>
      </w:r>
    </w:p>
    <w:p>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pPr>
        <w:pStyle w:val="Heading5"/>
      </w:pPr>
      <w:bookmarkStart w:id="336" w:name="_Toc182400450"/>
      <w:r>
        <w:rPr>
          <w:rStyle w:val="CharSectno"/>
        </w:rPr>
        <w:t>175</w:t>
      </w:r>
      <w:r>
        <w:t>.</w:t>
      </w:r>
      <w:r>
        <w:tab/>
        <w:t>Dividends</w:t>
      </w:r>
      <w:bookmarkEnd w:id="336"/>
    </w:p>
    <w:p>
      <w:pPr>
        <w:pStyle w:val="Subsection"/>
      </w:pPr>
      <w:r>
        <w:tab/>
        <w:t>(1)</w:t>
      </w:r>
      <w:r>
        <w:tab/>
        <w:t xml:space="preserve">In this section — </w:t>
      </w:r>
    </w:p>
    <w:p>
      <w:pPr>
        <w:pStyle w:val="Defstart"/>
      </w:pPr>
      <w:r>
        <w:tab/>
      </w:r>
      <w:r>
        <w:rPr>
          <w:rStyle w:val="CharDefText"/>
        </w:rPr>
        <w:t>former dividend provisions</w:t>
      </w:r>
      <w:r>
        <w:t xml:space="preserve"> means — </w:t>
      </w:r>
    </w:p>
    <w:p>
      <w:pPr>
        <w:pStyle w:val="Defpara"/>
      </w:pPr>
      <w:r>
        <w:tab/>
        <w:t>(a)</w:t>
      </w:r>
      <w:r>
        <w:tab/>
        <w:t xml:space="preserve">the </w:t>
      </w:r>
      <w:r>
        <w:rPr>
          <w:i/>
        </w:rPr>
        <w:t>Electricity Corporations Act 2005</w:t>
      </w:r>
      <w:r>
        <w:t xml:space="preserve"> sections 126, 127A and 127B; and</w:t>
      </w:r>
    </w:p>
    <w:p>
      <w:pPr>
        <w:pStyle w:val="Defpara"/>
      </w:pPr>
      <w:r>
        <w:tab/>
        <w:t>(b)</w:t>
      </w:r>
      <w:r>
        <w:tab/>
        <w:t xml:space="preserve">the </w:t>
      </w:r>
      <w:r>
        <w:rPr>
          <w:i/>
        </w:rPr>
        <w:t>Port Authorities Act 1999</w:t>
      </w:r>
      <w:r>
        <w:t xml:space="preserve"> section 84; and</w:t>
      </w:r>
    </w:p>
    <w:p>
      <w:pPr>
        <w:pStyle w:val="Defpara"/>
      </w:pPr>
      <w:r>
        <w:tab/>
        <w:t>(c)</w:t>
      </w:r>
      <w:r>
        <w:tab/>
        <w:t xml:space="preserve">the </w:t>
      </w:r>
      <w:r>
        <w:rPr>
          <w:i/>
        </w:rPr>
        <w:t>Water Corporations Act 1995</w:t>
      </w:r>
      <w:r>
        <w:t xml:space="preserve"> section 79; and</w:t>
      </w:r>
    </w:p>
    <w:p>
      <w:pPr>
        <w:pStyle w:val="Defpara"/>
      </w:pPr>
      <w:r>
        <w:tab/>
        <w:t>(d)</w:t>
      </w:r>
      <w:r>
        <w:tab/>
        <w:t xml:space="preserve">the </w:t>
      </w:r>
      <w:r>
        <w:rPr>
          <w:i/>
        </w:rPr>
        <w:t>Western Australian Land Authority Act 1992</w:t>
      </w:r>
      <w:r>
        <w:t xml:space="preserve"> section 38.</w:t>
      </w:r>
    </w:p>
    <w:p>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pPr>
        <w:pStyle w:val="Heading5"/>
      </w:pPr>
      <w:bookmarkStart w:id="337" w:name="_Toc182400451"/>
      <w:r>
        <w:rPr>
          <w:rStyle w:val="CharSectno"/>
        </w:rPr>
        <w:lastRenderedPageBreak/>
        <w:t>176</w:t>
      </w:r>
      <w:r>
        <w:t>.</w:t>
      </w:r>
      <w:r>
        <w:tab/>
        <w:t>Financial administration and audit</w:t>
      </w:r>
      <w:bookmarkEnd w:id="337"/>
    </w:p>
    <w:p>
      <w:pPr>
        <w:pStyle w:val="Subsection"/>
        <w:keepNext/>
      </w:pPr>
      <w:r>
        <w:tab/>
        <w:t>(1)</w:t>
      </w:r>
      <w:r>
        <w:tab/>
        <w:t xml:space="preserve">In this section — </w:t>
      </w:r>
    </w:p>
    <w:p>
      <w:pPr>
        <w:pStyle w:val="Defstart"/>
        <w:keepNext/>
      </w:pPr>
      <w:r>
        <w:tab/>
      </w:r>
      <w:r>
        <w:rPr>
          <w:rStyle w:val="CharDefText"/>
        </w:rPr>
        <w:t>former financial administration and audit provisions</w:t>
      </w:r>
      <w:r>
        <w:t xml:space="preserve"> means — </w:t>
      </w:r>
    </w:p>
    <w:p>
      <w:pPr>
        <w:pStyle w:val="Defpara"/>
      </w:pPr>
      <w:r>
        <w:tab/>
        <w:t>(a)</w:t>
      </w:r>
      <w:r>
        <w:tab/>
        <w:t xml:space="preserve">the </w:t>
      </w:r>
      <w:r>
        <w:rPr>
          <w:i/>
        </w:rPr>
        <w:t>Electricity Corporations Act 2005</w:t>
      </w:r>
      <w:r>
        <w:t xml:space="preserve"> section 133 and Schedule 4; and</w:t>
      </w:r>
    </w:p>
    <w:p>
      <w:pPr>
        <w:pStyle w:val="Defpara"/>
      </w:pPr>
      <w:r>
        <w:tab/>
        <w:t>(b)</w:t>
      </w:r>
      <w:r>
        <w:tab/>
        <w:t xml:space="preserve">the </w:t>
      </w:r>
      <w:r>
        <w:rPr>
          <w:i/>
        </w:rPr>
        <w:t>Port Authorities Act 1999</w:t>
      </w:r>
      <w:r>
        <w:t xml:space="preserve"> section 91 and Schedule 5; and</w:t>
      </w:r>
    </w:p>
    <w:p>
      <w:pPr>
        <w:pStyle w:val="Defpara"/>
      </w:pPr>
      <w:r>
        <w:tab/>
        <w:t>(c)</w:t>
      </w:r>
      <w:r>
        <w:tab/>
        <w:t xml:space="preserve">the </w:t>
      </w:r>
      <w:r>
        <w:rPr>
          <w:i/>
        </w:rPr>
        <w:t>Water Corporations Act 1995</w:t>
      </w:r>
      <w:r>
        <w:t xml:space="preserve"> section 86 and Schedule 3; and</w:t>
      </w:r>
    </w:p>
    <w:p>
      <w:pPr>
        <w:pStyle w:val="Defpara"/>
      </w:pPr>
      <w:r>
        <w:tab/>
        <w:t>(d)</w:t>
      </w:r>
      <w:r>
        <w:tab/>
        <w:t xml:space="preserve">the </w:t>
      </w:r>
      <w:r>
        <w:rPr>
          <w:i/>
        </w:rPr>
        <w:t>Western Australian Land Authority Act 1992</w:t>
      </w:r>
      <w:r>
        <w:t xml:space="preserve"> section 40 and Schedule 3A.</w:t>
      </w:r>
    </w:p>
    <w:p>
      <w:pPr>
        <w:pStyle w:val="Subsection"/>
      </w:pPr>
      <w:r>
        <w:tab/>
        <w:t>(2)</w:t>
      </w:r>
      <w:r>
        <w:tab/>
        <w:t>Despite the repeal of the former financial administration and audit provisions, they continue to have effect until a date prescribed for the purposes of this section.</w:t>
      </w:r>
    </w:p>
    <w:p>
      <w:pPr>
        <w:pStyle w:val="Heading5"/>
      </w:pPr>
      <w:bookmarkStart w:id="338" w:name="_Toc182400452"/>
      <w:r>
        <w:rPr>
          <w:rStyle w:val="CharSectno"/>
        </w:rPr>
        <w:t>177</w:t>
      </w:r>
      <w:r>
        <w:t>.</w:t>
      </w:r>
      <w:r>
        <w:tab/>
        <w:t>Local government rates</w:t>
      </w:r>
      <w:bookmarkEnd w:id="338"/>
    </w:p>
    <w:p>
      <w:pPr>
        <w:pStyle w:val="Subsection"/>
      </w:pPr>
      <w:r>
        <w:tab/>
        <w:t>(1)</w:t>
      </w:r>
      <w:r>
        <w:tab/>
        <w:t xml:space="preserve">In this section — </w:t>
      </w:r>
    </w:p>
    <w:p>
      <w:pPr>
        <w:pStyle w:val="Defstart"/>
      </w:pPr>
      <w:r>
        <w:tab/>
      </w:r>
      <w:r>
        <w:rPr>
          <w:rStyle w:val="CharDefText"/>
        </w:rPr>
        <w:t>former local government rates provisions</w:t>
      </w:r>
      <w:r>
        <w:t xml:space="preserve"> means — </w:t>
      </w:r>
    </w:p>
    <w:p>
      <w:pPr>
        <w:pStyle w:val="Defpara"/>
      </w:pPr>
      <w:r>
        <w:tab/>
        <w:t>(a)</w:t>
      </w:r>
      <w:r>
        <w:tab/>
        <w:t xml:space="preserve">the </w:t>
      </w:r>
      <w:r>
        <w:rPr>
          <w:i/>
        </w:rPr>
        <w:t>Electricity Corporations Act 2005</w:t>
      </w:r>
      <w:r>
        <w:t xml:space="preserve"> sections 124 and 125; and</w:t>
      </w:r>
    </w:p>
    <w:p>
      <w:pPr>
        <w:pStyle w:val="Defpara"/>
      </w:pPr>
      <w:r>
        <w:tab/>
        <w:t>(b)</w:t>
      </w:r>
      <w:r>
        <w:tab/>
        <w:t xml:space="preserve">the </w:t>
      </w:r>
      <w:r>
        <w:rPr>
          <w:i/>
        </w:rPr>
        <w:t>Port Authorities Act 1999</w:t>
      </w:r>
      <w:r>
        <w:t xml:space="preserve"> sections 82 and 83; and</w:t>
      </w:r>
    </w:p>
    <w:p>
      <w:pPr>
        <w:pStyle w:val="Defpara"/>
        <w:rPr>
          <w:b/>
        </w:rPr>
      </w:pPr>
      <w:r>
        <w:tab/>
        <w:t>(c)</w:t>
      </w:r>
      <w:r>
        <w:tab/>
        <w:t xml:space="preserve">the </w:t>
      </w:r>
      <w:r>
        <w:rPr>
          <w:i/>
        </w:rPr>
        <w:t xml:space="preserve">Water Corporations Act 1995 </w:t>
      </w:r>
      <w:r>
        <w:t>sections 76 and 78; and</w:t>
      </w:r>
    </w:p>
    <w:p>
      <w:pPr>
        <w:pStyle w:val="Defpara"/>
      </w:pPr>
      <w:r>
        <w:tab/>
        <w:t>(d)</w:t>
      </w:r>
      <w:r>
        <w:tab/>
        <w:t xml:space="preserve">the </w:t>
      </w:r>
      <w:r>
        <w:rPr>
          <w:i/>
        </w:rPr>
        <w:t>Western Australian Land Authority Act 1992</w:t>
      </w:r>
      <w:r>
        <w:t xml:space="preserve"> section 32.</w:t>
      </w:r>
    </w:p>
    <w:p>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pPr>
        <w:pStyle w:val="Heading3"/>
      </w:pPr>
      <w:bookmarkStart w:id="339" w:name="_Toc182383691"/>
      <w:bookmarkStart w:id="340" w:name="_Toc182384300"/>
      <w:bookmarkStart w:id="341" w:name="_Toc182400453"/>
      <w:r>
        <w:rPr>
          <w:rStyle w:val="CharDivNo"/>
        </w:rPr>
        <w:lastRenderedPageBreak/>
        <w:t>Division 5</w:t>
      </w:r>
      <w:r>
        <w:t> — </w:t>
      </w:r>
      <w:r>
        <w:rPr>
          <w:rStyle w:val="CharDivText"/>
        </w:rPr>
        <w:t>Transitional regulations</w:t>
      </w:r>
      <w:bookmarkEnd w:id="339"/>
      <w:bookmarkEnd w:id="340"/>
      <w:bookmarkEnd w:id="341"/>
    </w:p>
    <w:p>
      <w:pPr>
        <w:pStyle w:val="Heading5"/>
      </w:pPr>
      <w:bookmarkStart w:id="342" w:name="_Toc182400454"/>
      <w:r>
        <w:rPr>
          <w:rStyle w:val="CharSectno"/>
        </w:rPr>
        <w:t>178</w:t>
      </w:r>
      <w:r>
        <w:t>.</w:t>
      </w:r>
      <w:r>
        <w:tab/>
        <w:t>Transitional regulations</w:t>
      </w:r>
      <w:bookmarkEnd w:id="342"/>
    </w:p>
    <w:p>
      <w:pPr>
        <w:pStyle w:val="Subsection"/>
      </w:pPr>
      <w:r>
        <w:tab/>
        <w:t>(1)</w:t>
      </w:r>
      <w:r>
        <w:tab/>
        <w:t xml:space="preserve">The regulations may — </w:t>
      </w:r>
    </w:p>
    <w:p>
      <w:pPr>
        <w:pStyle w:val="Indenta"/>
      </w:pPr>
      <w:r>
        <w:tab/>
        <w:t>(a)</w:t>
      </w:r>
      <w:r>
        <w:tab/>
        <w:t>deal with all matters of a savings or transitional nature arising as a result of the enactment of this Act; and</w:t>
      </w:r>
    </w:p>
    <w:p>
      <w:pPr>
        <w:pStyle w:val="Indenta"/>
      </w:pPr>
      <w:r>
        <w:tab/>
        <w:t>(b)</w:t>
      </w:r>
      <w:r>
        <w:tab/>
        <w:t>clarify or vary the provisions of this Part; and</w:t>
      </w:r>
    </w:p>
    <w:p>
      <w:pPr>
        <w:pStyle w:val="Indenta"/>
      </w:pPr>
      <w:r>
        <w:tab/>
        <w:t>(c)</w:t>
      </w:r>
      <w:r>
        <w:tab/>
        <w:t>amend or repeal, consequentially on the enactment of this Act, subsidiary legislation made under an Establishing Act; and</w:t>
      </w:r>
    </w:p>
    <w:p>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pPr>
        <w:pStyle w:val="Subsection"/>
      </w:pPr>
      <w:r>
        <w:tab/>
        <w:t>(2)</w:t>
      </w:r>
      <w:r>
        <w:tab/>
        <w:t xml:space="preserve">Regulations made for the purposes of this section may — </w:t>
      </w:r>
    </w:p>
    <w:p>
      <w:pPr>
        <w:pStyle w:val="Indenta"/>
      </w:pPr>
      <w:r>
        <w:tab/>
        <w:t>(a)</w:t>
      </w:r>
      <w:r>
        <w:tab/>
        <w:t>be expressed to have effect despite another written law; and</w:t>
      </w:r>
    </w:p>
    <w:p>
      <w:pPr>
        <w:pStyle w:val="Indenta"/>
      </w:pPr>
      <w:r>
        <w:tab/>
        <w:t>(b)</w:t>
      </w:r>
      <w:r>
        <w:tab/>
        <w:t>provide that a specified provision of a written law does not apply, or applies with specified modifications, to or in relation to a matter.</w:t>
      </w:r>
    </w:p>
    <w:p>
      <w:pPr>
        <w:pStyle w:val="Subsection"/>
      </w:pPr>
      <w:r>
        <w:tab/>
        <w:t>(3)</w:t>
      </w:r>
      <w:r>
        <w:tab/>
        <w:t>The power in this section to amend subsidiary legislation made under an Establishing Act does not prevent that legislation from being amended under that Act.</w:t>
      </w:r>
    </w:p>
    <w:p>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keepNext/>
      </w:pPr>
      <w:r>
        <w:lastRenderedPageBreak/>
        <w:tab/>
        <w:t>(5)</w:t>
      </w:r>
      <w:r>
        <w:tab/>
        <w:t xml:space="preserve">If the regulations contain a provision referred to in subsection (4), the provision does not operate so as to — </w:t>
      </w:r>
    </w:p>
    <w:p>
      <w:pPr>
        <w:pStyle w:val="Indenta"/>
      </w:pPr>
      <w:r>
        <w:tab/>
        <w:t>(a)</w:t>
      </w:r>
      <w:r>
        <w:tab/>
        <w:t>affect in a manner prejudicial to any person (other than the State, a public authority or a local government), the rights of that person existing before the day of publication of those regulations; or</w:t>
      </w:r>
    </w:p>
    <w:p>
      <w:pPr>
        <w:pStyle w:val="Indenta"/>
      </w:pPr>
      <w:r>
        <w:tab/>
        <w:t>(b)</w:t>
      </w:r>
      <w:r>
        <w:tab/>
        <w:t>impose liabilities on any person (other than the State, a public authority or a local government) in respect of anything done or omitted to be done before the day of publication of those regulations.</w:t>
      </w:r>
    </w:p>
    <w:p>
      <w:pPr>
        <w:pStyle w:val="Heading2"/>
      </w:pPr>
      <w:bookmarkStart w:id="343" w:name="_Toc182383693"/>
      <w:bookmarkStart w:id="344" w:name="_Toc182384302"/>
      <w:bookmarkStart w:id="345" w:name="_Toc182400455"/>
      <w:r>
        <w:rPr>
          <w:rStyle w:val="CharPartNo"/>
        </w:rPr>
        <w:lastRenderedPageBreak/>
        <w:t>Part 12</w:t>
      </w:r>
      <w:r>
        <w:t> — </w:t>
      </w:r>
      <w:r>
        <w:rPr>
          <w:rStyle w:val="CharPartText"/>
        </w:rPr>
        <w:t>Consequential amendments</w:t>
      </w:r>
      <w:bookmarkEnd w:id="343"/>
      <w:bookmarkEnd w:id="344"/>
      <w:bookmarkEnd w:id="345"/>
    </w:p>
    <w:p>
      <w:pPr>
        <w:pStyle w:val="Heading3"/>
      </w:pPr>
      <w:bookmarkStart w:id="346" w:name="_Toc182383694"/>
      <w:bookmarkStart w:id="347" w:name="_Toc182384303"/>
      <w:bookmarkStart w:id="348" w:name="_Toc182400456"/>
      <w:r>
        <w:rPr>
          <w:rStyle w:val="CharDivNo"/>
        </w:rPr>
        <w:t>Division 1</w:t>
      </w:r>
      <w:r>
        <w:t> — </w:t>
      </w:r>
      <w:r>
        <w:rPr>
          <w:rStyle w:val="CharDivText"/>
          <w:i/>
        </w:rPr>
        <w:t>Electricity Corporations Act 2005</w:t>
      </w:r>
      <w:r>
        <w:rPr>
          <w:rStyle w:val="CharDivText"/>
        </w:rPr>
        <w:t xml:space="preserve"> amended</w:t>
      </w:r>
      <w:bookmarkEnd w:id="346"/>
      <w:bookmarkEnd w:id="347"/>
      <w:bookmarkEnd w:id="348"/>
    </w:p>
    <w:p>
      <w:pPr>
        <w:pStyle w:val="Heading5"/>
      </w:pPr>
      <w:bookmarkStart w:id="349" w:name="_Toc182400457"/>
      <w:r>
        <w:rPr>
          <w:rStyle w:val="CharSectno"/>
        </w:rPr>
        <w:t>179</w:t>
      </w:r>
      <w:r>
        <w:t>.</w:t>
      </w:r>
      <w:r>
        <w:tab/>
        <w:t>Act amended</w:t>
      </w:r>
      <w:bookmarkEnd w:id="349"/>
    </w:p>
    <w:p>
      <w:pPr>
        <w:pStyle w:val="Subsection"/>
      </w:pPr>
      <w:r>
        <w:tab/>
      </w:r>
      <w:r>
        <w:tab/>
        <w:t xml:space="preserve">This Division amends the </w:t>
      </w:r>
      <w:r>
        <w:rPr>
          <w:i/>
        </w:rPr>
        <w:t>Electricity Corporations Act 2005</w:t>
      </w:r>
      <w:r>
        <w:t>.</w:t>
      </w:r>
    </w:p>
    <w:p>
      <w:pPr>
        <w:pStyle w:val="Heading5"/>
      </w:pPr>
      <w:bookmarkStart w:id="350" w:name="_Toc182400458"/>
      <w:r>
        <w:rPr>
          <w:rStyle w:val="CharSectno"/>
        </w:rPr>
        <w:t>180</w:t>
      </w:r>
      <w:r>
        <w:t>.</w:t>
      </w:r>
      <w:r>
        <w:tab/>
        <w:t>Section 3 amended</w:t>
      </w:r>
      <w:bookmarkEnd w:id="350"/>
    </w:p>
    <w:p>
      <w:pPr>
        <w:pStyle w:val="Subsection"/>
      </w:pPr>
      <w:r>
        <w:tab/>
        <w:t>(1)</w:t>
      </w:r>
      <w:r>
        <w:tab/>
        <w:t>In section 3(1) delete the definitions of:</w:t>
      </w:r>
    </w:p>
    <w:p>
      <w:pPr>
        <w:pStyle w:val="DeleteListSub"/>
      </w:pPr>
      <w:r>
        <w:rPr>
          <w:b/>
          <w:i/>
        </w:rPr>
        <w:t>board</w:t>
      </w:r>
    </w:p>
    <w:p>
      <w:pPr>
        <w:pStyle w:val="DeleteListSub"/>
        <w:rPr>
          <w:b/>
          <w:i/>
        </w:rPr>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non</w:t>
      </w:r>
      <w:r>
        <w:rPr>
          <w:b/>
          <w:i/>
        </w:rPr>
        <w:noBreakHyphen/>
        <w:t>executive director</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3(1) in the definition of </w:t>
      </w:r>
      <w:r>
        <w:rPr>
          <w:b/>
          <w:i/>
        </w:rPr>
        <w:t>function</w:t>
      </w:r>
      <w:r>
        <w:t xml:space="preserve"> delete paragraph (b) and insert:</w:t>
      </w:r>
    </w:p>
    <w:p>
      <w:pPr>
        <w:pStyle w:val="BlankOpen"/>
      </w:pPr>
    </w:p>
    <w:p>
      <w:pPr>
        <w:pStyle w:val="zDefpara"/>
      </w:pPr>
      <w:r>
        <w:tab/>
        <w:t>(b)</w:t>
      </w:r>
      <w:r>
        <w:tab/>
        <w:t>section 59;</w:t>
      </w:r>
    </w:p>
    <w:p>
      <w:pPr>
        <w:pStyle w:val="BlankClose"/>
      </w:pPr>
    </w:p>
    <w:p>
      <w:pPr>
        <w:pStyle w:val="Subsection"/>
        <w:keepNext/>
      </w:pPr>
      <w:r>
        <w:lastRenderedPageBreak/>
        <w:tab/>
        <w:t>(4)</w:t>
      </w:r>
      <w:r>
        <w:tab/>
        <w:t xml:space="preserve">In section 3(1) in the definition of </w:t>
      </w:r>
      <w:r>
        <w:rPr>
          <w:b/>
          <w:i/>
        </w:rPr>
        <w:t>South West interconnected system</w:t>
      </w:r>
      <w:r>
        <w:t xml:space="preserve"> delete “time;” and insert:</w:t>
      </w:r>
    </w:p>
    <w:p>
      <w:pPr>
        <w:pStyle w:val="BlankOpen"/>
      </w:pPr>
    </w:p>
    <w:p>
      <w:pPr>
        <w:pStyle w:val="Subsection"/>
      </w:pPr>
      <w:r>
        <w:tab/>
      </w:r>
      <w:r>
        <w:tab/>
        <w:t>time.</w:t>
      </w:r>
    </w:p>
    <w:p>
      <w:pPr>
        <w:pStyle w:val="BlankClose"/>
      </w:pPr>
    </w:p>
    <w:p>
      <w:pPr>
        <w:pStyle w:val="Subsection"/>
      </w:pPr>
      <w:r>
        <w:tab/>
        <w:t>(5)</w:t>
      </w:r>
      <w:r>
        <w:tab/>
        <w:t>Delete section 3(2).</w:t>
      </w:r>
    </w:p>
    <w:p>
      <w:pPr>
        <w:pStyle w:val="Heading5"/>
      </w:pPr>
      <w:bookmarkStart w:id="351" w:name="_Toc182400459"/>
      <w:r>
        <w:rPr>
          <w:rStyle w:val="CharSectno"/>
        </w:rPr>
        <w:t>181</w:t>
      </w:r>
      <w:r>
        <w:t>.</w:t>
      </w:r>
      <w:r>
        <w:tab/>
        <w:t>Section 3A inserted</w:t>
      </w:r>
      <w:bookmarkEnd w:id="351"/>
    </w:p>
    <w:p>
      <w:pPr>
        <w:pStyle w:val="Subsection"/>
      </w:pPr>
      <w:r>
        <w:tab/>
      </w:r>
      <w:r>
        <w:tab/>
        <w:t>At the end of Part 1 insert:</w:t>
      </w:r>
    </w:p>
    <w:p>
      <w:pPr>
        <w:pStyle w:val="BlankOpen"/>
      </w:pPr>
    </w:p>
    <w:p>
      <w:pPr>
        <w:pStyle w:val="zHeading5"/>
      </w:pPr>
      <w:bookmarkStart w:id="352" w:name="_Toc182400460"/>
      <w:r>
        <w:t>3A.</w:t>
      </w:r>
      <w:r>
        <w:tab/>
        <w:t>Relationship to GTE Act</w:t>
      </w:r>
      <w:bookmarkEnd w:id="352"/>
    </w:p>
    <w:p>
      <w:pPr>
        <w:pStyle w:val="zSubsection"/>
      </w:pPr>
      <w:r>
        <w:tab/>
      </w:r>
      <w:r>
        <w:tab/>
        <w:t>The GTE Act is to be read with this Act as if they formed a single Act.</w:t>
      </w:r>
    </w:p>
    <w:p>
      <w:pPr>
        <w:pStyle w:val="BlankClose"/>
      </w:pPr>
    </w:p>
    <w:p>
      <w:pPr>
        <w:pStyle w:val="Heading5"/>
      </w:pPr>
      <w:bookmarkStart w:id="353" w:name="_Toc182400461"/>
      <w:r>
        <w:rPr>
          <w:rStyle w:val="CharSectno"/>
        </w:rPr>
        <w:t>182</w:t>
      </w:r>
      <w:r>
        <w:t>.</w:t>
      </w:r>
      <w:r>
        <w:tab/>
        <w:t>Part 2 Division 2 deleted</w:t>
      </w:r>
      <w:bookmarkEnd w:id="353"/>
    </w:p>
    <w:p>
      <w:pPr>
        <w:pStyle w:val="Subsection"/>
      </w:pPr>
      <w:r>
        <w:tab/>
      </w:r>
      <w:r>
        <w:tab/>
        <w:t>Delete Part 2 Division 2.</w:t>
      </w:r>
    </w:p>
    <w:p>
      <w:pPr>
        <w:pStyle w:val="Heading5"/>
      </w:pPr>
      <w:bookmarkStart w:id="354" w:name="_Toc182400462"/>
      <w:r>
        <w:rPr>
          <w:rStyle w:val="CharSectno"/>
        </w:rPr>
        <w:t>183</w:t>
      </w:r>
      <w:r>
        <w:t>.</w:t>
      </w:r>
      <w:r>
        <w:tab/>
        <w:t>Part 2 Division 3 Subdivision 1 deleted</w:t>
      </w:r>
      <w:bookmarkEnd w:id="354"/>
    </w:p>
    <w:p>
      <w:pPr>
        <w:pStyle w:val="Subsection"/>
      </w:pPr>
      <w:r>
        <w:tab/>
      </w:r>
      <w:r>
        <w:tab/>
        <w:t>Delete Part 2 Division 3 Subdivision 1.</w:t>
      </w:r>
    </w:p>
    <w:p>
      <w:pPr>
        <w:pStyle w:val="Heading5"/>
      </w:pPr>
      <w:bookmarkStart w:id="355" w:name="_Toc182400463"/>
      <w:r>
        <w:rPr>
          <w:rStyle w:val="CharSectno"/>
        </w:rPr>
        <w:t>184</w:t>
      </w:r>
      <w:r>
        <w:t>.</w:t>
      </w:r>
      <w:r>
        <w:tab/>
        <w:t>Part 2 Division 3 Subdivision 2 heading replaced</w:t>
      </w:r>
      <w:bookmarkEnd w:id="355"/>
    </w:p>
    <w:p>
      <w:pPr>
        <w:pStyle w:val="Subsection"/>
      </w:pPr>
      <w:r>
        <w:tab/>
      </w:r>
      <w:r>
        <w:tab/>
        <w:t>Delete the heading to Part 2 Division 3 Subdivision 2 and insert:</w:t>
      </w:r>
    </w:p>
    <w:p>
      <w:pPr>
        <w:pStyle w:val="BlankOpen"/>
      </w:pPr>
    </w:p>
    <w:p>
      <w:pPr>
        <w:pStyle w:val="zHeading4"/>
      </w:pPr>
      <w:bookmarkStart w:id="356" w:name="_Toc182383702"/>
      <w:bookmarkStart w:id="357" w:name="_Toc182384311"/>
      <w:bookmarkStart w:id="358" w:name="_Toc182400464"/>
      <w:r>
        <w:t>Subdivision 2 — Power to engage and manage staff</w:t>
      </w:r>
      <w:bookmarkEnd w:id="356"/>
      <w:bookmarkEnd w:id="357"/>
      <w:bookmarkEnd w:id="358"/>
    </w:p>
    <w:p>
      <w:pPr>
        <w:pStyle w:val="BlankClose"/>
      </w:pPr>
    </w:p>
    <w:p>
      <w:pPr>
        <w:pStyle w:val="Heading5"/>
      </w:pPr>
      <w:bookmarkStart w:id="359" w:name="_Toc182400465"/>
      <w:r>
        <w:rPr>
          <w:rStyle w:val="CharSectno"/>
        </w:rPr>
        <w:t>185</w:t>
      </w:r>
      <w:r>
        <w:t>.</w:t>
      </w:r>
      <w:r>
        <w:tab/>
        <w:t>Section 20 deleted</w:t>
      </w:r>
      <w:bookmarkEnd w:id="359"/>
    </w:p>
    <w:p>
      <w:pPr>
        <w:pStyle w:val="Subsection"/>
      </w:pPr>
      <w:r>
        <w:tab/>
      </w:r>
      <w:r>
        <w:tab/>
        <w:t>Delete section 20.</w:t>
      </w:r>
    </w:p>
    <w:p>
      <w:pPr>
        <w:pStyle w:val="Heading5"/>
      </w:pPr>
      <w:bookmarkStart w:id="360" w:name="_Toc182400466"/>
      <w:r>
        <w:rPr>
          <w:rStyle w:val="CharSectno"/>
        </w:rPr>
        <w:lastRenderedPageBreak/>
        <w:t>186</w:t>
      </w:r>
      <w:r>
        <w:t>.</w:t>
      </w:r>
      <w:r>
        <w:tab/>
        <w:t>Section 21 amended</w:t>
      </w:r>
      <w:bookmarkEnd w:id="360"/>
    </w:p>
    <w:p>
      <w:pPr>
        <w:pStyle w:val="Subsection"/>
      </w:pPr>
      <w:r>
        <w:tab/>
      </w:r>
      <w:r>
        <w:tab/>
        <w:t>Delete section 21(4)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361" w:name="_Toc182400467"/>
      <w:r>
        <w:rPr>
          <w:rStyle w:val="CharSectno"/>
        </w:rPr>
        <w:t>187</w:t>
      </w:r>
      <w:r>
        <w:t>.</w:t>
      </w:r>
      <w:r>
        <w:tab/>
        <w:t>Part 2 Division 3 Subdivision 5 heading replaced</w:t>
      </w:r>
      <w:bookmarkEnd w:id="361"/>
    </w:p>
    <w:p>
      <w:pPr>
        <w:pStyle w:val="Subsection"/>
      </w:pPr>
      <w:r>
        <w:tab/>
      </w:r>
      <w:r>
        <w:tab/>
        <w:t>Delete the heading to Part 2 Division 3 Subdivision 5 and insert:</w:t>
      </w:r>
    </w:p>
    <w:p>
      <w:pPr>
        <w:pStyle w:val="BlankOpen"/>
      </w:pPr>
    </w:p>
    <w:p>
      <w:pPr>
        <w:pStyle w:val="zHeading4"/>
      </w:pPr>
      <w:bookmarkStart w:id="362" w:name="_Toc182383706"/>
      <w:bookmarkStart w:id="363" w:name="_Toc182384315"/>
      <w:bookmarkStart w:id="364" w:name="_Toc182400468"/>
      <w:r>
        <w:t>Subdivision 5 — Superannuation</w:t>
      </w:r>
      <w:bookmarkEnd w:id="362"/>
      <w:bookmarkEnd w:id="363"/>
      <w:bookmarkEnd w:id="364"/>
    </w:p>
    <w:p>
      <w:pPr>
        <w:pStyle w:val="BlankClose"/>
      </w:pPr>
    </w:p>
    <w:p>
      <w:pPr>
        <w:pStyle w:val="Heading5"/>
      </w:pPr>
      <w:bookmarkStart w:id="365" w:name="_Toc182400469"/>
      <w:r>
        <w:rPr>
          <w:rStyle w:val="CharSectno"/>
        </w:rPr>
        <w:t>188</w:t>
      </w:r>
      <w:r>
        <w:t>.</w:t>
      </w:r>
      <w:r>
        <w:tab/>
        <w:t>Part 2 Division 4 heading replaced</w:t>
      </w:r>
      <w:bookmarkEnd w:id="365"/>
    </w:p>
    <w:p>
      <w:pPr>
        <w:pStyle w:val="Subsection"/>
      </w:pPr>
      <w:r>
        <w:tab/>
      </w:r>
      <w:r>
        <w:tab/>
        <w:t>Delete the heading to Part 2 Division 4 and insert:</w:t>
      </w:r>
    </w:p>
    <w:p>
      <w:pPr>
        <w:pStyle w:val="BlankOpen"/>
      </w:pPr>
    </w:p>
    <w:p>
      <w:pPr>
        <w:pStyle w:val="zHeading3"/>
      </w:pPr>
      <w:bookmarkStart w:id="366" w:name="_Toc182383708"/>
      <w:bookmarkStart w:id="367" w:name="_Toc182384317"/>
      <w:bookmarkStart w:id="368" w:name="_Toc182400470"/>
      <w:r>
        <w:t>Division 4 — Staff codes of conduct</w:t>
      </w:r>
      <w:bookmarkEnd w:id="366"/>
      <w:bookmarkEnd w:id="367"/>
      <w:bookmarkEnd w:id="368"/>
    </w:p>
    <w:p>
      <w:pPr>
        <w:pStyle w:val="BlankClose"/>
      </w:pPr>
    </w:p>
    <w:p>
      <w:pPr>
        <w:pStyle w:val="Heading5"/>
      </w:pPr>
      <w:bookmarkStart w:id="369" w:name="_Toc182400471"/>
      <w:r>
        <w:rPr>
          <w:rStyle w:val="CharSectno"/>
        </w:rPr>
        <w:t>189</w:t>
      </w:r>
      <w:r>
        <w:t>.</w:t>
      </w:r>
      <w:r>
        <w:tab/>
        <w:t>Sections 27 to 30 deleted</w:t>
      </w:r>
      <w:bookmarkEnd w:id="369"/>
    </w:p>
    <w:p>
      <w:pPr>
        <w:pStyle w:val="Subsection"/>
      </w:pPr>
      <w:r>
        <w:tab/>
      </w:r>
      <w:r>
        <w:tab/>
        <w:t>Delete sections 27 to 30.</w:t>
      </w:r>
    </w:p>
    <w:p>
      <w:pPr>
        <w:pStyle w:val="Heading5"/>
      </w:pPr>
      <w:bookmarkStart w:id="370" w:name="_Toc182400472"/>
      <w:r>
        <w:rPr>
          <w:rStyle w:val="CharSectno"/>
        </w:rPr>
        <w:lastRenderedPageBreak/>
        <w:t>190</w:t>
      </w:r>
      <w:r>
        <w:t>.</w:t>
      </w:r>
      <w:r>
        <w:tab/>
        <w:t>Section 33 amended</w:t>
      </w:r>
      <w:bookmarkEnd w:id="370"/>
    </w:p>
    <w:p>
      <w:pPr>
        <w:pStyle w:val="Subsection"/>
        <w:keepNext/>
      </w:pPr>
      <w:r>
        <w:tab/>
      </w:r>
      <w:r>
        <w:tab/>
        <w:t>In section 33(1) delete “section 107,” and insert:</w:t>
      </w:r>
    </w:p>
    <w:p>
      <w:pPr>
        <w:pStyle w:val="BlankOpen"/>
      </w:pPr>
    </w:p>
    <w:p>
      <w:pPr>
        <w:pStyle w:val="Subsection"/>
      </w:pPr>
      <w:r>
        <w:tab/>
      </w:r>
      <w:r>
        <w:tab/>
        <w:t>the GTE Act section 81,</w:t>
      </w:r>
    </w:p>
    <w:p>
      <w:pPr>
        <w:pStyle w:val="BlankClose"/>
      </w:pPr>
    </w:p>
    <w:p>
      <w:pPr>
        <w:pStyle w:val="Heading5"/>
      </w:pPr>
      <w:bookmarkStart w:id="371" w:name="_Toc182400473"/>
      <w:r>
        <w:rPr>
          <w:rStyle w:val="CharSectno"/>
        </w:rPr>
        <w:t>191</w:t>
      </w:r>
      <w:r>
        <w:t>.</w:t>
      </w:r>
      <w:r>
        <w:tab/>
        <w:t>Section 53 amended</w:t>
      </w:r>
      <w:bookmarkEnd w:id="371"/>
    </w:p>
    <w:p>
      <w:pPr>
        <w:pStyle w:val="Subsection"/>
      </w:pPr>
      <w:r>
        <w:tab/>
      </w:r>
      <w:r>
        <w:tab/>
        <w:t>Delete section 53(7) and insert:</w:t>
      </w:r>
    </w:p>
    <w:p>
      <w:pPr>
        <w:pStyle w:val="BlankOpen"/>
      </w:pPr>
    </w:p>
    <w:p>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BlankClose"/>
      </w:pPr>
    </w:p>
    <w:p>
      <w:pPr>
        <w:pStyle w:val="Heading5"/>
      </w:pPr>
      <w:bookmarkStart w:id="372" w:name="_Toc182400474"/>
      <w:r>
        <w:rPr>
          <w:rStyle w:val="CharSectno"/>
        </w:rPr>
        <w:t>192</w:t>
      </w:r>
      <w:r>
        <w:t>.</w:t>
      </w:r>
      <w:r>
        <w:tab/>
        <w:t>Section 54 amended</w:t>
      </w:r>
      <w:bookmarkEnd w:id="372"/>
    </w:p>
    <w:p>
      <w:pPr>
        <w:pStyle w:val="Subsection"/>
      </w:pPr>
      <w:r>
        <w:tab/>
      </w:r>
      <w:r>
        <w:tab/>
        <w:t>Delete section 54(7).</w:t>
      </w:r>
    </w:p>
    <w:p>
      <w:pPr>
        <w:pStyle w:val="Heading5"/>
      </w:pPr>
      <w:bookmarkStart w:id="373" w:name="_Toc182400475"/>
      <w:r>
        <w:rPr>
          <w:rStyle w:val="CharSectno"/>
        </w:rPr>
        <w:t>193</w:t>
      </w:r>
      <w:r>
        <w:t>.</w:t>
      </w:r>
      <w:r>
        <w:tab/>
        <w:t>Section 55 deleted</w:t>
      </w:r>
      <w:bookmarkEnd w:id="373"/>
    </w:p>
    <w:p>
      <w:pPr>
        <w:pStyle w:val="Subsection"/>
      </w:pPr>
      <w:r>
        <w:tab/>
      </w:r>
      <w:r>
        <w:tab/>
        <w:t>Delete section 55.</w:t>
      </w:r>
    </w:p>
    <w:p>
      <w:pPr>
        <w:pStyle w:val="Heading5"/>
      </w:pPr>
      <w:bookmarkStart w:id="374" w:name="_Toc182400476"/>
      <w:r>
        <w:rPr>
          <w:rStyle w:val="CharSectno"/>
        </w:rPr>
        <w:t>194</w:t>
      </w:r>
      <w:r>
        <w:t>.</w:t>
      </w:r>
      <w:r>
        <w:tab/>
        <w:t>Section 56 deleted</w:t>
      </w:r>
      <w:bookmarkEnd w:id="374"/>
    </w:p>
    <w:p>
      <w:pPr>
        <w:pStyle w:val="Subsection"/>
      </w:pPr>
      <w:r>
        <w:tab/>
      </w:r>
      <w:r>
        <w:tab/>
        <w:t>Delete section 56.</w:t>
      </w:r>
    </w:p>
    <w:p>
      <w:pPr>
        <w:pStyle w:val="Heading5"/>
      </w:pPr>
      <w:bookmarkStart w:id="375" w:name="_Toc182400477"/>
      <w:r>
        <w:rPr>
          <w:rStyle w:val="CharSectno"/>
        </w:rPr>
        <w:t>195</w:t>
      </w:r>
      <w:r>
        <w:t>.</w:t>
      </w:r>
      <w:r>
        <w:tab/>
        <w:t>Section 58 deleted</w:t>
      </w:r>
      <w:bookmarkEnd w:id="375"/>
    </w:p>
    <w:p>
      <w:pPr>
        <w:pStyle w:val="Subsection"/>
      </w:pPr>
      <w:r>
        <w:tab/>
      </w:r>
      <w:r>
        <w:tab/>
        <w:t>Delete section 58.</w:t>
      </w:r>
    </w:p>
    <w:p>
      <w:pPr>
        <w:pStyle w:val="Heading5"/>
      </w:pPr>
      <w:bookmarkStart w:id="376" w:name="_Toc182400478"/>
      <w:r>
        <w:rPr>
          <w:rStyle w:val="CharSectno"/>
        </w:rPr>
        <w:t>196</w:t>
      </w:r>
      <w:r>
        <w:t>.</w:t>
      </w:r>
      <w:r>
        <w:tab/>
        <w:t>Section 59 amended</w:t>
      </w:r>
      <w:bookmarkEnd w:id="376"/>
    </w:p>
    <w:p>
      <w:pPr>
        <w:pStyle w:val="Subsection"/>
      </w:pPr>
      <w:r>
        <w:tab/>
        <w:t>(1)</w:t>
      </w:r>
      <w:r>
        <w:tab/>
        <w:t>In section 59(3)(g) delete “subject to sections 64 and 68,”.</w:t>
      </w:r>
    </w:p>
    <w:p>
      <w:pPr>
        <w:pStyle w:val="Subsection"/>
        <w:keepNext/>
      </w:pPr>
      <w:r>
        <w:lastRenderedPageBreak/>
        <w:tab/>
        <w:t>(2)</w:t>
      </w:r>
      <w:r>
        <w:tab/>
        <w:t>After section 59(3) insert:</w:t>
      </w:r>
    </w:p>
    <w:p>
      <w:pPr>
        <w:pStyle w:val="BlankOpen"/>
      </w:pPr>
    </w:p>
    <w:p>
      <w:pPr>
        <w:pStyle w:val="zSubsection"/>
      </w:pPr>
      <w:r>
        <w:tab/>
        <w:t>(3A)</w:t>
      </w:r>
      <w:r>
        <w:tab/>
        <w:t>Subsections (2) and (3) have effect subject to the GTE Act.</w:t>
      </w:r>
    </w:p>
    <w:p>
      <w:pPr>
        <w:pStyle w:val="BlankClose"/>
      </w:pPr>
    </w:p>
    <w:p>
      <w:pPr>
        <w:pStyle w:val="Subsection"/>
      </w:pPr>
      <w:r>
        <w:tab/>
        <w:t>(3)</w:t>
      </w:r>
      <w:r>
        <w:tab/>
        <w:t>In section 59(4)(b) delete “within the meaning in section 99(1); and” and insert:</w:t>
      </w:r>
    </w:p>
    <w:p>
      <w:pPr>
        <w:pStyle w:val="BlankOpen"/>
      </w:pPr>
    </w:p>
    <w:p>
      <w:pPr>
        <w:pStyle w:val="Subsection"/>
      </w:pPr>
      <w:r>
        <w:tab/>
      </w:r>
      <w:r>
        <w:tab/>
        <w:t>(as defined in the GTE Act section 69(1)); and</w:t>
      </w:r>
    </w:p>
    <w:p>
      <w:pPr>
        <w:pStyle w:val="BlankClose"/>
      </w:pPr>
    </w:p>
    <w:p>
      <w:pPr>
        <w:pStyle w:val="Heading5"/>
      </w:pPr>
      <w:bookmarkStart w:id="377" w:name="_Toc182400479"/>
      <w:r>
        <w:rPr>
          <w:rStyle w:val="CharSectno"/>
        </w:rPr>
        <w:t>197</w:t>
      </w:r>
      <w:r>
        <w:t>.</w:t>
      </w:r>
      <w:r>
        <w:tab/>
        <w:t>Section 60 amended</w:t>
      </w:r>
      <w:bookmarkEnd w:id="377"/>
    </w:p>
    <w:p>
      <w:pPr>
        <w:pStyle w:val="Subsection"/>
        <w:keepNext/>
      </w:pPr>
      <w:r>
        <w:tab/>
      </w:r>
      <w:r>
        <w:tab/>
        <w:t>In section 60(6) delete “section 107” and insert:</w:t>
      </w:r>
    </w:p>
    <w:p>
      <w:pPr>
        <w:pStyle w:val="BlankOpen"/>
      </w:pPr>
    </w:p>
    <w:p>
      <w:pPr>
        <w:pStyle w:val="Subsection"/>
      </w:pPr>
      <w:r>
        <w:tab/>
      </w:r>
      <w:r>
        <w:tab/>
        <w:t>the GTE Act section 144</w:t>
      </w:r>
    </w:p>
    <w:p>
      <w:pPr>
        <w:pStyle w:val="BlankClose"/>
      </w:pPr>
    </w:p>
    <w:p>
      <w:pPr>
        <w:pStyle w:val="Heading5"/>
      </w:pPr>
      <w:bookmarkStart w:id="378" w:name="_Toc182400480"/>
      <w:r>
        <w:rPr>
          <w:rStyle w:val="CharSectno"/>
        </w:rPr>
        <w:t>198</w:t>
      </w:r>
      <w:r>
        <w:t>.</w:t>
      </w:r>
      <w:r>
        <w:tab/>
        <w:t>Section 61 replaced</w:t>
      </w:r>
      <w:bookmarkEnd w:id="378"/>
    </w:p>
    <w:p>
      <w:pPr>
        <w:pStyle w:val="Subsection"/>
      </w:pPr>
      <w:r>
        <w:tab/>
      </w:r>
      <w:r>
        <w:tab/>
        <w:t>Delete section 61 and insert:</w:t>
      </w:r>
    </w:p>
    <w:p>
      <w:pPr>
        <w:pStyle w:val="BlankOpen"/>
      </w:pPr>
    </w:p>
    <w:p>
      <w:pPr>
        <w:pStyle w:val="zHeading5"/>
      </w:pPr>
      <w:bookmarkStart w:id="379" w:name="_Toc182400481"/>
      <w:r>
        <w:t>61.</w:t>
      </w:r>
      <w:r>
        <w:tab/>
        <w:t>Limitation of corporation’s duty to act on commercial principles</w:t>
      </w:r>
      <w:bookmarkEnd w:id="379"/>
    </w:p>
    <w:p>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BlankClose"/>
      </w:pPr>
    </w:p>
    <w:p>
      <w:pPr>
        <w:pStyle w:val="Heading5"/>
      </w:pPr>
      <w:bookmarkStart w:id="380" w:name="_Toc182400482"/>
      <w:r>
        <w:rPr>
          <w:rStyle w:val="CharSectno"/>
        </w:rPr>
        <w:t>199</w:t>
      </w:r>
      <w:r>
        <w:t>.</w:t>
      </w:r>
      <w:r>
        <w:tab/>
        <w:t>Section 63 amended</w:t>
      </w:r>
      <w:bookmarkEnd w:id="380"/>
    </w:p>
    <w:p>
      <w:pPr>
        <w:pStyle w:val="Subsection"/>
      </w:pPr>
      <w:r>
        <w:tab/>
      </w:r>
      <w:r>
        <w:tab/>
        <w:t>Delete section 63(5).</w:t>
      </w:r>
    </w:p>
    <w:p>
      <w:pPr>
        <w:pStyle w:val="Heading5"/>
      </w:pPr>
      <w:bookmarkStart w:id="381" w:name="_Toc182400483"/>
      <w:r>
        <w:rPr>
          <w:rStyle w:val="CharSectno"/>
        </w:rPr>
        <w:lastRenderedPageBreak/>
        <w:t>200</w:t>
      </w:r>
      <w:r>
        <w:t>.</w:t>
      </w:r>
      <w:r>
        <w:tab/>
        <w:t>Sections 64 to 70 deleted</w:t>
      </w:r>
      <w:bookmarkEnd w:id="381"/>
    </w:p>
    <w:p>
      <w:pPr>
        <w:pStyle w:val="Subsection"/>
      </w:pPr>
      <w:r>
        <w:tab/>
      </w:r>
      <w:r>
        <w:tab/>
        <w:t>Delete sections 64 to 70.</w:t>
      </w:r>
    </w:p>
    <w:p>
      <w:pPr>
        <w:pStyle w:val="Heading5"/>
      </w:pPr>
      <w:bookmarkStart w:id="382" w:name="_Toc182400484"/>
      <w:r>
        <w:rPr>
          <w:rStyle w:val="CharSectno"/>
        </w:rPr>
        <w:t>201</w:t>
      </w:r>
      <w:r>
        <w:t>.</w:t>
      </w:r>
      <w:r>
        <w:tab/>
        <w:t>Section 71 amended</w:t>
      </w:r>
      <w:bookmarkEnd w:id="382"/>
    </w:p>
    <w:p>
      <w:pPr>
        <w:pStyle w:val="Subsection"/>
      </w:pPr>
      <w:r>
        <w:tab/>
        <w:t>(1)</w:t>
      </w:r>
      <w:r>
        <w:tab/>
        <w:t>In section 71(2)(d) delete “section 13; or” and insert:</w:t>
      </w:r>
    </w:p>
    <w:p>
      <w:pPr>
        <w:pStyle w:val="BlankOpen"/>
      </w:pPr>
    </w:p>
    <w:p>
      <w:pPr>
        <w:pStyle w:val="Subsection"/>
      </w:pPr>
      <w:r>
        <w:tab/>
      </w:r>
      <w:r>
        <w:tab/>
        <w:t>the GTE Act section 26(1); or</w:t>
      </w:r>
    </w:p>
    <w:p>
      <w:pPr>
        <w:pStyle w:val="BlankClose"/>
      </w:pPr>
    </w:p>
    <w:p>
      <w:pPr>
        <w:pStyle w:val="Subsection"/>
      </w:pPr>
      <w:r>
        <w:tab/>
        <w:t>(2)</w:t>
      </w:r>
      <w:r>
        <w:tab/>
        <w:t>After section 71(6)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383" w:name="_Toc182400485"/>
      <w:r>
        <w:rPr>
          <w:rStyle w:val="CharSectno"/>
        </w:rPr>
        <w:t>202</w:t>
      </w:r>
      <w:r>
        <w:t>.</w:t>
      </w:r>
      <w:r>
        <w:tab/>
        <w:t>Part 3 Division 4 deleted</w:t>
      </w:r>
      <w:bookmarkEnd w:id="383"/>
    </w:p>
    <w:p>
      <w:pPr>
        <w:pStyle w:val="Subsection"/>
      </w:pPr>
      <w:r>
        <w:tab/>
      </w:r>
      <w:r>
        <w:tab/>
        <w:t>Delete Part 3 Division 4.</w:t>
      </w:r>
    </w:p>
    <w:p>
      <w:pPr>
        <w:pStyle w:val="Heading5"/>
      </w:pPr>
      <w:bookmarkStart w:id="384" w:name="_Toc182400486"/>
      <w:r>
        <w:rPr>
          <w:rStyle w:val="CharSectno"/>
        </w:rPr>
        <w:t>203</w:t>
      </w:r>
      <w:r>
        <w:t>.</w:t>
      </w:r>
      <w:r>
        <w:tab/>
        <w:t>Part 5 heading replaced</w:t>
      </w:r>
      <w:bookmarkEnd w:id="384"/>
    </w:p>
    <w:p>
      <w:pPr>
        <w:pStyle w:val="Subsection"/>
      </w:pPr>
      <w:r>
        <w:tab/>
      </w:r>
      <w:r>
        <w:tab/>
        <w:t>Delete the heading to Part 5 and insert:</w:t>
      </w:r>
    </w:p>
    <w:p>
      <w:pPr>
        <w:pStyle w:val="BlankOpen"/>
      </w:pPr>
    </w:p>
    <w:p>
      <w:pPr>
        <w:pStyle w:val="zHeading2"/>
      </w:pPr>
      <w:bookmarkStart w:id="385" w:name="_Toc182383725"/>
      <w:bookmarkStart w:id="386" w:name="_Toc182384334"/>
      <w:bookmarkStart w:id="387" w:name="_Toc182400487"/>
      <w:r>
        <w:t>Part 5 — Ministerial directions</w:t>
      </w:r>
      <w:bookmarkEnd w:id="385"/>
      <w:bookmarkEnd w:id="386"/>
      <w:bookmarkEnd w:id="387"/>
    </w:p>
    <w:p>
      <w:pPr>
        <w:pStyle w:val="BlankClose"/>
      </w:pPr>
    </w:p>
    <w:p>
      <w:pPr>
        <w:pStyle w:val="Heading5"/>
      </w:pPr>
      <w:bookmarkStart w:id="388" w:name="_Toc182400488"/>
      <w:r>
        <w:rPr>
          <w:rStyle w:val="CharSectno"/>
        </w:rPr>
        <w:t>204</w:t>
      </w:r>
      <w:r>
        <w:t>.</w:t>
      </w:r>
      <w:r>
        <w:tab/>
        <w:t>Part 5 Divisions 1 to 3 deleted</w:t>
      </w:r>
      <w:bookmarkEnd w:id="388"/>
    </w:p>
    <w:p>
      <w:pPr>
        <w:pStyle w:val="Subsection"/>
      </w:pPr>
      <w:r>
        <w:tab/>
      </w:r>
      <w:r>
        <w:tab/>
        <w:t>Delete Part 5 Divisions 1 to 3.</w:t>
      </w:r>
    </w:p>
    <w:p>
      <w:pPr>
        <w:pStyle w:val="Heading5"/>
      </w:pPr>
      <w:bookmarkStart w:id="389" w:name="_Toc182400489"/>
      <w:r>
        <w:rPr>
          <w:rStyle w:val="CharSectno"/>
        </w:rPr>
        <w:t>205</w:t>
      </w:r>
      <w:r>
        <w:t>.</w:t>
      </w:r>
      <w:r>
        <w:tab/>
        <w:t>Part 5 Division 4 heading deleted</w:t>
      </w:r>
      <w:bookmarkEnd w:id="389"/>
    </w:p>
    <w:p>
      <w:pPr>
        <w:pStyle w:val="Subsection"/>
      </w:pPr>
      <w:r>
        <w:tab/>
      </w:r>
      <w:r>
        <w:tab/>
        <w:t>Delete the heading to Part 5 Division 4.</w:t>
      </w:r>
    </w:p>
    <w:p>
      <w:pPr>
        <w:pStyle w:val="Heading5"/>
      </w:pPr>
      <w:bookmarkStart w:id="390" w:name="_Toc182400490"/>
      <w:r>
        <w:rPr>
          <w:rStyle w:val="CharSectno"/>
        </w:rPr>
        <w:lastRenderedPageBreak/>
        <w:t>206</w:t>
      </w:r>
      <w:r>
        <w:t>.</w:t>
      </w:r>
      <w:r>
        <w:tab/>
        <w:t>Sections 110 to 113 replaced</w:t>
      </w:r>
      <w:bookmarkEnd w:id="390"/>
    </w:p>
    <w:p>
      <w:pPr>
        <w:pStyle w:val="Subsection"/>
      </w:pPr>
      <w:r>
        <w:tab/>
      </w:r>
      <w:r>
        <w:tab/>
        <w:t>Delete sections 110 to 113 and insert:</w:t>
      </w:r>
    </w:p>
    <w:p>
      <w:pPr>
        <w:pStyle w:val="BlankOpen"/>
      </w:pPr>
    </w:p>
    <w:p>
      <w:pPr>
        <w:pStyle w:val="zHeading5"/>
      </w:pPr>
      <w:bookmarkStart w:id="391" w:name="_Toc182400491"/>
      <w:r>
        <w:t>111.</w:t>
      </w:r>
      <w:r>
        <w:tab/>
        <w:t>Directions that cannot be given under GTE Act s. 108</w:t>
      </w:r>
      <w:bookmarkEnd w:id="391"/>
    </w:p>
    <w:p>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BlankClose"/>
      </w:pPr>
    </w:p>
    <w:p>
      <w:pPr>
        <w:pStyle w:val="Heading5"/>
      </w:pPr>
      <w:bookmarkStart w:id="392" w:name="_Toc182400492"/>
      <w:r>
        <w:rPr>
          <w:rStyle w:val="CharSectno"/>
        </w:rPr>
        <w:t>207</w:t>
      </w:r>
      <w:r>
        <w:t>.</w:t>
      </w:r>
      <w:r>
        <w:tab/>
        <w:t>Part 5 Divisions 5 and 6 deleted</w:t>
      </w:r>
      <w:bookmarkEnd w:id="392"/>
    </w:p>
    <w:p>
      <w:pPr>
        <w:pStyle w:val="Subsection"/>
      </w:pPr>
      <w:r>
        <w:tab/>
      </w:r>
      <w:r>
        <w:tab/>
        <w:t>Delete Part 5 Divisions 5 and 6.</w:t>
      </w:r>
    </w:p>
    <w:p>
      <w:pPr>
        <w:pStyle w:val="Heading5"/>
      </w:pPr>
      <w:bookmarkStart w:id="393" w:name="_Toc182400493"/>
      <w:r>
        <w:rPr>
          <w:rStyle w:val="CharSectno"/>
        </w:rPr>
        <w:t>208</w:t>
      </w:r>
      <w:r>
        <w:t>.</w:t>
      </w:r>
      <w:r>
        <w:tab/>
        <w:t>Part 6 deleted</w:t>
      </w:r>
      <w:bookmarkEnd w:id="393"/>
    </w:p>
    <w:p>
      <w:pPr>
        <w:pStyle w:val="Subsection"/>
      </w:pPr>
      <w:r>
        <w:tab/>
      </w:r>
      <w:r>
        <w:tab/>
        <w:t>Delete Part 6.</w:t>
      </w:r>
    </w:p>
    <w:p>
      <w:pPr>
        <w:pStyle w:val="Heading5"/>
      </w:pPr>
      <w:bookmarkStart w:id="394" w:name="_Toc182400494"/>
      <w:r>
        <w:rPr>
          <w:rStyle w:val="CharSectno"/>
        </w:rPr>
        <w:t>209</w:t>
      </w:r>
      <w:r>
        <w:t>.</w:t>
      </w:r>
      <w:r>
        <w:tab/>
        <w:t>Sections 134 to 136 replaced</w:t>
      </w:r>
      <w:bookmarkEnd w:id="394"/>
    </w:p>
    <w:p>
      <w:pPr>
        <w:pStyle w:val="Subsection"/>
      </w:pPr>
      <w:r>
        <w:tab/>
      </w:r>
      <w:r>
        <w:tab/>
        <w:t>Delete sections 134 to 136 and insert:</w:t>
      </w:r>
    </w:p>
    <w:p>
      <w:pPr>
        <w:pStyle w:val="BlankOpen"/>
      </w:pPr>
    </w:p>
    <w:p>
      <w:pPr>
        <w:pStyle w:val="zHeading5"/>
      </w:pPr>
      <w:bookmarkStart w:id="395" w:name="_Toc182400495"/>
      <w:r>
        <w:t>134.</w:t>
      </w:r>
      <w:r>
        <w:tab/>
        <w:t>Laying documents before Parliament not sitting</w:t>
      </w:r>
      <w:bookmarkEnd w:id="395"/>
    </w:p>
    <w:p>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396" w:name="_Toc182400496"/>
      <w:r>
        <w:rPr>
          <w:rStyle w:val="CharSectno"/>
        </w:rPr>
        <w:lastRenderedPageBreak/>
        <w:t>210</w:t>
      </w:r>
      <w:r>
        <w:t>.</w:t>
      </w:r>
      <w:r>
        <w:tab/>
        <w:t>Section 138 amended</w:t>
      </w:r>
      <w:bookmarkEnd w:id="396"/>
    </w:p>
    <w:p>
      <w:pPr>
        <w:pStyle w:val="Subsection"/>
      </w:pPr>
      <w:r>
        <w:tab/>
      </w:r>
      <w:r>
        <w:tab/>
        <w:t>After section 138(2)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397" w:name="_Toc182400497"/>
      <w:r>
        <w:rPr>
          <w:rStyle w:val="CharSectno"/>
        </w:rPr>
        <w:t>211</w:t>
      </w:r>
      <w:r>
        <w:t>.</w:t>
      </w:r>
      <w:r>
        <w:tab/>
        <w:t>Schedules 1 to 4 deleted</w:t>
      </w:r>
      <w:bookmarkEnd w:id="397"/>
    </w:p>
    <w:p>
      <w:pPr>
        <w:pStyle w:val="Subsection"/>
      </w:pPr>
      <w:r>
        <w:tab/>
      </w:r>
      <w:r>
        <w:tab/>
        <w:t>Delete Schedules 1 to 4.</w:t>
      </w:r>
    </w:p>
    <w:p>
      <w:pPr>
        <w:pStyle w:val="Heading3"/>
      </w:pPr>
      <w:bookmarkStart w:id="398" w:name="_Toc182383736"/>
      <w:bookmarkStart w:id="399" w:name="_Toc182384345"/>
      <w:bookmarkStart w:id="400" w:name="_Toc182400498"/>
      <w:r>
        <w:rPr>
          <w:rStyle w:val="CharDivNo"/>
        </w:rPr>
        <w:t>Division 2</w:t>
      </w:r>
      <w:r>
        <w:t> — </w:t>
      </w:r>
      <w:r>
        <w:rPr>
          <w:rStyle w:val="CharDivText"/>
          <w:i/>
        </w:rPr>
        <w:t>Gold Corporation Act 1987</w:t>
      </w:r>
      <w:r>
        <w:rPr>
          <w:rStyle w:val="CharDivText"/>
        </w:rPr>
        <w:t xml:space="preserve"> amended</w:t>
      </w:r>
      <w:bookmarkEnd w:id="398"/>
      <w:bookmarkEnd w:id="399"/>
      <w:bookmarkEnd w:id="400"/>
    </w:p>
    <w:p>
      <w:pPr>
        <w:pStyle w:val="Heading5"/>
      </w:pPr>
      <w:bookmarkStart w:id="401" w:name="_Toc182400499"/>
      <w:r>
        <w:rPr>
          <w:rStyle w:val="CharSectno"/>
        </w:rPr>
        <w:t>212</w:t>
      </w:r>
      <w:r>
        <w:t>.</w:t>
      </w:r>
      <w:r>
        <w:tab/>
        <w:t>Act amended</w:t>
      </w:r>
      <w:bookmarkEnd w:id="401"/>
    </w:p>
    <w:p>
      <w:pPr>
        <w:pStyle w:val="Subsection"/>
      </w:pPr>
      <w:r>
        <w:tab/>
      </w:r>
      <w:r>
        <w:tab/>
        <w:t xml:space="preserve">This Division amends the </w:t>
      </w:r>
      <w:r>
        <w:rPr>
          <w:i/>
        </w:rPr>
        <w:t>Gold Corporation Act 1987</w:t>
      </w:r>
      <w:r>
        <w:t>.</w:t>
      </w:r>
    </w:p>
    <w:p>
      <w:pPr>
        <w:pStyle w:val="Heading5"/>
      </w:pPr>
      <w:bookmarkStart w:id="402" w:name="_Toc182400500"/>
      <w:r>
        <w:rPr>
          <w:rStyle w:val="CharSectno"/>
        </w:rPr>
        <w:t>213</w:t>
      </w:r>
      <w:r>
        <w:t>.</w:t>
      </w:r>
      <w:r>
        <w:tab/>
        <w:t xml:space="preserve">Various references to </w:t>
      </w:r>
      <w:r>
        <w:rPr>
          <w:i/>
        </w:rPr>
        <w:t>Salaries and Allowances Act 1975</w:t>
      </w:r>
      <w:r>
        <w:t xml:space="preserve"> s. 7C amended</w:t>
      </w:r>
      <w:bookmarkEnd w:id="402"/>
    </w:p>
    <w:p>
      <w:pPr>
        <w:pStyle w:val="Subsection"/>
      </w:pPr>
      <w:r>
        <w:tab/>
      </w:r>
      <w:r>
        <w:tab/>
        <w:t>In the provisions listed in the Table delete “section 7C(1)” (each occurrence) and insert:</w:t>
      </w:r>
    </w:p>
    <w:p>
      <w:pPr>
        <w:pStyle w:val="BlankOpen"/>
      </w:pPr>
    </w:p>
    <w:p>
      <w:pPr>
        <w:pStyle w:val="Subsection"/>
      </w:pPr>
      <w:r>
        <w:tab/>
      </w:r>
      <w:r>
        <w:tab/>
        <w:t>section 7BA</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8A(2)</w:t>
            </w:r>
          </w:p>
        </w:tc>
        <w:tc>
          <w:tcPr>
            <w:tcW w:w="3402" w:type="dxa"/>
          </w:tcPr>
          <w:p>
            <w:pPr>
              <w:pStyle w:val="TableAm"/>
            </w:pPr>
            <w:r>
              <w:t>s. 8B(2) and (4)</w:t>
            </w:r>
          </w:p>
        </w:tc>
      </w:tr>
      <w:tr>
        <w:trPr>
          <w:cantSplit/>
          <w:jc w:val="center"/>
        </w:trPr>
        <w:tc>
          <w:tcPr>
            <w:tcW w:w="3402" w:type="dxa"/>
          </w:tcPr>
          <w:p>
            <w:pPr>
              <w:pStyle w:val="TableAm"/>
            </w:pPr>
            <w:r>
              <w:t>s. 41A(2)</w:t>
            </w:r>
          </w:p>
        </w:tc>
        <w:tc>
          <w:tcPr>
            <w:tcW w:w="3402" w:type="dxa"/>
          </w:tcPr>
          <w:p>
            <w:pPr>
              <w:pStyle w:val="TableAm"/>
            </w:pPr>
            <w:r>
              <w:t xml:space="preserve">s. 41B(2), (3) and (4) </w:t>
            </w:r>
          </w:p>
        </w:tc>
      </w:tr>
      <w:tr>
        <w:trPr>
          <w:cantSplit/>
          <w:jc w:val="center"/>
        </w:trPr>
        <w:tc>
          <w:tcPr>
            <w:tcW w:w="3402" w:type="dxa"/>
          </w:tcPr>
          <w:p>
            <w:pPr>
              <w:pStyle w:val="TableAm"/>
            </w:pPr>
            <w:r>
              <w:t>s. 52A(2)</w:t>
            </w:r>
          </w:p>
        </w:tc>
        <w:tc>
          <w:tcPr>
            <w:tcW w:w="3402" w:type="dxa"/>
          </w:tcPr>
          <w:p>
            <w:pPr>
              <w:pStyle w:val="TableAm"/>
            </w:pPr>
            <w:r>
              <w:t xml:space="preserve">s. 52B(2), (3) and (4)  </w:t>
            </w:r>
          </w:p>
        </w:tc>
      </w:tr>
    </w:tbl>
    <w:p>
      <w:pPr>
        <w:pStyle w:val="Heading3"/>
      </w:pPr>
      <w:bookmarkStart w:id="403" w:name="_Toc182383739"/>
      <w:bookmarkStart w:id="404" w:name="_Toc182384348"/>
      <w:bookmarkStart w:id="405" w:name="_Toc182400501"/>
      <w:r>
        <w:rPr>
          <w:rStyle w:val="CharDivNo"/>
        </w:rPr>
        <w:t>Division 3</w:t>
      </w:r>
      <w:r>
        <w:t> — </w:t>
      </w:r>
      <w:r>
        <w:rPr>
          <w:rStyle w:val="CharDivText"/>
          <w:i/>
        </w:rPr>
        <w:t>Perth Market (Disposal) Act 2015</w:t>
      </w:r>
      <w:r>
        <w:rPr>
          <w:rStyle w:val="CharDivText"/>
        </w:rPr>
        <w:t xml:space="preserve"> amended</w:t>
      </w:r>
      <w:bookmarkEnd w:id="403"/>
      <w:bookmarkEnd w:id="404"/>
      <w:bookmarkEnd w:id="405"/>
    </w:p>
    <w:p>
      <w:pPr>
        <w:pStyle w:val="Heading5"/>
      </w:pPr>
      <w:bookmarkStart w:id="406" w:name="_Toc182400502"/>
      <w:r>
        <w:rPr>
          <w:rStyle w:val="CharSectno"/>
        </w:rPr>
        <w:t>214</w:t>
      </w:r>
      <w:r>
        <w:t>.</w:t>
      </w:r>
      <w:r>
        <w:tab/>
        <w:t>Act amended</w:t>
      </w:r>
      <w:bookmarkEnd w:id="406"/>
    </w:p>
    <w:p>
      <w:pPr>
        <w:pStyle w:val="Subsection"/>
      </w:pPr>
      <w:r>
        <w:tab/>
      </w:r>
      <w:r>
        <w:tab/>
        <w:t xml:space="preserve">This Division amends the </w:t>
      </w:r>
      <w:r>
        <w:rPr>
          <w:i/>
        </w:rPr>
        <w:t>Perth Market (Disposal) Act 2015</w:t>
      </w:r>
      <w:r>
        <w:t>.</w:t>
      </w:r>
    </w:p>
    <w:p>
      <w:pPr>
        <w:pStyle w:val="Heading5"/>
      </w:pPr>
      <w:bookmarkStart w:id="407" w:name="_Toc182400503"/>
      <w:r>
        <w:rPr>
          <w:rStyle w:val="CharSectno"/>
        </w:rPr>
        <w:t>215</w:t>
      </w:r>
      <w:r>
        <w:t>.</w:t>
      </w:r>
      <w:r>
        <w:tab/>
        <w:t>Section 28 amended</w:t>
      </w:r>
      <w:bookmarkEnd w:id="407"/>
    </w:p>
    <w:p>
      <w:pPr>
        <w:pStyle w:val="Subsection"/>
      </w:pPr>
      <w:r>
        <w:tab/>
      </w:r>
      <w:r>
        <w:tab/>
        <w:t>Delete section 28(2)(b)(ii).</w:t>
      </w:r>
    </w:p>
    <w:p>
      <w:pPr>
        <w:pStyle w:val="Heading3"/>
      </w:pPr>
      <w:bookmarkStart w:id="408" w:name="_Toc182383742"/>
      <w:bookmarkStart w:id="409" w:name="_Toc182384351"/>
      <w:bookmarkStart w:id="410" w:name="_Toc182400504"/>
      <w:r>
        <w:rPr>
          <w:rStyle w:val="CharDivNo"/>
        </w:rPr>
        <w:t>Division 4</w:t>
      </w:r>
      <w:r>
        <w:t> — </w:t>
      </w:r>
      <w:r>
        <w:rPr>
          <w:rStyle w:val="CharDivText"/>
          <w:i/>
        </w:rPr>
        <w:t>Pilbara Port Assets (Disposal) Act 2016</w:t>
      </w:r>
      <w:r>
        <w:rPr>
          <w:rStyle w:val="CharDivText"/>
        </w:rPr>
        <w:t xml:space="preserve"> amended</w:t>
      </w:r>
      <w:bookmarkEnd w:id="408"/>
      <w:bookmarkEnd w:id="409"/>
      <w:bookmarkEnd w:id="410"/>
    </w:p>
    <w:p>
      <w:pPr>
        <w:pStyle w:val="Heading5"/>
      </w:pPr>
      <w:bookmarkStart w:id="411" w:name="_Toc182400505"/>
      <w:r>
        <w:rPr>
          <w:rStyle w:val="CharSectno"/>
        </w:rPr>
        <w:t>216</w:t>
      </w:r>
      <w:r>
        <w:t>.</w:t>
      </w:r>
      <w:r>
        <w:tab/>
        <w:t>Act amended</w:t>
      </w:r>
      <w:bookmarkEnd w:id="411"/>
    </w:p>
    <w:p>
      <w:pPr>
        <w:pStyle w:val="Subsection"/>
      </w:pPr>
      <w:r>
        <w:tab/>
      </w:r>
      <w:r>
        <w:tab/>
        <w:t xml:space="preserve">This Division amends the </w:t>
      </w:r>
      <w:r>
        <w:rPr>
          <w:i/>
        </w:rPr>
        <w:t>Pilbara Port Assets (Disposal) Act 2016</w:t>
      </w:r>
      <w:r>
        <w:t>.</w:t>
      </w:r>
    </w:p>
    <w:p>
      <w:pPr>
        <w:pStyle w:val="Heading5"/>
      </w:pPr>
      <w:bookmarkStart w:id="412" w:name="_Toc182400506"/>
      <w:r>
        <w:rPr>
          <w:rStyle w:val="CharSectno"/>
        </w:rPr>
        <w:t>217</w:t>
      </w:r>
      <w:r>
        <w:t>.</w:t>
      </w:r>
      <w:r>
        <w:tab/>
        <w:t>Section 27 amended</w:t>
      </w:r>
      <w:bookmarkEnd w:id="412"/>
    </w:p>
    <w:p>
      <w:pPr>
        <w:pStyle w:val="Subsection"/>
      </w:pPr>
      <w:r>
        <w:tab/>
      </w:r>
      <w:r>
        <w:tab/>
        <w:t>Delete section 27(1)(b) and insert:</w:t>
      </w:r>
    </w:p>
    <w:p>
      <w:pPr>
        <w:pStyle w:val="BlankOpen"/>
      </w:pPr>
    </w:p>
    <w:p>
      <w:pPr>
        <w:pStyle w:val="zIndenta"/>
      </w:pPr>
      <w:r>
        <w:tab/>
        <w:t>(b)</w:t>
      </w:r>
      <w:r>
        <w:tab/>
        <w:t xml:space="preserve">a breach of duty under the </w:t>
      </w:r>
      <w:r>
        <w:rPr>
          <w:i/>
        </w:rPr>
        <w:t>Statutory Corporations (Liability of Directors) Act 1996</w:t>
      </w:r>
      <w:r>
        <w:t xml:space="preserve"> section 5; or</w:t>
      </w:r>
    </w:p>
    <w:p>
      <w:pPr>
        <w:pStyle w:val="BlankClose"/>
      </w:pPr>
    </w:p>
    <w:p>
      <w:pPr>
        <w:pStyle w:val="Heading3"/>
      </w:pPr>
      <w:bookmarkStart w:id="413" w:name="_Toc182383745"/>
      <w:bookmarkStart w:id="414" w:name="_Toc182384354"/>
      <w:bookmarkStart w:id="415" w:name="_Toc182400507"/>
      <w:r>
        <w:rPr>
          <w:rStyle w:val="CharDivNo"/>
        </w:rPr>
        <w:lastRenderedPageBreak/>
        <w:t>Division 5</w:t>
      </w:r>
      <w:r>
        <w:t> — </w:t>
      </w:r>
      <w:r>
        <w:rPr>
          <w:rStyle w:val="CharDivText"/>
          <w:i/>
        </w:rPr>
        <w:t>Port Authorities Act 1999</w:t>
      </w:r>
      <w:r>
        <w:rPr>
          <w:rStyle w:val="CharDivText"/>
        </w:rPr>
        <w:t xml:space="preserve"> amended</w:t>
      </w:r>
      <w:bookmarkEnd w:id="413"/>
      <w:bookmarkEnd w:id="414"/>
      <w:bookmarkEnd w:id="415"/>
    </w:p>
    <w:p>
      <w:pPr>
        <w:pStyle w:val="Heading5"/>
      </w:pPr>
      <w:bookmarkStart w:id="416" w:name="_Toc182400508"/>
      <w:r>
        <w:rPr>
          <w:rStyle w:val="CharSectno"/>
        </w:rPr>
        <w:t>218</w:t>
      </w:r>
      <w:r>
        <w:t>.</w:t>
      </w:r>
      <w:r>
        <w:tab/>
        <w:t>Act amended</w:t>
      </w:r>
      <w:bookmarkEnd w:id="416"/>
    </w:p>
    <w:p>
      <w:pPr>
        <w:pStyle w:val="Subsection"/>
        <w:keepNext/>
      </w:pPr>
      <w:r>
        <w:tab/>
      </w:r>
      <w:r>
        <w:tab/>
        <w:t xml:space="preserve">This Division amends the </w:t>
      </w:r>
      <w:r>
        <w:rPr>
          <w:i/>
        </w:rPr>
        <w:t>Port Authorities Act 1999</w:t>
      </w:r>
      <w:r>
        <w:t>.</w:t>
      </w:r>
    </w:p>
    <w:p>
      <w:pPr>
        <w:pStyle w:val="Heading5"/>
      </w:pPr>
      <w:bookmarkStart w:id="417" w:name="_Toc182400509"/>
      <w:r>
        <w:rPr>
          <w:rStyle w:val="CharSectno"/>
        </w:rPr>
        <w:t>219</w:t>
      </w:r>
      <w:r>
        <w:t>.</w:t>
      </w:r>
      <w:r>
        <w:tab/>
        <w:t>Section 3 amended</w:t>
      </w:r>
      <w:bookmarkEnd w:id="417"/>
    </w:p>
    <w:p>
      <w:pPr>
        <w:pStyle w:val="Subsection"/>
      </w:pPr>
      <w:r>
        <w:tab/>
        <w:t>(1)</w:t>
      </w:r>
      <w:r>
        <w:tab/>
        <w:t>In section 3(1) delete the definitions of:</w:t>
      </w:r>
    </w:p>
    <w:p>
      <w:pPr>
        <w:pStyle w:val="DeleteListSub"/>
      </w:pPr>
      <w:r>
        <w:rPr>
          <w:b/>
          <w:i/>
        </w:rPr>
        <w:t>board</w:t>
      </w:r>
    </w:p>
    <w:p>
      <w:pPr>
        <w:pStyle w:val="DeleteListSub"/>
      </w:pPr>
      <w:r>
        <w:rPr>
          <w:b/>
          <w:i/>
        </w:rPr>
        <w:t>CEO</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3(4).</w:t>
      </w:r>
    </w:p>
    <w:p>
      <w:pPr>
        <w:pStyle w:val="Heading5"/>
      </w:pPr>
      <w:bookmarkStart w:id="418" w:name="_Toc182400510"/>
      <w:r>
        <w:rPr>
          <w:rStyle w:val="CharSectno"/>
        </w:rPr>
        <w:t>220</w:t>
      </w:r>
      <w:r>
        <w:t>.</w:t>
      </w:r>
      <w:r>
        <w:tab/>
        <w:t>Section 3A inserted</w:t>
      </w:r>
      <w:bookmarkEnd w:id="418"/>
    </w:p>
    <w:p>
      <w:pPr>
        <w:pStyle w:val="Subsection"/>
      </w:pPr>
      <w:r>
        <w:tab/>
      </w:r>
      <w:r>
        <w:tab/>
        <w:t>At the end of Part 1 insert:</w:t>
      </w:r>
    </w:p>
    <w:p>
      <w:pPr>
        <w:pStyle w:val="BlankOpen"/>
      </w:pPr>
    </w:p>
    <w:p>
      <w:pPr>
        <w:pStyle w:val="zHeading5"/>
      </w:pPr>
      <w:bookmarkStart w:id="419" w:name="_Toc182400511"/>
      <w:r>
        <w:t>3A.</w:t>
      </w:r>
      <w:r>
        <w:tab/>
        <w:t>Relationship to GTE Act</w:t>
      </w:r>
      <w:bookmarkEnd w:id="419"/>
    </w:p>
    <w:p>
      <w:pPr>
        <w:pStyle w:val="zSubsection"/>
      </w:pPr>
      <w:r>
        <w:tab/>
      </w:r>
      <w:r>
        <w:tab/>
        <w:t>The GTE Act is to be read with this Act as if they formed a single Act.</w:t>
      </w:r>
    </w:p>
    <w:p>
      <w:pPr>
        <w:pStyle w:val="BlankClose"/>
      </w:pPr>
    </w:p>
    <w:p>
      <w:pPr>
        <w:pStyle w:val="Heading5"/>
      </w:pPr>
      <w:bookmarkStart w:id="420" w:name="_Toc182400512"/>
      <w:r>
        <w:rPr>
          <w:rStyle w:val="CharSectno"/>
        </w:rPr>
        <w:lastRenderedPageBreak/>
        <w:t>221</w:t>
      </w:r>
      <w:r>
        <w:t>.</w:t>
      </w:r>
      <w:r>
        <w:tab/>
        <w:t>Part 2 Division 2 heading replaced</w:t>
      </w:r>
      <w:bookmarkEnd w:id="420"/>
    </w:p>
    <w:p>
      <w:pPr>
        <w:pStyle w:val="Subsection"/>
        <w:keepNext/>
      </w:pPr>
      <w:r>
        <w:tab/>
      </w:r>
      <w:r>
        <w:tab/>
        <w:t>Delete the heading to Part 2 Division 2 and insert:</w:t>
      </w:r>
    </w:p>
    <w:p>
      <w:pPr>
        <w:pStyle w:val="BlankOpen"/>
      </w:pPr>
    </w:p>
    <w:p>
      <w:pPr>
        <w:pStyle w:val="zHeading3"/>
      </w:pPr>
      <w:bookmarkStart w:id="421" w:name="_Toc182383751"/>
      <w:bookmarkStart w:id="422" w:name="_Toc182384360"/>
      <w:bookmarkStart w:id="423" w:name="_Toc182400513"/>
      <w:r>
        <w:t>Division 2 — Community consultation committees</w:t>
      </w:r>
      <w:bookmarkEnd w:id="421"/>
      <w:bookmarkEnd w:id="422"/>
      <w:bookmarkEnd w:id="423"/>
    </w:p>
    <w:p>
      <w:pPr>
        <w:pStyle w:val="BlankClose"/>
      </w:pPr>
    </w:p>
    <w:p>
      <w:pPr>
        <w:pStyle w:val="Heading5"/>
      </w:pPr>
      <w:bookmarkStart w:id="424" w:name="_Toc182400514"/>
      <w:r>
        <w:rPr>
          <w:rStyle w:val="CharSectno"/>
        </w:rPr>
        <w:t>222</w:t>
      </w:r>
      <w:r>
        <w:t>.</w:t>
      </w:r>
      <w:r>
        <w:tab/>
        <w:t>Sections 7 to 13 deleted</w:t>
      </w:r>
      <w:bookmarkEnd w:id="424"/>
    </w:p>
    <w:p>
      <w:pPr>
        <w:pStyle w:val="Subsection"/>
      </w:pPr>
      <w:r>
        <w:tab/>
      </w:r>
      <w:r>
        <w:tab/>
        <w:t>Delete sections 7 to 13.</w:t>
      </w:r>
    </w:p>
    <w:p>
      <w:pPr>
        <w:pStyle w:val="Heading5"/>
      </w:pPr>
      <w:bookmarkStart w:id="425" w:name="_Toc182400515"/>
      <w:r>
        <w:rPr>
          <w:rStyle w:val="CharSectno"/>
        </w:rPr>
        <w:t>223</w:t>
      </w:r>
      <w:r>
        <w:t>.</w:t>
      </w:r>
      <w:r>
        <w:tab/>
        <w:t>Section 14A amended</w:t>
      </w:r>
      <w:bookmarkEnd w:id="425"/>
    </w:p>
    <w:p>
      <w:pPr>
        <w:pStyle w:val="Subsection"/>
      </w:pPr>
      <w:r>
        <w:tab/>
      </w:r>
      <w:r>
        <w:tab/>
        <w:t>In section 14A(2) delete “section 13, a port authority must, under that section, establish a committee for the port” and insert:</w:t>
      </w:r>
    </w:p>
    <w:p>
      <w:pPr>
        <w:pStyle w:val="BlankOpen"/>
      </w:pPr>
    </w:p>
    <w:p>
      <w:pPr>
        <w:pStyle w:val="Subsection"/>
      </w:pPr>
      <w:r>
        <w:tab/>
      </w:r>
      <w:r>
        <w:tab/>
        <w:t>the GTE Act section 26, the board of a port authority must establish a committee for each port for which it has the control and management</w:t>
      </w:r>
    </w:p>
    <w:p>
      <w:pPr>
        <w:pStyle w:val="BlankClose"/>
      </w:pPr>
    </w:p>
    <w:p>
      <w:pPr>
        <w:pStyle w:val="Heading5"/>
      </w:pPr>
      <w:bookmarkStart w:id="426" w:name="_Toc182400516"/>
      <w:r>
        <w:rPr>
          <w:rStyle w:val="CharSectno"/>
        </w:rPr>
        <w:t>224</w:t>
      </w:r>
      <w:r>
        <w:t>.</w:t>
      </w:r>
      <w:r>
        <w:tab/>
        <w:t>Sections 14, 15A, 15B and 15 deleted</w:t>
      </w:r>
      <w:bookmarkEnd w:id="426"/>
    </w:p>
    <w:p>
      <w:pPr>
        <w:pStyle w:val="Subsection"/>
      </w:pPr>
      <w:r>
        <w:tab/>
      </w:r>
      <w:r>
        <w:tab/>
        <w:t>Delete sections 14, 15A, 15B and 15.</w:t>
      </w:r>
    </w:p>
    <w:p>
      <w:pPr>
        <w:pStyle w:val="Heading5"/>
      </w:pPr>
      <w:bookmarkStart w:id="427" w:name="_Toc182400517"/>
      <w:r>
        <w:rPr>
          <w:rStyle w:val="CharSectno"/>
        </w:rPr>
        <w:t>225</w:t>
      </w:r>
      <w:r>
        <w:t>.</w:t>
      </w:r>
      <w:r>
        <w:tab/>
        <w:t>Section 17 amended</w:t>
      </w:r>
      <w:bookmarkEnd w:id="427"/>
    </w:p>
    <w:p>
      <w:pPr>
        <w:pStyle w:val="Subsection"/>
      </w:pPr>
      <w:r>
        <w:tab/>
      </w:r>
      <w:r>
        <w:tab/>
        <w:t>Delete section 17(3) and insert:</w:t>
      </w:r>
    </w:p>
    <w:p>
      <w:pPr>
        <w:pStyle w:val="BlankOpen"/>
      </w:pPr>
    </w:p>
    <w:p>
      <w:pPr>
        <w:pStyle w:val="zSubsection"/>
      </w:pPr>
      <w:r>
        <w:tab/>
        <w:t>(3)</w:t>
      </w:r>
      <w:r>
        <w:tab/>
        <w:t>An instrument issued under subsection (1) may be expressed to apply to the chief executive officer of the corporation as if the chief executive officer were a member of staff.</w:t>
      </w:r>
    </w:p>
    <w:p>
      <w:pPr>
        <w:pStyle w:val="zSubsection"/>
      </w:pPr>
      <w:r>
        <w:tab/>
        <w:t>(3A)</w:t>
      </w:r>
      <w:r>
        <w:tab/>
        <w:t xml:space="preserve">If an instrument issued under subsection (1) applies to the chief executive officer of the corporation, </w:t>
      </w:r>
      <w:r>
        <w:lastRenderedPageBreak/>
        <w:t>subsection (2) does not affect the operation of the GTE Act section 37(5).</w:t>
      </w:r>
    </w:p>
    <w:p>
      <w:pPr>
        <w:pStyle w:val="BlankClose"/>
      </w:pPr>
    </w:p>
    <w:p>
      <w:pPr>
        <w:pStyle w:val="Heading5"/>
      </w:pPr>
      <w:bookmarkStart w:id="428" w:name="_Toc182400518"/>
      <w:r>
        <w:rPr>
          <w:rStyle w:val="CharSectno"/>
        </w:rPr>
        <w:t>226</w:t>
      </w:r>
      <w:r>
        <w:t>.</w:t>
      </w:r>
      <w:r>
        <w:tab/>
        <w:t>Section 20 deleted</w:t>
      </w:r>
      <w:bookmarkEnd w:id="428"/>
    </w:p>
    <w:p>
      <w:pPr>
        <w:pStyle w:val="Subsection"/>
      </w:pPr>
      <w:r>
        <w:tab/>
      </w:r>
      <w:r>
        <w:tab/>
        <w:t>Delete section 20.</w:t>
      </w:r>
    </w:p>
    <w:p>
      <w:pPr>
        <w:pStyle w:val="Heading5"/>
      </w:pPr>
      <w:bookmarkStart w:id="429" w:name="_Toc182400519"/>
      <w:r>
        <w:rPr>
          <w:rStyle w:val="CharSectno"/>
        </w:rPr>
        <w:t>227</w:t>
      </w:r>
      <w:r>
        <w:t>.</w:t>
      </w:r>
      <w:r>
        <w:tab/>
        <w:t>Section 23 amended</w:t>
      </w:r>
      <w:bookmarkEnd w:id="429"/>
    </w:p>
    <w:p>
      <w:pPr>
        <w:pStyle w:val="Subsection"/>
      </w:pPr>
      <w:r>
        <w:tab/>
      </w:r>
      <w:r>
        <w:tab/>
        <w:t>In section 23(1) delete “section 68,” and insert:</w:t>
      </w:r>
    </w:p>
    <w:p>
      <w:pPr>
        <w:pStyle w:val="BlankOpen"/>
      </w:pPr>
    </w:p>
    <w:p>
      <w:pPr>
        <w:pStyle w:val="Subsection"/>
      </w:pPr>
      <w:r>
        <w:tab/>
      </w:r>
      <w:r>
        <w:tab/>
        <w:t>the GTE Act section 81,</w:t>
      </w:r>
    </w:p>
    <w:p>
      <w:pPr>
        <w:pStyle w:val="BlankClose"/>
      </w:pPr>
    </w:p>
    <w:p>
      <w:pPr>
        <w:pStyle w:val="Heading5"/>
      </w:pPr>
      <w:bookmarkStart w:id="430" w:name="_Toc182400520"/>
      <w:r>
        <w:rPr>
          <w:rStyle w:val="CharSectno"/>
        </w:rPr>
        <w:t>228</w:t>
      </w:r>
      <w:r>
        <w:t>.</w:t>
      </w:r>
      <w:r>
        <w:tab/>
        <w:t>Part 4 Division 1 heading deleted</w:t>
      </w:r>
      <w:bookmarkEnd w:id="430"/>
    </w:p>
    <w:p>
      <w:pPr>
        <w:pStyle w:val="Subsection"/>
      </w:pPr>
      <w:r>
        <w:tab/>
      </w:r>
      <w:r>
        <w:tab/>
        <w:t>Delete the heading to Part 4 Division 1.</w:t>
      </w:r>
    </w:p>
    <w:p>
      <w:pPr>
        <w:pStyle w:val="Heading5"/>
      </w:pPr>
      <w:bookmarkStart w:id="431" w:name="_Toc182400521"/>
      <w:r>
        <w:rPr>
          <w:rStyle w:val="CharSectno"/>
        </w:rPr>
        <w:t>229</w:t>
      </w:r>
      <w:r>
        <w:t>.</w:t>
      </w:r>
      <w:r>
        <w:tab/>
        <w:t>Section 31 replaced</w:t>
      </w:r>
      <w:bookmarkEnd w:id="431"/>
    </w:p>
    <w:p>
      <w:pPr>
        <w:pStyle w:val="Subsection"/>
      </w:pPr>
      <w:r>
        <w:tab/>
      </w:r>
      <w:r>
        <w:tab/>
        <w:t>Delete section 31 and insert:</w:t>
      </w:r>
    </w:p>
    <w:p>
      <w:pPr>
        <w:pStyle w:val="BlankOpen"/>
      </w:pPr>
    </w:p>
    <w:p>
      <w:pPr>
        <w:pStyle w:val="zHeading5"/>
      </w:pPr>
      <w:bookmarkStart w:id="432" w:name="_Toc182400522"/>
      <w:r>
        <w:t>31.</w:t>
      </w:r>
      <w:r>
        <w:tab/>
        <w:t xml:space="preserve">Relationship to </w:t>
      </w:r>
      <w:r>
        <w:rPr>
          <w:i/>
        </w:rPr>
        <w:t>Environmental Protection Act 1986</w:t>
      </w:r>
      <w:bookmarkEnd w:id="432"/>
      <w:r>
        <w:t xml:space="preserve"> </w:t>
      </w:r>
    </w:p>
    <w:p>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BlankClose"/>
      </w:pPr>
    </w:p>
    <w:p>
      <w:pPr>
        <w:pStyle w:val="Heading5"/>
      </w:pPr>
      <w:bookmarkStart w:id="433" w:name="_Toc182400523"/>
      <w:r>
        <w:rPr>
          <w:rStyle w:val="CharSectno"/>
        </w:rPr>
        <w:t>230</w:t>
      </w:r>
      <w:r>
        <w:t>.</w:t>
      </w:r>
      <w:r>
        <w:tab/>
        <w:t>Section 32 amended</w:t>
      </w:r>
      <w:bookmarkEnd w:id="433"/>
    </w:p>
    <w:p>
      <w:pPr>
        <w:pStyle w:val="Subsection"/>
      </w:pPr>
      <w:r>
        <w:tab/>
      </w:r>
      <w:r>
        <w:tab/>
        <w:t>In section 32 delete “Minister,” and insert:</w:t>
      </w:r>
    </w:p>
    <w:p>
      <w:pPr>
        <w:pStyle w:val="BlankOpen"/>
        <w:rPr>
          <w:snapToGrid w:val="0"/>
        </w:rPr>
      </w:pPr>
    </w:p>
    <w:p>
      <w:pPr>
        <w:pStyle w:val="Subsection"/>
        <w:rPr>
          <w:snapToGrid w:val="0"/>
        </w:rPr>
      </w:pPr>
      <w:r>
        <w:rPr>
          <w:snapToGrid w:val="0"/>
        </w:rPr>
        <w:tab/>
      </w:r>
      <w:r>
        <w:rPr>
          <w:snapToGrid w:val="0"/>
        </w:rPr>
        <w:tab/>
        <w:t>Minister under the GTE Act Part 7 Division 4,</w:t>
      </w:r>
    </w:p>
    <w:p>
      <w:pPr>
        <w:pStyle w:val="BlankClose"/>
      </w:pPr>
    </w:p>
    <w:p>
      <w:pPr>
        <w:pStyle w:val="SectAltNote"/>
      </w:pPr>
      <w:r>
        <w:tab/>
        <w:t>Note: The heading to amended section 32 is to read:</w:t>
      </w:r>
    </w:p>
    <w:p>
      <w:pPr>
        <w:pStyle w:val="SectAltHeading"/>
      </w:pPr>
      <w:r>
        <w:tab/>
      </w:r>
      <w:r>
        <w:tab/>
        <w:t>Port authority has control of port</w:t>
      </w:r>
    </w:p>
    <w:p>
      <w:pPr>
        <w:pStyle w:val="Heading5"/>
      </w:pPr>
      <w:bookmarkStart w:id="434" w:name="_Toc182400524"/>
      <w:r>
        <w:rPr>
          <w:rStyle w:val="CharSectno"/>
        </w:rPr>
        <w:lastRenderedPageBreak/>
        <w:t>231</w:t>
      </w:r>
      <w:r>
        <w:t>.</w:t>
      </w:r>
      <w:r>
        <w:tab/>
        <w:t>Sections 33, 34A and 34 deleted</w:t>
      </w:r>
      <w:bookmarkEnd w:id="434"/>
    </w:p>
    <w:p>
      <w:pPr>
        <w:pStyle w:val="Subsection"/>
      </w:pPr>
      <w:r>
        <w:tab/>
      </w:r>
      <w:r>
        <w:tab/>
        <w:t>Delete sections 33, 34A and 34.</w:t>
      </w:r>
    </w:p>
    <w:p>
      <w:pPr>
        <w:pStyle w:val="Heading5"/>
      </w:pPr>
      <w:bookmarkStart w:id="435" w:name="_Toc182400525"/>
      <w:r>
        <w:rPr>
          <w:rStyle w:val="CharSectno"/>
        </w:rPr>
        <w:t>232</w:t>
      </w:r>
      <w:r>
        <w:t>.</w:t>
      </w:r>
      <w:r>
        <w:tab/>
        <w:t>Section 35 amended</w:t>
      </w:r>
      <w:bookmarkEnd w:id="435"/>
    </w:p>
    <w:p>
      <w:pPr>
        <w:pStyle w:val="Subsection"/>
      </w:pPr>
      <w:r>
        <w:tab/>
        <w:t>(1)</w:t>
      </w:r>
      <w:r>
        <w:tab/>
        <w:t>In section 35(2)(k) delete “subject to sections 39 and 40,”.</w:t>
      </w:r>
    </w:p>
    <w:p>
      <w:pPr>
        <w:pStyle w:val="Subsection"/>
      </w:pPr>
      <w:r>
        <w:tab/>
        <w:t>(2)</w:t>
      </w:r>
      <w:r>
        <w:tab/>
        <w:t>After section 35(3) insert:</w:t>
      </w:r>
    </w:p>
    <w:p>
      <w:pPr>
        <w:pStyle w:val="BlankOpen"/>
      </w:pPr>
    </w:p>
    <w:p>
      <w:pPr>
        <w:pStyle w:val="zSubsection"/>
      </w:pPr>
      <w:r>
        <w:tab/>
        <w:t>(3A)</w:t>
      </w:r>
      <w:r>
        <w:tab/>
        <w:t>Subsections (1) and (2) have effect subject to the GTE Act.</w:t>
      </w:r>
    </w:p>
    <w:p>
      <w:pPr>
        <w:pStyle w:val="BlankClose"/>
      </w:pPr>
    </w:p>
    <w:p>
      <w:pPr>
        <w:pStyle w:val="Heading5"/>
      </w:pPr>
      <w:bookmarkStart w:id="436" w:name="_Toc182400526"/>
      <w:r>
        <w:rPr>
          <w:rStyle w:val="CharSectno"/>
        </w:rPr>
        <w:t>233</w:t>
      </w:r>
      <w:r>
        <w:t>.</w:t>
      </w:r>
      <w:r>
        <w:tab/>
        <w:t>Sections 39 to 43 deleted</w:t>
      </w:r>
      <w:bookmarkEnd w:id="436"/>
    </w:p>
    <w:p>
      <w:pPr>
        <w:pStyle w:val="Subsection"/>
      </w:pPr>
      <w:r>
        <w:tab/>
      </w:r>
      <w:r>
        <w:tab/>
        <w:t>Delete sections 39 to 43.</w:t>
      </w:r>
    </w:p>
    <w:p>
      <w:pPr>
        <w:pStyle w:val="Heading5"/>
      </w:pPr>
      <w:bookmarkStart w:id="437" w:name="_Toc182400527"/>
      <w:r>
        <w:rPr>
          <w:rStyle w:val="CharSectno"/>
        </w:rPr>
        <w:t>234</w:t>
      </w:r>
      <w:r>
        <w:t>.</w:t>
      </w:r>
      <w:r>
        <w:tab/>
        <w:t>Section 44 amended</w:t>
      </w:r>
      <w:bookmarkEnd w:id="437"/>
    </w:p>
    <w:p>
      <w:pPr>
        <w:pStyle w:val="Subsection"/>
      </w:pPr>
      <w:r>
        <w:tab/>
        <w:t>(1)</w:t>
      </w:r>
      <w:r>
        <w:tab/>
        <w:t>In section 44(2)(d) delete “section 13; or” and insert:</w:t>
      </w:r>
    </w:p>
    <w:p>
      <w:pPr>
        <w:pStyle w:val="BlankOpen"/>
      </w:pPr>
    </w:p>
    <w:p>
      <w:pPr>
        <w:pStyle w:val="Subsection"/>
      </w:pPr>
      <w:r>
        <w:tab/>
      </w:r>
      <w:r>
        <w:tab/>
        <w:t>the GTE Act section 26(1); or</w:t>
      </w:r>
    </w:p>
    <w:p>
      <w:pPr>
        <w:pStyle w:val="BlankClose"/>
      </w:pPr>
    </w:p>
    <w:p>
      <w:pPr>
        <w:pStyle w:val="Subsection"/>
      </w:pPr>
      <w:r>
        <w:tab/>
        <w:t>(2)</w:t>
      </w:r>
      <w:r>
        <w:tab/>
        <w:t>Delete section 44(7) and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port authority can be given under the GTE Act section 156.</w:t>
      </w:r>
    </w:p>
    <w:p>
      <w:pPr>
        <w:pStyle w:val="BlankClose"/>
      </w:pPr>
    </w:p>
    <w:p>
      <w:pPr>
        <w:pStyle w:val="Heading5"/>
      </w:pPr>
      <w:bookmarkStart w:id="438" w:name="_Toc182400528"/>
      <w:r>
        <w:rPr>
          <w:rStyle w:val="CharSectno"/>
        </w:rPr>
        <w:t>235</w:t>
      </w:r>
      <w:r>
        <w:t>.</w:t>
      </w:r>
      <w:r>
        <w:tab/>
        <w:t>Part 4 Division 2 deleted</w:t>
      </w:r>
      <w:bookmarkEnd w:id="438"/>
    </w:p>
    <w:p>
      <w:pPr>
        <w:pStyle w:val="Subsection"/>
      </w:pPr>
      <w:r>
        <w:tab/>
      </w:r>
      <w:r>
        <w:tab/>
        <w:t>Delete Part 4 Division 2.</w:t>
      </w:r>
    </w:p>
    <w:p>
      <w:pPr>
        <w:pStyle w:val="Heading5"/>
      </w:pPr>
      <w:bookmarkStart w:id="439" w:name="_Toc182400529"/>
      <w:r>
        <w:rPr>
          <w:rStyle w:val="CharSectno"/>
        </w:rPr>
        <w:lastRenderedPageBreak/>
        <w:t>236</w:t>
      </w:r>
      <w:r>
        <w:t>.</w:t>
      </w:r>
      <w:r>
        <w:tab/>
        <w:t>Part 5 deleted</w:t>
      </w:r>
      <w:bookmarkEnd w:id="439"/>
    </w:p>
    <w:p>
      <w:pPr>
        <w:pStyle w:val="Subsection"/>
      </w:pPr>
      <w:r>
        <w:tab/>
      </w:r>
      <w:r>
        <w:tab/>
        <w:t>Delete Part 5.</w:t>
      </w:r>
    </w:p>
    <w:p>
      <w:pPr>
        <w:pStyle w:val="Heading5"/>
      </w:pPr>
      <w:bookmarkStart w:id="440" w:name="_Toc182400530"/>
      <w:r>
        <w:rPr>
          <w:rStyle w:val="CharSectno"/>
        </w:rPr>
        <w:t>237</w:t>
      </w:r>
      <w:r>
        <w:t>.</w:t>
      </w:r>
      <w:r>
        <w:tab/>
        <w:t>Part 6 heading deleted</w:t>
      </w:r>
      <w:bookmarkEnd w:id="440"/>
    </w:p>
    <w:p>
      <w:pPr>
        <w:pStyle w:val="Subsection"/>
      </w:pPr>
      <w:r>
        <w:tab/>
      </w:r>
      <w:r>
        <w:tab/>
        <w:t>Delete the heading to Part 6.</w:t>
      </w:r>
    </w:p>
    <w:p>
      <w:pPr>
        <w:pStyle w:val="Heading5"/>
      </w:pPr>
      <w:bookmarkStart w:id="441" w:name="_Toc182400531"/>
      <w:r>
        <w:rPr>
          <w:rStyle w:val="CharSectno"/>
        </w:rPr>
        <w:t>238</w:t>
      </w:r>
      <w:r>
        <w:t>.</w:t>
      </w:r>
      <w:r>
        <w:tab/>
        <w:t>Part 6 Divisions 1 to 5 deleted</w:t>
      </w:r>
      <w:bookmarkEnd w:id="441"/>
    </w:p>
    <w:p>
      <w:pPr>
        <w:pStyle w:val="Subsection"/>
      </w:pPr>
      <w:r>
        <w:tab/>
      </w:r>
      <w:r>
        <w:tab/>
        <w:t>Delete Part 6 Divisions 1 to 5.</w:t>
      </w:r>
    </w:p>
    <w:p>
      <w:pPr>
        <w:pStyle w:val="Heading5"/>
      </w:pPr>
      <w:bookmarkStart w:id="442" w:name="_Toc182400532"/>
      <w:r>
        <w:rPr>
          <w:rStyle w:val="CharSectno"/>
        </w:rPr>
        <w:t>239</w:t>
      </w:r>
      <w:r>
        <w:t>.</w:t>
      </w:r>
      <w:r>
        <w:tab/>
        <w:t>Part 6 Division 6 heading deleted</w:t>
      </w:r>
      <w:bookmarkEnd w:id="442"/>
    </w:p>
    <w:p>
      <w:pPr>
        <w:pStyle w:val="Subsection"/>
      </w:pPr>
      <w:r>
        <w:tab/>
      </w:r>
      <w:r>
        <w:tab/>
        <w:t>Delete the heading to Part 6 Division 6.</w:t>
      </w:r>
    </w:p>
    <w:p>
      <w:pPr>
        <w:pStyle w:val="Heading5"/>
      </w:pPr>
      <w:bookmarkStart w:id="443" w:name="_Toc182400533"/>
      <w:r>
        <w:rPr>
          <w:rStyle w:val="CharSectno"/>
        </w:rPr>
        <w:t>240</w:t>
      </w:r>
      <w:r>
        <w:t>.</w:t>
      </w:r>
      <w:r>
        <w:tab/>
        <w:t>Sections 133 to 135 replaced</w:t>
      </w:r>
      <w:bookmarkEnd w:id="443"/>
    </w:p>
    <w:p>
      <w:pPr>
        <w:pStyle w:val="Subsection"/>
      </w:pPr>
      <w:r>
        <w:tab/>
      </w:r>
      <w:r>
        <w:tab/>
        <w:t>Delete sections 133 to 135 and insert:</w:t>
      </w:r>
    </w:p>
    <w:p>
      <w:pPr>
        <w:pStyle w:val="BlankOpen"/>
      </w:pPr>
    </w:p>
    <w:p>
      <w:pPr>
        <w:pStyle w:val="zHeading5"/>
      </w:pPr>
      <w:bookmarkStart w:id="444" w:name="_Toc182400534"/>
      <w:r>
        <w:t>133.</w:t>
      </w:r>
      <w:r>
        <w:tab/>
        <w:t>Laying documents before Parliament not sitting</w:t>
      </w:r>
      <w:bookmarkEnd w:id="444"/>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445" w:name="_Toc182400535"/>
      <w:r>
        <w:rPr>
          <w:rStyle w:val="CharSectno"/>
        </w:rPr>
        <w:t>241</w:t>
      </w:r>
      <w:r>
        <w:t>.</w:t>
      </w:r>
      <w:r>
        <w:tab/>
        <w:t>Section 139 amended</w:t>
      </w:r>
      <w:bookmarkEnd w:id="445"/>
    </w:p>
    <w:p>
      <w:pPr>
        <w:pStyle w:val="Subsection"/>
      </w:pPr>
      <w:r>
        <w:tab/>
      </w:r>
      <w:r>
        <w:tab/>
        <w:t>After section 139(2) insert:</w:t>
      </w:r>
    </w:p>
    <w:p>
      <w:pPr>
        <w:pStyle w:val="BlankOpen"/>
      </w:pPr>
    </w:p>
    <w:p>
      <w:pPr>
        <w:pStyle w:val="zSubsection"/>
      </w:pPr>
      <w:r>
        <w:tab/>
        <w:t>(3)</w:t>
      </w:r>
      <w:r>
        <w:tab/>
        <w:t>Regulations under this Act may be expressed to prevail over regulations made under the GTE Act.</w:t>
      </w:r>
    </w:p>
    <w:p>
      <w:pPr>
        <w:pStyle w:val="zSubsection"/>
        <w:keepNext/>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446" w:name="_Toc182400536"/>
      <w:r>
        <w:rPr>
          <w:rStyle w:val="CharSectno"/>
        </w:rPr>
        <w:t>242</w:t>
      </w:r>
      <w:r>
        <w:t>.</w:t>
      </w:r>
      <w:r>
        <w:tab/>
        <w:t>Part 12 deleted</w:t>
      </w:r>
      <w:bookmarkEnd w:id="446"/>
    </w:p>
    <w:p>
      <w:pPr>
        <w:pStyle w:val="Subsection"/>
      </w:pPr>
      <w:r>
        <w:tab/>
      </w:r>
      <w:r>
        <w:tab/>
        <w:t>Delete Part 12.</w:t>
      </w:r>
    </w:p>
    <w:p>
      <w:pPr>
        <w:pStyle w:val="Heading5"/>
      </w:pPr>
      <w:bookmarkStart w:id="447" w:name="_Toc182400537"/>
      <w:r>
        <w:rPr>
          <w:rStyle w:val="CharSectno"/>
        </w:rPr>
        <w:t>243</w:t>
      </w:r>
      <w:r>
        <w:t>.</w:t>
      </w:r>
      <w:r>
        <w:tab/>
        <w:t>Schedules 2 to 5 deleted</w:t>
      </w:r>
      <w:bookmarkEnd w:id="447"/>
    </w:p>
    <w:p>
      <w:pPr>
        <w:pStyle w:val="Subsection"/>
      </w:pPr>
      <w:r>
        <w:tab/>
      </w:r>
      <w:r>
        <w:tab/>
        <w:t>Delete Schedules 2 to 5.</w:t>
      </w:r>
    </w:p>
    <w:p>
      <w:pPr>
        <w:pStyle w:val="Heading3"/>
      </w:pPr>
      <w:bookmarkStart w:id="448" w:name="_Toc182383776"/>
      <w:bookmarkStart w:id="449" w:name="_Toc182384385"/>
      <w:bookmarkStart w:id="450" w:name="_Toc182400538"/>
      <w:r>
        <w:rPr>
          <w:rStyle w:val="CharDivNo"/>
        </w:rPr>
        <w:t>Division 6</w:t>
      </w:r>
      <w:r>
        <w:t> — </w:t>
      </w:r>
      <w:r>
        <w:rPr>
          <w:rStyle w:val="CharDivText"/>
          <w:i/>
        </w:rPr>
        <w:t>Racing and Wagering Western Australia Act 2003</w:t>
      </w:r>
      <w:r>
        <w:rPr>
          <w:rStyle w:val="CharDivText"/>
        </w:rPr>
        <w:t xml:space="preserve"> amended</w:t>
      </w:r>
      <w:bookmarkEnd w:id="448"/>
      <w:bookmarkEnd w:id="449"/>
      <w:bookmarkEnd w:id="450"/>
    </w:p>
    <w:p>
      <w:pPr>
        <w:pStyle w:val="Heading5"/>
      </w:pPr>
      <w:bookmarkStart w:id="451" w:name="_Toc182400539"/>
      <w:r>
        <w:rPr>
          <w:rStyle w:val="CharSectno"/>
        </w:rPr>
        <w:t>244</w:t>
      </w:r>
      <w:r>
        <w:t>.</w:t>
      </w:r>
      <w:r>
        <w:tab/>
        <w:t>Act amended</w:t>
      </w:r>
      <w:bookmarkEnd w:id="451"/>
    </w:p>
    <w:p>
      <w:pPr>
        <w:pStyle w:val="Subsection"/>
      </w:pPr>
      <w:r>
        <w:tab/>
      </w:r>
      <w:r>
        <w:tab/>
        <w:t xml:space="preserve">This Division amends the </w:t>
      </w:r>
      <w:r>
        <w:rPr>
          <w:i/>
        </w:rPr>
        <w:t>Racing and Wagering Western Australia Act 2003</w:t>
      </w:r>
      <w:r>
        <w:t>.</w:t>
      </w:r>
    </w:p>
    <w:p>
      <w:pPr>
        <w:pStyle w:val="Heading5"/>
      </w:pPr>
      <w:bookmarkStart w:id="452" w:name="_Toc182400540"/>
      <w:r>
        <w:rPr>
          <w:rStyle w:val="CharSectno"/>
        </w:rPr>
        <w:t>245</w:t>
      </w:r>
      <w:r>
        <w:t>.</w:t>
      </w:r>
      <w:r>
        <w:tab/>
        <w:t>Section 21A amended</w:t>
      </w:r>
      <w:bookmarkEnd w:id="452"/>
    </w:p>
    <w:p>
      <w:pPr>
        <w:pStyle w:val="Subsection"/>
      </w:pPr>
      <w:r>
        <w:tab/>
      </w:r>
      <w:r>
        <w:tab/>
        <w:t>In section 21A(2) delete “section 7C(1).” and insert:</w:t>
      </w:r>
    </w:p>
    <w:p>
      <w:pPr>
        <w:pStyle w:val="BlankOpen"/>
      </w:pPr>
    </w:p>
    <w:p>
      <w:pPr>
        <w:pStyle w:val="Subsection"/>
      </w:pPr>
      <w:r>
        <w:tab/>
      </w:r>
      <w:r>
        <w:tab/>
        <w:t>section 7BA.</w:t>
      </w:r>
    </w:p>
    <w:p>
      <w:pPr>
        <w:pStyle w:val="BlankClose"/>
      </w:pPr>
    </w:p>
    <w:p>
      <w:pPr>
        <w:pStyle w:val="Heading5"/>
      </w:pPr>
      <w:bookmarkStart w:id="453" w:name="_Toc182400541"/>
      <w:r>
        <w:rPr>
          <w:rStyle w:val="CharSectno"/>
        </w:rPr>
        <w:lastRenderedPageBreak/>
        <w:t>246</w:t>
      </w:r>
      <w:r>
        <w:t>.</w:t>
      </w:r>
      <w:r>
        <w:tab/>
        <w:t>Section 21B amended</w:t>
      </w:r>
      <w:bookmarkEnd w:id="453"/>
    </w:p>
    <w:p>
      <w:pPr>
        <w:pStyle w:val="Subsection"/>
        <w:keepNext/>
      </w:pPr>
      <w:r>
        <w:tab/>
      </w:r>
      <w:r>
        <w:tab/>
        <w:t>In section 21B(2) delete “section 7C(1).” and insert:</w:t>
      </w:r>
    </w:p>
    <w:p>
      <w:pPr>
        <w:pStyle w:val="BlankOpen"/>
      </w:pPr>
    </w:p>
    <w:p>
      <w:pPr>
        <w:pStyle w:val="Subsection"/>
      </w:pPr>
      <w:r>
        <w:tab/>
      </w:r>
      <w:r>
        <w:tab/>
        <w:t>section 7BA.</w:t>
      </w:r>
    </w:p>
    <w:p>
      <w:pPr>
        <w:pStyle w:val="BlankClose"/>
      </w:pPr>
    </w:p>
    <w:p>
      <w:pPr>
        <w:pStyle w:val="Heading3"/>
      </w:pPr>
      <w:bookmarkStart w:id="454" w:name="_Toc182383780"/>
      <w:bookmarkStart w:id="455" w:name="_Toc182384389"/>
      <w:bookmarkStart w:id="456" w:name="_Toc182400542"/>
      <w:r>
        <w:rPr>
          <w:rStyle w:val="CharDivNo"/>
        </w:rPr>
        <w:t>Division 7</w:t>
      </w:r>
      <w:r>
        <w:t> — </w:t>
      </w:r>
      <w:r>
        <w:rPr>
          <w:rStyle w:val="CharDivText"/>
          <w:i/>
        </w:rPr>
        <w:t>Salaries and Allowances Act 1975</w:t>
      </w:r>
      <w:r>
        <w:rPr>
          <w:rStyle w:val="CharDivText"/>
        </w:rPr>
        <w:t xml:space="preserve"> amended</w:t>
      </w:r>
      <w:bookmarkEnd w:id="454"/>
      <w:bookmarkEnd w:id="455"/>
      <w:bookmarkEnd w:id="456"/>
    </w:p>
    <w:p>
      <w:pPr>
        <w:pStyle w:val="Heading5"/>
      </w:pPr>
      <w:bookmarkStart w:id="457" w:name="_Toc182400543"/>
      <w:r>
        <w:rPr>
          <w:rStyle w:val="CharSectno"/>
        </w:rPr>
        <w:t>247</w:t>
      </w:r>
      <w:r>
        <w:t>.</w:t>
      </w:r>
      <w:r>
        <w:tab/>
        <w:t>Act amended</w:t>
      </w:r>
      <w:bookmarkEnd w:id="457"/>
    </w:p>
    <w:p>
      <w:pPr>
        <w:pStyle w:val="Subsection"/>
      </w:pPr>
      <w:r>
        <w:tab/>
      </w:r>
      <w:r>
        <w:tab/>
        <w:t xml:space="preserve">This Division amends the </w:t>
      </w:r>
      <w:r>
        <w:rPr>
          <w:i/>
        </w:rPr>
        <w:t>Salaries and Allowances Act 1975</w:t>
      </w:r>
      <w:r>
        <w:t>.</w:t>
      </w:r>
    </w:p>
    <w:p>
      <w:pPr>
        <w:pStyle w:val="Heading5"/>
      </w:pPr>
      <w:bookmarkStart w:id="458" w:name="_Toc182400544"/>
      <w:r>
        <w:rPr>
          <w:rStyle w:val="CharSectno"/>
        </w:rPr>
        <w:t>248</w:t>
      </w:r>
      <w:r>
        <w:t>.</w:t>
      </w:r>
      <w:r>
        <w:tab/>
        <w:t>Section 4 amended</w:t>
      </w:r>
      <w:bookmarkEnd w:id="458"/>
    </w:p>
    <w:p>
      <w:pPr>
        <w:pStyle w:val="Subsection"/>
      </w:pPr>
      <w:r>
        <w:tab/>
      </w:r>
      <w:r>
        <w:tab/>
        <w:t>In section 4(1)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Heading5"/>
      </w:pPr>
      <w:bookmarkStart w:id="459" w:name="_Toc182400545"/>
      <w:r>
        <w:rPr>
          <w:rStyle w:val="CharSectno"/>
        </w:rPr>
        <w:t>249</w:t>
      </w:r>
      <w:r>
        <w:t>.</w:t>
      </w:r>
      <w:r>
        <w:tab/>
        <w:t>Section 7C replaced</w:t>
      </w:r>
      <w:bookmarkEnd w:id="459"/>
    </w:p>
    <w:p>
      <w:pPr>
        <w:pStyle w:val="Subsection"/>
      </w:pPr>
      <w:r>
        <w:tab/>
      </w:r>
      <w:r>
        <w:tab/>
        <w:t>Delete section 7C and insert:</w:t>
      </w:r>
    </w:p>
    <w:p>
      <w:pPr>
        <w:pStyle w:val="BlankOpen"/>
      </w:pPr>
    </w:p>
    <w:p>
      <w:pPr>
        <w:pStyle w:val="zHeading5"/>
      </w:pPr>
      <w:bookmarkStart w:id="460" w:name="_Toc182400546"/>
      <w:r>
        <w:t>7BA.</w:t>
      </w:r>
      <w:r>
        <w:tab/>
        <w:t>Term used: Government entity</w:t>
      </w:r>
      <w:bookmarkEnd w:id="460"/>
    </w:p>
    <w:p>
      <w:pPr>
        <w:pStyle w:val="zSubsection"/>
      </w:pPr>
      <w:r>
        <w:tab/>
      </w:r>
      <w:r>
        <w:tab/>
        <w:t xml:space="preserve">In sections 7C and 7D — </w:t>
      </w:r>
    </w:p>
    <w:p>
      <w:pPr>
        <w:pStyle w:val="zDefstart"/>
      </w:pPr>
      <w:r>
        <w:tab/>
      </w:r>
      <w:r>
        <w:rPr>
          <w:rStyle w:val="CharDefText"/>
        </w:rPr>
        <w:t>Government entity</w:t>
      </w:r>
      <w:r>
        <w:t xml:space="preserve"> means an entity — </w:t>
      </w:r>
    </w:p>
    <w:p>
      <w:pPr>
        <w:pStyle w:val="zDefpara"/>
      </w:pPr>
      <w:r>
        <w:tab/>
        <w:t>(a)</w:t>
      </w:r>
      <w:r>
        <w:tab/>
        <w:t>that is described in column 1 of Schedule 2; and</w:t>
      </w:r>
    </w:p>
    <w:p>
      <w:pPr>
        <w:pStyle w:val="zDefpara"/>
      </w:pPr>
      <w:r>
        <w:tab/>
        <w:t>(b)</w:t>
      </w:r>
      <w:r>
        <w:tab/>
        <w:t>that is not prescribed by the regulations for the purposes of this paragraph.</w:t>
      </w:r>
    </w:p>
    <w:p>
      <w:pPr>
        <w:pStyle w:val="zHeading5"/>
      </w:pPr>
      <w:bookmarkStart w:id="461" w:name="_Toc182400547"/>
      <w:r>
        <w:lastRenderedPageBreak/>
        <w:t>7C.</w:t>
      </w:r>
      <w:r>
        <w:tab/>
        <w:t>Determinations as to remuneration of executive officers of Government entities</w:t>
      </w:r>
      <w:bookmarkEnd w:id="461"/>
    </w:p>
    <w:p>
      <w:pPr>
        <w:pStyle w:val="zSubsection"/>
        <w:keepNext/>
      </w:pPr>
      <w:r>
        <w:tab/>
        <w:t>(1)</w:t>
      </w:r>
      <w:r>
        <w:tab/>
        <w:t xml:space="preserve">In this section — </w:t>
      </w:r>
    </w:p>
    <w:p>
      <w:pPr>
        <w:pStyle w:val="zDefstart"/>
      </w:pPr>
      <w:r>
        <w:tab/>
      </w:r>
      <w:r>
        <w:rPr>
          <w:rStyle w:val="CharDefText"/>
        </w:rPr>
        <w:t>executive officer</w:t>
      </w:r>
      <w:r>
        <w:t xml:space="preserve">, of an entity described in column 1 of Schedule 2, means a person whose office — </w:t>
      </w:r>
    </w:p>
    <w:p>
      <w:pPr>
        <w:pStyle w:val="zDefpara"/>
      </w:pPr>
      <w:r>
        <w:tab/>
        <w:t>(a)</w:t>
      </w:r>
      <w:r>
        <w:tab/>
        <w:t>is described in column 2 of Schedule 2 for the entity, other than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zHeading5"/>
      </w:pPr>
      <w:bookmarkStart w:id="462" w:name="_Toc182400548"/>
      <w:r>
        <w:t>7D.</w:t>
      </w:r>
      <w:r>
        <w:tab/>
        <w:t>Determinations as to remuneration of directors of certain Government entities</w:t>
      </w:r>
      <w:bookmarkEnd w:id="462"/>
    </w:p>
    <w:p>
      <w:pPr>
        <w:pStyle w:val="zSubsection"/>
      </w:pPr>
      <w:r>
        <w:tab/>
        <w:t>(1)</w:t>
      </w:r>
      <w:r>
        <w:tab/>
        <w:t xml:space="preserve">In this section — </w:t>
      </w:r>
    </w:p>
    <w:p>
      <w:pPr>
        <w:pStyle w:val="zDefstart"/>
      </w:pPr>
      <w:r>
        <w:tab/>
      </w:r>
      <w:r>
        <w:rPr>
          <w:rStyle w:val="CharDefText"/>
        </w:rPr>
        <w:t>director</w:t>
      </w:r>
      <w:r>
        <w:t xml:space="preserve">, of an entity described in column 1 of Schedule 2, means a person whose office — </w:t>
      </w:r>
    </w:p>
    <w:p>
      <w:pPr>
        <w:pStyle w:val="zDefpara"/>
      </w:pPr>
      <w:r>
        <w:tab/>
        <w:t>(a)</w:t>
      </w:r>
      <w:r>
        <w:tab/>
        <w:t>is described in column 2 of Schedule 2 for the entity as that of director of the entity; and</w:t>
      </w:r>
    </w:p>
    <w:p>
      <w:pPr>
        <w:pStyle w:val="zDefpara"/>
      </w:pPr>
      <w:r>
        <w:lastRenderedPageBreak/>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directors of Government entities.</w:t>
      </w:r>
    </w:p>
    <w:p>
      <w:pPr>
        <w:pStyle w:val="zSubsection"/>
      </w:pPr>
      <w:r>
        <w:tab/>
        <w:t>(3)</w:t>
      </w:r>
      <w:r>
        <w:tab/>
        <w:t>Section 6(2) and (3) apply to a determination under subsection (2).</w:t>
      </w:r>
    </w:p>
    <w:p>
      <w:pPr>
        <w:pStyle w:val="zHeading5"/>
      </w:pPr>
      <w:bookmarkStart w:id="463" w:name="_Toc182400549"/>
      <w:r>
        <w:t>7E.</w:t>
      </w:r>
      <w:r>
        <w:tab/>
        <w:t>Determinations as to allowance for directors of certain GTEs: audit and risk committee members</w:t>
      </w:r>
      <w:bookmarkEnd w:id="463"/>
    </w:p>
    <w:p>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zSubsection"/>
      </w:pPr>
      <w:r>
        <w:tab/>
        <w:t>(2)</w:t>
      </w:r>
      <w:r>
        <w:tab/>
        <w:t>The allowance must be the same for all such members for a particular GTE, other than for the chair of the committee.</w:t>
      </w:r>
    </w:p>
    <w:p>
      <w:pPr>
        <w:pStyle w:val="zSubsection"/>
      </w:pPr>
      <w:r>
        <w:tab/>
        <w:t>(3)</w:t>
      </w:r>
      <w:r>
        <w:tab/>
        <w:t>Section 6(2) and (3) apply to a determination under subsection (1).</w:t>
      </w:r>
    </w:p>
    <w:p>
      <w:pPr>
        <w:pStyle w:val="BlankClose"/>
      </w:pPr>
    </w:p>
    <w:p>
      <w:pPr>
        <w:pStyle w:val="Heading5"/>
      </w:pPr>
      <w:bookmarkStart w:id="464" w:name="_Toc182400550"/>
      <w:r>
        <w:rPr>
          <w:rStyle w:val="CharSectno"/>
        </w:rPr>
        <w:t>250</w:t>
      </w:r>
      <w:r>
        <w:t>.</w:t>
      </w:r>
      <w:r>
        <w:tab/>
        <w:t>Section 8 amended</w:t>
      </w:r>
      <w:bookmarkEnd w:id="464"/>
    </w:p>
    <w:p>
      <w:pPr>
        <w:pStyle w:val="Subsection"/>
      </w:pPr>
      <w:r>
        <w:tab/>
      </w:r>
      <w:r>
        <w:tab/>
        <w:t xml:space="preserve">In section 8(1) — </w:t>
      </w:r>
    </w:p>
    <w:p>
      <w:pPr>
        <w:pStyle w:val="Indenta"/>
      </w:pPr>
      <w:r>
        <w:tab/>
        <w:t>(a)</w:t>
      </w:r>
      <w:r>
        <w:tab/>
        <w:t>in paragraph (e) delete “another.” and insert:</w:t>
      </w:r>
    </w:p>
    <w:p>
      <w:pPr>
        <w:pStyle w:val="BlankOpen"/>
      </w:pPr>
    </w:p>
    <w:p>
      <w:pPr>
        <w:pStyle w:val="Indenta"/>
      </w:pPr>
      <w:r>
        <w:tab/>
      </w:r>
      <w:r>
        <w:tab/>
        <w:t>another; and</w:t>
      </w:r>
    </w:p>
    <w:p>
      <w:pPr>
        <w:pStyle w:val="BlankClose"/>
      </w:pPr>
    </w:p>
    <w:p>
      <w:pPr>
        <w:pStyle w:val="Indenta"/>
        <w:keepNext/>
      </w:pPr>
      <w:r>
        <w:lastRenderedPageBreak/>
        <w:tab/>
        <w:t>(b)</w:t>
      </w:r>
      <w:r>
        <w:tab/>
        <w:t>after paragraph (e) insert:</w:t>
      </w:r>
    </w:p>
    <w:p>
      <w:pPr>
        <w:pStyle w:val="BlankOpen"/>
      </w:pPr>
    </w:p>
    <w:p>
      <w:pPr>
        <w:pStyle w:val="zIndenta"/>
      </w:pPr>
      <w:r>
        <w:tab/>
        <w:t>(f)</w:t>
      </w:r>
      <w:r>
        <w:tab/>
        <w:t>not more than 4 years elapse between one determination under section 7D(2) and another; and</w:t>
      </w:r>
    </w:p>
    <w:p>
      <w:pPr>
        <w:pStyle w:val="zIndenta"/>
      </w:pPr>
      <w:r>
        <w:tab/>
        <w:t>(g)</w:t>
      </w:r>
      <w:r>
        <w:tab/>
        <w:t>not more than 4 years elapse between one determination under section 7E(1) and another.</w:t>
      </w:r>
    </w:p>
    <w:p>
      <w:pPr>
        <w:pStyle w:val="BlankClose"/>
      </w:pPr>
    </w:p>
    <w:p>
      <w:pPr>
        <w:pStyle w:val="Heading5"/>
      </w:pPr>
      <w:bookmarkStart w:id="465" w:name="_Toc182400551"/>
      <w:r>
        <w:rPr>
          <w:rStyle w:val="CharSectno"/>
        </w:rPr>
        <w:t>251</w:t>
      </w:r>
      <w:r>
        <w:t>.</w:t>
      </w:r>
      <w:r>
        <w:tab/>
        <w:t>Section 10 amended</w:t>
      </w:r>
      <w:bookmarkEnd w:id="465"/>
    </w:p>
    <w:p>
      <w:pPr>
        <w:pStyle w:val="Subsection"/>
      </w:pPr>
      <w:r>
        <w:tab/>
      </w:r>
      <w:r>
        <w:tab/>
        <w:t xml:space="preserve">In section 10(4)(d) — </w:t>
      </w:r>
    </w:p>
    <w:p>
      <w:pPr>
        <w:pStyle w:val="Indenta"/>
      </w:pPr>
      <w:r>
        <w:tab/>
        <w:t>(a)</w:t>
      </w:r>
      <w:r>
        <w:tab/>
        <w:t>after “executive officers” insert:</w:t>
      </w:r>
    </w:p>
    <w:p>
      <w:pPr>
        <w:pStyle w:val="BlankOpen"/>
      </w:pPr>
    </w:p>
    <w:p>
      <w:pPr>
        <w:pStyle w:val="Indenta"/>
      </w:pPr>
      <w:r>
        <w:tab/>
      </w:r>
      <w:r>
        <w:tab/>
        <w:t>or directors</w:t>
      </w:r>
    </w:p>
    <w:p>
      <w:pPr>
        <w:pStyle w:val="BlankClose"/>
      </w:pPr>
    </w:p>
    <w:p>
      <w:pPr>
        <w:pStyle w:val="Indenta"/>
      </w:pPr>
      <w:r>
        <w:tab/>
        <w:t>(b)</w:t>
      </w:r>
      <w:r>
        <w:tab/>
        <w:t>after “section 7C(2)” insert:</w:t>
      </w:r>
    </w:p>
    <w:p>
      <w:pPr>
        <w:pStyle w:val="BlankOpen"/>
      </w:pPr>
    </w:p>
    <w:p>
      <w:pPr>
        <w:pStyle w:val="Indenta"/>
      </w:pPr>
      <w:r>
        <w:tab/>
      </w:r>
      <w:r>
        <w:tab/>
        <w:t>or 7D(2)</w:t>
      </w:r>
    </w:p>
    <w:p>
      <w:pPr>
        <w:pStyle w:val="BlankClose"/>
      </w:pPr>
    </w:p>
    <w:p>
      <w:pPr>
        <w:pStyle w:val="Indenta"/>
      </w:pPr>
      <w:r>
        <w:tab/>
        <w:t>(c)</w:t>
      </w:r>
      <w:r>
        <w:tab/>
        <w:t>delete “section 10F(3).” and insert:</w:t>
      </w:r>
    </w:p>
    <w:p>
      <w:pPr>
        <w:pStyle w:val="BlankOpen"/>
      </w:pPr>
    </w:p>
    <w:p>
      <w:pPr>
        <w:pStyle w:val="Indenta"/>
      </w:pPr>
      <w:r>
        <w:tab/>
      </w:r>
      <w:r>
        <w:tab/>
        <w:t>section 10F(3) or the allowance to be paid or provided under section 7E(1).</w:t>
      </w:r>
    </w:p>
    <w:p>
      <w:pPr>
        <w:pStyle w:val="BlankClose"/>
      </w:pPr>
    </w:p>
    <w:p>
      <w:pPr>
        <w:pStyle w:val="Heading5"/>
      </w:pPr>
      <w:bookmarkStart w:id="466" w:name="_Toc182400552"/>
      <w:r>
        <w:rPr>
          <w:rStyle w:val="CharSectno"/>
        </w:rPr>
        <w:t>252</w:t>
      </w:r>
      <w:r>
        <w:t>.</w:t>
      </w:r>
      <w:r>
        <w:tab/>
        <w:t>Section 10A amended</w:t>
      </w:r>
      <w:bookmarkEnd w:id="466"/>
    </w:p>
    <w:p>
      <w:pPr>
        <w:pStyle w:val="Subsection"/>
      </w:pPr>
      <w:r>
        <w:tab/>
      </w:r>
      <w:r>
        <w:tab/>
        <w:t>In section 10A(2) delete “section 6(1)(a), (ab), (d) or (e) or 7C(2)” and insert:</w:t>
      </w:r>
    </w:p>
    <w:p>
      <w:pPr>
        <w:pStyle w:val="BlankOpen"/>
      </w:pPr>
    </w:p>
    <w:p>
      <w:pPr>
        <w:pStyle w:val="Subsection"/>
      </w:pPr>
      <w:r>
        <w:tab/>
      </w:r>
      <w:r>
        <w:tab/>
        <w:t>section 6(1)(a), (ab), (d) or (e), 7C(2), 7D(2) or 7E(1)</w:t>
      </w:r>
    </w:p>
    <w:p>
      <w:pPr>
        <w:pStyle w:val="BlankClose"/>
      </w:pPr>
    </w:p>
    <w:p>
      <w:pPr>
        <w:pStyle w:val="Heading5"/>
      </w:pPr>
      <w:bookmarkStart w:id="467" w:name="_Toc182400553"/>
      <w:r>
        <w:rPr>
          <w:rStyle w:val="CharSectno"/>
        </w:rPr>
        <w:lastRenderedPageBreak/>
        <w:t>253</w:t>
      </w:r>
      <w:r>
        <w:t>.</w:t>
      </w:r>
      <w:r>
        <w:tab/>
        <w:t>Schedule 2 amended</w:t>
      </w:r>
      <w:bookmarkEnd w:id="467"/>
    </w:p>
    <w:p>
      <w:pPr>
        <w:pStyle w:val="Subsection"/>
      </w:pPr>
      <w:r>
        <w:tab/>
      </w:r>
      <w:r>
        <w:tab/>
        <w:t xml:space="preserve">In Schedule 2 — </w:t>
      </w:r>
    </w:p>
    <w:p>
      <w:pPr>
        <w:pStyle w:val="Indenta"/>
        <w:keepNext/>
      </w:pPr>
      <w:r>
        <w:tab/>
        <w:t>(a)</w:t>
      </w:r>
      <w:r>
        <w:tab/>
        <w:t>delete the reference after the heading to Schedule 2 and insert:</w:t>
      </w:r>
    </w:p>
    <w:p>
      <w:pPr>
        <w:pStyle w:val="BlankOpen"/>
      </w:pPr>
    </w:p>
    <w:p>
      <w:pPr>
        <w:pStyle w:val="Indenta"/>
        <w:keepNext/>
        <w:rPr>
          <w:sz w:val="22"/>
        </w:rPr>
      </w:pPr>
      <w:r>
        <w:tab/>
      </w:r>
      <w:r>
        <w:tab/>
      </w:r>
      <w:r>
        <w:rPr>
          <w:sz w:val="22"/>
        </w:rPr>
        <w:t>[s. 7BA, 7C and 7D]</w:t>
      </w:r>
    </w:p>
    <w:p>
      <w:pPr>
        <w:pStyle w:val="BlankClose"/>
      </w:pPr>
    </w:p>
    <w:p>
      <w:pPr>
        <w:pStyle w:val="Indenta"/>
      </w:pPr>
      <w:r>
        <w:tab/>
        <w:t>(b)</w:t>
      </w:r>
      <w:r>
        <w:tab/>
        <w:t xml:space="preserve">delete the item relating to a corporation as defined in the </w:t>
      </w:r>
      <w:r>
        <w:rPr>
          <w:i/>
        </w:rPr>
        <w:t>Electricity Corporations Act 2005</w:t>
      </w:r>
      <w:r>
        <w:t xml:space="preserve"> section 3(1) and insert:</w:t>
      </w:r>
    </w:p>
    <w:p>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trPr>
        <w:tc>
          <w:tcPr>
            <w:tcW w:w="3058" w:type="dxa"/>
            <w:tcBorders>
              <w:bottom w:val="nil"/>
            </w:tcBorders>
            <w:shd w:val="clear" w:color="auto" w:fill="auto"/>
            <w:noWrap/>
          </w:tcPr>
          <w:p>
            <w:pPr>
              <w:pStyle w:val="zyTableNAm"/>
            </w:pPr>
            <w:r>
              <w:t>A GTE.</w:t>
            </w:r>
          </w:p>
        </w:tc>
        <w:tc>
          <w:tcPr>
            <w:tcW w:w="3491" w:type="dxa"/>
            <w:tcBorders>
              <w:bottom w:val="nil"/>
            </w:tcBorders>
            <w:shd w:val="clear" w:color="auto" w:fill="auto"/>
            <w:noWrap/>
          </w:tcPr>
          <w:p>
            <w:pPr>
              <w:pStyle w:val="zyTableNAm"/>
              <w:tabs>
                <w:tab w:val="clear" w:pos="567"/>
              </w:tabs>
              <w:ind w:left="406" w:hanging="406"/>
            </w:pPr>
            <w:r>
              <w:t>1.</w:t>
            </w:r>
            <w:r>
              <w:tab/>
              <w:t>A person appointed as a director of the GTE.</w:t>
            </w:r>
          </w:p>
        </w:tc>
      </w:tr>
      <w:tr>
        <w:trPr>
          <w:cantSplit/>
        </w:trPr>
        <w:tc>
          <w:tcPr>
            <w:tcW w:w="3058" w:type="dxa"/>
            <w:tcBorders>
              <w:top w:val="nil"/>
              <w:bottom w:val="nil"/>
            </w:tcBorders>
            <w:shd w:val="clear" w:color="auto" w:fill="auto"/>
            <w:noWrap/>
          </w:tcPr>
          <w:p>
            <w:pPr>
              <w:pStyle w:val="zyTableNAm"/>
            </w:pPr>
          </w:p>
        </w:tc>
        <w:tc>
          <w:tcPr>
            <w:tcW w:w="3491" w:type="dxa"/>
            <w:tcBorders>
              <w:top w:val="nil"/>
              <w:bottom w:val="nil"/>
            </w:tcBorders>
            <w:shd w:val="clear" w:color="auto" w:fill="auto"/>
            <w:noWrap/>
          </w:tcPr>
          <w:p>
            <w:pPr>
              <w:pStyle w:val="zyTableNAm"/>
              <w:tabs>
                <w:tab w:val="clear" w:pos="567"/>
              </w:tabs>
              <w:ind w:left="406" w:hanging="406"/>
            </w:pPr>
            <w:r>
              <w:t>2.</w:t>
            </w:r>
            <w:r>
              <w:tab/>
              <w:t>The person appointed as the chief executive officer of the GTE.</w:t>
            </w:r>
          </w:p>
        </w:tc>
      </w:tr>
      <w:tr>
        <w:trPr>
          <w:cantSplit/>
        </w:trPr>
        <w:tc>
          <w:tcPr>
            <w:tcW w:w="3058" w:type="dxa"/>
            <w:tcBorders>
              <w:top w:val="nil"/>
              <w:bottom w:val="single" w:sz="4" w:space="0" w:color="auto"/>
            </w:tcBorders>
            <w:shd w:val="clear" w:color="auto" w:fill="auto"/>
            <w:noWrap/>
          </w:tcPr>
          <w:p>
            <w:pPr>
              <w:pStyle w:val="zyTableNAm"/>
            </w:pPr>
          </w:p>
        </w:tc>
        <w:tc>
          <w:tcPr>
            <w:tcW w:w="3491" w:type="dxa"/>
            <w:tcBorders>
              <w:top w:val="nil"/>
              <w:bottom w:val="single" w:sz="4" w:space="0" w:color="auto"/>
            </w:tcBorders>
            <w:shd w:val="clear" w:color="auto" w:fill="auto"/>
            <w:noWrap/>
          </w:tcPr>
          <w:p>
            <w:pPr>
              <w:pStyle w:val="zyTableNAm"/>
              <w:tabs>
                <w:tab w:val="clear" w:pos="567"/>
              </w:tabs>
              <w:ind w:left="406" w:hanging="406"/>
            </w:pPr>
            <w:r>
              <w:t>3.</w:t>
            </w:r>
            <w:r>
              <w:tab/>
              <w:t>A person appointed to act in place of the chief executive officer of the GTE.</w:t>
            </w:r>
          </w:p>
        </w:tc>
      </w:tr>
      <w:tr>
        <w:trPr>
          <w:cantSplit/>
          <w:trHeight w:val="1628"/>
        </w:trPr>
        <w:tc>
          <w:tcPr>
            <w:tcW w:w="3058" w:type="dxa"/>
            <w:tcBorders>
              <w:top w:val="single" w:sz="4" w:space="0" w:color="auto"/>
            </w:tcBorders>
            <w:shd w:val="clear" w:color="auto" w:fill="auto"/>
            <w:noWrap/>
          </w:tcPr>
          <w:p>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pPr>
              <w:pStyle w:val="zyTableNAm"/>
              <w:tabs>
                <w:tab w:val="clear" w:pos="567"/>
              </w:tabs>
              <w:ind w:left="406" w:hanging="406"/>
            </w:pPr>
            <w:r>
              <w:t>1.</w:t>
            </w:r>
            <w:r>
              <w:tab/>
              <w:t>A person appointed as a director of the subsidiary.</w:t>
            </w:r>
          </w:p>
          <w:p>
            <w:pPr>
              <w:pStyle w:val="zyTableNAm"/>
              <w:spacing w:before="240"/>
              <w:ind w:left="408" w:hanging="408"/>
            </w:pPr>
            <w:r>
              <w:t>2.</w:t>
            </w:r>
            <w:r>
              <w:tab/>
              <w:t>The person appointed as the chief executive officer (however described) of the subsidiary.</w:t>
            </w:r>
          </w:p>
        </w:tc>
      </w:tr>
    </w:tbl>
    <w:p>
      <w:pPr>
        <w:pStyle w:val="BlankClose"/>
      </w:pPr>
    </w:p>
    <w:p>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pPr>
        <w:pStyle w:val="Heading3"/>
        <w:keepLines/>
      </w:pPr>
      <w:bookmarkStart w:id="468" w:name="_Toc182383792"/>
      <w:bookmarkStart w:id="469" w:name="_Toc182384401"/>
      <w:bookmarkStart w:id="470" w:name="_Toc182400554"/>
      <w:r>
        <w:rPr>
          <w:rStyle w:val="CharDivNo"/>
        </w:rPr>
        <w:lastRenderedPageBreak/>
        <w:t>Division 8</w:t>
      </w:r>
      <w:r>
        <w:t> — </w:t>
      </w:r>
      <w:r>
        <w:rPr>
          <w:rStyle w:val="CharDivText"/>
          <w:i/>
        </w:rPr>
        <w:t>Statutory Corporations (Liability of Directors) Act 1996</w:t>
      </w:r>
      <w:r>
        <w:rPr>
          <w:rStyle w:val="CharDivText"/>
        </w:rPr>
        <w:t xml:space="preserve"> amended</w:t>
      </w:r>
      <w:bookmarkEnd w:id="468"/>
      <w:bookmarkEnd w:id="469"/>
      <w:bookmarkEnd w:id="470"/>
    </w:p>
    <w:p>
      <w:pPr>
        <w:pStyle w:val="Heading5"/>
      </w:pPr>
      <w:bookmarkStart w:id="471" w:name="_Toc182400555"/>
      <w:r>
        <w:rPr>
          <w:rStyle w:val="CharSectno"/>
        </w:rPr>
        <w:t>254</w:t>
      </w:r>
      <w:r>
        <w:t>.</w:t>
      </w:r>
      <w:r>
        <w:tab/>
        <w:t>Act amended</w:t>
      </w:r>
      <w:bookmarkEnd w:id="471"/>
    </w:p>
    <w:p>
      <w:pPr>
        <w:pStyle w:val="Subsection"/>
      </w:pPr>
      <w:r>
        <w:tab/>
      </w:r>
      <w:r>
        <w:tab/>
        <w:t xml:space="preserve">This Division amends the </w:t>
      </w:r>
      <w:r>
        <w:rPr>
          <w:i/>
        </w:rPr>
        <w:t>Statutory Corporations (Liability of Directors) Act 1996</w:t>
      </w:r>
      <w:r>
        <w:t>.</w:t>
      </w:r>
    </w:p>
    <w:p>
      <w:pPr>
        <w:pStyle w:val="Heading5"/>
      </w:pPr>
      <w:bookmarkStart w:id="472" w:name="_Toc182400556"/>
      <w:r>
        <w:rPr>
          <w:rStyle w:val="CharSectno"/>
        </w:rPr>
        <w:t>255</w:t>
      </w:r>
      <w:r>
        <w:t>.</w:t>
      </w:r>
      <w:r>
        <w:tab/>
        <w:t>Section 4 amended</w:t>
      </w:r>
      <w:bookmarkEnd w:id="472"/>
    </w:p>
    <w:p>
      <w:pPr>
        <w:pStyle w:val="Subsection"/>
      </w:pPr>
      <w:r>
        <w:tab/>
        <w:t>(1)</w:t>
      </w:r>
      <w:r>
        <w:tab/>
        <w:t>In section 4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Subsection"/>
      </w:pPr>
      <w:r>
        <w:tab/>
        <w:t>(2)</w:t>
      </w:r>
      <w:r>
        <w:tab/>
        <w:t xml:space="preserve">In section 4 in the definition of </w:t>
      </w:r>
      <w:r>
        <w:rPr>
          <w:b/>
          <w:i/>
        </w:rPr>
        <w:t>corporation</w:t>
      </w:r>
      <w:r>
        <w:t xml:space="preserve"> before “local” insert:</w:t>
      </w:r>
    </w:p>
    <w:p>
      <w:pPr>
        <w:pStyle w:val="BlankOpen"/>
      </w:pPr>
    </w:p>
    <w:p>
      <w:pPr>
        <w:pStyle w:val="Subsection"/>
      </w:pPr>
      <w:r>
        <w:tab/>
      </w:r>
      <w:r>
        <w:tab/>
        <w:t>GTE or a</w:t>
      </w:r>
    </w:p>
    <w:p>
      <w:pPr>
        <w:pStyle w:val="BlankClose"/>
      </w:pPr>
    </w:p>
    <w:p>
      <w:pPr>
        <w:pStyle w:val="Subsection"/>
      </w:pPr>
      <w:r>
        <w:tab/>
        <w:t>(3)</w:t>
      </w:r>
      <w:r>
        <w:tab/>
        <w:t xml:space="preserve">In section 4 in the definition of </w:t>
      </w:r>
      <w:r>
        <w:rPr>
          <w:b/>
          <w:i/>
        </w:rPr>
        <w:t>director</w:t>
      </w:r>
      <w:r>
        <w:t xml:space="preserve"> paragraph (c) delete “person.” and insert:</w:t>
      </w:r>
    </w:p>
    <w:p>
      <w:pPr>
        <w:pStyle w:val="BlankOpen"/>
      </w:pPr>
    </w:p>
    <w:p>
      <w:pPr>
        <w:pStyle w:val="Subsection"/>
      </w:pPr>
      <w:r>
        <w:tab/>
      </w:r>
      <w:r>
        <w:tab/>
        <w:t>person;</w:t>
      </w:r>
    </w:p>
    <w:p>
      <w:pPr>
        <w:pStyle w:val="BlankClose"/>
      </w:pPr>
    </w:p>
    <w:p>
      <w:pPr>
        <w:pStyle w:val="Heading5"/>
      </w:pPr>
      <w:bookmarkStart w:id="473" w:name="_Toc182400557"/>
      <w:r>
        <w:rPr>
          <w:rStyle w:val="CharSectno"/>
        </w:rPr>
        <w:t>256</w:t>
      </w:r>
      <w:r>
        <w:t>.</w:t>
      </w:r>
      <w:r>
        <w:tab/>
        <w:t>Schedule 1 amended</w:t>
      </w:r>
      <w:bookmarkEnd w:id="473"/>
    </w:p>
    <w:p>
      <w:pPr>
        <w:pStyle w:val="Subsection"/>
      </w:pPr>
      <w:r>
        <w:tab/>
      </w:r>
      <w:r>
        <w:tab/>
        <w:t>In Schedule 1 delete the items for:</w:t>
      </w:r>
    </w:p>
    <w:p>
      <w:pPr>
        <w:pStyle w:val="DeleteListSub"/>
      </w:pPr>
      <w:r>
        <w:rPr>
          <w:sz w:val="22"/>
        </w:rPr>
        <w:t>Fremantle Port Authority</w:t>
      </w:r>
    </w:p>
    <w:p>
      <w:pPr>
        <w:pStyle w:val="DeleteListSub"/>
      </w:pPr>
      <w:r>
        <w:rPr>
          <w:sz w:val="22"/>
        </w:rPr>
        <w:t>Kimberley Ports Authority</w:t>
      </w:r>
    </w:p>
    <w:p>
      <w:pPr>
        <w:pStyle w:val="DeleteListSub"/>
      </w:pPr>
      <w:r>
        <w:rPr>
          <w:sz w:val="22"/>
        </w:rPr>
        <w:t>Mid West Ports Authority</w:t>
      </w:r>
    </w:p>
    <w:p>
      <w:pPr>
        <w:pStyle w:val="DeleteListSub"/>
      </w:pPr>
      <w:r>
        <w:rPr>
          <w:sz w:val="22"/>
        </w:rPr>
        <w:t>Pilbara Ports Authority</w:t>
      </w:r>
    </w:p>
    <w:p>
      <w:pPr>
        <w:pStyle w:val="DeleteListSub"/>
        <w:keepNext/>
      </w:pPr>
      <w:r>
        <w:rPr>
          <w:sz w:val="22"/>
        </w:rPr>
        <w:lastRenderedPageBreak/>
        <w:t>Southern Ports Authority</w:t>
      </w:r>
    </w:p>
    <w:p>
      <w:pPr>
        <w:pStyle w:val="DeleteListSub"/>
        <w:rPr>
          <w:sz w:val="22"/>
        </w:rPr>
      </w:pPr>
      <w:r>
        <w:rPr>
          <w:sz w:val="22"/>
        </w:rPr>
        <w:t>Western Australian Land Authority</w:t>
      </w:r>
    </w:p>
    <w:p>
      <w:pPr>
        <w:pStyle w:val="Heading3"/>
      </w:pPr>
      <w:bookmarkStart w:id="474" w:name="_Toc182383796"/>
      <w:bookmarkStart w:id="475" w:name="_Toc182384405"/>
      <w:bookmarkStart w:id="476" w:name="_Toc182400558"/>
      <w:r>
        <w:rPr>
          <w:rStyle w:val="CharDivNo"/>
        </w:rPr>
        <w:t>Division 9</w:t>
      </w:r>
      <w:r>
        <w:t> — </w:t>
      </w:r>
      <w:r>
        <w:rPr>
          <w:rStyle w:val="CharDivText"/>
          <w:i/>
        </w:rPr>
        <w:t>Water Corporations Act 1995</w:t>
      </w:r>
      <w:r>
        <w:rPr>
          <w:rStyle w:val="CharDivText"/>
        </w:rPr>
        <w:t xml:space="preserve"> amended</w:t>
      </w:r>
      <w:bookmarkEnd w:id="474"/>
      <w:bookmarkEnd w:id="475"/>
      <w:bookmarkEnd w:id="476"/>
    </w:p>
    <w:p>
      <w:pPr>
        <w:pStyle w:val="Heading5"/>
      </w:pPr>
      <w:bookmarkStart w:id="477" w:name="_Toc182400559"/>
      <w:r>
        <w:rPr>
          <w:rStyle w:val="CharSectno"/>
        </w:rPr>
        <w:t>257</w:t>
      </w:r>
      <w:r>
        <w:t>.</w:t>
      </w:r>
      <w:r>
        <w:tab/>
        <w:t>Act amended</w:t>
      </w:r>
      <w:bookmarkEnd w:id="477"/>
    </w:p>
    <w:p>
      <w:pPr>
        <w:pStyle w:val="Subsection"/>
      </w:pPr>
      <w:r>
        <w:tab/>
      </w:r>
      <w:r>
        <w:tab/>
        <w:t xml:space="preserve">This Division amends the </w:t>
      </w:r>
      <w:r>
        <w:rPr>
          <w:i/>
        </w:rPr>
        <w:t>Water Corporations Act 1995</w:t>
      </w:r>
      <w:r>
        <w:t>.</w:t>
      </w:r>
    </w:p>
    <w:p>
      <w:pPr>
        <w:pStyle w:val="Heading5"/>
      </w:pPr>
      <w:bookmarkStart w:id="478" w:name="_Toc182400560"/>
      <w:r>
        <w:rPr>
          <w:rStyle w:val="CharSectno"/>
        </w:rPr>
        <w:t>258</w:t>
      </w:r>
      <w:r>
        <w:t>.</w:t>
      </w:r>
      <w:r>
        <w:tab/>
        <w:t>Section 3 amended</w:t>
      </w:r>
      <w:bookmarkEnd w:id="478"/>
    </w:p>
    <w:p>
      <w:pPr>
        <w:pStyle w:val="Subsection"/>
      </w:pPr>
      <w:r>
        <w:tab/>
        <w:t>(1)</w:t>
      </w:r>
      <w:r>
        <w:tab/>
        <w:t>In section 3(1) delete the definitions of:</w:t>
      </w:r>
    </w:p>
    <w:p>
      <w:pPr>
        <w:pStyle w:val="DeleteListSub"/>
      </w:pPr>
      <w:r>
        <w:rPr>
          <w:b/>
          <w:i/>
        </w:rPr>
        <w:t>board</w:t>
      </w:r>
    </w:p>
    <w:p>
      <w:pPr>
        <w:pStyle w:val="DeleteListSub"/>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3(2).</w:t>
      </w:r>
    </w:p>
    <w:p>
      <w:pPr>
        <w:pStyle w:val="Heading5"/>
      </w:pPr>
      <w:bookmarkStart w:id="479" w:name="_Toc182400561"/>
      <w:r>
        <w:rPr>
          <w:rStyle w:val="CharSectno"/>
        </w:rPr>
        <w:lastRenderedPageBreak/>
        <w:t>259</w:t>
      </w:r>
      <w:r>
        <w:t>.</w:t>
      </w:r>
      <w:r>
        <w:tab/>
        <w:t>Section 3A inserted</w:t>
      </w:r>
      <w:bookmarkEnd w:id="479"/>
    </w:p>
    <w:p>
      <w:pPr>
        <w:pStyle w:val="Subsection"/>
        <w:keepNext/>
      </w:pPr>
      <w:r>
        <w:tab/>
      </w:r>
      <w:r>
        <w:tab/>
        <w:t>At the end of Part 1 insert:</w:t>
      </w:r>
    </w:p>
    <w:p>
      <w:pPr>
        <w:pStyle w:val="BlankOpen"/>
      </w:pPr>
    </w:p>
    <w:p>
      <w:pPr>
        <w:pStyle w:val="zHeading5"/>
      </w:pPr>
      <w:bookmarkStart w:id="480" w:name="_Toc182400562"/>
      <w:r>
        <w:t>3A.</w:t>
      </w:r>
      <w:r>
        <w:tab/>
        <w:t>Relationship to GTE Act</w:t>
      </w:r>
      <w:bookmarkEnd w:id="480"/>
    </w:p>
    <w:p>
      <w:pPr>
        <w:pStyle w:val="zSubsection"/>
      </w:pPr>
      <w:r>
        <w:tab/>
      </w:r>
      <w:r>
        <w:tab/>
        <w:t>The GTE Act is to be read with this Act as if they formed a single Act.</w:t>
      </w:r>
    </w:p>
    <w:p>
      <w:pPr>
        <w:pStyle w:val="BlankClose"/>
      </w:pPr>
    </w:p>
    <w:p>
      <w:pPr>
        <w:pStyle w:val="Heading5"/>
      </w:pPr>
      <w:bookmarkStart w:id="481" w:name="_Toc182400563"/>
      <w:r>
        <w:rPr>
          <w:rStyle w:val="CharSectno"/>
        </w:rPr>
        <w:t>260</w:t>
      </w:r>
      <w:r>
        <w:t>.</w:t>
      </w:r>
      <w:r>
        <w:tab/>
        <w:t>Section 7A amended</w:t>
      </w:r>
      <w:bookmarkEnd w:id="481"/>
    </w:p>
    <w:p>
      <w:pPr>
        <w:pStyle w:val="Subsection"/>
      </w:pPr>
      <w:r>
        <w:tab/>
      </w:r>
      <w:r>
        <w:tab/>
        <w:t>In section 7A(2)(h) delete “Part 4 Division 3” and insert:</w:t>
      </w:r>
    </w:p>
    <w:p>
      <w:pPr>
        <w:pStyle w:val="BlankOpen"/>
      </w:pPr>
    </w:p>
    <w:p>
      <w:pPr>
        <w:pStyle w:val="Subsection"/>
      </w:pPr>
      <w:r>
        <w:tab/>
      </w:r>
      <w:r>
        <w:tab/>
        <w:t>the GTE Act Part 7 Division 1</w:t>
      </w:r>
    </w:p>
    <w:p>
      <w:pPr>
        <w:pStyle w:val="BlankClose"/>
      </w:pPr>
    </w:p>
    <w:p>
      <w:pPr>
        <w:pStyle w:val="Heading5"/>
      </w:pPr>
      <w:bookmarkStart w:id="482" w:name="_Toc182400564"/>
      <w:r>
        <w:rPr>
          <w:rStyle w:val="CharSectno"/>
        </w:rPr>
        <w:t>261</w:t>
      </w:r>
      <w:r>
        <w:t>.</w:t>
      </w:r>
      <w:r>
        <w:tab/>
        <w:t>Part 2 Division 2 replaced</w:t>
      </w:r>
      <w:bookmarkEnd w:id="482"/>
    </w:p>
    <w:p>
      <w:pPr>
        <w:pStyle w:val="Subsection"/>
      </w:pPr>
      <w:r>
        <w:tab/>
      </w:r>
      <w:r>
        <w:tab/>
        <w:t>Delete Part 2 Division 2 and insert:</w:t>
      </w:r>
    </w:p>
    <w:p>
      <w:pPr>
        <w:pStyle w:val="BlankOpen"/>
      </w:pPr>
    </w:p>
    <w:p>
      <w:pPr>
        <w:pStyle w:val="zHeading3"/>
      </w:pPr>
      <w:bookmarkStart w:id="483" w:name="_Toc182383803"/>
      <w:bookmarkStart w:id="484" w:name="_Toc182384412"/>
      <w:bookmarkStart w:id="485" w:name="_Toc182400565"/>
      <w:r>
        <w:t>Division 2 — Regional water corporation board members</w:t>
      </w:r>
      <w:bookmarkEnd w:id="483"/>
      <w:bookmarkEnd w:id="484"/>
      <w:bookmarkEnd w:id="485"/>
    </w:p>
    <w:p>
      <w:pPr>
        <w:pStyle w:val="zHeading5"/>
      </w:pPr>
      <w:bookmarkStart w:id="486" w:name="_Toc182400566"/>
      <w:r>
        <w:t>7.</w:t>
      </w:r>
      <w:r>
        <w:tab/>
        <w:t>Appointing board member: special provision for regional water corporations</w:t>
      </w:r>
      <w:bookmarkEnd w:id="486"/>
    </w:p>
    <w:p>
      <w:pPr>
        <w:pStyle w:val="zSubsection"/>
      </w:pPr>
      <w:r>
        <w:tab/>
        <w:t>(1)</w:t>
      </w:r>
      <w:r>
        <w:tab/>
        <w:t xml:space="preserve">In this section — </w:t>
      </w:r>
    </w:p>
    <w:p>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zDefstart"/>
      </w:pPr>
      <w:r>
        <w:tab/>
      </w:r>
      <w:r>
        <w:rPr>
          <w:rStyle w:val="CharDefText"/>
        </w:rPr>
        <w:t>regional water corporation</w:t>
      </w:r>
      <w:r>
        <w:t xml:space="preserve"> means the Bunbury Water Corporation and the Busselton Water Corporation.</w:t>
      </w:r>
    </w:p>
    <w:p>
      <w:pPr>
        <w:pStyle w:val="zSubsection"/>
      </w:pPr>
      <w:r>
        <w:tab/>
        <w:t>(2)</w:t>
      </w:r>
      <w:r>
        <w:tab/>
        <w:t xml:space="preserve">In appointing the members of a regional water corporation’s board, the Minister must, to the extent practicable, ensure that, at the time of the appointment, </w:t>
      </w:r>
      <w:r>
        <w:lastRenderedPageBreak/>
        <w:t>the number of directors who are not ordinarily resident in an operating area of the corporation does not exceed the number of those who are.</w:t>
      </w:r>
    </w:p>
    <w:p>
      <w:pPr>
        <w:pStyle w:val="BlankClose"/>
      </w:pPr>
    </w:p>
    <w:p>
      <w:pPr>
        <w:pStyle w:val="Heading5"/>
      </w:pPr>
      <w:bookmarkStart w:id="487" w:name="_Toc182400567"/>
      <w:r>
        <w:rPr>
          <w:rStyle w:val="CharSectno"/>
        </w:rPr>
        <w:t>262</w:t>
      </w:r>
      <w:r>
        <w:t>.</w:t>
      </w:r>
      <w:r>
        <w:tab/>
        <w:t>Sections 13, 14A, 14B and 14 deleted</w:t>
      </w:r>
      <w:bookmarkEnd w:id="487"/>
    </w:p>
    <w:p>
      <w:pPr>
        <w:pStyle w:val="Subsection"/>
      </w:pPr>
      <w:r>
        <w:tab/>
      </w:r>
      <w:r>
        <w:tab/>
        <w:t xml:space="preserve">Delete sections 13, 14A, 14B and 14. </w:t>
      </w:r>
    </w:p>
    <w:p>
      <w:pPr>
        <w:pStyle w:val="Heading5"/>
      </w:pPr>
      <w:bookmarkStart w:id="488" w:name="_Toc182400568"/>
      <w:r>
        <w:rPr>
          <w:rStyle w:val="CharSectno"/>
        </w:rPr>
        <w:t>263</w:t>
      </w:r>
      <w:r>
        <w:t>.</w:t>
      </w:r>
      <w:r>
        <w:tab/>
        <w:t>Section 16 amended</w:t>
      </w:r>
      <w:bookmarkEnd w:id="488"/>
    </w:p>
    <w:p>
      <w:pPr>
        <w:pStyle w:val="Subsection"/>
      </w:pPr>
      <w:r>
        <w:tab/>
      </w:r>
      <w:r>
        <w:tab/>
        <w:t>Delete section 16(4)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489" w:name="_Toc182400569"/>
      <w:r>
        <w:rPr>
          <w:rStyle w:val="CharSectno"/>
        </w:rPr>
        <w:t>264</w:t>
      </w:r>
      <w:r>
        <w:t>.</w:t>
      </w:r>
      <w:r>
        <w:tab/>
        <w:t>Section 18 deleted</w:t>
      </w:r>
      <w:bookmarkEnd w:id="489"/>
    </w:p>
    <w:p>
      <w:pPr>
        <w:pStyle w:val="Subsection"/>
      </w:pPr>
      <w:r>
        <w:tab/>
      </w:r>
      <w:r>
        <w:tab/>
        <w:t>Delete section 18.</w:t>
      </w:r>
    </w:p>
    <w:p>
      <w:pPr>
        <w:pStyle w:val="Heading5"/>
      </w:pPr>
      <w:bookmarkStart w:id="490" w:name="_Toc182400570"/>
      <w:r>
        <w:rPr>
          <w:rStyle w:val="CharSectno"/>
        </w:rPr>
        <w:t>265</w:t>
      </w:r>
      <w:r>
        <w:t>.</w:t>
      </w:r>
      <w:r>
        <w:tab/>
        <w:t>Part 2 Division 4 heading replaced</w:t>
      </w:r>
      <w:bookmarkEnd w:id="490"/>
    </w:p>
    <w:p>
      <w:pPr>
        <w:pStyle w:val="Subsection"/>
      </w:pPr>
      <w:r>
        <w:tab/>
      </w:r>
      <w:r>
        <w:tab/>
        <w:t>Delete the heading to Part 2 Division 4 and insert:</w:t>
      </w:r>
    </w:p>
    <w:p>
      <w:pPr>
        <w:pStyle w:val="BlankOpen"/>
      </w:pPr>
    </w:p>
    <w:p>
      <w:pPr>
        <w:pStyle w:val="zHeading3"/>
      </w:pPr>
      <w:bookmarkStart w:id="491" w:name="_Toc182383809"/>
      <w:bookmarkStart w:id="492" w:name="_Toc182384418"/>
      <w:bookmarkStart w:id="493" w:name="_Toc182400571"/>
      <w:r>
        <w:t>Division 4 — Staff codes of conduct</w:t>
      </w:r>
      <w:bookmarkEnd w:id="491"/>
      <w:bookmarkEnd w:id="492"/>
      <w:bookmarkEnd w:id="493"/>
    </w:p>
    <w:p>
      <w:pPr>
        <w:pStyle w:val="BlankClose"/>
      </w:pPr>
    </w:p>
    <w:p>
      <w:pPr>
        <w:pStyle w:val="Heading5"/>
      </w:pPr>
      <w:bookmarkStart w:id="494" w:name="_Toc182400572"/>
      <w:r>
        <w:rPr>
          <w:rStyle w:val="CharSectno"/>
        </w:rPr>
        <w:t>266</w:t>
      </w:r>
      <w:r>
        <w:t>.</w:t>
      </w:r>
      <w:r>
        <w:tab/>
        <w:t>Sections 20 to 23 deleted</w:t>
      </w:r>
      <w:bookmarkEnd w:id="494"/>
    </w:p>
    <w:p>
      <w:pPr>
        <w:pStyle w:val="Subsection"/>
      </w:pPr>
      <w:r>
        <w:tab/>
      </w:r>
      <w:r>
        <w:tab/>
        <w:t>Delete sections 20 to 23.</w:t>
      </w:r>
    </w:p>
    <w:p>
      <w:pPr>
        <w:pStyle w:val="Heading5"/>
      </w:pPr>
      <w:bookmarkStart w:id="495" w:name="_Toc182400573"/>
      <w:r>
        <w:rPr>
          <w:rStyle w:val="CharSectno"/>
        </w:rPr>
        <w:lastRenderedPageBreak/>
        <w:t>267</w:t>
      </w:r>
      <w:r>
        <w:t>.</w:t>
      </w:r>
      <w:r>
        <w:tab/>
        <w:t>Section 26 amended</w:t>
      </w:r>
      <w:bookmarkEnd w:id="495"/>
    </w:p>
    <w:p>
      <w:pPr>
        <w:pStyle w:val="Subsection"/>
      </w:pPr>
      <w:r>
        <w:tab/>
      </w:r>
      <w:r>
        <w:tab/>
        <w:t>In section 26(1) delete “section 60,” and insert:</w:t>
      </w:r>
    </w:p>
    <w:p>
      <w:pPr>
        <w:pStyle w:val="BlankOpen"/>
      </w:pPr>
    </w:p>
    <w:p>
      <w:pPr>
        <w:pStyle w:val="Subsection"/>
      </w:pPr>
      <w:r>
        <w:tab/>
      </w:r>
      <w:r>
        <w:tab/>
        <w:t>the GTE Act section 81,</w:t>
      </w:r>
    </w:p>
    <w:p>
      <w:pPr>
        <w:pStyle w:val="BlankClose"/>
      </w:pPr>
    </w:p>
    <w:p>
      <w:pPr>
        <w:pStyle w:val="Heading5"/>
      </w:pPr>
      <w:bookmarkStart w:id="496" w:name="_Toc182400574"/>
      <w:r>
        <w:rPr>
          <w:rStyle w:val="CharSectno"/>
        </w:rPr>
        <w:t>268</w:t>
      </w:r>
      <w:r>
        <w:t>.</w:t>
      </w:r>
      <w:r>
        <w:tab/>
        <w:t>Sections 28A and 28 deleted</w:t>
      </w:r>
      <w:bookmarkEnd w:id="496"/>
    </w:p>
    <w:p>
      <w:pPr>
        <w:pStyle w:val="Subsection"/>
      </w:pPr>
      <w:r>
        <w:tab/>
      </w:r>
      <w:r>
        <w:tab/>
        <w:t>Delete sections 28A and 28.</w:t>
      </w:r>
    </w:p>
    <w:p>
      <w:pPr>
        <w:pStyle w:val="Heading5"/>
      </w:pPr>
      <w:bookmarkStart w:id="497" w:name="_Toc182400575"/>
      <w:r>
        <w:rPr>
          <w:rStyle w:val="CharSectno"/>
        </w:rPr>
        <w:t>269</w:t>
      </w:r>
      <w:r>
        <w:t>.</w:t>
      </w:r>
      <w:r>
        <w:tab/>
        <w:t>Section 29 amended</w:t>
      </w:r>
      <w:bookmarkEnd w:id="497"/>
    </w:p>
    <w:p>
      <w:pPr>
        <w:pStyle w:val="Subsection"/>
      </w:pPr>
      <w:r>
        <w:tab/>
        <w:t>(1)</w:t>
      </w:r>
      <w:r>
        <w:tab/>
        <w:t>In section 29(2)(g) delete “subject to sections 31 and 32,”.</w:t>
      </w:r>
    </w:p>
    <w:p>
      <w:pPr>
        <w:pStyle w:val="Subsection"/>
      </w:pPr>
      <w:r>
        <w:tab/>
        <w:t>(2)</w:t>
      </w:r>
      <w:r>
        <w:tab/>
        <w:t>After section 29(2) insert:</w:t>
      </w:r>
    </w:p>
    <w:p>
      <w:pPr>
        <w:pStyle w:val="BlankOpen"/>
      </w:pPr>
    </w:p>
    <w:p>
      <w:pPr>
        <w:pStyle w:val="zSubsection"/>
      </w:pPr>
      <w:r>
        <w:tab/>
        <w:t>(2A)</w:t>
      </w:r>
      <w:r>
        <w:tab/>
        <w:t>Subsections (1) and (2) have effect subject to the GTE Act.</w:t>
      </w:r>
    </w:p>
    <w:p>
      <w:pPr>
        <w:pStyle w:val="BlankClose"/>
      </w:pPr>
    </w:p>
    <w:p>
      <w:pPr>
        <w:pStyle w:val="Heading5"/>
      </w:pPr>
      <w:bookmarkStart w:id="498" w:name="_Toc182400576"/>
      <w:r>
        <w:rPr>
          <w:rStyle w:val="CharSectno"/>
        </w:rPr>
        <w:t>270</w:t>
      </w:r>
      <w:r>
        <w:t>.</w:t>
      </w:r>
      <w:r>
        <w:tab/>
        <w:t>Sections 30 to 34 deleted</w:t>
      </w:r>
      <w:bookmarkEnd w:id="498"/>
    </w:p>
    <w:p>
      <w:pPr>
        <w:pStyle w:val="Subsection"/>
      </w:pPr>
      <w:r>
        <w:tab/>
      </w:r>
      <w:r>
        <w:tab/>
        <w:t>Delete sections 30 to 34.</w:t>
      </w:r>
    </w:p>
    <w:p>
      <w:pPr>
        <w:pStyle w:val="Heading5"/>
      </w:pPr>
      <w:bookmarkStart w:id="499" w:name="_Toc182400577"/>
      <w:r>
        <w:rPr>
          <w:rStyle w:val="CharSectno"/>
        </w:rPr>
        <w:t>271</w:t>
      </w:r>
      <w:r>
        <w:t>.</w:t>
      </w:r>
      <w:r>
        <w:tab/>
        <w:t>Section 35 amended</w:t>
      </w:r>
      <w:bookmarkEnd w:id="499"/>
    </w:p>
    <w:p>
      <w:pPr>
        <w:pStyle w:val="Subsection"/>
      </w:pPr>
      <w:r>
        <w:tab/>
        <w:t>(1)</w:t>
      </w:r>
      <w:r>
        <w:tab/>
        <w:t>In section 35(2)(c) delete “section 12; or” and insert:</w:t>
      </w:r>
    </w:p>
    <w:p>
      <w:pPr>
        <w:pStyle w:val="BlankOpen"/>
      </w:pPr>
    </w:p>
    <w:p>
      <w:pPr>
        <w:pStyle w:val="Subsection"/>
      </w:pPr>
      <w:r>
        <w:tab/>
      </w:r>
      <w:r>
        <w:tab/>
        <w:t>the GTE Act section 26; or</w:t>
      </w:r>
    </w:p>
    <w:p>
      <w:pPr>
        <w:pStyle w:val="BlankClose"/>
      </w:pPr>
    </w:p>
    <w:p>
      <w:pPr>
        <w:pStyle w:val="Subsection"/>
        <w:keepNext/>
      </w:pPr>
      <w:r>
        <w:lastRenderedPageBreak/>
        <w:tab/>
        <w:t>(2)</w:t>
      </w:r>
      <w:r>
        <w:tab/>
        <w:t>After section 35(6) insert:</w:t>
      </w:r>
    </w:p>
    <w:p>
      <w:pPr>
        <w:pStyle w:val="BlankOpen"/>
      </w:pPr>
    </w:p>
    <w:p>
      <w:pPr>
        <w:pStyle w:val="zSubsection"/>
        <w:keepNext/>
      </w:pPr>
      <w:r>
        <w:tab/>
        <w:t>(7)</w:t>
      </w:r>
      <w:r>
        <w:tab/>
        <w:t>This section does not apply to the execution of documents.</w:t>
      </w:r>
    </w:p>
    <w:p>
      <w:pPr>
        <w:pStyle w:val="zPermNoteHeading"/>
        <w:keepNext/>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500" w:name="_Toc182400578"/>
      <w:r>
        <w:rPr>
          <w:rStyle w:val="CharSectno"/>
        </w:rPr>
        <w:t>272</w:t>
      </w:r>
      <w:r>
        <w:t>.</w:t>
      </w:r>
      <w:r>
        <w:tab/>
        <w:t>Part 3 Division 3 deleted</w:t>
      </w:r>
      <w:bookmarkEnd w:id="500"/>
    </w:p>
    <w:p>
      <w:pPr>
        <w:pStyle w:val="Subsection"/>
      </w:pPr>
      <w:r>
        <w:tab/>
      </w:r>
      <w:r>
        <w:tab/>
        <w:t>Delete Part 3 Division 3.</w:t>
      </w:r>
    </w:p>
    <w:p>
      <w:pPr>
        <w:pStyle w:val="Heading5"/>
      </w:pPr>
      <w:bookmarkStart w:id="501" w:name="_Toc182400579"/>
      <w:r>
        <w:rPr>
          <w:rStyle w:val="CharSectno"/>
        </w:rPr>
        <w:t>273</w:t>
      </w:r>
      <w:r>
        <w:t>.</w:t>
      </w:r>
      <w:r>
        <w:tab/>
        <w:t>Parts 4 and 5 deleted</w:t>
      </w:r>
      <w:bookmarkEnd w:id="501"/>
    </w:p>
    <w:p>
      <w:pPr>
        <w:pStyle w:val="Subsection"/>
      </w:pPr>
      <w:r>
        <w:tab/>
      </w:r>
      <w:r>
        <w:tab/>
        <w:t>Delete Parts 4 and 5.</w:t>
      </w:r>
    </w:p>
    <w:p>
      <w:pPr>
        <w:pStyle w:val="Heading5"/>
      </w:pPr>
      <w:bookmarkStart w:id="502" w:name="_Toc182400580"/>
      <w:r>
        <w:rPr>
          <w:rStyle w:val="CharSectno"/>
        </w:rPr>
        <w:t>274</w:t>
      </w:r>
      <w:r>
        <w:t>.</w:t>
      </w:r>
      <w:r>
        <w:tab/>
        <w:t>Sections 87 to 89 replaced</w:t>
      </w:r>
      <w:bookmarkEnd w:id="502"/>
    </w:p>
    <w:p>
      <w:pPr>
        <w:pStyle w:val="Subsection"/>
      </w:pPr>
      <w:r>
        <w:tab/>
      </w:r>
      <w:r>
        <w:tab/>
        <w:t>Delete sections 87 to 89 and insert:</w:t>
      </w:r>
    </w:p>
    <w:p>
      <w:pPr>
        <w:pStyle w:val="BlankOpen"/>
      </w:pPr>
    </w:p>
    <w:p>
      <w:pPr>
        <w:pStyle w:val="zHeading5"/>
      </w:pPr>
      <w:bookmarkStart w:id="503" w:name="_Toc182400581"/>
      <w:r>
        <w:t>87.</w:t>
      </w:r>
      <w:r>
        <w:tab/>
        <w:t>Laying documents before Parliament not sitting</w:t>
      </w:r>
      <w:bookmarkEnd w:id="503"/>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504" w:name="_Toc182400582"/>
      <w:r>
        <w:rPr>
          <w:rStyle w:val="CharSectno"/>
        </w:rPr>
        <w:t>275</w:t>
      </w:r>
      <w:r>
        <w:t>.</w:t>
      </w:r>
      <w:r>
        <w:tab/>
        <w:t>Section 91 amended</w:t>
      </w:r>
      <w:bookmarkEnd w:id="504"/>
    </w:p>
    <w:p>
      <w:pPr>
        <w:pStyle w:val="Subsection"/>
      </w:pPr>
      <w:r>
        <w:tab/>
      </w:r>
      <w:r>
        <w:tab/>
        <w:t>After section 91(2) insert:</w:t>
      </w:r>
    </w:p>
    <w:p>
      <w:pPr>
        <w:pStyle w:val="BlankOpen"/>
      </w:pPr>
    </w:p>
    <w:p>
      <w:pPr>
        <w:pStyle w:val="zSubsection"/>
      </w:pPr>
      <w:r>
        <w:tab/>
        <w:t>(3)</w:t>
      </w:r>
      <w:r>
        <w:tab/>
        <w:t>Regulations under this Act may be expressed to prevail over regulations made under the GTE Act.</w:t>
      </w:r>
    </w:p>
    <w:p>
      <w:pPr>
        <w:pStyle w:val="zSubsection"/>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505" w:name="_Toc182400583"/>
      <w:r>
        <w:rPr>
          <w:rStyle w:val="CharSectno"/>
        </w:rPr>
        <w:t>276</w:t>
      </w:r>
      <w:r>
        <w:t>.</w:t>
      </w:r>
      <w:r>
        <w:tab/>
        <w:t>Schedules 1 to 4 deleted</w:t>
      </w:r>
      <w:bookmarkEnd w:id="505"/>
    </w:p>
    <w:p>
      <w:pPr>
        <w:pStyle w:val="Subsection"/>
      </w:pPr>
      <w:r>
        <w:tab/>
      </w:r>
      <w:r>
        <w:tab/>
        <w:t>Delete Schedules 1 to 4.</w:t>
      </w:r>
    </w:p>
    <w:p>
      <w:pPr>
        <w:pStyle w:val="Heading3"/>
      </w:pPr>
      <w:bookmarkStart w:id="506" w:name="_Toc182383822"/>
      <w:bookmarkStart w:id="507" w:name="_Toc182384431"/>
      <w:bookmarkStart w:id="508" w:name="_Toc182400584"/>
      <w:r>
        <w:rPr>
          <w:rStyle w:val="CharDivNo"/>
        </w:rPr>
        <w:t>Division 10</w:t>
      </w:r>
      <w:r>
        <w:t> — </w:t>
      </w:r>
      <w:r>
        <w:rPr>
          <w:rStyle w:val="CharDivText"/>
          <w:i/>
        </w:rPr>
        <w:t>Western Australian Land Authority Act 1992</w:t>
      </w:r>
      <w:r>
        <w:rPr>
          <w:rStyle w:val="CharDivText"/>
        </w:rPr>
        <w:t xml:space="preserve"> amended</w:t>
      </w:r>
      <w:bookmarkEnd w:id="506"/>
      <w:bookmarkEnd w:id="507"/>
      <w:bookmarkEnd w:id="508"/>
    </w:p>
    <w:p>
      <w:pPr>
        <w:pStyle w:val="Heading5"/>
      </w:pPr>
      <w:bookmarkStart w:id="509" w:name="_Toc182400585"/>
      <w:r>
        <w:rPr>
          <w:rStyle w:val="CharSectno"/>
        </w:rPr>
        <w:t>277</w:t>
      </w:r>
      <w:r>
        <w:t>.</w:t>
      </w:r>
      <w:r>
        <w:tab/>
        <w:t>Act amended</w:t>
      </w:r>
      <w:bookmarkEnd w:id="509"/>
    </w:p>
    <w:p>
      <w:pPr>
        <w:pStyle w:val="Subsection"/>
      </w:pPr>
      <w:r>
        <w:tab/>
      </w:r>
      <w:r>
        <w:tab/>
        <w:t xml:space="preserve">This Division amends the </w:t>
      </w:r>
      <w:r>
        <w:rPr>
          <w:i/>
        </w:rPr>
        <w:t>Western Australian Land Authority Act 1992</w:t>
      </w:r>
      <w:r>
        <w:t>.</w:t>
      </w:r>
    </w:p>
    <w:p>
      <w:pPr>
        <w:pStyle w:val="Heading5"/>
      </w:pPr>
      <w:bookmarkStart w:id="510" w:name="_Toc182400586"/>
      <w:r>
        <w:rPr>
          <w:rStyle w:val="CharSectno"/>
        </w:rPr>
        <w:t>278</w:t>
      </w:r>
      <w:r>
        <w:t>.</w:t>
      </w:r>
      <w:r>
        <w:tab/>
        <w:t>Section 4 amended</w:t>
      </w:r>
      <w:bookmarkEnd w:id="510"/>
    </w:p>
    <w:p>
      <w:pPr>
        <w:pStyle w:val="Subsection"/>
      </w:pPr>
      <w:r>
        <w:tab/>
        <w:t>(1)</w:t>
      </w:r>
      <w:r>
        <w:tab/>
        <w:t>In section 4(1) delete the definitions of:</w:t>
      </w:r>
    </w:p>
    <w:p>
      <w:pPr>
        <w:pStyle w:val="DeleteListSub"/>
      </w:pPr>
      <w:r>
        <w:rPr>
          <w:b/>
          <w:i/>
        </w:rPr>
        <w:t>alternate director</w:t>
      </w:r>
    </w:p>
    <w:p>
      <w:pPr>
        <w:pStyle w:val="DeleteListSub"/>
      </w:pPr>
      <w:r>
        <w:rPr>
          <w:b/>
          <w:i/>
        </w:rPr>
        <w:t>board</w:t>
      </w:r>
    </w:p>
    <w:p>
      <w:pPr>
        <w:pStyle w:val="DeleteListSub"/>
        <w:rPr>
          <w:b/>
          <w:i/>
        </w:rPr>
      </w:pPr>
      <w:r>
        <w:rPr>
          <w:b/>
          <w:i/>
        </w:rPr>
        <w:t>chairperson</w:t>
      </w:r>
    </w:p>
    <w:p>
      <w:pPr>
        <w:pStyle w:val="DeleteListSub"/>
        <w:rPr>
          <w:b/>
          <w:i/>
        </w:rPr>
      </w:pPr>
      <w:r>
        <w:rPr>
          <w:b/>
          <w:i/>
        </w:rPr>
        <w:t>chief executive officer</w:t>
      </w:r>
    </w:p>
    <w:p>
      <w:pPr>
        <w:pStyle w:val="DeleteListSub"/>
        <w:rPr>
          <w:b/>
          <w:i/>
        </w:rPr>
      </w:pPr>
      <w:r>
        <w:rPr>
          <w:b/>
          <w:i/>
        </w:rPr>
        <w:t>committee</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lastRenderedPageBreak/>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4(1)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4(1) in the definition of </w:t>
      </w:r>
      <w:r>
        <w:rPr>
          <w:b/>
          <w:i/>
        </w:rPr>
        <w:t>public authority</w:t>
      </w:r>
      <w:r>
        <w:t xml:space="preserve"> delete “utility;” and insert:</w:t>
      </w:r>
    </w:p>
    <w:p>
      <w:pPr>
        <w:pStyle w:val="BlankOpen"/>
      </w:pPr>
    </w:p>
    <w:p>
      <w:pPr>
        <w:pStyle w:val="Subsection"/>
      </w:pPr>
      <w:r>
        <w:tab/>
      </w:r>
      <w:r>
        <w:tab/>
        <w:t>utility.</w:t>
      </w:r>
    </w:p>
    <w:p>
      <w:pPr>
        <w:pStyle w:val="BlankClose"/>
      </w:pPr>
    </w:p>
    <w:p>
      <w:pPr>
        <w:pStyle w:val="Subsection"/>
      </w:pPr>
      <w:r>
        <w:tab/>
        <w:t>(4)</w:t>
      </w:r>
      <w:r>
        <w:tab/>
        <w:t>Delete section 4(2).</w:t>
      </w:r>
    </w:p>
    <w:p>
      <w:pPr>
        <w:pStyle w:val="Heading5"/>
      </w:pPr>
      <w:bookmarkStart w:id="511" w:name="_Toc182400587"/>
      <w:r>
        <w:rPr>
          <w:rStyle w:val="CharSectno"/>
        </w:rPr>
        <w:t>279</w:t>
      </w:r>
      <w:r>
        <w:t>.</w:t>
      </w:r>
      <w:r>
        <w:tab/>
        <w:t>Section 4A inserted</w:t>
      </w:r>
      <w:bookmarkEnd w:id="511"/>
    </w:p>
    <w:p>
      <w:pPr>
        <w:pStyle w:val="Subsection"/>
      </w:pPr>
      <w:r>
        <w:tab/>
      </w:r>
      <w:r>
        <w:tab/>
        <w:t>At the end of Part 1 insert:</w:t>
      </w:r>
    </w:p>
    <w:p>
      <w:pPr>
        <w:pStyle w:val="BlankOpen"/>
      </w:pPr>
    </w:p>
    <w:p>
      <w:pPr>
        <w:pStyle w:val="zHeading5"/>
      </w:pPr>
      <w:bookmarkStart w:id="512" w:name="_Toc182400588"/>
      <w:r>
        <w:t>4A.</w:t>
      </w:r>
      <w:r>
        <w:tab/>
        <w:t>Relationship to GTE Act</w:t>
      </w:r>
      <w:bookmarkEnd w:id="512"/>
    </w:p>
    <w:p>
      <w:pPr>
        <w:pStyle w:val="zSubsection"/>
      </w:pPr>
      <w:r>
        <w:tab/>
      </w:r>
      <w:r>
        <w:tab/>
        <w:t>The GTE Act is to be read with this Act as if they formed a single Act.</w:t>
      </w:r>
    </w:p>
    <w:p>
      <w:pPr>
        <w:pStyle w:val="BlankClose"/>
      </w:pPr>
    </w:p>
    <w:p>
      <w:pPr>
        <w:pStyle w:val="Heading5"/>
      </w:pPr>
      <w:bookmarkStart w:id="513" w:name="_Toc182400589"/>
      <w:r>
        <w:rPr>
          <w:rStyle w:val="CharSectno"/>
        </w:rPr>
        <w:t>280</w:t>
      </w:r>
      <w:r>
        <w:t>.</w:t>
      </w:r>
      <w:r>
        <w:tab/>
        <w:t>Sections 6 to 8B deleted</w:t>
      </w:r>
      <w:bookmarkEnd w:id="513"/>
    </w:p>
    <w:p>
      <w:pPr>
        <w:pStyle w:val="Subsection"/>
      </w:pPr>
      <w:r>
        <w:tab/>
      </w:r>
      <w:r>
        <w:tab/>
        <w:t>Delete sections 6 to 8B.</w:t>
      </w:r>
    </w:p>
    <w:p>
      <w:pPr>
        <w:pStyle w:val="Heading5"/>
      </w:pPr>
      <w:bookmarkStart w:id="514" w:name="_Toc182400590"/>
      <w:r>
        <w:rPr>
          <w:rStyle w:val="CharSectno"/>
        </w:rPr>
        <w:t>281</w:t>
      </w:r>
      <w:r>
        <w:t>.</w:t>
      </w:r>
      <w:r>
        <w:tab/>
        <w:t>Sections 10, 11A and 11B deleted</w:t>
      </w:r>
      <w:bookmarkEnd w:id="514"/>
    </w:p>
    <w:p>
      <w:pPr>
        <w:pStyle w:val="Subsection"/>
      </w:pPr>
      <w:r>
        <w:tab/>
      </w:r>
      <w:r>
        <w:tab/>
        <w:t>Delete sections 10, 11A and 11B.</w:t>
      </w:r>
    </w:p>
    <w:p>
      <w:pPr>
        <w:pStyle w:val="Heading5"/>
      </w:pPr>
      <w:bookmarkStart w:id="515" w:name="_Toc182400591"/>
      <w:r>
        <w:rPr>
          <w:rStyle w:val="CharSectno"/>
        </w:rPr>
        <w:lastRenderedPageBreak/>
        <w:t>282</w:t>
      </w:r>
      <w:r>
        <w:t>.</w:t>
      </w:r>
      <w:r>
        <w:tab/>
        <w:t>Section 12 amended</w:t>
      </w:r>
      <w:bookmarkEnd w:id="515"/>
    </w:p>
    <w:p>
      <w:pPr>
        <w:pStyle w:val="Subsection"/>
        <w:keepNext/>
      </w:pPr>
      <w:r>
        <w:tab/>
      </w:r>
      <w:r>
        <w:tab/>
        <w:t>Delete section 12(3) and insert:</w:t>
      </w:r>
    </w:p>
    <w:p>
      <w:pPr>
        <w:pStyle w:val="BlankOpen"/>
      </w:pPr>
    </w:p>
    <w:p>
      <w:pPr>
        <w:pStyle w:val="zSubsection"/>
      </w:pPr>
      <w:r>
        <w:tab/>
        <w:t>(3)</w:t>
      </w:r>
      <w:r>
        <w:tab/>
        <w:t>An instrument issued under subsection (1) may be expressed to apply to the chief executive officer of the Authority as if the chief executive officer were a member of staff.</w:t>
      </w:r>
    </w:p>
    <w:p>
      <w:pPr>
        <w:pStyle w:val="zSubsection"/>
      </w:pPr>
      <w:r>
        <w:tab/>
        <w:t>(3A)</w:t>
      </w:r>
      <w:r>
        <w:tab/>
        <w:t>If an instrument issued under subsection (1) applies to the chief executive officer of the Authority, subsection (2) does not affect the operation of the GTE Act section 37(5).</w:t>
      </w:r>
    </w:p>
    <w:p>
      <w:pPr>
        <w:pStyle w:val="BlankClose"/>
      </w:pPr>
    </w:p>
    <w:p>
      <w:pPr>
        <w:pStyle w:val="Heading5"/>
      </w:pPr>
      <w:bookmarkStart w:id="516" w:name="_Toc182400592"/>
      <w:r>
        <w:rPr>
          <w:rStyle w:val="CharSectno"/>
        </w:rPr>
        <w:t>283</w:t>
      </w:r>
      <w:r>
        <w:t>.</w:t>
      </w:r>
      <w:r>
        <w:tab/>
        <w:t>Section 14 amended</w:t>
      </w:r>
      <w:bookmarkEnd w:id="516"/>
    </w:p>
    <w:p>
      <w:pPr>
        <w:pStyle w:val="Subsection"/>
      </w:pPr>
      <w:r>
        <w:tab/>
      </w:r>
      <w:r>
        <w:tab/>
        <w:t>In section 14 delete “section 10 or 11” and insert:</w:t>
      </w:r>
    </w:p>
    <w:p>
      <w:pPr>
        <w:pStyle w:val="BlankOpen"/>
      </w:pPr>
    </w:p>
    <w:p>
      <w:pPr>
        <w:pStyle w:val="Subsection"/>
      </w:pPr>
      <w:r>
        <w:tab/>
      </w:r>
      <w:r>
        <w:tab/>
        <w:t>section 11 or the GTE Act section 37(1)</w:t>
      </w:r>
    </w:p>
    <w:p>
      <w:pPr>
        <w:pStyle w:val="BlankClose"/>
      </w:pPr>
    </w:p>
    <w:p>
      <w:pPr>
        <w:pStyle w:val="Heading5"/>
      </w:pPr>
      <w:bookmarkStart w:id="517" w:name="_Toc182400593"/>
      <w:r>
        <w:rPr>
          <w:rStyle w:val="CharSectno"/>
        </w:rPr>
        <w:t>284</w:t>
      </w:r>
      <w:r>
        <w:t>.</w:t>
      </w:r>
      <w:r>
        <w:tab/>
        <w:t>Section 14A deleted</w:t>
      </w:r>
      <w:bookmarkEnd w:id="517"/>
    </w:p>
    <w:p>
      <w:pPr>
        <w:pStyle w:val="Subsection"/>
      </w:pPr>
      <w:r>
        <w:tab/>
      </w:r>
      <w:r>
        <w:tab/>
        <w:t>Delete section 14A.</w:t>
      </w:r>
    </w:p>
    <w:p>
      <w:pPr>
        <w:pStyle w:val="Heading5"/>
      </w:pPr>
      <w:bookmarkStart w:id="518" w:name="_Toc182400594"/>
      <w:r>
        <w:rPr>
          <w:rStyle w:val="CharSectno"/>
        </w:rPr>
        <w:t>285</w:t>
      </w:r>
      <w:r>
        <w:t>.</w:t>
      </w:r>
      <w:r>
        <w:tab/>
        <w:t>Section 14D amended</w:t>
      </w:r>
      <w:bookmarkEnd w:id="518"/>
    </w:p>
    <w:p>
      <w:pPr>
        <w:pStyle w:val="Subsection"/>
      </w:pPr>
      <w:r>
        <w:tab/>
      </w:r>
      <w:r>
        <w:tab/>
        <w:t>In section 14D(1) delete “section 25BA,” and insert:</w:t>
      </w:r>
    </w:p>
    <w:p>
      <w:pPr>
        <w:pStyle w:val="BlankOpen"/>
      </w:pPr>
    </w:p>
    <w:p>
      <w:pPr>
        <w:pStyle w:val="Subsection"/>
      </w:pPr>
      <w:r>
        <w:tab/>
      </w:r>
      <w:r>
        <w:tab/>
        <w:t>the GTE Act section 81,</w:t>
      </w:r>
    </w:p>
    <w:p>
      <w:pPr>
        <w:pStyle w:val="BlankClose"/>
      </w:pPr>
    </w:p>
    <w:p>
      <w:pPr>
        <w:pStyle w:val="Heading5"/>
      </w:pPr>
      <w:bookmarkStart w:id="519" w:name="_Toc182400595"/>
      <w:r>
        <w:rPr>
          <w:rStyle w:val="CharSectno"/>
        </w:rPr>
        <w:t>286</w:t>
      </w:r>
      <w:r>
        <w:t>.</w:t>
      </w:r>
      <w:r>
        <w:tab/>
        <w:t>Section 16A deleted</w:t>
      </w:r>
      <w:bookmarkEnd w:id="519"/>
    </w:p>
    <w:p>
      <w:pPr>
        <w:pStyle w:val="Subsection"/>
      </w:pPr>
      <w:r>
        <w:tab/>
      </w:r>
      <w:r>
        <w:tab/>
        <w:t>Delete section 16A.</w:t>
      </w:r>
    </w:p>
    <w:p>
      <w:pPr>
        <w:pStyle w:val="Heading5"/>
      </w:pPr>
      <w:bookmarkStart w:id="520" w:name="_Toc182400596"/>
      <w:r>
        <w:rPr>
          <w:rStyle w:val="CharSectno"/>
        </w:rPr>
        <w:lastRenderedPageBreak/>
        <w:t>287</w:t>
      </w:r>
      <w:r>
        <w:t>.</w:t>
      </w:r>
      <w:r>
        <w:tab/>
        <w:t>Section 16C deleted</w:t>
      </w:r>
      <w:bookmarkEnd w:id="520"/>
    </w:p>
    <w:p>
      <w:pPr>
        <w:pStyle w:val="Subsection"/>
      </w:pPr>
      <w:r>
        <w:tab/>
      </w:r>
      <w:r>
        <w:tab/>
        <w:t>Delete section 16C.</w:t>
      </w:r>
    </w:p>
    <w:p>
      <w:pPr>
        <w:pStyle w:val="Heading5"/>
      </w:pPr>
      <w:bookmarkStart w:id="521" w:name="_Toc182400597"/>
      <w:r>
        <w:rPr>
          <w:rStyle w:val="CharSectno"/>
        </w:rPr>
        <w:t>288</w:t>
      </w:r>
      <w:r>
        <w:t>.</w:t>
      </w:r>
      <w:r>
        <w:tab/>
        <w:t>Section 17 amended</w:t>
      </w:r>
      <w:bookmarkEnd w:id="521"/>
    </w:p>
    <w:p>
      <w:pPr>
        <w:pStyle w:val="Subsection"/>
      </w:pPr>
      <w:r>
        <w:tab/>
      </w:r>
      <w:r>
        <w:tab/>
        <w:t>After section 17(3) insert:</w:t>
      </w:r>
    </w:p>
    <w:p>
      <w:pPr>
        <w:pStyle w:val="BlankOpen"/>
        <w:rPr>
          <w:sz w:val="18"/>
          <w:szCs w:val="18"/>
        </w:rPr>
      </w:pPr>
    </w:p>
    <w:p>
      <w:pPr>
        <w:pStyle w:val="zSubsection"/>
        <w:spacing w:before="120"/>
      </w:pPr>
      <w:r>
        <w:tab/>
        <w:t>(3A)</w:t>
      </w:r>
      <w:r>
        <w:tab/>
        <w:t>Subsections (1) and (2) have effect subject to the GTE Act.</w:t>
      </w:r>
    </w:p>
    <w:p>
      <w:pPr>
        <w:pStyle w:val="BlankClose"/>
      </w:pPr>
    </w:p>
    <w:p>
      <w:pPr>
        <w:pStyle w:val="Heading5"/>
      </w:pPr>
      <w:bookmarkStart w:id="522" w:name="_Toc182400598"/>
      <w:r>
        <w:rPr>
          <w:rStyle w:val="CharSectno"/>
        </w:rPr>
        <w:t>289</w:t>
      </w:r>
      <w:r>
        <w:t>.</w:t>
      </w:r>
      <w:r>
        <w:tab/>
        <w:t>Sections 17A to 17C deleted</w:t>
      </w:r>
      <w:bookmarkEnd w:id="522"/>
    </w:p>
    <w:p>
      <w:pPr>
        <w:pStyle w:val="Subsection"/>
      </w:pPr>
      <w:r>
        <w:tab/>
      </w:r>
      <w:r>
        <w:tab/>
        <w:t>Delete sections 17A to 17C.</w:t>
      </w:r>
    </w:p>
    <w:p>
      <w:pPr>
        <w:pStyle w:val="Heading5"/>
      </w:pPr>
      <w:bookmarkStart w:id="523" w:name="_Toc182400599"/>
      <w:r>
        <w:rPr>
          <w:rStyle w:val="CharSectno"/>
        </w:rPr>
        <w:t>290</w:t>
      </w:r>
      <w:r>
        <w:t>.</w:t>
      </w:r>
      <w:r>
        <w:tab/>
        <w:t>Section 19 deleted</w:t>
      </w:r>
      <w:bookmarkEnd w:id="523"/>
    </w:p>
    <w:p>
      <w:pPr>
        <w:pStyle w:val="Subsection"/>
      </w:pPr>
      <w:r>
        <w:tab/>
      </w:r>
      <w:r>
        <w:tab/>
        <w:t>Delete section 19.</w:t>
      </w:r>
    </w:p>
    <w:p>
      <w:pPr>
        <w:pStyle w:val="Heading5"/>
      </w:pPr>
      <w:bookmarkStart w:id="524" w:name="_Toc182400600"/>
      <w:r>
        <w:rPr>
          <w:rStyle w:val="CharSectno"/>
        </w:rPr>
        <w:t>291</w:t>
      </w:r>
      <w:r>
        <w:t>.</w:t>
      </w:r>
      <w:r>
        <w:tab/>
        <w:t>Section 22 deleted</w:t>
      </w:r>
      <w:bookmarkEnd w:id="524"/>
    </w:p>
    <w:p>
      <w:pPr>
        <w:pStyle w:val="Subsection"/>
      </w:pPr>
      <w:r>
        <w:tab/>
      </w:r>
      <w:r>
        <w:tab/>
        <w:t>Delete section 22.</w:t>
      </w:r>
    </w:p>
    <w:p>
      <w:pPr>
        <w:pStyle w:val="Heading5"/>
      </w:pPr>
      <w:bookmarkStart w:id="525" w:name="_Toc182400601"/>
      <w:r>
        <w:rPr>
          <w:rStyle w:val="CharSectno"/>
        </w:rPr>
        <w:t>292</w:t>
      </w:r>
      <w:r>
        <w:t>.</w:t>
      </w:r>
      <w:r>
        <w:tab/>
        <w:t>Section 23 amended</w:t>
      </w:r>
      <w:bookmarkEnd w:id="525"/>
    </w:p>
    <w:p>
      <w:pPr>
        <w:pStyle w:val="Subsection"/>
      </w:pPr>
      <w:r>
        <w:tab/>
        <w:t>(1)</w:t>
      </w:r>
      <w:r>
        <w:tab/>
        <w:t>Delete section 23(2)(d) and insert:</w:t>
      </w:r>
    </w:p>
    <w:p>
      <w:pPr>
        <w:pStyle w:val="BlankOpen"/>
        <w:rPr>
          <w:sz w:val="18"/>
          <w:szCs w:val="18"/>
        </w:rPr>
      </w:pPr>
    </w:p>
    <w:p>
      <w:pPr>
        <w:pStyle w:val="zIndenta"/>
        <w:spacing w:before="60"/>
      </w:pPr>
      <w:r>
        <w:tab/>
        <w:t>(d)</w:t>
      </w:r>
      <w:r>
        <w:tab/>
        <w:t>a committee appointed under the GTE Act section 26; or</w:t>
      </w:r>
    </w:p>
    <w:p>
      <w:pPr>
        <w:pStyle w:val="BlankClose"/>
      </w:pPr>
    </w:p>
    <w:p>
      <w:pPr>
        <w:pStyle w:val="Subsection"/>
        <w:keepNext/>
      </w:pPr>
      <w:r>
        <w:tab/>
        <w:t>(2)</w:t>
      </w:r>
      <w:r>
        <w:tab/>
        <w:t>Delete section 23(7) and insert:</w:t>
      </w:r>
    </w:p>
    <w:p>
      <w:pPr>
        <w:pStyle w:val="BlankOpen"/>
      </w:pPr>
    </w:p>
    <w:p>
      <w:pPr>
        <w:pStyle w:val="zSubsection"/>
        <w:keepNext/>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the Authority can be given under the GTE Act section 156.</w:t>
      </w:r>
    </w:p>
    <w:p>
      <w:pPr>
        <w:pStyle w:val="BlankClose"/>
      </w:pPr>
    </w:p>
    <w:p>
      <w:pPr>
        <w:pStyle w:val="Heading5"/>
      </w:pPr>
      <w:bookmarkStart w:id="526" w:name="_Toc182400602"/>
      <w:r>
        <w:rPr>
          <w:rStyle w:val="CharSectno"/>
        </w:rPr>
        <w:lastRenderedPageBreak/>
        <w:t>293</w:t>
      </w:r>
      <w:r>
        <w:t>.</w:t>
      </w:r>
      <w:r>
        <w:tab/>
        <w:t>Sections 23A to 23D deleted</w:t>
      </w:r>
      <w:bookmarkEnd w:id="526"/>
    </w:p>
    <w:p>
      <w:pPr>
        <w:pStyle w:val="Subsection"/>
      </w:pPr>
      <w:r>
        <w:tab/>
      </w:r>
      <w:r>
        <w:tab/>
        <w:t>Delete sections 23A to 23D.</w:t>
      </w:r>
    </w:p>
    <w:p>
      <w:pPr>
        <w:pStyle w:val="Heading5"/>
      </w:pPr>
      <w:bookmarkStart w:id="527" w:name="_Toc182400603"/>
      <w:r>
        <w:rPr>
          <w:rStyle w:val="CharSectno"/>
        </w:rPr>
        <w:t>294</w:t>
      </w:r>
      <w:r>
        <w:t>.</w:t>
      </w:r>
      <w:r>
        <w:tab/>
        <w:t>Parts 3A and 5 deleted</w:t>
      </w:r>
      <w:bookmarkEnd w:id="527"/>
    </w:p>
    <w:p>
      <w:pPr>
        <w:pStyle w:val="Subsection"/>
      </w:pPr>
      <w:r>
        <w:tab/>
      </w:r>
      <w:r>
        <w:tab/>
        <w:t>Delete Parts 3A and 5.</w:t>
      </w:r>
    </w:p>
    <w:p>
      <w:pPr>
        <w:pStyle w:val="Heading5"/>
      </w:pPr>
      <w:bookmarkStart w:id="528" w:name="_Toc182400604"/>
      <w:r>
        <w:rPr>
          <w:rStyle w:val="CharSectno"/>
        </w:rPr>
        <w:t>295</w:t>
      </w:r>
      <w:r>
        <w:t>.</w:t>
      </w:r>
      <w:r>
        <w:tab/>
        <w:t>Sections 45, 45AA and 45A replaced</w:t>
      </w:r>
      <w:bookmarkEnd w:id="528"/>
    </w:p>
    <w:p>
      <w:pPr>
        <w:pStyle w:val="Subsection"/>
      </w:pPr>
      <w:r>
        <w:tab/>
      </w:r>
      <w:r>
        <w:tab/>
        <w:t>Delete sections 45, 45AA and 45A and insert:</w:t>
      </w:r>
    </w:p>
    <w:p>
      <w:pPr>
        <w:pStyle w:val="BlankOpen"/>
      </w:pPr>
    </w:p>
    <w:p>
      <w:pPr>
        <w:pStyle w:val="zHeading5"/>
      </w:pPr>
      <w:bookmarkStart w:id="529" w:name="_Toc182400605"/>
      <w:r>
        <w:t>45.</w:t>
      </w:r>
      <w:r>
        <w:tab/>
        <w:t>Laying documents before Parliament not sitting</w:t>
      </w:r>
      <w:bookmarkEnd w:id="529"/>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530" w:name="_Toc182400606"/>
      <w:r>
        <w:rPr>
          <w:rStyle w:val="CharSectno"/>
        </w:rPr>
        <w:t>296</w:t>
      </w:r>
      <w:r>
        <w:t>.</w:t>
      </w:r>
      <w:r>
        <w:tab/>
        <w:t>Section 47 amended</w:t>
      </w:r>
      <w:bookmarkEnd w:id="530"/>
    </w:p>
    <w:p>
      <w:pPr>
        <w:pStyle w:val="Subsection"/>
      </w:pPr>
      <w:r>
        <w:tab/>
      </w:r>
      <w:r>
        <w:tab/>
        <w:t>After section 47(1) insert:</w:t>
      </w:r>
    </w:p>
    <w:p>
      <w:pPr>
        <w:pStyle w:val="BlankOpen"/>
      </w:pPr>
    </w:p>
    <w:p>
      <w:pPr>
        <w:pStyle w:val="zSubsection"/>
      </w:pPr>
      <w:r>
        <w:tab/>
        <w:t>(2)</w:t>
      </w:r>
      <w:r>
        <w:tab/>
        <w:t>Regulations under this Act may be expressed to prevail over regulations made under the GTE Act.</w:t>
      </w:r>
    </w:p>
    <w:p>
      <w:pPr>
        <w:pStyle w:val="zSubsection"/>
      </w:pPr>
      <w:r>
        <w:tab/>
        <w:t>(3)</w:t>
      </w:r>
      <w:r>
        <w:tab/>
        <w:t xml:space="preserve">Regulations under subsection (2)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keepLines/>
      </w:pPr>
      <w:r>
        <w:lastRenderedPageBreak/>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531" w:name="_Toc182400607"/>
      <w:r>
        <w:rPr>
          <w:rStyle w:val="CharSectno"/>
        </w:rPr>
        <w:t>297</w:t>
      </w:r>
      <w:r>
        <w:t>.</w:t>
      </w:r>
      <w:r>
        <w:tab/>
        <w:t>Schedules 1 and 1A deleted</w:t>
      </w:r>
      <w:bookmarkEnd w:id="531"/>
    </w:p>
    <w:p>
      <w:pPr>
        <w:pStyle w:val="Subsection"/>
      </w:pPr>
      <w:r>
        <w:tab/>
      </w:r>
      <w:r>
        <w:tab/>
        <w:t>Delete Schedules 1 and 1A.</w:t>
      </w:r>
    </w:p>
    <w:p>
      <w:pPr>
        <w:pStyle w:val="Heading5"/>
      </w:pPr>
      <w:bookmarkStart w:id="532" w:name="_Toc182400608"/>
      <w:r>
        <w:rPr>
          <w:rStyle w:val="CharSectno"/>
        </w:rPr>
        <w:t>298</w:t>
      </w:r>
      <w:r>
        <w:t>.</w:t>
      </w:r>
      <w:r>
        <w:tab/>
        <w:t>Schedule 2 amended</w:t>
      </w:r>
      <w:bookmarkEnd w:id="532"/>
    </w:p>
    <w:p>
      <w:pPr>
        <w:pStyle w:val="Subsection"/>
      </w:pPr>
      <w:r>
        <w:tab/>
      </w:r>
      <w:r>
        <w:tab/>
        <w:t>Delete the reference after the heading to Schedule 2 and insert:</w:t>
      </w:r>
    </w:p>
    <w:p>
      <w:pPr>
        <w:pStyle w:val="BlankOpen"/>
        <w:rPr>
          <w:sz w:val="18"/>
          <w:szCs w:val="18"/>
        </w:rPr>
      </w:pPr>
    </w:p>
    <w:p>
      <w:pPr>
        <w:pStyle w:val="Subsection"/>
        <w:rPr>
          <w:sz w:val="22"/>
          <w:szCs w:val="22"/>
        </w:rPr>
      </w:pPr>
      <w:r>
        <w:rPr>
          <w:sz w:val="22"/>
          <w:szCs w:val="22"/>
        </w:rPr>
        <w:tab/>
      </w:r>
      <w:r>
        <w:rPr>
          <w:sz w:val="22"/>
          <w:szCs w:val="22"/>
        </w:rPr>
        <w:tab/>
        <w:t>[s. 16(1)(d)]</w:t>
      </w:r>
    </w:p>
    <w:p>
      <w:pPr>
        <w:pStyle w:val="BlankClose"/>
      </w:pPr>
    </w:p>
    <w:p>
      <w:pPr>
        <w:pStyle w:val="Heading5"/>
      </w:pPr>
      <w:bookmarkStart w:id="533" w:name="_Toc182400609"/>
      <w:r>
        <w:rPr>
          <w:rStyle w:val="CharSectno"/>
        </w:rPr>
        <w:t>299</w:t>
      </w:r>
      <w:r>
        <w:t>.</w:t>
      </w:r>
      <w:r>
        <w:tab/>
        <w:t>Schedules 3 and 3A deleted</w:t>
      </w:r>
      <w:bookmarkEnd w:id="533"/>
    </w:p>
    <w:p>
      <w:pPr>
        <w:pStyle w:val="Subsection"/>
      </w:pPr>
      <w:r>
        <w:tab/>
      </w:r>
      <w:r>
        <w:tab/>
        <w:t>Delete Schedules 3 and 3A.</w:t>
      </w:r>
    </w:p>
    <w:p>
      <w:pPr>
        <w:pStyle w:val="SectAltNote"/>
      </w:pPr>
      <w:r>
        <w:tab/>
        <w:t>Note: The heading to section 11 is to read:</w:t>
      </w:r>
    </w:p>
    <w:p>
      <w:pPr>
        <w:pStyle w:val="SectAltHeading"/>
      </w:pPr>
      <w:r>
        <w:tab/>
      </w:r>
      <w:r>
        <w:tab/>
        <w:t>Staff</w:t>
      </w:r>
    </w:p>
    <w:p>
      <w:pPr>
        <w:pStyle w:val="Heading3"/>
      </w:pPr>
      <w:bookmarkStart w:id="534" w:name="_Toc182383848"/>
      <w:bookmarkStart w:id="535" w:name="_Toc182384457"/>
      <w:bookmarkStart w:id="536" w:name="_Toc182400610"/>
      <w:r>
        <w:rPr>
          <w:rStyle w:val="CharDivNo"/>
        </w:rPr>
        <w:t>Division 11</w:t>
      </w:r>
      <w:r>
        <w:t> — </w:t>
      </w:r>
      <w:r>
        <w:rPr>
          <w:rStyle w:val="CharDivText"/>
          <w:i/>
        </w:rPr>
        <w:t>Western Australian Treasury Corporation Act 1986</w:t>
      </w:r>
      <w:r>
        <w:rPr>
          <w:rStyle w:val="CharDivText"/>
        </w:rPr>
        <w:t xml:space="preserve"> amended</w:t>
      </w:r>
      <w:bookmarkEnd w:id="534"/>
      <w:bookmarkEnd w:id="535"/>
      <w:bookmarkEnd w:id="536"/>
    </w:p>
    <w:p>
      <w:pPr>
        <w:pStyle w:val="Heading5"/>
      </w:pPr>
      <w:bookmarkStart w:id="537" w:name="_Toc182400611"/>
      <w:r>
        <w:rPr>
          <w:rStyle w:val="CharSectno"/>
        </w:rPr>
        <w:t>300</w:t>
      </w:r>
      <w:r>
        <w:t>.</w:t>
      </w:r>
      <w:r>
        <w:tab/>
        <w:t>Act amended</w:t>
      </w:r>
      <w:bookmarkEnd w:id="537"/>
    </w:p>
    <w:p>
      <w:pPr>
        <w:pStyle w:val="Subsection"/>
      </w:pPr>
      <w:r>
        <w:tab/>
      </w:r>
      <w:r>
        <w:tab/>
        <w:t xml:space="preserve">This Division amends the </w:t>
      </w:r>
      <w:r>
        <w:rPr>
          <w:i/>
        </w:rPr>
        <w:t>Western Australian Treasury Corporation Act 1986</w:t>
      </w:r>
      <w:r>
        <w:t>.</w:t>
      </w:r>
    </w:p>
    <w:p>
      <w:pPr>
        <w:pStyle w:val="Heading5"/>
      </w:pPr>
      <w:bookmarkStart w:id="538" w:name="_Toc182400612"/>
      <w:r>
        <w:rPr>
          <w:rStyle w:val="CharSectno"/>
        </w:rPr>
        <w:t>301</w:t>
      </w:r>
      <w:r>
        <w:t>.</w:t>
      </w:r>
      <w:r>
        <w:tab/>
        <w:t>Section 8AA amended</w:t>
      </w:r>
      <w:bookmarkEnd w:id="538"/>
    </w:p>
    <w:p>
      <w:pPr>
        <w:pStyle w:val="Subsection"/>
      </w:pPr>
      <w:r>
        <w:tab/>
      </w:r>
      <w:r>
        <w:tab/>
        <w:t>In section 8AA(2) delete “section 7C(1).” and insert:</w:t>
      </w:r>
    </w:p>
    <w:p>
      <w:pPr>
        <w:pStyle w:val="BlankOpen"/>
      </w:pPr>
    </w:p>
    <w:p>
      <w:pPr>
        <w:pStyle w:val="Subsection"/>
      </w:pPr>
      <w:r>
        <w:tab/>
      </w:r>
      <w:r>
        <w:tab/>
        <w:t>section 7BA.</w:t>
      </w:r>
    </w:p>
    <w:p>
      <w:pPr>
        <w:pStyle w:val="BlankClose"/>
        <w:rPr>
          <w:sz w:val="18"/>
          <w:szCs w:val="18"/>
        </w:rPr>
      </w:pPr>
    </w:p>
    <w:p>
      <w:pPr>
        <w:pStyle w:val="Heading5"/>
      </w:pPr>
      <w:bookmarkStart w:id="539" w:name="_Toc182400613"/>
      <w:r>
        <w:rPr>
          <w:rStyle w:val="CharSectno"/>
        </w:rPr>
        <w:lastRenderedPageBreak/>
        <w:t>302</w:t>
      </w:r>
      <w:r>
        <w:t>.</w:t>
      </w:r>
      <w:r>
        <w:tab/>
        <w:t>Section 8AB amended</w:t>
      </w:r>
      <w:bookmarkEnd w:id="539"/>
    </w:p>
    <w:p>
      <w:pPr>
        <w:pStyle w:val="Subsection"/>
      </w:pPr>
      <w:r>
        <w:tab/>
      </w:r>
      <w:r>
        <w:tab/>
        <w:t>In section 8AB(2) delete “section 7C(1).” and insert:</w:t>
      </w:r>
    </w:p>
    <w:p>
      <w:pPr>
        <w:pStyle w:val="BlankOpen"/>
      </w:pPr>
    </w:p>
    <w:p>
      <w:pPr>
        <w:pStyle w:val="Subsection"/>
      </w:pPr>
      <w:r>
        <w:tab/>
      </w:r>
      <w:r>
        <w:tab/>
        <w:t>section 7BA.</w:t>
      </w:r>
    </w:p>
    <w:p>
      <w:pPr>
        <w:pStyle w:val="BlankClose"/>
      </w:pPr>
    </w:p>
    <w:p>
      <w:pPr>
        <w:pStyle w:val="Heading5"/>
      </w:pPr>
      <w:bookmarkStart w:id="540" w:name="_Toc182400614"/>
      <w:r>
        <w:rPr>
          <w:rStyle w:val="CharSectno"/>
        </w:rPr>
        <w:t>303</w:t>
      </w:r>
      <w:r>
        <w:t>.</w:t>
      </w:r>
      <w:r>
        <w:tab/>
        <w:t>Section 9 amended</w:t>
      </w:r>
      <w:bookmarkEnd w:id="540"/>
    </w:p>
    <w:p>
      <w:pPr>
        <w:pStyle w:val="Subsection"/>
      </w:pPr>
      <w:r>
        <w:tab/>
      </w:r>
      <w:r>
        <w:tab/>
        <w:t>Delete section 9(1)(d) and insert:</w:t>
      </w:r>
    </w:p>
    <w:p>
      <w:pPr>
        <w:pStyle w:val="BlankOpen"/>
      </w:pPr>
    </w:p>
    <w:p>
      <w:pPr>
        <w:pStyle w:val="zIndenta"/>
      </w:pPr>
      <w:r>
        <w:tab/>
        <w:t>(d)</w:t>
      </w:r>
      <w:r>
        <w:tab/>
        <w:t xml:space="preserve">to advise authorities on financial matters including — </w:t>
      </w:r>
    </w:p>
    <w:p>
      <w:pPr>
        <w:pStyle w:val="zIndenti"/>
      </w:pPr>
      <w:r>
        <w:tab/>
        <w:t>(i)</w:t>
      </w:r>
      <w:r>
        <w:tab/>
        <w:t>transactions that come within paragraph (g); and</w:t>
      </w:r>
    </w:p>
    <w:p>
      <w:pPr>
        <w:pStyle w:val="zIndenti"/>
      </w:pPr>
      <w:r>
        <w:tab/>
        <w:t>(ii)</w:t>
      </w:r>
      <w:r>
        <w:tab/>
        <w:t xml:space="preserve">the matters referred to in the </w:t>
      </w:r>
      <w:r>
        <w:rPr>
          <w:i/>
        </w:rPr>
        <w:t>Government Trading Enterprises Act 2023</w:t>
      </w:r>
      <w:r>
        <w:t xml:space="preserve"> section 137;</w:t>
      </w:r>
    </w:p>
    <w:p>
      <w:pPr>
        <w:pStyle w:val="BlankClose"/>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541" w:name="_Toc182383853"/>
      <w:bookmarkStart w:id="542" w:name="_Toc182384462"/>
      <w:bookmarkStart w:id="543" w:name="_Toc182400615"/>
      <w:r>
        <w:rPr>
          <w:rStyle w:val="CharSchNo"/>
        </w:rPr>
        <w:lastRenderedPageBreak/>
        <w:t>Schedule 1</w:t>
      </w:r>
      <w:r>
        <w:t> — </w:t>
      </w:r>
      <w:r>
        <w:rPr>
          <w:rStyle w:val="CharSchText"/>
        </w:rPr>
        <w:t>Effect of provisions to be included in constitution or governing instrument of subsidiary of GTE</w:t>
      </w:r>
      <w:bookmarkEnd w:id="541"/>
      <w:bookmarkEnd w:id="542"/>
      <w:bookmarkEnd w:id="543"/>
    </w:p>
    <w:p>
      <w:pPr>
        <w:pStyle w:val="yShoulderClause"/>
      </w:pPr>
      <w:r>
        <w:t>[s. 115(2)(a)]</w:t>
      </w:r>
    </w:p>
    <w:p>
      <w:pPr>
        <w:pStyle w:val="yHeading5"/>
      </w:pPr>
      <w:bookmarkStart w:id="544" w:name="_Toc182400616"/>
      <w:r>
        <w:rPr>
          <w:rStyle w:val="CharSClsNo"/>
        </w:rPr>
        <w:t>1</w:t>
      </w:r>
      <w:r>
        <w:t>.</w:t>
      </w:r>
      <w:r>
        <w:tab/>
        <w:t>Disposal of shares or interests</w:t>
      </w:r>
      <w:bookmarkEnd w:id="544"/>
    </w:p>
    <w:p>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pPr>
        <w:pStyle w:val="ySubsection"/>
        <w:rPr>
          <w:snapToGrid w:val="0"/>
        </w:rPr>
      </w:pPr>
      <w:r>
        <w:rPr>
          <w:snapToGrid w:val="0"/>
        </w:rPr>
        <w:tab/>
        <w:t>(2)</w:t>
      </w:r>
      <w:r>
        <w:rPr>
          <w:snapToGrid w:val="0"/>
        </w:rPr>
        <w:tab/>
        <w:t>The Portfolio Minister has power to execute a transfer of any of the GTE’s shares or interests in the subsidiary.</w:t>
      </w:r>
    </w:p>
    <w:p>
      <w:pPr>
        <w:pStyle w:val="yHeading5"/>
      </w:pPr>
      <w:bookmarkStart w:id="545" w:name="_Toc182400617"/>
      <w:r>
        <w:rPr>
          <w:rStyle w:val="CharSClsNo"/>
        </w:rPr>
        <w:t>2</w:t>
      </w:r>
      <w:r>
        <w:t>.</w:t>
      </w:r>
      <w:r>
        <w:tab/>
        <w:t>Board or governing body</w:t>
      </w:r>
      <w:bookmarkEnd w:id="545"/>
    </w:p>
    <w:p>
      <w:pPr>
        <w:pStyle w:val="ySubsection"/>
      </w:pPr>
      <w:r>
        <w:tab/>
        <w:t>(1)</w:t>
      </w:r>
      <w:r>
        <w:tab/>
        <w:t>The directors or members of the governing body of the subsidiary must be appointed by the GTE with the written approval of the Portfolio Minister.</w:t>
      </w:r>
    </w:p>
    <w:p>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pPr>
        <w:pStyle w:val="ySubsection"/>
      </w:pPr>
      <w:r>
        <w:tab/>
        <w:t>(3)</w:t>
      </w:r>
      <w:r>
        <w:tab/>
        <w:t>The board or governing body of the subsidiary is accountable to the Portfolio Minister in the manner set out in Part 7.</w:t>
      </w:r>
    </w:p>
    <w:p>
      <w:pPr>
        <w:pStyle w:val="yHeading5"/>
      </w:pPr>
      <w:bookmarkStart w:id="546" w:name="_Toc182400618"/>
      <w:r>
        <w:rPr>
          <w:rStyle w:val="CharSClsNo"/>
        </w:rPr>
        <w:t>3</w:t>
      </w:r>
      <w:r>
        <w:t>.</w:t>
      </w:r>
      <w:r>
        <w:tab/>
        <w:t>Issue and transfer of shares or interests restricted</w:t>
      </w:r>
      <w:bookmarkEnd w:id="546"/>
    </w:p>
    <w:p>
      <w:pPr>
        <w:pStyle w:val="ySubsection"/>
      </w:pPr>
      <w:r>
        <w:tab/>
      </w:r>
      <w:r>
        <w:tab/>
        <w:t>Shares or interests in the subsidiary must not be issued or transferred except with the written approval of the Portfolio Minister.</w:t>
      </w:r>
    </w:p>
    <w:p>
      <w:pPr>
        <w:pStyle w:val="yHeading5"/>
      </w:pPr>
      <w:bookmarkStart w:id="547" w:name="_Toc182400619"/>
      <w:r>
        <w:rPr>
          <w:rStyle w:val="CharSClsNo"/>
        </w:rPr>
        <w:t>4</w:t>
      </w:r>
      <w:r>
        <w:t>.</w:t>
      </w:r>
      <w:r>
        <w:tab/>
        <w:t>Subsidiary must not have subsidiaries</w:t>
      </w:r>
      <w:bookmarkEnd w:id="547"/>
    </w:p>
    <w:p>
      <w:pPr>
        <w:pStyle w:val="ySubsection"/>
        <w:rPr>
          <w:snapToGrid w:val="0"/>
        </w:rPr>
      </w:pPr>
      <w:r>
        <w:tab/>
      </w:r>
      <w:r>
        <w:tab/>
      </w:r>
      <w:r>
        <w:rPr>
          <w:snapToGrid w:val="0"/>
        </w:rPr>
        <w:t xml:space="preserve">The subsidiary must not — </w:t>
      </w:r>
    </w:p>
    <w:p>
      <w:pPr>
        <w:pStyle w:val="yIndenta"/>
        <w:rPr>
          <w:snapToGrid w:val="0"/>
        </w:rPr>
      </w:pPr>
      <w:r>
        <w:tab/>
        <w:t>(a)</w:t>
      </w:r>
      <w:r>
        <w:tab/>
      </w:r>
      <w:r>
        <w:rPr>
          <w:snapToGrid w:val="0"/>
        </w:rPr>
        <w:t>form a subsidiary of its own; or</w:t>
      </w:r>
    </w:p>
    <w:p>
      <w:pPr>
        <w:pStyle w:val="yIndenta"/>
        <w:rPr>
          <w:snapToGrid w:val="0"/>
        </w:rPr>
      </w:pPr>
      <w:r>
        <w:rPr>
          <w:snapToGrid w:val="0"/>
        </w:rPr>
        <w:tab/>
      </w:r>
      <w:r>
        <w:t>(b)</w:t>
      </w:r>
      <w:r>
        <w:rPr>
          <w:snapToGrid w:val="0"/>
        </w:rPr>
        <w:tab/>
        <w:t>participate in the formation of a subsidiary of its own; or</w:t>
      </w:r>
    </w:p>
    <w:p>
      <w:pPr>
        <w:pStyle w:val="yIndenta"/>
        <w:rPr>
          <w:snapToGrid w:val="0"/>
        </w:rPr>
      </w:pPr>
      <w:r>
        <w:rPr>
          <w:snapToGrid w:val="0"/>
        </w:rPr>
        <w:tab/>
      </w:r>
      <w:r>
        <w:t>(c)</w:t>
      </w:r>
      <w:r>
        <w:rPr>
          <w:snapToGrid w:val="0"/>
        </w:rPr>
        <w:tab/>
        <w:t>acquire a subsidiary of its own.</w:t>
      </w:r>
    </w:p>
    <w:p>
      <w:pPr>
        <w:pStyle w:val="yHeading5"/>
      </w:pPr>
      <w:bookmarkStart w:id="548" w:name="_Toc182400620"/>
      <w:r>
        <w:rPr>
          <w:rStyle w:val="CharSClsNo"/>
        </w:rPr>
        <w:lastRenderedPageBreak/>
        <w:t>5</w:t>
      </w:r>
      <w:r>
        <w:t>.</w:t>
      </w:r>
      <w:r>
        <w:tab/>
        <w:t>Subsidiary to furnish information to GTE</w:t>
      </w:r>
      <w:bookmarkEnd w:id="548"/>
    </w:p>
    <w:p>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pPr>
        <w:pStyle w:val="ySubsection"/>
        <w:rPr>
          <w:snapToGrid w:val="0"/>
        </w:rPr>
      </w:pPr>
      <w:r>
        <w:rPr>
          <w:snapToGrid w:val="0"/>
        </w:rPr>
        <w:tab/>
      </w:r>
      <w:r>
        <w:t>(2)</w:t>
      </w:r>
      <w:r>
        <w:rPr>
          <w:snapToGrid w:val="0"/>
        </w:rPr>
        <w:tab/>
        <w:t xml:space="preserve">The subsidiary must — </w:t>
      </w:r>
    </w:p>
    <w:p>
      <w:pPr>
        <w:pStyle w:val="yIndenta"/>
        <w:rPr>
          <w:snapToGrid w:val="0"/>
        </w:rPr>
      </w:pPr>
      <w:r>
        <w:tab/>
        <w:t>(a)</w:t>
      </w:r>
      <w:r>
        <w:tab/>
        <w:t xml:space="preserve">take no action, or omit to take any action; </w:t>
      </w:r>
      <w:r>
        <w:rPr>
          <w:snapToGrid w:val="0"/>
        </w:rPr>
        <w:t>or</w:t>
      </w:r>
    </w:p>
    <w:p>
      <w:pPr>
        <w:pStyle w:val="yIndenta"/>
        <w:rPr>
          <w:snapToGrid w:val="0"/>
        </w:rPr>
      </w:pPr>
      <w:r>
        <w:rPr>
          <w:snapToGrid w:val="0"/>
        </w:rPr>
        <w:tab/>
      </w:r>
      <w:r>
        <w:t>(b)</w:t>
      </w:r>
      <w:r>
        <w:rPr>
          <w:snapToGrid w:val="0"/>
        </w:rPr>
        <w:tab/>
        <w:t xml:space="preserve">enter into any contractual or other arrangement </w:t>
      </w:r>
    </w:p>
    <w:p>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rPr>
          <w:snapToGrid w:val="0"/>
        </w:rPr>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550" w:name="_Toc182383859"/>
      <w:bookmarkStart w:id="551" w:name="_Toc182384468"/>
      <w:bookmarkStart w:id="552" w:name="_Toc182400621"/>
      <w:r>
        <w:lastRenderedPageBreak/>
        <w:t>Notes</w:t>
      </w:r>
      <w:bookmarkEnd w:id="550"/>
      <w:bookmarkEnd w:id="551"/>
      <w:bookmarkEnd w:id="552"/>
    </w:p>
    <w:p>
      <w:pPr>
        <w:pStyle w:val="nStatement"/>
      </w:pPr>
      <w:r>
        <w:t xml:space="preserve">This is a compilation of the </w:t>
      </w:r>
      <w:r>
        <w:rPr>
          <w:i/>
          <w:noProof/>
        </w:rPr>
        <w:t>Government Trading Enterprises Act 2023</w:t>
      </w:r>
      <w:r>
        <w:t xml:space="preserve"> and includes amendments made by other written laws. For provisions that have come into operation see the compilation table.</w:t>
      </w:r>
    </w:p>
    <w:p>
      <w:pPr>
        <w:pStyle w:val="nHeading3"/>
      </w:pPr>
      <w:bookmarkStart w:id="553" w:name="_Toc182400622"/>
      <w:r>
        <w:t>Compilation table</w:t>
      </w:r>
      <w:bookmarkEnd w:id="55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Government Trading Enterprises Act 2023</w:t>
            </w:r>
          </w:p>
        </w:tc>
        <w:tc>
          <w:tcPr>
            <w:tcW w:w="1134" w:type="dxa"/>
            <w:tcBorders>
              <w:bottom w:val="nil"/>
            </w:tcBorders>
          </w:tcPr>
          <w:p>
            <w:pPr>
              <w:pStyle w:val="nTable"/>
              <w:spacing w:after="40"/>
            </w:pPr>
            <w:r>
              <w:t>13 of 2023</w:t>
            </w:r>
          </w:p>
        </w:tc>
        <w:tc>
          <w:tcPr>
            <w:tcW w:w="1134" w:type="dxa"/>
            <w:tcBorders>
              <w:bottom w:val="nil"/>
            </w:tcBorders>
          </w:tcPr>
          <w:p>
            <w:pPr>
              <w:pStyle w:val="nTable"/>
              <w:spacing w:after="40"/>
            </w:pPr>
            <w:r>
              <w:t>22 Jun 2023</w:t>
            </w:r>
          </w:p>
        </w:tc>
        <w:tc>
          <w:tcPr>
            <w:tcW w:w="2552" w:type="dxa"/>
            <w:tcBorders>
              <w:bottom w:val="nil"/>
            </w:tcBorders>
          </w:tcPr>
          <w:p>
            <w:pPr>
              <w:pStyle w:val="nTable"/>
              <w:spacing w:after="40"/>
            </w:pPr>
            <w:r>
              <w:t>Pt. 1: 22 Jun 2023 (see s. 2(a));</w:t>
            </w:r>
            <w:r>
              <w:br/>
              <w:t>Act other than Pt. 1: 1 Jul 2023 (see s. 2(b) and SL 2023/89 cl. 2)</w:t>
            </w:r>
          </w:p>
        </w:tc>
      </w:tr>
      <w:tr>
        <w:tc>
          <w:tcPr>
            <w:tcW w:w="2268" w:type="dxa"/>
            <w:tcBorders>
              <w:top w:val="nil"/>
            </w:tcBorders>
          </w:tcPr>
          <w:p>
            <w:pPr>
              <w:pStyle w:val="nTable"/>
              <w:spacing w:after="40"/>
              <w:rPr>
                <w:iCs/>
                <w:noProof/>
              </w:rPr>
            </w:pPr>
            <w:r>
              <w:rPr>
                <w:i/>
                <w:noProof/>
              </w:rPr>
              <w:t>Keystart Act 2024</w:t>
            </w:r>
            <w:r>
              <w:rPr>
                <w:iCs/>
                <w:noProof/>
              </w:rPr>
              <w:t xml:space="preserve"> Pt. 8 Div. 3</w:t>
            </w:r>
          </w:p>
        </w:tc>
        <w:tc>
          <w:tcPr>
            <w:tcW w:w="1134" w:type="dxa"/>
            <w:tcBorders>
              <w:top w:val="nil"/>
            </w:tcBorders>
          </w:tcPr>
          <w:p>
            <w:pPr>
              <w:pStyle w:val="nTable"/>
              <w:spacing w:after="40"/>
            </w:pPr>
            <w:r>
              <w:t>44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14 Nov 2024 (see s. 2(b)(v))</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55" w:name="_Toc182383861"/>
      <w:bookmarkStart w:id="556" w:name="_Toc182384470"/>
      <w:bookmarkStart w:id="557" w:name="_Toc182400623"/>
      <w:r>
        <w:rPr>
          <w:sz w:val="28"/>
        </w:rPr>
        <w:lastRenderedPageBreak/>
        <w:t>Defined terms</w:t>
      </w:r>
      <w:bookmarkEnd w:id="555"/>
      <w:bookmarkEnd w:id="556"/>
      <w:bookmarkEnd w:id="5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124</w:t>
      </w:r>
    </w:p>
    <w:p>
      <w:pPr>
        <w:pStyle w:val="DefinedTerms"/>
      </w:pPr>
      <w:r>
        <w:t>accounting standard</w:t>
      </w:r>
      <w:r>
        <w:tab/>
        <w:t>142</w:t>
      </w:r>
    </w:p>
    <w:p>
      <w:pPr>
        <w:pStyle w:val="DefinedTerms"/>
      </w:pPr>
      <w:r>
        <w:t>agency special purpose account</w:t>
      </w:r>
      <w:r>
        <w:tab/>
        <w:t>126</w:t>
      </w:r>
    </w:p>
    <w:p>
      <w:pPr>
        <w:pStyle w:val="DefinedTerms"/>
      </w:pPr>
      <w:r>
        <w:t>annual performance statement</w:t>
      </w:r>
      <w:r>
        <w:tab/>
        <w:t>3(1)</w:t>
      </w:r>
    </w:p>
    <w:p>
      <w:pPr>
        <w:pStyle w:val="DefinedTerms"/>
      </w:pPr>
      <w:r>
        <w:t>annual report</w:t>
      </w:r>
      <w:r>
        <w:tab/>
        <w:t>63(1), 80</w:t>
      </w:r>
    </w:p>
    <w:p>
      <w:pPr>
        <w:pStyle w:val="DefinedTerms"/>
      </w:pPr>
      <w:r>
        <w:t>bank</w:t>
      </w:r>
      <w:r>
        <w:tab/>
        <w:t>126</w:t>
      </w:r>
    </w:p>
    <w:p>
      <w:pPr>
        <w:pStyle w:val="DefinedTerms"/>
      </w:pPr>
      <w:r>
        <w:t>bank account</w:t>
      </w:r>
      <w:r>
        <w:tab/>
        <w:t>126</w:t>
      </w:r>
    </w:p>
    <w:p>
      <w:pPr>
        <w:pStyle w:val="DefinedTerms"/>
      </w:pPr>
      <w:r>
        <w:t>board</w:t>
      </w:r>
      <w:r>
        <w:tab/>
        <w:t>3(1)</w:t>
      </w:r>
    </w:p>
    <w:p>
      <w:pPr>
        <w:pStyle w:val="DefinedTerms"/>
      </w:pPr>
      <w:r>
        <w:t>budget day</w:t>
      </w:r>
      <w:r>
        <w:tab/>
        <w:t>74</w:t>
      </w:r>
    </w:p>
    <w:p>
      <w:pPr>
        <w:pStyle w:val="DefinedTerms"/>
      </w:pPr>
      <w:r>
        <w:t>budget year</w:t>
      </w:r>
      <w:r>
        <w:tab/>
        <w:t>74</w:t>
      </w:r>
    </w:p>
    <w:p>
      <w:pPr>
        <w:pStyle w:val="DefinedTerms"/>
      </w:pPr>
      <w:r>
        <w:t>business judgment</w:t>
      </w:r>
      <w:r>
        <w:tab/>
        <w:t>46(1)</w:t>
      </w:r>
    </w:p>
    <w:p>
      <w:pPr>
        <w:pStyle w:val="DefinedTerms"/>
      </w:pPr>
      <w:r>
        <w:t>business risk</w:t>
      </w:r>
      <w:r>
        <w:tab/>
        <w:t>137(1)</w:t>
      </w:r>
    </w:p>
    <w:p>
      <w:pPr>
        <w:pStyle w:val="DefinedTerms"/>
      </w:pPr>
      <w:r>
        <w:t>chief executive officer</w:t>
      </w:r>
      <w:r>
        <w:tab/>
        <w:t>3(1)</w:t>
      </w:r>
    </w:p>
    <w:p>
      <w:pPr>
        <w:pStyle w:val="DefinedTerms"/>
      </w:pPr>
      <w:r>
        <w:t>commencement day</w:t>
      </w:r>
      <w:r>
        <w:tab/>
        <w:t>161</w:t>
      </w:r>
    </w:p>
    <w:p>
      <w:pPr>
        <w:pStyle w:val="DefinedTerms"/>
      </w:pPr>
      <w:r>
        <w:t>committee</w:t>
      </w:r>
      <w:r>
        <w:tab/>
        <w:t>57</w:t>
      </w:r>
    </w:p>
    <w:p>
      <w:pPr>
        <w:pStyle w:val="DefinedTerms"/>
      </w:pPr>
      <w:r>
        <w:t>community service obligation</w:t>
      </w:r>
      <w:r>
        <w:tab/>
        <w:t>69(1)</w:t>
      </w:r>
    </w:p>
    <w:p>
      <w:pPr>
        <w:pStyle w:val="DefinedTerms"/>
      </w:pPr>
      <w:r>
        <w:t>constitution</w:t>
      </w:r>
      <w:r>
        <w:tab/>
        <w:t>115(1)</w:t>
      </w:r>
    </w:p>
    <w:p>
      <w:pPr>
        <w:pStyle w:val="DefinedTerms"/>
      </w:pPr>
      <w:r>
        <w:t>Corporations Act</w:t>
      </w:r>
      <w:r>
        <w:tab/>
        <w:t>3(1)</w:t>
      </w:r>
    </w:p>
    <w:p>
      <w:pPr>
        <w:pStyle w:val="DefinedTerms"/>
      </w:pPr>
      <w:r>
        <w:t>designation</w:t>
      </w:r>
      <w:r>
        <w:tab/>
        <w:t>169(1)</w:t>
      </w:r>
    </w:p>
    <w:p>
      <w:pPr>
        <w:pStyle w:val="DefinedTerms"/>
      </w:pPr>
      <w:r>
        <w:t>director</w:t>
      </w:r>
      <w:r>
        <w:tab/>
        <w:t>3(1), 117</w:t>
      </w:r>
    </w:p>
    <w:p>
      <w:pPr>
        <w:pStyle w:val="DefinedTerms"/>
      </w:pPr>
      <w:r>
        <w:t>directors’ skills matrix</w:t>
      </w:r>
      <w:r>
        <w:tab/>
        <w:t>3(1), 14(1)</w:t>
      </w:r>
    </w:p>
    <w:p>
      <w:pPr>
        <w:pStyle w:val="DefinedTerms"/>
      </w:pPr>
      <w:r>
        <w:t>disallowance period</w:t>
      </w:r>
      <w:r>
        <w:tab/>
        <w:t>98(5)</w:t>
      </w:r>
    </w:p>
    <w:p>
      <w:pPr>
        <w:pStyle w:val="DefinedTerms"/>
      </w:pPr>
      <w:r>
        <w:t>disallowance resolution</w:t>
      </w:r>
      <w:r>
        <w:tab/>
        <w:t>98(1)</w:t>
      </w:r>
    </w:p>
    <w:p>
      <w:pPr>
        <w:pStyle w:val="DefinedTerms"/>
      </w:pPr>
      <w:r>
        <w:t>disposal order</w:t>
      </w:r>
      <w:r>
        <w:tab/>
        <w:t>95(1)</w:t>
      </w:r>
    </w:p>
    <w:p>
      <w:pPr>
        <w:pStyle w:val="DefinedTerms"/>
      </w:pPr>
      <w:r>
        <w:t>dispose of</w:t>
      </w:r>
      <w:r>
        <w:tab/>
        <w:t>95(1)</w:t>
      </w:r>
    </w:p>
    <w:p>
      <w:pPr>
        <w:pStyle w:val="DefinedTerms"/>
      </w:pPr>
      <w:r>
        <w:t>document</w:t>
      </w:r>
      <w:r>
        <w:tab/>
        <w:t>86</w:t>
      </w:r>
    </w:p>
    <w:p>
      <w:pPr>
        <w:pStyle w:val="DefinedTerms"/>
      </w:pPr>
      <w:r>
        <w:t>entity A</w:t>
      </w:r>
      <w:r>
        <w:tab/>
        <w:t>4(3)</w:t>
      </w:r>
    </w:p>
    <w:p>
      <w:pPr>
        <w:pStyle w:val="DefinedTerms"/>
      </w:pPr>
      <w:r>
        <w:t>entity B</w:t>
      </w:r>
      <w:r>
        <w:tab/>
        <w:t>4(3)</w:t>
      </w:r>
    </w:p>
    <w:p>
      <w:pPr>
        <w:pStyle w:val="DefinedTerms"/>
      </w:pPr>
      <w:r>
        <w:t>established account</w:t>
      </w:r>
      <w:r>
        <w:tab/>
        <w:t>173(1)</w:t>
      </w:r>
    </w:p>
    <w:p>
      <w:pPr>
        <w:pStyle w:val="DefinedTerms"/>
      </w:pPr>
      <w:r>
        <w:t>Establishing Act</w:t>
      </w:r>
      <w:r>
        <w:tab/>
        <w:t>3(1)</w:t>
      </w:r>
    </w:p>
    <w:p>
      <w:pPr>
        <w:pStyle w:val="DefinedTerms"/>
      </w:pPr>
      <w:r>
        <w:t>executive officer</w:t>
      </w:r>
      <w:r>
        <w:tab/>
        <w:t>3(1)</w:t>
      </w:r>
    </w:p>
    <w:p>
      <w:pPr>
        <w:pStyle w:val="DefinedTerms"/>
      </w:pPr>
      <w:r>
        <w:t>FAA regulations</w:t>
      </w:r>
      <w:r>
        <w:tab/>
        <w:t>142</w:t>
      </w:r>
    </w:p>
    <w:p>
      <w:pPr>
        <w:pStyle w:val="DefinedTerms"/>
      </w:pPr>
      <w:r>
        <w:t>false or misleading information</w:t>
      </w:r>
      <w:r>
        <w:tab/>
        <w:t>49(1)</w:t>
      </w:r>
    </w:p>
    <w:p>
      <w:pPr>
        <w:pStyle w:val="DefinedTerms"/>
      </w:pPr>
      <w:r>
        <w:t>financial records</w:t>
      </w:r>
      <w:r>
        <w:tab/>
        <w:t>142</w:t>
      </w:r>
    </w:p>
    <w:p>
      <w:pPr>
        <w:pStyle w:val="DefinedTerms"/>
      </w:pPr>
      <w:r>
        <w:t>first statement period</w:t>
      </w:r>
      <w:r>
        <w:tab/>
        <w:t>171(1)</w:t>
      </w:r>
    </w:p>
    <w:p>
      <w:pPr>
        <w:pStyle w:val="DefinedTerms"/>
      </w:pPr>
      <w:r>
        <w:t>former dividend provisions</w:t>
      </w:r>
      <w:r>
        <w:tab/>
        <w:t>175(1)</w:t>
      </w:r>
    </w:p>
    <w:p>
      <w:pPr>
        <w:pStyle w:val="DefinedTerms"/>
      </w:pPr>
      <w:r>
        <w:t>former financial administration and audit provisions</w:t>
      </w:r>
      <w:r>
        <w:tab/>
        <w:t>176(1)</w:t>
      </w:r>
    </w:p>
    <w:p>
      <w:pPr>
        <w:pStyle w:val="DefinedTerms"/>
      </w:pPr>
      <w:r>
        <w:t>former hedging provisions</w:t>
      </w:r>
      <w:r>
        <w:tab/>
        <w:t>174(1)</w:t>
      </w:r>
    </w:p>
    <w:p>
      <w:pPr>
        <w:pStyle w:val="DefinedTerms"/>
      </w:pPr>
      <w:r>
        <w:t>former local government rates provisions</w:t>
      </w:r>
      <w:r>
        <w:tab/>
        <w:t>177(1)</w:t>
      </w:r>
    </w:p>
    <w:p>
      <w:pPr>
        <w:pStyle w:val="DefinedTerms"/>
      </w:pPr>
      <w:r>
        <w:lastRenderedPageBreak/>
        <w:t>general election</w:t>
      </w:r>
      <w:r>
        <w:tab/>
        <w:t>69(1)</w:t>
      </w:r>
    </w:p>
    <w:p>
      <w:pPr>
        <w:pStyle w:val="DefinedTerms"/>
      </w:pPr>
      <w:r>
        <w:t>Government entity</w:t>
      </w:r>
      <w:r>
        <w:tab/>
        <w:t>3(1)</w:t>
      </w:r>
    </w:p>
    <w:p>
      <w:pPr>
        <w:pStyle w:val="DefinedTerms"/>
      </w:pPr>
      <w:r>
        <w:t>group</w:t>
      </w:r>
      <w:r>
        <w:tab/>
        <w:t>95(1)</w:t>
      </w:r>
    </w:p>
    <w:p>
      <w:pPr>
        <w:pStyle w:val="DefinedTerms"/>
      </w:pPr>
      <w:r>
        <w:t>GTE</w:t>
      </w:r>
      <w:r>
        <w:tab/>
        <w:t>3(1)</w:t>
      </w:r>
    </w:p>
    <w:p>
      <w:pPr>
        <w:pStyle w:val="DefinedTerms"/>
      </w:pPr>
      <w:r>
        <w:t>GTE Minister</w:t>
      </w:r>
      <w:r>
        <w:tab/>
        <w:t>3(1)</w:t>
      </w:r>
    </w:p>
    <w:p>
      <w:pPr>
        <w:pStyle w:val="DefinedTerms"/>
      </w:pPr>
      <w:r>
        <w:t>information</w:t>
      </w:r>
      <w:r>
        <w:tab/>
        <w:t>86</w:t>
      </w:r>
    </w:p>
    <w:p>
      <w:pPr>
        <w:pStyle w:val="DefinedTerms"/>
      </w:pPr>
      <w:r>
        <w:t>information request</w:t>
      </w:r>
      <w:r>
        <w:tab/>
        <w:t>86</w:t>
      </w:r>
    </w:p>
    <w:p>
      <w:pPr>
        <w:pStyle w:val="DefinedTerms"/>
      </w:pPr>
      <w:r>
        <w:t>interested person</w:t>
      </w:r>
      <w:r>
        <w:tab/>
        <w:t>59(1)</w:t>
      </w:r>
    </w:p>
    <w:p>
      <w:pPr>
        <w:pStyle w:val="DefinedTerms"/>
      </w:pPr>
      <w:r>
        <w:t>interim operating account</w:t>
      </w:r>
      <w:r>
        <w:tab/>
        <w:t>173(3)</w:t>
      </w:r>
    </w:p>
    <w:p>
      <w:pPr>
        <w:pStyle w:val="DefinedTerms"/>
      </w:pPr>
      <w:r>
        <w:t>interim report</w:t>
      </w:r>
      <w:r>
        <w:tab/>
        <w:t>80</w:t>
      </w:r>
    </w:p>
    <w:p>
      <w:pPr>
        <w:pStyle w:val="DefinedTerms"/>
      </w:pPr>
      <w:r>
        <w:t>member of staff</w:t>
      </w:r>
      <w:r>
        <w:tab/>
        <w:t>3(1)</w:t>
      </w:r>
    </w:p>
    <w:p>
      <w:pPr>
        <w:pStyle w:val="DefinedTerms"/>
      </w:pPr>
      <w:r>
        <w:t>Ministerial direction</w:t>
      </w:r>
      <w:r>
        <w:tab/>
        <w:t>123(1)</w:t>
      </w:r>
    </w:p>
    <w:p>
      <w:pPr>
        <w:pStyle w:val="DefinedTerms"/>
      </w:pPr>
      <w:r>
        <w:t>new owner</w:t>
      </w:r>
      <w:r>
        <w:tab/>
        <w:t>153(1)</w:t>
      </w:r>
    </w:p>
    <w:p>
      <w:pPr>
        <w:pStyle w:val="DefinedTerms"/>
      </w:pPr>
      <w:r>
        <w:t>new provision</w:t>
      </w:r>
      <w:r>
        <w:tab/>
        <w:t>161</w:t>
      </w:r>
    </w:p>
    <w:p>
      <w:pPr>
        <w:pStyle w:val="DefinedTerms"/>
      </w:pPr>
      <w:r>
        <w:t>officer</w:t>
      </w:r>
      <w:r>
        <w:tab/>
        <w:t>123(1)</w:t>
      </w:r>
    </w:p>
    <w:p>
      <w:pPr>
        <w:pStyle w:val="DefinedTerms"/>
      </w:pPr>
      <w:r>
        <w:t>old provision</w:t>
      </w:r>
      <w:r>
        <w:tab/>
        <w:t>161</w:t>
      </w:r>
    </w:p>
    <w:p>
      <w:pPr>
        <w:pStyle w:val="DefinedTerms"/>
      </w:pPr>
      <w:r>
        <w:t>personal information</w:t>
      </w:r>
      <w:r>
        <w:tab/>
        <w:t>86</w:t>
      </w:r>
    </w:p>
    <w:p>
      <w:pPr>
        <w:pStyle w:val="DefinedTerms"/>
      </w:pPr>
      <w:r>
        <w:t>policy order</w:t>
      </w:r>
      <w:r>
        <w:tab/>
        <w:t>3(1), 111(1)</w:t>
      </w:r>
    </w:p>
    <w:p>
      <w:pPr>
        <w:pStyle w:val="DefinedTerms"/>
      </w:pPr>
      <w:r>
        <w:t>Portfolio Minister</w:t>
      </w:r>
      <w:r>
        <w:tab/>
        <w:t>3(1)</w:t>
      </w:r>
    </w:p>
    <w:p>
      <w:pPr>
        <w:pStyle w:val="DefinedTerms"/>
      </w:pPr>
      <w:r>
        <w:t>preparation period</w:t>
      </w:r>
      <w:r>
        <w:tab/>
        <w:t>69(1)</w:t>
      </w:r>
    </w:p>
    <w:p>
      <w:pPr>
        <w:pStyle w:val="DefinedTerms"/>
      </w:pPr>
      <w:r>
        <w:t>prescribed</w:t>
      </w:r>
      <w:r>
        <w:tab/>
        <w:t>3(1)</w:t>
      </w:r>
    </w:p>
    <w:p>
      <w:pPr>
        <w:pStyle w:val="DefinedTerms"/>
      </w:pPr>
      <w:r>
        <w:t>prescribed transaction</w:t>
      </w:r>
      <w:r>
        <w:tab/>
        <w:t>137(1)</w:t>
      </w:r>
    </w:p>
    <w:p>
      <w:pPr>
        <w:pStyle w:val="DefinedTerms"/>
      </w:pPr>
      <w:r>
        <w:t>primary account</w:t>
      </w:r>
      <w:r>
        <w:tab/>
        <w:t>173(1)</w:t>
      </w:r>
    </w:p>
    <w:p>
      <w:pPr>
        <w:pStyle w:val="DefinedTerms"/>
      </w:pPr>
      <w:r>
        <w:t>provide</w:t>
      </w:r>
      <w:r>
        <w:tab/>
        <w:t>49(1)</w:t>
      </w:r>
    </w:p>
    <w:p>
      <w:pPr>
        <w:pStyle w:val="DefinedTerms"/>
      </w:pPr>
      <w:r>
        <w:t>Public Bank Account</w:t>
      </w:r>
      <w:r>
        <w:tab/>
        <w:t>126</w:t>
      </w:r>
    </w:p>
    <w:p>
      <w:pPr>
        <w:pStyle w:val="DefinedTerms"/>
      </w:pPr>
      <w:r>
        <w:t>rate or price movement</w:t>
      </w:r>
      <w:r>
        <w:tab/>
        <w:t>137(1)</w:t>
      </w:r>
    </w:p>
    <w:p>
      <w:pPr>
        <w:pStyle w:val="DefinedTerms"/>
      </w:pPr>
      <w:r>
        <w:t>relative</w:t>
      </w:r>
      <w:r>
        <w:tab/>
        <w:t>65(1)</w:t>
      </w:r>
    </w:p>
    <w:p>
      <w:pPr>
        <w:pStyle w:val="DefinedTerms"/>
      </w:pPr>
      <w:r>
        <w:t>relevant budget papers</w:t>
      </w:r>
      <w:r>
        <w:tab/>
        <w:t>74</w:t>
      </w:r>
    </w:p>
    <w:p>
      <w:pPr>
        <w:pStyle w:val="DefinedTerms"/>
      </w:pPr>
      <w:r>
        <w:t>relevant department</w:t>
      </w:r>
      <w:r>
        <w:tab/>
        <w:t>86</w:t>
      </w:r>
    </w:p>
    <w:p>
      <w:pPr>
        <w:pStyle w:val="DefinedTerms"/>
      </w:pPr>
      <w:r>
        <w:t>relevant entity</w:t>
      </w:r>
      <w:r>
        <w:tab/>
        <w:t>93</w:t>
      </w:r>
    </w:p>
    <w:p>
      <w:pPr>
        <w:pStyle w:val="DefinedTerms"/>
      </w:pPr>
      <w:r>
        <w:t>relevant Minister</w:t>
      </w:r>
      <w:r>
        <w:tab/>
        <w:t>86</w:t>
      </w:r>
    </w:p>
    <w:p>
      <w:pPr>
        <w:pStyle w:val="DefinedTerms"/>
      </w:pPr>
      <w:r>
        <w:t>relevant official</w:t>
      </w:r>
      <w:r>
        <w:tab/>
        <w:t>49(1)</w:t>
      </w:r>
    </w:p>
    <w:p>
      <w:pPr>
        <w:pStyle w:val="DefinedTerms"/>
      </w:pPr>
      <w:r>
        <w:t>remuneration</w:t>
      </w:r>
      <w:r>
        <w:tab/>
        <w:t>3(1)</w:t>
      </w:r>
    </w:p>
    <w:p>
      <w:pPr>
        <w:pStyle w:val="DefinedTerms"/>
      </w:pPr>
      <w:r>
        <w:t>separate subsidiary report</w:t>
      </w:r>
      <w:r>
        <w:tab/>
        <w:t>80</w:t>
      </w:r>
    </w:p>
    <w:p>
      <w:pPr>
        <w:pStyle w:val="DefinedTerms"/>
      </w:pPr>
      <w:r>
        <w:t>significant asset</w:t>
      </w:r>
      <w:r>
        <w:tab/>
        <w:t>95(1) and (2)</w:t>
      </w:r>
    </w:p>
    <w:p>
      <w:pPr>
        <w:pStyle w:val="DefinedTerms"/>
      </w:pPr>
      <w:r>
        <w:t>significant initiative</w:t>
      </w:r>
      <w:r>
        <w:tab/>
        <w:t>105(1)</w:t>
      </w:r>
    </w:p>
    <w:p>
      <w:pPr>
        <w:pStyle w:val="DefinedTerms"/>
      </w:pPr>
      <w:r>
        <w:t>significant transaction</w:t>
      </w:r>
      <w:r>
        <w:tab/>
        <w:t>99, 100(1), (2) and (4)</w:t>
      </w:r>
    </w:p>
    <w:p>
      <w:pPr>
        <w:pStyle w:val="DefinedTerms"/>
      </w:pPr>
      <w:r>
        <w:t>specified</w:t>
      </w:r>
      <w:r>
        <w:tab/>
        <w:t>3(1)</w:t>
      </w:r>
    </w:p>
    <w:p>
      <w:pPr>
        <w:pStyle w:val="DefinedTerms"/>
      </w:pPr>
      <w:r>
        <w:t>specified information</w:t>
      </w:r>
      <w:r>
        <w:tab/>
        <w:t>86</w:t>
      </w:r>
    </w:p>
    <w:p>
      <w:pPr>
        <w:pStyle w:val="DefinedTerms"/>
      </w:pPr>
      <w:r>
        <w:t>statement of expectations</w:t>
      </w:r>
      <w:r>
        <w:tab/>
        <w:t>3(1)</w:t>
      </w:r>
    </w:p>
    <w:p>
      <w:pPr>
        <w:pStyle w:val="DefinedTerms"/>
      </w:pPr>
      <w:r>
        <w:t>statement period</w:t>
      </w:r>
      <w:r>
        <w:tab/>
        <w:t>3(1), 69(1)</w:t>
      </w:r>
    </w:p>
    <w:p>
      <w:pPr>
        <w:pStyle w:val="DefinedTerms"/>
      </w:pPr>
      <w:r>
        <w:t>statutory authority</w:t>
      </w:r>
      <w:r>
        <w:tab/>
        <w:t>124</w:t>
      </w:r>
    </w:p>
    <w:p>
      <w:pPr>
        <w:pStyle w:val="DefinedTerms"/>
      </w:pPr>
      <w:r>
        <w:t>submission date</w:t>
      </w:r>
      <w:r>
        <w:tab/>
        <w:t>74</w:t>
      </w:r>
    </w:p>
    <w:p>
      <w:pPr>
        <w:pStyle w:val="DefinedTerms"/>
      </w:pPr>
      <w:r>
        <w:t>subsidiary</w:t>
      </w:r>
      <w:r>
        <w:tab/>
        <w:t>3(1), 4(1)</w:t>
      </w:r>
    </w:p>
    <w:p>
      <w:pPr>
        <w:pStyle w:val="DefinedTerms"/>
      </w:pPr>
      <w:r>
        <w:lastRenderedPageBreak/>
        <w:t>tabling period</w:t>
      </w:r>
      <w:r>
        <w:tab/>
        <w:t>98(4)</w:t>
      </w:r>
    </w:p>
    <w:p>
      <w:pPr>
        <w:pStyle w:val="DefinedTerms"/>
      </w:pPr>
      <w:r>
        <w:t>third party</w:t>
      </w:r>
      <w:r>
        <w:tab/>
        <w:t>153(1)</w:t>
      </w:r>
    </w:p>
    <w:p>
      <w:pPr>
        <w:pStyle w:val="DefinedTerms"/>
      </w:pPr>
      <w:r>
        <w:t>transaction</w:t>
      </w:r>
      <w:r>
        <w:tab/>
        <w:t>99</w:t>
      </w:r>
    </w:p>
    <w:p>
      <w:pPr>
        <w:pStyle w:val="DefinedTerms"/>
      </w:pPr>
      <w:r>
        <w:t>Treasurer</w:t>
      </w:r>
      <w:r>
        <w:tab/>
        <w:t>3(1)</w:t>
      </w:r>
    </w:p>
    <w:p>
      <w:pPr>
        <w:pStyle w:val="DefinedTerms"/>
      </w:pPr>
      <w:r>
        <w:t>Treasurer’s GTE instructions</w:t>
      </w:r>
      <w:r>
        <w:tab/>
        <w:t>142</w:t>
      </w:r>
    </w:p>
    <w:p>
      <w:pPr>
        <w:pStyle w:val="DefinedTerms"/>
      </w:pPr>
      <w:r>
        <w:t>unable to act</w:t>
      </w:r>
      <w:r>
        <w:tab/>
        <w:t>3(1)</w:t>
      </w:r>
    </w:p>
    <w:p>
      <w:pPr>
        <w:pStyle w:val="DefinedTerms"/>
      </w:pPr>
      <w:r>
        <w:t>Under Treasurer</w:t>
      </w:r>
      <w:r>
        <w:tab/>
        <w:t>74</w:t>
      </w:r>
    </w:p>
    <w:p>
      <w:pPr>
        <w:pStyle w:val="DefinedTerms"/>
      </w:pPr>
      <w:r>
        <w:t>wholly-owned subsidiary</w:t>
      </w:r>
      <w:r>
        <w:tab/>
        <w:t>117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162251"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9DF2F9" w14:textId="422ABD5E" w:rsidR="00B77151" w:rsidRDefault="00F718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764D">
                        <w:rPr>
                          <w:sz w:val="16"/>
                        </w:rPr>
                        <w:t>2024</w:t>
                      </w:r>
                      <w:r>
                        <w:rPr>
                          <w:sz w:val="16"/>
                        </w:rPr>
                        <w:fldChar w:fldCharType="end"/>
                      </w:r>
                      <w:r>
                        <w:rPr>
                          <w:sz w:val="16"/>
                        </w:rPr>
                        <w:t>.</w:t>
                      </w:r>
                    </w:p>
                    <w:p w14:paraId="477F2B13" w14:textId="77777777" w:rsidR="00B77151" w:rsidRDefault="00F718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A4520A" w14:textId="4E2964E1" w:rsidR="00B77151" w:rsidRDefault="00F718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764D">
                        <w:rPr>
                          <w:sz w:val="16"/>
                        </w:rPr>
                        <w:t>2024</w:t>
                      </w:r>
                      <w:r>
                        <w:rPr>
                          <w:sz w:val="16"/>
                        </w:rPr>
                        <w:fldChar w:fldCharType="end"/>
                      </w:r>
                      <w:r>
                        <w:rPr>
                          <w:sz w:val="16"/>
                        </w:rPr>
                        <w:t>.</w:t>
                      </w:r>
                    </w:p>
                    <w:p w14:paraId="5EEC372D" w14:textId="77777777" w:rsidR="00B77151" w:rsidRDefault="00F718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49" w:name="Schedule"/>
    <w:bookmarkEnd w:id="5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8" w:name="DefinedTerms"/>
    <w:bookmarkEnd w:id="5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9" w:name="Coversheet"/>
    <w:bookmarkEnd w:id="5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4111309424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 w:name="WAFER_20241113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12_GUID" w:val="191c25c4-d4c0-4560-a0a8-da1e284687aa"/>
    <w:docVar w:name="WAFER_20241113094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41_GUID" w:val="101f3a1a-2150-4c63-ba98-0d123ff8d8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31535</Words>
  <Characters>155154</Characters>
  <Application>Microsoft Office Word</Application>
  <DocSecurity>0</DocSecurity>
  <Lines>4701</Lines>
  <Paragraphs>3060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183629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2023 - 00-c0-00</dc:title>
  <dc:subject/>
  <dc:creator/>
  <cp:keywords/>
  <dc:description/>
  <cp:lastModifiedBy>Master Repository Process</cp:lastModifiedBy>
  <cp:revision>4</cp:revision>
  <cp:lastPrinted>2023-06-22T23:27:00Z</cp:lastPrinted>
  <dcterms:created xsi:type="dcterms:W3CDTF">2025-06-20T05:07:00Z</dcterms:created>
  <dcterms:modified xsi:type="dcterms:W3CDTF">2025-06-20T05:07:00Z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AsAtDate">
    <vt:lpwstr>14 Nov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ies>
</file>