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_Toc202517362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_Toc202517363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_Toc202517364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_Toc202517365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_Toc202517366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_Toc202517368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_Toc202517369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_Toc202517370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_Toc202517371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_Toc202517372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_Toc202517373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_Toc202517374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_Toc202517375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_Toc202517376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_Toc202517377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_Toc202517378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_Toc202517379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_Toc202517380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_Toc202517383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_Toc202517385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_Toc202517387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_Toc202517388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_Toc202517389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_Toc202517390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_Toc202517391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_Toc202517392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_Toc202517393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_Toc202517394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_Toc202517395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_Toc202517396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_Toc202517397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_Toc202517398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_Toc202517399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_Toc202517400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_Toc202517403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_Toc202517404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_Toc202517405 \h </w:instrText>
      </w:r>
      <w:r>
        <w:fldChar w:fldCharType="separate"/>
      </w:r>
      <w:r>
        <w:t>26</w:t>
      </w:r>
      <w:r>
        <w:fldChar w:fldCharType="end"/>
      </w:r>
    </w:p>
    <w:p>
      <w:pPr>
        <w:pStyle w:val="TOC8"/>
        <w:rPr>
          <w:rFonts w:asciiTheme="minorHAnsi" w:eastAsiaTheme="minorEastAsia" w:hAnsiTheme="minorHAnsi" w:cstheme="minorBidi"/>
          <w:szCs w:val="22"/>
        </w:rPr>
      </w:pPr>
      <w:r>
        <w:t>35A.</w:t>
      </w:r>
      <w:r>
        <w:tab/>
        <w:t>Designated inspectors</w:t>
      </w:r>
      <w:r>
        <w:tab/>
      </w:r>
      <w:r>
        <w:fldChar w:fldCharType="begin"/>
      </w:r>
      <w:r>
        <w:instrText xml:space="preserve"> PAGEREF _Toc202517406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_Toc202517407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36A.</w:t>
      </w:r>
      <w:r>
        <w:tab/>
        <w:t>Terms used</w:t>
      </w:r>
      <w:r>
        <w:tab/>
      </w:r>
      <w:r>
        <w:fldChar w:fldCharType="begin"/>
      </w:r>
      <w:r>
        <w:instrText xml:space="preserve"> PAGEREF _Toc202517409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_Toc202517410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Power to enter a place</w:t>
      </w:r>
      <w:r>
        <w:tab/>
      </w:r>
      <w:r>
        <w:fldChar w:fldCharType="begin"/>
      </w:r>
      <w:r>
        <w:instrText xml:space="preserve"> PAGEREF _Toc202517411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_Toc202517412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_Toc202517413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_Toc202517414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_Toc202517415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_Toc202517416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_Toc202517417 \h </w:instrText>
      </w:r>
      <w:r>
        <w:fldChar w:fldCharType="separate"/>
      </w:r>
      <w:r>
        <w:t>35</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_Toc202517418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_Toc202517419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_Toc202517420 \h </w:instrText>
      </w:r>
      <w:r>
        <w:fldChar w:fldCharType="separate"/>
      </w:r>
      <w:r>
        <w:t>37</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_Toc202517421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_Toc202517423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_Toc202517424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_Toc202517425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_Toc202517426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_Toc202517427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_Toc202517430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_Toc202517431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_Toc202517432 \h </w:instrText>
      </w:r>
      <w:r>
        <w:fldChar w:fldCharType="separate"/>
      </w:r>
      <w:r>
        <w:t>46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_Toc202517433 \h </w:instrText>
      </w:r>
      <w:r>
        <w:fldChar w:fldCharType="separate"/>
      </w:r>
      <w:r>
        <w:t>47</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_Toc202517434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_Toc202517436 \h </w:instrText>
      </w:r>
      <w:r>
        <w:fldChar w:fldCharType="separate"/>
      </w:r>
      <w:r>
        <w:t>49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_Toc202517437 \h </w:instrText>
      </w:r>
      <w:r>
        <w:fldChar w:fldCharType="separate"/>
      </w:r>
      <w:r>
        <w:t>49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_Toc202517438 \h </w:instrText>
      </w:r>
      <w:r>
        <w:fldChar w:fldCharType="separate"/>
      </w:r>
      <w:r>
        <w:t>50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_Toc202517439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_Toc202517441 \h </w:instrText>
      </w:r>
      <w:r>
        <w:fldChar w:fldCharType="separate"/>
      </w:r>
      <w:r>
        <w:t>51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_Toc202517442 \h </w:instrText>
      </w:r>
      <w:r>
        <w:fldChar w:fldCharType="separate"/>
      </w:r>
      <w:r>
        <w:t>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_Toc202517443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_Toc202517444 \h </w:instrText>
      </w:r>
      <w:r>
        <w:fldChar w:fldCharType="separate"/>
      </w:r>
      <w:r>
        <w:t>52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_Toc202517445 \h </w:instrText>
      </w:r>
      <w:r>
        <w:fldChar w:fldCharType="separate"/>
      </w:r>
      <w:r>
        <w:t>52</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Withdrawal of infringement notice</w:t>
      </w:r>
      <w:r>
        <w:tab/>
      </w:r>
      <w:r>
        <w:fldChar w:fldCharType="begin"/>
      </w:r>
      <w:r>
        <w:instrText xml:space="preserve"> PAGEREF _Toc202517446 \h </w:instrText>
      </w:r>
      <w:r>
        <w:fldChar w:fldCharType="separate"/>
      </w:r>
      <w:r>
        <w:t>52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_Toc202517447 \h </w:instrText>
      </w:r>
      <w:r>
        <w:fldChar w:fldCharType="separate"/>
      </w:r>
      <w:r>
        <w:t>53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_Toc202517448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_Toc202517450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_Toc202517451 \h </w:instrText>
      </w:r>
      <w:r>
        <w:fldChar w:fldCharType="separate"/>
      </w:r>
      <w:r>
        <w:t>54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_Toc202517452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_Toc202517453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_Toc202517455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_Toc202517456 \h </w:instrText>
      </w:r>
      <w:r>
        <w:fldChar w:fldCharType="separate"/>
      </w:r>
      <w:r>
        <w:t>57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_Toc202517457 \h </w:instrText>
      </w:r>
      <w:r>
        <w:fldChar w:fldCharType="separate"/>
      </w:r>
      <w:r>
        <w:t>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_Toc202517458 \h </w:instrText>
      </w:r>
      <w:r>
        <w:fldChar w:fldCharType="separate"/>
      </w:r>
      <w:r>
        <w:t>57</w:t>
      </w:r>
      <w:r>
        <w:fldChar w:fldCharType="end"/>
      </w:r>
    </w:p>
    <w:p>
      <w:pPr>
        <w:pStyle w:val="TOC8"/>
        <w:rPr>
          <w:rFonts w:asciiTheme="minorHAnsi" w:eastAsiaTheme="minorEastAsia" w:hAnsiTheme="minorHAnsi" w:cstheme="minorBidi"/>
          <w:szCs w:val="22"/>
        </w:rPr>
      </w:pPr>
      <w:r>
        <w:t>80.</w:t>
      </w:r>
      <w:r>
        <w:tab/>
        <w:t>Liability of officers for offence by body corporate</w:t>
      </w:r>
      <w:r>
        <w:tab/>
      </w:r>
      <w:r>
        <w:fldChar w:fldCharType="begin"/>
      </w:r>
      <w:r>
        <w:instrText xml:space="preserve"> PAGEREF _Toc202517459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_Toc202517460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_Toc202517462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_Toc202517463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_Toc202517464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_Toc202517465 \h </w:instrText>
      </w:r>
      <w:r>
        <w:fldChar w:fldCharType="separate"/>
      </w:r>
      <w:r>
        <w:t>61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_Toc202517466 \h </w:instrText>
      </w:r>
      <w:r>
        <w:fldChar w:fldCharType="separate"/>
      </w:r>
      <w:r>
        <w:t>61</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_Toc202517467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_Toc202517468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_Toc202517470 \h </w:instrText>
      </w:r>
      <w:r>
        <w:fldChar w:fldCharType="separate"/>
      </w:r>
      <w:r>
        <w:t>63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_Toc202517471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_Toc202517472 \h </w:instrText>
      </w:r>
      <w:r>
        <w:fldChar w:fldCharType="separate"/>
      </w:r>
      <w:r>
        <w:t>63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_Toc202517473 \h </w:instrText>
      </w:r>
      <w:r>
        <w:fldChar w:fldCharType="separate"/>
      </w:r>
      <w:r>
        <w:t>64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_Toc202517474 \h </w:instrText>
      </w:r>
      <w:r>
        <w:fldChar w:fldCharType="separate"/>
      </w:r>
      <w:r>
        <w:t>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_Toc202517475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_Toc202517477 \h </w:instrText>
      </w:r>
      <w:r>
        <w:fldChar w:fldCharType="separate"/>
      </w:r>
      <w:r>
        <w:t>67</w:t>
      </w:r>
      <w:r>
        <w:fldChar w:fldCharType="end"/>
      </w:r>
    </w:p>
    <w:p>
      <w:pPr>
        <w:pStyle w:val="TOC8"/>
        <w:rPr>
          <w:rFonts w:asciiTheme="minorHAnsi" w:eastAsiaTheme="minorEastAsia" w:hAnsiTheme="minorHAnsi" w:cstheme="minorBidi"/>
          <w:szCs w:val="22"/>
        </w:rPr>
      </w:pPr>
      <w:r>
        <w:t>Editorial changes table</w:t>
      </w:r>
      <w:r>
        <w:tab/>
      </w:r>
      <w:r>
        <w:fldChar w:fldCharType="begin"/>
      </w:r>
      <w:r>
        <w:instrText xml:space="preserve"> PAGEREF _Toc202517478 \h </w:instrText>
      </w:r>
      <w:r>
        <w:fldChar w:fldCharType="separate"/>
      </w:r>
      <w:r>
        <w:t>68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_Toc202517479 \h </w:instrText>
      </w:r>
      <w:r>
        <w:fldChar w:fldCharType="separate"/>
      </w:r>
      <w:r>
        <w:t>69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_Toc202517480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2" w:name="_Toc20251736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keepNext w:val="0"/>
        <w:keepLines w:val="0"/>
        <w:rPr>
          <w:snapToGrid w:val="0"/>
        </w:rPr>
      </w:pPr>
      <w:bookmarkStart w:id="3" w:name="_Toc20251736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4" w:name="_Toc202517363"/>
      <w:r>
        <w:rPr>
          <w:rStyle w:val="CharSectno"/>
        </w:rPr>
        <w:t>2</w:t>
      </w:r>
      <w:r>
        <w:t>.</w:t>
      </w:r>
      <w:r>
        <w:tab/>
        <w:t>Commencement</w:t>
      </w:r>
      <w:bookmarkEnd w:id="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5" w:name="_Toc202517364"/>
      <w:r>
        <w:rPr>
          <w:rStyle w:val="CharSectno"/>
        </w:rPr>
        <w:t>3</w:t>
      </w:r>
      <w:r>
        <w:rPr>
          <w:snapToGrid w:val="0"/>
        </w:rPr>
        <w:t>.</w:t>
      </w:r>
      <w:r>
        <w:rPr>
          <w:snapToGrid w:val="0"/>
        </w:rPr>
        <w:tab/>
        <w:t>Content and intent</w:t>
      </w:r>
      <w:bookmarkEnd w:id="5"/>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6" w:name="_Toc202517365"/>
      <w:r>
        <w:rPr>
          <w:rStyle w:val="CharSectno"/>
        </w:rPr>
        <w:lastRenderedPageBreak/>
        <w:t>4</w:t>
      </w:r>
      <w:r>
        <w:t>.</w:t>
      </w:r>
      <w:r>
        <w:tab/>
        <w:t>Act binds the Crown</w:t>
      </w:r>
      <w:bookmarkEnd w:id="6"/>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7" w:name="_Toc202517366"/>
      <w:r>
        <w:rPr>
          <w:rStyle w:val="CharSectno"/>
        </w:rPr>
        <w:t>5</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inspector</w:t>
      </w:r>
      <w:r>
        <w:t xml:space="preserve"> means a general inspector designated under section 35A(1) as a designated inspector;</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lastRenderedPageBreak/>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lastRenderedPageBreak/>
        <w:tab/>
      </w:r>
      <w:r>
        <w:rPr>
          <w:rStyle w:val="CharDefText"/>
        </w:rPr>
        <w:t>RSPCA</w:t>
      </w:r>
      <w:r>
        <w:t xml:space="preserve"> means The Royal Society for the Prevention of Cruelty to Animals, Western Australia</w:t>
      </w:r>
      <w:r>
        <w:rPr>
          <w:vertAlign w:val="superscript"/>
        </w:rPr>
        <w:t>4</w:t>
      </w:r>
      <w:r>
        <w:t>;</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lastRenderedPageBreak/>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 No. 5 of 2023 s. 4.]</w:t>
      </w:r>
    </w:p>
    <w:p>
      <w:pPr>
        <w:pStyle w:val="Heading2"/>
        <w:keepNext w:val="0"/>
        <w:keepLines/>
      </w:pPr>
      <w:bookmarkStart w:id="8" w:name="_Toc202517367"/>
      <w:r>
        <w:rPr>
          <w:rStyle w:val="CharPartNo"/>
        </w:rPr>
        <w:lastRenderedPageBreak/>
        <w:t>Part 2</w:t>
      </w:r>
      <w:r>
        <w:rPr>
          <w:rStyle w:val="CharDivNo"/>
        </w:rPr>
        <w:t xml:space="preserve"> </w:t>
      </w:r>
      <w:r>
        <w:t>—</w:t>
      </w:r>
      <w:r>
        <w:rPr>
          <w:rStyle w:val="CharDivText"/>
        </w:rPr>
        <w:t xml:space="preserve"> </w:t>
      </w:r>
      <w:r>
        <w:rPr>
          <w:rStyle w:val="CharPartText"/>
        </w:rPr>
        <w:t>Use of animals for scientific purposes</w:t>
      </w:r>
      <w:bookmarkEnd w:id="8"/>
    </w:p>
    <w:p>
      <w:pPr>
        <w:pStyle w:val="Heading5"/>
        <w:keepNext w:val="0"/>
        <w:rPr>
          <w:snapToGrid w:val="0"/>
        </w:rPr>
      </w:pPr>
      <w:bookmarkStart w:id="9" w:name="_Toc202517368"/>
      <w:r>
        <w:rPr>
          <w:rStyle w:val="CharSectno"/>
        </w:rPr>
        <w:t>6</w:t>
      </w:r>
      <w:r>
        <w:rPr>
          <w:snapToGrid w:val="0"/>
        </w:rPr>
        <w:t>.</w:t>
      </w:r>
      <w:r>
        <w:rPr>
          <w:snapToGrid w:val="0"/>
        </w:rPr>
        <w:tab/>
        <w:t>Unlicensed use of animals for scientific purposes prohibited</w:t>
      </w:r>
      <w:bookmarkEnd w:id="9"/>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10" w:name="_Toc202517369"/>
      <w:r>
        <w:rPr>
          <w:rStyle w:val="CharSectno"/>
        </w:rPr>
        <w:t>7.</w:t>
      </w:r>
      <w:r>
        <w:rPr>
          <w:rStyle w:val="CharSectno"/>
        </w:rPr>
        <w:tab/>
        <w:t>Carrying on business s</w:t>
      </w:r>
      <w:r>
        <w:t>upplying animals for scientific purposes</w:t>
      </w:r>
      <w:bookmarkEnd w:id="10"/>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11" w:name="_Toc202517370"/>
      <w:r>
        <w:rPr>
          <w:rStyle w:val="CharSectno"/>
        </w:rPr>
        <w:lastRenderedPageBreak/>
        <w:t>8</w:t>
      </w:r>
      <w:r>
        <w:t>.</w:t>
      </w:r>
      <w:r>
        <w:rPr>
          <w:rStyle w:val="CharSectno"/>
        </w:rPr>
        <w:tab/>
      </w:r>
      <w:r>
        <w:rPr>
          <w:snapToGrid w:val="0"/>
        </w:rPr>
        <w:t>Application for issue or renewal of licence</w:t>
      </w:r>
      <w:bookmarkEnd w:id="11"/>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12" w:name="_Toc202517371"/>
      <w:r>
        <w:rPr>
          <w:rStyle w:val="CharSectno"/>
        </w:rPr>
        <w:t>9</w:t>
      </w:r>
      <w:r>
        <w:rPr>
          <w:snapToGrid w:val="0"/>
        </w:rPr>
        <w:t>.</w:t>
      </w:r>
      <w:r>
        <w:rPr>
          <w:snapToGrid w:val="0"/>
        </w:rPr>
        <w:tab/>
        <w:t>Matters to be considered</w:t>
      </w:r>
      <w:bookmarkEnd w:id="12"/>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lastRenderedPageBreak/>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13" w:name="_Toc202517372"/>
      <w:r>
        <w:rPr>
          <w:rStyle w:val="CharSectno"/>
        </w:rPr>
        <w:t>10</w:t>
      </w:r>
      <w:r>
        <w:rPr>
          <w:snapToGrid w:val="0"/>
        </w:rPr>
        <w:t>.</w:t>
      </w:r>
      <w:r>
        <w:rPr>
          <w:snapToGrid w:val="0"/>
        </w:rPr>
        <w:tab/>
        <w:t>Minister to issue or renew or decline to issue or renew</w:t>
      </w:r>
      <w:bookmarkEnd w:id="13"/>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14" w:name="_Toc202517373"/>
      <w:r>
        <w:rPr>
          <w:rStyle w:val="CharSectno"/>
        </w:rPr>
        <w:t>11</w:t>
      </w:r>
      <w:r>
        <w:rPr>
          <w:snapToGrid w:val="0"/>
        </w:rPr>
        <w:t>.</w:t>
      </w:r>
      <w:r>
        <w:rPr>
          <w:snapToGrid w:val="0"/>
        </w:rPr>
        <w:tab/>
        <w:t>Conditions on licences</w:t>
      </w:r>
      <w:bookmarkEnd w:id="14"/>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lastRenderedPageBreak/>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15" w:name="_Toc202517374"/>
      <w:r>
        <w:rPr>
          <w:rStyle w:val="CharSectno"/>
        </w:rPr>
        <w:t>12</w:t>
      </w:r>
      <w:r>
        <w:rPr>
          <w:snapToGrid w:val="0"/>
        </w:rPr>
        <w:t>.</w:t>
      </w:r>
      <w:r>
        <w:rPr>
          <w:snapToGrid w:val="0"/>
        </w:rPr>
        <w:tab/>
        <w:t>Further conditions may be imposed</w:t>
      </w:r>
      <w:bookmarkEnd w:id="15"/>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16" w:name="_Toc202517375"/>
      <w:r>
        <w:rPr>
          <w:rStyle w:val="CharSectno"/>
        </w:rPr>
        <w:t>13</w:t>
      </w:r>
      <w:r>
        <w:rPr>
          <w:snapToGrid w:val="0"/>
        </w:rPr>
        <w:t>.</w:t>
      </w:r>
      <w:r>
        <w:rPr>
          <w:snapToGrid w:val="0"/>
        </w:rPr>
        <w:tab/>
        <w:t>Licensee to ensure staff and students comply with conditions</w:t>
      </w:r>
      <w:bookmarkEnd w:id="16"/>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lastRenderedPageBreak/>
        <w:tab/>
        <w:t>Penalty: $20 000 and imprisonment for one year.</w:t>
      </w:r>
    </w:p>
    <w:p>
      <w:pPr>
        <w:pStyle w:val="Heading5"/>
        <w:keepLines w:val="0"/>
        <w:rPr>
          <w:snapToGrid w:val="0"/>
        </w:rPr>
      </w:pPr>
      <w:bookmarkStart w:id="17" w:name="_Toc202517376"/>
      <w:r>
        <w:rPr>
          <w:rStyle w:val="CharSectno"/>
        </w:rPr>
        <w:t>14</w:t>
      </w:r>
      <w:r>
        <w:rPr>
          <w:snapToGrid w:val="0"/>
        </w:rPr>
        <w:t>.</w:t>
      </w:r>
      <w:r>
        <w:rPr>
          <w:snapToGrid w:val="0"/>
        </w:rPr>
        <w:tab/>
        <w:t>Display of licence and code of practice</w:t>
      </w:r>
      <w:bookmarkEnd w:id="17"/>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lastRenderedPageBreak/>
        <w:tab/>
        <w:t>Penalty: $2 000.</w:t>
      </w:r>
    </w:p>
    <w:p>
      <w:pPr>
        <w:pStyle w:val="Heading5"/>
        <w:keepLines w:val="0"/>
        <w:rPr>
          <w:snapToGrid w:val="0"/>
        </w:rPr>
      </w:pPr>
      <w:bookmarkStart w:id="18" w:name="_Toc202517377"/>
      <w:r>
        <w:rPr>
          <w:rStyle w:val="CharSectno"/>
        </w:rPr>
        <w:t>15</w:t>
      </w:r>
      <w:r>
        <w:rPr>
          <w:snapToGrid w:val="0"/>
        </w:rPr>
        <w:t>.</w:t>
      </w:r>
      <w:r>
        <w:rPr>
          <w:snapToGrid w:val="0"/>
        </w:rPr>
        <w:tab/>
        <w:t>Duration of a licence</w:t>
      </w:r>
      <w:bookmarkEnd w:id="18"/>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19" w:name="_Toc202517378"/>
      <w:r>
        <w:rPr>
          <w:rStyle w:val="CharSectno"/>
        </w:rPr>
        <w:t>16</w:t>
      </w:r>
      <w:r>
        <w:rPr>
          <w:snapToGrid w:val="0"/>
        </w:rPr>
        <w:t>.</w:t>
      </w:r>
      <w:r>
        <w:rPr>
          <w:snapToGrid w:val="0"/>
        </w:rPr>
        <w:tab/>
        <w:t>Licence not transferable</w:t>
      </w:r>
      <w:bookmarkEnd w:id="19"/>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20" w:name="_Toc202517379"/>
      <w:r>
        <w:rPr>
          <w:rStyle w:val="CharSectno"/>
        </w:rPr>
        <w:t>17</w:t>
      </w:r>
      <w:r>
        <w:rPr>
          <w:snapToGrid w:val="0"/>
        </w:rPr>
        <w:t>.</w:t>
      </w:r>
      <w:r>
        <w:rPr>
          <w:snapToGrid w:val="0"/>
        </w:rPr>
        <w:tab/>
        <w:t>Suspension and revocation</w:t>
      </w:r>
      <w:bookmarkEnd w:id="20"/>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 xml:space="preserve">the licence is suspended and the Minister is satisfied, during the 14 days before the end of the suspension </w:t>
      </w:r>
      <w:r>
        <w:rPr>
          <w:snapToGrid w:val="0"/>
        </w:rPr>
        <w:lastRenderedPageBreak/>
        <w:t>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21" w:name="_Toc202517380"/>
      <w:r>
        <w:rPr>
          <w:rStyle w:val="CharSectno"/>
        </w:rPr>
        <w:t>18</w:t>
      </w:r>
      <w:r>
        <w:rPr>
          <w:snapToGrid w:val="0"/>
        </w:rPr>
        <w:t>.</w:t>
      </w:r>
      <w:r>
        <w:rPr>
          <w:snapToGrid w:val="0"/>
        </w:rPr>
        <w:tab/>
        <w:t>Register of licences</w:t>
      </w:r>
      <w:bookmarkEnd w:id="21"/>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lastRenderedPageBreak/>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22" w:name="_Toc202517381"/>
      <w:r>
        <w:rPr>
          <w:rStyle w:val="CharPartNo"/>
        </w:rPr>
        <w:lastRenderedPageBreak/>
        <w:t>Part 3</w:t>
      </w:r>
      <w:r>
        <w:rPr>
          <w:b w:val="0"/>
        </w:rPr>
        <w:t> </w:t>
      </w:r>
      <w:r>
        <w:t>—</w:t>
      </w:r>
      <w:r>
        <w:rPr>
          <w:b w:val="0"/>
        </w:rPr>
        <w:t> </w:t>
      </w:r>
      <w:r>
        <w:rPr>
          <w:rStyle w:val="CharPartText"/>
        </w:rPr>
        <w:t>Welfare, safety and health of animals</w:t>
      </w:r>
      <w:bookmarkEnd w:id="22"/>
    </w:p>
    <w:p>
      <w:pPr>
        <w:pStyle w:val="Footnoteheading"/>
      </w:pPr>
      <w:r>
        <w:tab/>
        <w:t>[Heading inserted: No. 35 of 2018 s. 6.]</w:t>
      </w:r>
    </w:p>
    <w:p>
      <w:pPr>
        <w:pStyle w:val="Heading3"/>
      </w:pPr>
      <w:bookmarkStart w:id="23" w:name="_Toc202517382"/>
      <w:r>
        <w:rPr>
          <w:rStyle w:val="CharDivNo"/>
        </w:rPr>
        <w:t>Division 1</w:t>
      </w:r>
      <w:r>
        <w:t> — </w:t>
      </w:r>
      <w:r>
        <w:rPr>
          <w:rStyle w:val="CharDivText"/>
        </w:rPr>
        <w:t>Objects of this Part</w:t>
      </w:r>
      <w:bookmarkEnd w:id="23"/>
    </w:p>
    <w:p>
      <w:pPr>
        <w:pStyle w:val="Footnoteheading"/>
      </w:pPr>
      <w:r>
        <w:tab/>
        <w:t>[Heading inserted: No. 35 of 2018 s. 7.]</w:t>
      </w:r>
    </w:p>
    <w:p>
      <w:pPr>
        <w:pStyle w:val="Heading5"/>
      </w:pPr>
      <w:bookmarkStart w:id="24" w:name="_Toc202517383"/>
      <w:r>
        <w:rPr>
          <w:rStyle w:val="CharSectno"/>
        </w:rPr>
        <w:t>18A</w:t>
      </w:r>
      <w:r>
        <w:t>.</w:t>
      </w:r>
      <w:r>
        <w:tab/>
        <w:t>Objects of Part</w:t>
      </w:r>
      <w:bookmarkEnd w:id="24"/>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25" w:name="_Toc202517384"/>
      <w:r>
        <w:rPr>
          <w:rStyle w:val="CharDivNo"/>
        </w:rPr>
        <w:t>Division 2</w:t>
      </w:r>
      <w:r>
        <w:t> — </w:t>
      </w:r>
      <w:r>
        <w:rPr>
          <w:rStyle w:val="CharDivText"/>
        </w:rPr>
        <w:t>Regulations about animal welfare, safety and health</w:t>
      </w:r>
      <w:bookmarkEnd w:id="25"/>
    </w:p>
    <w:p>
      <w:pPr>
        <w:pStyle w:val="Footnoteheading"/>
      </w:pPr>
      <w:r>
        <w:tab/>
        <w:t>[Heading inserted: No. 35 of 2018 s. 7.]</w:t>
      </w:r>
    </w:p>
    <w:p>
      <w:pPr>
        <w:pStyle w:val="Heading5"/>
      </w:pPr>
      <w:bookmarkStart w:id="26" w:name="_Toc202517385"/>
      <w:r>
        <w:rPr>
          <w:rStyle w:val="CharSectno"/>
        </w:rPr>
        <w:t>18B</w:t>
      </w:r>
      <w:r>
        <w:t>.</w:t>
      </w:r>
      <w:r>
        <w:tab/>
        <w:t>Regulations — animal welfare, safety and health</w:t>
      </w:r>
      <w:bookmarkEnd w:id="26"/>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lastRenderedPageBreak/>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27" w:name="_Toc202517386"/>
      <w:r>
        <w:rPr>
          <w:rStyle w:val="CharDivNo"/>
        </w:rPr>
        <w:t>Division 3</w:t>
      </w:r>
      <w:r>
        <w:t> — </w:t>
      </w:r>
      <w:r>
        <w:rPr>
          <w:rStyle w:val="CharDivText"/>
        </w:rPr>
        <w:t>Cruelty and other inhumane and improper treatment of animals</w:t>
      </w:r>
      <w:bookmarkEnd w:id="27"/>
    </w:p>
    <w:p>
      <w:pPr>
        <w:pStyle w:val="Footnoteheading"/>
      </w:pPr>
      <w:r>
        <w:tab/>
        <w:t>[Heading inserted: No. 35 of 2018 s. 8.]</w:t>
      </w:r>
    </w:p>
    <w:p>
      <w:pPr>
        <w:pStyle w:val="Heading5"/>
        <w:keepNext w:val="0"/>
        <w:keepLines w:val="0"/>
        <w:rPr>
          <w:snapToGrid w:val="0"/>
        </w:rPr>
      </w:pPr>
      <w:bookmarkStart w:id="28" w:name="_Toc202517387"/>
      <w:r>
        <w:rPr>
          <w:rStyle w:val="CharSectno"/>
        </w:rPr>
        <w:t>19</w:t>
      </w:r>
      <w:r>
        <w:rPr>
          <w:snapToGrid w:val="0"/>
        </w:rPr>
        <w:t>.</w:t>
      </w:r>
      <w:r>
        <w:rPr>
          <w:snapToGrid w:val="0"/>
        </w:rPr>
        <w:tab/>
        <w:t>Cruelty to animals</w:t>
      </w:r>
      <w:bookmarkEnd w:id="28"/>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lastRenderedPageBreak/>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lastRenderedPageBreak/>
        <w:tab/>
        <w:t>(j)</w:t>
      </w:r>
      <w:r>
        <w:rPr>
          <w:snapToGrid w:val="0"/>
        </w:rPr>
        <w:tab/>
        <w:t>is, in any other way, caused unnecessary harm.</w:t>
      </w:r>
    </w:p>
    <w:p>
      <w:pPr>
        <w:pStyle w:val="Heading5"/>
        <w:keepLines w:val="0"/>
        <w:rPr>
          <w:snapToGrid w:val="0"/>
        </w:rPr>
      </w:pPr>
      <w:bookmarkStart w:id="29" w:name="_Toc202517388"/>
      <w:r>
        <w:rPr>
          <w:rStyle w:val="CharSectno"/>
        </w:rPr>
        <w:t>20</w:t>
      </w:r>
      <w:r>
        <w:rPr>
          <w:snapToGrid w:val="0"/>
        </w:rPr>
        <w:t>.</w:t>
      </w:r>
      <w:r>
        <w:rPr>
          <w:snapToGrid w:val="0"/>
        </w:rPr>
        <w:tab/>
        <w:t>Defence — self</w:t>
      </w:r>
      <w:r>
        <w:rPr>
          <w:snapToGrid w:val="0"/>
        </w:rPr>
        <w:noBreakHyphen/>
        <w:t>defence or protecting another person or an animal</w:t>
      </w:r>
      <w:bookmarkEnd w:id="29"/>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lastRenderedPageBreak/>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30" w:name="_Toc202517389"/>
      <w:r>
        <w:rPr>
          <w:rStyle w:val="CharSectno"/>
        </w:rPr>
        <w:t>21</w:t>
      </w:r>
      <w:r>
        <w:rPr>
          <w:snapToGrid w:val="0"/>
        </w:rPr>
        <w:t>.</w:t>
      </w:r>
      <w:r>
        <w:rPr>
          <w:snapToGrid w:val="0"/>
        </w:rPr>
        <w:tab/>
        <w:t>Defence — veterinary care</w:t>
      </w:r>
      <w:bookmarkEnd w:id="30"/>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31" w:name="_Toc202517390"/>
      <w:r>
        <w:rPr>
          <w:rStyle w:val="CharSectno"/>
        </w:rPr>
        <w:t>22</w:t>
      </w:r>
      <w:r>
        <w:rPr>
          <w:snapToGrid w:val="0"/>
        </w:rPr>
        <w:t>.</w:t>
      </w:r>
      <w:r>
        <w:rPr>
          <w:snapToGrid w:val="0"/>
        </w:rPr>
        <w:tab/>
        <w:t>Defence — authorised by law</w:t>
      </w:r>
      <w:bookmarkEnd w:id="31"/>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32" w:name="_Toc202517391"/>
      <w:r>
        <w:rPr>
          <w:rStyle w:val="CharSectno"/>
        </w:rPr>
        <w:t>23</w:t>
      </w:r>
      <w:r>
        <w:rPr>
          <w:snapToGrid w:val="0"/>
        </w:rPr>
        <w:t>.</w:t>
      </w:r>
      <w:r>
        <w:rPr>
          <w:snapToGrid w:val="0"/>
        </w:rPr>
        <w:tab/>
        <w:t>Defence — normal animal husbandry</w:t>
      </w:r>
      <w:bookmarkEnd w:id="32"/>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lastRenderedPageBreak/>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33" w:name="_Toc202517392"/>
      <w:r>
        <w:rPr>
          <w:rStyle w:val="CharSectno"/>
        </w:rPr>
        <w:t>24</w:t>
      </w:r>
      <w:r>
        <w:rPr>
          <w:snapToGrid w:val="0"/>
        </w:rPr>
        <w:t>.</w:t>
      </w:r>
      <w:r>
        <w:rPr>
          <w:snapToGrid w:val="0"/>
        </w:rPr>
        <w:tab/>
        <w:t>Defence — killing pests</w:t>
      </w:r>
      <w:bookmarkEnd w:id="33"/>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34" w:name="_Toc202517393"/>
      <w:r>
        <w:rPr>
          <w:rStyle w:val="CharSectno"/>
        </w:rPr>
        <w:t>25</w:t>
      </w:r>
      <w:r>
        <w:rPr>
          <w:snapToGrid w:val="0"/>
        </w:rPr>
        <w:t>.</w:t>
      </w:r>
      <w:r>
        <w:rPr>
          <w:snapToGrid w:val="0"/>
        </w:rPr>
        <w:tab/>
        <w:t>Defence — code of practice</w:t>
      </w:r>
      <w:bookmarkEnd w:id="34"/>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35" w:name="_Toc202517394"/>
      <w:r>
        <w:rPr>
          <w:rStyle w:val="CharSectno"/>
        </w:rPr>
        <w:t>26</w:t>
      </w:r>
      <w:r>
        <w:rPr>
          <w:snapToGrid w:val="0"/>
        </w:rPr>
        <w:t>.</w:t>
      </w:r>
      <w:r>
        <w:rPr>
          <w:snapToGrid w:val="0"/>
        </w:rPr>
        <w:tab/>
        <w:t>Defence — stock fending for itself</w:t>
      </w:r>
      <w:bookmarkEnd w:id="35"/>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lastRenderedPageBreak/>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36" w:name="_Toc202517395"/>
      <w:r>
        <w:rPr>
          <w:rStyle w:val="CharSectno"/>
        </w:rPr>
        <w:t>27</w:t>
      </w:r>
      <w:r>
        <w:t>.</w:t>
      </w:r>
      <w:r>
        <w:tab/>
        <w:t>Defence — releasing animals into the wild</w:t>
      </w:r>
      <w:bookmarkEnd w:id="36"/>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37" w:name="_Toc202517396"/>
      <w:r>
        <w:rPr>
          <w:rStyle w:val="CharSectno"/>
        </w:rPr>
        <w:t>28</w:t>
      </w:r>
      <w:r>
        <w:rPr>
          <w:snapToGrid w:val="0"/>
        </w:rPr>
        <w:t>.</w:t>
      </w:r>
      <w:r>
        <w:rPr>
          <w:snapToGrid w:val="0"/>
        </w:rPr>
        <w:tab/>
        <w:t>Defence — where person in charge is not in actual custody</w:t>
      </w:r>
      <w:bookmarkEnd w:id="37"/>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lastRenderedPageBreak/>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38" w:name="_Toc202517397"/>
      <w:r>
        <w:rPr>
          <w:rStyle w:val="CharSectno"/>
        </w:rPr>
        <w:t>29</w:t>
      </w:r>
      <w:r>
        <w:rPr>
          <w:snapToGrid w:val="0"/>
        </w:rPr>
        <w:t>.</w:t>
      </w:r>
      <w:r>
        <w:rPr>
          <w:snapToGrid w:val="0"/>
        </w:rPr>
        <w:tab/>
        <w:t>Defence — prescribed use of devices</w:t>
      </w:r>
      <w:bookmarkEnd w:id="38"/>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39" w:name="_Toc202517398"/>
      <w:r>
        <w:rPr>
          <w:rStyle w:val="CharSectno"/>
        </w:rPr>
        <w:t>30</w:t>
      </w:r>
      <w:r>
        <w:rPr>
          <w:snapToGrid w:val="0"/>
        </w:rPr>
        <w:t>.</w:t>
      </w:r>
      <w:r>
        <w:rPr>
          <w:snapToGrid w:val="0"/>
        </w:rPr>
        <w:tab/>
        <w:t>Defence — prescribed surgical or similar operations, practices and activities</w:t>
      </w:r>
      <w:bookmarkEnd w:id="39"/>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0" w:name="_Toc202517399"/>
      <w:r>
        <w:rPr>
          <w:rStyle w:val="CharSectno"/>
        </w:rPr>
        <w:t>31</w:t>
      </w:r>
      <w:r>
        <w:rPr>
          <w:snapToGrid w:val="0"/>
        </w:rPr>
        <w:t>.</w:t>
      </w:r>
      <w:r>
        <w:rPr>
          <w:snapToGrid w:val="0"/>
        </w:rPr>
        <w:tab/>
        <w:t>Possession of things intended to inflict cruelty</w:t>
      </w:r>
      <w:bookmarkEnd w:id="40"/>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 xml:space="preserve">It is a defence to a charge under subsection (1) for a person to prove that the thing was a prescribed thing and that the person </w:t>
      </w:r>
      <w:r>
        <w:rPr>
          <w:snapToGrid w:val="0"/>
        </w:rPr>
        <w:lastRenderedPageBreak/>
        <w:t>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1" w:name="_Toc202517400"/>
      <w:r>
        <w:rPr>
          <w:rStyle w:val="CharSectno"/>
        </w:rPr>
        <w:t>32</w:t>
      </w:r>
      <w:r>
        <w:rPr>
          <w:snapToGrid w:val="0"/>
        </w:rPr>
        <w:t>.</w:t>
      </w:r>
      <w:r>
        <w:rPr>
          <w:snapToGrid w:val="0"/>
        </w:rPr>
        <w:tab/>
        <w:t>Shooting, hunting or fighting captive animals</w:t>
      </w:r>
      <w:bookmarkEnd w:id="41"/>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lastRenderedPageBreak/>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42" w:name="_Toc202517401"/>
      <w:r>
        <w:rPr>
          <w:rStyle w:val="CharPartNo"/>
        </w:rPr>
        <w:lastRenderedPageBreak/>
        <w:t>Part 4</w:t>
      </w:r>
      <w:r>
        <w:t xml:space="preserve"> — </w:t>
      </w:r>
      <w:r>
        <w:rPr>
          <w:rStyle w:val="CharPartText"/>
        </w:rPr>
        <w:t>Inspectors</w:t>
      </w:r>
      <w:bookmarkEnd w:id="42"/>
    </w:p>
    <w:p>
      <w:pPr>
        <w:pStyle w:val="Heading3"/>
        <w:keepNext w:val="0"/>
      </w:pPr>
      <w:bookmarkStart w:id="43" w:name="_Toc202517402"/>
      <w:r>
        <w:rPr>
          <w:rStyle w:val="CharDivNo"/>
        </w:rPr>
        <w:t>Division 1</w:t>
      </w:r>
      <w:r>
        <w:t xml:space="preserve"> — </w:t>
      </w:r>
      <w:r>
        <w:rPr>
          <w:rStyle w:val="CharDivText"/>
        </w:rPr>
        <w:t>Appointment of inspectors</w:t>
      </w:r>
      <w:bookmarkEnd w:id="43"/>
    </w:p>
    <w:p>
      <w:pPr>
        <w:pStyle w:val="Heading5"/>
        <w:keepLines w:val="0"/>
        <w:rPr>
          <w:snapToGrid w:val="0"/>
        </w:rPr>
      </w:pPr>
      <w:bookmarkStart w:id="44" w:name="_Toc202517403"/>
      <w:r>
        <w:rPr>
          <w:rStyle w:val="CharSectno"/>
        </w:rPr>
        <w:t>33</w:t>
      </w:r>
      <w:r>
        <w:rPr>
          <w:snapToGrid w:val="0"/>
        </w:rPr>
        <w:t>.</w:t>
      </w:r>
      <w:r>
        <w:rPr>
          <w:snapToGrid w:val="0"/>
        </w:rPr>
        <w:tab/>
        <w:t>Appointment of general inspectors</w:t>
      </w:r>
      <w:bookmarkEnd w:id="44"/>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w:t>
      </w:r>
      <w:r>
        <w:rPr>
          <w:snapToGrid w:val="0"/>
        </w:rPr>
        <w:lastRenderedPageBreak/>
        <w:t>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45" w:name="_Toc202517404"/>
      <w:r>
        <w:rPr>
          <w:rStyle w:val="CharSectno"/>
        </w:rPr>
        <w:t>34</w:t>
      </w:r>
      <w:r>
        <w:rPr>
          <w:snapToGrid w:val="0"/>
        </w:rPr>
        <w:t>.</w:t>
      </w:r>
      <w:r>
        <w:rPr>
          <w:snapToGrid w:val="0"/>
        </w:rPr>
        <w:tab/>
        <w:t>Appointment of scientific inspectors</w:t>
      </w:r>
      <w:bookmarkEnd w:id="45"/>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46" w:name="_Toc202517405"/>
      <w:r>
        <w:rPr>
          <w:rStyle w:val="CharSectno"/>
        </w:rPr>
        <w:t>35</w:t>
      </w:r>
      <w:r>
        <w:rPr>
          <w:snapToGrid w:val="0"/>
        </w:rPr>
        <w:t>.</w:t>
      </w:r>
      <w:r>
        <w:rPr>
          <w:snapToGrid w:val="0"/>
        </w:rPr>
        <w:tab/>
        <w:t>Restricted appointments</w:t>
      </w:r>
      <w:bookmarkEnd w:id="46"/>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lastRenderedPageBreak/>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Pr>
      <w:bookmarkStart w:id="47" w:name="_Toc202517406"/>
      <w:r>
        <w:rPr>
          <w:rStyle w:val="CharSectno"/>
        </w:rPr>
        <w:lastRenderedPageBreak/>
        <w:t>35A</w:t>
      </w:r>
      <w:r>
        <w:t>.</w:t>
      </w:r>
      <w:r>
        <w:tab/>
        <w:t>Designated inspectors</w:t>
      </w:r>
      <w:bookmarkEnd w:id="47"/>
    </w:p>
    <w:p>
      <w:pPr>
        <w:pStyle w:val="Subsection"/>
      </w:pPr>
      <w:r>
        <w:tab/>
        <w:t>(1)</w:t>
      </w:r>
      <w:r>
        <w:tab/>
        <w:t>The CEO may, by written notice, designate as a designated inspector a general inspector who is a member of the staff of the Department.</w:t>
      </w:r>
    </w:p>
    <w:p>
      <w:pPr>
        <w:pStyle w:val="Subsection"/>
      </w:pPr>
      <w:r>
        <w:tab/>
        <w:t>(2)</w:t>
      </w:r>
      <w:r>
        <w:tab/>
        <w:t xml:space="preserve">A designation under subsection (1) remains in force for the period specified in the notice of designation unless before the end of that period — </w:t>
      </w:r>
    </w:p>
    <w:p>
      <w:pPr>
        <w:pStyle w:val="Indenta"/>
      </w:pPr>
      <w:r>
        <w:tab/>
        <w:t>(a)</w:t>
      </w:r>
      <w:r>
        <w:tab/>
        <w:t>the designation is cancelled by the CEO by written notice to the inspector; or</w:t>
      </w:r>
    </w:p>
    <w:p>
      <w:pPr>
        <w:pStyle w:val="Indenta"/>
      </w:pPr>
      <w:r>
        <w:tab/>
        <w:t>(b)</w:t>
      </w:r>
      <w:r>
        <w:tab/>
        <w:t>the inspector ceases to be a general inspector.</w:t>
      </w:r>
    </w:p>
    <w:p>
      <w:pPr>
        <w:pStyle w:val="Subsection"/>
      </w:pPr>
      <w:r>
        <w:tab/>
        <w:t>(3)</w:t>
      </w:r>
      <w:r>
        <w:tab/>
        <w:t>The CEO may, by written notice, restrict the authority of a designated inspector to exercise a power under section 38(1A) by limiting all or any of the following —</w:t>
      </w:r>
    </w:p>
    <w:p>
      <w:pPr>
        <w:pStyle w:val="Indenta"/>
      </w:pPr>
      <w:r>
        <w:tab/>
        <w:t>(a)</w:t>
      </w:r>
      <w:r>
        <w:tab/>
        <w:t>the places where the power may be exercised;</w:t>
      </w:r>
    </w:p>
    <w:p>
      <w:pPr>
        <w:pStyle w:val="Indenta"/>
      </w:pPr>
      <w:r>
        <w:tab/>
        <w:t>(b)</w:t>
      </w:r>
      <w:r>
        <w:tab/>
        <w:t>the times when the power may be exercised;</w:t>
      </w:r>
    </w:p>
    <w:p>
      <w:pPr>
        <w:pStyle w:val="Indenta"/>
      </w:pPr>
      <w:r>
        <w:tab/>
        <w:t>(c)</w:t>
      </w:r>
      <w:r>
        <w:tab/>
        <w:t>the circumstances in which the power may be exercised.</w:t>
      </w:r>
    </w:p>
    <w:p>
      <w:pPr>
        <w:pStyle w:val="Subsection"/>
      </w:pPr>
      <w:r>
        <w:tab/>
        <w:t>(4)</w:t>
      </w:r>
      <w:r>
        <w:tab/>
        <w:t>When the authority of a designated inspector is restricted under subsection (3), the power conferred on the inspector under section 38(1A) is limited to the extent set out in the notice.</w:t>
      </w:r>
    </w:p>
    <w:p>
      <w:pPr>
        <w:pStyle w:val="Subsection"/>
      </w:pPr>
      <w:r>
        <w:tab/>
        <w:t>(5)</w:t>
      </w:r>
      <w:r>
        <w:tab/>
        <w:t xml:space="preserve">A restriction under subsection (3) — </w:t>
      </w:r>
    </w:p>
    <w:p>
      <w:pPr>
        <w:pStyle w:val="Indenta"/>
      </w:pPr>
      <w:r>
        <w:tab/>
        <w:t>(a)</w:t>
      </w:r>
      <w:r>
        <w:tab/>
        <w:t>may be imposed when the inspector is designated under subsection (1) or at a later time; and</w:t>
      </w:r>
    </w:p>
    <w:p>
      <w:pPr>
        <w:pStyle w:val="Indenta"/>
      </w:pPr>
      <w:r>
        <w:tab/>
        <w:t>(b)</w:t>
      </w:r>
      <w:r>
        <w:tab/>
        <w:t>may be varied or cancelled by the CEO by written notice to the inspector.</w:t>
      </w:r>
    </w:p>
    <w:p>
      <w:pPr>
        <w:pStyle w:val="Footnotesection"/>
      </w:pPr>
      <w:r>
        <w:tab/>
        <w:t>[Section 35A inserted: No. 5 of 2023 s. 5.]</w:t>
      </w:r>
    </w:p>
    <w:p>
      <w:pPr>
        <w:pStyle w:val="Heading5"/>
        <w:rPr>
          <w:snapToGrid w:val="0"/>
        </w:rPr>
      </w:pPr>
      <w:bookmarkStart w:id="48" w:name="_Toc202517407"/>
      <w:r>
        <w:rPr>
          <w:rStyle w:val="CharSectno"/>
        </w:rPr>
        <w:t>36</w:t>
      </w:r>
      <w:r>
        <w:rPr>
          <w:snapToGrid w:val="0"/>
        </w:rPr>
        <w:t>.</w:t>
      </w:r>
      <w:r>
        <w:rPr>
          <w:snapToGrid w:val="0"/>
        </w:rPr>
        <w:tab/>
        <w:t>Identification card</w:t>
      </w:r>
      <w:bookmarkEnd w:id="48"/>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lastRenderedPageBreak/>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49" w:name="_Toc202517408"/>
      <w:r>
        <w:rPr>
          <w:rStyle w:val="CharDivNo"/>
        </w:rPr>
        <w:t>Division 2</w:t>
      </w:r>
      <w:r>
        <w:rPr>
          <w:snapToGrid w:val="0"/>
        </w:rPr>
        <w:t> — </w:t>
      </w:r>
      <w:r>
        <w:rPr>
          <w:rStyle w:val="CharDivText"/>
        </w:rPr>
        <w:t>Functions and powers of inspectors</w:t>
      </w:r>
      <w:bookmarkEnd w:id="49"/>
    </w:p>
    <w:p>
      <w:pPr>
        <w:pStyle w:val="Heading5"/>
      </w:pPr>
      <w:bookmarkStart w:id="50" w:name="_Toc202517409"/>
      <w:r>
        <w:rPr>
          <w:rStyle w:val="CharSectno"/>
        </w:rPr>
        <w:t>36A</w:t>
      </w:r>
      <w:r>
        <w:t>.</w:t>
      </w:r>
      <w:r>
        <w:tab/>
        <w:t>Terms used</w:t>
      </w:r>
      <w:bookmarkEnd w:id="50"/>
    </w:p>
    <w:p>
      <w:pPr>
        <w:pStyle w:val="Subsection"/>
      </w:pPr>
      <w:r>
        <w:tab/>
      </w:r>
      <w:r>
        <w:tab/>
        <w:t xml:space="preserve">In this Division — </w:t>
      </w:r>
    </w:p>
    <w:p>
      <w:pPr>
        <w:pStyle w:val="Defstart"/>
      </w:pPr>
      <w:r>
        <w:tab/>
      </w:r>
      <w:r>
        <w:rPr>
          <w:rStyle w:val="CharDefText"/>
        </w:rPr>
        <w:t>abattoir</w:t>
      </w:r>
      <w:r>
        <w:t xml:space="preserve"> — </w:t>
      </w:r>
    </w:p>
    <w:p>
      <w:pPr>
        <w:pStyle w:val="Defpara"/>
      </w:pPr>
      <w:r>
        <w:tab/>
        <w:t>(a)</w:t>
      </w:r>
      <w:r>
        <w:tab/>
        <w:t xml:space="preserve">means any place used for or in connection with the slaughtering of animals for sale for human consumption; and </w:t>
      </w:r>
    </w:p>
    <w:p>
      <w:pPr>
        <w:pStyle w:val="Defpara"/>
      </w:pPr>
      <w:r>
        <w:tab/>
        <w:t>(b)</w:t>
      </w:r>
      <w:r>
        <w:tab/>
        <w:t>includes a holding yard or other place used for or in connection with the slaughtering of those animals;</w:t>
      </w:r>
    </w:p>
    <w:p>
      <w:pPr>
        <w:pStyle w:val="Defstart"/>
      </w:pPr>
      <w:r>
        <w:tab/>
      </w:r>
      <w:r>
        <w:rPr>
          <w:rStyle w:val="CharDefText"/>
        </w:rPr>
        <w:t>animal source food production</w:t>
      </w:r>
      <w:r>
        <w:t xml:space="preserve"> has the meaning given in </w:t>
      </w:r>
      <w:r>
        <w:rPr>
          <w:i/>
        </w:rPr>
        <w:t>The Criminal Code</w:t>
      </w:r>
      <w:r>
        <w:t> section 70A(1);</w:t>
      </w:r>
    </w:p>
    <w:p>
      <w:pPr>
        <w:pStyle w:val="Defstart"/>
      </w:pPr>
      <w:r>
        <w:tab/>
      </w:r>
      <w:r>
        <w:rPr>
          <w:rStyle w:val="CharDefText"/>
        </w:rPr>
        <w:t>animal source food production facility</w:t>
      </w:r>
      <w:r>
        <w:t xml:space="preserve"> has the meaning given in </w:t>
      </w:r>
      <w:r>
        <w:rPr>
          <w:i/>
        </w:rPr>
        <w:t>The Criminal Code</w:t>
      </w:r>
      <w:r>
        <w:t> section 70A(1);</w:t>
      </w:r>
    </w:p>
    <w:p>
      <w:pPr>
        <w:pStyle w:val="Defstart"/>
      </w:pPr>
      <w:r>
        <w:tab/>
      </w:r>
      <w:r>
        <w:rPr>
          <w:rStyle w:val="CharDefText"/>
        </w:rPr>
        <w:t>intensive production</w:t>
      </w:r>
      <w:r>
        <w:t xml:space="preserve"> means an activity that is carried out at an animal source food production facility during which, in the ordinary course of animal source food production, any animals involved in the production do not have an opportunity to graze or forage outside;</w:t>
      </w:r>
    </w:p>
    <w:p>
      <w:pPr>
        <w:pStyle w:val="Defstart"/>
      </w:pPr>
      <w:r>
        <w:tab/>
      </w:r>
      <w:r>
        <w:rPr>
          <w:rStyle w:val="CharDefText"/>
        </w:rPr>
        <w:t>intensive production place</w:t>
      </w:r>
      <w:r>
        <w:t xml:space="preserve"> means a non</w:t>
      </w:r>
      <w:r>
        <w:noBreakHyphen/>
        <w:t>residential place where intensive production is carried out;</w:t>
      </w:r>
    </w:p>
    <w:p>
      <w:pPr>
        <w:pStyle w:val="Defstart"/>
      </w:pPr>
      <w:r>
        <w:tab/>
      </w:r>
      <w:r>
        <w:rPr>
          <w:rStyle w:val="CharDefText"/>
        </w:rPr>
        <w:t>knackery</w:t>
      </w:r>
      <w:r>
        <w:t xml:space="preserve"> — </w:t>
      </w:r>
    </w:p>
    <w:p>
      <w:pPr>
        <w:pStyle w:val="Defpara"/>
      </w:pPr>
      <w:r>
        <w:tab/>
        <w:t>(a)</w:t>
      </w:r>
      <w:r>
        <w:tab/>
        <w:t xml:space="preserve">means any place used for or in connection with the slaughtering and processing of animals for sale for animal consumption; and </w:t>
      </w:r>
    </w:p>
    <w:p>
      <w:pPr>
        <w:pStyle w:val="Defpara"/>
      </w:pPr>
      <w:r>
        <w:lastRenderedPageBreak/>
        <w:tab/>
        <w:t>(b)</w:t>
      </w:r>
      <w:r>
        <w:tab/>
        <w:t>includes a holding yard or other place used for or in connection with the slaughtering and processing of those animals.</w:t>
      </w:r>
    </w:p>
    <w:p>
      <w:pPr>
        <w:pStyle w:val="Footnotesection"/>
      </w:pPr>
      <w:r>
        <w:tab/>
        <w:t>[Section 36A inserted: No. 5 of 2023 s. 6.]</w:t>
      </w:r>
    </w:p>
    <w:p>
      <w:pPr>
        <w:pStyle w:val="Heading5"/>
        <w:keepLines w:val="0"/>
        <w:rPr>
          <w:snapToGrid w:val="0"/>
        </w:rPr>
      </w:pPr>
      <w:bookmarkStart w:id="51" w:name="_Toc202517410"/>
      <w:r>
        <w:rPr>
          <w:rStyle w:val="CharSectno"/>
        </w:rPr>
        <w:t>37</w:t>
      </w:r>
      <w:r>
        <w:rPr>
          <w:snapToGrid w:val="0"/>
        </w:rPr>
        <w:t>.</w:t>
      </w:r>
      <w:r>
        <w:rPr>
          <w:snapToGrid w:val="0"/>
        </w:rPr>
        <w:tab/>
        <w:t>Functions and powers of inspectors</w:t>
      </w:r>
      <w:bookmarkEnd w:id="51"/>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(aa)</w:t>
      </w:r>
      <w:r>
        <w:tab/>
        <w:t xml:space="preserve">if the inspector is a designated inspector — to monitor compliance with Part 3, directions given under section 40(1) or 47(1) and orders made under section 55(1), in relation to any of the following — </w:t>
      </w:r>
    </w:p>
    <w:p>
      <w:pPr>
        <w:pStyle w:val="Indenti"/>
      </w:pPr>
      <w:r>
        <w:tab/>
        <w:t>(i)</w:t>
      </w:r>
      <w:r>
        <w:tab/>
        <w:t>intensive production;</w:t>
      </w:r>
    </w:p>
    <w:p>
      <w:pPr>
        <w:pStyle w:val="Indenti"/>
      </w:pPr>
      <w:r>
        <w:tab/>
        <w:t>(ii)</w:t>
      </w:r>
      <w:r>
        <w:tab/>
        <w:t>an activity carried out at an abattoir;</w:t>
      </w:r>
    </w:p>
    <w:p>
      <w:pPr>
        <w:pStyle w:val="Indenti"/>
      </w:pPr>
      <w:r>
        <w:tab/>
        <w:t>(iii)</w:t>
      </w:r>
      <w:r>
        <w:tab/>
        <w:t>an activity carried out at a knackery;</w:t>
      </w:r>
    </w:p>
    <w:p>
      <w:pPr>
        <w:pStyle w:val="Indenta"/>
      </w:pPr>
      <w:r>
        <w:tab/>
      </w:r>
      <w:r>
        <w:tab/>
        <w:t>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keepNext/>
        <w:rPr>
          <w:snapToGrid w:val="0"/>
        </w:rPr>
      </w:pPr>
      <w:r>
        <w:rPr>
          <w:snapToGrid w:val="0"/>
        </w:rPr>
        <w:lastRenderedPageBreak/>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 No. 5 of 2023 s. 7.]</w:t>
      </w:r>
    </w:p>
    <w:p>
      <w:pPr>
        <w:pStyle w:val="Heading5"/>
        <w:keepLines w:val="0"/>
        <w:rPr>
          <w:snapToGrid w:val="0"/>
        </w:rPr>
      </w:pPr>
      <w:bookmarkStart w:id="52" w:name="_Toc202517411"/>
      <w:r>
        <w:rPr>
          <w:rStyle w:val="CharSectno"/>
        </w:rPr>
        <w:t>38</w:t>
      </w:r>
      <w:r>
        <w:rPr>
          <w:snapToGrid w:val="0"/>
        </w:rPr>
        <w:t>.</w:t>
      </w:r>
      <w:r>
        <w:rPr>
          <w:snapToGrid w:val="0"/>
        </w:rPr>
        <w:tab/>
        <w:t>Power to enter a place</w:t>
      </w:r>
      <w:bookmarkEnd w:id="52"/>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pPr>
      <w:r>
        <w:lastRenderedPageBreak/>
        <w:tab/>
        <w:t>(1A)</w:t>
      </w:r>
      <w:r>
        <w:tab/>
        <w:t xml:space="preserve">In addition, a designated inspector may, for the purpose of carrying out the function referred to in section 37(1)(aa), enter at any time any of the following places — </w:t>
      </w:r>
    </w:p>
    <w:p>
      <w:pPr>
        <w:pStyle w:val="Indenta"/>
      </w:pPr>
      <w:r>
        <w:tab/>
        <w:t>(a)</w:t>
      </w:r>
      <w:r>
        <w:tab/>
        <w:t>if the inspector believes, on reasonable grounds, that a place is an intensive production place — the place;</w:t>
      </w:r>
    </w:p>
    <w:p>
      <w:pPr>
        <w:pStyle w:val="Indenta"/>
      </w:pPr>
      <w:r>
        <w:tab/>
        <w:t>(b)</w:t>
      </w:r>
      <w:r>
        <w:tab/>
        <w:t>an abattoir;</w:t>
      </w:r>
    </w:p>
    <w:p>
      <w:pPr>
        <w:pStyle w:val="Indenta"/>
      </w:pPr>
      <w:r>
        <w:tab/>
        <w:t>(c)</w:t>
      </w:r>
      <w:r>
        <w:tab/>
        <w:t>a knackery.</w:t>
      </w:r>
    </w:p>
    <w:p>
      <w:pPr>
        <w:pStyle w:val="Subsection"/>
        <w:rPr>
          <w:snapToGrid w:val="0"/>
        </w:rPr>
      </w:pPr>
      <w:r>
        <w:rPr>
          <w:snapToGrid w:val="0"/>
        </w:rPr>
        <w:tab/>
        <w:t>(2)</w:t>
      </w:r>
      <w:r>
        <w:rPr>
          <w:snapToGrid w:val="0"/>
        </w:rPr>
        <w:tab/>
        <w:t xml:space="preserve">In order to enter a place under subsection (1)(b), (c), (d) or (e) </w:t>
      </w:r>
      <w:r>
        <w:t xml:space="preserve">or (1A) </w:t>
      </w:r>
      <w:r>
        <w:rPr>
          <w:snapToGrid w:val="0"/>
        </w:rPr>
        <w:t>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Footnotesection"/>
      </w:pPr>
      <w:r>
        <w:tab/>
        <w:t>[Section 38 amended: No. 5 of 2023 s. 8.]</w:t>
      </w:r>
    </w:p>
    <w:p>
      <w:pPr>
        <w:pStyle w:val="Heading5"/>
        <w:keepLines w:val="0"/>
        <w:rPr>
          <w:snapToGrid w:val="0"/>
        </w:rPr>
      </w:pPr>
      <w:bookmarkStart w:id="53" w:name="_Toc202517412"/>
      <w:r>
        <w:rPr>
          <w:rStyle w:val="CharSectno"/>
        </w:rPr>
        <w:lastRenderedPageBreak/>
        <w:t>39</w:t>
      </w:r>
      <w:r>
        <w:rPr>
          <w:snapToGrid w:val="0"/>
        </w:rPr>
        <w:t>.</w:t>
      </w:r>
      <w:r>
        <w:rPr>
          <w:snapToGrid w:val="0"/>
        </w:rPr>
        <w:tab/>
        <w:t>Power to enter vehicles</w:t>
      </w:r>
      <w:bookmarkEnd w:id="53"/>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4" w:name="_Toc202517413"/>
      <w:r>
        <w:rPr>
          <w:rStyle w:val="CharSectno"/>
        </w:rPr>
        <w:t>40</w:t>
      </w:r>
      <w:r>
        <w:rPr>
          <w:snapToGrid w:val="0"/>
        </w:rPr>
        <w:t>.</w:t>
      </w:r>
      <w:r>
        <w:rPr>
          <w:snapToGrid w:val="0"/>
        </w:rPr>
        <w:tab/>
        <w:t>Care of animals</w:t>
      </w:r>
      <w:bookmarkEnd w:id="54"/>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5" w:name="_Toc202517414"/>
      <w:r>
        <w:rPr>
          <w:rStyle w:val="CharSectno"/>
        </w:rPr>
        <w:lastRenderedPageBreak/>
        <w:t>41</w:t>
      </w:r>
      <w:r>
        <w:rPr>
          <w:snapToGrid w:val="0"/>
        </w:rPr>
        <w:t>.</w:t>
      </w:r>
      <w:r>
        <w:rPr>
          <w:snapToGrid w:val="0"/>
        </w:rPr>
        <w:tab/>
        <w:t>Humane destruction of animals</w:t>
      </w:r>
      <w:bookmarkEnd w:id="55"/>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56" w:name="_Toc202517415"/>
      <w:r>
        <w:rPr>
          <w:rStyle w:val="CharSectno"/>
        </w:rPr>
        <w:t>42</w:t>
      </w:r>
      <w:r>
        <w:rPr>
          <w:snapToGrid w:val="0"/>
        </w:rPr>
        <w:t>.</w:t>
      </w:r>
      <w:r>
        <w:rPr>
          <w:snapToGrid w:val="0"/>
        </w:rPr>
        <w:tab/>
        <w:t>Seizure of animals</w:t>
      </w:r>
      <w:bookmarkEnd w:id="56"/>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57" w:name="_Toc202517416"/>
      <w:r>
        <w:rPr>
          <w:rStyle w:val="CharSectno"/>
        </w:rPr>
        <w:t>43</w:t>
      </w:r>
      <w:r>
        <w:rPr>
          <w:snapToGrid w:val="0"/>
        </w:rPr>
        <w:t>.</w:t>
      </w:r>
      <w:r>
        <w:rPr>
          <w:snapToGrid w:val="0"/>
        </w:rPr>
        <w:tab/>
        <w:t>Seizure of other property</w:t>
      </w:r>
      <w:bookmarkEnd w:id="57"/>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lastRenderedPageBreak/>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58" w:name="_Toc202517417"/>
      <w:r>
        <w:rPr>
          <w:rStyle w:val="CharSectno"/>
        </w:rPr>
        <w:t>44</w:t>
      </w:r>
      <w:r>
        <w:rPr>
          <w:snapToGrid w:val="0"/>
        </w:rPr>
        <w:t>.</w:t>
      </w:r>
      <w:r>
        <w:rPr>
          <w:snapToGrid w:val="0"/>
        </w:rPr>
        <w:tab/>
        <w:t>Dealing with seized property</w:t>
      </w:r>
      <w:bookmarkEnd w:id="58"/>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lastRenderedPageBreak/>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lastRenderedPageBreak/>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59" w:name="_Toc202517418"/>
      <w:r>
        <w:rPr>
          <w:rStyle w:val="CharSectno"/>
        </w:rPr>
        <w:t>45</w:t>
      </w:r>
      <w:r>
        <w:t>.</w:t>
      </w:r>
      <w:r>
        <w:tab/>
        <w:t>Dealing with seized fauna</w:t>
      </w:r>
      <w:bookmarkEnd w:id="59"/>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60" w:name="_Toc202517419"/>
      <w:r>
        <w:rPr>
          <w:rStyle w:val="CharSectno"/>
        </w:rPr>
        <w:t>46</w:t>
      </w:r>
      <w:r>
        <w:rPr>
          <w:snapToGrid w:val="0"/>
        </w:rPr>
        <w:t>.</w:t>
      </w:r>
      <w:r>
        <w:rPr>
          <w:snapToGrid w:val="0"/>
        </w:rPr>
        <w:tab/>
        <w:t>Power to require information</w:t>
      </w:r>
      <w:bookmarkEnd w:id="60"/>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1" w:name="_Toc202517420"/>
      <w:r>
        <w:rPr>
          <w:rStyle w:val="CharSectno"/>
        </w:rPr>
        <w:t>47</w:t>
      </w:r>
      <w:r>
        <w:rPr>
          <w:snapToGrid w:val="0"/>
        </w:rPr>
        <w:t>.</w:t>
      </w:r>
      <w:r>
        <w:rPr>
          <w:snapToGrid w:val="0"/>
        </w:rPr>
        <w:tab/>
        <w:t>Other powers of inspectors</w:t>
      </w:r>
      <w:bookmarkEnd w:id="61"/>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lastRenderedPageBreak/>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lastRenderedPageBreak/>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62" w:name="_Toc202517421"/>
      <w:r>
        <w:rPr>
          <w:rStyle w:val="CharSectno"/>
        </w:rPr>
        <w:t>48</w:t>
      </w:r>
      <w:r>
        <w:t>.</w:t>
      </w:r>
      <w:r>
        <w:tab/>
        <w:t>Performance of an inspector’s functions</w:t>
      </w:r>
      <w:bookmarkEnd w:id="62"/>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lastRenderedPageBreak/>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63" w:name="_Toc202517422"/>
      <w:r>
        <w:rPr>
          <w:rStyle w:val="CharDivNo"/>
        </w:rPr>
        <w:t>Division 3</w:t>
      </w:r>
      <w:r>
        <w:rPr>
          <w:snapToGrid w:val="0"/>
        </w:rPr>
        <w:t> — </w:t>
      </w:r>
      <w:r>
        <w:rPr>
          <w:rStyle w:val="CharDivText"/>
        </w:rPr>
        <w:t>Additional powers of scientific inspectors</w:t>
      </w:r>
      <w:bookmarkEnd w:id="63"/>
    </w:p>
    <w:p>
      <w:pPr>
        <w:pStyle w:val="Heading5"/>
        <w:keepLines w:val="0"/>
        <w:rPr>
          <w:snapToGrid w:val="0"/>
        </w:rPr>
      </w:pPr>
      <w:bookmarkStart w:id="64" w:name="_Toc202517423"/>
      <w:r>
        <w:rPr>
          <w:rStyle w:val="CharSectno"/>
        </w:rPr>
        <w:t>49</w:t>
      </w:r>
      <w:r>
        <w:rPr>
          <w:snapToGrid w:val="0"/>
        </w:rPr>
        <w:t>.</w:t>
      </w:r>
      <w:r>
        <w:rPr>
          <w:snapToGrid w:val="0"/>
        </w:rPr>
        <w:tab/>
        <w:t>Direction to suspend use and referral to animal ethics committee</w:t>
      </w:r>
      <w:bookmarkEnd w:id="64"/>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5" w:name="_Toc202517424"/>
      <w:r>
        <w:rPr>
          <w:rStyle w:val="CharSectno"/>
        </w:rPr>
        <w:t>50</w:t>
      </w:r>
      <w:r>
        <w:rPr>
          <w:snapToGrid w:val="0"/>
        </w:rPr>
        <w:t>.</w:t>
      </w:r>
      <w:r>
        <w:rPr>
          <w:snapToGrid w:val="0"/>
        </w:rPr>
        <w:tab/>
        <w:t>Directions to licensees and their staff</w:t>
      </w:r>
      <w:bookmarkEnd w:id="65"/>
    </w:p>
    <w:p>
      <w:pPr>
        <w:pStyle w:val="Subsection"/>
        <w:rPr>
          <w:snapToGrid w:val="0"/>
        </w:rPr>
      </w:pPr>
      <w:r>
        <w:rPr>
          <w:snapToGrid w:val="0"/>
        </w:rPr>
        <w:tab/>
        <w:t>(1)</w:t>
      </w:r>
      <w:r>
        <w:rPr>
          <w:snapToGrid w:val="0"/>
        </w:rPr>
        <w:tab/>
        <w:t xml:space="preserve">A scientific inspector who suspects that a licensee has, or any of the staff or students of a licensee have, failed to comply with a condition to which a licence is subject may give any directions </w:t>
      </w:r>
      <w:r>
        <w:rPr>
          <w:snapToGrid w:val="0"/>
        </w:rPr>
        <w:lastRenderedPageBreak/>
        <w:t>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6" w:name="_Toc202517425"/>
      <w:r>
        <w:rPr>
          <w:rStyle w:val="CharSectno"/>
        </w:rPr>
        <w:lastRenderedPageBreak/>
        <w:t>51</w:t>
      </w:r>
      <w:r>
        <w:rPr>
          <w:snapToGrid w:val="0"/>
        </w:rPr>
        <w:t>.</w:t>
      </w:r>
      <w:r>
        <w:rPr>
          <w:snapToGrid w:val="0"/>
        </w:rPr>
        <w:tab/>
        <w:t>Power to require information</w:t>
      </w:r>
      <w:bookmarkEnd w:id="66"/>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67" w:name="_Toc202517426"/>
      <w:r>
        <w:rPr>
          <w:rStyle w:val="CharSectno"/>
        </w:rPr>
        <w:t>52</w:t>
      </w:r>
      <w:r>
        <w:rPr>
          <w:snapToGrid w:val="0"/>
        </w:rPr>
        <w:t>.</w:t>
      </w:r>
      <w:r>
        <w:rPr>
          <w:snapToGrid w:val="0"/>
        </w:rPr>
        <w:tab/>
        <w:t>Advice regarding licensing matters</w:t>
      </w:r>
      <w:bookmarkEnd w:id="67"/>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w:t>
      </w:r>
      <w:r>
        <w:lastRenderedPageBreak/>
        <w:t xml:space="preserve">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68" w:name="_Toc202517427"/>
      <w:r>
        <w:rPr>
          <w:rStyle w:val="CharSectno"/>
        </w:rPr>
        <w:t>53</w:t>
      </w:r>
      <w:r>
        <w:rPr>
          <w:snapToGrid w:val="0"/>
        </w:rPr>
        <w:t>.</w:t>
      </w:r>
      <w:r>
        <w:rPr>
          <w:snapToGrid w:val="0"/>
        </w:rPr>
        <w:tab/>
        <w:t>Attendance at meetings of animal ethics committees</w:t>
      </w:r>
      <w:bookmarkEnd w:id="68"/>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9" w:name="_Toc202517428"/>
      <w:r>
        <w:rPr>
          <w:rStyle w:val="CharPartNo"/>
        </w:rPr>
        <w:lastRenderedPageBreak/>
        <w:t>Part 5</w:t>
      </w:r>
      <w:r>
        <w:t xml:space="preserve"> — </w:t>
      </w:r>
      <w:r>
        <w:rPr>
          <w:rStyle w:val="CharPartText"/>
        </w:rPr>
        <w:t>Enforcement</w:t>
      </w:r>
      <w:bookmarkEnd w:id="69"/>
    </w:p>
    <w:p>
      <w:pPr>
        <w:pStyle w:val="Heading3"/>
      </w:pPr>
      <w:bookmarkStart w:id="70" w:name="_Toc202517429"/>
      <w:r>
        <w:rPr>
          <w:rStyle w:val="CharDivNo"/>
        </w:rPr>
        <w:t>Division 1</w:t>
      </w:r>
      <w:r>
        <w:t xml:space="preserve"> — </w:t>
      </w:r>
      <w:r>
        <w:rPr>
          <w:rStyle w:val="CharDivText"/>
        </w:rPr>
        <w:t>Additional court orders</w:t>
      </w:r>
      <w:bookmarkEnd w:id="70"/>
    </w:p>
    <w:p>
      <w:pPr>
        <w:pStyle w:val="Heading5"/>
        <w:keepLines w:val="0"/>
      </w:pPr>
      <w:bookmarkStart w:id="71" w:name="_Toc202517430"/>
      <w:r>
        <w:rPr>
          <w:rStyle w:val="CharSectno"/>
        </w:rPr>
        <w:t>54</w:t>
      </w:r>
      <w:r>
        <w:t>.</w:t>
      </w:r>
      <w:r>
        <w:tab/>
        <w:t>Court may order a post mortem</w:t>
      </w:r>
      <w:bookmarkEnd w:id="71"/>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72" w:name="_Toc202517431"/>
      <w:r>
        <w:rPr>
          <w:rStyle w:val="CharSectno"/>
        </w:rPr>
        <w:t>55</w:t>
      </w:r>
      <w:r>
        <w:rPr>
          <w:snapToGrid w:val="0"/>
        </w:rPr>
        <w:t>.</w:t>
      </w:r>
      <w:r>
        <w:rPr>
          <w:snapToGrid w:val="0"/>
        </w:rPr>
        <w:tab/>
        <w:t>Orders additional to penalty</w:t>
      </w:r>
      <w:bookmarkEnd w:id="72"/>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lastRenderedPageBreak/>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lastRenderedPageBreak/>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73" w:name="_Toc202517432"/>
      <w:r>
        <w:rPr>
          <w:rStyle w:val="CharSectno"/>
        </w:rPr>
        <w:t>56</w:t>
      </w:r>
      <w:r>
        <w:rPr>
          <w:snapToGrid w:val="0"/>
        </w:rPr>
        <w:t>.</w:t>
      </w:r>
      <w:r>
        <w:rPr>
          <w:snapToGrid w:val="0"/>
        </w:rPr>
        <w:tab/>
        <w:t>Order for reimbursement of costs</w:t>
      </w:r>
      <w:bookmarkEnd w:id="73"/>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lastRenderedPageBreak/>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74" w:name="_Toc202517433"/>
      <w:r>
        <w:rPr>
          <w:rStyle w:val="CharSectno"/>
        </w:rPr>
        <w:t>57</w:t>
      </w:r>
      <w:r>
        <w:rPr>
          <w:snapToGrid w:val="0"/>
        </w:rPr>
        <w:t>.</w:t>
      </w:r>
      <w:r>
        <w:rPr>
          <w:snapToGrid w:val="0"/>
        </w:rPr>
        <w:tab/>
        <w:t>Order for retention of seized property</w:t>
      </w:r>
      <w:bookmarkEnd w:id="74"/>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lastRenderedPageBreak/>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75" w:name="_Toc202517434"/>
      <w:r>
        <w:rPr>
          <w:rStyle w:val="CharSectno"/>
        </w:rPr>
        <w:lastRenderedPageBreak/>
        <w:t>58</w:t>
      </w:r>
      <w:r>
        <w:t>.</w:t>
      </w:r>
      <w:r>
        <w:tab/>
        <w:t>Costs</w:t>
      </w:r>
      <w:bookmarkEnd w:id="75"/>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6" w:name="_Toc202517435"/>
      <w:r>
        <w:rPr>
          <w:rStyle w:val="CharDivNo"/>
        </w:rPr>
        <w:t>Division 2</w:t>
      </w:r>
      <w:r>
        <w:rPr>
          <w:snapToGrid w:val="0"/>
        </w:rPr>
        <w:t> — </w:t>
      </w:r>
      <w:r>
        <w:rPr>
          <w:rStyle w:val="CharDivText"/>
        </w:rPr>
        <w:t>Warrants</w:t>
      </w:r>
      <w:bookmarkEnd w:id="76"/>
    </w:p>
    <w:p>
      <w:pPr>
        <w:pStyle w:val="Heading5"/>
        <w:keepLines w:val="0"/>
        <w:rPr>
          <w:snapToGrid w:val="0"/>
        </w:rPr>
      </w:pPr>
      <w:bookmarkStart w:id="77" w:name="_Toc202517436"/>
      <w:r>
        <w:rPr>
          <w:rStyle w:val="CharSectno"/>
        </w:rPr>
        <w:t>59</w:t>
      </w:r>
      <w:r>
        <w:rPr>
          <w:snapToGrid w:val="0"/>
        </w:rPr>
        <w:t>.</w:t>
      </w:r>
      <w:r>
        <w:rPr>
          <w:snapToGrid w:val="0"/>
        </w:rPr>
        <w:tab/>
        <w:t>Grounds for a search warrant</w:t>
      </w:r>
      <w:bookmarkEnd w:id="77"/>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78" w:name="_Toc202517437"/>
      <w:r>
        <w:rPr>
          <w:rStyle w:val="CharSectno"/>
        </w:rPr>
        <w:t>60</w:t>
      </w:r>
      <w:r>
        <w:rPr>
          <w:snapToGrid w:val="0"/>
        </w:rPr>
        <w:t>.</w:t>
      </w:r>
      <w:r>
        <w:rPr>
          <w:snapToGrid w:val="0"/>
        </w:rPr>
        <w:tab/>
        <w:t>Grounds for a warrant to seize animal</w:t>
      </w:r>
      <w:bookmarkEnd w:id="78"/>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79" w:name="_Toc202517438"/>
      <w:r>
        <w:rPr>
          <w:rStyle w:val="CharSectno"/>
        </w:rPr>
        <w:lastRenderedPageBreak/>
        <w:t>61</w:t>
      </w:r>
      <w:r>
        <w:rPr>
          <w:snapToGrid w:val="0"/>
        </w:rPr>
        <w:t>.</w:t>
      </w:r>
      <w:r>
        <w:rPr>
          <w:snapToGrid w:val="0"/>
        </w:rPr>
        <w:tab/>
        <w:t>Form of warrant</w:t>
      </w:r>
      <w:bookmarkEnd w:id="79"/>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80" w:name="_Toc202517439"/>
      <w:r>
        <w:rPr>
          <w:rStyle w:val="CharSectno"/>
        </w:rPr>
        <w:t>62</w:t>
      </w:r>
      <w:r>
        <w:rPr>
          <w:snapToGrid w:val="0"/>
        </w:rPr>
        <w:t>.</w:t>
      </w:r>
      <w:r>
        <w:rPr>
          <w:snapToGrid w:val="0"/>
        </w:rPr>
        <w:tab/>
        <w:t>Urgent warrants</w:t>
      </w:r>
      <w:bookmarkEnd w:id="80"/>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81" w:name="_Toc202517440"/>
      <w:r>
        <w:rPr>
          <w:rStyle w:val="CharDivNo"/>
        </w:rPr>
        <w:lastRenderedPageBreak/>
        <w:t>Division 3</w:t>
      </w:r>
      <w:r>
        <w:rPr>
          <w:snapToGrid w:val="0"/>
        </w:rPr>
        <w:t> — </w:t>
      </w:r>
      <w:r>
        <w:rPr>
          <w:rStyle w:val="CharDivText"/>
        </w:rPr>
        <w:t>Infringement notices</w:t>
      </w:r>
      <w:bookmarkEnd w:id="81"/>
    </w:p>
    <w:p>
      <w:pPr>
        <w:pStyle w:val="Heading5"/>
        <w:keepLines w:val="0"/>
        <w:rPr>
          <w:snapToGrid w:val="0"/>
        </w:rPr>
      </w:pPr>
      <w:bookmarkStart w:id="82" w:name="_Toc202517441"/>
      <w:r>
        <w:rPr>
          <w:rStyle w:val="CharSectno"/>
        </w:rPr>
        <w:t>63</w:t>
      </w:r>
      <w:r>
        <w:rPr>
          <w:snapToGrid w:val="0"/>
        </w:rPr>
        <w:t>.</w:t>
      </w:r>
      <w:r>
        <w:rPr>
          <w:snapToGrid w:val="0"/>
        </w:rPr>
        <w:tab/>
        <w:t>Term used: authorised person</w:t>
      </w:r>
      <w:bookmarkEnd w:id="82"/>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83" w:name="_Toc202517442"/>
      <w:r>
        <w:rPr>
          <w:rStyle w:val="CharSectno"/>
        </w:rPr>
        <w:t>64</w:t>
      </w:r>
      <w:r>
        <w:rPr>
          <w:snapToGrid w:val="0"/>
        </w:rPr>
        <w:t>.</w:t>
      </w:r>
      <w:r>
        <w:rPr>
          <w:snapToGrid w:val="0"/>
        </w:rPr>
        <w:tab/>
        <w:t>Appointment of authorised persons</w:t>
      </w:r>
      <w:bookmarkEnd w:id="83"/>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84" w:name="_Toc202517443"/>
      <w:r>
        <w:rPr>
          <w:rStyle w:val="CharSectno"/>
        </w:rPr>
        <w:t>65</w:t>
      </w:r>
      <w:r>
        <w:rPr>
          <w:snapToGrid w:val="0"/>
        </w:rPr>
        <w:t>.</w:t>
      </w:r>
      <w:r>
        <w:rPr>
          <w:snapToGrid w:val="0"/>
        </w:rPr>
        <w:tab/>
        <w:t>Giving infringement notices</w:t>
      </w:r>
      <w:bookmarkEnd w:id="84"/>
    </w:p>
    <w:p>
      <w:pPr>
        <w:pStyle w:val="Subsection"/>
        <w:rPr>
          <w:snapToGrid w:val="0"/>
        </w:rPr>
      </w:pPr>
      <w:r>
        <w:rPr>
          <w:snapToGrid w:val="0"/>
        </w:rPr>
        <w:tab/>
        <w:t>(1)</w:t>
      </w:r>
      <w:r>
        <w:rPr>
          <w:snapToGrid w:val="0"/>
        </w:rPr>
        <w:tab/>
        <w:t xml:space="preserve">An inspector who reasonably suspects that a person has committed a prescribed offence may give an infringement notice </w:t>
      </w:r>
      <w:r>
        <w:rPr>
          <w:snapToGrid w:val="0"/>
        </w:rPr>
        <w:lastRenderedPageBreak/>
        <w:t>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5" w:name="_Toc202517444"/>
      <w:r>
        <w:rPr>
          <w:rStyle w:val="CharSectno"/>
        </w:rPr>
        <w:t>66</w:t>
      </w:r>
      <w:r>
        <w:rPr>
          <w:snapToGrid w:val="0"/>
        </w:rPr>
        <w:t>.</w:t>
      </w:r>
      <w:r>
        <w:rPr>
          <w:snapToGrid w:val="0"/>
        </w:rPr>
        <w:tab/>
        <w:t>Content of infringement notice</w:t>
      </w:r>
      <w:bookmarkEnd w:id="85"/>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6" w:name="_Toc202517445"/>
      <w:r>
        <w:rPr>
          <w:rStyle w:val="CharSectno"/>
        </w:rPr>
        <w:t>67</w:t>
      </w:r>
      <w:r>
        <w:rPr>
          <w:snapToGrid w:val="0"/>
        </w:rPr>
        <w:t>.</w:t>
      </w:r>
      <w:r>
        <w:rPr>
          <w:snapToGrid w:val="0"/>
        </w:rPr>
        <w:tab/>
        <w:t>Extension of time to pay</w:t>
      </w:r>
      <w:bookmarkEnd w:id="86"/>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7" w:name="_Toc202517446"/>
      <w:r>
        <w:rPr>
          <w:rStyle w:val="CharSectno"/>
        </w:rPr>
        <w:t>68</w:t>
      </w:r>
      <w:r>
        <w:rPr>
          <w:snapToGrid w:val="0"/>
        </w:rPr>
        <w:t>.</w:t>
      </w:r>
      <w:r>
        <w:rPr>
          <w:snapToGrid w:val="0"/>
        </w:rPr>
        <w:tab/>
        <w:t>Withdrawal of infringement notice</w:t>
      </w:r>
      <w:bookmarkEnd w:id="87"/>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88" w:name="_Toc202517447"/>
      <w:r>
        <w:rPr>
          <w:rStyle w:val="CharSectno"/>
        </w:rPr>
        <w:lastRenderedPageBreak/>
        <w:t>69</w:t>
      </w:r>
      <w:r>
        <w:rPr>
          <w:snapToGrid w:val="0"/>
        </w:rPr>
        <w:t>.</w:t>
      </w:r>
      <w:r>
        <w:rPr>
          <w:snapToGrid w:val="0"/>
        </w:rPr>
        <w:tab/>
        <w:t>Benefit of paying modified penalty</w:t>
      </w:r>
      <w:bookmarkEnd w:id="88"/>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9" w:name="_Toc202517448"/>
      <w:r>
        <w:rPr>
          <w:rStyle w:val="CharSectno"/>
        </w:rPr>
        <w:t>70</w:t>
      </w:r>
      <w:r>
        <w:rPr>
          <w:snapToGrid w:val="0"/>
        </w:rPr>
        <w:t>.</w:t>
      </w:r>
      <w:r>
        <w:rPr>
          <w:snapToGrid w:val="0"/>
        </w:rPr>
        <w:tab/>
        <w:t>Application of modified penalties paid</w:t>
      </w:r>
      <w:bookmarkEnd w:id="89"/>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90" w:name="_Toc202517449"/>
      <w:r>
        <w:rPr>
          <w:rStyle w:val="CharDivNo"/>
        </w:rPr>
        <w:t>Division 4</w:t>
      </w:r>
      <w:r>
        <w:rPr>
          <w:snapToGrid w:val="0"/>
        </w:rPr>
        <w:t> — </w:t>
      </w:r>
      <w:r>
        <w:rPr>
          <w:rStyle w:val="CharDivText"/>
        </w:rPr>
        <w:t>Review of decisions</w:t>
      </w:r>
      <w:bookmarkEnd w:id="90"/>
    </w:p>
    <w:p>
      <w:pPr>
        <w:pStyle w:val="Footnoteheading"/>
        <w:keepNext/>
        <w:tabs>
          <w:tab w:val="left" w:pos="851"/>
        </w:tabs>
      </w:pPr>
      <w:r>
        <w:tab/>
        <w:t>[Heading amended: No. 55 of 2004 s. 27.]</w:t>
      </w:r>
    </w:p>
    <w:p>
      <w:pPr>
        <w:pStyle w:val="Heading5"/>
        <w:keepLines w:val="0"/>
        <w:rPr>
          <w:snapToGrid w:val="0"/>
        </w:rPr>
      </w:pPr>
      <w:bookmarkStart w:id="91" w:name="_Toc202517450"/>
      <w:r>
        <w:rPr>
          <w:rStyle w:val="CharSectno"/>
        </w:rPr>
        <w:t>71</w:t>
      </w:r>
      <w:r>
        <w:rPr>
          <w:snapToGrid w:val="0"/>
        </w:rPr>
        <w:t>.</w:t>
      </w:r>
      <w:r>
        <w:rPr>
          <w:snapToGrid w:val="0"/>
        </w:rPr>
        <w:tab/>
        <w:t>Term used: reviewable decision</w:t>
      </w:r>
      <w:bookmarkEnd w:id="91"/>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lastRenderedPageBreak/>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92" w:name="_Toc202517451"/>
      <w:r>
        <w:rPr>
          <w:rStyle w:val="CharSectno"/>
        </w:rPr>
        <w:t>72</w:t>
      </w:r>
      <w:r>
        <w:rPr>
          <w:snapToGrid w:val="0"/>
        </w:rPr>
        <w:t>.</w:t>
      </w:r>
      <w:r>
        <w:rPr>
          <w:snapToGrid w:val="0"/>
        </w:rPr>
        <w:tab/>
        <w:t>Aggrieved person may make an objection</w:t>
      </w:r>
      <w:bookmarkEnd w:id="92"/>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lastRenderedPageBreak/>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93" w:name="_Toc202517452"/>
      <w:r>
        <w:rPr>
          <w:rStyle w:val="CharSectno"/>
        </w:rPr>
        <w:t>73</w:t>
      </w:r>
      <w:r>
        <w:rPr>
          <w:snapToGrid w:val="0"/>
        </w:rPr>
        <w:t>.</w:t>
      </w:r>
      <w:r>
        <w:rPr>
          <w:snapToGrid w:val="0"/>
        </w:rPr>
        <w:tab/>
        <w:t>Dealing with an objection</w:t>
      </w:r>
      <w:bookmarkEnd w:id="93"/>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94" w:name="_Toc202517453"/>
      <w:r>
        <w:rPr>
          <w:rStyle w:val="CharSectno"/>
        </w:rPr>
        <w:t>74</w:t>
      </w:r>
      <w:r>
        <w:rPr>
          <w:snapToGrid w:val="0"/>
        </w:rPr>
        <w:t>.</w:t>
      </w:r>
      <w:r>
        <w:rPr>
          <w:snapToGrid w:val="0"/>
        </w:rPr>
        <w:tab/>
        <w:t>Aggrieved person may apply for a review</w:t>
      </w:r>
      <w:bookmarkEnd w:id="94"/>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lastRenderedPageBreak/>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95" w:name="_Toc202517454"/>
      <w:r>
        <w:rPr>
          <w:rStyle w:val="CharDivNo"/>
        </w:rPr>
        <w:t>Division 5</w:t>
      </w:r>
      <w:r>
        <w:rPr>
          <w:snapToGrid w:val="0"/>
        </w:rPr>
        <w:t xml:space="preserve"> — </w:t>
      </w:r>
      <w:r>
        <w:rPr>
          <w:rStyle w:val="CharDivText"/>
        </w:rPr>
        <w:t>Offences</w:t>
      </w:r>
      <w:bookmarkEnd w:id="95"/>
    </w:p>
    <w:p>
      <w:pPr>
        <w:pStyle w:val="Heading5"/>
        <w:keepLines w:val="0"/>
        <w:rPr>
          <w:snapToGrid w:val="0"/>
        </w:rPr>
      </w:pPr>
      <w:bookmarkStart w:id="96" w:name="_Toc202517455"/>
      <w:r>
        <w:rPr>
          <w:rStyle w:val="CharSectno"/>
        </w:rPr>
        <w:t>76</w:t>
      </w:r>
      <w:r>
        <w:rPr>
          <w:snapToGrid w:val="0"/>
        </w:rPr>
        <w:t>.</w:t>
      </w:r>
      <w:r>
        <w:rPr>
          <w:snapToGrid w:val="0"/>
        </w:rPr>
        <w:tab/>
        <w:t>Misleading information</w:t>
      </w:r>
      <w:bookmarkEnd w:id="96"/>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97" w:name="_Toc202517456"/>
      <w:r>
        <w:rPr>
          <w:rStyle w:val="CharSectno"/>
        </w:rPr>
        <w:lastRenderedPageBreak/>
        <w:t>77</w:t>
      </w:r>
      <w:r>
        <w:rPr>
          <w:snapToGrid w:val="0"/>
        </w:rPr>
        <w:t>.</w:t>
      </w:r>
      <w:r>
        <w:rPr>
          <w:snapToGrid w:val="0"/>
        </w:rPr>
        <w:tab/>
        <w:t>Obstruction of inspectors</w:t>
      </w:r>
      <w:bookmarkEnd w:id="97"/>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8" w:name="_Toc202517457"/>
      <w:r>
        <w:rPr>
          <w:rStyle w:val="CharSectno"/>
        </w:rPr>
        <w:t>78</w:t>
      </w:r>
      <w:r>
        <w:rPr>
          <w:snapToGrid w:val="0"/>
        </w:rPr>
        <w:t>.</w:t>
      </w:r>
      <w:r>
        <w:rPr>
          <w:snapToGrid w:val="0"/>
        </w:rPr>
        <w:tab/>
        <w:t>Pretending to be an inspector</w:t>
      </w:r>
      <w:bookmarkEnd w:id="98"/>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9" w:name="_Toc202517458"/>
      <w:r>
        <w:rPr>
          <w:rStyle w:val="CharSectno"/>
        </w:rPr>
        <w:t>79</w:t>
      </w:r>
      <w:r>
        <w:rPr>
          <w:snapToGrid w:val="0"/>
        </w:rPr>
        <w:t>.</w:t>
      </w:r>
      <w:r>
        <w:rPr>
          <w:snapToGrid w:val="0"/>
        </w:rPr>
        <w:tab/>
        <w:t>Continuing offences</w:t>
      </w:r>
      <w:bookmarkEnd w:id="99"/>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pPr>
      <w:bookmarkStart w:id="100" w:name="_Toc202517459"/>
      <w:r>
        <w:rPr>
          <w:rStyle w:val="CharSectno"/>
        </w:rPr>
        <w:t>80</w:t>
      </w:r>
      <w:r>
        <w:t>.</w:t>
      </w:r>
      <w:r>
        <w:tab/>
        <w:t>Liability of officers for offence by body corporate</w:t>
      </w:r>
      <w:bookmarkEnd w:id="10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6(1) and (2)</w:t>
            </w:r>
          </w:p>
        </w:tc>
        <w:tc>
          <w:tcPr>
            <w:tcW w:w="2410" w:type="dxa"/>
            <w:noWrap/>
          </w:tcPr>
          <w:p>
            <w:pPr>
              <w:pStyle w:val="TableNAm"/>
              <w:keepNext/>
            </w:pPr>
            <w:r>
              <w:t>s. 7(1)</w:t>
            </w:r>
          </w:p>
        </w:tc>
      </w:tr>
      <w:tr>
        <w:tc>
          <w:tcPr>
            <w:tcW w:w="2409" w:type="dxa"/>
            <w:noWrap/>
          </w:tcPr>
          <w:p>
            <w:pPr>
              <w:pStyle w:val="TableNAm"/>
              <w:keepNext/>
            </w:pPr>
            <w:r>
              <w:t>s. 13</w:t>
            </w:r>
          </w:p>
        </w:tc>
        <w:tc>
          <w:tcPr>
            <w:tcW w:w="2410" w:type="dxa"/>
            <w:noWrap/>
          </w:tcPr>
          <w:p>
            <w:pPr>
              <w:pStyle w:val="TableNAm"/>
              <w:keepNext/>
            </w:pPr>
            <w:r>
              <w:t>s. 19(1)</w:t>
            </w:r>
          </w:p>
        </w:tc>
      </w:tr>
      <w:tr>
        <w:tc>
          <w:tcPr>
            <w:tcW w:w="2409" w:type="dxa"/>
            <w:noWrap/>
          </w:tcPr>
          <w:p>
            <w:pPr>
              <w:pStyle w:val="TableNAm"/>
            </w:pPr>
            <w:r>
              <w:t>s. 31(1)</w:t>
            </w:r>
          </w:p>
        </w:tc>
        <w:tc>
          <w:tcPr>
            <w:tcW w:w="2410" w:type="dxa"/>
            <w:noWrap/>
          </w:tcPr>
          <w:p>
            <w:pPr>
              <w:pStyle w:val="TableNAm"/>
            </w:pPr>
            <w:r>
              <w:t>s. 32(1)</w:t>
            </w:r>
          </w:p>
        </w:tc>
      </w:tr>
      <w:tr>
        <w:tc>
          <w:tcPr>
            <w:tcW w:w="2409" w:type="dxa"/>
            <w:noWrap/>
          </w:tcPr>
          <w:p>
            <w:pPr>
              <w:pStyle w:val="TableNAm"/>
            </w:pPr>
            <w:r>
              <w:t>s. 50(7)</w:t>
            </w:r>
          </w:p>
        </w:tc>
        <w:tc>
          <w:tcPr>
            <w:tcW w:w="2410" w:type="dxa"/>
            <w:noWrap/>
          </w:tcPr>
          <w:p>
            <w:pPr>
              <w:pStyle w:val="TableNAm"/>
            </w:pPr>
          </w:p>
        </w:tc>
      </w:tr>
    </w:tbl>
    <w:p>
      <w:pPr>
        <w:pStyle w:val="Footnotesection"/>
      </w:pPr>
      <w:r>
        <w:tab/>
        <w:t>[Section 80 inserted: No. 9 of 2023 s. 13.]</w:t>
      </w:r>
    </w:p>
    <w:p>
      <w:pPr>
        <w:pStyle w:val="Heading5"/>
        <w:keepLines w:val="0"/>
        <w:rPr>
          <w:snapToGrid w:val="0"/>
        </w:rPr>
      </w:pPr>
      <w:bookmarkStart w:id="101" w:name="_Toc202517460"/>
      <w:r>
        <w:rPr>
          <w:rStyle w:val="CharSectno"/>
        </w:rPr>
        <w:t>81</w:t>
      </w:r>
      <w:r>
        <w:rPr>
          <w:snapToGrid w:val="0"/>
        </w:rPr>
        <w:t>.</w:t>
      </w:r>
      <w:r>
        <w:rPr>
          <w:snapToGrid w:val="0"/>
        </w:rPr>
        <w:tab/>
        <w:t>Partnerships</w:t>
      </w:r>
      <w:bookmarkEnd w:id="101"/>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102" w:name="_Toc202517461"/>
      <w:r>
        <w:rPr>
          <w:rStyle w:val="CharDivNo"/>
        </w:rPr>
        <w:lastRenderedPageBreak/>
        <w:t>Division 6</w:t>
      </w:r>
      <w:r>
        <w:rPr>
          <w:snapToGrid w:val="0"/>
        </w:rPr>
        <w:t> — </w:t>
      </w:r>
      <w:r>
        <w:rPr>
          <w:rStyle w:val="CharDivText"/>
        </w:rPr>
        <w:t>General</w:t>
      </w:r>
      <w:bookmarkEnd w:id="102"/>
    </w:p>
    <w:p>
      <w:pPr>
        <w:pStyle w:val="Heading5"/>
        <w:keepLines w:val="0"/>
        <w:rPr>
          <w:snapToGrid w:val="0"/>
        </w:rPr>
      </w:pPr>
      <w:bookmarkStart w:id="103" w:name="_Toc202517462"/>
      <w:r>
        <w:rPr>
          <w:rStyle w:val="CharSectno"/>
        </w:rPr>
        <w:t>82</w:t>
      </w:r>
      <w:r>
        <w:rPr>
          <w:snapToGrid w:val="0"/>
        </w:rPr>
        <w:t>.</w:t>
      </w:r>
      <w:r>
        <w:rPr>
          <w:snapToGrid w:val="0"/>
        </w:rPr>
        <w:tab/>
        <w:t>Commencement of proceedings for offences</w:t>
      </w:r>
      <w:bookmarkEnd w:id="103"/>
    </w:p>
    <w:p>
      <w:pPr>
        <w:pStyle w:val="Subsection"/>
        <w:keepNext/>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104" w:name="_Toc202517463"/>
      <w:r>
        <w:rPr>
          <w:rStyle w:val="CharSectno"/>
        </w:rPr>
        <w:t>83</w:t>
      </w:r>
      <w:r>
        <w:rPr>
          <w:snapToGrid w:val="0"/>
        </w:rPr>
        <w:t>.</w:t>
      </w:r>
      <w:r>
        <w:rPr>
          <w:snapToGrid w:val="0"/>
        </w:rPr>
        <w:tab/>
        <w:t>Evidentiary provisions</w:t>
      </w:r>
      <w:bookmarkEnd w:id="104"/>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lastRenderedPageBreak/>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105" w:name="_Toc202517464"/>
      <w:r>
        <w:rPr>
          <w:rStyle w:val="CharSectno"/>
        </w:rPr>
        <w:t>84</w:t>
      </w:r>
      <w:r>
        <w:rPr>
          <w:snapToGrid w:val="0"/>
        </w:rPr>
        <w:t>.</w:t>
      </w:r>
      <w:r>
        <w:rPr>
          <w:snapToGrid w:val="0"/>
        </w:rPr>
        <w:tab/>
        <w:t>Breach of code of practice not sufficient to prove cruelty</w:t>
      </w:r>
      <w:bookmarkEnd w:id="105"/>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lastRenderedPageBreak/>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106" w:name="_Toc202517465"/>
      <w:r>
        <w:rPr>
          <w:rStyle w:val="CharSectno"/>
        </w:rPr>
        <w:t>85</w:t>
      </w:r>
      <w:r>
        <w:rPr>
          <w:snapToGrid w:val="0"/>
        </w:rPr>
        <w:t>.</w:t>
      </w:r>
      <w:r>
        <w:rPr>
          <w:snapToGrid w:val="0"/>
        </w:rPr>
        <w:tab/>
        <w:t>Death of animal not sufficient to prove cruelty</w:t>
      </w:r>
      <w:bookmarkEnd w:id="10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spacing w:before="240"/>
        <w:rPr>
          <w:snapToGrid w:val="0"/>
        </w:rPr>
      </w:pPr>
      <w:bookmarkStart w:id="107" w:name="_Toc202517466"/>
      <w:r>
        <w:rPr>
          <w:rStyle w:val="CharSectno"/>
        </w:rPr>
        <w:t>86</w:t>
      </w:r>
      <w:r>
        <w:rPr>
          <w:snapToGrid w:val="0"/>
        </w:rPr>
        <w:t>.</w:t>
      </w:r>
      <w:r>
        <w:rPr>
          <w:snapToGrid w:val="0"/>
        </w:rPr>
        <w:tab/>
        <w:t>Application of fines</w:t>
      </w:r>
      <w:bookmarkEnd w:id="107"/>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108" w:name="_Toc202517467"/>
      <w:r>
        <w:rPr>
          <w:rStyle w:val="CharSectno"/>
        </w:rPr>
        <w:t>87</w:t>
      </w:r>
      <w:r>
        <w:t>.</w:t>
      </w:r>
      <w:r>
        <w:tab/>
        <w:t>Disposal of forfeited property</w:t>
      </w:r>
      <w:bookmarkEnd w:id="108"/>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lastRenderedPageBreak/>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109" w:name="_Toc202517468"/>
      <w:r>
        <w:rPr>
          <w:rStyle w:val="CharSectno"/>
        </w:rPr>
        <w:t>88</w:t>
      </w:r>
      <w:r>
        <w:rPr>
          <w:snapToGrid w:val="0"/>
        </w:rPr>
        <w:t>.</w:t>
      </w:r>
      <w:r>
        <w:rPr>
          <w:snapToGrid w:val="0"/>
        </w:rPr>
        <w:tab/>
        <w:t>Penalties for body corporate</w:t>
      </w:r>
      <w:bookmarkEnd w:id="109"/>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10" w:name="_Toc202517469"/>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110"/>
    </w:p>
    <w:p>
      <w:pPr>
        <w:pStyle w:val="Heading5"/>
        <w:keepLines w:val="0"/>
      </w:pPr>
      <w:bookmarkStart w:id="111" w:name="_Toc202517470"/>
      <w:r>
        <w:rPr>
          <w:rStyle w:val="CharSectno"/>
        </w:rPr>
        <w:t>89</w:t>
      </w:r>
      <w:r>
        <w:t>.</w:t>
      </w:r>
      <w:r>
        <w:tab/>
        <w:t xml:space="preserve">General power of </w:t>
      </w:r>
      <w:r>
        <w:rPr>
          <w:snapToGrid w:val="0"/>
        </w:rPr>
        <w:t>CEO</w:t>
      </w:r>
      <w:bookmarkEnd w:id="111"/>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112" w:name="_Toc202517471"/>
      <w:r>
        <w:rPr>
          <w:rStyle w:val="CharSectno"/>
        </w:rPr>
        <w:t>90</w:t>
      </w:r>
      <w:r>
        <w:rPr>
          <w:snapToGrid w:val="0"/>
        </w:rPr>
        <w:t>.</w:t>
      </w:r>
      <w:r>
        <w:rPr>
          <w:snapToGrid w:val="0"/>
        </w:rPr>
        <w:tab/>
        <w:t>Delegation</w:t>
      </w:r>
      <w:bookmarkEnd w:id="112"/>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113" w:name="_Toc202517472"/>
      <w:r>
        <w:rPr>
          <w:rStyle w:val="CharSectno"/>
        </w:rPr>
        <w:t>91</w:t>
      </w:r>
      <w:r>
        <w:rPr>
          <w:snapToGrid w:val="0"/>
        </w:rPr>
        <w:t>.</w:t>
      </w:r>
      <w:r>
        <w:rPr>
          <w:snapToGrid w:val="0"/>
        </w:rPr>
        <w:tab/>
        <w:t>Improper use of information</w:t>
      </w:r>
      <w:bookmarkEnd w:id="113"/>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14" w:name="_Toc202517473"/>
      <w:r>
        <w:rPr>
          <w:rStyle w:val="CharSectno"/>
        </w:rPr>
        <w:lastRenderedPageBreak/>
        <w:t>92</w:t>
      </w:r>
      <w:r>
        <w:rPr>
          <w:snapToGrid w:val="0"/>
        </w:rPr>
        <w:t>.</w:t>
      </w:r>
      <w:r>
        <w:rPr>
          <w:snapToGrid w:val="0"/>
        </w:rPr>
        <w:tab/>
        <w:t>Protection from liability</w:t>
      </w:r>
      <w:bookmarkEnd w:id="114"/>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15" w:name="_Toc202517474"/>
      <w:r>
        <w:rPr>
          <w:rStyle w:val="CharSectno"/>
        </w:rPr>
        <w:t>93</w:t>
      </w:r>
      <w:r>
        <w:rPr>
          <w:snapToGrid w:val="0"/>
        </w:rPr>
        <w:t>.</w:t>
      </w:r>
      <w:r>
        <w:rPr>
          <w:snapToGrid w:val="0"/>
        </w:rPr>
        <w:tab/>
        <w:t>Owner may claim compensation for injury or death</w:t>
      </w:r>
      <w:bookmarkEnd w:id="115"/>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lastRenderedPageBreak/>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116" w:name="_Toc202517475"/>
      <w:r>
        <w:rPr>
          <w:rStyle w:val="CharSectno"/>
        </w:rPr>
        <w:t>94</w:t>
      </w:r>
      <w:r>
        <w:rPr>
          <w:snapToGrid w:val="0"/>
        </w:rPr>
        <w:t>.</w:t>
      </w:r>
      <w:r>
        <w:rPr>
          <w:snapToGrid w:val="0"/>
        </w:rPr>
        <w:tab/>
        <w:t>Regulations — general power</w:t>
      </w:r>
      <w:bookmarkEnd w:id="116"/>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lastRenderedPageBreak/>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17" w:name="_Toc202517476"/>
      <w:r>
        <w:lastRenderedPageBreak/>
        <w:t>Notes</w:t>
      </w:r>
      <w:bookmarkEnd w:id="117"/>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 </w:t>
      </w:r>
    </w:p>
    <w:p>
      <w:pPr>
        <w:pStyle w:val="nHeading3"/>
      </w:pPr>
      <w:bookmarkStart w:id="118" w:name="_Toc202517477"/>
      <w:r>
        <w:t>Compilation table</w:t>
      </w:r>
      <w:bookmarkEnd w:id="118"/>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94"/>
        <w:gridCol w:w="1134"/>
        <w:gridCol w:w="2552"/>
      </w:tblGrid>
      <w:tr>
        <w:trPr>
          <w:cantSplit/>
          <w:tblHeader/>
        </w:trPr>
        <w:tc>
          <w:tcPr>
            <w:tcW w:w="2268" w:type="dxa"/>
            <w:gridSpan w:val="2"/>
          </w:tcPr>
          <w:p>
            <w:pPr>
              <w:pStyle w:val="nTable"/>
              <w:spacing w:after="40"/>
              <w:rPr>
                <w:b/>
              </w:rPr>
            </w:pPr>
            <w:r>
              <w:rPr>
                <w:b/>
              </w:rPr>
              <w:t>Short title</w:t>
            </w:r>
          </w:p>
        </w:tc>
        <w:tc>
          <w:tcPr>
            <w:tcW w:w="1106"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Borders>
              <w:top w:val="single" w:sz="8" w:space="0" w:color="auto"/>
            </w:tcBorders>
          </w:tcPr>
          <w:p>
            <w:pPr>
              <w:pStyle w:val="nTable"/>
              <w:spacing w:after="40"/>
            </w:pPr>
            <w:r>
              <w:rPr>
                <w:i/>
                <w:snapToGrid w:val="0"/>
              </w:rPr>
              <w:t>Animal Welfare Act 2002</w:t>
            </w:r>
          </w:p>
        </w:tc>
        <w:tc>
          <w:tcPr>
            <w:tcW w:w="1106" w:type="dxa"/>
            <w:gridSpan w:val="2"/>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06" w:type="dxa"/>
            <w:gridSpan w:val="2"/>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06" w:type="dxa"/>
            <w:gridSpan w:val="2"/>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06" w:type="dxa"/>
            <w:gridSpan w:val="2"/>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06"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60" w:type="dxa"/>
            <w:gridSpan w:val="6"/>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94" w:type="dxa"/>
            <w:tcBorders>
              <w:top w:val="nil"/>
              <w:bottom w:val="nil"/>
            </w:tcBorders>
          </w:tcPr>
          <w:p>
            <w:pPr>
              <w:pStyle w:val="nTable"/>
              <w:keepLines/>
              <w:spacing w:after="40"/>
              <w:rPr>
                <w:snapToGrid w:val="0"/>
              </w:rPr>
            </w:pPr>
            <w:r>
              <w:rPr>
                <w:snapToGrid w:val="0"/>
              </w:rPr>
              <w:t>77 of 2006</w:t>
            </w:r>
          </w:p>
        </w:tc>
        <w:tc>
          <w:tcPr>
            <w:tcW w:w="1134" w:type="dxa"/>
            <w:tcBorders>
              <w:top w:val="nil"/>
              <w:bottom w:val="nil"/>
            </w:tcBorders>
          </w:tcPr>
          <w:p>
            <w:pPr>
              <w:pStyle w:val="nTable"/>
              <w:keepLines/>
              <w:spacing w:after="40"/>
              <w:rPr>
                <w:snapToGrid w:val="0"/>
              </w:rPr>
            </w:pPr>
            <w:r>
              <w:rPr>
                <w:snapToGrid w:val="0"/>
              </w:rPr>
              <w:t>21 Dec 2006</w:t>
            </w:r>
          </w:p>
        </w:tc>
        <w:tc>
          <w:tcPr>
            <w:tcW w:w="2552" w:type="dxa"/>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Cs/>
                <w:snapToGrid w:val="0"/>
              </w:rPr>
            </w:pPr>
            <w:r>
              <w:rPr>
                <w:i/>
                <w:snapToGrid w:val="0"/>
              </w:rPr>
              <w:lastRenderedPageBreak/>
              <w:t>Biosecurity and Agriculture Management (Repeal and Consequential Provisions) Act 2007</w:t>
            </w:r>
            <w:r>
              <w:rPr>
                <w:iCs/>
                <w:snapToGrid w:val="0"/>
              </w:rPr>
              <w:t xml:space="preserve"> s. 9 and 84</w:t>
            </w:r>
          </w:p>
        </w:tc>
        <w:tc>
          <w:tcPr>
            <w:tcW w:w="1094"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52" w:type="dxa"/>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94" w:type="dxa"/>
            <w:tcBorders>
              <w:top w:val="nil"/>
              <w:bottom w:val="nil"/>
            </w:tcBorders>
          </w:tcPr>
          <w:p>
            <w:pPr>
              <w:pStyle w:val="nTable"/>
              <w:keepLines/>
              <w:spacing w:after="40"/>
              <w:rPr>
                <w:snapToGrid w:val="0"/>
              </w:rPr>
            </w:pPr>
            <w:r>
              <w:t>24 of 2016</w:t>
            </w:r>
          </w:p>
        </w:tc>
        <w:tc>
          <w:tcPr>
            <w:tcW w:w="1134" w:type="dxa"/>
            <w:tcBorders>
              <w:top w:val="nil"/>
              <w:bottom w:val="nil"/>
            </w:tcBorders>
          </w:tcPr>
          <w:p>
            <w:pPr>
              <w:pStyle w:val="nTable"/>
              <w:keepLines/>
              <w:spacing w:after="40"/>
              <w:rPr>
                <w:snapToGrid w:val="0"/>
              </w:rPr>
            </w:pPr>
            <w:r>
              <w:t>21 Sep 2016</w:t>
            </w:r>
          </w:p>
        </w:tc>
        <w:tc>
          <w:tcPr>
            <w:tcW w:w="2552" w:type="dxa"/>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rPr>
              <w:t>Animal Welfare Amendment Act 2018</w:t>
            </w:r>
          </w:p>
        </w:tc>
        <w:tc>
          <w:tcPr>
            <w:tcW w:w="1094" w:type="dxa"/>
            <w:tcBorders>
              <w:top w:val="nil"/>
              <w:bottom w:val="nil"/>
            </w:tcBorders>
          </w:tcPr>
          <w:p>
            <w:pPr>
              <w:pStyle w:val="nTable"/>
              <w:spacing w:after="40"/>
              <w:rPr>
                <w:snapToGrid w:val="0"/>
              </w:rPr>
            </w:pPr>
            <w:r>
              <w:rPr>
                <w:snapToGrid w:val="0"/>
              </w:rPr>
              <w:t>35 of 2018</w:t>
            </w:r>
          </w:p>
        </w:tc>
        <w:tc>
          <w:tcPr>
            <w:tcW w:w="1134" w:type="dxa"/>
            <w:tcBorders>
              <w:top w:val="nil"/>
              <w:bottom w:val="nil"/>
            </w:tcBorders>
          </w:tcPr>
          <w:p>
            <w:pPr>
              <w:pStyle w:val="nTable"/>
              <w:spacing w:after="40"/>
              <w:rPr>
                <w:snapToGrid w:val="0"/>
              </w:rPr>
            </w:pPr>
            <w:r>
              <w:rPr>
                <w:snapToGrid w:val="0"/>
              </w:rPr>
              <w:t>28 Nov 2018</w:t>
            </w:r>
          </w:p>
        </w:tc>
        <w:tc>
          <w:tcPr>
            <w:tcW w:w="2552" w:type="dxa"/>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rPr>
          <w:cantSplit/>
        </w:trPr>
        <w:tc>
          <w:tcPr>
            <w:tcW w:w="7060" w:type="dxa"/>
            <w:gridSpan w:val="6"/>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rPr>
          <w:cantSplit/>
        </w:trPr>
        <w:tc>
          <w:tcPr>
            <w:tcW w:w="2240" w:type="dxa"/>
            <w:tcBorders>
              <w:top w:val="nil"/>
              <w:bottom w:val="nil"/>
            </w:tcBorders>
          </w:tcPr>
          <w:p>
            <w:pPr>
              <w:pStyle w:val="nTable"/>
              <w:spacing w:after="40"/>
              <w:rPr>
                <w:iCs/>
                <w:snapToGrid w:val="0"/>
              </w:rPr>
            </w:pPr>
            <w:r>
              <w:rPr>
                <w:i/>
              </w:rPr>
              <w:t>Veterinary Practice Act 2021</w:t>
            </w:r>
            <w:r>
              <w:t xml:space="preserve"> s. 226</w:t>
            </w:r>
          </w:p>
        </w:tc>
        <w:tc>
          <w:tcPr>
            <w:tcW w:w="1134" w:type="dxa"/>
            <w:gridSpan w:val="3"/>
            <w:tcBorders>
              <w:top w:val="nil"/>
              <w:bottom w:val="nil"/>
            </w:tcBorders>
          </w:tcPr>
          <w:p>
            <w:pPr>
              <w:pStyle w:val="nTable"/>
              <w:spacing w:after="40"/>
              <w:rPr>
                <w:iCs/>
                <w:snapToGrid w:val="0"/>
              </w:rPr>
            </w:pPr>
            <w:r>
              <w:t>19 of 2021</w:t>
            </w:r>
          </w:p>
        </w:tc>
        <w:tc>
          <w:tcPr>
            <w:tcW w:w="1134" w:type="dxa"/>
            <w:tcBorders>
              <w:top w:val="nil"/>
              <w:bottom w:val="nil"/>
            </w:tcBorders>
          </w:tcPr>
          <w:p>
            <w:pPr>
              <w:pStyle w:val="nTable"/>
              <w:spacing w:after="40"/>
              <w:rPr>
                <w:iCs/>
                <w:snapToGrid w:val="0"/>
              </w:rPr>
            </w:pPr>
            <w:r>
              <w:t>27 Oct 2021</w:t>
            </w:r>
          </w:p>
        </w:tc>
        <w:tc>
          <w:tcPr>
            <w:tcW w:w="2552" w:type="dxa"/>
            <w:tcBorders>
              <w:top w:val="nil"/>
              <w:bottom w:val="nil"/>
            </w:tcBorders>
          </w:tcPr>
          <w:p>
            <w:pPr>
              <w:pStyle w:val="nTable"/>
              <w:spacing w:after="40"/>
              <w:rPr>
                <w:iCs/>
                <w:snapToGrid w:val="0"/>
              </w:rPr>
            </w:pPr>
            <w:r>
              <w:rPr>
                <w:iCs/>
                <w:snapToGrid w:val="0"/>
              </w:rPr>
              <w:t>18 Jun 2022 (see s. 2(b) and SL 2022/81 cl. 2)</w:t>
            </w:r>
          </w:p>
        </w:tc>
      </w:tr>
      <w:tr>
        <w:tblPrEx>
          <w:tblCellMar>
            <w:left w:w="57" w:type="dxa"/>
            <w:right w:w="57" w:type="dxa"/>
          </w:tblCellMar>
        </w:tblPrEx>
        <w:trPr>
          <w:cantSplit/>
        </w:trPr>
        <w:tc>
          <w:tcPr>
            <w:tcW w:w="2240" w:type="dxa"/>
            <w:tcBorders>
              <w:top w:val="nil"/>
              <w:bottom w:val="nil"/>
            </w:tcBorders>
          </w:tcPr>
          <w:p>
            <w:pPr>
              <w:pStyle w:val="nTable"/>
              <w:spacing w:after="40"/>
              <w:rPr>
                <w:i/>
              </w:rPr>
            </w:pPr>
            <w:r>
              <w:rPr>
                <w:i/>
                <w:snapToGrid w:val="0"/>
              </w:rPr>
              <w:t>Animal Welfare and Trespass Legislation Amendment Act 2023</w:t>
            </w:r>
            <w:r>
              <w:rPr>
                <w:snapToGrid w:val="0"/>
              </w:rPr>
              <w:t xml:space="preserve"> Pt. 2</w:t>
            </w:r>
          </w:p>
        </w:tc>
        <w:tc>
          <w:tcPr>
            <w:tcW w:w="1134" w:type="dxa"/>
            <w:gridSpan w:val="3"/>
            <w:tcBorders>
              <w:top w:val="nil"/>
              <w:bottom w:val="nil"/>
            </w:tcBorders>
          </w:tcPr>
          <w:p>
            <w:pPr>
              <w:pStyle w:val="nTable"/>
              <w:spacing w:after="40"/>
            </w:pPr>
            <w:r>
              <w:t>5 of 2023</w:t>
            </w:r>
          </w:p>
        </w:tc>
        <w:tc>
          <w:tcPr>
            <w:tcW w:w="1134" w:type="dxa"/>
            <w:tcBorders>
              <w:top w:val="nil"/>
              <w:bottom w:val="nil"/>
            </w:tcBorders>
          </w:tcPr>
          <w:p>
            <w:pPr>
              <w:pStyle w:val="nTable"/>
              <w:spacing w:after="40"/>
            </w:pPr>
            <w:r>
              <w:t>24 Mar 2023</w:t>
            </w:r>
          </w:p>
        </w:tc>
        <w:tc>
          <w:tcPr>
            <w:tcW w:w="2552" w:type="dxa"/>
            <w:tcBorders>
              <w:top w:val="nil"/>
              <w:bottom w:val="nil"/>
            </w:tcBorders>
          </w:tcPr>
          <w:p>
            <w:pPr>
              <w:pStyle w:val="nTable"/>
              <w:spacing w:after="40"/>
              <w:rPr>
                <w:iCs/>
                <w:snapToGrid w:val="0"/>
              </w:rPr>
            </w:pPr>
            <w:r>
              <w:rPr>
                <w:snapToGrid w:val="0"/>
              </w:rPr>
              <w:t>7 Apr 2023 (see s. 2(b))</w:t>
            </w:r>
          </w:p>
        </w:tc>
      </w:tr>
      <w:tr>
        <w:tblPrEx>
          <w:tblCellMar>
            <w:left w:w="57" w:type="dxa"/>
            <w:right w:w="57" w:type="dxa"/>
          </w:tblCellMar>
        </w:tblPrEx>
        <w:trPr>
          <w:cantSplit/>
        </w:trPr>
        <w:tc>
          <w:tcPr>
            <w:tcW w:w="2240" w:type="dxa"/>
            <w:tcBorders>
              <w:top w:val="nil"/>
              <w:bottom w:val="nil"/>
            </w:tcBorders>
          </w:tcPr>
          <w:p>
            <w:pPr>
              <w:pStyle w:val="nTable"/>
              <w:spacing w:after="40"/>
              <w:rPr>
                <w:i/>
              </w:rPr>
            </w:pPr>
            <w:r>
              <w:rPr>
                <w:i/>
              </w:rPr>
              <w:t>Directors’ Liability Reform Act 2023</w:t>
            </w:r>
            <w:r>
              <w:t xml:space="preserve"> Pt. 3 Div. 3</w:t>
            </w:r>
          </w:p>
        </w:tc>
        <w:tc>
          <w:tcPr>
            <w:tcW w:w="1134" w:type="dxa"/>
            <w:gridSpan w:val="3"/>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iCs/>
                <w:snapToGrid w:val="0"/>
              </w:rPr>
            </w:pPr>
            <w:r>
              <w:t>5 Apr 2023 (see s. 2(j))</w:t>
            </w:r>
          </w:p>
        </w:tc>
      </w:tr>
      <w:tr>
        <w:tblPrEx>
          <w:tblCellMar>
            <w:left w:w="57" w:type="dxa"/>
            <w:right w:w="57" w:type="dxa"/>
          </w:tblCellMar>
        </w:tblPrEx>
        <w:trPr>
          <w:cantSplit/>
        </w:trPr>
        <w:tc>
          <w:tcPr>
            <w:tcW w:w="7060" w:type="dxa"/>
            <w:gridSpan w:val="6"/>
            <w:tcBorders>
              <w:top w:val="nil"/>
              <w:bottom w:val="single" w:sz="4" w:space="0" w:color="auto"/>
            </w:tcBorders>
          </w:tcPr>
          <w:p>
            <w:pPr>
              <w:pStyle w:val="nTable"/>
              <w:spacing w:after="40"/>
            </w:pPr>
            <w:r>
              <w:rPr>
                <w:b/>
                <w:i/>
                <w:noProof/>
              </w:rPr>
              <w:t>Animal Welfare Act 2002</w:t>
            </w:r>
            <w:r>
              <w:rPr>
                <w:b/>
              </w:rPr>
              <w:t xml:space="preserve"> with editorial changes as at 26 Nov 2024</w:t>
            </w:r>
          </w:p>
        </w:tc>
      </w:tr>
    </w:tbl>
    <w:p>
      <w:pPr>
        <w:pStyle w:val="nHeading3"/>
        <w:keepLines/>
      </w:pPr>
      <w:bookmarkStart w:id="119" w:name="_Toc202517478"/>
      <w:r>
        <w:t>Editorial changes table</w:t>
      </w:r>
      <w:bookmarkEnd w:id="119"/>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keepNext/>
              <w:keepLines/>
              <w:spacing w:after="40"/>
              <w:rPr>
                <w:b/>
              </w:rPr>
            </w:pPr>
            <w:r>
              <w:rPr>
                <w:b/>
              </w:rPr>
              <w:t>Provision/s affected</w:t>
            </w:r>
          </w:p>
        </w:tc>
        <w:tc>
          <w:tcPr>
            <w:tcW w:w="2694" w:type="dxa"/>
          </w:tcPr>
          <w:p>
            <w:pPr>
              <w:pStyle w:val="nTable"/>
              <w:keepNext/>
              <w:keepLines/>
              <w:spacing w:after="40"/>
              <w:rPr>
                <w:b/>
              </w:rPr>
            </w:pPr>
            <w:r>
              <w:rPr>
                <w:b/>
              </w:rPr>
              <w:t xml:space="preserve">Authorising provision of </w:t>
            </w:r>
            <w:r>
              <w:rPr>
                <w:b/>
                <w:i/>
                <w:iCs/>
              </w:rPr>
              <w:t>Legislation Act 2021</w:t>
            </w:r>
            <w:r>
              <w:rPr>
                <w:b/>
              </w:rPr>
              <w:t xml:space="preserve"> Part 3</w:t>
            </w:r>
          </w:p>
        </w:tc>
        <w:tc>
          <w:tcPr>
            <w:tcW w:w="1559" w:type="dxa"/>
          </w:tcPr>
          <w:p>
            <w:pPr>
              <w:pStyle w:val="nTable"/>
              <w:keepNext/>
              <w:keepLines/>
              <w:spacing w:after="40"/>
              <w:rPr>
                <w:b/>
              </w:rPr>
            </w:pPr>
            <w:r>
              <w:rPr>
                <w:b/>
              </w:rPr>
              <w:t>Effective date</w:t>
            </w:r>
            <w:r>
              <w:br/>
            </w:r>
            <w:r>
              <w:rPr>
                <w:b/>
              </w:rPr>
              <w:t>of change</w:t>
            </w:r>
          </w:p>
        </w:tc>
      </w:tr>
      <w:tr>
        <w:tc>
          <w:tcPr>
            <w:tcW w:w="2807" w:type="dxa"/>
            <w:tcBorders>
              <w:top w:val="nil"/>
            </w:tcBorders>
          </w:tcPr>
          <w:p>
            <w:pPr>
              <w:pStyle w:val="nTable"/>
              <w:spacing w:after="40"/>
            </w:pPr>
            <w:r>
              <w:t>s. 5(1)</w:t>
            </w:r>
          </w:p>
        </w:tc>
        <w:tc>
          <w:tcPr>
            <w:tcW w:w="2694" w:type="dxa"/>
            <w:tcBorders>
              <w:top w:val="nil"/>
            </w:tcBorders>
          </w:tcPr>
          <w:p>
            <w:pPr>
              <w:pStyle w:val="nTable"/>
              <w:keepNext/>
              <w:keepLines/>
              <w:spacing w:after="40"/>
            </w:pPr>
            <w:r>
              <w:t>s. 26(2)</w:t>
            </w:r>
          </w:p>
        </w:tc>
        <w:tc>
          <w:tcPr>
            <w:tcW w:w="1559" w:type="dxa"/>
            <w:tcBorders>
              <w:top w:val="nil"/>
            </w:tcBorders>
          </w:tcPr>
          <w:p>
            <w:pPr>
              <w:pStyle w:val="nTable"/>
              <w:keepNext/>
              <w:keepLines/>
              <w:spacing w:after="40"/>
            </w:pPr>
            <w:r>
              <w:t>26 Nov 2024</w:t>
            </w:r>
          </w:p>
        </w:tc>
      </w:tr>
    </w:tbl>
    <w:p>
      <w:pPr>
        <w:pStyle w:val="nHeading3"/>
      </w:pPr>
      <w:bookmarkStart w:id="120" w:name="_Toc202517479"/>
      <w:r>
        <w:lastRenderedPageBreak/>
        <w:t>Uncommenced provisions table</w:t>
      </w:r>
      <w:bookmarkEnd w:id="12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single" w:sz="4" w:space="0" w:color="auto"/>
            </w:tcBorders>
          </w:tcPr>
          <w:p>
            <w:pPr>
              <w:pStyle w:val="nTable"/>
              <w:spacing w:after="40"/>
            </w:pPr>
            <w:r>
              <w:t>53 of 2016</w:t>
            </w:r>
          </w:p>
        </w:tc>
        <w:tc>
          <w:tcPr>
            <w:tcW w:w="1134" w:type="dxa"/>
            <w:tcBorders>
              <w:top w:val="single" w:sz="8" w:space="0" w:color="auto"/>
              <w:bottom w:val="single" w:sz="4" w:space="0" w:color="auto"/>
            </w:tcBorders>
          </w:tcPr>
          <w:p>
            <w:pPr>
              <w:pStyle w:val="nTable"/>
              <w:spacing w:after="40"/>
            </w:pPr>
            <w:r>
              <w:t>29 Nov 2016</w:t>
            </w:r>
          </w:p>
        </w:tc>
        <w:tc>
          <w:tcPr>
            <w:tcW w:w="2552" w:type="dxa"/>
            <w:tcBorders>
              <w:top w:val="single" w:sz="8" w:space="0" w:color="auto"/>
              <w:bottom w:val="single" w:sz="4" w:space="0" w:color="auto"/>
            </w:tcBorders>
          </w:tcPr>
          <w:p>
            <w:pPr>
              <w:pStyle w:val="nTable"/>
              <w:spacing w:after="40"/>
            </w:pPr>
            <w:r>
              <w:rPr>
                <w:snapToGrid w:val="0"/>
              </w:rPr>
              <w:t>To be proclaimed (see s. 2(b))</w:t>
            </w:r>
          </w:p>
        </w:tc>
      </w:tr>
    </w:tbl>
    <w:p>
      <w:pPr>
        <w:pStyle w:val="nHeading3"/>
      </w:pPr>
      <w:bookmarkStart w:id="121" w:name="_Toc202517480"/>
      <w:r>
        <w:t>Other notes</w:t>
      </w:r>
      <w:bookmarkEnd w:id="121"/>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Pr>
        <w:pStyle w:val="nNote"/>
        <w:spacing w:before="160"/>
        <w:rPr>
          <w:snapToGrid w:val="0"/>
        </w:rPr>
      </w:pPr>
      <w:r>
        <w:rPr>
          <w:snapToGrid w:val="0"/>
          <w:vertAlign w:val="superscript"/>
        </w:rPr>
        <w:t>4</w:t>
      </w:r>
      <w:r>
        <w:rPr>
          <w:snapToGrid w:val="0"/>
        </w:rPr>
        <w:tab/>
        <w:t xml:space="preserve">Formerly known as </w:t>
      </w:r>
      <w:r>
        <w:t>The Royal Society for the Prevention of Cruelty to Animals, Western Australia (Incorporated)</w:t>
      </w:r>
      <w:r>
        <w:rPr>
          <w:snapToGrid w:val="0"/>
        </w:rPr>
        <w: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23" w:name="_Toc202517481"/>
      <w:r>
        <w:rPr>
          <w:sz w:val="28"/>
        </w:rPr>
        <w:lastRenderedPageBreak/>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36A</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animal source food production</w:t>
      </w:r>
      <w:r>
        <w:tab/>
        <w:t>36A</w:t>
      </w:r>
    </w:p>
    <w:p>
      <w:pPr>
        <w:pStyle w:val="DefinedTerms"/>
      </w:pPr>
      <w:r>
        <w:t>animal source food production facility</w:t>
      </w:r>
      <w:r>
        <w:tab/>
        <w:t>36A</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designated inspector</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intensive production</w:t>
      </w:r>
      <w:r>
        <w:tab/>
        <w:t>36A</w:t>
      </w:r>
    </w:p>
    <w:p>
      <w:pPr>
        <w:pStyle w:val="DefinedTerms"/>
      </w:pPr>
      <w:r>
        <w:t>intensive production place</w:t>
      </w:r>
      <w:r>
        <w:tab/>
        <w:t>36A</w:t>
      </w:r>
    </w:p>
    <w:p>
      <w:pPr>
        <w:pStyle w:val="DefinedTerms"/>
      </w:pPr>
      <w:r>
        <w:t>knackery</w:t>
      </w:r>
      <w:r>
        <w:tab/>
        <w:t>36A</w:t>
      </w:r>
    </w:p>
    <w:p>
      <w:pPr>
        <w:pStyle w:val="DefinedTerms"/>
      </w:pPr>
      <w:r>
        <w:t>lawfully taken</w:t>
      </w:r>
      <w:r>
        <w:tab/>
        <w:t>5(1)</w:t>
      </w:r>
    </w:p>
    <w:p>
      <w:pPr>
        <w:pStyle w:val="DefinedTerms"/>
      </w:pPr>
      <w:r>
        <w:t>licence</w:t>
      </w:r>
      <w:r>
        <w:tab/>
        <w:t>5(1)</w:t>
      </w:r>
    </w:p>
    <w:p>
      <w:pPr>
        <w:pStyle w:val="DefinedTerms"/>
      </w:pPr>
      <w:r>
        <w:t>non-residential place</w:t>
      </w:r>
      <w:r>
        <w:tab/>
        <w:t>5(1)</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lastRenderedPageBreak/>
        <w:t>stock</w:t>
      </w:r>
      <w:r>
        <w:tab/>
        <w:t>26(2)</w:t>
      </w:r>
    </w:p>
    <w:p>
      <w:pPr>
        <w:pStyle w:val="DefinedTerms"/>
      </w:pPr>
      <w:r>
        <w:t>vehicle</w:t>
      </w:r>
      <w:r>
        <w:tab/>
        <w:t>5(1)</w:t>
      </w:r>
    </w:p>
    <w:p>
      <w:pPr>
        <w:pStyle w:val="DefinedTerms"/>
      </w:pPr>
      <w:r>
        <w:t>veterinarian</w:t>
      </w:r>
      <w:r>
        <w:tab/>
        <w:t>5(1)</w:t>
      </w:r>
    </w:p>
    <w:p>
      <w:pPr>
        <w:pStyle w:val="DefinedTerms"/>
      </w:pPr>
      <w:r>
        <w:t>veterinary medicine</w:t>
      </w:r>
      <w:r>
        <w:tab/>
        <w:t>48(4A)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5155856"/>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 w:name="WAFER_202411251558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5155856_GUID" w:val="861558ab-4d61-4d42-adf1-f0fc9e6df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BB9C7-3817-4556-9511-7481F4E0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16995</Words>
  <Characters>79708</Characters>
  <Application>Microsoft Office Word</Application>
  <DocSecurity>0</DocSecurity>
  <Lines>2277</Lines>
  <Paragraphs>1534</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2002 - 03-a0-00</dc:title>
  <dc:subject/>
  <dc:creator/>
  <cp:keywords/>
  <dc:description/>
  <cp:lastModifiedBy>Master Repository Process</cp:lastModifiedBy>
  <cp:revision>4</cp:revision>
  <cp:lastPrinted>2019-02-25T03:48:00Z</cp:lastPrinted>
  <dcterms:created xsi:type="dcterms:W3CDTF">2025-07-04T02:29:00Z</dcterms:created>
  <dcterms:modified xsi:type="dcterms:W3CDTF">2025-07-04T02:29:00Z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AsAtDate">
    <vt:lpwstr>26 Nov 2024</vt:lpwstr>
  </property>
  <property fmtid="{D5CDD505-2E9C-101B-9397-08002B2CF9AE}" pid="6" name="Suffix">
    <vt:lpwstr>03-a0-00</vt:lpwstr>
  </property>
  <property fmtid="{D5CDD505-2E9C-101B-9397-08002B2CF9AE}" pid="7" name="ReprintNo">
    <vt:lpwstr>3</vt:lpwstr>
  </property>
  <property fmtid="{D5CDD505-2E9C-101B-9397-08002B2CF9AE}" pid="8" name="ReprintedAsAt">
    <vt:filetime>2024-11-25T16:00:00Z</vt:filetime>
  </property>
  <property fmtid="{D5CDD505-2E9C-101B-9397-08002B2CF9AE}" pid="9" name="CommencementDate">
    <vt:lpwstr>20241126</vt:lpwstr>
  </property>
  <property fmtid="{D5CDD505-2E9C-101B-9397-08002B2CF9AE}" pid="10" name="CommencementAsAt">
    <vt:filetime>2024-11-25T16:00:00Z</vt:filetime>
  </property>
  <property fmtid="{D5CDD505-2E9C-101B-9397-08002B2CF9AE}" pid="11" name="CommencementYear">
    <vt:lpwstr>2024</vt:lpwstr>
  </property>
</Properties>
</file>