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(Administration) Act 2008</w:t>
      </w:r>
      <w:r>
        <w:rPr>
          <w:noProof/>
        </w:rPr>
        <w:br/>
        <w:t>Road Traffic (Authorisation to Drive) Act 2008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(Road Traffic)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(Road Traffic)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_Toc183083283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_Toc183083284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Road Traffic (Administration)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_Toc183083286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23 amended</w:t>
      </w:r>
      <w:r>
        <w:tab/>
      </w:r>
      <w:r>
        <w:fldChar w:fldCharType="begin"/>
      </w:r>
      <w:r>
        <w:instrText xml:space="preserve"> PAGEREF _Toc183083287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Road Traffic (Authorisation to Drive) Regulations 2014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_Toc183083289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_Toc183083290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11 inserted</w:t>
      </w:r>
      <w:r>
        <w:tab/>
      </w:r>
      <w:r>
        <w:fldChar w:fldCharType="begin"/>
      </w:r>
      <w:r>
        <w:instrText xml:space="preserve"> PAGEREF _Toc183083291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noProof/>
        </w:rPr>
        <w:tab/>
        <w:t>Novice driver (type 1A) number of passengers restrictions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_Toc183083292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65 amended</w:t>
      </w:r>
      <w:r>
        <w:tab/>
      </w:r>
      <w:r>
        <w:fldChar w:fldCharType="begin"/>
      </w:r>
      <w:r>
        <w:instrText xml:space="preserve"> PAGEREF _Toc183083293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75 amended</w:t>
      </w:r>
      <w:r>
        <w:tab/>
      </w:r>
      <w:r>
        <w:fldChar w:fldCharType="begin"/>
      </w:r>
      <w:r>
        <w:instrText xml:space="preserve"> PAGEREF _Toc183083294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Part 8 heading amended</w:t>
      </w:r>
      <w:r>
        <w:tab/>
      </w:r>
      <w:r>
        <w:fldChar w:fldCharType="begin"/>
      </w:r>
      <w:r>
        <w:instrText xml:space="preserve"> PAGEREF _Toc183083295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Part 8 Division 1 heading inserted</w:t>
      </w:r>
      <w:r>
        <w:tab/>
      </w:r>
      <w:r>
        <w:fldChar w:fldCharType="begin"/>
      </w:r>
      <w:r>
        <w:instrText xml:space="preserve"> PAGEREF _Toc183083296 \h </w:instrText>
      </w:r>
      <w:r>
        <w:fldChar w:fldCharType="separate"/>
      </w:r>
      <w:r>
        <w:t>7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1 — Transitional provisions for </w:t>
      </w:r>
      <w:r>
        <w:rPr>
          <w:i/>
        </w:rPr>
        <w:t>Road Traffic (Authorisation to Drive) Regulations 2014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82 amended</w:t>
      </w:r>
      <w:r>
        <w:tab/>
      </w:r>
      <w:r>
        <w:fldChar w:fldCharType="begin"/>
      </w:r>
      <w:r>
        <w:instrText xml:space="preserve"> PAGEREF _Toc183083298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83 amended</w:t>
      </w:r>
      <w:r>
        <w:tab/>
      </w:r>
      <w:r>
        <w:fldChar w:fldCharType="begin"/>
      </w:r>
      <w:r>
        <w:instrText xml:space="preserve"> PAGEREF _Toc183083299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14.</w:t>
      </w:r>
      <w:r>
        <w:tab/>
        <w:t>Part 8 Division 2 inserted</w:t>
      </w:r>
      <w:r>
        <w:tab/>
      </w:r>
      <w:r>
        <w:fldChar w:fldCharType="begin"/>
      </w:r>
      <w:r>
        <w:instrText xml:space="preserve"> PAGEREF _Toc183083300 \h </w:instrText>
      </w:r>
      <w:r>
        <w:fldChar w:fldCharType="separate"/>
      </w:r>
      <w:r>
        <w:t>8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2 — Transitional provision for </w:t>
      </w:r>
      <w:r>
        <w:rPr>
          <w:i/>
        </w:rPr>
        <w:t>Transport Regulations Amendment (Road Traffic) Regulations 2024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94.</w:t>
      </w:r>
      <w:r>
        <w:rPr>
          <w:noProof/>
        </w:rPr>
        <w:tab/>
        <w:t>Transitional provision for novice driver (type 1A) number of passengers restrictions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_Toc183083302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>Road Traffic (Administration) Act 2008</w:t>
      </w:r>
      <w:r>
        <w:br/>
        <w:t>Road Traffic (Authorisation to Drive) Act 2008</w:t>
      </w:r>
    </w:p>
    <w:p>
      <w:pPr>
        <w:pStyle w:val="NameofActReg"/>
      </w:pPr>
      <w:r>
        <w:t>Transport Regulations Amendment (Road Traffic) Regulations 2024</w:t>
      </w:r>
    </w:p>
    <w:p>
      <w:pPr>
        <w:pStyle w:val="MadeBy"/>
      </w:pPr>
      <w:r>
        <w:t>Made by the deputy of the Governor in Executive Council.</w:t>
      </w:r>
    </w:p>
    <w:p>
      <w:pPr>
        <w:pStyle w:val="Heading2"/>
        <w:pageBreakBefore w:val="0"/>
        <w:spacing w:before="360"/>
      </w:pPr>
      <w:bookmarkStart w:id="2" w:name="_Toc183083123"/>
      <w:bookmarkStart w:id="3" w:name="_Toc183083183"/>
      <w:bookmarkStart w:id="4" w:name="_Toc18308328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83083124"/>
      <w:bookmarkStart w:id="6" w:name="_Toc183083283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(Road Traffic) Regulations 2024</w:t>
      </w:r>
      <w:r>
        <w:t>.</w:t>
      </w:r>
    </w:p>
    <w:p>
      <w:pPr>
        <w:pStyle w:val="Heading5"/>
        <w:rPr>
          <w:spacing w:val="-2"/>
        </w:rPr>
      </w:pPr>
      <w:bookmarkStart w:id="8" w:name="_Toc183083125"/>
      <w:bookmarkStart w:id="9" w:name="_Toc18308328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December 2024.</w:t>
      </w:r>
    </w:p>
    <w:p>
      <w:pPr>
        <w:pStyle w:val="Heading2"/>
      </w:pPr>
      <w:bookmarkStart w:id="10" w:name="_Toc183083126"/>
      <w:bookmarkStart w:id="11" w:name="_Toc183083186"/>
      <w:bookmarkStart w:id="12" w:name="_Toc18308328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(Administration) Regulations 2014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83083127"/>
      <w:bookmarkStart w:id="14" w:name="_Toc1830832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(Administration) Regulations 2014</w:t>
      </w:r>
      <w:r>
        <w:t>.</w:t>
      </w:r>
    </w:p>
    <w:p>
      <w:pPr>
        <w:pStyle w:val="Heading5"/>
      </w:pPr>
      <w:bookmarkStart w:id="15" w:name="_Toc183083128"/>
      <w:bookmarkStart w:id="16" w:name="_Toc183083287"/>
      <w:r>
        <w:rPr>
          <w:rStyle w:val="CharSectno"/>
        </w:rPr>
        <w:t>4</w:t>
      </w:r>
      <w:r>
        <w:t>.</w:t>
      </w:r>
      <w:r>
        <w:tab/>
        <w:t>Regulation 23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23 in the Table:</w:t>
      </w:r>
    </w:p>
    <w:p>
      <w:pPr>
        <w:pStyle w:val="Indenta"/>
      </w:pPr>
      <w:r>
        <w:tab/>
        <w:t>(a)</w:t>
      </w:r>
      <w:r>
        <w:tab/>
        <w:t>in the 1</w:t>
      </w:r>
      <w:r>
        <w:rPr>
          <w:vertAlign w:val="superscript"/>
        </w:rPr>
        <w:t>st</w:t>
      </w:r>
      <w:r>
        <w:t xml:space="preserve"> item for section 49(1) in the 2</w:t>
      </w:r>
      <w:r>
        <w:rPr>
          <w:vertAlign w:val="superscript"/>
        </w:rPr>
        <w:t>nd</w:t>
      </w:r>
      <w:r>
        <w:t xml:space="preserve"> column delete “5 a.m.;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5 a.m. or in relation to the number of passengers carried in a motor vehicle;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the 2</w:t>
      </w:r>
      <w:r>
        <w:rPr>
          <w:vertAlign w:val="superscript"/>
        </w:rPr>
        <w:t>nd</w:t>
      </w:r>
      <w:r>
        <w:t xml:space="preserve"> item for section 49(1) in the 2</w:t>
      </w:r>
      <w:r>
        <w:rPr>
          <w:vertAlign w:val="superscript"/>
        </w:rPr>
        <w:t>nd</w:t>
      </w:r>
      <w:r>
        <w:t xml:space="preserve"> column delete “(type 1A) between midnight and the following 5 a.m.” and insert:</w:t>
      </w:r>
    </w:p>
    <w:p>
      <w:pPr>
        <w:pStyle w:val="BlankOpen"/>
      </w:pPr>
    </w:p>
    <w:p>
      <w:pPr>
        <w:pStyle w:val="zTableNAm"/>
      </w:pPr>
      <w:r>
        <w:tab/>
      </w:r>
      <w:r>
        <w:tab/>
        <w:t xml:space="preserve">(type 1A) either — </w:t>
      </w:r>
    </w:p>
    <w:p>
      <w:pPr>
        <w:pStyle w:val="zTableNAm"/>
        <w:tabs>
          <w:tab w:val="clear" w:pos="567"/>
          <w:tab w:val="left" w:pos="1596"/>
        </w:tabs>
        <w:ind w:left="1565" w:hanging="417"/>
      </w:pPr>
      <w:r>
        <w:t>(a)</w:t>
      </w:r>
      <w:r>
        <w:tab/>
        <w:t>between midnight and the following 5 a.m.; or</w:t>
      </w:r>
    </w:p>
    <w:p>
      <w:pPr>
        <w:pStyle w:val="zTableNAm"/>
        <w:tabs>
          <w:tab w:val="clear" w:pos="567"/>
          <w:tab w:val="left" w:pos="1596"/>
        </w:tabs>
        <w:ind w:left="1565" w:hanging="431"/>
      </w:pPr>
      <w:r>
        <w:t>(b)</w:t>
      </w:r>
      <w:r>
        <w:tab/>
        <w:t>in relation to the number of passengers carried in a motor vehicle</w:t>
      </w:r>
    </w:p>
    <w:p>
      <w:pPr>
        <w:pStyle w:val="BlankClose"/>
      </w:pPr>
    </w:p>
    <w:p>
      <w:pPr>
        <w:pStyle w:val="Heading2"/>
      </w:pPr>
      <w:bookmarkStart w:id="17" w:name="_Toc183083129"/>
      <w:bookmarkStart w:id="18" w:name="_Toc183083189"/>
      <w:bookmarkStart w:id="19" w:name="_Toc18308328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Road Traffic (Authorisation to Drive) Regulations 2014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83083130"/>
      <w:bookmarkStart w:id="21" w:name="_Toc18308328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(Authorisation to Drive) Regulations 2014</w:t>
      </w:r>
      <w:r>
        <w:t>.</w:t>
      </w:r>
    </w:p>
    <w:p>
      <w:pPr>
        <w:pStyle w:val="Heading5"/>
      </w:pPr>
      <w:bookmarkStart w:id="22" w:name="_Toc183083131"/>
      <w:bookmarkStart w:id="23" w:name="_Toc183083290"/>
      <w:r>
        <w:rPr>
          <w:rStyle w:val="CharSectno"/>
        </w:rPr>
        <w:t>6</w:t>
      </w:r>
      <w:r>
        <w:t>.</w:t>
      </w:r>
      <w:r>
        <w:tab/>
        <w:t>Regulation 10 amended</w:t>
      </w:r>
      <w:bookmarkEnd w:id="22"/>
      <w:bookmarkEnd w:id="23"/>
    </w:p>
    <w:p>
      <w:pPr>
        <w:pStyle w:val="Subsection"/>
      </w:pPr>
      <w:r>
        <w:tab/>
      </w:r>
      <w:r>
        <w:tab/>
        <w:t>In regulation 10(2) after “motor vehicle”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on a road</w:t>
      </w:r>
    </w:p>
    <w:p>
      <w:pPr>
        <w:pStyle w:val="BlankClose"/>
      </w:pPr>
    </w:p>
    <w:p>
      <w:pPr>
        <w:pStyle w:val="Heading5"/>
      </w:pPr>
      <w:bookmarkStart w:id="24" w:name="_Toc183083132"/>
      <w:bookmarkStart w:id="25" w:name="_Toc183083291"/>
      <w:r>
        <w:rPr>
          <w:rStyle w:val="CharSectno"/>
        </w:rPr>
        <w:t>7</w:t>
      </w:r>
      <w:r>
        <w:t>.</w:t>
      </w:r>
      <w:r>
        <w:tab/>
        <w:t>Regulation 11 inserted</w:t>
      </w:r>
      <w:bookmarkEnd w:id="24"/>
      <w:bookmarkEnd w:id="25"/>
    </w:p>
    <w:p>
      <w:pPr>
        <w:pStyle w:val="Subsection"/>
      </w:pPr>
      <w:r>
        <w:tab/>
      </w:r>
      <w:r>
        <w:tab/>
        <w:t>After regulation 10 insert:</w:t>
      </w:r>
    </w:p>
    <w:p>
      <w:pPr>
        <w:pStyle w:val="BlankOpen"/>
      </w:pPr>
    </w:p>
    <w:p>
      <w:pPr>
        <w:pStyle w:val="zHeading5"/>
      </w:pPr>
      <w:bookmarkStart w:id="26" w:name="_Toc183083133"/>
      <w:bookmarkStart w:id="27" w:name="_Toc183083292"/>
      <w:r>
        <w:t>11.</w:t>
      </w:r>
      <w:r>
        <w:tab/>
        <w:t>Novice driver (type 1A) number of passengers restrictions</w:t>
      </w:r>
      <w:bookmarkEnd w:id="26"/>
      <w:bookmarkEnd w:id="27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  <w:rPr>
          <w:rStyle w:val="DraftersNotes"/>
          <w:b w:val="0"/>
          <w:bCs/>
        </w:rPr>
      </w:pPr>
      <w:r>
        <w:tab/>
      </w:r>
      <w:r>
        <w:rPr>
          <w:rStyle w:val="CharDefText"/>
        </w:rPr>
        <w:t>additional passenger</w:t>
      </w:r>
      <w:r>
        <w:t>, in relation to a motor vehicle, means each passenger carried in the motor vehicle other than the permitted passenger;</w:t>
      </w:r>
    </w:p>
    <w:p>
      <w:pPr>
        <w:pStyle w:val="zDefstart"/>
      </w:pPr>
      <w:r>
        <w:tab/>
      </w:r>
      <w:r>
        <w:rPr>
          <w:rStyle w:val="CharDefText"/>
        </w:rPr>
        <w:t>employment</w:t>
      </w:r>
      <w:r>
        <w:t xml:space="preserve"> includes both paid and unpaid employment;</w:t>
      </w:r>
    </w:p>
    <w:p>
      <w:pPr>
        <w:pStyle w:val="zDefstart"/>
      </w:pPr>
      <w:r>
        <w:tab/>
      </w:r>
      <w:r>
        <w:rPr>
          <w:rStyle w:val="CharDefText"/>
        </w:rPr>
        <w:t>immediate family</w:t>
      </w:r>
      <w:r>
        <w:t>, in relation to a person, means a spouse, de facto partner, child, step</w:t>
      </w:r>
      <w:r>
        <w:noBreakHyphen/>
        <w:t>child, grandchild, step</w:t>
      </w:r>
      <w:r>
        <w:noBreakHyphen/>
        <w:t>grandchild, sibling, half</w:t>
      </w:r>
      <w:r>
        <w:noBreakHyphen/>
        <w:t>sibling, step</w:t>
      </w:r>
      <w:r>
        <w:noBreakHyphen/>
        <w:t>sibling, parent, step</w:t>
      </w:r>
      <w:r>
        <w:noBreakHyphen/>
        <w:t>parent, grandparent or step</w:t>
      </w:r>
      <w:r>
        <w:noBreakHyphen/>
        <w:t>grandparent of the person.</w:t>
      </w:r>
    </w:p>
    <w:p>
      <w:pPr>
        <w:pStyle w:val="zSubsection"/>
      </w:pPr>
      <w:r>
        <w:tab/>
        <w:t>(2)</w:t>
      </w:r>
      <w:r>
        <w:tab/>
        <w:t xml:space="preserve">In this regulation, despite the definition of </w:t>
      </w:r>
      <w:r>
        <w:rPr>
          <w:b/>
          <w:bCs/>
          <w:i/>
          <w:iCs/>
        </w:rPr>
        <w:t>passenger</w:t>
      </w:r>
      <w:r>
        <w:t xml:space="preserve"> in the </w:t>
      </w:r>
      <w:r>
        <w:rPr>
          <w:i/>
        </w:rPr>
        <w:t>Road Traffic (Administration) Act </w:t>
      </w:r>
      <w:r>
        <w:rPr>
          <w:i/>
          <w:iCs/>
        </w:rPr>
        <w:t>2008</w:t>
      </w:r>
      <w:r>
        <w:t xml:space="preserve"> section 4, a </w:t>
      </w:r>
      <w:r>
        <w:lastRenderedPageBreak/>
        <w:t>passenger in relation to a motor vehicle includes a co</w:t>
      </w:r>
      <w:r>
        <w:noBreakHyphen/>
        <w:t>driver of the motor vehicle.</w:t>
      </w:r>
    </w:p>
    <w:p>
      <w:pPr>
        <w:pStyle w:val="zSubsection"/>
      </w:pPr>
      <w:r>
        <w:tab/>
        <w:t>(3)</w:t>
      </w:r>
      <w:r>
        <w:tab/>
        <w:t xml:space="preserve">A driver’s licence held by a person who is a novice driver (type 1A) does not authorise the person to drive a motor vehicle carrying more than 1 passenger (the </w:t>
      </w:r>
      <w:r>
        <w:rPr>
          <w:rStyle w:val="CharDefText"/>
        </w:rPr>
        <w:t>permitted passenger</w:t>
      </w:r>
      <w:r>
        <w:t xml:space="preserve">) on a road unless — </w:t>
      </w:r>
    </w:p>
    <w:p>
      <w:pPr>
        <w:pStyle w:val="zIndenta"/>
      </w:pPr>
      <w:r>
        <w:tab/>
        <w:t>(a)</w:t>
      </w:r>
      <w:r>
        <w:tab/>
        <w:t>at least 1 of the passengers is an experienced driver; or</w:t>
      </w:r>
    </w:p>
    <w:p>
      <w:pPr>
        <w:pStyle w:val="zIndenta"/>
      </w:pPr>
      <w:r>
        <w:tab/>
        <w:t>(b)</w:t>
      </w:r>
      <w:r>
        <w:tab/>
        <w:t>each additional passenger is a member of the person’s immediate family; or</w:t>
      </w:r>
    </w:p>
    <w:p>
      <w:pPr>
        <w:pStyle w:val="zIndenta"/>
      </w:pPr>
      <w:r>
        <w:tab/>
        <w:t>(c)</w:t>
      </w:r>
      <w:r>
        <w:tab/>
        <w:t xml:space="preserve">the person — </w:t>
      </w:r>
    </w:p>
    <w:p>
      <w:pPr>
        <w:pStyle w:val="zIndenti"/>
      </w:pPr>
      <w:r>
        <w:tab/>
        <w:t>(i)</w:t>
      </w:r>
      <w:r>
        <w:tab/>
        <w:t xml:space="preserve">is required to carry each additional passenger for the person’s employment; and </w:t>
      </w:r>
    </w:p>
    <w:p>
      <w:pPr>
        <w:pStyle w:val="zIndenti"/>
      </w:pPr>
      <w:r>
        <w:tab/>
        <w:t>(ii)</w:t>
      </w:r>
      <w:r>
        <w:tab/>
        <w:t>is carrying a document stating that fact signed by the person’s employer; and</w:t>
      </w:r>
    </w:p>
    <w:p>
      <w:pPr>
        <w:pStyle w:val="zIndenti"/>
      </w:pPr>
      <w:r>
        <w:tab/>
        <w:t>(iii)</w:t>
      </w:r>
      <w:r>
        <w:tab/>
        <w:t>if requested by a police officer, produces the document for inspection.</w:t>
      </w:r>
    </w:p>
    <w:p>
      <w:pPr>
        <w:pStyle w:val="zSubsection"/>
      </w:pPr>
      <w:r>
        <w:tab/>
        <w:t>(4)</w:t>
      </w:r>
      <w:r>
        <w:tab/>
        <w:t xml:space="preserve">For the purposes of subregulation (3)(a), a passenger in a motor vehicle driven by a novice driver (type 1A) is an </w:t>
      </w:r>
      <w:r>
        <w:rPr>
          <w:rStyle w:val="CharDefText"/>
        </w:rPr>
        <w:t>experienced driver</w:t>
      </w:r>
      <w:r>
        <w:t xml:space="preserve"> if the passenger — </w:t>
      </w:r>
    </w:p>
    <w:p>
      <w:pPr>
        <w:pStyle w:val="zIndenta"/>
      </w:pPr>
      <w:r>
        <w:tab/>
        <w:t>(a)</w:t>
      </w:r>
      <w:r>
        <w:tab/>
        <w:t>is authorised to drive a motor vehicle of the class that the novice driver is authorised to drive; and</w:t>
      </w:r>
    </w:p>
    <w:p>
      <w:pPr>
        <w:pStyle w:val="zIndenta"/>
      </w:pPr>
      <w:r>
        <w:tab/>
        <w:t>(b)</w:t>
      </w:r>
      <w:r>
        <w:tab/>
        <w:t xml:space="preserve">has held that authorisation for a period of, or periods adding up to, at least 4 years under — </w:t>
      </w:r>
    </w:p>
    <w:p>
      <w:pPr>
        <w:pStyle w:val="zIndenti"/>
      </w:pPr>
      <w:r>
        <w:tab/>
        <w:t>(i)</w:t>
      </w:r>
      <w:r>
        <w:tab/>
        <w:t xml:space="preserve">an Australian driver licence, other than a provisional licence; or </w:t>
      </w:r>
    </w:p>
    <w:p>
      <w:pPr>
        <w:pStyle w:val="zIndenti"/>
      </w:pPr>
      <w:r>
        <w:tab/>
        <w:t>(ii)</w:t>
      </w:r>
      <w:r>
        <w:tab/>
        <w:t>a foreign driving authorisation, other than a foreign driving authorisation that is substantially equivalent to a provisional licence.</w:t>
      </w:r>
    </w:p>
    <w:p>
      <w:pPr>
        <w:pStyle w:val="BlankClose"/>
      </w:pPr>
    </w:p>
    <w:p>
      <w:pPr>
        <w:pStyle w:val="Heading5"/>
      </w:pPr>
      <w:bookmarkStart w:id="28" w:name="_Toc183083134"/>
      <w:bookmarkStart w:id="29" w:name="_Toc183083293"/>
      <w:r>
        <w:rPr>
          <w:rStyle w:val="CharSectno"/>
        </w:rPr>
        <w:lastRenderedPageBreak/>
        <w:t>8</w:t>
      </w:r>
      <w:r>
        <w:t>.</w:t>
      </w:r>
      <w:r>
        <w:tab/>
        <w:t>Regulation 65 amended</w:t>
      </w:r>
      <w:bookmarkEnd w:id="28"/>
      <w:bookmarkEnd w:id="29"/>
    </w:p>
    <w:p>
      <w:pPr>
        <w:pStyle w:val="Subsection"/>
      </w:pPr>
      <w:r>
        <w:tab/>
      </w:r>
      <w:r>
        <w:tab/>
        <w:t>In regulation 65(2) in the Table delete the item for section 49(1) and insert:</w:t>
      </w:r>
    </w:p>
    <w:p>
      <w:pPr>
        <w:pStyle w:val="BlankOpen"/>
      </w:pPr>
    </w:p>
    <w:tbl>
      <w:tblPr>
        <w:tblW w:w="6209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673"/>
        <w:gridCol w:w="2693"/>
        <w:gridCol w:w="1843"/>
      </w:tblGrid>
      <w:tr>
        <w:trPr>
          <w:cantSplit/>
          <w:trHeight w:val="2007"/>
        </w:trPr>
        <w:tc>
          <w:tcPr>
            <w:tcW w:w="1673" w:type="dxa"/>
          </w:tcPr>
          <w:p>
            <w:pPr>
              <w:pStyle w:val="zTableNAm"/>
            </w:pPr>
            <w:r>
              <w:t>s. 49(1)</w:t>
            </w:r>
          </w:p>
        </w:tc>
        <w:tc>
          <w:tcPr>
            <w:tcW w:w="2693" w:type="dxa"/>
          </w:tcPr>
          <w:p>
            <w:pPr>
              <w:pStyle w:val="zTableNAm"/>
            </w:pPr>
            <w:r>
              <w:t xml:space="preserve">A first offence of driving while not authorised, other than if the </w:t>
            </w:r>
            <w:r>
              <w:rPr>
                <w:i/>
              </w:rPr>
              <w:t>Road Traffic Act 1974</w:t>
            </w:r>
            <w:r>
              <w:t xml:space="preserve"> s. 49(3) applies, if the driving is by a novice driver (type 1A) and the offence — </w:t>
            </w:r>
          </w:p>
        </w:tc>
        <w:tc>
          <w:tcPr>
            <w:tcW w:w="1843" w:type="dxa"/>
            <w:vAlign w:val="bottom"/>
          </w:tcPr>
          <w:p>
            <w:pPr>
              <w:pStyle w:val="zTableNAm"/>
              <w:jc w:val="center"/>
            </w:pPr>
          </w:p>
        </w:tc>
      </w:tr>
      <w:tr>
        <w:trPr>
          <w:cantSplit/>
        </w:trPr>
        <w:tc>
          <w:tcPr>
            <w:tcW w:w="1673" w:type="dxa"/>
          </w:tcPr>
          <w:p>
            <w:pPr>
              <w:pStyle w:val="zTableNAm"/>
            </w:pPr>
          </w:p>
        </w:tc>
        <w:tc>
          <w:tcPr>
            <w:tcW w:w="2693" w:type="dxa"/>
          </w:tcPr>
          <w:p>
            <w:pPr>
              <w:pStyle w:val="zTableNAm"/>
              <w:ind w:left="567" w:hanging="567"/>
            </w:pPr>
            <w:r>
              <w:t>(a)</w:t>
            </w:r>
            <w:r>
              <w:tab/>
              <w:t>occurs between midnight and the following 5 a.m.</w:t>
            </w:r>
          </w:p>
        </w:tc>
        <w:tc>
          <w:tcPr>
            <w:tcW w:w="1843" w:type="dxa"/>
            <w:vAlign w:val="bottom"/>
          </w:tcPr>
          <w:p>
            <w:pPr>
              <w:pStyle w:val="zTableNAm"/>
              <w:jc w:val="center"/>
            </w:pPr>
            <w:r>
              <w:t>2</w:t>
            </w:r>
          </w:p>
        </w:tc>
      </w:tr>
      <w:tr>
        <w:trPr>
          <w:cantSplit/>
        </w:trPr>
        <w:tc>
          <w:tcPr>
            <w:tcW w:w="1673" w:type="dxa"/>
          </w:tcPr>
          <w:p>
            <w:pPr>
              <w:pStyle w:val="zTableNAm"/>
            </w:pPr>
          </w:p>
        </w:tc>
        <w:tc>
          <w:tcPr>
            <w:tcW w:w="2693" w:type="dxa"/>
          </w:tcPr>
          <w:p>
            <w:pPr>
              <w:pStyle w:val="zTableNAm"/>
              <w:ind w:left="567" w:hanging="567"/>
            </w:pPr>
            <w:r>
              <w:t>(b)</w:t>
            </w:r>
            <w:r>
              <w:tab/>
              <w:t>relates to the number of passengers carried in a motor vehicle</w:t>
            </w:r>
          </w:p>
        </w:tc>
        <w:tc>
          <w:tcPr>
            <w:tcW w:w="1843" w:type="dxa"/>
            <w:vAlign w:val="bottom"/>
          </w:tcPr>
          <w:p>
            <w:pPr>
              <w:pStyle w:val="zTableNAm"/>
              <w:jc w:val="center"/>
            </w:pPr>
            <w:r>
              <w:t>2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30" w:name="_Toc183083135"/>
      <w:bookmarkStart w:id="31" w:name="_Toc183083294"/>
      <w:r>
        <w:rPr>
          <w:rStyle w:val="CharSectno"/>
        </w:rPr>
        <w:t>9</w:t>
      </w:r>
      <w:r>
        <w:t>.</w:t>
      </w:r>
      <w:r>
        <w:tab/>
        <w:t>Regulation 75 amended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>Before regulation 75(1)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motor vehicle offence</w:t>
      </w:r>
      <w:r>
        <w:t xml:space="preserve"> means an offence under a road law of which the driving of a motor vehicle on a road is an element.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Delete regulation 75(1)(b)(i) and (ii) and insert:</w:t>
      </w:r>
    </w:p>
    <w:p>
      <w:pPr>
        <w:pStyle w:val="BlankOpen"/>
      </w:pPr>
    </w:p>
    <w:p>
      <w:pPr>
        <w:pStyle w:val="zIndenti"/>
      </w:pPr>
      <w:r>
        <w:tab/>
        <w:t>(i)</w:t>
      </w:r>
      <w:r>
        <w:tab/>
        <w:t>been convicted of a motor vehicle offence; or</w:t>
      </w:r>
    </w:p>
    <w:p>
      <w:pPr>
        <w:pStyle w:val="zIndenti"/>
      </w:pPr>
      <w:r>
        <w:tab/>
        <w:t>(ii)</w:t>
      </w:r>
      <w:r>
        <w:tab/>
        <w:t>paid a modified penalty in relation to an infringement notice for a motor vehicle offence.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regulation 75(2) and (3)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</w:r>
      <w:r>
        <w:rPr>
          <w:sz w:val="23"/>
          <w:szCs w:val="23"/>
        </w:rPr>
        <w:t>On the grant to the person of a driver’s licence for a period of 1 year, by way of renewal of the person’s current licence, no fee is payable.</w:t>
      </w:r>
    </w:p>
    <w:p>
      <w:pPr>
        <w:pStyle w:val="zSubsection"/>
      </w:pPr>
      <w:r>
        <w:tab/>
        <w:t>(3)</w:t>
      </w:r>
      <w:r>
        <w:tab/>
        <w:t xml:space="preserve">Subregulation (4) applies if — </w:t>
      </w:r>
    </w:p>
    <w:p>
      <w:pPr>
        <w:pStyle w:val="zIndenta"/>
      </w:pPr>
      <w:r>
        <w:tab/>
        <w:t>(a)</w:t>
      </w:r>
      <w:r>
        <w:tab/>
        <w:t>the person is granted a driver’s licence for a period of 1 year in the circumstances mentioned in subregulation (2); and</w:t>
      </w:r>
    </w:p>
    <w:p>
      <w:pPr>
        <w:pStyle w:val="zIndenta"/>
      </w:pPr>
      <w:r>
        <w:tab/>
        <w:t>(b)</w:t>
      </w:r>
      <w:r>
        <w:tab/>
        <w:t xml:space="preserve">for a period of 1 year after the person is granted the licence, the person has not — </w:t>
      </w:r>
    </w:p>
    <w:p>
      <w:pPr>
        <w:pStyle w:val="zIndenti"/>
      </w:pPr>
      <w:r>
        <w:tab/>
        <w:t>(i)</w:t>
      </w:r>
      <w:r>
        <w:tab/>
        <w:t>been convicted of a motor vehicle offence; or</w:t>
      </w:r>
    </w:p>
    <w:p>
      <w:pPr>
        <w:pStyle w:val="zIndenti"/>
      </w:pPr>
      <w:r>
        <w:tab/>
        <w:t>(ii)</w:t>
      </w:r>
      <w:r>
        <w:tab/>
        <w:t>paid a modified penalty in relation to an infringement notice for a motor vehicle offence.</w:t>
      </w:r>
    </w:p>
    <w:p>
      <w:pPr>
        <w:pStyle w:val="zSubsection"/>
      </w:pPr>
      <w:r>
        <w:tab/>
        <w:t>(4)</w:t>
      </w:r>
      <w:r>
        <w:tab/>
        <w:t xml:space="preserve">On the grant of a driver’s licence to the person, by way of renewal of the person’s driver’s licence granted in the circumstances mentioned in subregulation (2) — </w:t>
      </w:r>
    </w:p>
    <w:p>
      <w:pPr>
        <w:pStyle w:val="zIndenta"/>
      </w:pPr>
      <w:r>
        <w:tab/>
        <w:t>(a)</w:t>
      </w:r>
      <w:r>
        <w:tab/>
        <w:t>if the licence is for a period of 1 year — no fee is payable; and</w:t>
      </w:r>
    </w:p>
    <w:p>
      <w:pPr>
        <w:pStyle w:val="zIndenta"/>
        <w:keepNext/>
      </w:pPr>
      <w:r>
        <w:lastRenderedPageBreak/>
        <w:tab/>
        <w:t>(b)</w:t>
      </w:r>
      <w:r>
        <w:tab/>
        <w:t>if the licence is for a period of more than 1 year — the fee for the licence must be reduced by $100.</w:t>
      </w:r>
    </w:p>
    <w:p>
      <w:pPr>
        <w:pStyle w:val="BlankClose"/>
      </w:pPr>
    </w:p>
    <w:p>
      <w:pPr>
        <w:pStyle w:val="Heading5"/>
      </w:pPr>
      <w:bookmarkStart w:id="32" w:name="_Toc183083136"/>
      <w:bookmarkStart w:id="33" w:name="_Toc183083295"/>
      <w:r>
        <w:rPr>
          <w:rStyle w:val="CharSectno"/>
        </w:rPr>
        <w:t>10</w:t>
      </w:r>
      <w:r>
        <w:t>.</w:t>
      </w:r>
      <w:r>
        <w:tab/>
        <w:t>Part 8 heading amended</w:t>
      </w:r>
      <w:bookmarkEnd w:id="32"/>
      <w:bookmarkEnd w:id="33"/>
    </w:p>
    <w:p>
      <w:pPr>
        <w:pStyle w:val="Subsection"/>
      </w:pPr>
      <w:r>
        <w:tab/>
      </w:r>
      <w:r>
        <w:tab/>
        <w:t>In the heading to Part 8 delete “</w:t>
      </w:r>
      <w:r>
        <w:rPr>
          <w:b/>
          <w:sz w:val="30"/>
        </w:rPr>
        <w:t xml:space="preserve">relating to </w:t>
      </w:r>
      <w:r>
        <w:rPr>
          <w:b/>
          <w:i/>
          <w:iCs/>
          <w:sz w:val="30"/>
        </w:rPr>
        <w:t>Road Traffic (Authorisation to Drive) Regulations 2014</w:t>
      </w:r>
      <w:r>
        <w:t>”.</w:t>
      </w:r>
    </w:p>
    <w:p>
      <w:pPr>
        <w:pStyle w:val="Heading5"/>
      </w:pPr>
      <w:bookmarkStart w:id="34" w:name="_Toc183083137"/>
      <w:bookmarkStart w:id="35" w:name="_Toc183083296"/>
      <w:r>
        <w:rPr>
          <w:rStyle w:val="CharSectno"/>
        </w:rPr>
        <w:t>11</w:t>
      </w:r>
      <w:r>
        <w:t>.</w:t>
      </w:r>
      <w:r>
        <w:tab/>
        <w:t>Part 8 Division 1 heading inserted</w:t>
      </w:r>
      <w:bookmarkEnd w:id="34"/>
      <w:bookmarkEnd w:id="35"/>
    </w:p>
    <w:p>
      <w:pPr>
        <w:pStyle w:val="Subsection"/>
      </w:pPr>
      <w:r>
        <w:tab/>
      </w:r>
      <w:r>
        <w:tab/>
        <w:t>At the beginning of Part 8 insert:</w:t>
      </w:r>
    </w:p>
    <w:p>
      <w:pPr>
        <w:pStyle w:val="BlankOpen"/>
      </w:pPr>
    </w:p>
    <w:p>
      <w:pPr>
        <w:pStyle w:val="zHeading3"/>
        <w:rPr>
          <w:i/>
        </w:rPr>
      </w:pPr>
      <w:bookmarkStart w:id="36" w:name="_Toc183083138"/>
      <w:bookmarkStart w:id="37" w:name="_Toc183083198"/>
      <w:bookmarkStart w:id="38" w:name="_Toc183083297"/>
      <w:r>
        <w:t xml:space="preserve">Division 1 — Transitional provisions for </w:t>
      </w:r>
      <w:r>
        <w:rPr>
          <w:i/>
        </w:rPr>
        <w:t>Road Traffic (Authorisation to Drive) Regulations 2014</w:t>
      </w:r>
      <w:bookmarkEnd w:id="36"/>
      <w:bookmarkEnd w:id="37"/>
      <w:bookmarkEnd w:id="38"/>
    </w:p>
    <w:p>
      <w:pPr>
        <w:pStyle w:val="BlankClose"/>
      </w:pPr>
    </w:p>
    <w:p>
      <w:pPr>
        <w:pStyle w:val="Heading5"/>
      </w:pPr>
      <w:bookmarkStart w:id="39" w:name="_Toc183083139"/>
      <w:bookmarkStart w:id="40" w:name="_Toc183083298"/>
      <w:r>
        <w:rPr>
          <w:rStyle w:val="CharSectno"/>
        </w:rPr>
        <w:t>12</w:t>
      </w:r>
      <w:r>
        <w:t>.</w:t>
      </w:r>
      <w:r>
        <w:tab/>
        <w:t>Regulation 82 amended</w:t>
      </w:r>
      <w:bookmarkEnd w:id="39"/>
      <w:bookmarkEnd w:id="40"/>
    </w:p>
    <w:p>
      <w:pPr>
        <w:pStyle w:val="Subsection"/>
      </w:pPr>
      <w:r>
        <w:tab/>
      </w:r>
      <w:r>
        <w:tab/>
        <w:t>In regulation 82 delete “Part —”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Division — </w:t>
      </w:r>
    </w:p>
    <w:p>
      <w:pPr>
        <w:pStyle w:val="BlankClose"/>
      </w:pPr>
    </w:p>
    <w:p>
      <w:pPr>
        <w:pStyle w:val="Heading5"/>
      </w:pPr>
      <w:bookmarkStart w:id="41" w:name="_Toc183083140"/>
      <w:bookmarkStart w:id="42" w:name="_Toc183083299"/>
      <w:r>
        <w:rPr>
          <w:rStyle w:val="CharSectno"/>
        </w:rPr>
        <w:t>13</w:t>
      </w:r>
      <w:r>
        <w:t>.</w:t>
      </w:r>
      <w:r>
        <w:tab/>
        <w:t>Regulation 83 amended</w:t>
      </w:r>
      <w:bookmarkEnd w:id="41"/>
      <w:bookmarkEnd w:id="42"/>
    </w:p>
    <w:p>
      <w:pPr>
        <w:pStyle w:val="Subsection"/>
      </w:pPr>
      <w:r>
        <w:tab/>
      </w:r>
      <w:r>
        <w:tab/>
        <w:t>In regulation 83 delete “Part”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Division </w:t>
      </w:r>
    </w:p>
    <w:p>
      <w:pPr>
        <w:pStyle w:val="BlankClose"/>
      </w:pPr>
    </w:p>
    <w:p>
      <w:pPr>
        <w:pStyle w:val="Heading5"/>
      </w:pPr>
      <w:bookmarkStart w:id="43" w:name="_Toc183083141"/>
      <w:bookmarkStart w:id="44" w:name="_Toc183083300"/>
      <w:r>
        <w:rPr>
          <w:rStyle w:val="CharSectno"/>
        </w:rPr>
        <w:lastRenderedPageBreak/>
        <w:t>14</w:t>
      </w:r>
      <w:r>
        <w:t>.</w:t>
      </w:r>
      <w:r>
        <w:tab/>
        <w:t>Part 8 Division 2 inserted</w:t>
      </w:r>
      <w:bookmarkEnd w:id="43"/>
      <w:bookmarkEnd w:id="44"/>
    </w:p>
    <w:p>
      <w:pPr>
        <w:pStyle w:val="Subsection"/>
        <w:keepNext/>
      </w:pPr>
      <w:r>
        <w:tab/>
      </w:r>
      <w:r>
        <w:tab/>
        <w:t>At the end of Part 8 insert:</w:t>
      </w:r>
    </w:p>
    <w:p>
      <w:pPr>
        <w:pStyle w:val="BlankOpen"/>
      </w:pPr>
    </w:p>
    <w:p>
      <w:pPr>
        <w:pStyle w:val="zHeading3"/>
      </w:pPr>
      <w:bookmarkStart w:id="45" w:name="_Toc183083142"/>
      <w:bookmarkStart w:id="46" w:name="_Toc183083202"/>
      <w:bookmarkStart w:id="47" w:name="_Toc183083301"/>
      <w:r>
        <w:t xml:space="preserve">Division 2 — Transitional provision for </w:t>
      </w:r>
      <w:r>
        <w:rPr>
          <w:i/>
        </w:rPr>
        <w:t>Transport Regulations Amendment (Road Traffic) Regulations 2024</w:t>
      </w:r>
      <w:bookmarkEnd w:id="45"/>
      <w:bookmarkEnd w:id="46"/>
      <w:bookmarkEnd w:id="47"/>
    </w:p>
    <w:p>
      <w:pPr>
        <w:pStyle w:val="zHeading5"/>
      </w:pPr>
      <w:bookmarkStart w:id="48" w:name="_Toc183083143"/>
      <w:bookmarkStart w:id="49" w:name="_Toc183083302"/>
      <w:r>
        <w:t>94.</w:t>
      </w:r>
      <w:r>
        <w:tab/>
        <w:t>Transitional provision for novice driver (type 1A) number of passengers restrictions</w:t>
      </w:r>
      <w:bookmarkEnd w:id="48"/>
      <w:bookmarkEnd w:id="49"/>
    </w:p>
    <w:p>
      <w:pPr>
        <w:pStyle w:val="zSubsection"/>
      </w:pPr>
      <w:r>
        <w:tab/>
      </w:r>
      <w:r>
        <w:tab/>
        <w:t xml:space="preserve">Regulation 11 applies in relation to a driver’s licence granted to a person who is a novice driver (type 1A) regardless of whether the licence was granted before, on or after regulation 7 of the </w:t>
      </w:r>
      <w:r>
        <w:rPr>
          <w:i/>
        </w:rPr>
        <w:t>Transport Regulations Amendment (Road Traffic) Regulations 2024</w:t>
      </w:r>
      <w:r>
        <w:t xml:space="preserve"> came into operation.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B29D2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96445C2" w14:textId="549A0415" w:rsidR="005E31CE" w:rsidRDefault="005E31C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D4E0FE" w14:textId="77777777" w:rsidR="005E31CE" w:rsidRDefault="005E31C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C84EFC" w14:textId="27512BA6" w:rsidR="005E31CE" w:rsidRDefault="005E31C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8AE3CE" w14:textId="77777777" w:rsidR="005E31CE" w:rsidRDefault="005E31C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(Road Traffic)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(Road Traffic)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(Road Traffic)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(Road Traffic)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0" w:name="Coversheet"/>
    <w:bookmarkEnd w:id="5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2112044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311009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31100924_GUID" w:val="4ceb6b8b-bf34-4f62-b1db-d814e341a0fa"/>
    <w:docVar w:name="WAFER_202411140904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4090413_GUID" w:val="4adfe420-fc19-4594-848d-99a30b81e9b4"/>
    <w:docVar w:name="WAFER_202411211204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21120447_GUID" w:val="e31038cf-bc89-4dca-b03b-d6f1a7f76b6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5:docId w15:val="{A5CB0404-8109-4BB3-9D80-FF0CC48B8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1364</Words>
  <Characters>6999</Characters>
  <Application>Microsoft Office Word</Application>
  <DocSecurity>0</DocSecurity>
  <Lines>279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(Road Traffic)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2025-06-09T03:26:00Z</dcterms:created>
  <dcterms:modified xsi:type="dcterms:W3CDTF">2025-06-09T03:26:00Z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55164</vt:lpwstr>
  </property>
  <property fmtid="{D5CDD505-2E9C-101B-9397-08002B2CF9AE}" pid="3" name="DocumentType">
    <vt:lpwstr>Reg</vt:lpwstr>
  </property>
  <property fmtid="{D5CDD505-2E9C-101B-9397-08002B2CF9AE}" pid="4" name="AsAtDate">
    <vt:lpwstr>27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2024/237</vt:lpwstr>
  </property>
  <property fmtid="{D5CDD505-2E9C-101B-9397-08002B2CF9AE}" pid="8" name="PublishDate">
    <vt:lpwstr>27 Nov 2024</vt:lpwstr>
  </property>
  <property fmtid="{D5CDD505-2E9C-101B-9397-08002B2CF9AE}" pid="9" name="CommencementDate">
    <vt:lpwstr>20241127</vt:lpwstr>
  </property>
  <property fmtid="{D5CDD505-2E9C-101B-9397-08002B2CF9AE}" pid="10" name="CommencementAsAt">
    <vt:filetime>2024-11-26T16:00:00Z</vt:filetime>
  </property>
  <property fmtid="{D5CDD505-2E9C-101B-9397-08002B2CF9AE}" pid="11" name="CommencementYear">
    <vt:lpwstr>2024</vt:lpwstr>
  </property>
</Properties>
</file>