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Environmental Protection Act 1986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Amendment Regulations (No. 4)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Amendment Regulations (No. 4)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_Toc183085207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_Toc183085208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_Toc183085209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2AA amended</w:t>
      </w:r>
      <w:r>
        <w:tab/>
      </w:r>
      <w:r>
        <w:fldChar w:fldCharType="begin"/>
      </w:r>
      <w:r>
        <w:instrText xml:space="preserve"> PAGEREF _Toc183085210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2C amended</w:t>
      </w:r>
      <w:r>
        <w:tab/>
      </w:r>
      <w:r>
        <w:fldChar w:fldCharType="begin"/>
      </w:r>
      <w:r>
        <w:instrText xml:space="preserve"> PAGEREF _Toc183085211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Part 2B inserted</w:t>
      </w:r>
      <w:r>
        <w:tab/>
      </w:r>
      <w:r>
        <w:fldChar w:fldCharType="begin"/>
      </w:r>
      <w:r>
        <w:instrText xml:space="preserve"> PAGEREF _Toc183085212 \h </w:instrText>
      </w:r>
      <w:r>
        <w:fldChar w:fldCharType="separate"/>
      </w:r>
      <w:r>
        <w:t>2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2B — Restricted decisions (Act s. 41)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3E.</w:t>
      </w:r>
      <w:r>
        <w:rPr>
          <w:noProof/>
        </w:rPr>
        <w:tab/>
        <w:t>Application of Part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_Toc183085214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3F.</w:t>
      </w:r>
      <w:r>
        <w:rPr>
          <w:noProof/>
        </w:rPr>
        <w:tab/>
        <w:t>Term used: petroleum activity involving hydraulic fracturing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_Toc183085215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3G.</w:t>
      </w:r>
      <w:r>
        <w:rPr>
          <w:noProof/>
        </w:rPr>
        <w:tab/>
        <w:t>Hydraulic fracturing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_Toc183085216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3H.</w:t>
      </w:r>
      <w:r>
        <w:rPr>
          <w:noProof/>
        </w:rPr>
        <w:tab/>
        <w:t>Planning and development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_Toc183085217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Environmental Protection Act 1986</w:t>
      </w:r>
    </w:p>
    <w:p>
      <w:pPr>
        <w:pStyle w:val="NameofActReg"/>
      </w:pPr>
      <w:r>
        <w:t>Environmental Protection Amendment Regulations (No. 4) 2024</w:t>
      </w:r>
    </w:p>
    <w:p>
      <w:pPr>
        <w:pStyle w:val="MadeBy"/>
      </w:pPr>
      <w:r>
        <w:t>Made by the deputy of the Governor in Executive Council.</w:t>
      </w:r>
    </w:p>
    <w:p>
      <w:pPr>
        <w:pStyle w:val="Heading5"/>
      </w:pPr>
      <w:bookmarkStart w:id="2" w:name="_Toc183085075"/>
      <w:bookmarkStart w:id="3" w:name="_Toc18308520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Environmental Protection Amendment Regulations (No. 4) 2024</w:t>
      </w:r>
      <w:r>
        <w:t>.</w:t>
      </w:r>
    </w:p>
    <w:p>
      <w:pPr>
        <w:pStyle w:val="Heading5"/>
        <w:rPr>
          <w:spacing w:val="-2"/>
        </w:rPr>
      </w:pPr>
      <w:bookmarkStart w:id="5" w:name="_Toc183085076"/>
      <w:bookmarkStart w:id="6" w:name="_Toc18308520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  <w:iCs/>
        </w:rPr>
        <w:t>Environmental Protection Amendment Act 2024</w:t>
      </w:r>
      <w:r>
        <w:t xml:space="preserve"> Part 4 Division 1 Subdivision 1 comes into operation.</w:t>
      </w:r>
    </w:p>
    <w:p>
      <w:pPr>
        <w:pStyle w:val="Heading5"/>
        <w:rPr>
          <w:snapToGrid w:val="0"/>
        </w:rPr>
      </w:pPr>
      <w:bookmarkStart w:id="7" w:name="_Toc183085077"/>
      <w:bookmarkStart w:id="8" w:name="_Toc18308520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Environmental Protection Regulations 1987</w:t>
      </w:r>
      <w:r>
        <w:t>.</w:t>
      </w:r>
    </w:p>
    <w:p>
      <w:pPr>
        <w:pStyle w:val="Heading5"/>
      </w:pPr>
      <w:bookmarkStart w:id="9" w:name="_Toc183085078"/>
      <w:bookmarkStart w:id="10" w:name="_Toc183085210"/>
      <w:r>
        <w:rPr>
          <w:rStyle w:val="CharSectno"/>
        </w:rPr>
        <w:t>4</w:t>
      </w:r>
      <w:r>
        <w:t>.</w:t>
      </w:r>
      <w:r>
        <w:tab/>
        <w:t>Regulation 2AA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regulation 2AA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hydraulic fracturing</w:t>
      </w:r>
      <w:r>
        <w:t xml:space="preserve"> has the meaning given in the </w:t>
      </w:r>
      <w:r>
        <w:rPr>
          <w:i/>
          <w:iCs/>
        </w:rPr>
        <w:t>Petroleum and Geothermal Energy Resources (Hydraulic Fracturing) Regulations 2017</w:t>
      </w:r>
      <w:r>
        <w:t xml:space="preserve"> regulation 3;</w:t>
      </w:r>
    </w:p>
    <w:p>
      <w:pPr>
        <w:pStyle w:val="zDefstart"/>
      </w:pPr>
      <w:r>
        <w:tab/>
      </w:r>
      <w:r>
        <w:rPr>
          <w:rStyle w:val="CharDefText"/>
        </w:rPr>
        <w:t>petroleum activity</w:t>
      </w:r>
      <w:r>
        <w:t xml:space="preserve"> has the meaning given in the PGER Environment Regulations regulation 4;</w:t>
      </w:r>
    </w:p>
    <w:p>
      <w:pPr>
        <w:pStyle w:val="zDefstart"/>
        <w:rPr>
          <w:i/>
          <w:iCs/>
        </w:rPr>
      </w:pPr>
      <w:r>
        <w:lastRenderedPageBreak/>
        <w:tab/>
      </w:r>
      <w:r>
        <w:rPr>
          <w:rStyle w:val="CharDefText"/>
        </w:rPr>
        <w:t>PGER Environment Regulations</w:t>
      </w:r>
      <w:r>
        <w:t xml:space="preserve"> means the </w:t>
      </w:r>
      <w:r>
        <w:rPr>
          <w:i/>
          <w:iCs/>
        </w:rPr>
        <w:t>Petroleum and Geothermal Energy Resources (Environment) Regulations 2012.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regulation 2AA in the definition of </w:t>
      </w:r>
      <w:r>
        <w:rPr>
          <w:b/>
          <w:bCs/>
          <w:i/>
          <w:iCs/>
        </w:rPr>
        <w:t>Landfill Waste Classification and Waste Definitions 1996</w:t>
      </w:r>
      <w:r>
        <w:t xml:space="preserve"> delete “time.”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time;</w:t>
      </w:r>
    </w:p>
    <w:p>
      <w:pPr>
        <w:pStyle w:val="BlankClose"/>
      </w:pPr>
    </w:p>
    <w:p>
      <w:pPr>
        <w:pStyle w:val="Heading5"/>
      </w:pPr>
      <w:bookmarkStart w:id="11" w:name="_Toc183085079"/>
      <w:bookmarkStart w:id="12" w:name="_Toc183085211"/>
      <w:r>
        <w:rPr>
          <w:rStyle w:val="CharSectno"/>
        </w:rPr>
        <w:t>5</w:t>
      </w:r>
      <w:r>
        <w:t>.</w:t>
      </w:r>
      <w:r>
        <w:tab/>
        <w:t>Regulation 2C amended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>In regulation 2C(1) delete the definitions of: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hydraulic fracturing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petroleum activity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PGER Environment Regulations</w:t>
      </w:r>
    </w:p>
    <w:p>
      <w:pPr>
        <w:pStyle w:val="Subsection"/>
      </w:pPr>
      <w:r>
        <w:tab/>
        <w:t>(2)</w:t>
      </w:r>
      <w:r>
        <w:tab/>
        <w:t xml:space="preserve">In regulation 2C(1) in the definition of </w:t>
      </w:r>
      <w:r>
        <w:rPr>
          <w:b/>
          <w:bCs/>
          <w:i/>
          <w:iCs/>
        </w:rPr>
        <w:t>existing petroleum authority area</w:t>
      </w:r>
      <w:r>
        <w:t xml:space="preserve"> delete “regulation 3A;”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regulation 3A.</w:t>
      </w:r>
    </w:p>
    <w:p>
      <w:pPr>
        <w:pStyle w:val="BlankClose"/>
      </w:pPr>
    </w:p>
    <w:p>
      <w:pPr>
        <w:pStyle w:val="Heading5"/>
      </w:pPr>
      <w:bookmarkStart w:id="13" w:name="_Toc183085080"/>
      <w:bookmarkStart w:id="14" w:name="_Toc183085212"/>
      <w:r>
        <w:rPr>
          <w:rStyle w:val="CharSectno"/>
        </w:rPr>
        <w:t>6</w:t>
      </w:r>
      <w:r>
        <w:t>.</w:t>
      </w:r>
      <w:r>
        <w:tab/>
        <w:t>Part 2B inserted</w:t>
      </w:r>
      <w:bookmarkEnd w:id="13"/>
      <w:bookmarkEnd w:id="14"/>
    </w:p>
    <w:p>
      <w:pPr>
        <w:pStyle w:val="Subsection"/>
        <w:keepNext/>
      </w:pPr>
      <w:r>
        <w:tab/>
      </w:r>
      <w:r>
        <w:tab/>
        <w:t>After regulation 3D insert:</w:t>
      </w:r>
    </w:p>
    <w:p>
      <w:pPr>
        <w:pStyle w:val="BlankOpen"/>
      </w:pPr>
    </w:p>
    <w:p>
      <w:pPr>
        <w:pStyle w:val="zHeading2"/>
      </w:pPr>
      <w:bookmarkStart w:id="15" w:name="_Toc183085081"/>
      <w:bookmarkStart w:id="16" w:name="_Toc183085142"/>
      <w:bookmarkStart w:id="17" w:name="_Toc183085213"/>
      <w:r>
        <w:t>Part 2B — Restricted decisions (Act s. 41)</w:t>
      </w:r>
      <w:bookmarkEnd w:id="15"/>
      <w:bookmarkEnd w:id="16"/>
      <w:bookmarkEnd w:id="17"/>
    </w:p>
    <w:p>
      <w:pPr>
        <w:pStyle w:val="zHeading5"/>
      </w:pPr>
      <w:bookmarkStart w:id="18" w:name="_Toc183085082"/>
      <w:bookmarkStart w:id="19" w:name="_Toc183085214"/>
      <w:r>
        <w:t>3E.</w:t>
      </w:r>
      <w:r>
        <w:tab/>
        <w:t>Application of Part</w:t>
      </w:r>
      <w:bookmarkEnd w:id="18"/>
      <w:bookmarkEnd w:id="19"/>
    </w:p>
    <w:p>
      <w:pPr>
        <w:pStyle w:val="zSubsection"/>
      </w:pPr>
      <w:r>
        <w:tab/>
      </w:r>
      <w:r>
        <w:tab/>
        <w:t xml:space="preserve">This Part applies for the purposes of the definition of </w:t>
      </w:r>
      <w:r>
        <w:rPr>
          <w:b/>
          <w:bCs/>
          <w:i/>
          <w:iCs/>
        </w:rPr>
        <w:t>restricted decision</w:t>
      </w:r>
      <w:r>
        <w:t xml:space="preserve"> in section 41(1A) of the Act.</w:t>
      </w:r>
    </w:p>
    <w:p>
      <w:pPr>
        <w:pStyle w:val="zHeading5"/>
      </w:pPr>
      <w:bookmarkStart w:id="20" w:name="_Toc183085083"/>
      <w:bookmarkStart w:id="21" w:name="_Toc183085215"/>
      <w:r>
        <w:lastRenderedPageBreak/>
        <w:t>3F.</w:t>
      </w:r>
      <w:r>
        <w:tab/>
        <w:t>Term used: petroleum activity involving hydraulic fracturing</w:t>
      </w:r>
      <w:bookmarkEnd w:id="20"/>
      <w:bookmarkEnd w:id="21"/>
    </w:p>
    <w:p>
      <w:pPr>
        <w:pStyle w:val="zSubsection"/>
      </w:pPr>
      <w:r>
        <w:tab/>
      </w:r>
      <w:r>
        <w:tab/>
        <w:t>In this Part —</w:t>
      </w:r>
    </w:p>
    <w:p>
      <w:pPr>
        <w:pStyle w:val="zDefstart"/>
      </w:pPr>
      <w:r>
        <w:tab/>
      </w:r>
      <w:r>
        <w:rPr>
          <w:rStyle w:val="CharDefText"/>
        </w:rPr>
        <w:t>petroleum activity involving hydraulic fracturing</w:t>
      </w:r>
      <w:r>
        <w:t> —</w:t>
      </w:r>
    </w:p>
    <w:p>
      <w:pPr>
        <w:pStyle w:val="zDefpara"/>
      </w:pPr>
      <w:r>
        <w:tab/>
        <w:t>(a)</w:t>
      </w:r>
      <w:r>
        <w:tab/>
        <w:t>means a petroleum activity that is or includes hydraulic fracturing; and</w:t>
      </w:r>
    </w:p>
    <w:p>
      <w:pPr>
        <w:pStyle w:val="zDefpara"/>
      </w:pPr>
      <w:r>
        <w:tab/>
        <w:t>(b)</w:t>
      </w:r>
      <w:r>
        <w:tab/>
        <w:t>includes a proposed activity and any stage of an activity.</w:t>
      </w:r>
    </w:p>
    <w:p>
      <w:pPr>
        <w:pStyle w:val="zHeading5"/>
      </w:pPr>
      <w:bookmarkStart w:id="22" w:name="_Toc183085084"/>
      <w:bookmarkStart w:id="23" w:name="_Toc183085216"/>
      <w:r>
        <w:t>3G.</w:t>
      </w:r>
      <w:r>
        <w:tab/>
        <w:t>Hydraulic fracturing</w:t>
      </w:r>
      <w:bookmarkEnd w:id="22"/>
      <w:bookmarkEnd w:id="23"/>
    </w:p>
    <w:p>
      <w:pPr>
        <w:pStyle w:val="zSubsection"/>
      </w:pPr>
      <w:r>
        <w:tab/>
      </w:r>
      <w:r>
        <w:tab/>
        <w:t xml:space="preserve">A decision is a restricted decision if it — </w:t>
      </w:r>
    </w:p>
    <w:p>
      <w:pPr>
        <w:pStyle w:val="zIndenta"/>
      </w:pPr>
      <w:r>
        <w:tab/>
        <w:t>(a)</w:t>
      </w:r>
      <w:r>
        <w:tab/>
        <w:t>relates to a petroleum activity involving hydraulic fracturing; and</w:t>
      </w:r>
    </w:p>
    <w:p>
      <w:pPr>
        <w:pStyle w:val="zIndenta"/>
      </w:pPr>
      <w:r>
        <w:tab/>
        <w:t>(b)</w:t>
      </w:r>
      <w:r>
        <w:tab/>
        <w:t xml:space="preserve">is made under any of the following provisions — </w:t>
      </w:r>
    </w:p>
    <w:p>
      <w:pPr>
        <w:pStyle w:val="zIndenti"/>
      </w:pPr>
      <w:r>
        <w:tab/>
        <w:t>(i)</w:t>
      </w:r>
      <w:r>
        <w:tab/>
        <w:t>the PGER Environment Regulations regulations 10, 11, 12, 22 and 23;</w:t>
      </w:r>
    </w:p>
    <w:p>
      <w:pPr>
        <w:pStyle w:val="zIndenti"/>
      </w:pPr>
      <w:r>
        <w:tab/>
        <w:t>(ii)</w:t>
      </w:r>
      <w:r>
        <w:tab/>
        <w:t xml:space="preserve">the </w:t>
      </w:r>
      <w:r>
        <w:rPr>
          <w:i/>
          <w:iCs/>
        </w:rPr>
        <w:t>Petroleum and Geothermal Energy Resources (Resource Management and Administration) Regulations 2015</w:t>
      </w:r>
      <w:r>
        <w:t xml:space="preserve"> regulations 13, 16, 44, 47, 51 and 59;</w:t>
      </w:r>
    </w:p>
    <w:p>
      <w:pPr>
        <w:pStyle w:val="zIndenti"/>
      </w:pPr>
      <w:r>
        <w:tab/>
        <w:t>(iii)</w:t>
      </w:r>
      <w:r>
        <w:tab/>
        <w:t xml:space="preserve">the </w:t>
      </w:r>
      <w:r>
        <w:rPr>
          <w:i/>
          <w:iCs/>
        </w:rPr>
        <w:t>Petroleum Pipelines (Environment) Regulations 2012</w:t>
      </w:r>
      <w:r>
        <w:t xml:space="preserve"> regulations 10, 11, 12, 22 and 23;</w:t>
      </w:r>
    </w:p>
    <w:p>
      <w:pPr>
        <w:pStyle w:val="zIndenti"/>
      </w:pPr>
      <w:r>
        <w:tab/>
        <w:t>(iv)</w:t>
      </w:r>
      <w:r>
        <w:tab/>
        <w:t xml:space="preserve">the </w:t>
      </w:r>
      <w:r>
        <w:rPr>
          <w:i/>
          <w:iCs/>
        </w:rPr>
        <w:t>Petroleum (Submerged Lands) (Environment) Regulations 2012</w:t>
      </w:r>
      <w:r>
        <w:t xml:space="preserve"> regulations 10, 11, 12, 22 and 23;</w:t>
      </w:r>
    </w:p>
    <w:p>
      <w:pPr>
        <w:pStyle w:val="zIndenti"/>
      </w:pPr>
      <w:r>
        <w:tab/>
        <w:t>(v)</w:t>
      </w:r>
      <w:r>
        <w:tab/>
        <w:t xml:space="preserve">the </w:t>
      </w:r>
      <w:r>
        <w:rPr>
          <w:i/>
          <w:iCs/>
        </w:rPr>
        <w:t>Petroleum (Submerged Lands) (Resource Management and Administration) Regulations 2015</w:t>
      </w:r>
      <w:r>
        <w:t xml:space="preserve"> regulations 13, 16, 21, 44, 47, 51 and 59.</w:t>
      </w:r>
    </w:p>
    <w:p>
      <w:pPr>
        <w:pStyle w:val="zHeading5"/>
      </w:pPr>
      <w:bookmarkStart w:id="24" w:name="_Toc183085085"/>
      <w:bookmarkStart w:id="25" w:name="_Toc183085217"/>
      <w:r>
        <w:lastRenderedPageBreak/>
        <w:t>3H.</w:t>
      </w:r>
      <w:r>
        <w:tab/>
        <w:t>Planning and development</w:t>
      </w:r>
      <w:bookmarkEnd w:id="24"/>
      <w:bookmarkEnd w:id="25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enabling Act</w:t>
      </w:r>
      <w:r>
        <w:t>,</w:t>
      </w:r>
      <w:r>
        <w:rPr>
          <w:b/>
          <w:bCs/>
        </w:rPr>
        <w:t xml:space="preserve"> </w:t>
      </w:r>
      <w:r>
        <w:rPr>
          <w:rStyle w:val="CharDefText"/>
        </w:rPr>
        <w:t>original jurisdiction</w:t>
      </w:r>
      <w:r>
        <w:t xml:space="preserve">, </w:t>
      </w:r>
      <w:r>
        <w:rPr>
          <w:rStyle w:val="CharDefText"/>
        </w:rPr>
        <w:t>review jurisdiction</w:t>
      </w:r>
      <w:r>
        <w:t xml:space="preserve"> and </w:t>
      </w:r>
      <w:r>
        <w:rPr>
          <w:rStyle w:val="CharDefText"/>
        </w:rPr>
        <w:t>Tribunal</w:t>
      </w:r>
      <w:r>
        <w:t xml:space="preserve"> have the meanings given in the </w:t>
      </w:r>
      <w:r>
        <w:rPr>
          <w:i/>
          <w:iCs/>
        </w:rPr>
        <w:t>State Administrative Tribunal Act 2004</w:t>
      </w:r>
      <w:r>
        <w:t xml:space="preserve"> section 3(1);</w:t>
      </w:r>
    </w:p>
    <w:p>
      <w:pPr>
        <w:pStyle w:val="zDefstart"/>
      </w:pPr>
      <w:r>
        <w:tab/>
      </w:r>
      <w:r>
        <w:rPr>
          <w:rStyle w:val="CharDefText"/>
        </w:rPr>
        <w:t>planning legislation</w:t>
      </w:r>
      <w:r>
        <w:t xml:space="preserve"> means any of the following — </w:t>
      </w:r>
    </w:p>
    <w:p>
      <w:pPr>
        <w:pStyle w:val="zDefpara"/>
      </w:pPr>
      <w:r>
        <w:tab/>
        <w:t>(a)</w:t>
      </w:r>
      <w:r>
        <w:tab/>
        <w:t xml:space="preserve">the </w:t>
      </w:r>
      <w:r>
        <w:rPr>
          <w:i/>
          <w:iCs/>
        </w:rPr>
        <w:t>Community Titles Act 2018</w:t>
      </w:r>
      <w:r>
        <w:t>;</w:t>
      </w:r>
    </w:p>
    <w:p>
      <w:pPr>
        <w:pStyle w:val="zDefpara"/>
      </w:pPr>
      <w:r>
        <w:tab/>
        <w:t>(b)</w:t>
      </w:r>
      <w:r>
        <w:tab/>
        <w:t xml:space="preserve">the </w:t>
      </w:r>
      <w:r>
        <w:rPr>
          <w:i/>
          <w:iCs/>
        </w:rPr>
        <w:t>Forrest Place and City Station Development Act 1985</w:t>
      </w:r>
      <w:r>
        <w:t>;</w:t>
      </w:r>
    </w:p>
    <w:p>
      <w:pPr>
        <w:pStyle w:val="zDefpara"/>
      </w:pPr>
      <w:r>
        <w:tab/>
        <w:t>(c)</w:t>
      </w:r>
      <w:r>
        <w:tab/>
        <w:t xml:space="preserve">the </w:t>
      </w:r>
      <w:r>
        <w:rPr>
          <w:i/>
          <w:iCs/>
        </w:rPr>
        <w:t>Hope Valley</w:t>
      </w:r>
      <w:r>
        <w:rPr>
          <w:i/>
          <w:iCs/>
        </w:rPr>
        <w:noBreakHyphen/>
        <w:t>Wattleup Redevelopment Act 2000</w:t>
      </w:r>
      <w:r>
        <w:t>;</w:t>
      </w:r>
    </w:p>
    <w:p>
      <w:pPr>
        <w:pStyle w:val="zDefpara"/>
      </w:pPr>
      <w:r>
        <w:tab/>
        <w:t>(d)</w:t>
      </w:r>
      <w:r>
        <w:tab/>
        <w:t xml:space="preserve">the </w:t>
      </w:r>
      <w:r>
        <w:rPr>
          <w:i/>
          <w:iCs/>
        </w:rPr>
        <w:t>Metropolitan Redevelopment Authority Act 2011</w:t>
      </w:r>
      <w:r>
        <w:t>;</w:t>
      </w:r>
    </w:p>
    <w:p>
      <w:pPr>
        <w:pStyle w:val="zDefpara"/>
      </w:pPr>
      <w:r>
        <w:tab/>
        <w:t>(e)</w:t>
      </w:r>
      <w:r>
        <w:tab/>
        <w:t xml:space="preserve">the </w:t>
      </w:r>
      <w:r>
        <w:rPr>
          <w:i/>
          <w:iCs/>
        </w:rPr>
        <w:t>Perry Lakes Redevelopment Act 2005</w:t>
      </w:r>
      <w:r>
        <w:t>;</w:t>
      </w:r>
    </w:p>
    <w:p>
      <w:pPr>
        <w:pStyle w:val="zDefpara"/>
      </w:pPr>
      <w:r>
        <w:tab/>
        <w:t>(f)</w:t>
      </w:r>
      <w:r>
        <w:tab/>
        <w:t xml:space="preserve">the </w:t>
      </w:r>
      <w:r>
        <w:rPr>
          <w:i/>
          <w:iCs/>
        </w:rPr>
        <w:t>Planning and Development Act 2005</w:t>
      </w:r>
      <w:r>
        <w:t>;</w:t>
      </w:r>
    </w:p>
    <w:p>
      <w:pPr>
        <w:pStyle w:val="zDefpara"/>
      </w:pPr>
      <w:r>
        <w:tab/>
        <w:t>(g)</w:t>
      </w:r>
      <w:r>
        <w:tab/>
        <w:t xml:space="preserve">the </w:t>
      </w:r>
      <w:r>
        <w:rPr>
          <w:i/>
          <w:iCs/>
        </w:rPr>
        <w:t>Port Authorities Act 1999</w:t>
      </w:r>
      <w:r>
        <w:t>;</w:t>
      </w:r>
    </w:p>
    <w:p>
      <w:pPr>
        <w:pStyle w:val="zDefpara"/>
      </w:pPr>
      <w:r>
        <w:tab/>
        <w:t>(h)</w:t>
      </w:r>
      <w:r>
        <w:tab/>
        <w:t xml:space="preserve">the </w:t>
      </w:r>
      <w:r>
        <w:rPr>
          <w:i/>
          <w:iCs/>
        </w:rPr>
        <w:t>Strata Titles Act 1985</w:t>
      </w:r>
      <w:r>
        <w:t>;</w:t>
      </w:r>
    </w:p>
    <w:p>
      <w:pPr>
        <w:pStyle w:val="zDefpara"/>
      </w:pPr>
      <w:r>
        <w:tab/>
        <w:t>(i)</w:t>
      </w:r>
      <w:r>
        <w:tab/>
        <w:t xml:space="preserve">the </w:t>
      </w:r>
      <w:r>
        <w:rPr>
          <w:i/>
          <w:iCs/>
        </w:rPr>
        <w:t>Swan and Canning Rivers Management Act 2006</w:t>
      </w:r>
      <w:r>
        <w:t xml:space="preserve"> Part 5;</w:t>
      </w:r>
    </w:p>
    <w:p>
      <w:pPr>
        <w:pStyle w:val="zDefpara"/>
      </w:pPr>
      <w:r>
        <w:tab/>
        <w:t>(j)</w:t>
      </w:r>
      <w:r>
        <w:tab/>
        <w:t xml:space="preserve">the </w:t>
      </w:r>
      <w:r>
        <w:rPr>
          <w:i/>
          <w:iCs/>
        </w:rPr>
        <w:t>Swan Valley Planning Act 2020</w:t>
      </w:r>
      <w:r>
        <w:t>;</w:t>
      </w:r>
    </w:p>
    <w:p>
      <w:pPr>
        <w:pStyle w:val="zDefpara"/>
      </w:pPr>
      <w:r>
        <w:tab/>
        <w:t>(k)</w:t>
      </w:r>
      <w:r>
        <w:tab/>
        <w:t xml:space="preserve">without limiting the application of the </w:t>
      </w:r>
      <w:r>
        <w:rPr>
          <w:i/>
          <w:iCs/>
        </w:rPr>
        <w:t>Interpretation Act 1984</w:t>
      </w:r>
      <w:r>
        <w:t xml:space="preserve"> section 46(1) to paragraphs (a) to (j), a plan or scheme referred to in paragraph (c), (d), (f), (g), (i) or (j) of the definition of </w:t>
      </w:r>
      <w:r>
        <w:rPr>
          <w:b/>
          <w:bCs/>
          <w:i/>
          <w:iCs/>
        </w:rPr>
        <w:t>scheme</w:t>
      </w:r>
      <w:r>
        <w:t xml:space="preserve"> in section 3(1) of the Act.</w:t>
      </w:r>
    </w:p>
    <w:p>
      <w:pPr>
        <w:pStyle w:val="zSubsection"/>
      </w:pPr>
      <w:r>
        <w:tab/>
        <w:t>(2)</w:t>
      </w:r>
      <w:r>
        <w:tab/>
        <w:t>A decision made under planning legislation is a restricted decision.</w:t>
      </w:r>
    </w:p>
    <w:p>
      <w:pPr>
        <w:pStyle w:val="zSubsection"/>
      </w:pPr>
      <w:r>
        <w:tab/>
        <w:t>(3)</w:t>
      </w:r>
      <w:r>
        <w:tab/>
        <w:t xml:space="preserve">A decision of the Tribunal is a restricted decision if — </w:t>
      </w:r>
    </w:p>
    <w:p>
      <w:pPr>
        <w:pStyle w:val="zIndenta"/>
      </w:pPr>
      <w:r>
        <w:tab/>
        <w:t>(a)</w:t>
      </w:r>
      <w:r>
        <w:tab/>
        <w:t>the enabling Act in respect of the decision is planning legislation (or a portion of planning legislation); or</w:t>
      </w:r>
    </w:p>
    <w:p>
      <w:pPr>
        <w:pStyle w:val="zIndenta"/>
      </w:pPr>
      <w:r>
        <w:lastRenderedPageBreak/>
        <w:tab/>
        <w:t>(b)</w:t>
      </w:r>
      <w:r>
        <w:tab/>
        <w:t xml:space="preserve">the decision otherwise relates to — </w:t>
      </w:r>
    </w:p>
    <w:p>
      <w:pPr>
        <w:pStyle w:val="zIndenti"/>
      </w:pPr>
      <w:r>
        <w:tab/>
        <w:t>(i)</w:t>
      </w:r>
      <w:r>
        <w:tab/>
        <w:t>a decision of another public authority made under planning legislation (including in a case where the other public authority is taken to have made the decision); or</w:t>
      </w:r>
    </w:p>
    <w:p>
      <w:pPr>
        <w:pStyle w:val="zIndenti"/>
      </w:pPr>
      <w:r>
        <w:tab/>
        <w:t>(ii)</w:t>
      </w:r>
      <w:r>
        <w:tab/>
        <w:t>a failure or omission by another public authority to make a decision under planning legislation.</w:t>
      </w:r>
    </w:p>
    <w:p>
      <w:pPr>
        <w:pStyle w:val="zSubsection"/>
      </w:pPr>
      <w:r>
        <w:tab/>
        <w:t>(4)</w:t>
      </w:r>
      <w:r>
        <w:tab/>
        <w:t xml:space="preserve">Subregulation (3) applies whether the Tribunal is acting — </w:t>
      </w:r>
    </w:p>
    <w:p>
      <w:pPr>
        <w:pStyle w:val="zIndenta"/>
      </w:pPr>
      <w:r>
        <w:tab/>
        <w:t>(a)</w:t>
      </w:r>
      <w:r>
        <w:tab/>
        <w:t>in the exercise of its original jurisdiction or review jurisdiction; or</w:t>
      </w:r>
    </w:p>
    <w:p>
      <w:pPr>
        <w:pStyle w:val="zIndenta"/>
      </w:pPr>
      <w:r>
        <w:tab/>
        <w:t>(b)</w:t>
      </w:r>
      <w:r>
        <w:tab/>
        <w:t>in any other case.</w:t>
      </w:r>
    </w:p>
    <w:p>
      <w:pPr>
        <w:pStyle w:val="zSubsection"/>
      </w:pPr>
      <w:r>
        <w:tab/>
        <w:t>(5)</w:t>
      </w:r>
      <w:r>
        <w:tab/>
        <w:t>Subregulation (3) does not limit the application of subregulation (2) to decisions of the Tribunal.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pPr>
        <w:rPr>
          <w:rStyle w:val="DraftersNotes"/>
          <w:i w:val="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E45E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7419664" w14:textId="68434D9E" w:rsidR="00504E7C" w:rsidRDefault="00504E7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A3343DF" w14:textId="77777777" w:rsidR="00504E7C" w:rsidRDefault="00504E7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BBF936C" w14:textId="19FFA306" w:rsidR="00504E7C" w:rsidRDefault="00504E7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F876A6B" w14:textId="77777777" w:rsidR="00504E7C" w:rsidRDefault="00504E7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Amendment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Amendment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Amendment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Amendment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21"/>
  </w:num>
  <w:num w:numId="5">
    <w:abstractNumId w:val="18"/>
  </w:num>
  <w:num w:numId="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12112364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8291109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829110909_GUID" w:val="0ca27b87-c735-45e2-8fe0-c4c4ab36ce4d"/>
    <w:docVar w:name="WAFER_202410291110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29111046_GUID" w:val="4ce97633-acd8-4c2a-b9e6-623c117cf756"/>
    <w:docVar w:name="WAFER_202410291312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29131203_GUID" w:val="c303758a-e5f4-46bc-84dc-08f22c31da25"/>
    <w:docVar w:name="WAFER_202411211236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121123649_GUID" w:val="a77ba0d8-8ac3-4b00-9eb8-f36b95250f0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  <w15:docId w15:val="{B5969E60-3203-4550-8BF0-119507B3B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896</Words>
  <Characters>5006</Characters>
  <Application>Microsoft Office Word</Application>
  <DocSecurity>0</DocSecurity>
  <Lines>185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Amendment Regulations (No. 4) 2024 - 00-00-00</dc:title>
  <dc:subject/>
  <dc:creator/>
  <cp:keywords/>
  <dc:description/>
  <cp:lastModifiedBy>Master Repository Process</cp:lastModifiedBy>
  <cp:revision>4</cp:revision>
  <cp:lastPrinted>2024-09-09T08:40:00Z</cp:lastPrinted>
  <dcterms:created xsi:type="dcterms:W3CDTF">2025-07-04T05:34:00Z</dcterms:created>
  <dcterms:modified xsi:type="dcterms:W3CDTF">2025-07-04T05:34:00Z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55040</vt:lpwstr>
  </property>
  <property fmtid="{D5CDD505-2E9C-101B-9397-08002B2CF9AE}" pid="3" name="DocumentType">
    <vt:lpwstr>Reg</vt:lpwstr>
  </property>
  <property fmtid="{D5CDD505-2E9C-101B-9397-08002B2CF9AE}" pid="4" name="AsAtDate">
    <vt:lpwstr>27 Nov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2024/244</vt:lpwstr>
  </property>
  <property fmtid="{D5CDD505-2E9C-101B-9397-08002B2CF9AE}" pid="8" name="PublishDate">
    <vt:lpwstr>27 Nov 2024</vt:lpwstr>
  </property>
  <property fmtid="{D5CDD505-2E9C-101B-9397-08002B2CF9AE}" pid="9" name="CommencementDate">
    <vt:lpwstr>20241127</vt:lpwstr>
  </property>
  <property fmtid="{D5CDD505-2E9C-101B-9397-08002B2CF9AE}" pid="10" name="CommencementAsAt">
    <vt:filetime>2024-11-26T16:00:00Z</vt:filetime>
  </property>
  <property fmtid="{D5CDD505-2E9C-101B-9397-08002B2CF9AE}" pid="11" name="CommencementYear">
    <vt:lpwstr>2024</vt:lpwstr>
  </property>
</Properties>
</file>