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_Toc183090281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_Toc183090282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_Toc183090283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_Toc183090285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_Toc183090286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_Toc183090287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_Toc183090288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_Toc183090289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_Toc183090290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_Toc183090292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_Toc183090293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_Toc183090296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_Toc183090297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_Toc183090298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_Toc183090299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_Toc183090300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_Toc183090301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_Toc183090302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_Toc183090303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_Toc183090305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_Toc183090308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_Toc183090309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_Toc183090310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_Toc183090311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_Toc183090312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_Toc183090313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_Toc183090314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_Toc183090315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_Toc183090316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_Toc183090318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_Toc183090320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_Toc183090321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_Toc183090322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_Toc183090323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_Toc183090324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_Toc183090325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_Toc183090326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_Toc183090327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_Toc183090329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_Toc183090330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_Toc183090331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_Toc183090332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_Toc183090334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_Toc183090336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_Toc183090338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_Toc183090339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_Toc183090340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_Toc183090341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_Toc183090342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_Toc183090343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_Toc183090344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_Toc183090345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_Toc183090346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_Toc183090347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_Toc183090348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_Toc183090349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_Toc183090350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_Toc183090351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_Toc183090352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_Toc183090353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_Toc183090354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_Toc183090358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_Toc183090359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_Toc183090360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_Toc183090361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_Toc183090363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_Toc183090364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_Toc183090365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_Toc183090366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_Toc183090367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_Toc183090368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_Toc183090369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_Toc183090370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_Toc183090371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_Toc183090372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_Toc183090373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_Toc183090374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_Toc183090376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_Toc183090377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83088835"/>
      <w:bookmarkStart w:id="3" w:name="_Toc183089556"/>
      <w:bookmarkStart w:id="4" w:name="_Toc1830902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3090281"/>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183090282"/>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83090283"/>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183088839"/>
      <w:bookmarkStart w:id="9" w:name="_Toc183089560"/>
      <w:bookmarkStart w:id="10" w:name="_Toc183090284"/>
      <w:r>
        <w:rPr>
          <w:rStyle w:val="CharPartNo"/>
        </w:rPr>
        <w:lastRenderedPageBreak/>
        <w:t>Part 2</w:t>
      </w:r>
      <w:r>
        <w:t> — </w:t>
      </w:r>
      <w:r>
        <w:rPr>
          <w:rStyle w:val="CharPartText"/>
        </w:rPr>
        <w:t>General</w:t>
      </w:r>
      <w:bookmarkEnd w:id="8"/>
      <w:bookmarkEnd w:id="9"/>
      <w:bookmarkEnd w:id="10"/>
    </w:p>
    <w:p>
      <w:pPr>
        <w:pStyle w:val="Heading5"/>
      </w:pPr>
      <w:bookmarkStart w:id="11" w:name="_Toc183090285"/>
      <w:r>
        <w:rPr>
          <w:rStyle w:val="CharSectno"/>
        </w:rPr>
        <w:t>4</w:t>
      </w:r>
      <w:r>
        <w:t>.</w:t>
      </w:r>
      <w:r>
        <w:tab/>
        <w:t>Forms prescribed</w:t>
      </w:r>
      <w:bookmarkEnd w:id="11"/>
    </w:p>
    <w:p>
      <w:pPr>
        <w:pStyle w:val="Subsection"/>
      </w:pPr>
      <w:r>
        <w:tab/>
      </w:r>
      <w:r>
        <w:tab/>
        <w:t>Each form in Schedule 1 is prescribed for the purposes for which it is applicable, whether under the CPA or another Act referred to in the form.</w:t>
      </w:r>
    </w:p>
    <w:p>
      <w:pPr>
        <w:pStyle w:val="Heading5"/>
      </w:pPr>
      <w:bookmarkStart w:id="12" w:name="_Toc183090286"/>
      <w:r>
        <w:rPr>
          <w:rStyle w:val="CharSectno"/>
        </w:rPr>
        <w:t>4A</w:t>
      </w:r>
      <w:r>
        <w:t>.</w:t>
      </w:r>
      <w:r>
        <w:tab/>
        <w:t>Authorisation of persons to lodge documents by means of ECMS</w:t>
      </w:r>
      <w:bookmarkEnd w:id="1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3" w:name="_Toc183090287"/>
      <w:r>
        <w:rPr>
          <w:rStyle w:val="CharSectno"/>
        </w:rPr>
        <w:t>4B</w:t>
      </w:r>
      <w:r>
        <w:t>.</w:t>
      </w:r>
      <w:r>
        <w:tab/>
        <w:t>Means of completing prescribed forms electronically</w:t>
      </w:r>
      <w:bookmarkEnd w:id="13"/>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4" w:name="_Toc183090288"/>
      <w:r>
        <w:rPr>
          <w:rStyle w:val="CharSectno"/>
        </w:rPr>
        <w:t>5</w:t>
      </w:r>
      <w:r>
        <w:t>.</w:t>
      </w:r>
      <w:r>
        <w:tab/>
        <w:t>Forms, completion of</w:t>
      </w:r>
      <w:bookmarkEnd w:id="1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 w:name="_Toc183090289"/>
      <w:r>
        <w:rPr>
          <w:rStyle w:val="CharSectno"/>
        </w:rPr>
        <w:t>5A</w:t>
      </w:r>
      <w:r>
        <w:t>.</w:t>
      </w:r>
      <w:r>
        <w:tab/>
        <w:t>Warrants issued electronically</w:t>
      </w:r>
      <w:bookmarkEnd w:id="1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6" w:name="_Toc183090290"/>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83088846"/>
      <w:bookmarkStart w:id="18" w:name="_Toc183089567"/>
      <w:bookmarkStart w:id="19" w:name="_Toc183090291"/>
      <w:r>
        <w:rPr>
          <w:rStyle w:val="CharPartNo"/>
        </w:rPr>
        <w:lastRenderedPageBreak/>
        <w:t>Part 3</w:t>
      </w:r>
      <w:r>
        <w:rPr>
          <w:rStyle w:val="CharDivNo"/>
        </w:rPr>
        <w:t> </w:t>
      </w:r>
      <w:r>
        <w:t>—</w:t>
      </w:r>
      <w:r>
        <w:rPr>
          <w:rStyle w:val="CharDivText"/>
        </w:rPr>
        <w:t> </w:t>
      </w:r>
      <w:r>
        <w:rPr>
          <w:rStyle w:val="CharPartText"/>
        </w:rPr>
        <w:t>CPA Part 2 regulations</w:t>
      </w:r>
      <w:bookmarkEnd w:id="17"/>
      <w:bookmarkEnd w:id="18"/>
      <w:bookmarkEnd w:id="19"/>
    </w:p>
    <w:p>
      <w:pPr>
        <w:pStyle w:val="Heading5"/>
      </w:pPr>
      <w:bookmarkStart w:id="20" w:name="_Toc183090292"/>
      <w:r>
        <w:rPr>
          <w:rStyle w:val="CharSectno"/>
        </w:rPr>
        <w:t>6A</w:t>
      </w:r>
      <w:r>
        <w:t>.</w:t>
      </w:r>
      <w:r>
        <w:tab/>
        <w:t xml:space="preserve">Acts prescribed (Act s. 4 </w:t>
      </w:r>
      <w:r>
        <w:rPr>
          <w:i/>
        </w:rPr>
        <w:t>prescribed Act</w:t>
      </w:r>
      <w:r>
        <w:t>)</w:t>
      </w:r>
      <w:bookmarkEnd w:id="2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1" w:name="_Toc183090293"/>
      <w:r>
        <w:rPr>
          <w:rStyle w:val="CharSectno"/>
        </w:rPr>
        <w:t>7</w:t>
      </w:r>
      <w:r>
        <w:t>.</w:t>
      </w:r>
      <w:r>
        <w:tab/>
        <w:t xml:space="preserve">Laws prescribed (Act s. 11 </w:t>
      </w:r>
      <w:r>
        <w:rPr>
          <w:i/>
        </w:rPr>
        <w:t>corresponding law</w:t>
      </w:r>
      <w:r>
        <w:t>)</w:t>
      </w:r>
      <w:bookmarkEnd w:id="2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2" w:name="_Toc183088849"/>
      <w:bookmarkStart w:id="23" w:name="_Toc183089570"/>
      <w:bookmarkStart w:id="24" w:name="_Toc183090294"/>
      <w:r>
        <w:rPr>
          <w:rStyle w:val="CharPartNo"/>
        </w:rPr>
        <w:lastRenderedPageBreak/>
        <w:t>Part 4</w:t>
      </w:r>
      <w:r>
        <w:t> — </w:t>
      </w:r>
      <w:r>
        <w:rPr>
          <w:rStyle w:val="CharPartText"/>
        </w:rPr>
        <w:t>CPA Part 3 regulations</w:t>
      </w:r>
      <w:bookmarkEnd w:id="22"/>
      <w:bookmarkEnd w:id="23"/>
      <w:bookmarkEnd w:id="24"/>
    </w:p>
    <w:p>
      <w:pPr>
        <w:pStyle w:val="Heading3"/>
        <w:spacing w:before="220"/>
      </w:pPr>
      <w:bookmarkStart w:id="25" w:name="_Toc183088850"/>
      <w:bookmarkStart w:id="26" w:name="_Toc183089571"/>
      <w:bookmarkStart w:id="27" w:name="_Toc183090295"/>
      <w:r>
        <w:rPr>
          <w:rStyle w:val="CharDivNo"/>
        </w:rPr>
        <w:t>Division 1</w:t>
      </w:r>
      <w:r>
        <w:t> — </w:t>
      </w:r>
      <w:r>
        <w:rPr>
          <w:rStyle w:val="CharDivText"/>
        </w:rPr>
        <w:t>General</w:t>
      </w:r>
      <w:bookmarkEnd w:id="25"/>
      <w:bookmarkEnd w:id="26"/>
      <w:bookmarkEnd w:id="27"/>
    </w:p>
    <w:p>
      <w:pPr>
        <w:pStyle w:val="Heading5"/>
      </w:pPr>
      <w:bookmarkStart w:id="28" w:name="_Toc183090296"/>
      <w:r>
        <w:rPr>
          <w:rStyle w:val="CharSectno"/>
        </w:rPr>
        <w:t>7A</w:t>
      </w:r>
      <w:r>
        <w:t>.</w:t>
      </w:r>
      <w:r>
        <w:tab/>
        <w:t>Public authorities prescribed</w:t>
      </w:r>
      <w:bookmarkEnd w:id="28"/>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9" w:name="_Toc183090297"/>
      <w:r>
        <w:rPr>
          <w:rStyle w:val="CharSectno"/>
        </w:rPr>
        <w:t>8</w:t>
      </w:r>
      <w:r>
        <w:t>.</w:t>
      </w:r>
      <w:r>
        <w:tab/>
        <w:t>Prosecution notice, form and content of etc.</w:t>
      </w:r>
      <w:bookmarkEnd w:id="29"/>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0" w:name="_Toc183090298"/>
      <w:r>
        <w:rPr>
          <w:rStyle w:val="CharSectno"/>
        </w:rPr>
        <w:lastRenderedPageBreak/>
        <w:t>9</w:t>
      </w:r>
      <w:r>
        <w:t>.</w:t>
      </w:r>
      <w:r>
        <w:tab/>
        <w:t>Arrest warrant for accused, how application for to be made (Act s. 28)</w:t>
      </w:r>
      <w:bookmarkEnd w:id="3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1" w:name="_Toc183090299"/>
      <w:r>
        <w:rPr>
          <w:rStyle w:val="CharSectno"/>
        </w:rPr>
        <w:t>10</w:t>
      </w:r>
      <w:r>
        <w:t>.</w:t>
      </w:r>
      <w:r>
        <w:tab/>
        <w:t xml:space="preserve">Simple offences prescribed (Act s. 35(1) </w:t>
      </w:r>
      <w:r>
        <w:rPr>
          <w:i/>
        </w:rPr>
        <w:t>prescribed simple offence</w:t>
      </w:r>
      <w:r>
        <w:t>)</w:t>
      </w:r>
      <w:bookmarkEnd w:id="31"/>
    </w:p>
    <w:p>
      <w:pPr>
        <w:pStyle w:val="Subsection"/>
      </w:pPr>
      <w:r>
        <w:tab/>
      </w:r>
      <w:r>
        <w:tab/>
        <w:t>For the purposes of the CPA section 35, the offences listed in Schedule 3 are prescribed as prescribed simple offences.</w:t>
      </w:r>
    </w:p>
    <w:p>
      <w:pPr>
        <w:pStyle w:val="Heading5"/>
      </w:pPr>
      <w:bookmarkStart w:id="32" w:name="_Toc183090300"/>
      <w:r>
        <w:rPr>
          <w:rStyle w:val="CharSectno"/>
        </w:rPr>
        <w:t>11</w:t>
      </w:r>
      <w:r>
        <w:t>.</w:t>
      </w:r>
      <w:r>
        <w:tab/>
        <w:t>Periods prescribed (Act s. 45)</w:t>
      </w:r>
      <w:bookmarkEnd w:id="3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3" w:name="_Toc183090301"/>
      <w:r>
        <w:rPr>
          <w:rStyle w:val="CharSectno"/>
        </w:rPr>
        <w:t>12</w:t>
      </w:r>
      <w:r>
        <w:t>.</w:t>
      </w:r>
      <w:r>
        <w:tab/>
        <w:t xml:space="preserve">Simple offences prescribed (Act s. 60(1) </w:t>
      </w:r>
      <w:r>
        <w:rPr>
          <w:i/>
        </w:rPr>
        <w:t>listed simple offence</w:t>
      </w:r>
      <w:r>
        <w:t>)</w:t>
      </w:r>
      <w:bookmarkEnd w:id="33"/>
    </w:p>
    <w:p>
      <w:pPr>
        <w:pStyle w:val="Subsection"/>
        <w:spacing w:before="120"/>
      </w:pPr>
      <w:r>
        <w:tab/>
      </w:r>
      <w:r>
        <w:tab/>
        <w:t>For the purposes of the CPA section 60, the offences listed in Schedule 4 are prescribed as listed simple offences.</w:t>
      </w:r>
    </w:p>
    <w:p>
      <w:pPr>
        <w:pStyle w:val="Heading5"/>
      </w:pPr>
      <w:bookmarkStart w:id="34" w:name="_Toc183090302"/>
      <w:r>
        <w:rPr>
          <w:rStyle w:val="CharSectno"/>
        </w:rPr>
        <w:t>13A</w:t>
      </w:r>
      <w:r>
        <w:t>.</w:t>
      </w:r>
      <w:r>
        <w:tab/>
        <w:t>Recording of matters on prosecution notice (Act s. 47(1) and 68)</w:t>
      </w:r>
      <w:bookmarkEnd w:id="34"/>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5" w:name="_Toc183090303"/>
      <w:r>
        <w:rPr>
          <w:rStyle w:val="CharSectno"/>
        </w:rPr>
        <w:lastRenderedPageBreak/>
        <w:t>13B</w:t>
      </w:r>
      <w:r>
        <w:t>.</w:t>
      </w:r>
      <w:r>
        <w:tab/>
        <w:t>Recording of service information in service certificate</w:t>
      </w:r>
      <w:bookmarkEnd w:id="35"/>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6" w:name="_Toc183088859"/>
      <w:bookmarkStart w:id="37" w:name="_Toc183089580"/>
      <w:bookmarkStart w:id="38" w:name="_Toc183090304"/>
      <w:r>
        <w:rPr>
          <w:rStyle w:val="CharDivNo"/>
        </w:rPr>
        <w:t>Division 1A</w:t>
      </w:r>
      <w:r>
        <w:t> — </w:t>
      </w:r>
      <w:r>
        <w:rPr>
          <w:rStyle w:val="CharDivText"/>
        </w:rPr>
        <w:t>Applications and notice for Bail Act 1982 s. 54 in courts of summary jurisdiction</w:t>
      </w:r>
      <w:bookmarkEnd w:id="36"/>
      <w:bookmarkEnd w:id="37"/>
      <w:bookmarkEnd w:id="38"/>
    </w:p>
    <w:p>
      <w:pPr>
        <w:pStyle w:val="Footnoteheading"/>
        <w:keepNext/>
      </w:pPr>
      <w:r>
        <w:tab/>
        <w:t>[Heading inserted: SL 2020/100 r. 4.]</w:t>
      </w:r>
    </w:p>
    <w:p>
      <w:pPr>
        <w:pStyle w:val="Heading5"/>
      </w:pPr>
      <w:bookmarkStart w:id="39" w:name="_Toc183090305"/>
      <w:r>
        <w:rPr>
          <w:rStyle w:val="CharSectno"/>
        </w:rPr>
        <w:t>13C</w:t>
      </w:r>
      <w:r>
        <w:t>.</w:t>
      </w:r>
      <w:r>
        <w:tab/>
        <w:t xml:space="preserve">Forms for purposes of </w:t>
      </w:r>
      <w:r>
        <w:rPr>
          <w:i/>
        </w:rPr>
        <w:t>Bail Act 1982</w:t>
      </w:r>
      <w:r>
        <w:t xml:space="preserve"> s. 54 in courts of summary jurisdiction</w:t>
      </w:r>
      <w:bookmarkEnd w:id="3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0" w:name="_Toc183088861"/>
      <w:bookmarkStart w:id="41" w:name="_Toc183089582"/>
      <w:bookmarkStart w:id="42" w:name="_Toc183090306"/>
      <w:r>
        <w:rPr>
          <w:rStyle w:val="CharDivNo"/>
        </w:rPr>
        <w:t>Division 2</w:t>
      </w:r>
      <w:r>
        <w:t> — </w:t>
      </w:r>
      <w:r>
        <w:rPr>
          <w:rStyle w:val="CharDivText"/>
        </w:rPr>
        <w:t>Applications to courts of summary jurisdiction</w:t>
      </w:r>
      <w:bookmarkEnd w:id="40"/>
      <w:bookmarkEnd w:id="41"/>
      <w:bookmarkEnd w:id="42"/>
    </w:p>
    <w:p>
      <w:pPr>
        <w:pStyle w:val="Heading4"/>
      </w:pPr>
      <w:bookmarkStart w:id="43" w:name="_Toc183088862"/>
      <w:bookmarkStart w:id="44" w:name="_Toc183089583"/>
      <w:bookmarkStart w:id="45" w:name="_Toc183090307"/>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183090308"/>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183090309"/>
      <w:r>
        <w:rPr>
          <w:rStyle w:val="CharSectno"/>
        </w:rPr>
        <w:lastRenderedPageBreak/>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183090310"/>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183090311"/>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0" w:name="_Toc183090312"/>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183090313"/>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183090314"/>
      <w:r>
        <w:rPr>
          <w:rStyle w:val="CharSectno"/>
        </w:rPr>
        <w:lastRenderedPageBreak/>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183090315"/>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183090316"/>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183088872"/>
      <w:bookmarkStart w:id="56" w:name="_Toc183089593"/>
      <w:bookmarkStart w:id="57" w:name="_Toc183090317"/>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183090318"/>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183088874"/>
      <w:bookmarkStart w:id="60" w:name="_Toc183089595"/>
      <w:bookmarkStart w:id="61" w:name="_Toc183090319"/>
      <w:r>
        <w:rPr>
          <w:rStyle w:val="CharPartNo"/>
        </w:rPr>
        <w:lastRenderedPageBreak/>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183090320"/>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183090321"/>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183090322"/>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65" w:name="_Toc183090323"/>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183090324"/>
      <w:r>
        <w:rPr>
          <w:rStyle w:val="CharSectno"/>
        </w:rPr>
        <w:lastRenderedPageBreak/>
        <w:t>25</w:t>
      </w:r>
      <w:r>
        <w:t>.</w:t>
      </w:r>
      <w:r>
        <w:tab/>
        <w:t>Witness summons, application for (Act s. 159)</w:t>
      </w:r>
      <w:bookmarkEnd w:id="6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183090325"/>
      <w:r>
        <w:rPr>
          <w:rStyle w:val="CharSectno"/>
        </w:rPr>
        <w:t>26</w:t>
      </w:r>
      <w:r>
        <w:t>.</w:t>
      </w:r>
      <w:r>
        <w:tab/>
        <w:t>Early compliance with summons to produce</w:t>
      </w:r>
      <w:bookmarkEnd w:id="6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8" w:name="_Toc183090326"/>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183090327"/>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183088883"/>
      <w:bookmarkStart w:id="71" w:name="_Toc183089604"/>
      <w:bookmarkStart w:id="72" w:name="_Toc183090328"/>
      <w:r>
        <w:rPr>
          <w:rStyle w:val="CharPartNo"/>
        </w:rPr>
        <w:lastRenderedPageBreak/>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183090329"/>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183090330"/>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183090331"/>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183090332"/>
      <w:r>
        <w:rPr>
          <w:rStyle w:val="CharSectno"/>
        </w:rPr>
        <w:lastRenderedPageBreak/>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183088888"/>
      <w:bookmarkStart w:id="78" w:name="_Toc183089609"/>
      <w:bookmarkStart w:id="79" w:name="_Toc183090333"/>
      <w:r>
        <w:rPr>
          <w:rStyle w:val="CharPartNo"/>
        </w:rPr>
        <w:lastRenderedPageBreak/>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183090334"/>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83088890"/>
      <w:bookmarkStart w:id="82" w:name="_Toc183089611"/>
      <w:bookmarkStart w:id="83" w:name="_Toc183090335"/>
      <w:r>
        <w:rPr>
          <w:rStyle w:val="CharPartNo"/>
        </w:rPr>
        <w:lastRenderedPageBreak/>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183090336"/>
      <w:r>
        <w:rPr>
          <w:rStyle w:val="CharSectno"/>
        </w:rPr>
        <w:t>32</w:t>
      </w:r>
      <w:r>
        <w:t>.</w:t>
      </w:r>
      <w:r>
        <w:tab/>
        <w:t xml:space="preserve">Application under </w:t>
      </w:r>
      <w:r>
        <w:rPr>
          <w:i/>
        </w:rPr>
        <w:t>High Risk Serious Offenders Act 2020</w:t>
      </w:r>
      <w:r>
        <w:t xml:space="preserve"> s. 51</w:t>
      </w:r>
      <w:bookmarkEnd w:id="84"/>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83088892"/>
      <w:bookmarkStart w:id="86" w:name="_Toc183089613"/>
      <w:bookmarkStart w:id="87" w:name="_Toc183090337"/>
      <w:r>
        <w:rPr>
          <w:rStyle w:val="CharSchNo"/>
        </w:rPr>
        <w:lastRenderedPageBreak/>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183090338"/>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183090339"/>
      <w:r>
        <w:rPr>
          <w:rStyle w:val="CharSClsNo"/>
        </w:rPr>
        <w:lastRenderedPageBreak/>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183090340"/>
      <w:r>
        <w:rPr>
          <w:rStyle w:val="CharSClsNo"/>
        </w:rPr>
        <w:lastRenderedPageBreak/>
        <w:t>3</w:t>
      </w:r>
      <w:r>
        <w:t>.</w:t>
      </w:r>
      <w:r>
        <w:tab/>
        <w:t>Prosecution notice (r. 8)</w:t>
      </w:r>
      <w:bookmarkEnd w:id="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1" w:name="_Toc183090341"/>
      <w:r>
        <w:rPr>
          <w:rStyle w:val="CharSClsNo"/>
        </w:rPr>
        <w:lastRenderedPageBreak/>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183090342"/>
      <w:r>
        <w:rPr>
          <w:rStyle w:val="CharSClsNo"/>
        </w:rPr>
        <w:lastRenderedPageBreak/>
        <w:t>5</w:t>
      </w:r>
      <w:r>
        <w:t>.</w:t>
      </w:r>
      <w:r>
        <w:tab/>
        <w:t>Court hearing notice</w:t>
      </w:r>
      <w:bookmarkEnd w:id="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3" w:name="_Toc183090343"/>
      <w:r>
        <w:rPr>
          <w:rStyle w:val="CharSClsNo"/>
        </w:rPr>
        <w:t>5A</w:t>
      </w:r>
      <w:r>
        <w:t>.</w:t>
      </w:r>
      <w:r>
        <w:tab/>
        <w:t xml:space="preserve">Application under </w:t>
      </w:r>
      <w:r>
        <w:rPr>
          <w:i/>
        </w:rPr>
        <w:t>Bail Act 1982</w:t>
      </w:r>
      <w:r>
        <w:t xml:space="preserve"> s. 54(2)(b) (r. 13C(1))</w:t>
      </w:r>
      <w:bookmarkEnd w:id="9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4" w:name="_Toc183090344"/>
      <w:r>
        <w:rPr>
          <w:rStyle w:val="CharSClsNo"/>
        </w:rPr>
        <w:t>5B</w:t>
      </w:r>
      <w:r>
        <w:t>.</w:t>
      </w:r>
      <w:r>
        <w:tab/>
        <w:t xml:space="preserve">Form to be lodged when accused arrested without warrant under </w:t>
      </w:r>
      <w:r>
        <w:rPr>
          <w:i/>
        </w:rPr>
        <w:t>Bail Act 1982</w:t>
      </w:r>
      <w:r>
        <w:t xml:space="preserve"> s. 54(2)(a) (r. 13C(2))</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5" w:name="_Toc183090345"/>
      <w:r>
        <w:rPr>
          <w:rStyle w:val="CharSClsNo"/>
        </w:rPr>
        <w:lastRenderedPageBreak/>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6" w:name="_Toc183090346"/>
      <w:r>
        <w:rPr>
          <w:rStyle w:val="CharSClsNo"/>
        </w:rPr>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183090347"/>
      <w:r>
        <w:rPr>
          <w:rStyle w:val="CharSClsNo"/>
        </w:rPr>
        <w:lastRenderedPageBreak/>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183090348"/>
      <w:r>
        <w:rPr>
          <w:rStyle w:val="CharSClsNo"/>
        </w:rPr>
        <w:lastRenderedPageBreak/>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99" w:name="_Toc183090349"/>
      <w:r>
        <w:rPr>
          <w:rStyle w:val="CharSClsNo"/>
        </w:rPr>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183090350"/>
      <w:r>
        <w:rPr>
          <w:rStyle w:val="CharSClsNo"/>
        </w:rPr>
        <w:lastRenderedPageBreak/>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183090351"/>
      <w:r>
        <w:rPr>
          <w:rStyle w:val="CharSClsNo"/>
        </w:rPr>
        <w:lastRenderedPageBreak/>
        <w:t>11</w:t>
      </w:r>
      <w:r>
        <w:t>.</w:t>
      </w:r>
      <w:r>
        <w:tab/>
        <w:t>Witness summons to produce a record or thing (r. 25(1)(b))</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2" w:name="_Toc183090352"/>
      <w:r>
        <w:rPr>
          <w:rStyle w:val="CharSClsNo"/>
        </w:rPr>
        <w:lastRenderedPageBreak/>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183090353"/>
      <w:r>
        <w:rPr>
          <w:rStyle w:val="CharSClsNo"/>
        </w:rPr>
        <w:lastRenderedPageBreak/>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183090354"/>
      <w:r>
        <w:rPr>
          <w:rStyle w:val="CharSClsNo"/>
        </w:rPr>
        <w:lastRenderedPageBreak/>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83088910"/>
      <w:bookmarkStart w:id="107" w:name="_Toc183089631"/>
      <w:bookmarkStart w:id="108" w:name="_Toc183090355"/>
      <w:r>
        <w:rPr>
          <w:rStyle w:val="CharSchNo"/>
        </w:rPr>
        <w:lastRenderedPageBreak/>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iCs/>
        </w:rPr>
      </w:pPr>
      <w:r>
        <w:rPr>
          <w:i/>
          <w:iCs/>
        </w:rPr>
        <w:lastRenderedPageBreak/>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lastRenderedPageBreak/>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w:t>
      </w:r>
      <w:r>
        <w:t>.]</w:t>
      </w:r>
    </w:p>
    <w:p>
      <w:pPr>
        <w:pStyle w:val="yScheduleHeading"/>
      </w:pPr>
      <w:bookmarkStart w:id="109" w:name="_Toc183088911"/>
      <w:bookmarkStart w:id="110" w:name="_Toc183089632"/>
      <w:bookmarkStart w:id="111" w:name="_Toc183090356"/>
      <w:r>
        <w:rPr>
          <w:rStyle w:val="CharSchNo"/>
        </w:rPr>
        <w:lastRenderedPageBreak/>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2" w:name="_Toc183088912"/>
      <w:bookmarkStart w:id="113" w:name="_Toc183089633"/>
      <w:bookmarkStart w:id="114" w:name="_Toc183090357"/>
      <w:r>
        <w:rPr>
          <w:rStyle w:val="CharSchNo"/>
        </w:rPr>
        <w:lastRenderedPageBreak/>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183090358"/>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183090359"/>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183090360"/>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183090361"/>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183088917"/>
      <w:bookmarkStart w:id="120" w:name="_Toc183089638"/>
      <w:bookmarkStart w:id="121" w:name="_Toc183090362"/>
      <w:r>
        <w:rPr>
          <w:rStyle w:val="CharSchNo"/>
        </w:rPr>
        <w:lastRenderedPageBreak/>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183090363"/>
      <w:r>
        <w:rPr>
          <w:rStyle w:val="CharSClsNo"/>
        </w:rPr>
        <w:t>1AA</w:t>
      </w:r>
      <w:r>
        <w:t>.</w:t>
      </w:r>
      <w:r>
        <w:tab/>
      </w:r>
      <w:r>
        <w:rPr>
          <w:i/>
        </w:rPr>
        <w:t>Animal Welfare Act 2002</w:t>
      </w:r>
      <w:r>
        <w:t xml:space="preserve"> offences</w:t>
      </w:r>
      <w:bookmarkEnd w:id="12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3" w:name="_Toc183090364"/>
      <w:r>
        <w:rPr>
          <w:rStyle w:val="CharSClsNo"/>
        </w:rPr>
        <w:t>1A</w:t>
      </w:r>
      <w:r>
        <w:t>.</w:t>
      </w:r>
      <w:r>
        <w:tab/>
      </w:r>
      <w:r>
        <w:rPr>
          <w:i/>
          <w:iCs/>
        </w:rPr>
        <w:t xml:space="preserve">Biodiversity Conservation Act 2016 </w:t>
      </w:r>
      <w:r>
        <w:t>offences</w:t>
      </w:r>
      <w:bookmarkEnd w:id="12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4" w:name="_Toc183090365"/>
      <w:r>
        <w:rPr>
          <w:rStyle w:val="CharSClsNo"/>
        </w:rPr>
        <w:t>1</w:t>
      </w:r>
      <w:r>
        <w:t>.</w:t>
      </w:r>
      <w:r>
        <w:tab/>
      </w:r>
      <w:r>
        <w:rPr>
          <w:i/>
          <w:iCs/>
        </w:rPr>
        <w:t>Criminal Code</w:t>
      </w:r>
      <w:r>
        <w:t xml:space="preserve"> offence</w:t>
      </w:r>
      <w:bookmarkEnd w:id="12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5" w:name="_Toc183090366"/>
      <w:r>
        <w:rPr>
          <w:rStyle w:val="CharSClsNo"/>
        </w:rPr>
        <w:t>2</w:t>
      </w:r>
      <w:r>
        <w:t>.</w:t>
      </w:r>
      <w:r>
        <w:tab/>
      </w:r>
      <w:r>
        <w:rPr>
          <w:i/>
          <w:iCs/>
        </w:rPr>
        <w:t>Environmental Protection Act 1986</w:t>
      </w:r>
      <w:r>
        <w:t xml:space="preserve"> offences</w:t>
      </w:r>
      <w:bookmarkEnd w:id="12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6" w:name="_Toc183090367"/>
      <w:r>
        <w:rPr>
          <w:rStyle w:val="CharSClsNo"/>
        </w:rPr>
        <w:t>3</w:t>
      </w:r>
      <w:r>
        <w:t>.</w:t>
      </w:r>
      <w:r>
        <w:tab/>
      </w:r>
      <w:r>
        <w:rPr>
          <w:i/>
          <w:iCs/>
        </w:rPr>
        <w:t>Fish Resources Management Act 1994</w:t>
      </w:r>
      <w:r>
        <w:t xml:space="preserve"> offences</w:t>
      </w:r>
      <w:bookmarkEnd w:id="12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7" w:name="_Toc183090368"/>
      <w:r>
        <w:rPr>
          <w:rStyle w:val="CharSClsNo"/>
        </w:rPr>
        <w:t>4</w:t>
      </w:r>
      <w:r>
        <w:t>.</w:t>
      </w:r>
      <w:r>
        <w:tab/>
      </w:r>
      <w:r>
        <w:rPr>
          <w:i/>
        </w:rPr>
        <w:t>Liquor Control Act </w:t>
      </w:r>
      <w:r>
        <w:rPr>
          <w:i/>
          <w:iCs/>
        </w:rPr>
        <w:t>1988</w:t>
      </w:r>
      <w:r>
        <w:t xml:space="preserve"> offences</w:t>
      </w:r>
      <w:bookmarkEnd w:id="12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8" w:name="_Toc183090369"/>
      <w:r>
        <w:rPr>
          <w:rStyle w:val="CharSClsNo"/>
        </w:rPr>
        <w:t>5</w:t>
      </w:r>
      <w:r>
        <w:t>.</w:t>
      </w:r>
      <w:r>
        <w:tab/>
      </w:r>
      <w:r>
        <w:rPr>
          <w:i/>
        </w:rPr>
        <w:t>Mines Safety and Inspection Act 1994</w:t>
      </w:r>
      <w:r>
        <w:t xml:space="preserve"> offences</w:t>
      </w:r>
      <w:bookmarkEnd w:id="12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29" w:name="_Toc183090370"/>
      <w:r>
        <w:rPr>
          <w:rStyle w:val="CharSClsNo"/>
        </w:rPr>
        <w:lastRenderedPageBreak/>
        <w:t>6</w:t>
      </w:r>
      <w:r>
        <w:t>.</w:t>
      </w:r>
      <w:r>
        <w:tab/>
      </w:r>
      <w:r>
        <w:rPr>
          <w:i/>
        </w:rPr>
        <w:t>Occupational Safety and Health Act 1984</w:t>
      </w:r>
      <w:r>
        <w:t xml:space="preserve"> offences</w:t>
      </w:r>
      <w:bookmarkEnd w:id="12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0" w:name="_Toc183090371"/>
      <w:r>
        <w:rPr>
          <w:rStyle w:val="CharSClsNo"/>
        </w:rPr>
        <w:t>7</w:t>
      </w:r>
      <w:r>
        <w:t>.</w:t>
      </w:r>
      <w:r>
        <w:tab/>
      </w:r>
      <w:r>
        <w:rPr>
          <w:i/>
          <w:iCs/>
        </w:rPr>
        <w:t>Prostitution Act 2000</w:t>
      </w:r>
      <w:r>
        <w:t xml:space="preserve"> offence</w:t>
      </w:r>
      <w:bookmarkEnd w:id="13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1" w:name="_Toc183090372"/>
      <w:r>
        <w:rPr>
          <w:rStyle w:val="CharSClsNo"/>
        </w:rPr>
        <w:t>8</w:t>
      </w:r>
      <w:r>
        <w:t>.</w:t>
      </w:r>
      <w:r>
        <w:tab/>
      </w:r>
      <w:r>
        <w:rPr>
          <w:i/>
          <w:iCs/>
        </w:rPr>
        <w:t>Restraining Orders Act 1997</w:t>
      </w:r>
      <w:r>
        <w:t xml:space="preserve"> offences</w:t>
      </w:r>
      <w:bookmarkEnd w:id="13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2" w:name="_Toc183090373"/>
      <w:r>
        <w:rPr>
          <w:rStyle w:val="CharSClsNo"/>
        </w:rPr>
        <w:t>9</w:t>
      </w:r>
      <w:r>
        <w:t>.</w:t>
      </w:r>
      <w:r>
        <w:tab/>
      </w:r>
      <w:r>
        <w:rPr>
          <w:i/>
          <w:iCs/>
        </w:rPr>
        <w:t>Road Traffic Act 1974</w:t>
      </w:r>
      <w:r>
        <w:t xml:space="preserve"> offence</w:t>
      </w:r>
      <w:bookmarkEnd w:id="13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3" w:name="_Toc183090374"/>
      <w:r>
        <w:rPr>
          <w:rStyle w:val="CharSClsNo"/>
        </w:rPr>
        <w:t>10</w:t>
      </w:r>
      <w:r>
        <w:t>.</w:t>
      </w:r>
      <w:r>
        <w:tab/>
      </w:r>
      <w:r>
        <w:rPr>
          <w:i/>
        </w:rPr>
        <w:t>Work Health and Safety Act 2020</w:t>
      </w:r>
      <w:r>
        <w:t xml:space="preserve"> offences</w:t>
      </w:r>
      <w:bookmarkEnd w:id="13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83088930"/>
      <w:bookmarkStart w:id="135" w:name="_Toc183089651"/>
      <w:bookmarkStart w:id="136" w:name="_Toc183090375"/>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183090376"/>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Cs/>
              </w:rPr>
            </w:pPr>
            <w:r>
              <w:rPr>
                <w:i/>
              </w:rPr>
              <w:t xml:space="preserve">Attorney General Regulations Amendment (Firearms) Regulations (No. 2) 2024 </w:t>
            </w:r>
            <w:r>
              <w:rPr>
                <w:iCs/>
              </w:rPr>
              <w:t>Pt. 2</w:t>
            </w:r>
          </w:p>
        </w:tc>
        <w:tc>
          <w:tcPr>
            <w:tcW w:w="1276" w:type="dxa"/>
            <w:tcBorders>
              <w:bottom w:val="single" w:sz="4" w:space="0" w:color="auto"/>
            </w:tcBorders>
            <w:shd w:val="clear" w:color="auto" w:fill="auto"/>
          </w:tcPr>
          <w:p>
            <w:pPr>
              <w:pStyle w:val="nTable"/>
              <w:keepNext/>
              <w:spacing w:after="40"/>
            </w:pPr>
            <w:r>
              <w:t>SL 2024/242 27 Nov 2024</w:t>
            </w:r>
          </w:p>
        </w:tc>
        <w:tc>
          <w:tcPr>
            <w:tcW w:w="2693" w:type="dxa"/>
            <w:tcBorders>
              <w:bottom w:val="single" w:sz="4" w:space="0" w:color="auto"/>
            </w:tcBorders>
            <w:shd w:val="clear" w:color="auto" w:fill="auto"/>
          </w:tcPr>
          <w:p>
            <w:pPr>
              <w:pStyle w:val="nTable"/>
              <w:keepNext/>
              <w:spacing w:after="40"/>
            </w:pPr>
            <w:r>
              <w:t>28 Nov 2024 (see r. 2(b))</w:t>
            </w:r>
          </w:p>
        </w:tc>
      </w:tr>
    </w:tbl>
    <w:p>
      <w:pPr>
        <w:pStyle w:val="nHeading3"/>
      </w:pPr>
      <w:bookmarkStart w:id="138" w:name="_Toc183090377"/>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0" w:name="_Toc183088933"/>
      <w:bookmarkStart w:id="141" w:name="_Toc183089654"/>
      <w:bookmarkStart w:id="142" w:name="_Toc183090378"/>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3F344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66EAC7" w14:textId="10F28476" w:rsidR="007925F7" w:rsidRDefault="00D803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7FDF">
                        <w:rPr>
                          <w:sz w:val="16"/>
                        </w:rPr>
                        <w:t>2024</w:t>
                      </w:r>
                      <w:r>
                        <w:rPr>
                          <w:sz w:val="16"/>
                        </w:rPr>
                        <w:fldChar w:fldCharType="end"/>
                      </w:r>
                      <w:r>
                        <w:rPr>
                          <w:sz w:val="16"/>
                        </w:rPr>
                        <w:t>.</w:t>
                      </w:r>
                    </w:p>
                    <w:p w14:paraId="0849CEF4" w14:textId="77777777" w:rsidR="007925F7" w:rsidRDefault="00D803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52775" w14:textId="4E52D736" w:rsidR="007925F7" w:rsidRDefault="00D803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7FDF">
                        <w:rPr>
                          <w:sz w:val="16"/>
                        </w:rPr>
                        <w:t>2024</w:t>
                      </w:r>
                      <w:r>
                        <w:rPr>
                          <w:sz w:val="16"/>
                        </w:rPr>
                        <w:fldChar w:fldCharType="end"/>
                      </w:r>
                      <w:r>
                        <w:rPr>
                          <w:sz w:val="16"/>
                        </w:rPr>
                        <w:t>.</w:t>
                      </w:r>
                    </w:p>
                    <w:p w14:paraId="7F176B8C" w14:textId="77777777" w:rsidR="007925F7" w:rsidRDefault="00D8034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3385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MiscellaneousBodyItalic">
    <w:name w:val="zyMiscellaneous Body + Italic"/>
    <w:basedOn w:val="yMiscellaneousBody"/>
    <w:rPr>
      <w:i/>
      <w:iCs/>
    </w:rPr>
  </w:style>
  <w:style w:type="paragraph" w:customStyle="1" w:styleId="yMiscellaneousBodyItalicLeft15cm">
    <w:name w:val="yMiscellaneous Body + Italic + Left:  1.5 cm"/>
    <w:basedOn w:val="zyMiscellaneousBodyItalic"/>
    <w:pPr>
      <w:ind w:left="85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13508</Words>
  <Characters>64030</Characters>
  <Application>Microsoft Office Word</Application>
  <DocSecurity>0</DocSecurity>
  <Lines>2561</Lines>
  <Paragraphs>1762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2005 - 04-w0-00</dc:title>
  <dc:subject/>
  <dc:creator/>
  <cp:keywords/>
  <dc:description/>
  <cp:lastModifiedBy>Master Repository Process</cp:lastModifiedBy>
  <cp:revision>4</cp:revision>
  <cp:lastPrinted>2019-05-14T08:13:00Z</cp:lastPrinted>
  <dcterms:created xsi:type="dcterms:W3CDTF">2025-06-13T04:41:00Z</dcterms:created>
  <dcterms:modified xsi:type="dcterms:W3CDTF">2025-06-13T04:42:00Z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AsAtDate">
    <vt:lpwstr>28 Nov 2024</vt:lpwstr>
  </property>
  <property fmtid="{D5CDD505-2E9C-101B-9397-08002B2CF9AE}" pid="11" name="Suffix">
    <vt:lpwstr>04-w0-00</vt:lpwstr>
  </property>
  <property fmtid="{D5CDD505-2E9C-101B-9397-08002B2CF9AE}" pid="12" name="Official">
    <vt:lpwstr/>
  </property>
</Properties>
</file>