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14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>
      <w:pPr>
        <w:pStyle w:val="WA"/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1981200</wp:posOffset>
            </wp:positionH>
            <wp:positionV relativeFrom="paragraph">
              <wp:posOffset>-517525</wp:posOffset>
            </wp:positionV>
            <wp:extent cx="631190" cy="505460"/>
            <wp:effectExtent l="0" t="0" r="0" b="8890"/>
            <wp:wrapNone/>
            <wp:docPr id="66" name="Picture 66" descr="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rest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190" cy="50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Western Australia</w:t>
      </w:r>
    </w:p>
    <w:p>
      <w:pPr>
        <w:pStyle w:val="PrincipalActRegPage1"/>
      </w:pPr>
      <w:r>
        <w:fldChar w:fldCharType="begin"/>
      </w:r>
      <w:r>
        <w:instrText xml:space="preserve"> STYLEREF "PrincipalAct_Reg"</w:instrText>
      </w:r>
      <w:r>
        <w:fldChar w:fldCharType="separate"/>
      </w:r>
      <w:r>
        <w:rPr>
          <w:noProof/>
        </w:rPr>
        <w:t>Main Roads Act 1930</w:t>
      </w:r>
      <w:r>
        <w:fldChar w:fldCharType="end"/>
      </w:r>
    </w:p>
    <w:p>
      <w:pPr>
        <w:pStyle w:val="NameofActRegPage1"/>
        <w:spacing w:before="1800" w:after="2000"/>
        <w:outlineLvl w:val="0"/>
      </w:pPr>
      <w:r>
        <w:fldChar w:fldCharType="begin"/>
      </w:r>
      <w:r>
        <w:instrText xml:space="preserve"> STYLEREF "Name Of Act/Reg"</w:instrText>
      </w:r>
      <w:r>
        <w:fldChar w:fldCharType="separate"/>
      </w:r>
      <w:r>
        <w:rPr>
          <w:noProof/>
        </w:rPr>
        <w:t>Main Roads (General) Regulations 2023</w:t>
      </w:r>
      <w:r>
        <w:fldChar w:fldCharType="end"/>
      </w:r>
    </w:p>
    <w:p/>
    <w:p>
      <w:pPr>
        <w:jc w:val="center"/>
        <w:sectPr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7" w:h="16840" w:code="9"/>
          <w:pgMar w:top="2376" w:right="2405" w:bottom="3542" w:left="2405" w:header="706" w:footer="3544" w:gutter="0"/>
          <w:pgNumType w:fmt="lowerRoman" w:start="1"/>
          <w:cols w:space="720"/>
          <w:noEndnote/>
          <w:titlePg/>
          <w:docGrid w:linePitch="326"/>
        </w:sectPr>
      </w:pPr>
    </w:p>
    <w:p>
      <w:pPr>
        <w:pStyle w:val="WA"/>
      </w:pPr>
      <w:r>
        <w:lastRenderedPageBreak/>
        <w:t>Western Australia</w:t>
      </w:r>
    </w:p>
    <w:p>
      <w:pPr>
        <w:pStyle w:val="NameofActRegPage1"/>
      </w:pPr>
      <w:r>
        <w:fldChar w:fldCharType="begin"/>
      </w:r>
      <w:r>
        <w:instrText xml:space="preserve"> STYLEREF "Name Of Act/Reg"</w:instrText>
      </w:r>
      <w:r>
        <w:fldChar w:fldCharType="separate"/>
      </w:r>
      <w:r>
        <w:rPr>
          <w:noProof/>
        </w:rPr>
        <w:t>Main Roads (General) Regulations 2023</w:t>
      </w:r>
      <w:r>
        <w:fldChar w:fldCharType="end"/>
      </w:r>
    </w:p>
    <w:p>
      <w:pPr>
        <w:pStyle w:val="Arrangement"/>
      </w:pPr>
      <w:r>
        <w:t>Contents</w:t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fldChar w:fldCharType="begin"/>
      </w:r>
      <w:r>
        <w:instrText xml:space="preserve"> TOC \t "Heading 2,2,yScheduleHeading,2,yHeading 2,2,zHeading 2,3,zyScheduleHeading,3,zyHeading 2,3,Heading 3,4,yHeading 3,4,zHeading 3,5,zyHeading 3,5,Heading 4,6,yHeading 4,6,zHeading 4,7,zyHeading 4,7,Heading 5,8,yHeading 5,8,zHeading 5,9,zyHeading 5,9" \t "nHeading 2,2,nHeading 3,8" \n "2-7" \w \* MERGEFORMAT </w:instrText>
      </w:r>
      <w:r>
        <w:fldChar w:fldCharType="separate"/>
      </w:r>
      <w:r>
        <w:t>1.</w:t>
      </w:r>
      <w:r>
        <w:tab/>
        <w:t>Citation</w:t>
      </w:r>
      <w:r>
        <w:tab/>
      </w:r>
      <w:r>
        <w:fldChar w:fldCharType="begin"/>
      </w:r>
      <w:r>
        <w:instrText xml:space="preserve"> PAGEREF _Toc183170501 \h </w:instrText>
      </w:r>
      <w:r>
        <w:fldChar w:fldCharType="separate"/>
      </w:r>
      <w:r>
        <w:t>1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2.</w:t>
      </w:r>
      <w:r>
        <w:tab/>
        <w:t>Commencement</w:t>
      </w:r>
      <w:r>
        <w:tab/>
      </w:r>
      <w:r>
        <w:fldChar w:fldCharType="begin"/>
      </w:r>
      <w:r>
        <w:instrText xml:space="preserve"> PAGEREF _Toc183170502 \h </w:instrText>
      </w:r>
      <w:r>
        <w:fldChar w:fldCharType="separate"/>
      </w:r>
      <w:r>
        <w:t>1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3.</w:t>
      </w:r>
      <w:r>
        <w:tab/>
        <w:t>Agreements requiring Minister’s approval (Act s. 18D(1))</w:t>
      </w:r>
      <w:r>
        <w:tab/>
      </w:r>
      <w:r>
        <w:fldChar w:fldCharType="begin"/>
      </w:r>
      <w:r>
        <w:instrText xml:space="preserve"> PAGEREF _Toc183170503 \h </w:instrText>
      </w:r>
      <w:r>
        <w:fldChar w:fldCharType="separate"/>
      </w:r>
      <w:r>
        <w:t>1</w:t>
      </w:r>
      <w:r>
        <w:fldChar w:fldCharType="end"/>
      </w:r>
    </w:p>
    <w:p>
      <w:pPr>
        <w:pStyle w:val="TOC2"/>
        <w:tabs>
          <w:tab w:val="right" w:leader="dot" w:pos="7077"/>
        </w:tabs>
        <w:rPr>
          <w:rFonts w:asciiTheme="minorHAnsi" w:eastAsiaTheme="minorEastAsia" w:hAnsiTheme="minorHAnsi" w:cstheme="minorBidi"/>
          <w:b w:val="0"/>
          <w:sz w:val="22"/>
          <w:szCs w:val="22"/>
        </w:rPr>
      </w:pPr>
      <w:r>
        <w:t>Notes</w:t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ab/>
        <w:t>Compilation table</w:t>
      </w:r>
      <w:r>
        <w:tab/>
      </w:r>
      <w:r>
        <w:fldChar w:fldCharType="begin"/>
      </w:r>
      <w:r>
        <w:instrText xml:space="preserve"> PAGEREF _Toc183170505 \h </w:instrText>
      </w:r>
      <w:r>
        <w:fldChar w:fldCharType="separate"/>
      </w:r>
      <w:r>
        <w:t>2</w:t>
      </w:r>
      <w:r>
        <w:fldChar w:fldCharType="end"/>
      </w:r>
    </w:p>
    <w:p>
      <w:pPr>
        <w:pStyle w:val="NoteHeading"/>
      </w:pPr>
      <w:r>
        <w:fldChar w:fldCharType="end"/>
      </w:r>
      <w:r>
        <w:rPr>
          <w:rStyle w:val="CharPartNo"/>
        </w:rPr>
        <w:t xml:space="preserve"> </w:t>
      </w:r>
      <w:r>
        <w:rPr>
          <w:rStyle w:val="CharPartText"/>
        </w:rPr>
        <w:t xml:space="preserve"> </w:t>
      </w:r>
      <w:r>
        <w:rPr>
          <w:rStyle w:val="CharDivNo"/>
        </w:rPr>
        <w:t xml:space="preserve"> </w:t>
      </w:r>
      <w:r>
        <w:rPr>
          <w:rStyle w:val="CharDivText"/>
        </w:rPr>
        <w:t xml:space="preserve"> </w:t>
      </w:r>
      <w:r>
        <w:rPr>
          <w:rStyle w:val="CharSchNo"/>
        </w:rPr>
        <w:t xml:space="preserve"> </w:t>
      </w:r>
      <w:r>
        <w:rPr>
          <w:rStyle w:val="CharSchText"/>
        </w:rPr>
        <w:t xml:space="preserve"> </w:t>
      </w:r>
      <w:r>
        <w:rPr>
          <w:rStyle w:val="CharSDivNo"/>
        </w:rPr>
        <w:t xml:space="preserve"> </w:t>
      </w:r>
      <w:r>
        <w:rPr>
          <w:rStyle w:val="CharSDivText"/>
        </w:rPr>
        <w:t xml:space="preserve"> </w:t>
      </w:r>
      <w:r>
        <w:t xml:space="preserve"> </w:t>
      </w:r>
    </w:p>
    <w:p>
      <w:pPr>
        <w:pStyle w:val="NoteHeading"/>
        <w:sectPr>
          <w:headerReference w:type="even" r:id="rId15"/>
          <w:headerReference w:type="default" r:id="rId16"/>
          <w:footerReference w:type="even" r:id="rId17"/>
          <w:footerReference w:type="default" r:id="rId18"/>
          <w:headerReference w:type="first" r:id="rId19"/>
          <w:footerReference w:type="first" r:id="rId20"/>
          <w:type w:val="oddPage"/>
          <w:pgSz w:w="11907" w:h="16840" w:code="9"/>
          <w:pgMar w:top="2381" w:right="2410" w:bottom="3544" w:left="2410" w:header="720" w:footer="3544" w:gutter="0"/>
          <w:pgNumType w:fmt="lowerRoman" w:start="1"/>
          <w:cols w:space="720"/>
          <w:noEndnote/>
          <w:titlePg/>
        </w:sectPr>
      </w:pPr>
    </w:p>
    <w:p>
      <w:pPr>
        <w:pStyle w:val="PrincipalActReg"/>
      </w:pPr>
      <w:r>
        <w:lastRenderedPageBreak/>
        <w:t>Main Roads Act 1930</w:t>
      </w:r>
    </w:p>
    <w:p>
      <w:pPr>
        <w:pStyle w:val="NameofActReg"/>
      </w:pPr>
      <w:r>
        <w:t>Main Roads (General) Regulations 2023</w:t>
      </w:r>
    </w:p>
    <w:p>
      <w:pPr>
        <w:pStyle w:val="Heading5"/>
      </w:pPr>
      <w:bookmarkStart w:id="2" w:name="_Toc183170501"/>
      <w:r>
        <w:rPr>
          <w:rStyle w:val="CharSectno"/>
        </w:rPr>
        <w:t>1</w:t>
      </w:r>
      <w:r>
        <w:t>.</w:t>
      </w:r>
      <w:r>
        <w:tab/>
        <w:t>Citation</w:t>
      </w:r>
      <w:bookmarkEnd w:id="2"/>
    </w:p>
    <w:p>
      <w:pPr>
        <w:pStyle w:val="Subsection"/>
      </w:pPr>
      <w:r>
        <w:tab/>
      </w:r>
      <w:r>
        <w:tab/>
      </w:r>
      <w:bookmarkStart w:id="3" w:name="Start_Cursor"/>
      <w:bookmarkEnd w:id="3"/>
      <w:r>
        <w:t xml:space="preserve">These </w:t>
      </w:r>
      <w:r>
        <w:rPr>
          <w:spacing w:val="-2"/>
        </w:rPr>
        <w:t>regulations</w:t>
      </w:r>
      <w:r>
        <w:t xml:space="preserve"> are the </w:t>
      </w:r>
      <w:r>
        <w:rPr>
          <w:i/>
        </w:rPr>
        <w:t>Main Roads (General) Regulations 2023</w:t>
      </w:r>
      <w:r>
        <w:t>.</w:t>
      </w:r>
    </w:p>
    <w:p>
      <w:pPr>
        <w:pStyle w:val="Heading5"/>
      </w:pPr>
      <w:bookmarkStart w:id="4" w:name="_Toc183170502"/>
      <w:r>
        <w:rPr>
          <w:rStyle w:val="CharSectno"/>
        </w:rPr>
        <w:t>2</w:t>
      </w:r>
      <w:r>
        <w:t>.</w:t>
      </w:r>
      <w:r>
        <w:tab/>
        <w:t>Commencement</w:t>
      </w:r>
      <w:bookmarkEnd w:id="4"/>
    </w:p>
    <w:p>
      <w:pPr>
        <w:pStyle w:val="Subsection"/>
      </w:pPr>
      <w:r>
        <w:tab/>
      </w:r>
      <w:r>
        <w:tab/>
        <w:t xml:space="preserve">These </w:t>
      </w:r>
      <w:r>
        <w:rPr>
          <w:spacing w:val="-2"/>
        </w:rPr>
        <w:t>regulations come</w:t>
      </w:r>
      <w:r>
        <w:t xml:space="preserve"> into operation on the day on which the </w:t>
      </w:r>
      <w:r>
        <w:rPr>
          <w:i/>
        </w:rPr>
        <w:t>Main Roads Amendment Act 2023</w:t>
      </w:r>
      <w:r>
        <w:t xml:space="preserve"> section 25 comes into operation.</w:t>
      </w:r>
    </w:p>
    <w:p>
      <w:pPr>
        <w:pStyle w:val="Heading5"/>
      </w:pPr>
      <w:bookmarkStart w:id="5" w:name="_Toc183170503"/>
      <w:r>
        <w:rPr>
          <w:rStyle w:val="CharSectno"/>
        </w:rPr>
        <w:t>3</w:t>
      </w:r>
      <w:r>
        <w:t>.</w:t>
      </w:r>
      <w:r>
        <w:tab/>
        <w:t>Agreements requiring Minister’s approval (Act s. 18D(1))</w:t>
      </w:r>
      <w:bookmarkEnd w:id="5"/>
    </w:p>
    <w:p>
      <w:pPr>
        <w:pStyle w:val="Subsection"/>
      </w:pPr>
      <w:r>
        <w:tab/>
        <w:t>(1)</w:t>
      </w:r>
      <w:r>
        <w:tab/>
        <w:t>For the purposes of section 18D(1)(a) of the Act, the amount is $1 million.</w:t>
      </w:r>
    </w:p>
    <w:p>
      <w:pPr>
        <w:pStyle w:val="Subsection"/>
      </w:pPr>
      <w:r>
        <w:tab/>
        <w:t>(2)</w:t>
      </w:r>
      <w:r>
        <w:tab/>
        <w:t>For the purposes of section 18D(1)(b) of the Act, the amount is $1 million.</w:t>
      </w:r>
    </w:p>
    <w:p>
      <w:pPr>
        <w:pStyle w:val="Footnotesection"/>
      </w:pPr>
      <w:r>
        <w:tab/>
        <w:t>[Regulation 3 amended: SL 2024/243 r. 4]</w:t>
      </w:r>
    </w:p>
    <w:p>
      <w:pPr>
        <w:pStyle w:val="CentredBaseLine"/>
        <w:jc w:val="center"/>
      </w:pPr>
      <w:r>
        <w:rPr>
          <w:noProof/>
        </w:rPr>
        <w:drawing>
          <wp:inline distT="0" distB="0" distL="0" distR="0">
            <wp:extent cx="933450" cy="17145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line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2671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ByCommand"/>
        <w:sectPr>
          <w:headerReference w:type="even" r:id="rId22"/>
          <w:headerReference w:type="default" r:id="rId23"/>
          <w:headerReference w:type="first" r:id="rId24"/>
          <w:endnotePr>
            <w:numFmt w:val="decimal"/>
          </w:endnotePr>
          <w:pgSz w:w="11907" w:h="16840" w:code="9"/>
          <w:pgMar w:top="2381" w:right="2410" w:bottom="3544" w:left="2410" w:header="720" w:footer="3544" w:gutter="0"/>
          <w:pgNumType w:start="1"/>
          <w:cols w:space="720"/>
          <w:noEndnote/>
          <w:titlePg/>
        </w:sectPr>
      </w:pPr>
    </w:p>
    <w:p>
      <w:pPr>
        <w:pStyle w:val="nHeading2"/>
      </w:pPr>
      <w:bookmarkStart w:id="6" w:name="_Toc183156081"/>
      <w:bookmarkStart w:id="7" w:name="_Toc183158137"/>
      <w:bookmarkStart w:id="8" w:name="_Toc183170504"/>
      <w:r>
        <w:lastRenderedPageBreak/>
        <w:t>Notes</w:t>
      </w:r>
      <w:bookmarkEnd w:id="6"/>
      <w:bookmarkEnd w:id="7"/>
      <w:bookmarkEnd w:id="8"/>
    </w:p>
    <w:p>
      <w:pPr>
        <w:pStyle w:val="nStatement"/>
      </w:pPr>
      <w:r>
        <w:t xml:space="preserve">This is a compilation of the </w:t>
      </w:r>
      <w:r>
        <w:rPr>
          <w:i/>
          <w:noProof/>
        </w:rPr>
        <w:t>Main Roads (General) Regulations 2023</w:t>
      </w:r>
      <w:r>
        <w:t xml:space="preserve"> and includes amendments made by other written laws. For provisions that have come into operation see the compilation table.</w:t>
      </w:r>
    </w:p>
    <w:p>
      <w:pPr>
        <w:pStyle w:val="nHeading3"/>
      </w:pPr>
      <w:bookmarkStart w:id="9" w:name="_Toc183170505"/>
      <w:r>
        <w:t>Compilation table</w:t>
      </w:r>
      <w:bookmarkEnd w:id="9"/>
    </w:p>
    <w:tbl>
      <w:tblPr>
        <w:tblW w:w="0" w:type="auto"/>
        <w:tblInd w:w="28" w:type="dxa"/>
        <w:tblBorders>
          <w:top w:val="single" w:sz="8" w:space="0" w:color="auto"/>
          <w:bottom w:val="single" w:sz="4" w:space="0" w:color="auto"/>
          <w:insideH w:val="single" w:sz="8" w:space="0" w:color="auto"/>
        </w:tblBorders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118"/>
        <w:gridCol w:w="1276"/>
        <w:gridCol w:w="2693"/>
      </w:tblGrid>
      <w:tr>
        <w:trPr>
          <w:tblHeader/>
        </w:trPr>
        <w:tc>
          <w:tcPr>
            <w:tcW w:w="3118" w:type="dxa"/>
            <w:tcBorders>
              <w:bottom w:val="single" w:sz="8" w:space="0" w:color="auto"/>
            </w:tcBorders>
          </w:tcPr>
          <w:p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Citation</w:t>
            </w:r>
          </w:p>
        </w:tc>
        <w:tc>
          <w:tcPr>
            <w:tcW w:w="1276" w:type="dxa"/>
            <w:tcBorders>
              <w:bottom w:val="single" w:sz="8" w:space="0" w:color="auto"/>
            </w:tcBorders>
          </w:tcPr>
          <w:p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Published</w:t>
            </w:r>
          </w:p>
        </w:tc>
        <w:tc>
          <w:tcPr>
            <w:tcW w:w="2693" w:type="dxa"/>
            <w:tcBorders>
              <w:bottom w:val="single" w:sz="8" w:space="0" w:color="auto"/>
            </w:tcBorders>
          </w:tcPr>
          <w:p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Commencement</w:t>
            </w:r>
          </w:p>
        </w:tc>
      </w:tr>
      <w:tr>
        <w:tc>
          <w:tcPr>
            <w:tcW w:w="3118" w:type="dxa"/>
            <w:tcBorders>
              <w:bottom w:val="nil"/>
            </w:tcBorders>
          </w:tcPr>
          <w:p>
            <w:pPr>
              <w:pStyle w:val="nTable"/>
              <w:spacing w:after="40"/>
            </w:pPr>
            <w:r>
              <w:rPr>
                <w:i/>
                <w:noProof/>
              </w:rPr>
              <w:t>Main Roads (General) Regulations 2023</w:t>
            </w:r>
          </w:p>
        </w:tc>
        <w:tc>
          <w:tcPr>
            <w:tcW w:w="1276" w:type="dxa"/>
            <w:tcBorders>
              <w:bottom w:val="nil"/>
            </w:tcBorders>
          </w:tcPr>
          <w:p>
            <w:pPr>
              <w:pStyle w:val="nTable"/>
              <w:spacing w:after="40"/>
            </w:pPr>
            <w:r>
              <w:t>SL 2023/182 29 Nov 2023</w:t>
            </w:r>
          </w:p>
        </w:tc>
        <w:tc>
          <w:tcPr>
            <w:tcW w:w="2693" w:type="dxa"/>
            <w:tcBorders>
              <w:bottom w:val="nil"/>
            </w:tcBorders>
          </w:tcPr>
          <w:p>
            <w:pPr>
              <w:pStyle w:val="nTable"/>
              <w:spacing w:after="40"/>
            </w:pPr>
            <w:r>
              <w:t>30 Nov 2023 (see r. 2 and SL 2023/183 cl. 2)</w:t>
            </w:r>
          </w:p>
        </w:tc>
      </w:tr>
      <w:tr>
        <w:tc>
          <w:tcPr>
            <w:tcW w:w="3118" w:type="dxa"/>
            <w:tcBorders>
              <w:top w:val="nil"/>
            </w:tcBorders>
          </w:tcPr>
          <w:p>
            <w:pPr>
              <w:pStyle w:val="nTable"/>
              <w:spacing w:after="40"/>
              <w:rPr>
                <w:i/>
                <w:noProof/>
              </w:rPr>
            </w:pPr>
            <w:r>
              <w:rPr>
                <w:i/>
                <w:noProof/>
              </w:rPr>
              <w:t>Main Roads (General) Amendment Regulations 2024</w:t>
            </w:r>
          </w:p>
        </w:tc>
        <w:tc>
          <w:tcPr>
            <w:tcW w:w="1276" w:type="dxa"/>
            <w:tcBorders>
              <w:top w:val="nil"/>
            </w:tcBorders>
          </w:tcPr>
          <w:p>
            <w:pPr>
              <w:pStyle w:val="nTable"/>
              <w:spacing w:after="40"/>
            </w:pPr>
            <w:r>
              <w:t>SL 2024/243 27 Nov 2024</w:t>
            </w:r>
          </w:p>
        </w:tc>
        <w:tc>
          <w:tcPr>
            <w:tcW w:w="2693" w:type="dxa"/>
            <w:tcBorders>
              <w:top w:val="nil"/>
            </w:tcBorders>
          </w:tcPr>
          <w:p>
            <w:pPr>
              <w:pStyle w:val="nTable"/>
              <w:spacing w:after="40"/>
            </w:pPr>
            <w:r>
              <w:rPr>
                <w:snapToGrid w:val="0"/>
              </w:rPr>
              <w:t>r. 1 and 2: 27 Nov 2024 (see r. 2(a));</w:t>
            </w:r>
            <w:r>
              <w:rPr>
                <w:snapToGrid w:val="0"/>
              </w:rPr>
              <w:br/>
              <w:t>Regulations other than r. 1 and 2: 28 Nov 2024 (see r. 2(b))</w:t>
            </w:r>
          </w:p>
        </w:tc>
      </w:tr>
    </w:tbl>
    <w:p/>
    <w:p>
      <w:pPr>
        <w:sectPr>
          <w:headerReference w:type="even" r:id="rId25"/>
          <w:headerReference w:type="default" r:id="rId26"/>
          <w:pgSz w:w="11907" w:h="16840" w:code="9"/>
          <w:pgMar w:top="2376" w:right="2404" w:bottom="3544" w:left="2404" w:header="720" w:footer="3544" w:gutter="0"/>
          <w:cols w:space="720"/>
          <w:noEndnote/>
          <w:docGrid w:linePitch="326"/>
        </w:sectPr>
      </w:pPr>
    </w:p>
    <w:p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align>center</wp:align>
                </wp:positionH>
                <wp:positionV relativeFrom="page">
                  <wp:posOffset>7505700</wp:posOffset>
                </wp:positionV>
                <wp:extent cx="127000" cy="647700"/>
                <wp:effectExtent l="0" t="0" r="1905" b="0"/>
                <wp:wrapNone/>
                <wp:docPr id="1" name="Authority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7000" cy="647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>
                            <w:pPr>
                              <w:ind w:left="2835" w:right="226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© State of Western Australia </w:t>
                            </w:r>
                            <w:r>
                              <w:rPr>
                                <w:sz w:val="16"/>
                              </w:rPr>
                              <w:fldChar w:fldCharType="begin"/>
                            </w:r>
                            <w:r>
                              <w:rPr>
                                <w:sz w:val="16"/>
                              </w:rPr>
                              <w:instrText xml:space="preserve"> DOCPROPERTY CommencementYear</w:instrText>
                            </w:r>
                            <w:r>
                              <w:rPr>
                                <w:sz w:val="16"/>
                              </w:rPr>
                              <w:fldChar w:fldCharType="separate"/>
                            </w:r>
                            <w:r>
                              <w:rPr>
                                <w:sz w:val="16"/>
                              </w:rPr>
                              <w:t>2024</w:t>
                            </w:r>
                            <w:r>
                              <w:rPr>
                                <w:sz w:val="16"/>
                              </w:rPr>
                              <w:fldChar w:fldCharType="end"/>
                            </w:r>
                            <w:r>
                              <w:rPr>
                                <w:sz w:val="16"/>
                              </w:rPr>
                              <w:t>.</w:t>
                            </w:r>
                          </w:p>
                          <w:p>
                            <w:pPr>
                              <w:ind w:left="2835" w:right="226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This work is licensed under a Creative Commons Attribution 4.0 International Licence (CC BY 4.0). To view relevant information and for a link to a copy of the licence, visit </w:t>
                            </w:r>
                            <w:r>
                              <w:rPr>
                                <w:sz w:val="16"/>
                                <w:u w:val="single"/>
                              </w:rPr>
                              <w:t>www.legislation.wa.gov.au</w:t>
                            </w:r>
                            <w:r>
                              <w:rPr>
                                <w:sz w:val="16"/>
                              </w:rPr>
                              <w:t>.</w:t>
                            </w:r>
                          </w:p>
                          <w:p>
                            <w:pPr>
                              <w:ind w:left="2835" w:right="226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Attribute work as: © State of Western Australia </w:t>
                            </w:r>
                            <w:r>
                              <w:rPr>
                                <w:sz w:val="16"/>
                              </w:rPr>
                              <w:fldChar w:fldCharType="begin"/>
                            </w:r>
                            <w:r>
                              <w:rPr>
                                <w:sz w:val="16"/>
                              </w:rPr>
                              <w:instrText xml:space="preserve"> DOCPROPERTY CommencementYear</w:instrText>
                            </w:r>
                            <w:r>
                              <w:rPr>
                                <w:sz w:val="16"/>
                              </w:rPr>
                              <w:fldChar w:fldCharType="separate"/>
                            </w:r>
                            <w:r>
                              <w:rPr>
                                <w:sz w:val="16"/>
                              </w:rPr>
                              <w:t>2024</w:t>
                            </w:r>
                            <w:r>
                              <w:rPr>
                                <w:sz w:val="16"/>
                              </w:rPr>
                              <w:fldChar w:fldCharType="end"/>
                            </w:r>
                            <w:r>
                              <w:rPr>
                                <w:sz w:val="16"/>
                              </w:rPr>
                              <w:t>.</w:t>
                            </w:r>
                          </w:p>
                          <w:p>
                            <w:pPr>
                              <w:ind w:left="2438" w:right="2098"/>
                              <w:jc w:val="center"/>
                              <w:rPr>
                                <w:rFonts w:ascii="Arial" w:hAnsi="Arial" w:cs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</w:rPr>
                              <w:t>By Authority: GEOFF O. LAWN, Government Printer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100000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FB99F2E" id="_x0000_t202" coordsize="21600,21600" o:spt="202" path="m,l,21600r21600,l21600,xe">
                <v:stroke joinstyle="miter"/>
                <v:path gradientshapeok="t" o:connecttype="rect"/>
              </v:shapetype>
              <v:shape id="Authority" o:spid="_x0000_s1026" type="#_x0000_t202" style="position:absolute;margin-left:0;margin-top:591pt;width:10pt;height:51pt;z-index:251660288;visibility:visible;mso-wrap-style:square;mso-width-percent:1000;mso-height-percent:0;mso-wrap-distance-left:9pt;mso-wrap-distance-top:0;mso-wrap-distance-right:9pt;mso-wrap-distance-bottom:0;mso-position-horizontal:center;mso-position-horizontal-relative:page;mso-position-vertical:absolute;mso-position-vertical-relative:page;mso-width-percent:100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" stroked="f" strokeweight=".5pt">
                <v:textbox>
                  <w:txbxContent>
                    <w:p w14:paraId="6CE80668" w14:textId="5AE1110D" w:rsidR="008B3BCC" w:rsidRDefault="00001313">
                      <w:pPr>
                        <w:ind w:left="2835" w:right="2268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© State of Western Australia </w:t>
                      </w:r>
                      <w:r>
                        <w:rPr>
                          <w:sz w:val="16"/>
                        </w:rPr>
                        <w:fldChar w:fldCharType="begin"/>
                      </w:r>
                      <w:r>
                        <w:rPr>
                          <w:sz w:val="16"/>
                        </w:rPr>
                        <w:instrText xml:space="preserve"> DOCPROPERTY CommencementYear</w:instrText>
                      </w:r>
                      <w:r>
                        <w:rPr>
                          <w:sz w:val="16"/>
                        </w:rPr>
                        <w:fldChar w:fldCharType="separate"/>
                      </w:r>
                      <w:r w:rsidR="00524479">
                        <w:rPr>
                          <w:sz w:val="16"/>
                        </w:rPr>
                        <w:t>2024</w:t>
                      </w:r>
                      <w:r>
                        <w:rPr>
                          <w:sz w:val="16"/>
                        </w:rPr>
                        <w:fldChar w:fldCharType="end"/>
                      </w:r>
                      <w:r>
                        <w:rPr>
                          <w:sz w:val="16"/>
                        </w:rPr>
                        <w:t>.</w:t>
                      </w:r>
                    </w:p>
                    <w:p w14:paraId="1C4AB4DA" w14:textId="77777777" w:rsidR="008B3BCC" w:rsidRDefault="00001313">
                      <w:pPr>
                        <w:ind w:left="2835" w:right="2268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This work is licensed under a Creative Commons Attribution 4.0 International Licence (CC BY 4.0). To view relevant information and for a link to a copy of the licence, visit </w:t>
                      </w:r>
                      <w:r>
                        <w:rPr>
                          <w:sz w:val="16"/>
                          <w:u w:val="single"/>
                        </w:rPr>
                        <w:t>www.legislation.wa.gov.au</w:t>
                      </w:r>
                      <w:r>
                        <w:rPr>
                          <w:sz w:val="16"/>
                        </w:rPr>
                        <w:t>.</w:t>
                      </w:r>
                    </w:p>
                    <w:p w14:paraId="7908C66A" w14:textId="64AD8B7E" w:rsidR="008B3BCC" w:rsidRDefault="00001313">
                      <w:pPr>
                        <w:ind w:left="2835" w:right="2268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Attribute work as: © State of Western Australia </w:t>
                      </w:r>
                      <w:r>
                        <w:rPr>
                          <w:sz w:val="16"/>
                        </w:rPr>
                        <w:fldChar w:fldCharType="begin"/>
                      </w:r>
                      <w:r>
                        <w:rPr>
                          <w:sz w:val="16"/>
                        </w:rPr>
                        <w:instrText xml:space="preserve"> DOCPROPERTY CommencementYear</w:instrText>
                      </w:r>
                      <w:r>
                        <w:rPr>
                          <w:sz w:val="16"/>
                        </w:rPr>
                        <w:fldChar w:fldCharType="separate"/>
                      </w:r>
                      <w:r w:rsidR="00524479">
                        <w:rPr>
                          <w:sz w:val="16"/>
                        </w:rPr>
                        <w:t>2024</w:t>
                      </w:r>
                      <w:r>
                        <w:rPr>
                          <w:sz w:val="16"/>
                        </w:rPr>
                        <w:fldChar w:fldCharType="end"/>
                      </w:r>
                      <w:r>
                        <w:rPr>
                          <w:sz w:val="16"/>
                        </w:rPr>
                        <w:t>.</w:t>
                      </w:r>
                    </w:p>
                    <w:p w14:paraId="60B0CBB0" w14:textId="77777777" w:rsidR="008B3BCC" w:rsidRDefault="00001313">
                      <w:pPr>
                        <w:ind w:left="2438" w:right="2098"/>
                        <w:jc w:val="center"/>
                        <w:rPr>
                          <w:rFonts w:ascii="Arial" w:hAnsi="Arial" w:cs="Arial"/>
                          <w:sz w:val="12"/>
                        </w:rPr>
                      </w:pPr>
                      <w:r>
                        <w:rPr>
                          <w:rFonts w:ascii="Arial" w:hAnsi="Arial" w:cs="Arial"/>
                          <w:sz w:val="12"/>
                        </w:rPr>
                        <w:t>By Authority: GEOFF O. LAWN, Government Printer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sectPr>
      <w:headerReference w:type="even" r:id="rId27"/>
      <w:headerReference w:type="default" r:id="rId28"/>
      <w:footerReference w:type="even" r:id="rId29"/>
      <w:footerReference w:type="default" r:id="rId30"/>
      <w:headerReference w:type="first" r:id="rId31"/>
      <w:footerReference w:type="first" r:id="rId32"/>
      <w:endnotePr>
        <w:numFmt w:val="decimal"/>
      </w:endnotePr>
      <w:type w:val="continuous"/>
      <w:pgSz w:w="11907" w:h="16840" w:code="9"/>
      <w:pgMar w:top="567" w:right="1701" w:bottom="567" w:left="1701" w:header="720" w:footer="720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>
      <w:pPr>
        <w:rPr>
          <w:b/>
          <w:sz w:val="28"/>
        </w:rPr>
      </w:pPr>
      <w:r>
        <w:rPr>
          <w:b/>
          <w:sz w:val="28"/>
        </w:rPr>
        <w:t>Endnotes</w:t>
      </w:r>
    </w:p>
    <w:p>
      <w:pPr>
        <w:spacing w:after="240"/>
        <w:rPr>
          <w:rFonts w:ascii="Times" w:hAnsi="Times"/>
          <w:sz w:val="18"/>
        </w:rPr>
      </w:pPr>
      <w:r>
        <w:rPr>
          <w:sz w:val="20"/>
        </w:rPr>
        <w:t>[For ease of reference detach these notes and read them alongside the draft.]</w:t>
      </w:r>
    </w:p>
    <w:p/>
  </w:endnote>
  <w:endnote w:type="continuationSeparator" w:id="0">
    <w:p>
      <w:pPr>
        <w:pStyle w:val="Footer"/>
      </w:pPr>
    </w:p>
    <w:p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  <w:r>
      <w:rPr>
        <w:sz w:val="20"/>
      </w:rPr>
      <w:tab/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28 Nov 2024</w:t>
    </w:r>
    <w:r>
      <w:rPr>
        <w:sz w:val="20"/>
      </w:rPr>
      <w:fldChar w:fldCharType="end"/>
    </w:r>
  </w:p>
  <w:p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>Published on www.legislation.wa.gov.au</w:t>
    </w:r>
    <w:r>
      <w:rPr>
        <w:sz w:val="16"/>
      </w:rPr>
      <w:tab/>
      <w:t xml:space="preserve">[PCO </w:t>
    </w:r>
    <w:r>
      <w:rPr>
        <w:sz w:val="16"/>
      </w:rPr>
      <w:fldChar w:fldCharType="begin"/>
    </w:r>
    <w:r>
      <w:rPr>
        <w:sz w:val="16"/>
      </w:rPr>
      <w:instrText xml:space="preserve"> DOCPROPERTY "Suffix" </w:instrText>
    </w:r>
    <w:r>
      <w:rPr>
        <w:sz w:val="16"/>
      </w:rPr>
      <w:fldChar w:fldCharType="separate"/>
    </w:r>
    <w:r>
      <w:rPr>
        <w:sz w:val="16"/>
      </w:rPr>
      <w:t>00-b0-00</w:t>
    </w:r>
    <w:r>
      <w:rPr>
        <w:sz w:val="16"/>
      </w:rPr>
      <w:fldChar w:fldCharType="end"/>
    </w:r>
    <w:r>
      <w:rPr>
        <w:sz w:val="16"/>
      </w:rPr>
      <w:t>]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28 Nov 2024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</w:p>
  <w:p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 xml:space="preserve">[PCO </w:t>
    </w:r>
    <w:r>
      <w:rPr>
        <w:sz w:val="16"/>
      </w:rPr>
      <w:fldChar w:fldCharType="begin"/>
    </w:r>
    <w:r>
      <w:rPr>
        <w:sz w:val="16"/>
      </w:rPr>
      <w:instrText xml:space="preserve"> DOCPROPERTY "Suffix" </w:instrText>
    </w:r>
    <w:r>
      <w:rPr>
        <w:sz w:val="16"/>
      </w:rPr>
      <w:fldChar w:fldCharType="separate"/>
    </w:r>
    <w:r>
      <w:rPr>
        <w:sz w:val="16"/>
      </w:rPr>
      <w:t>00-b0-00</w:t>
    </w:r>
    <w:r>
      <w:rPr>
        <w:sz w:val="16"/>
      </w:rPr>
      <w:fldChar w:fldCharType="end"/>
    </w:r>
    <w:r>
      <w:rPr>
        <w:sz w:val="16"/>
      </w:rPr>
      <w:t>]</w:t>
    </w:r>
    <w:r>
      <w:rPr>
        <w:sz w:val="16"/>
      </w:rPr>
      <w:tab/>
      <w:t>Published on www.legislation.wa.gov.au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28 Nov 2024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</w:p>
  <w:p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 xml:space="preserve">[PCO </w:t>
    </w:r>
    <w:r>
      <w:rPr>
        <w:sz w:val="16"/>
      </w:rPr>
      <w:fldChar w:fldCharType="begin"/>
    </w:r>
    <w:r>
      <w:rPr>
        <w:sz w:val="16"/>
      </w:rPr>
      <w:instrText xml:space="preserve"> DOCPROPERTY "Suffix" </w:instrText>
    </w:r>
    <w:r>
      <w:rPr>
        <w:sz w:val="16"/>
      </w:rPr>
      <w:fldChar w:fldCharType="separate"/>
    </w:r>
    <w:r>
      <w:rPr>
        <w:sz w:val="16"/>
      </w:rPr>
      <w:t>00-b0-00</w:t>
    </w:r>
    <w:r>
      <w:rPr>
        <w:sz w:val="16"/>
      </w:rPr>
      <w:fldChar w:fldCharType="end"/>
    </w:r>
    <w:r>
      <w:rPr>
        <w:sz w:val="16"/>
      </w:rPr>
      <w:t>]</w:t>
    </w:r>
    <w:r>
      <w:rPr>
        <w:sz w:val="16"/>
      </w:rPr>
      <w:tab/>
      <w:t>Published on www.legislation.wa.gov.au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ii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  <w:r>
      <w:rPr>
        <w:sz w:val="20"/>
      </w:rPr>
      <w:tab/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28 Nov 2024</w:t>
    </w:r>
    <w:r>
      <w:rPr>
        <w:sz w:val="20"/>
      </w:rPr>
      <w:fldChar w:fldCharType="end"/>
    </w:r>
  </w:p>
  <w:p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>Published on www.legislation.wa.gov.au</w:t>
    </w:r>
    <w:r>
      <w:rPr>
        <w:sz w:val="16"/>
      </w:rPr>
      <w:tab/>
      <w:t xml:space="preserve">[PCO </w:t>
    </w:r>
    <w:r>
      <w:rPr>
        <w:sz w:val="16"/>
      </w:rPr>
      <w:fldChar w:fldCharType="begin"/>
    </w:r>
    <w:r>
      <w:rPr>
        <w:sz w:val="16"/>
      </w:rPr>
      <w:instrText xml:space="preserve"> DOCPROPERTY "Suffix" </w:instrText>
    </w:r>
    <w:r>
      <w:rPr>
        <w:sz w:val="16"/>
      </w:rPr>
      <w:fldChar w:fldCharType="separate"/>
    </w:r>
    <w:r>
      <w:rPr>
        <w:sz w:val="16"/>
      </w:rPr>
      <w:t>00-b0-00</w:t>
    </w:r>
    <w:r>
      <w:rPr>
        <w:sz w:val="16"/>
      </w:rPr>
      <w:fldChar w:fldCharType="end"/>
    </w:r>
    <w:r>
      <w:rPr>
        <w:sz w:val="16"/>
      </w:rPr>
      <w:t>]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28 Nov 2024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ii</w:t>
    </w:r>
    <w:r>
      <w:rPr>
        <w:sz w:val="20"/>
      </w:rPr>
      <w:fldChar w:fldCharType="end"/>
    </w:r>
  </w:p>
  <w:p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 xml:space="preserve">[PCO </w:t>
    </w:r>
    <w:r>
      <w:rPr>
        <w:sz w:val="16"/>
      </w:rPr>
      <w:fldChar w:fldCharType="begin"/>
    </w:r>
    <w:r>
      <w:rPr>
        <w:sz w:val="16"/>
      </w:rPr>
      <w:instrText xml:space="preserve"> DOCPROPERTY "Suffix" </w:instrText>
    </w:r>
    <w:r>
      <w:rPr>
        <w:sz w:val="16"/>
      </w:rPr>
      <w:fldChar w:fldCharType="separate"/>
    </w:r>
    <w:r>
      <w:rPr>
        <w:sz w:val="16"/>
      </w:rPr>
      <w:t>00-b0-00</w:t>
    </w:r>
    <w:r>
      <w:rPr>
        <w:sz w:val="16"/>
      </w:rPr>
      <w:fldChar w:fldCharType="end"/>
    </w:r>
    <w:r>
      <w:rPr>
        <w:sz w:val="16"/>
      </w:rPr>
      <w:t>]</w:t>
    </w:r>
    <w:r>
      <w:rPr>
        <w:sz w:val="16"/>
      </w:rPr>
      <w:tab/>
      <w:t>Published on www.legislation.wa.gov.au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28 Nov 2024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i</w:t>
    </w:r>
    <w:r>
      <w:rPr>
        <w:sz w:val="20"/>
      </w:rPr>
      <w:fldChar w:fldCharType="end"/>
    </w:r>
  </w:p>
  <w:p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 xml:space="preserve">[PCO </w:t>
    </w:r>
    <w:r>
      <w:rPr>
        <w:sz w:val="16"/>
      </w:rPr>
      <w:fldChar w:fldCharType="begin"/>
    </w:r>
    <w:r>
      <w:rPr>
        <w:sz w:val="16"/>
      </w:rPr>
      <w:instrText xml:space="preserve"> DOCPROPERTY "Suffix" </w:instrText>
    </w:r>
    <w:r>
      <w:rPr>
        <w:sz w:val="16"/>
      </w:rPr>
      <w:fldChar w:fldCharType="separate"/>
    </w:r>
    <w:r>
      <w:rPr>
        <w:sz w:val="16"/>
      </w:rPr>
      <w:t>00-b0-00</w:t>
    </w:r>
    <w:r>
      <w:rPr>
        <w:sz w:val="16"/>
      </w:rPr>
      <w:fldChar w:fldCharType="end"/>
    </w:r>
    <w:r>
      <w:rPr>
        <w:sz w:val="16"/>
      </w:rPr>
      <w:t>]</w:t>
    </w:r>
    <w:r>
      <w:rPr>
        <w:sz w:val="16"/>
      </w:rPr>
      <w:tab/>
      <w:t>Published on www.legislation.wa.gov.au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Main Roads (General) Regulations 2023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"nHeading 2" </w:instrText>
          </w:r>
          <w:r>
            <w:rPr>
              <w:b/>
            </w:rPr>
            <w:fldChar w:fldCharType="separate"/>
          </w:r>
          <w:r>
            <w:rPr>
              <w:b/>
            </w:rPr>
            <w:t>Notes</w:t>
          </w:r>
          <w:r>
            <w:rPr>
              <w:b/>
            </w:rPr>
            <w:fldChar w:fldCharType="end"/>
          </w:r>
        </w:p>
      </w:tc>
      <w:tc>
        <w:tcPr>
          <w:tcW w:w="5715" w:type="dxa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"nHeading 3" </w:instrText>
          </w:r>
          <w:r>
            <w:fldChar w:fldCharType="separate"/>
          </w:r>
          <w:r>
            <w:t>Compilation table</w:t>
          </w:r>
          <w:r>
            <w:fldChar w:fldCharType="end"/>
          </w: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spacing w:before="40"/>
          </w:pPr>
        </w:p>
      </w:tc>
    </w:tr>
  </w:tbl>
  <w:p>
    <w:pPr>
      <w:pStyle w:val="Header"/>
      <w:pBdr>
        <w:top w:val="single" w:sz="4" w:space="1" w:color="auto"/>
      </w:pBdr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Main Roads (General) Regulations 2023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5715" w:type="dxa"/>
        </w:tcPr>
        <w:p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"nHeading 3" </w:instrText>
          </w:r>
          <w:r>
            <w:fldChar w:fldCharType="separate"/>
          </w:r>
          <w:r>
            <w:t>Compilation table</w:t>
          </w:r>
          <w:r>
            <w:fldChar w:fldCharType="end"/>
          </w: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"nHeading 2" </w:instrText>
          </w:r>
          <w:r>
            <w:rPr>
              <w:b/>
            </w:rPr>
            <w:fldChar w:fldCharType="separate"/>
          </w:r>
          <w:r>
            <w:rPr>
              <w:b/>
            </w:rPr>
            <w:t>Notes</w:t>
          </w:r>
          <w:r>
            <w:rPr>
              <w:b/>
            </w:rPr>
            <w:fldChar w:fldCharType="end"/>
          </w:r>
        </w:p>
      </w:tc>
    </w:tr>
    <w:tr>
      <w:trPr>
        <w:jc w:val="center"/>
      </w:trP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spacing w:before="40"/>
            <w:ind w:right="17"/>
            <w:jc w:val="right"/>
          </w:pPr>
        </w:p>
      </w:tc>
    </w:tr>
  </w:tbl>
  <w:p>
    <w:pPr>
      <w:pStyle w:val="Header"/>
      <w:pBdr>
        <w:top w:val="single" w:sz="4" w:space="1" w:color="auto"/>
      </w:pBdr>
    </w:pPr>
    <w:bookmarkStart w:id="10" w:name="Compilation"/>
    <w:bookmarkEnd w:id="10"/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  <w:bookmarkStart w:id="11" w:name="Coversheet"/>
    <w:bookmarkEnd w:id="11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  <w:bookmarkStart w:id="0" w:name="TitlePage"/>
    <w:bookmarkEnd w:id="0"/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Main Roads (General) Regulations 2023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spacing w:before="40"/>
          </w:pPr>
          <w:r>
            <w:t>Contents</w:t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Main Roads (General) Regulations 2023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jc w:val="center"/>
      </w:trP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spacing w:before="40"/>
            <w:ind w:right="17"/>
            <w:jc w:val="right"/>
          </w:pPr>
          <w:r>
            <w:t>Contents</w:t>
          </w:r>
        </w:p>
      </w:tc>
    </w:tr>
  </w:tbl>
  <w:p>
    <w:pPr>
      <w:pStyle w:val="Header"/>
      <w:pBdr>
        <w:top w:val="single" w:sz="4" w:space="1" w:color="auto"/>
      </w:pBdr>
    </w:pPr>
    <w:bookmarkStart w:id="1" w:name="TOC"/>
    <w:bookmarkEnd w:id="1"/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  <w:jc w:val="center"/>
      </w:trPr>
      <w:tc>
        <w:tcPr>
          <w:tcW w:w="7263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Main Roads (General) Regulations 2023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CharPartNo</w:instrText>
          </w:r>
          <w:r>
            <w:rPr>
              <w:b/>
            </w:rPr>
            <w:fldChar w:fldCharType="end"/>
          </w:r>
        </w:p>
      </w:tc>
      <w:tc>
        <w:tcPr>
          <w:tcW w:w="5715" w:type="dxa"/>
          <w:vAlign w:val="bottom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CharDivNo</w:instrText>
          </w:r>
          <w:r>
            <w:rPr>
              <w:b/>
            </w:rPr>
            <w:fldChar w:fldCharType="end"/>
          </w:r>
        </w:p>
      </w:tc>
      <w:tc>
        <w:tcPr>
          <w:tcW w:w="5715" w:type="dxa"/>
          <w:vAlign w:val="bottom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</w:tr>
    <w:tr>
      <w:trPr>
        <w:cantSplit/>
        <w:jc w:val="center"/>
      </w:trPr>
      <w:tc>
        <w:tcPr>
          <w:tcW w:w="7263" w:type="dxa"/>
          <w:gridSpan w:val="2"/>
        </w:tcPr>
        <w:p>
          <w:pPr>
            <w:pStyle w:val="Header"/>
            <w:spacing w:before="40"/>
          </w:pPr>
          <w:r>
            <w:rPr>
              <w:b/>
            </w:rPr>
            <w:t xml:space="preserve">r. </w:t>
          </w:r>
          <w:r>
            <w:rPr>
              <w:b/>
            </w:rPr>
            <w:fldChar w:fldCharType="begin"/>
          </w:r>
          <w:r>
            <w:rPr>
              <w:b/>
            </w:rPr>
            <w:instrText>STYLEREF CharSectNo</w:instrText>
          </w:r>
          <w:r>
            <w:rPr>
              <w:b/>
            </w:rPr>
            <w:fldChar w:fldCharType="separate"/>
          </w:r>
          <w:r>
            <w:rPr>
              <w:b/>
            </w:rPr>
            <w:t>1</w:t>
          </w:r>
          <w:r>
            <w:rPr>
              <w:b/>
            </w:rPr>
            <w:fldChar w:fldCharType="end"/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  <w:jc w:val="center"/>
      </w:trPr>
      <w:tc>
        <w:tcPr>
          <w:tcW w:w="7263" w:type="dxa"/>
          <w:gridSpan w:val="2"/>
        </w:tcPr>
        <w:p>
          <w:pPr>
            <w:pStyle w:val="Header"/>
            <w:spacing w:before="40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Main Roads (General) Regulations 2023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5715" w:type="dxa"/>
          <w:vAlign w:val="bottom"/>
        </w:tcPr>
        <w:p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  <w:tc>
        <w:tcPr>
          <w:tcW w:w="1548" w:type="dxa"/>
        </w:tcPr>
        <w:p>
          <w:pPr>
            <w:pStyle w:val="Header"/>
            <w:spacing w:before="40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CharPartNo</w:instrText>
          </w:r>
          <w:r>
            <w:rPr>
              <w:b/>
            </w:rPr>
            <w:fldChar w:fldCharType="end"/>
          </w:r>
        </w:p>
      </w:tc>
    </w:tr>
    <w:tr>
      <w:trPr>
        <w:jc w:val="center"/>
      </w:trPr>
      <w:tc>
        <w:tcPr>
          <w:tcW w:w="5715" w:type="dxa"/>
          <w:vAlign w:val="bottom"/>
        </w:tcPr>
        <w:p>
          <w:pPr>
            <w:pStyle w:val="Header"/>
            <w:jc w:val="right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  <w:tc>
        <w:tcPr>
          <w:tcW w:w="1548" w:type="dxa"/>
        </w:tcPr>
        <w:p>
          <w:pPr>
            <w:pStyle w:val="Header"/>
            <w:spacing w:before="40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CharDivNo</w:instrText>
          </w:r>
          <w:r>
            <w:rPr>
              <w:b/>
            </w:rPr>
            <w:fldChar w:fldCharType="end"/>
          </w:r>
        </w:p>
      </w:tc>
    </w:tr>
    <w:tr>
      <w:trPr>
        <w:cantSplit/>
        <w:jc w:val="center"/>
      </w:trPr>
      <w:tc>
        <w:tcPr>
          <w:tcW w:w="7263" w:type="dxa"/>
          <w:gridSpan w:val="2"/>
        </w:tcPr>
        <w:p>
          <w:pPr>
            <w:pStyle w:val="Header"/>
            <w:spacing w:before="40"/>
            <w:jc w:val="right"/>
          </w:pPr>
          <w:r>
            <w:rPr>
              <w:b/>
            </w:rPr>
            <w:t xml:space="preserve">r. </w:t>
          </w:r>
          <w:r>
            <w:rPr>
              <w:b/>
            </w:rPr>
            <w:fldChar w:fldCharType="begin"/>
          </w:r>
          <w:r>
            <w:rPr>
              <w:b/>
            </w:rPr>
            <w:instrText>STYLEREF CharSectNo</w:instrText>
          </w:r>
          <w:r>
            <w:rPr>
              <w:b/>
            </w:rPr>
            <w:fldChar w:fldCharType="separate"/>
          </w:r>
          <w:r>
            <w:rPr>
              <w:b/>
            </w:rPr>
            <w:t>1</w:t>
          </w:r>
          <w:r>
            <w:rPr>
              <w:b/>
            </w:rPr>
            <w:fldChar w:fldCharType="end"/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1F066C2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F88F74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E44E0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15A2A1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54AD31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784C55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56E670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06F51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3E2D3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A14993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A9071E2"/>
    <w:multiLevelType w:val="singleLevel"/>
    <w:tmpl w:val="6686A91E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</w:abstractNum>
  <w:abstractNum w:abstractNumId="11" w15:restartNumberingAfterBreak="0">
    <w:nsid w:val="138B63E2"/>
    <w:multiLevelType w:val="multilevel"/>
    <w:tmpl w:val="3550C8FC"/>
    <w:name w:val="Section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(%2)"/>
      <w:lvlJc w:val="righ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2" w15:restartNumberingAfterBreak="0">
    <w:nsid w:val="17F0064C"/>
    <w:multiLevelType w:val="multilevel"/>
    <w:tmpl w:val="B978DF16"/>
    <w:name w:val="Part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decimal"/>
      <w:suff w:val="nothing"/>
      <w:lvlText w:val="%4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3" w15:restartNumberingAfterBreak="0">
    <w:nsid w:val="22FF52EA"/>
    <w:multiLevelType w:val="multilevel"/>
    <w:tmpl w:val="85E88ED1"/>
    <w:name w:val="PermanentNotesNumbering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4" w15:restartNumberingAfterBreak="0">
    <w:nsid w:val="22FF52EB"/>
    <w:multiLevelType w:val="multilevel"/>
    <w:tmpl w:val="85E88ED0"/>
    <w:name w:val="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5" w15:restartNumberingAfterBreak="0">
    <w:nsid w:val="2BE82A86"/>
    <w:multiLevelType w:val="multilevel"/>
    <w:tmpl w:val="E1506BB2"/>
    <w:name w:val="Schedule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6" w15:restartNumberingAfterBreak="0">
    <w:nsid w:val="3BBA1437"/>
    <w:multiLevelType w:val="singleLevel"/>
    <w:tmpl w:val="0C09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7" w15:restartNumberingAfterBreak="0">
    <w:nsid w:val="3C2808C0"/>
    <w:multiLevelType w:val="singleLevel"/>
    <w:tmpl w:val="58E827E4"/>
    <w:lvl w:ilvl="0">
      <w:start w:val="1"/>
      <w:numFmt w:val="bullet"/>
      <w:lvlText w:val=""/>
      <w:lvlJc w:val="left"/>
      <w:pPr>
        <w:tabs>
          <w:tab w:val="num" w:pos="1446"/>
        </w:tabs>
        <w:ind w:left="1446" w:hanging="567"/>
      </w:pPr>
      <w:rPr>
        <w:rFonts w:ascii="Symbol" w:hAnsi="Symbol" w:hint="default"/>
      </w:rPr>
    </w:lvl>
  </w:abstractNum>
  <w:abstractNum w:abstractNumId="18" w15:restartNumberingAfterBreak="0">
    <w:nsid w:val="41B90854"/>
    <w:multiLevelType w:val="singleLevel"/>
    <w:tmpl w:val="0C090001"/>
    <w:lvl w:ilvl="0">
      <w:start w:val="1"/>
      <w:numFmt w:val="bullet"/>
      <w:lvlText w:val=""/>
      <w:lvlJc w:val="left"/>
      <w:rPr>
        <w:rFonts w:ascii="Symbol" w:hAnsi="Symbol" w:hint="default"/>
      </w:rPr>
    </w:lvl>
  </w:abstractNum>
  <w:abstractNum w:abstractNumId="19" w15:restartNumberingAfterBreak="0">
    <w:nsid w:val="42C41A54"/>
    <w:multiLevelType w:val="multilevel"/>
    <w:tmpl w:val="3C54BBA6"/>
    <w:name w:val="ScheduleNumberedItems"/>
    <w:lvl w:ilvl="0">
      <w:start w:val="1"/>
      <w:numFmt w:val="decimal"/>
      <w:suff w:val="nothing"/>
      <w:lvlText w:val="%1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0" w15:restartNumberingAfterBreak="0">
    <w:nsid w:val="4CC03303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1" w15:restartNumberingAfterBreak="0">
    <w:nsid w:val="5E761E26"/>
    <w:multiLevelType w:val="multilevel"/>
    <w:tmpl w:val="9B2EA622"/>
    <w:name w:val="ScheduleSection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(%2)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2" w15:restartNumberingAfterBreak="0">
    <w:nsid w:val="6FDE73CC"/>
    <w:multiLevelType w:val="multilevel"/>
    <w:tmpl w:val="F23471B8"/>
    <w:name w:val="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3" w15:restartNumberingAfterBreak="0">
    <w:nsid w:val="7AB12928"/>
    <w:multiLevelType w:val="multilevel"/>
    <w:tmpl w:val="4B987CFA"/>
    <w:name w:val="Schedule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4" w15:restartNumberingAfterBreak="0">
    <w:nsid w:val="7E512DEB"/>
    <w:multiLevelType w:val="multilevel"/>
    <w:tmpl w:val="9D2ACE92"/>
    <w:name w:val="Schedule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num w:numId="1">
    <w:abstractNumId w:val="11"/>
  </w:num>
  <w:num w:numId="2">
    <w:abstractNumId w:val="18"/>
  </w:num>
  <w:num w:numId="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formatting="0"/>
  <w:defaultTabStop w:val="1140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61"/>
  </w:hdrShapeDefaults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uleResults" w:val="&lt;WPO&gt;&lt;/WPO&gt;"/>
    <w:docVar w:name="WAFER" w:val="20241122081946"/>
    <w:docVar w:name="WAFER_20150206084300" w:val="ResetPageSize"/>
    <w:docVar w:name="WAFER_20150206084300_GUID" w:val="de2fbc3d-acf0-43f4-a0fa-d2631ba8b5df"/>
    <w:docVar w:name="WAFER_20151016170500" w:val="UpdateStyles"/>
    <w:docVar w:name="WAFER_20151016170500_GUID" w:val="b265764f-9cc9-4051-b597-28966bcc0033"/>
    <w:docVar w:name="WAFER_20151016171156" w:val="UsedStyles"/>
    <w:docVar w:name="WAFER_20151016171156_GUID" w:val="65b8bf31-20ff-4e33-a7f5-3e8a982d38e1"/>
    <w:docVar w:name="WAFER_20151016171216" w:val="UpdateStyles"/>
    <w:docVar w:name="WAFER_20151016171216_GUID" w:val="6c2db7ef-daac-4b3e-9dc6-438f5d0ef0de"/>
    <w:docVar w:name="WAFER_20151019113755" w:val="UpdateStyles,UsedStyles"/>
    <w:docVar w:name="WAFER_20151019113755_GUID" w:val="94d94bff-48d8-4137-a72c-5fd727eea17c"/>
    <w:docVar w:name="WAFER_20151102150240" w:val="UpdateStyles,UsedStyles"/>
    <w:docVar w:name="WAFER_20151102150240_GUID" w:val="2391df09-cb41-4aa3-adeb-85763481adf4"/>
    <w:docVar w:name="WAFER_20190125160029" w:val="UpdateStyles"/>
    <w:docVar w:name="WAFER_20190125160029_GUID" w:val="b5d22a23-aebe-4a72-ade9-c7eb5fe3ff91"/>
    <w:docVar w:name="WAFER_20190213151332" w:val="UpdateStyles"/>
    <w:docVar w:name="WAFER_20190213151332_GUID" w:val="5f5bd124-b00b-412a-a7b5-01fcf0a689e4"/>
    <w:docVar w:name="WAFER_20190214104147" w:val="UpdateStyles"/>
    <w:docVar w:name="WAFER_20190214104147_GUID" w:val="ba422db1-9a36-4369-9917-270567d09a43"/>
    <w:docVar w:name="WAFER_20190227114746" w:val="UpdateStyles"/>
    <w:docVar w:name="WAFER_20190227114746_GUID" w:val="462c59b5-9a0c-4a8b-a415-d2eeb9a467c9"/>
    <w:docVar w:name="WAFER_20191031134536" w:val="UpdateStyles"/>
    <w:docVar w:name="WAFER_20191031134536_GUID" w:val="b6cf0004-89c3-4ce4-92f2-c7ba61597248"/>
    <w:docVar w:name="WAFER_20200207102504" w:val="UpdateStyles.ProcessFixes,UpdateStyles.ProcessFixes,RemoveIncorrectStyles.ProcessStyles,RemoveIncorrectStyles.ProcessStyles"/>
    <w:docVar w:name="WAFER_20200207102504_GUID" w:val="22d86058-aa5d-4625-8196-006bb3c08a21"/>
    <w:docVar w:name="WAFER_20230403110444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setPageSize.ResetPageSize,ResetPageFooter.ResetPageFooter"/>
    <w:docVar w:name="WAFER_20230403110444_GUID" w:val="6a1c105a-3450-41aa-9a46-e934e904a723"/>
    <w:docVar w:name="WAFER_20231116153637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unningHeaders.Run,UpdateStyles.ProcessFixes,UpdateStyles.ProcessFixes,RemoveIncorrectStyles.ProcessStyles,RemoveIncorrectStyles.ProcessStyles"/>
    <w:docVar w:name="WAFER_20231116153637_GUID" w:val="705ac305-1884-4a27-a2e1-1e740cfd099c"/>
    <w:docVar w:name="WAFER_20231120084334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unningHeaders.Run,UpdateStyles.ProcessFixes,UpdateStyles.ProcessFixes,RemoveIncorrectStyles.ProcessStyles"/>
    <w:docVar w:name="WAFER_20231120084334_GUID" w:val="e1e85051-a5fe-4390-922c-b2c6ba998c6c"/>
    <w:docVar w:name="WAFER_20231123131106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unningHeaders.Run"/>
    <w:docVar w:name="WAFER_20231123131106_GUID" w:val="93003ddd-68c0-4c58-a7cb-aa1f84d4037e"/>
    <w:docVar w:name="WAFER_20231229095514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unningHeaders.Run"/>
    <w:docVar w:name="WAFER_20231229095514_GUID" w:val="1a9e8128-e6d5-4007-91c8-8566442bac74"/>
    <w:docVar w:name="WAFER_20241122081946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unningHeaders.Run,UpdateStyles.ProcessFixes,UpdateStyles.ProcessFixes,RemoveIncorrectStyles.ProcessStyles"/>
    <w:docVar w:name="WAFER_20241122081946_GUID" w:val="8917d5a4-d46b-4549-a030-b1477995ccf2"/>
  </w:docVar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1"/>
    <o:shapelayout v:ext="edit">
      <o:idmap v:ext="edit" data="1"/>
    </o:shapelayout>
  </w:shapeDefaults>
  <w:decimalSymbol w:val="."/>
  <w:listSeparator w:val=","/>
  <w15:docId w15:val="{8D81E9DE-0FEE-4639-885D-344425D471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iPriority="39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next w:val="Heading2"/>
    <w:qFormat/>
    <w:pPr>
      <w:keepNext/>
      <w:keepLines/>
      <w:pageBreakBefore/>
      <w:spacing w:before="320" w:line="260" w:lineRule="atLeast"/>
      <w:jc w:val="center"/>
      <w:outlineLvl w:val="0"/>
    </w:pPr>
    <w:rPr>
      <w:b/>
      <w:kern w:val="28"/>
      <w:sz w:val="34"/>
    </w:rPr>
  </w:style>
  <w:style w:type="paragraph" w:styleId="Heading2">
    <w:name w:val="heading 2"/>
    <w:next w:val="Heading3"/>
    <w:qFormat/>
    <w:pPr>
      <w:keepNext/>
      <w:pageBreakBefore/>
      <w:spacing w:line="260" w:lineRule="atLeast"/>
      <w:jc w:val="center"/>
      <w:outlineLvl w:val="1"/>
    </w:pPr>
    <w:rPr>
      <w:b/>
      <w:snapToGrid w:val="0"/>
      <w:sz w:val="30"/>
    </w:rPr>
  </w:style>
  <w:style w:type="paragraph" w:styleId="Heading3">
    <w:name w:val="heading 3"/>
    <w:next w:val="Heading4"/>
    <w:qFormat/>
    <w:pPr>
      <w:keepNext/>
      <w:spacing w:before="240" w:line="260" w:lineRule="atLeast"/>
      <w:jc w:val="center"/>
      <w:outlineLvl w:val="2"/>
    </w:pPr>
    <w:rPr>
      <w:b/>
      <w:sz w:val="26"/>
    </w:rPr>
  </w:style>
  <w:style w:type="paragraph" w:styleId="Heading4">
    <w:name w:val="heading 4"/>
    <w:next w:val="Heading5"/>
    <w:qFormat/>
    <w:pPr>
      <w:keepNext/>
      <w:spacing w:before="240"/>
      <w:jc w:val="center"/>
      <w:outlineLvl w:val="3"/>
    </w:pPr>
    <w:rPr>
      <w:b/>
      <w:sz w:val="24"/>
    </w:rPr>
  </w:style>
  <w:style w:type="paragraph" w:styleId="Heading5">
    <w:name w:val="heading 5"/>
    <w:next w:val="Normal"/>
    <w:qFormat/>
    <w:pPr>
      <w:keepNext/>
      <w:keepLines/>
      <w:tabs>
        <w:tab w:val="left" w:pos="879"/>
      </w:tabs>
      <w:spacing w:before="220" w:line="260" w:lineRule="atLeast"/>
      <w:ind w:left="879" w:hanging="879"/>
      <w:outlineLvl w:val="4"/>
    </w:pPr>
    <w:rPr>
      <w:b/>
      <w:sz w:val="24"/>
    </w:rPr>
  </w:style>
  <w:style w:type="paragraph" w:styleId="Heading6">
    <w:name w:val="heading 6"/>
    <w:next w:val="Normal"/>
    <w:qFormat/>
    <w:pPr>
      <w:keepNext/>
      <w:spacing w:before="240"/>
      <w:jc w:val="center"/>
      <w:outlineLvl w:val="5"/>
    </w:pPr>
    <w:rPr>
      <w:i/>
      <w:noProof/>
      <w:sz w:val="24"/>
    </w:rPr>
  </w:style>
  <w:style w:type="paragraph" w:styleId="Heading7">
    <w:name w:val="heading 7"/>
    <w:basedOn w:val="Heading6"/>
    <w:next w:val="Normal"/>
    <w:qFormat/>
    <w:pPr>
      <w:spacing w:before="280"/>
      <w:outlineLvl w:val="6"/>
    </w:pPr>
    <w:rPr>
      <w:sz w:val="30"/>
    </w:rPr>
  </w:style>
  <w:style w:type="paragraph" w:styleId="Heading8">
    <w:name w:val="heading 8"/>
    <w:basedOn w:val="Heading6"/>
    <w:next w:val="Normal"/>
    <w:qFormat/>
    <w:pPr>
      <w:outlineLvl w:val="7"/>
    </w:pPr>
    <w:rPr>
      <w:sz w:val="28"/>
    </w:rPr>
  </w:style>
  <w:style w:type="paragraph" w:styleId="Heading9">
    <w:name w:val="heading 9"/>
    <w:basedOn w:val="Heading1"/>
    <w:next w:val="Normal"/>
    <w:qFormat/>
    <w:pPr>
      <w:keepNext w:val="0"/>
      <w:spacing w:before="280"/>
      <w:outlineLvl w:val="8"/>
    </w:pPr>
    <w:rPr>
      <w:i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leteClose">
    <w:name w:val="DeleteClose"/>
    <w:basedOn w:val="Normal"/>
    <w:pPr>
      <w:keepLines/>
      <w:jc w:val="center"/>
    </w:pPr>
    <w:rPr>
      <w:szCs w:val="24"/>
    </w:rPr>
  </w:style>
  <w:style w:type="paragraph" w:customStyle="1" w:styleId="ABillFor">
    <w:name w:val="ABillFor"/>
    <w:basedOn w:val="Normal"/>
    <w:pPr>
      <w:spacing w:before="240" w:after="600"/>
      <w:jc w:val="center"/>
    </w:pPr>
    <w:rPr>
      <w:b/>
    </w:rPr>
  </w:style>
  <w:style w:type="paragraph" w:customStyle="1" w:styleId="NameofActReg">
    <w:name w:val="Name of Act/Reg"/>
    <w:next w:val="Normal"/>
    <w:pPr>
      <w:spacing w:before="480" w:after="600"/>
      <w:jc w:val="center"/>
    </w:pPr>
    <w:rPr>
      <w:b/>
      <w:snapToGrid w:val="0"/>
      <w:sz w:val="34"/>
    </w:rPr>
  </w:style>
  <w:style w:type="paragraph" w:customStyle="1" w:styleId="Actno">
    <w:name w:val="Actno"/>
    <w:basedOn w:val="NameofActReg"/>
    <w:next w:val="Normal"/>
    <w:autoRedefine/>
    <w:pPr>
      <w:spacing w:before="500"/>
    </w:pPr>
    <w:rPr>
      <w:sz w:val="26"/>
    </w:rPr>
  </w:style>
  <w:style w:type="paragraph" w:customStyle="1" w:styleId="Arrangement">
    <w:name w:val="Arrangement"/>
    <w:pPr>
      <w:spacing w:after="480"/>
      <w:ind w:left="2304" w:right="2304"/>
      <w:jc w:val="center"/>
    </w:pPr>
    <w:rPr>
      <w:b/>
      <w:sz w:val="28"/>
    </w:rPr>
  </w:style>
  <w:style w:type="paragraph" w:customStyle="1" w:styleId="AssentNote">
    <w:name w:val="Assent Note"/>
    <w:pPr>
      <w:keepLines/>
      <w:spacing w:before="160" w:after="240"/>
      <w:jc w:val="right"/>
    </w:pPr>
    <w:rPr>
      <w:i/>
      <w:snapToGrid w:val="0"/>
      <w:sz w:val="24"/>
    </w:rPr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styleId="BodyText">
    <w:name w:val="Body Text"/>
    <w:basedOn w:val="Normal"/>
    <w:pPr>
      <w:spacing w:after="120"/>
    </w:pPr>
  </w:style>
  <w:style w:type="paragraph" w:styleId="BodyText2">
    <w:name w:val="Body Text 2"/>
    <w:basedOn w:val="Normal"/>
    <w:pPr>
      <w:spacing w:after="120" w:line="480" w:lineRule="auto"/>
    </w:pPr>
  </w:style>
  <w:style w:type="paragraph" w:styleId="BodyText3">
    <w:name w:val="Body Text 3"/>
    <w:basedOn w:val="Normal"/>
    <w:pPr>
      <w:spacing w:after="120"/>
    </w:pPr>
    <w:rPr>
      <w:sz w:val="18"/>
    </w:rPr>
  </w:style>
  <w:style w:type="paragraph" w:styleId="BodyTextFirstIndent">
    <w:name w:val="Body Text First Indent"/>
    <w:basedOn w:val="BodyText"/>
    <w:pPr>
      <w:ind w:firstLine="210"/>
    </w:pPr>
  </w:style>
  <w:style w:type="paragraph" w:styleId="BodyTextIndent">
    <w:name w:val="Body Text Indent"/>
    <w:basedOn w:val="Normal"/>
    <w:pPr>
      <w:spacing w:after="120"/>
      <w:ind w:left="283"/>
    </w:pPr>
  </w:style>
  <w:style w:type="paragraph" w:styleId="BodyTextFirstIndent2">
    <w:name w:val="Body Text First Indent 2"/>
    <w:basedOn w:val="BodyTextIndent"/>
    <w:pPr>
      <w:ind w:firstLine="210"/>
    </w:pPr>
  </w:style>
  <w:style w:type="paragraph" w:styleId="BodyTextIndent2">
    <w:name w:val="Body Text Indent 2"/>
    <w:basedOn w:val="Normal"/>
    <w:pPr>
      <w:spacing w:after="120" w:line="480" w:lineRule="auto"/>
      <w:ind w:left="283"/>
    </w:pPr>
  </w:style>
  <w:style w:type="paragraph" w:styleId="DocumentMap">
    <w:name w:val="Document Map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</w:pPr>
  </w:style>
  <w:style w:type="paragraph" w:customStyle="1" w:styleId="WA">
    <w:name w:val="WA"/>
    <w:pPr>
      <w:spacing w:after="720"/>
      <w:jc w:val="center"/>
    </w:pPr>
    <w:rPr>
      <w:sz w:val="24"/>
    </w:rPr>
  </w:style>
  <w:style w:type="paragraph" w:customStyle="1" w:styleId="Subsection">
    <w:name w:val="Subsection"/>
    <w:pPr>
      <w:tabs>
        <w:tab w:val="right" w:pos="595"/>
        <w:tab w:val="left" w:pos="879"/>
      </w:tabs>
      <w:spacing w:before="160" w:line="260" w:lineRule="atLeast"/>
      <w:ind w:left="879" w:hanging="879"/>
    </w:pPr>
    <w:rPr>
      <w:sz w:val="24"/>
    </w:rPr>
  </w:style>
  <w:style w:type="paragraph" w:styleId="BodyTextIndent3">
    <w:name w:val="Body Text Indent 3"/>
    <w:basedOn w:val="Normal"/>
    <w:pPr>
      <w:spacing w:after="120"/>
      <w:ind w:left="283"/>
    </w:pPr>
    <w:rPr>
      <w:sz w:val="18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customStyle="1" w:styleId="CentredBaseLine">
    <w:name w:val="CentredBaseLine"/>
    <w:pPr>
      <w:suppressLineNumbers/>
      <w:spacing w:before="240"/>
    </w:pPr>
  </w:style>
  <w:style w:type="character" w:customStyle="1" w:styleId="CharChapNo">
    <w:name w:val="CharChapNo"/>
    <w:rPr>
      <w:noProof w:val="0"/>
    </w:rPr>
  </w:style>
  <w:style w:type="character" w:customStyle="1" w:styleId="CharChapText">
    <w:name w:val="CharChapText"/>
    <w:rPr>
      <w:noProof w:val="0"/>
    </w:rPr>
  </w:style>
  <w:style w:type="character" w:customStyle="1" w:styleId="CharDivNo">
    <w:name w:val="CharDivNo"/>
    <w:rPr>
      <w:noProof w:val="0"/>
    </w:rPr>
  </w:style>
  <w:style w:type="character" w:customStyle="1" w:styleId="CharDivText">
    <w:name w:val="CharDivText"/>
    <w:rPr>
      <w:noProof w:val="0"/>
    </w:rPr>
  </w:style>
  <w:style w:type="character" w:customStyle="1" w:styleId="CharPartNo">
    <w:name w:val="CharPartNo"/>
    <w:rPr>
      <w:noProof w:val="0"/>
    </w:rPr>
  </w:style>
  <w:style w:type="character" w:customStyle="1" w:styleId="CharPartText">
    <w:name w:val="CharPartText"/>
    <w:rPr>
      <w:noProof w:val="0"/>
    </w:rPr>
  </w:style>
  <w:style w:type="character" w:customStyle="1" w:styleId="CharProduced">
    <w:name w:val="CharProduced"/>
    <w:rPr>
      <w:noProof w:val="0"/>
      <w:spacing w:val="-3"/>
    </w:rPr>
  </w:style>
  <w:style w:type="character" w:customStyle="1" w:styleId="CharSchNo">
    <w:name w:val="CharSchNo"/>
    <w:rPr>
      <w:noProof w:val="0"/>
    </w:rPr>
  </w:style>
  <w:style w:type="character" w:customStyle="1" w:styleId="CharSectno">
    <w:name w:val="CharSectno"/>
    <w:rPr>
      <w:noProof w:val="0"/>
    </w:rPr>
  </w:style>
  <w:style w:type="paragraph" w:styleId="Closing">
    <w:name w:val="Closing"/>
    <w:basedOn w:val="Normal"/>
    <w:pPr>
      <w:ind w:left="4252"/>
    </w:pPr>
  </w:style>
  <w:style w:type="character" w:styleId="CommentReference">
    <w:name w:val="annotation reference"/>
    <w:basedOn w:val="DefaultParagraphFont"/>
    <w:semiHidden/>
    <w:rPr>
      <w:noProof w:val="0"/>
      <w:sz w:val="18"/>
    </w:rPr>
  </w:style>
  <w:style w:type="paragraph" w:styleId="CommentText">
    <w:name w:val="annotation text"/>
    <w:basedOn w:val="Normal"/>
    <w:semiHidden/>
  </w:style>
  <w:style w:type="paragraph" w:styleId="Date">
    <w:name w:val="Date"/>
    <w:basedOn w:val="Normal"/>
    <w:next w:val="Normal"/>
  </w:style>
  <w:style w:type="paragraph" w:customStyle="1" w:styleId="Defitem">
    <w:name w:val="Defitem"/>
    <w:pPr>
      <w:tabs>
        <w:tab w:val="right" w:pos="2892"/>
      </w:tabs>
      <w:spacing w:before="80" w:line="260" w:lineRule="atLeast"/>
      <w:ind w:left="3204" w:hanging="3204"/>
    </w:pPr>
    <w:rPr>
      <w:snapToGrid w:val="0"/>
      <w:sz w:val="24"/>
    </w:rPr>
  </w:style>
  <w:style w:type="paragraph" w:customStyle="1" w:styleId="Defpara">
    <w:name w:val="Defpara"/>
    <w:pPr>
      <w:tabs>
        <w:tab w:val="right" w:pos="1332"/>
      </w:tabs>
      <w:spacing w:before="80" w:line="260" w:lineRule="atLeast"/>
      <w:ind w:left="1616" w:hanging="1616"/>
    </w:pPr>
    <w:rPr>
      <w:snapToGrid w:val="0"/>
      <w:sz w:val="24"/>
    </w:rPr>
  </w:style>
  <w:style w:type="paragraph" w:customStyle="1" w:styleId="Defstart">
    <w:name w:val="Defstart"/>
    <w:pPr>
      <w:spacing w:before="80" w:line="260" w:lineRule="atLeast"/>
      <w:ind w:left="879" w:hanging="879"/>
    </w:pPr>
    <w:rPr>
      <w:snapToGrid w:val="0"/>
      <w:sz w:val="24"/>
    </w:rPr>
  </w:style>
  <w:style w:type="paragraph" w:customStyle="1" w:styleId="Defsubpara">
    <w:name w:val="Defsubpara"/>
    <w:pPr>
      <w:keepLines/>
      <w:tabs>
        <w:tab w:val="right" w:pos="2041"/>
      </w:tabs>
      <w:spacing w:before="80" w:line="260" w:lineRule="atLeast"/>
      <w:ind w:left="2325" w:hanging="2325"/>
    </w:pPr>
    <w:rPr>
      <w:snapToGrid w:val="0"/>
      <w:sz w:val="24"/>
    </w:rPr>
  </w:style>
  <w:style w:type="character" w:customStyle="1" w:styleId="DraftersNotes">
    <w:name w:val="DraftersNotes"/>
    <w:basedOn w:val="DefaultParagraphFont"/>
    <w:rPr>
      <w:b/>
      <w:i/>
      <w:sz w:val="20"/>
    </w:rPr>
  </w:style>
  <w:style w:type="paragraph" w:customStyle="1" w:styleId="Ednoteitem">
    <w:name w:val="Ednote(item)"/>
    <w:pPr>
      <w:tabs>
        <w:tab w:val="right" w:pos="2765"/>
        <w:tab w:val="left" w:pos="3053"/>
      </w:tabs>
      <w:spacing w:before="80" w:line="260" w:lineRule="atLeast"/>
      <w:ind w:left="3050" w:hanging="3050"/>
    </w:pPr>
    <w:rPr>
      <w:i/>
      <w:sz w:val="24"/>
    </w:rPr>
  </w:style>
  <w:style w:type="paragraph" w:customStyle="1" w:styleId="Ednotedefitem">
    <w:name w:val="Ednote(defitem)"/>
    <w:basedOn w:val="Defitem"/>
    <w:rPr>
      <w:i/>
    </w:rPr>
  </w:style>
  <w:style w:type="paragraph" w:customStyle="1" w:styleId="Ednotepara">
    <w:name w:val="Ednote(para)"/>
    <w:pPr>
      <w:tabs>
        <w:tab w:val="right" w:pos="1325"/>
        <w:tab w:val="left" w:pos="1613"/>
      </w:tabs>
      <w:spacing w:before="120" w:line="260" w:lineRule="atLeast"/>
      <w:ind w:left="1613" w:hanging="1613"/>
    </w:pPr>
    <w:rPr>
      <w:i/>
      <w:sz w:val="24"/>
    </w:rPr>
  </w:style>
  <w:style w:type="paragraph" w:customStyle="1" w:styleId="Ednotedefpara">
    <w:name w:val="Ednote(defpara)"/>
    <w:basedOn w:val="Defpara"/>
    <w:rPr>
      <w:i/>
    </w:rPr>
  </w:style>
  <w:style w:type="paragraph" w:customStyle="1" w:styleId="Ednotesubpara">
    <w:name w:val="Ednote(subpara)"/>
    <w:pPr>
      <w:tabs>
        <w:tab w:val="right" w:pos="2047"/>
        <w:tab w:val="left" w:pos="2333"/>
      </w:tabs>
      <w:spacing w:before="80" w:line="260" w:lineRule="atLeast"/>
      <w:ind w:left="2330" w:hanging="2330"/>
    </w:pPr>
    <w:rPr>
      <w:i/>
      <w:sz w:val="24"/>
    </w:rPr>
  </w:style>
  <w:style w:type="paragraph" w:customStyle="1" w:styleId="Ednotedefsubpara">
    <w:name w:val="Ednote(defsubpara)"/>
    <w:basedOn w:val="Defsubpara"/>
    <w:rPr>
      <w:i/>
    </w:rPr>
  </w:style>
  <w:style w:type="paragraph" w:customStyle="1" w:styleId="Ednotepenitem">
    <w:name w:val="Ednote(penitem)"/>
    <w:basedOn w:val="Ednoteitem"/>
  </w:style>
  <w:style w:type="paragraph" w:customStyle="1" w:styleId="Ednotepenpara">
    <w:name w:val="Ednote(penpara)"/>
    <w:basedOn w:val="Ednotepara"/>
  </w:style>
  <w:style w:type="paragraph" w:customStyle="1" w:styleId="Ednotepensubpara">
    <w:name w:val="Ednote(pensubpara)"/>
    <w:basedOn w:val="Ednotesubpara"/>
  </w:style>
  <w:style w:type="paragraph" w:customStyle="1" w:styleId="Ednotesection">
    <w:name w:val="Ednote(section)"/>
    <w:pPr>
      <w:tabs>
        <w:tab w:val="left" w:pos="893"/>
      </w:tabs>
      <w:spacing w:before="220" w:line="260" w:lineRule="atLeast"/>
      <w:ind w:left="893" w:hanging="893"/>
      <w:outlineLvl w:val="4"/>
    </w:pPr>
    <w:rPr>
      <w:i/>
      <w:snapToGrid w:val="0"/>
      <w:sz w:val="24"/>
    </w:rPr>
  </w:style>
  <w:style w:type="paragraph" w:customStyle="1" w:styleId="Ednotesubitem">
    <w:name w:val="Ednote(subitem)"/>
    <w:pPr>
      <w:tabs>
        <w:tab w:val="right" w:pos="3485"/>
        <w:tab w:val="left" w:pos="3773"/>
      </w:tabs>
      <w:spacing w:before="80" w:line="260" w:lineRule="atLeast"/>
      <w:ind w:left="3771" w:hanging="3771"/>
    </w:pPr>
    <w:rPr>
      <w:i/>
      <w:sz w:val="24"/>
    </w:rPr>
  </w:style>
  <w:style w:type="paragraph" w:customStyle="1" w:styleId="Ednotesubsection">
    <w:name w:val="Ednote(subsection)"/>
    <w:basedOn w:val="Ednotesection"/>
    <w:pPr>
      <w:tabs>
        <w:tab w:val="clear" w:pos="893"/>
        <w:tab w:val="right" w:pos="595"/>
        <w:tab w:val="left" w:pos="879"/>
      </w:tabs>
      <w:spacing w:before="160"/>
      <w:ind w:left="890" w:hanging="890"/>
      <w:outlineLvl w:val="9"/>
    </w:pPr>
  </w:style>
  <w:style w:type="character" w:styleId="Emphasis">
    <w:name w:val="Emphasis"/>
    <w:basedOn w:val="DefaultParagraphFont"/>
    <w:qFormat/>
    <w:rPr>
      <w:i/>
      <w:sz w:val="24"/>
    </w:rPr>
  </w:style>
  <w:style w:type="paragraph" w:customStyle="1" w:styleId="Enactment">
    <w:name w:val="Enactment"/>
    <w:pPr>
      <w:spacing w:before="800"/>
    </w:pPr>
    <w:rPr>
      <w:sz w:val="24"/>
    </w:rPr>
  </w:style>
  <w:style w:type="character" w:styleId="EndnoteReference">
    <w:name w:val="endnote reference"/>
    <w:basedOn w:val="DefaultParagraphFont"/>
    <w:semiHidden/>
    <w:rPr>
      <w:sz w:val="24"/>
      <w:vertAlign w:val="superscript"/>
    </w:rPr>
  </w:style>
  <w:style w:type="paragraph" w:styleId="EndnoteText">
    <w:name w:val="endnote text"/>
    <w:basedOn w:val="Normal"/>
    <w:semiHidden/>
    <w:pPr>
      <w:spacing w:after="40"/>
      <w:ind w:left="397" w:hanging="397"/>
    </w:p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rFonts w:ascii="Arial" w:hAnsi="Arial"/>
      <w:sz w:val="26"/>
    </w:rPr>
  </w:style>
  <w:style w:type="paragraph" w:styleId="EnvelopeReturn">
    <w:name w:val="envelope return"/>
    <w:basedOn w:val="Normal"/>
    <w:rPr>
      <w:rFonts w:ascii="Arial" w:hAnsi="Arial"/>
    </w:rPr>
  </w:style>
  <w:style w:type="paragraph" w:customStyle="1" w:styleId="Equation">
    <w:name w:val="Equation"/>
    <w:rPr>
      <w:noProof/>
      <w:sz w:val="24"/>
    </w:rPr>
  </w:style>
  <w:style w:type="character" w:styleId="FollowedHyperlink">
    <w:name w:val="FollowedHyperlink"/>
    <w:basedOn w:val="DefaultParagraphFont"/>
    <w:rPr>
      <w:color w:val="800080"/>
      <w:sz w:val="24"/>
      <w:u w:val="single"/>
    </w:rPr>
  </w:style>
  <w:style w:type="paragraph" w:styleId="Footer">
    <w:name w:val="footer"/>
    <w:basedOn w:val="Normal"/>
    <w:link w:val="FooterChar"/>
    <w:rPr>
      <w:rFonts w:ascii="Arial" w:hAnsi="Arial"/>
    </w:rPr>
  </w:style>
  <w:style w:type="paragraph" w:customStyle="1" w:styleId="FooterDisclaimer">
    <w:name w:val="Footer.Disclaimer"/>
    <w:pPr>
      <w:jc w:val="center"/>
    </w:pPr>
    <w:rPr>
      <w:rFonts w:ascii="Arial" w:hAnsi="Arial"/>
      <w:i/>
      <w:sz w:val="16"/>
    </w:rPr>
  </w:style>
  <w:style w:type="character" w:styleId="FootnoteReference">
    <w:name w:val="footnote reference"/>
    <w:basedOn w:val="DefaultParagraphFont"/>
    <w:semiHidden/>
    <w:rPr>
      <w:sz w:val="24"/>
      <w:vertAlign w:val="superscript"/>
    </w:rPr>
  </w:style>
  <w:style w:type="paragraph" w:styleId="FootnoteText">
    <w:name w:val="footnote text"/>
    <w:basedOn w:val="Normal"/>
    <w:semiHidden/>
  </w:style>
  <w:style w:type="paragraph" w:customStyle="1" w:styleId="Footnoteheading">
    <w:name w:val="Footnote(heading)"/>
    <w:pPr>
      <w:tabs>
        <w:tab w:val="left" w:pos="879"/>
      </w:tabs>
      <w:spacing w:before="120" w:line="260" w:lineRule="atLeast"/>
      <w:ind w:left="879" w:hanging="879"/>
    </w:pPr>
    <w:rPr>
      <w:i/>
      <w:sz w:val="24"/>
    </w:rPr>
  </w:style>
  <w:style w:type="paragraph" w:customStyle="1" w:styleId="Footnotesection">
    <w:name w:val="Footnote(section)"/>
    <w:pPr>
      <w:keepLines/>
      <w:tabs>
        <w:tab w:val="left" w:pos="893"/>
      </w:tabs>
      <w:spacing w:before="120" w:line="260" w:lineRule="atLeast"/>
      <w:ind w:left="893" w:hanging="893"/>
    </w:pPr>
    <w:rPr>
      <w:i/>
      <w:snapToGrid w:val="0"/>
      <w:sz w:val="24"/>
    </w:rPr>
  </w:style>
  <w:style w:type="paragraph" w:customStyle="1" w:styleId="Graphics">
    <w:name w:val="Graphics"/>
    <w:basedOn w:val="Equation"/>
  </w:style>
  <w:style w:type="character" w:styleId="Hyperlink">
    <w:name w:val="Hyperlink"/>
    <w:basedOn w:val="DefaultParagraphFont"/>
    <w:rPr>
      <w:color w:val="0000FF"/>
      <w:sz w:val="24"/>
      <w:u w:val="single"/>
    </w:rPr>
  </w:style>
  <w:style w:type="paragraph" w:customStyle="1" w:styleId="Indenta">
    <w:name w:val="Indent(a)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z w:val="24"/>
    </w:rPr>
  </w:style>
  <w:style w:type="paragraph" w:customStyle="1" w:styleId="IndentA0">
    <w:name w:val="Indent(A)"/>
    <w:pPr>
      <w:tabs>
        <w:tab w:val="right" w:pos="3686"/>
        <w:tab w:val="left" w:pos="3969"/>
      </w:tabs>
      <w:spacing w:before="80" w:line="260" w:lineRule="atLeast"/>
      <w:ind w:left="3969" w:hanging="3969"/>
    </w:pPr>
    <w:rPr>
      <w:sz w:val="24"/>
    </w:rPr>
  </w:style>
  <w:style w:type="paragraph" w:customStyle="1" w:styleId="Indenti">
    <w:name w:val="Indent(i)"/>
    <w:pPr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</w:rPr>
  </w:style>
  <w:style w:type="paragraph" w:customStyle="1" w:styleId="IndentI0">
    <w:name w:val="Indent(I)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</w:rPr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character" w:styleId="LineNumber">
    <w:name w:val="line number"/>
    <w:basedOn w:val="DefaultParagraphFont"/>
    <w:rPr>
      <w:rFonts w:ascii="Times" w:hAnsi="Times"/>
      <w:sz w:val="18"/>
    </w:rPr>
  </w:style>
  <w:style w:type="paragraph" w:styleId="List">
    <w:name w:val="List"/>
    <w:basedOn w:val="Normal"/>
    <w:pPr>
      <w:ind w:left="283" w:hanging="283"/>
    </w:pPr>
  </w:style>
  <w:style w:type="paragraph" w:styleId="List2">
    <w:name w:val="List 2"/>
    <w:basedOn w:val="Normal"/>
    <w:pPr>
      <w:ind w:left="566" w:hanging="283"/>
    </w:pPr>
  </w:style>
  <w:style w:type="paragraph" w:styleId="List3">
    <w:name w:val="List 3"/>
    <w:basedOn w:val="Normal"/>
    <w:pPr>
      <w:ind w:left="849" w:hanging="283"/>
    </w:pPr>
  </w:style>
  <w:style w:type="paragraph" w:styleId="List4">
    <w:name w:val="List 4"/>
    <w:basedOn w:val="Normal"/>
    <w:pPr>
      <w:ind w:left="1132" w:hanging="283"/>
    </w:pPr>
  </w:style>
  <w:style w:type="paragraph" w:styleId="List5">
    <w:name w:val="List 5"/>
    <w:basedOn w:val="Normal"/>
    <w:pPr>
      <w:ind w:left="1415" w:hanging="283"/>
    </w:pPr>
  </w:style>
  <w:style w:type="paragraph" w:styleId="ListBullet">
    <w:name w:val="List Bullet"/>
    <w:basedOn w:val="Normal"/>
    <w:autoRedefine/>
    <w:pPr>
      <w:tabs>
        <w:tab w:val="num" w:pos="360"/>
      </w:tabs>
    </w:pPr>
  </w:style>
  <w:style w:type="paragraph" w:styleId="ListBullet2">
    <w:name w:val="List Bullet 2"/>
    <w:basedOn w:val="Normal"/>
    <w:autoRedefine/>
    <w:pPr>
      <w:tabs>
        <w:tab w:val="num" w:pos="360"/>
        <w:tab w:val="num" w:pos="720"/>
      </w:tabs>
      <w:ind w:left="720"/>
    </w:pPr>
  </w:style>
  <w:style w:type="paragraph" w:styleId="ListBullet3">
    <w:name w:val="List Bullet 3"/>
    <w:basedOn w:val="Normal"/>
    <w:autoRedefine/>
    <w:pPr>
      <w:tabs>
        <w:tab w:val="num" w:pos="360"/>
        <w:tab w:val="num" w:pos="1080"/>
      </w:tabs>
      <w:ind w:left="1080"/>
    </w:pPr>
  </w:style>
  <w:style w:type="paragraph" w:styleId="ListBullet4">
    <w:name w:val="List Bullet 4"/>
    <w:basedOn w:val="Normal"/>
    <w:autoRedefine/>
    <w:pPr>
      <w:tabs>
        <w:tab w:val="num" w:pos="360"/>
        <w:tab w:val="num" w:pos="1440"/>
      </w:tabs>
      <w:ind w:left="1440"/>
    </w:pPr>
  </w:style>
  <w:style w:type="paragraph" w:styleId="ListBullet5">
    <w:name w:val="List Bullet 5"/>
    <w:basedOn w:val="Normal"/>
    <w:autoRedefine/>
    <w:pPr>
      <w:tabs>
        <w:tab w:val="num" w:pos="360"/>
        <w:tab w:val="num" w:pos="1800"/>
      </w:tabs>
      <w:ind w:left="1800"/>
    </w:pPr>
  </w:style>
  <w:style w:type="paragraph" w:styleId="ListContinue">
    <w:name w:val="List Continue"/>
    <w:basedOn w:val="Normal"/>
    <w:pPr>
      <w:spacing w:after="120"/>
      <w:ind w:left="283"/>
    </w:pPr>
  </w:style>
  <w:style w:type="paragraph" w:styleId="ListContinue2">
    <w:name w:val="List Continue 2"/>
    <w:basedOn w:val="Normal"/>
    <w:pPr>
      <w:spacing w:after="120"/>
      <w:ind w:left="566"/>
    </w:pPr>
  </w:style>
  <w:style w:type="paragraph" w:styleId="ListContinue3">
    <w:name w:val="List Continue 3"/>
    <w:basedOn w:val="Normal"/>
    <w:pPr>
      <w:spacing w:after="120"/>
      <w:ind w:left="849"/>
    </w:pPr>
  </w:style>
  <w:style w:type="paragraph" w:styleId="ListContinue4">
    <w:name w:val="List Continue 4"/>
    <w:basedOn w:val="Normal"/>
    <w:pPr>
      <w:spacing w:after="120"/>
      <w:ind w:left="1132"/>
    </w:pPr>
  </w:style>
  <w:style w:type="paragraph" w:styleId="ListContinue5">
    <w:name w:val="List Continue 5"/>
    <w:basedOn w:val="Normal"/>
    <w:pPr>
      <w:spacing w:after="120"/>
      <w:ind w:left="1415"/>
    </w:pPr>
  </w:style>
  <w:style w:type="paragraph" w:styleId="ListNumber">
    <w:name w:val="List Number"/>
    <w:basedOn w:val="Normal"/>
    <w:pPr>
      <w:tabs>
        <w:tab w:val="num" w:pos="360"/>
      </w:tabs>
    </w:pPr>
  </w:style>
  <w:style w:type="paragraph" w:styleId="ListNumber2">
    <w:name w:val="List Number 2"/>
    <w:basedOn w:val="Normal"/>
    <w:pPr>
      <w:tabs>
        <w:tab w:val="num" w:pos="360"/>
        <w:tab w:val="num" w:pos="720"/>
      </w:tabs>
      <w:ind w:left="720"/>
    </w:pPr>
  </w:style>
  <w:style w:type="paragraph" w:styleId="ListNumber3">
    <w:name w:val="List Number 3"/>
    <w:basedOn w:val="Normal"/>
    <w:pPr>
      <w:tabs>
        <w:tab w:val="num" w:pos="360"/>
        <w:tab w:val="num" w:pos="1080"/>
      </w:tabs>
      <w:ind w:left="1080"/>
    </w:pPr>
  </w:style>
  <w:style w:type="paragraph" w:styleId="ListNumber4">
    <w:name w:val="List Number 4"/>
    <w:basedOn w:val="Normal"/>
    <w:pPr>
      <w:tabs>
        <w:tab w:val="num" w:pos="360"/>
        <w:tab w:val="num" w:pos="1440"/>
      </w:tabs>
      <w:ind w:left="1440"/>
    </w:pPr>
  </w:style>
  <w:style w:type="paragraph" w:styleId="ListNumber5">
    <w:name w:val="List Number 5"/>
    <w:basedOn w:val="Normal"/>
    <w:pPr>
      <w:tabs>
        <w:tab w:val="num" w:pos="360"/>
        <w:tab w:val="num" w:pos="1800"/>
      </w:tabs>
      <w:ind w:left="1800"/>
    </w:pPr>
  </w:style>
  <w:style w:type="paragraph" w:customStyle="1" w:styleId="LongTitle">
    <w:name w:val="Long Title"/>
    <w:rPr>
      <w:b/>
      <w:sz w:val="24"/>
    </w:r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sz w:val="24"/>
    </w:rPr>
  </w:style>
  <w:style w:type="paragraph" w:customStyle="1" w:styleId="MadeBy">
    <w:name w:val="MadeBy"/>
    <w:pPr>
      <w:spacing w:before="600"/>
    </w:pPr>
    <w:rPr>
      <w:sz w:val="24"/>
    </w:r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6"/>
    </w:rPr>
  </w:style>
  <w:style w:type="paragraph" w:customStyle="1" w:styleId="MiscClose">
    <w:name w:val="MiscClose"/>
    <w:basedOn w:val="Normal"/>
    <w:pPr>
      <w:keepLines/>
      <w:tabs>
        <w:tab w:val="left" w:pos="893"/>
      </w:tabs>
      <w:spacing w:line="260" w:lineRule="atLeast"/>
      <w:jc w:val="right"/>
    </w:pPr>
  </w:style>
  <w:style w:type="paragraph" w:customStyle="1" w:styleId="MiscellaneousHeading">
    <w:name w:val="Miscellaneous Heading"/>
    <w:pPr>
      <w:keepNext/>
      <w:spacing w:before="160" w:line="260" w:lineRule="atLeast"/>
      <w:jc w:val="center"/>
    </w:pPr>
    <w:rPr>
      <w:sz w:val="24"/>
    </w:rPr>
  </w:style>
  <w:style w:type="paragraph" w:customStyle="1" w:styleId="MiscellaneousBody">
    <w:name w:val="Miscellaneous Body"/>
    <w:basedOn w:val="MiscellaneousHeading"/>
    <w:pPr>
      <w:keepNext w:val="0"/>
      <w:jc w:val="left"/>
    </w:pPr>
  </w:style>
  <w:style w:type="paragraph" w:customStyle="1" w:styleId="MiscellaneousFootnotes">
    <w:name w:val="Miscellaneous Footnotes"/>
    <w:basedOn w:val="MiscellaneousBody"/>
  </w:style>
  <w:style w:type="paragraph" w:customStyle="1" w:styleId="MiscOpen">
    <w:name w:val="MiscOpen"/>
    <w:pPr>
      <w:keepNext/>
      <w:keepLines/>
      <w:tabs>
        <w:tab w:val="left" w:pos="893"/>
      </w:tabs>
      <w:spacing w:before="120" w:line="260" w:lineRule="atLeast"/>
    </w:pPr>
    <w:rPr>
      <w:sz w:val="24"/>
    </w:rPr>
  </w:style>
  <w:style w:type="paragraph" w:customStyle="1" w:styleId="NameofActRegPage1">
    <w:name w:val="Name of Act/Reg(Page 1)"/>
    <w:basedOn w:val="NameofActReg"/>
    <w:pPr>
      <w:spacing w:before="0" w:after="720"/>
    </w:pPr>
  </w:style>
  <w:style w:type="paragraph" w:customStyle="1" w:styleId="nHeading2">
    <w:name w:val="nHeading 2"/>
    <w:qFormat/>
    <w:pPr>
      <w:keepNext/>
      <w:jc w:val="center"/>
      <w:outlineLvl w:val="1"/>
    </w:pPr>
    <w:rPr>
      <w:b/>
      <w:sz w:val="32"/>
    </w:rPr>
  </w:style>
  <w:style w:type="paragraph" w:customStyle="1" w:styleId="nHeading3">
    <w:name w:val="nHeading 3"/>
    <w:qFormat/>
    <w:pPr>
      <w:keepNext/>
      <w:spacing w:before="240" w:after="120"/>
      <w:jc w:val="center"/>
      <w:outlineLvl w:val="2"/>
    </w:pPr>
    <w:rPr>
      <w:b/>
      <w:sz w:val="26"/>
    </w:rPr>
  </w:style>
  <w:style w:type="paragraph" w:styleId="NormalIndent">
    <w:name w:val="Normal Indent"/>
    <w:basedOn w:val="Normal"/>
    <w:pPr>
      <w:ind w:left="720"/>
    </w:pPr>
  </w:style>
  <w:style w:type="paragraph" w:styleId="NoteHeading">
    <w:name w:val="Note Heading"/>
    <w:basedOn w:val="Normal"/>
    <w:next w:val="Normal"/>
  </w:style>
  <w:style w:type="paragraph" w:customStyle="1" w:styleId="Penpara">
    <w:name w:val="Pen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z w:val="24"/>
    </w:rPr>
  </w:style>
  <w:style w:type="paragraph" w:customStyle="1" w:styleId="Penstart">
    <w:name w:val="Penstart"/>
    <w:basedOn w:val="Normal"/>
    <w:pPr>
      <w:tabs>
        <w:tab w:val="left" w:pos="879"/>
      </w:tabs>
      <w:spacing w:before="80" w:line="260" w:lineRule="atLeast"/>
      <w:ind w:left="1332" w:hanging="1332"/>
    </w:pPr>
  </w:style>
  <w:style w:type="paragraph" w:customStyle="1" w:styleId="Table">
    <w:name w:val="Table"/>
    <w:aliases w:val="t"/>
    <w:basedOn w:val="Normal"/>
    <w:pPr>
      <w:spacing w:before="60" w:line="240" w:lineRule="atLeast"/>
    </w:pPr>
    <w:rPr>
      <w:sz w:val="22"/>
    </w:rPr>
  </w:style>
  <w:style w:type="paragraph" w:customStyle="1" w:styleId="nTable">
    <w:name w:val="nTable"/>
    <w:pPr>
      <w:spacing w:before="40"/>
    </w:pPr>
    <w:rPr>
      <w:sz w:val="19"/>
    </w:rPr>
  </w:style>
  <w:style w:type="paragraph" w:customStyle="1" w:styleId="zDefpara">
    <w:name w:val="zDefpara"/>
    <w:pPr>
      <w:tabs>
        <w:tab w:val="right" w:pos="1899"/>
      </w:tabs>
      <w:spacing w:before="80" w:line="260" w:lineRule="atLeast"/>
      <w:ind w:left="2183" w:right="284" w:hanging="1616"/>
    </w:pPr>
    <w:rPr>
      <w:snapToGrid w:val="0"/>
      <w:sz w:val="24"/>
    </w:rPr>
  </w:style>
  <w:style w:type="paragraph" w:customStyle="1" w:styleId="zDefstart">
    <w:name w:val="zDefstart"/>
    <w:pPr>
      <w:spacing w:before="80" w:line="260" w:lineRule="atLeast"/>
      <w:ind w:left="1446" w:right="284" w:hanging="879"/>
    </w:pPr>
    <w:rPr>
      <w:snapToGrid w:val="0"/>
      <w:sz w:val="24"/>
    </w:rPr>
  </w:style>
  <w:style w:type="paragraph" w:customStyle="1" w:styleId="zDefsubpara">
    <w:name w:val="zDefsubpara"/>
    <w:pPr>
      <w:keepLines/>
      <w:tabs>
        <w:tab w:val="right" w:pos="2608"/>
      </w:tabs>
      <w:spacing w:before="80" w:line="260" w:lineRule="atLeast"/>
      <w:ind w:left="2892" w:right="284" w:hanging="2325"/>
    </w:pPr>
    <w:rPr>
      <w:snapToGrid w:val="0"/>
      <w:sz w:val="24"/>
    </w:rPr>
  </w:style>
  <w:style w:type="paragraph" w:customStyle="1" w:styleId="zHeading2">
    <w:name w:val="zHeading 2"/>
    <w:basedOn w:val="Heading2"/>
    <w:pPr>
      <w:pageBreakBefore w:val="0"/>
      <w:spacing w:before="240"/>
      <w:ind w:left="567" w:right="284"/>
      <w:outlineLvl w:val="9"/>
    </w:pPr>
  </w:style>
  <w:style w:type="paragraph" w:customStyle="1" w:styleId="zHeading3">
    <w:name w:val="zHeading 3"/>
    <w:basedOn w:val="Heading3"/>
    <w:pPr>
      <w:ind w:left="567" w:right="284"/>
      <w:outlineLvl w:val="9"/>
    </w:pPr>
  </w:style>
  <w:style w:type="paragraph" w:customStyle="1" w:styleId="zHeading4">
    <w:name w:val="zHeading 4"/>
    <w:basedOn w:val="Heading4"/>
    <w:pPr>
      <w:ind w:left="567" w:right="284"/>
      <w:outlineLvl w:val="9"/>
    </w:pPr>
  </w:style>
  <w:style w:type="paragraph" w:customStyle="1" w:styleId="zHeading5">
    <w:name w:val="zHeading 5"/>
    <w:basedOn w:val="Heading5"/>
    <w:pPr>
      <w:tabs>
        <w:tab w:val="clear" w:pos="879"/>
        <w:tab w:val="left" w:pos="1446"/>
      </w:tabs>
      <w:ind w:left="1446" w:right="284"/>
      <w:outlineLvl w:val="9"/>
    </w:pPr>
  </w:style>
  <w:style w:type="paragraph" w:customStyle="1" w:styleId="zIndenta">
    <w:name w:val="zIndent(a)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</w:style>
  <w:style w:type="paragraph" w:customStyle="1" w:styleId="zIndentA0">
    <w:name w:val="zIndent(A)"/>
    <w:basedOn w:val="Normal"/>
    <w:pPr>
      <w:tabs>
        <w:tab w:val="right" w:pos="4253"/>
        <w:tab w:val="left" w:pos="4536"/>
      </w:tabs>
      <w:spacing w:before="80" w:line="260" w:lineRule="atLeast"/>
      <w:ind w:left="4537" w:right="284" w:hanging="851"/>
    </w:pPr>
  </w:style>
  <w:style w:type="paragraph" w:customStyle="1" w:styleId="zIndenti">
    <w:name w:val="zIndent(i)"/>
    <w:basedOn w:val="Normal"/>
    <w:pPr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zIndentI0">
    <w:name w:val="zIndent(I)"/>
    <w:basedOn w:val="Normal"/>
    <w:pPr>
      <w:tabs>
        <w:tab w:val="right" w:pos="3459"/>
        <w:tab w:val="left" w:pos="3771"/>
      </w:tabs>
      <w:spacing w:before="80" w:line="260" w:lineRule="atLeast"/>
      <w:ind w:left="3743" w:right="284" w:hanging="851"/>
    </w:pPr>
  </w:style>
  <w:style w:type="paragraph" w:customStyle="1" w:styleId="zPenpara">
    <w:name w:val="zPenpara"/>
    <w:basedOn w:val="Normal"/>
    <w:pPr>
      <w:tabs>
        <w:tab w:val="right" w:pos="2155"/>
        <w:tab w:val="left" w:pos="2438"/>
      </w:tabs>
      <w:spacing w:before="80" w:line="260" w:lineRule="atLeast"/>
      <w:ind w:left="2439" w:right="284" w:hanging="2070"/>
    </w:pPr>
  </w:style>
  <w:style w:type="paragraph" w:customStyle="1" w:styleId="zPenstart">
    <w:name w:val="zPenstart"/>
    <w:basedOn w:val="Normal"/>
    <w:pPr>
      <w:tabs>
        <w:tab w:val="left" w:pos="1446"/>
      </w:tabs>
      <w:spacing w:before="80" w:line="260" w:lineRule="atLeast"/>
      <w:ind w:left="1843" w:right="284" w:hanging="1021"/>
    </w:pPr>
  </w:style>
  <w:style w:type="paragraph" w:customStyle="1" w:styleId="zSubsection">
    <w:name w:val="zSubsection"/>
    <w:basedOn w:val="Normal"/>
    <w:pPr>
      <w:tabs>
        <w:tab w:val="right" w:pos="1162"/>
        <w:tab w:val="left" w:pos="1446"/>
      </w:tabs>
      <w:spacing w:before="160" w:line="260" w:lineRule="atLeast"/>
      <w:ind w:left="1446" w:right="284" w:hanging="851"/>
    </w:pPr>
  </w:style>
  <w:style w:type="paragraph" w:customStyle="1" w:styleId="BlankClose">
    <w:name w:val="BlankClose"/>
    <w:basedOn w:val="Normal"/>
    <w:pPr>
      <w:keepLines/>
      <w:jc w:val="center"/>
    </w:pPr>
    <w:rPr>
      <w:szCs w:val="24"/>
    </w:rPr>
  </w:style>
  <w:style w:type="paragraph" w:customStyle="1" w:styleId="ParlHouse">
    <w:name w:val="ParlHouse"/>
    <w:basedOn w:val="WA"/>
    <w:pPr>
      <w:spacing w:after="300"/>
    </w:pPr>
    <w:rPr>
      <w:u w:val="single"/>
    </w:rPr>
  </w:style>
  <w:style w:type="paragraph" w:customStyle="1" w:styleId="Penitem">
    <w:name w:val="Pen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</w:rPr>
  </w:style>
  <w:style w:type="paragraph" w:customStyle="1" w:styleId="Pensubpara">
    <w:name w:val="Pensubpara"/>
    <w:pPr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</w:rPr>
  </w:style>
  <w:style w:type="paragraph" w:customStyle="1" w:styleId="Preamble">
    <w:name w:val="Preamble"/>
    <w:pPr>
      <w:tabs>
        <w:tab w:val="left" w:pos="567"/>
      </w:tabs>
      <w:spacing w:before="160" w:line="260" w:lineRule="atLeast"/>
      <w:ind w:left="567" w:hanging="567"/>
    </w:pPr>
    <w:rPr>
      <w:rFonts w:ascii="Times" w:hAnsi="Times"/>
      <w:sz w:val="24"/>
    </w:rPr>
  </w:style>
  <w:style w:type="paragraph" w:customStyle="1" w:styleId="PrincipalActReg">
    <w:name w:val="PrincipalAct_Reg"/>
    <w:pPr>
      <w:spacing w:after="480"/>
      <w:jc w:val="center"/>
    </w:pPr>
    <w:rPr>
      <w:sz w:val="24"/>
    </w:rPr>
  </w:style>
  <w:style w:type="paragraph" w:styleId="Salutation">
    <w:name w:val="Salutation"/>
    <w:basedOn w:val="Normal"/>
    <w:next w:val="Normal"/>
  </w:style>
  <w:style w:type="paragraph" w:styleId="Signature">
    <w:name w:val="Signature"/>
    <w:basedOn w:val="Normal"/>
    <w:pPr>
      <w:ind w:left="4252"/>
    </w:pPr>
  </w:style>
  <w:style w:type="character" w:styleId="Strong">
    <w:name w:val="Strong"/>
    <w:basedOn w:val="DefaultParagraphFont"/>
    <w:qFormat/>
    <w:rPr>
      <w:b/>
      <w:sz w:val="24"/>
    </w:rPr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  <w:sz w:val="26"/>
    </w:rPr>
  </w:style>
  <w:style w:type="paragraph" w:styleId="TableofAuthorities">
    <w:name w:val="table of authorities"/>
    <w:basedOn w:val="Normal"/>
    <w:next w:val="Normal"/>
    <w:semiHidden/>
    <w:pPr>
      <w:ind w:left="220" w:hanging="220"/>
    </w:pPr>
  </w:style>
  <w:style w:type="paragraph" w:styleId="TableofFigures">
    <w:name w:val="table of figures"/>
    <w:basedOn w:val="Normal"/>
    <w:next w:val="Normal"/>
    <w:semiHidden/>
    <w:pPr>
      <w:ind w:left="440" w:hanging="44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4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  <w:sz w:val="26"/>
    </w:rPr>
  </w:style>
  <w:style w:type="paragraph" w:styleId="TOC1">
    <w:name w:val="toc 1"/>
    <w:basedOn w:val="Heading1"/>
    <w:next w:val="Normal"/>
    <w:semiHidden/>
    <w:pPr>
      <w:keepNext w:val="0"/>
      <w:keepLines w:val="0"/>
      <w:pageBreakBefore w:val="0"/>
      <w:spacing w:before="120" w:after="120"/>
      <w:jc w:val="left"/>
      <w:outlineLvl w:val="9"/>
    </w:pPr>
    <w:rPr>
      <w:caps/>
      <w:kern w:val="0"/>
      <w:sz w:val="20"/>
    </w:rPr>
  </w:style>
  <w:style w:type="paragraph" w:styleId="TOC2">
    <w:name w:val="toc 2"/>
    <w:next w:val="Normal"/>
    <w:uiPriority w:val="39"/>
    <w:pPr>
      <w:keepNext/>
      <w:spacing w:before="120" w:after="60"/>
      <w:ind w:left="1985" w:right="1134" w:hanging="567"/>
    </w:pPr>
    <w:rPr>
      <w:b/>
      <w:noProof/>
      <w:sz w:val="28"/>
    </w:rPr>
  </w:style>
  <w:style w:type="paragraph" w:styleId="TOC3">
    <w:name w:val="toc 3"/>
    <w:next w:val="Normal"/>
    <w:semiHidden/>
    <w:pPr>
      <w:keepNext/>
      <w:spacing w:before="120" w:after="60"/>
      <w:ind w:left="1985" w:right="1134" w:hanging="567"/>
    </w:pPr>
    <w:rPr>
      <w:rFonts w:ascii="Helvetica" w:hAnsi="Helvetica"/>
      <w:b/>
      <w:noProof/>
      <w:sz w:val="18"/>
    </w:rPr>
  </w:style>
  <w:style w:type="paragraph" w:styleId="TOC4">
    <w:name w:val="toc 4"/>
    <w:next w:val="Normal"/>
    <w:semiHidden/>
    <w:pPr>
      <w:keepNext/>
      <w:spacing w:before="60" w:after="20"/>
      <w:ind w:left="1985" w:right="1134" w:hanging="567"/>
    </w:pPr>
    <w:rPr>
      <w:b/>
      <w:noProof/>
      <w:sz w:val="22"/>
    </w:rPr>
  </w:style>
  <w:style w:type="paragraph" w:styleId="TOC5">
    <w:name w:val="toc 5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noProof/>
      <w:sz w:val="18"/>
    </w:rPr>
  </w:style>
  <w:style w:type="paragraph" w:styleId="TOC6">
    <w:name w:val="toc 6"/>
    <w:next w:val="Normal"/>
    <w:semiHidden/>
    <w:pPr>
      <w:keepNext/>
      <w:spacing w:before="60" w:after="20"/>
      <w:ind w:left="1985" w:right="1134" w:hanging="567"/>
    </w:pPr>
    <w:rPr>
      <w:b/>
      <w:noProof/>
    </w:rPr>
  </w:style>
  <w:style w:type="paragraph" w:styleId="TOC7">
    <w:name w:val="toc 7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sz w:val="18"/>
    </w:rPr>
  </w:style>
  <w:style w:type="paragraph" w:styleId="TOC8">
    <w:name w:val="toc 8"/>
    <w:next w:val="Normal"/>
    <w:uiPriority w:val="39"/>
    <w:pPr>
      <w:tabs>
        <w:tab w:val="left" w:pos="1418"/>
        <w:tab w:val="right" w:pos="6804"/>
      </w:tabs>
      <w:ind w:left="1418" w:right="1134" w:hanging="851"/>
    </w:pPr>
    <w:rPr>
      <w:noProof/>
      <w:sz w:val="22"/>
    </w:rPr>
  </w:style>
  <w:style w:type="paragraph" w:styleId="TOC9">
    <w:name w:val="toc 9"/>
    <w:next w:val="Normal"/>
    <w:semiHidden/>
    <w:pPr>
      <w:tabs>
        <w:tab w:val="left" w:pos="2268"/>
        <w:tab w:val="right" w:pos="6237"/>
      </w:tabs>
      <w:ind w:left="2269" w:right="1418" w:hanging="851"/>
    </w:pPr>
    <w:rPr>
      <w:rFonts w:ascii="Helvetica" w:hAnsi="Helvetica"/>
      <w:sz w:val="18"/>
    </w:rPr>
  </w:style>
  <w:style w:type="paragraph" w:customStyle="1" w:styleId="yDefitem">
    <w:name w:val="yDefitem"/>
    <w:pPr>
      <w:tabs>
        <w:tab w:val="right" w:pos="2892"/>
      </w:tabs>
      <w:spacing w:before="80"/>
      <w:ind w:left="3204" w:hanging="3204"/>
    </w:pPr>
    <w:rPr>
      <w:snapToGrid w:val="0"/>
      <w:sz w:val="22"/>
    </w:rPr>
  </w:style>
  <w:style w:type="paragraph" w:customStyle="1" w:styleId="yDefpara">
    <w:name w:val="yDefpara"/>
    <w:pPr>
      <w:tabs>
        <w:tab w:val="right" w:pos="1332"/>
      </w:tabs>
      <w:spacing w:before="80"/>
      <w:ind w:left="1616" w:hanging="1616"/>
    </w:pPr>
    <w:rPr>
      <w:snapToGrid w:val="0"/>
      <w:sz w:val="22"/>
    </w:rPr>
  </w:style>
  <w:style w:type="paragraph" w:customStyle="1" w:styleId="yDefstart">
    <w:name w:val="yDefstart"/>
    <w:pPr>
      <w:spacing w:before="80"/>
      <w:ind w:left="879" w:hanging="879"/>
    </w:pPr>
    <w:rPr>
      <w:snapToGrid w:val="0"/>
      <w:sz w:val="22"/>
    </w:rPr>
  </w:style>
  <w:style w:type="paragraph" w:customStyle="1" w:styleId="yDefsubpara">
    <w:name w:val="yDefsubpara"/>
    <w:pPr>
      <w:keepLines/>
      <w:tabs>
        <w:tab w:val="right" w:pos="2041"/>
      </w:tabs>
      <w:spacing w:before="80"/>
      <w:ind w:left="2325" w:hanging="2325"/>
    </w:pPr>
    <w:rPr>
      <w:snapToGrid w:val="0"/>
      <w:sz w:val="22"/>
    </w:rPr>
  </w:style>
  <w:style w:type="paragraph" w:customStyle="1" w:styleId="yEdnoteitem">
    <w:name w:val="yEdnote(item)"/>
    <w:basedOn w:val="Ednoteitem"/>
    <w:pPr>
      <w:spacing w:line="240" w:lineRule="auto"/>
    </w:pPr>
    <w:rPr>
      <w:sz w:val="22"/>
    </w:rPr>
  </w:style>
  <w:style w:type="paragraph" w:customStyle="1" w:styleId="yEdnotepara">
    <w:name w:val="yEdnote(para)"/>
    <w:basedOn w:val="Ednotepara"/>
    <w:pPr>
      <w:spacing w:before="80" w:line="240" w:lineRule="auto"/>
      <w:ind w:left="1610" w:hanging="1610"/>
    </w:pPr>
    <w:rPr>
      <w:sz w:val="22"/>
    </w:rPr>
  </w:style>
  <w:style w:type="paragraph" w:customStyle="1" w:styleId="yEdnotesection">
    <w:name w:val="yEdnote(section)"/>
    <w:basedOn w:val="Ednotesection"/>
    <w:pPr>
      <w:spacing w:line="240" w:lineRule="auto"/>
      <w:ind w:left="890" w:hanging="890"/>
    </w:pPr>
    <w:rPr>
      <w:sz w:val="22"/>
    </w:rPr>
  </w:style>
  <w:style w:type="paragraph" w:customStyle="1" w:styleId="yEdnotesubitem">
    <w:name w:val="yEdnote(subitem)"/>
    <w:basedOn w:val="Ednotesubitem"/>
    <w:pPr>
      <w:spacing w:line="240" w:lineRule="auto"/>
    </w:pPr>
    <w:rPr>
      <w:sz w:val="22"/>
    </w:rPr>
  </w:style>
  <w:style w:type="paragraph" w:customStyle="1" w:styleId="yEdnotesubpara">
    <w:name w:val="yEdnote(subpara)"/>
    <w:basedOn w:val="Ednotesubpara"/>
    <w:pPr>
      <w:spacing w:line="240" w:lineRule="auto"/>
    </w:pPr>
    <w:rPr>
      <w:sz w:val="22"/>
    </w:rPr>
  </w:style>
  <w:style w:type="paragraph" w:customStyle="1" w:styleId="yFootnoteheading">
    <w:name w:val="yFootnote(heading)"/>
    <w:basedOn w:val="Footnoteheading"/>
    <w:pPr>
      <w:spacing w:line="240" w:lineRule="auto"/>
    </w:pPr>
    <w:rPr>
      <w:sz w:val="22"/>
    </w:rPr>
  </w:style>
  <w:style w:type="paragraph" w:customStyle="1" w:styleId="yFootnotesection">
    <w:name w:val="yFootnote(section)"/>
    <w:basedOn w:val="Footnotesection"/>
    <w:pPr>
      <w:spacing w:line="240" w:lineRule="auto"/>
      <w:ind w:left="890" w:hanging="890"/>
    </w:pPr>
    <w:rPr>
      <w:sz w:val="22"/>
    </w:rPr>
  </w:style>
  <w:style w:type="paragraph" w:customStyle="1" w:styleId="yHeading1">
    <w:name w:val="yHeading 1"/>
    <w:basedOn w:val="Heading1"/>
    <w:pPr>
      <w:spacing w:line="240" w:lineRule="auto"/>
    </w:pPr>
    <w:rPr>
      <w:sz w:val="32"/>
    </w:rPr>
  </w:style>
  <w:style w:type="paragraph" w:customStyle="1" w:styleId="yHeading2">
    <w:name w:val="yHeading 2"/>
    <w:basedOn w:val="Heading2"/>
    <w:pPr>
      <w:pageBreakBefore w:val="0"/>
      <w:spacing w:before="240" w:line="240" w:lineRule="auto"/>
    </w:pPr>
    <w:rPr>
      <w:sz w:val="28"/>
    </w:rPr>
  </w:style>
  <w:style w:type="paragraph" w:customStyle="1" w:styleId="yHeading3">
    <w:name w:val="yHeading 3"/>
    <w:basedOn w:val="Heading3"/>
    <w:pPr>
      <w:spacing w:line="240" w:lineRule="auto"/>
    </w:pPr>
    <w:rPr>
      <w:sz w:val="24"/>
    </w:rPr>
  </w:style>
  <w:style w:type="paragraph" w:customStyle="1" w:styleId="yHeading4">
    <w:name w:val="yHeading 4"/>
    <w:basedOn w:val="Heading4"/>
    <w:rPr>
      <w:sz w:val="22"/>
    </w:rPr>
  </w:style>
  <w:style w:type="paragraph" w:customStyle="1" w:styleId="yHeading5">
    <w:name w:val="yHeading 5"/>
    <w:basedOn w:val="Heading5"/>
    <w:pPr>
      <w:spacing w:line="240" w:lineRule="auto"/>
    </w:pPr>
    <w:rPr>
      <w:sz w:val="22"/>
    </w:rPr>
  </w:style>
  <w:style w:type="paragraph" w:customStyle="1" w:styleId="yIndenta">
    <w:name w:val="yIndent(a)"/>
    <w:basedOn w:val="Indenta"/>
    <w:pPr>
      <w:spacing w:line="240" w:lineRule="auto"/>
    </w:pPr>
    <w:rPr>
      <w:sz w:val="22"/>
    </w:rPr>
  </w:style>
  <w:style w:type="paragraph" w:customStyle="1" w:styleId="yIndentA0">
    <w:name w:val="yIndent(A)"/>
    <w:basedOn w:val="IndentA0"/>
    <w:pPr>
      <w:spacing w:line="240" w:lineRule="auto"/>
    </w:pPr>
    <w:rPr>
      <w:sz w:val="22"/>
    </w:rPr>
  </w:style>
  <w:style w:type="paragraph" w:customStyle="1" w:styleId="yIndentI">
    <w:name w:val="yIndent(I)"/>
    <w:basedOn w:val="IndentI0"/>
    <w:pPr>
      <w:spacing w:line="240" w:lineRule="auto"/>
    </w:pPr>
    <w:rPr>
      <w:sz w:val="22"/>
    </w:rPr>
  </w:style>
  <w:style w:type="paragraph" w:customStyle="1" w:styleId="yIndenti0">
    <w:name w:val="yIndent(i)"/>
    <w:basedOn w:val="Indenti"/>
    <w:pPr>
      <w:spacing w:line="240" w:lineRule="auto"/>
    </w:pPr>
    <w:rPr>
      <w:sz w:val="22"/>
    </w:rPr>
  </w:style>
  <w:style w:type="paragraph" w:customStyle="1" w:styleId="yPenitem">
    <w:name w:val="yPenitem"/>
    <w:basedOn w:val="Penitem"/>
    <w:pPr>
      <w:spacing w:line="240" w:lineRule="auto"/>
    </w:pPr>
    <w:rPr>
      <w:sz w:val="22"/>
    </w:rPr>
  </w:style>
  <w:style w:type="paragraph" w:customStyle="1" w:styleId="yPenpara">
    <w:name w:val="yPenpara"/>
    <w:basedOn w:val="Penpara"/>
    <w:pPr>
      <w:spacing w:line="240" w:lineRule="auto"/>
    </w:pPr>
    <w:rPr>
      <w:sz w:val="22"/>
    </w:rPr>
  </w:style>
  <w:style w:type="paragraph" w:customStyle="1" w:styleId="yPenstart">
    <w:name w:val="yPenstart"/>
    <w:basedOn w:val="Penstart"/>
    <w:pPr>
      <w:spacing w:line="240" w:lineRule="auto"/>
    </w:pPr>
    <w:rPr>
      <w:sz w:val="22"/>
    </w:rPr>
  </w:style>
  <w:style w:type="paragraph" w:customStyle="1" w:styleId="yPensubpara">
    <w:name w:val="yPensubpara"/>
    <w:basedOn w:val="Pensubpara"/>
    <w:pPr>
      <w:spacing w:line="240" w:lineRule="auto"/>
    </w:pPr>
    <w:rPr>
      <w:sz w:val="22"/>
    </w:rPr>
  </w:style>
  <w:style w:type="paragraph" w:customStyle="1" w:styleId="yScheduleHeading">
    <w:name w:val="yScheduleHeading"/>
    <w:basedOn w:val="yHeading2"/>
    <w:pPr>
      <w:pageBreakBefore/>
      <w:spacing w:before="0"/>
    </w:pPr>
  </w:style>
  <w:style w:type="paragraph" w:customStyle="1" w:styleId="yShoulderClause">
    <w:name w:val="yShoulderClause"/>
    <w:next w:val="ySubsection"/>
    <w:pPr>
      <w:spacing w:before="120"/>
      <w:jc w:val="right"/>
    </w:pPr>
    <w:rPr>
      <w:sz w:val="22"/>
    </w:rPr>
  </w:style>
  <w:style w:type="paragraph" w:customStyle="1" w:styleId="ySubsection">
    <w:name w:val="ySubsection"/>
    <w:basedOn w:val="Subsection"/>
    <w:pPr>
      <w:spacing w:line="240" w:lineRule="auto"/>
    </w:pPr>
    <w:rPr>
      <w:sz w:val="22"/>
    </w:rPr>
  </w:style>
  <w:style w:type="paragraph" w:customStyle="1" w:styleId="yTable">
    <w:name w:val="yTable"/>
    <w:basedOn w:val="Table"/>
    <w:pPr>
      <w:spacing w:line="240" w:lineRule="auto"/>
    </w:pPr>
  </w:style>
  <w:style w:type="paragraph" w:customStyle="1" w:styleId="zDefitem">
    <w:name w:val="zDefitem"/>
    <w:pPr>
      <w:tabs>
        <w:tab w:val="right" w:pos="3459"/>
      </w:tabs>
      <w:spacing w:before="80" w:line="260" w:lineRule="atLeast"/>
      <w:ind w:left="3686" w:right="284" w:hanging="3119"/>
    </w:pPr>
    <w:rPr>
      <w:snapToGrid w:val="0"/>
      <w:sz w:val="24"/>
    </w:rPr>
  </w:style>
  <w:style w:type="paragraph" w:customStyle="1" w:styleId="zHeading1">
    <w:name w:val="zHeading 1"/>
    <w:basedOn w:val="Heading1"/>
    <w:pPr>
      <w:ind w:left="567" w:right="284"/>
      <w:outlineLvl w:val="9"/>
    </w:pPr>
  </w:style>
  <w:style w:type="paragraph" w:customStyle="1" w:styleId="zMiscellaneousBody">
    <w:name w:val="zMiscellaneousBody"/>
    <w:basedOn w:val="Normal"/>
    <w:pPr>
      <w:spacing w:before="160" w:line="260" w:lineRule="atLeast"/>
      <w:ind w:left="567" w:right="284"/>
    </w:pPr>
  </w:style>
  <w:style w:type="paragraph" w:customStyle="1" w:styleId="zMiscellaneousHeading">
    <w:name w:val="zMiscellaneousHeading"/>
    <w:basedOn w:val="MiscellaneousHeading"/>
    <w:pPr>
      <w:ind w:left="567" w:right="284"/>
    </w:pPr>
  </w:style>
  <w:style w:type="paragraph" w:customStyle="1" w:styleId="zPenitem">
    <w:name w:val="zPenitem"/>
    <w:basedOn w:val="Normal"/>
    <w:pPr>
      <w:tabs>
        <w:tab w:val="right" w:pos="3402"/>
        <w:tab w:val="left" w:pos="3686"/>
      </w:tabs>
      <w:spacing w:before="80" w:line="260" w:lineRule="atLeast"/>
      <w:ind w:left="3686" w:right="284" w:hanging="851"/>
    </w:pPr>
  </w:style>
  <w:style w:type="paragraph" w:customStyle="1" w:styleId="zPensubpara">
    <w:name w:val="zPensubpara"/>
    <w:basedOn w:val="Normal"/>
    <w:pPr>
      <w:tabs>
        <w:tab w:val="right" w:pos="2608"/>
        <w:tab w:val="left" w:pos="2892"/>
      </w:tabs>
      <w:spacing w:before="160" w:line="260" w:lineRule="atLeast"/>
      <w:ind w:left="2892" w:right="284" w:hanging="851"/>
    </w:pPr>
  </w:style>
  <w:style w:type="paragraph" w:customStyle="1" w:styleId="zyDefitem">
    <w:name w:val="zyDefitem"/>
    <w:pPr>
      <w:tabs>
        <w:tab w:val="right" w:pos="3459"/>
      </w:tabs>
      <w:spacing w:before="80"/>
      <w:ind w:left="3686" w:right="284" w:hanging="3119"/>
    </w:pPr>
    <w:rPr>
      <w:snapToGrid w:val="0"/>
      <w:sz w:val="22"/>
    </w:rPr>
  </w:style>
  <w:style w:type="paragraph" w:customStyle="1" w:styleId="zyDefpara">
    <w:name w:val="zyDefpara"/>
    <w:pPr>
      <w:tabs>
        <w:tab w:val="right" w:pos="1899"/>
      </w:tabs>
      <w:spacing w:before="80"/>
      <w:ind w:left="2183" w:right="284" w:hanging="1616"/>
    </w:pPr>
    <w:rPr>
      <w:snapToGrid w:val="0"/>
      <w:sz w:val="22"/>
    </w:rPr>
  </w:style>
  <w:style w:type="paragraph" w:customStyle="1" w:styleId="zyDefstart">
    <w:name w:val="zyDefstart"/>
    <w:pPr>
      <w:spacing w:before="80"/>
      <w:ind w:left="1446" w:right="284" w:hanging="879"/>
    </w:pPr>
    <w:rPr>
      <w:snapToGrid w:val="0"/>
      <w:sz w:val="22"/>
    </w:rPr>
  </w:style>
  <w:style w:type="paragraph" w:customStyle="1" w:styleId="zyDefsubpara">
    <w:name w:val="zyDefsubpara"/>
    <w:pPr>
      <w:keepLines/>
      <w:tabs>
        <w:tab w:val="right" w:pos="2608"/>
      </w:tabs>
      <w:spacing w:before="80"/>
      <w:ind w:left="2892" w:right="284" w:hanging="2325"/>
    </w:pPr>
    <w:rPr>
      <w:snapToGrid w:val="0"/>
      <w:sz w:val="22"/>
    </w:rPr>
  </w:style>
  <w:style w:type="paragraph" w:customStyle="1" w:styleId="zyHeading1">
    <w:name w:val="zyHeading 1"/>
    <w:basedOn w:val="zHeading1"/>
    <w:pPr>
      <w:spacing w:line="240" w:lineRule="auto"/>
    </w:pPr>
    <w:rPr>
      <w:sz w:val="32"/>
    </w:rPr>
  </w:style>
  <w:style w:type="paragraph" w:customStyle="1" w:styleId="zyHeading2">
    <w:name w:val="zyHeading 2"/>
    <w:basedOn w:val="zHeading2"/>
    <w:pPr>
      <w:spacing w:line="240" w:lineRule="auto"/>
    </w:pPr>
    <w:rPr>
      <w:sz w:val="28"/>
    </w:rPr>
  </w:style>
  <w:style w:type="paragraph" w:customStyle="1" w:styleId="zyHeading3">
    <w:name w:val="zyHeading 3"/>
    <w:basedOn w:val="zHeading3"/>
    <w:pPr>
      <w:spacing w:line="240" w:lineRule="auto"/>
    </w:pPr>
    <w:rPr>
      <w:sz w:val="24"/>
    </w:rPr>
  </w:style>
  <w:style w:type="paragraph" w:customStyle="1" w:styleId="zyHeading4">
    <w:name w:val="zyHeading 4"/>
    <w:basedOn w:val="zHeading4"/>
    <w:rPr>
      <w:sz w:val="22"/>
    </w:rPr>
  </w:style>
  <w:style w:type="paragraph" w:customStyle="1" w:styleId="zyHeading5">
    <w:name w:val="zyHeading 5"/>
    <w:basedOn w:val="zHeading5"/>
    <w:pPr>
      <w:spacing w:line="240" w:lineRule="auto"/>
    </w:pPr>
    <w:rPr>
      <w:sz w:val="22"/>
    </w:rPr>
  </w:style>
  <w:style w:type="paragraph" w:customStyle="1" w:styleId="zyIndenta">
    <w:name w:val="zyIndent(a)"/>
    <w:basedOn w:val="zIndenta"/>
    <w:pPr>
      <w:spacing w:line="240" w:lineRule="auto"/>
    </w:pPr>
    <w:rPr>
      <w:sz w:val="22"/>
    </w:rPr>
  </w:style>
  <w:style w:type="paragraph" w:customStyle="1" w:styleId="zyIndentA0">
    <w:name w:val="zyIndent(A)"/>
    <w:basedOn w:val="zIndentA0"/>
    <w:pPr>
      <w:spacing w:line="240" w:lineRule="auto"/>
    </w:pPr>
    <w:rPr>
      <w:sz w:val="22"/>
    </w:rPr>
  </w:style>
  <w:style w:type="paragraph" w:customStyle="1" w:styleId="zyIndenti">
    <w:name w:val="zyIndent(i)"/>
    <w:basedOn w:val="zIndenti"/>
    <w:pPr>
      <w:spacing w:line="240" w:lineRule="auto"/>
    </w:pPr>
    <w:rPr>
      <w:sz w:val="22"/>
    </w:rPr>
  </w:style>
  <w:style w:type="paragraph" w:customStyle="1" w:styleId="zyIndentI0">
    <w:name w:val="zyIndent(I)"/>
    <w:basedOn w:val="zIndentI0"/>
    <w:pPr>
      <w:spacing w:line="240" w:lineRule="auto"/>
    </w:pPr>
    <w:rPr>
      <w:sz w:val="22"/>
    </w:rPr>
  </w:style>
  <w:style w:type="paragraph" w:customStyle="1" w:styleId="zyPenitem">
    <w:name w:val="zyPenitem"/>
    <w:basedOn w:val="zPenitem"/>
    <w:pPr>
      <w:spacing w:line="240" w:lineRule="auto"/>
    </w:pPr>
    <w:rPr>
      <w:sz w:val="22"/>
    </w:rPr>
  </w:style>
  <w:style w:type="paragraph" w:customStyle="1" w:styleId="zyPenpara">
    <w:name w:val="zyPenpara"/>
    <w:basedOn w:val="zPenpara"/>
    <w:pPr>
      <w:spacing w:line="240" w:lineRule="auto"/>
    </w:pPr>
    <w:rPr>
      <w:sz w:val="22"/>
    </w:rPr>
  </w:style>
  <w:style w:type="paragraph" w:customStyle="1" w:styleId="zyPenstart">
    <w:name w:val="zyPenstart"/>
    <w:basedOn w:val="zPenstart"/>
    <w:pPr>
      <w:spacing w:line="240" w:lineRule="auto"/>
    </w:pPr>
    <w:rPr>
      <w:sz w:val="22"/>
    </w:rPr>
  </w:style>
  <w:style w:type="paragraph" w:customStyle="1" w:styleId="zyPensubpara">
    <w:name w:val="zyPensubpara"/>
    <w:basedOn w:val="zPensubpara"/>
    <w:pPr>
      <w:spacing w:line="240" w:lineRule="auto"/>
      <w:ind w:left="3459" w:hanging="2892"/>
    </w:pPr>
    <w:rPr>
      <w:sz w:val="22"/>
    </w:rPr>
  </w:style>
  <w:style w:type="paragraph" w:customStyle="1" w:styleId="zyScheduleHeading">
    <w:name w:val="zyScheduleHeading"/>
    <w:basedOn w:val="yScheduleHeading"/>
    <w:pPr>
      <w:pageBreakBefore w:val="0"/>
      <w:outlineLvl w:val="9"/>
    </w:pPr>
    <w:rPr>
      <w:sz w:val="26"/>
    </w:rPr>
  </w:style>
  <w:style w:type="paragraph" w:customStyle="1" w:styleId="zyShoulderClause">
    <w:name w:val="zyShoulderClause"/>
    <w:basedOn w:val="yShoulderClause"/>
  </w:style>
  <w:style w:type="paragraph" w:customStyle="1" w:styleId="zySubsection">
    <w:name w:val="zySubsection"/>
    <w:basedOn w:val="zSubsection"/>
    <w:pPr>
      <w:spacing w:line="240" w:lineRule="auto"/>
    </w:pPr>
    <w:rPr>
      <w:sz w:val="22"/>
    </w:rPr>
  </w:style>
  <w:style w:type="paragraph" w:styleId="Header">
    <w:name w:val="header"/>
    <w:rPr>
      <w:rFonts w:ascii="Arial" w:hAnsi="Arial"/>
      <w:noProof/>
    </w:rPr>
  </w:style>
  <w:style w:type="character" w:customStyle="1" w:styleId="CharDefText">
    <w:name w:val="CharDefText"/>
    <w:basedOn w:val="DefaultParagraphFont"/>
    <w:rPr>
      <w:b/>
      <w:i/>
    </w:rPr>
  </w:style>
  <w:style w:type="paragraph" w:customStyle="1" w:styleId="ByCommand">
    <w:name w:val="ByCommand"/>
    <w:basedOn w:val="Normal"/>
    <w:pPr>
      <w:tabs>
        <w:tab w:val="right" w:pos="7088"/>
      </w:tabs>
      <w:spacing w:before="1080"/>
    </w:pPr>
  </w:style>
  <w:style w:type="paragraph" w:customStyle="1" w:styleId="DraftNo">
    <w:name w:val="DraftNo"/>
    <w:basedOn w:val="WA"/>
    <w:pPr>
      <w:spacing w:before="120" w:after="120"/>
    </w:pPr>
  </w:style>
  <w:style w:type="character" w:customStyle="1" w:styleId="CharSchText">
    <w:name w:val="CharSchText"/>
    <w:rPr>
      <w:noProof w:val="0"/>
    </w:rPr>
  </w:style>
  <w:style w:type="paragraph" w:customStyle="1" w:styleId="DefinedTerms">
    <w:name w:val="Defined Terms"/>
    <w:pPr>
      <w:tabs>
        <w:tab w:val="right" w:leader="dot" w:pos="7070"/>
      </w:tabs>
      <w:ind w:left="578" w:right="578"/>
    </w:pPr>
  </w:style>
  <w:style w:type="paragraph" w:customStyle="1" w:styleId="zLongTitle">
    <w:name w:val="zLong Title"/>
    <w:basedOn w:val="LongTitle"/>
    <w:pPr>
      <w:ind w:left="567" w:right="284"/>
    </w:pPr>
  </w:style>
  <w:style w:type="paragraph" w:customStyle="1" w:styleId="zytable">
    <w:name w:val="zytable"/>
    <w:basedOn w:val="yTable"/>
    <w:pPr>
      <w:ind w:left="567" w:right="284"/>
    </w:pPr>
  </w:style>
  <w:style w:type="paragraph" w:customStyle="1" w:styleId="yMiscellaneousBody">
    <w:name w:val="yMiscellaneous Body"/>
    <w:basedOn w:val="MiscellaneousBody"/>
    <w:pPr>
      <w:spacing w:line="240" w:lineRule="auto"/>
    </w:pPr>
    <w:rPr>
      <w:sz w:val="22"/>
    </w:rPr>
  </w:style>
  <w:style w:type="paragraph" w:customStyle="1" w:styleId="yMiscellaneousFootnotes">
    <w:name w:val="yMiscellaneous Footnotes"/>
    <w:basedOn w:val="MiscellaneousFootnotes"/>
    <w:pPr>
      <w:spacing w:line="240" w:lineRule="auto"/>
    </w:pPr>
    <w:rPr>
      <w:sz w:val="22"/>
    </w:rPr>
  </w:style>
  <w:style w:type="paragraph" w:customStyle="1" w:styleId="yMiscellaneousHeading">
    <w:name w:val="yMiscellaneous Heading"/>
    <w:basedOn w:val="MiscellaneousHeading"/>
    <w:pPr>
      <w:spacing w:line="240" w:lineRule="auto"/>
    </w:pPr>
    <w:rPr>
      <w:sz w:val="22"/>
    </w:rPr>
  </w:style>
  <w:style w:type="paragraph" w:customStyle="1" w:styleId="zTablet">
    <w:name w:val="zTable t"/>
    <w:basedOn w:val="Table"/>
  </w:style>
  <w:style w:type="paragraph" w:customStyle="1" w:styleId="zyMiscellaneousBody">
    <w:name w:val="zyMiscellaneous Body"/>
    <w:basedOn w:val="zMiscellaneousBody"/>
    <w:pPr>
      <w:spacing w:line="240" w:lineRule="auto"/>
    </w:pPr>
    <w:rPr>
      <w:sz w:val="22"/>
    </w:rPr>
  </w:style>
  <w:style w:type="paragraph" w:customStyle="1" w:styleId="zyMiscellaneousHeading">
    <w:name w:val="zyMiscellaneous Heading"/>
    <w:basedOn w:val="zMiscellaneousHeading"/>
    <w:pPr>
      <w:spacing w:line="240" w:lineRule="auto"/>
    </w:pPr>
    <w:rPr>
      <w:sz w:val="22"/>
    </w:rPr>
  </w:style>
  <w:style w:type="paragraph" w:customStyle="1" w:styleId="OmitFootnote">
    <w:name w:val="OmitFootnote"/>
    <w:basedOn w:val="yEdnotesection"/>
    <w:pPr>
      <w:spacing w:before="600"/>
      <w:outlineLvl w:val="1"/>
    </w:pPr>
  </w:style>
  <w:style w:type="paragraph" w:customStyle="1" w:styleId="yNumberedItem">
    <w:name w:val="yNumberedItem"/>
    <w:pPr>
      <w:spacing w:before="120"/>
      <w:ind w:left="879" w:hanging="879"/>
    </w:pPr>
    <w:rPr>
      <w:sz w:val="22"/>
    </w:rPr>
  </w:style>
  <w:style w:type="paragraph" w:customStyle="1" w:styleId="zyNumberedItem">
    <w:name w:val="zyNumberedItem"/>
    <w:pPr>
      <w:spacing w:before="120"/>
      <w:ind w:left="1446" w:right="284" w:hanging="879"/>
    </w:pPr>
    <w:rPr>
      <w:sz w:val="22"/>
    </w:rPr>
  </w:style>
  <w:style w:type="paragraph" w:customStyle="1" w:styleId="yScheduleHeading2">
    <w:name w:val="yScheduleHeading 2"/>
    <w:basedOn w:val="yScheduleHeading"/>
    <w:pPr>
      <w:pageBreakBefore w:val="0"/>
      <w:spacing w:before="240"/>
    </w:pPr>
  </w:style>
  <w:style w:type="character" w:customStyle="1" w:styleId="CharSClsNo">
    <w:name w:val="CharSClsNo"/>
    <w:basedOn w:val="DefaultParagraphFont"/>
    <w:rPr>
      <w:sz w:val="22"/>
    </w:rPr>
  </w:style>
  <w:style w:type="character" w:customStyle="1" w:styleId="CharSDivNo">
    <w:name w:val="CharSDivNo"/>
    <w:basedOn w:val="DefaultParagraphFont"/>
    <w:rPr>
      <w:sz w:val="24"/>
    </w:rPr>
  </w:style>
  <w:style w:type="character" w:customStyle="1" w:styleId="CharSDivText">
    <w:name w:val="CharSDivText"/>
    <w:basedOn w:val="DefaultParagraphFont"/>
    <w:rPr>
      <w:sz w:val="24"/>
    </w:rPr>
  </w:style>
  <w:style w:type="paragraph" w:customStyle="1" w:styleId="BlankOpen">
    <w:name w:val="BlankOpen"/>
    <w:basedOn w:val="Normal"/>
    <w:pPr>
      <w:keepNext/>
      <w:keepLines/>
      <w:jc w:val="center"/>
    </w:pPr>
    <w:rPr>
      <w:szCs w:val="24"/>
    </w:rPr>
  </w:style>
  <w:style w:type="paragraph" w:customStyle="1" w:styleId="Ednotepart">
    <w:name w:val="Ednote(part)"/>
    <w:basedOn w:val="Ednotesection"/>
    <w:pPr>
      <w:tabs>
        <w:tab w:val="clear" w:pos="893"/>
      </w:tabs>
      <w:ind w:left="0" w:firstLine="0"/>
    </w:pPr>
  </w:style>
  <w:style w:type="paragraph" w:customStyle="1" w:styleId="Ednotedivision">
    <w:name w:val="Ednote(division)"/>
    <w:basedOn w:val="Ednotepart"/>
  </w:style>
  <w:style w:type="paragraph" w:customStyle="1" w:styleId="Ednotesubdivision">
    <w:name w:val="Ednote(subdivision)"/>
    <w:basedOn w:val="Ednotepart"/>
  </w:style>
  <w:style w:type="paragraph" w:customStyle="1" w:styleId="Footnotelongtitle">
    <w:name w:val="Footnote(longtitle)"/>
    <w:basedOn w:val="Footnotesection"/>
  </w:style>
  <w:style w:type="paragraph" w:customStyle="1" w:styleId="Footnotepreamble">
    <w:name w:val="Footnote(preamble)"/>
    <w:basedOn w:val="Footnotesection"/>
  </w:style>
  <w:style w:type="paragraph" w:customStyle="1" w:styleId="LongTitle2">
    <w:name w:val="Long Title2"/>
    <w:basedOn w:val="LongTitle"/>
    <w:pPr>
      <w:tabs>
        <w:tab w:val="right" w:pos="170"/>
        <w:tab w:val="left" w:pos="397"/>
      </w:tabs>
      <w:ind w:left="397" w:hanging="397"/>
    </w:pPr>
  </w:style>
  <w:style w:type="paragraph" w:customStyle="1" w:styleId="LongTitle3">
    <w:name w:val="Long Title3"/>
    <w:basedOn w:val="LongTitle"/>
    <w:pPr>
      <w:tabs>
        <w:tab w:val="right" w:pos="567"/>
        <w:tab w:val="left" w:pos="794"/>
      </w:tabs>
      <w:ind w:left="794" w:hanging="794"/>
    </w:pPr>
  </w:style>
  <w:style w:type="paragraph" w:customStyle="1" w:styleId="Preamble2">
    <w:name w:val="Preamble2"/>
    <w:basedOn w:val="Preamble"/>
    <w:pPr>
      <w:tabs>
        <w:tab w:val="clear" w:pos="567"/>
      </w:tabs>
      <w:spacing w:before="80"/>
      <w:ind w:left="0" w:firstLine="0"/>
    </w:pPr>
  </w:style>
  <w:style w:type="paragraph" w:customStyle="1" w:styleId="Preamble1">
    <w:name w:val="Preamble1"/>
    <w:basedOn w:val="Preamble2"/>
    <w:pPr>
      <w:spacing w:before="120"/>
    </w:pPr>
    <w:rPr>
      <w:b/>
    </w:rPr>
  </w:style>
  <w:style w:type="paragraph" w:customStyle="1" w:styleId="Preamble3">
    <w:name w:val="Preamble3"/>
    <w:basedOn w:val="Preamble2"/>
    <w:pPr>
      <w:tabs>
        <w:tab w:val="right" w:pos="595"/>
        <w:tab w:val="left" w:pos="879"/>
      </w:tabs>
      <w:ind w:left="879" w:hanging="879"/>
    </w:pPr>
  </w:style>
  <w:style w:type="paragraph" w:customStyle="1" w:styleId="Preamble4">
    <w:name w:val="Preamble4"/>
    <w:basedOn w:val="Preamble2"/>
    <w:pPr>
      <w:tabs>
        <w:tab w:val="right" w:pos="1332"/>
        <w:tab w:val="left" w:pos="1616"/>
      </w:tabs>
      <w:ind w:left="1616" w:hanging="1616"/>
    </w:pPr>
  </w:style>
  <w:style w:type="paragraph" w:customStyle="1" w:styleId="ReprintNo">
    <w:name w:val="ReprintNo"/>
    <w:rPr>
      <w:b/>
      <w:noProof/>
      <w:sz w:val="28"/>
    </w:rPr>
  </w:style>
  <w:style w:type="paragraph" w:customStyle="1" w:styleId="TableAm">
    <w:name w:val="TableAm"/>
    <w:qFormat/>
    <w:pPr>
      <w:tabs>
        <w:tab w:val="left" w:pos="567"/>
      </w:tabs>
      <w:spacing w:before="120"/>
    </w:pPr>
    <w:rPr>
      <w:sz w:val="24"/>
    </w:rPr>
  </w:style>
  <w:style w:type="paragraph" w:customStyle="1" w:styleId="TableAmNote">
    <w:name w:val="TableAmNote"/>
    <w:pPr>
      <w:tabs>
        <w:tab w:val="left" w:pos="567"/>
      </w:tabs>
      <w:spacing w:before="60"/>
    </w:pPr>
    <w:rPr>
      <w:rFonts w:ascii="Arial" w:hAnsi="Arial"/>
      <w:sz w:val="18"/>
    </w:rPr>
  </w:style>
  <w:style w:type="paragraph" w:customStyle="1" w:styleId="yEdnotedefitem">
    <w:name w:val="yEdnote(defitem)"/>
    <w:basedOn w:val="yDefitem"/>
    <w:rPr>
      <w:i/>
    </w:rPr>
  </w:style>
  <w:style w:type="paragraph" w:customStyle="1" w:styleId="yEdnotedefpara">
    <w:name w:val="yEdnote(defpara)"/>
    <w:basedOn w:val="yDefpara"/>
    <w:rPr>
      <w:i/>
    </w:rPr>
  </w:style>
  <w:style w:type="paragraph" w:customStyle="1" w:styleId="yEdnotedefsubpara">
    <w:name w:val="yEdnote(defsubpara)"/>
    <w:basedOn w:val="yDefsubpara"/>
    <w:rPr>
      <w:i/>
    </w:rPr>
  </w:style>
  <w:style w:type="paragraph" w:customStyle="1" w:styleId="yEdnoteschedule">
    <w:name w:val="yEdnote(schedule)"/>
    <w:basedOn w:val="yEdnotesection"/>
    <w:pPr>
      <w:tabs>
        <w:tab w:val="clear" w:pos="893"/>
      </w:tabs>
      <w:ind w:left="0" w:firstLine="0"/>
    </w:pPr>
  </w:style>
  <w:style w:type="paragraph" w:customStyle="1" w:styleId="yEdnotedivision">
    <w:name w:val="yEdnote(division)"/>
    <w:basedOn w:val="yEdnoteschedule"/>
  </w:style>
  <w:style w:type="paragraph" w:customStyle="1" w:styleId="yEdnotesubdivision">
    <w:name w:val="yEdnote(subdivision)"/>
    <w:basedOn w:val="yEdnoteschedule"/>
  </w:style>
  <w:style w:type="paragraph" w:customStyle="1" w:styleId="yEdnotesubsection">
    <w:name w:val="yEdnote(subsection)"/>
    <w:basedOn w:val="Ednotesubsection"/>
    <w:rPr>
      <w:sz w:val="22"/>
    </w:rPr>
  </w:style>
  <w:style w:type="paragraph" w:customStyle="1" w:styleId="DeleteListSub">
    <w:name w:val="DeleteListSub"/>
    <w:basedOn w:val="Normal"/>
    <w:pPr>
      <w:widowControl w:val="0"/>
      <w:spacing w:before="80" w:line="260" w:lineRule="atLeast"/>
      <w:ind w:left="879"/>
    </w:pPr>
  </w:style>
  <w:style w:type="paragraph" w:customStyle="1" w:styleId="DeleteListPara">
    <w:name w:val="DeleteListPara"/>
    <w:basedOn w:val="DeleteListSub"/>
    <w:pPr>
      <w:ind w:left="1616"/>
    </w:pPr>
  </w:style>
  <w:style w:type="paragraph" w:customStyle="1" w:styleId="DeleteOpen">
    <w:name w:val="DeleteOpen"/>
    <w:basedOn w:val="Normal"/>
    <w:pPr>
      <w:keepNext/>
      <w:keepLines/>
      <w:jc w:val="center"/>
    </w:pPr>
    <w:rPr>
      <w:szCs w:val="24"/>
    </w:rPr>
  </w:style>
  <w:style w:type="paragraph" w:customStyle="1" w:styleId="yDeleteListPara">
    <w:name w:val="yDeleteListPara"/>
    <w:basedOn w:val="DeleteListPara"/>
    <w:rPr>
      <w:sz w:val="22"/>
    </w:rPr>
  </w:style>
  <w:style w:type="paragraph" w:customStyle="1" w:styleId="yDeleteListSub">
    <w:name w:val="yDeleteListSub"/>
    <w:basedOn w:val="DeleteListSub"/>
    <w:rPr>
      <w:sz w:val="22"/>
    </w:rPr>
  </w:style>
  <w:style w:type="paragraph" w:customStyle="1" w:styleId="zDeleteListPara">
    <w:name w:val="zDeleteListPara"/>
    <w:basedOn w:val="DeleteListPara"/>
    <w:pPr>
      <w:ind w:left="2183"/>
    </w:pPr>
  </w:style>
  <w:style w:type="paragraph" w:customStyle="1" w:styleId="zDeleteListSub">
    <w:name w:val="zDeleteListSub"/>
    <w:basedOn w:val="DeleteListSub"/>
    <w:pPr>
      <w:ind w:left="1446"/>
    </w:pPr>
  </w:style>
  <w:style w:type="paragraph" w:customStyle="1" w:styleId="zyDeleteListPara">
    <w:name w:val="zyDeleteListPara"/>
    <w:basedOn w:val="DeleteListPara"/>
    <w:rPr>
      <w:sz w:val="22"/>
    </w:rPr>
  </w:style>
  <w:style w:type="paragraph" w:customStyle="1" w:styleId="zyDeleteListSub">
    <w:name w:val="zyDeleteListSub"/>
    <w:basedOn w:val="DeleteListSub"/>
    <w:rPr>
      <w:sz w:val="22"/>
    </w:rPr>
  </w:style>
  <w:style w:type="paragraph" w:customStyle="1" w:styleId="TableNAm">
    <w:name w:val="TableNAm"/>
    <w:qFormat/>
    <w:pPr>
      <w:tabs>
        <w:tab w:val="left" w:pos="567"/>
      </w:tabs>
      <w:spacing w:before="120"/>
    </w:pPr>
    <w:rPr>
      <w:sz w:val="24"/>
    </w:rPr>
  </w:style>
  <w:style w:type="paragraph" w:customStyle="1" w:styleId="THeading">
    <w:name w:val="THeading"/>
    <w:pPr>
      <w:keepNext/>
      <w:spacing w:before="160" w:after="60" w:line="260" w:lineRule="atLeast"/>
      <w:jc w:val="center"/>
    </w:pPr>
    <w:rPr>
      <w:b/>
      <w:bCs/>
      <w:sz w:val="24"/>
    </w:rPr>
  </w:style>
  <w:style w:type="paragraph" w:customStyle="1" w:styleId="THeadingAmNote">
    <w:name w:val="THeadingAmNote"/>
    <w:pPr>
      <w:keepNext/>
      <w:spacing w:before="160" w:after="60"/>
      <w:jc w:val="center"/>
    </w:pPr>
    <w:rPr>
      <w:rFonts w:ascii="Arial" w:hAnsi="Arial"/>
      <w:b/>
      <w:bCs/>
      <w:sz w:val="18"/>
    </w:rPr>
  </w:style>
  <w:style w:type="paragraph" w:customStyle="1" w:styleId="THeadingNAm">
    <w:name w:val="THeadingNAm"/>
    <w:pPr>
      <w:keepNext/>
      <w:spacing w:before="160" w:after="60" w:line="260" w:lineRule="atLeast"/>
      <w:ind w:left="879" w:right="142"/>
      <w:jc w:val="center"/>
    </w:pPr>
    <w:rPr>
      <w:b/>
      <w:bCs/>
      <w:sz w:val="24"/>
    </w:rPr>
  </w:style>
  <w:style w:type="paragraph" w:customStyle="1" w:styleId="yTableNAm">
    <w:name w:val="yTableNAm"/>
    <w:basedOn w:val="TableNAm"/>
    <w:rPr>
      <w:sz w:val="22"/>
    </w:rPr>
  </w:style>
  <w:style w:type="paragraph" w:customStyle="1" w:styleId="yTHeadingNAm">
    <w:name w:val="yTHeadingNAm"/>
    <w:basedOn w:val="THeadingNAm"/>
    <w:pPr>
      <w:ind w:left="142"/>
    </w:pPr>
    <w:rPr>
      <w:sz w:val="22"/>
    </w:rPr>
  </w:style>
  <w:style w:type="paragraph" w:customStyle="1" w:styleId="zTableNAm">
    <w:name w:val="zTableNAm"/>
    <w:basedOn w:val="TableNAm"/>
  </w:style>
  <w:style w:type="paragraph" w:customStyle="1" w:styleId="zTHeadingNAm">
    <w:name w:val="zTHeadingNAm"/>
    <w:basedOn w:val="THeadingNAm"/>
  </w:style>
  <w:style w:type="paragraph" w:customStyle="1" w:styleId="zyTableNAm">
    <w:name w:val="zyTableNAm"/>
    <w:basedOn w:val="yTableNAm"/>
  </w:style>
  <w:style w:type="paragraph" w:customStyle="1" w:styleId="zyTHeadingNAm">
    <w:name w:val="zyTHeadingNAm"/>
    <w:basedOn w:val="yTHeadingNAm"/>
  </w:style>
  <w:style w:type="paragraph" w:customStyle="1" w:styleId="SignatureText">
    <w:name w:val="SignatureText"/>
    <w:basedOn w:val="Normal"/>
  </w:style>
  <w:style w:type="paragraph" w:customStyle="1" w:styleId="ExCo">
    <w:name w:val="ExCo"/>
    <w:qFormat/>
    <w:rPr>
      <w:sz w:val="24"/>
    </w:rPr>
  </w:style>
  <w:style w:type="paragraph" w:customStyle="1" w:styleId="Certificate">
    <w:name w:val="Certificate"/>
    <w:qFormat/>
    <w:rPr>
      <w:sz w:val="24"/>
    </w:rPr>
  </w:style>
  <w:style w:type="paragraph" w:customStyle="1" w:styleId="PrincipalActRegPage1">
    <w:name w:val="PrincipalAct_Reg(Page 1)"/>
    <w:pPr>
      <w:spacing w:before="2600"/>
      <w:jc w:val="center"/>
    </w:pPr>
    <w:rPr>
      <w:sz w:val="24"/>
    </w:rPr>
  </w:style>
  <w:style w:type="paragraph" w:customStyle="1" w:styleId="Defsubitem">
    <w:name w:val="Defsubitem"/>
    <w:qFormat/>
    <w:pPr>
      <w:tabs>
        <w:tab w:val="right" w:pos="3686"/>
      </w:tabs>
      <w:spacing w:before="80" w:line="260" w:lineRule="atLeast"/>
      <w:ind w:left="3969" w:hanging="3969"/>
    </w:pPr>
    <w:rPr>
      <w:snapToGrid w:val="0"/>
      <w:sz w:val="24"/>
    </w:rPr>
  </w:style>
  <w:style w:type="paragraph" w:customStyle="1" w:styleId="Ednotedefsubitem">
    <w:name w:val="Ednote(defsubitem)"/>
    <w:basedOn w:val="Defsubitem"/>
    <w:rPr>
      <w:i/>
    </w:rPr>
  </w:style>
  <w:style w:type="paragraph" w:customStyle="1" w:styleId="yDefsubitem">
    <w:name w:val="yDefsubitem"/>
    <w:qFormat/>
    <w:pPr>
      <w:tabs>
        <w:tab w:val="right" w:pos="3686"/>
      </w:tabs>
      <w:spacing w:before="80"/>
      <w:ind w:left="3969" w:hanging="3969"/>
    </w:pPr>
    <w:rPr>
      <w:snapToGrid w:val="0"/>
      <w:sz w:val="22"/>
    </w:rPr>
  </w:style>
  <w:style w:type="paragraph" w:customStyle="1" w:styleId="yEdnotedefsubitem">
    <w:name w:val="yEdnote(defsubitem)"/>
    <w:basedOn w:val="yDefsubitem"/>
    <w:rPr>
      <w:i/>
    </w:rPr>
  </w:style>
  <w:style w:type="paragraph" w:customStyle="1" w:styleId="zDefsubitem">
    <w:name w:val="zDefsubitem"/>
    <w:qFormat/>
    <w:pPr>
      <w:tabs>
        <w:tab w:val="right" w:pos="4167"/>
      </w:tabs>
      <w:spacing w:before="80" w:line="260" w:lineRule="atLeast"/>
      <w:ind w:left="4451" w:right="284" w:hanging="3884"/>
    </w:pPr>
    <w:rPr>
      <w:snapToGrid w:val="0"/>
      <w:sz w:val="24"/>
    </w:rPr>
  </w:style>
  <w:style w:type="paragraph" w:customStyle="1" w:styleId="zyDefsubitem">
    <w:name w:val="zyDefsubitem"/>
    <w:qFormat/>
    <w:pPr>
      <w:tabs>
        <w:tab w:val="right" w:pos="4167"/>
      </w:tabs>
      <w:spacing w:before="80"/>
      <w:ind w:left="4451" w:right="284" w:hanging="3884"/>
    </w:pPr>
    <w:rPr>
      <w:snapToGrid w:val="0"/>
      <w:sz w:val="22"/>
    </w:rPr>
  </w:style>
  <w:style w:type="paragraph" w:customStyle="1" w:styleId="yEdnotenumbereditem">
    <w:name w:val="yEdnote(numbereditem)"/>
    <w:basedOn w:val="yNumberedItem"/>
    <w:rPr>
      <w:i/>
    </w:rPr>
  </w:style>
  <w:style w:type="paragraph" w:customStyle="1" w:styleId="yNumberedItemPara">
    <w:name w:val="yNumberedItemPara"/>
    <w:qFormat/>
    <w:pPr>
      <w:tabs>
        <w:tab w:val="right" w:pos="1332"/>
      </w:tabs>
      <w:spacing w:before="80"/>
      <w:ind w:left="1616" w:hanging="1616"/>
    </w:pPr>
    <w:rPr>
      <w:sz w:val="22"/>
    </w:rPr>
  </w:style>
  <w:style w:type="paragraph" w:customStyle="1" w:styleId="yEdnotenumbereditempara">
    <w:name w:val="yEdnote(numbereditempara)"/>
    <w:basedOn w:val="yNumberedItemPara"/>
    <w:rPr>
      <w:i/>
    </w:rPr>
  </w:style>
  <w:style w:type="paragraph" w:customStyle="1" w:styleId="zyNumberedItemPara">
    <w:name w:val="zyNumberedItemPara"/>
    <w:qFormat/>
    <w:pPr>
      <w:tabs>
        <w:tab w:val="right" w:pos="1899"/>
      </w:tabs>
      <w:spacing w:before="80"/>
      <w:ind w:left="2183" w:right="284" w:hanging="1616"/>
    </w:pPr>
    <w:rPr>
      <w:sz w:val="22"/>
    </w:rPr>
  </w:style>
  <w:style w:type="paragraph" w:customStyle="1" w:styleId="yNumberedItemSubPara">
    <w:name w:val="yNumberedItemSubPara"/>
    <w:qFormat/>
    <w:pPr>
      <w:tabs>
        <w:tab w:val="right" w:pos="2041"/>
      </w:tabs>
      <w:spacing w:before="80"/>
      <w:ind w:left="2325" w:hanging="2325"/>
    </w:pPr>
    <w:rPr>
      <w:sz w:val="22"/>
    </w:rPr>
  </w:style>
  <w:style w:type="paragraph" w:customStyle="1" w:styleId="yEdnotenumbereditemsubpara">
    <w:name w:val="yEdnote(numbereditemsubpara)"/>
    <w:basedOn w:val="yNumberedItemSubPara"/>
    <w:rPr>
      <w:i/>
    </w:rPr>
  </w:style>
  <w:style w:type="paragraph" w:customStyle="1" w:styleId="zyNumberedItemSubPara">
    <w:name w:val="zyNumberedItemSubPara"/>
    <w:qFormat/>
    <w:pPr>
      <w:tabs>
        <w:tab w:val="right" w:pos="2608"/>
      </w:tabs>
      <w:spacing w:before="80"/>
      <w:ind w:left="2892" w:right="284" w:hanging="2325"/>
    </w:pPr>
    <w:rPr>
      <w:sz w:val="22"/>
    </w:rPr>
  </w:style>
  <w:style w:type="paragraph" w:customStyle="1" w:styleId="PermNoteHeading">
    <w:name w:val="PermNoteHeading"/>
    <w:qFormat/>
    <w:pPr>
      <w:keepNext/>
      <w:spacing w:before="160"/>
      <w:ind w:left="879" w:hanging="879"/>
    </w:pPr>
    <w:rPr>
      <w:rFonts w:ascii="Arial" w:hAnsi="Arial"/>
      <w:sz w:val="18"/>
    </w:rPr>
  </w:style>
  <w:style w:type="paragraph" w:customStyle="1" w:styleId="Ednotepermnoteheading">
    <w:name w:val="Ednote(permnoteheading)"/>
    <w:basedOn w:val="PermNoteHeading"/>
    <w:rPr>
      <w:i/>
    </w:rPr>
  </w:style>
  <w:style w:type="paragraph" w:customStyle="1" w:styleId="zPermNoteHeading">
    <w:name w:val="zPermNoteHeading"/>
    <w:qFormat/>
    <w:pPr>
      <w:spacing w:before="160"/>
      <w:ind w:left="1446" w:right="284" w:hanging="879"/>
    </w:pPr>
    <w:rPr>
      <w:rFonts w:ascii="Arial" w:hAnsi="Arial"/>
      <w:sz w:val="18"/>
    </w:rPr>
  </w:style>
  <w:style w:type="paragraph" w:customStyle="1" w:styleId="PermNoteText">
    <w:name w:val="PermNoteText"/>
    <w:qFormat/>
    <w:pPr>
      <w:tabs>
        <w:tab w:val="left" w:pos="879"/>
      </w:tabs>
      <w:spacing w:before="80"/>
      <w:ind w:left="1418" w:hanging="1418"/>
    </w:pPr>
    <w:rPr>
      <w:rFonts w:ascii="Arial" w:hAnsi="Arial"/>
      <w:sz w:val="18"/>
    </w:rPr>
  </w:style>
  <w:style w:type="paragraph" w:customStyle="1" w:styleId="Ednotepermnotetext">
    <w:name w:val="Ednote(permnotetext)"/>
    <w:basedOn w:val="PermNoteText"/>
    <w:rPr>
      <w:i/>
    </w:rPr>
  </w:style>
  <w:style w:type="paragraph" w:customStyle="1" w:styleId="zPermNoteText">
    <w:name w:val="zPermNoteText"/>
    <w:qFormat/>
    <w:pPr>
      <w:tabs>
        <w:tab w:val="left" w:pos="1446"/>
      </w:tabs>
      <w:spacing w:before="80"/>
      <w:ind w:left="2013" w:right="284" w:hanging="1446"/>
    </w:pPr>
    <w:rPr>
      <w:rFonts w:ascii="Arial" w:hAnsi="Arial"/>
      <w:sz w:val="18"/>
    </w:rPr>
  </w:style>
  <w:style w:type="paragraph" w:customStyle="1" w:styleId="PermNotePara">
    <w:name w:val="PermNotePara"/>
    <w:qFormat/>
    <w:pPr>
      <w:tabs>
        <w:tab w:val="right" w:pos="1843"/>
      </w:tabs>
      <w:spacing w:before="80"/>
      <w:ind w:left="2013" w:hanging="2013"/>
    </w:pPr>
    <w:rPr>
      <w:rFonts w:ascii="Arial" w:hAnsi="Arial"/>
      <w:sz w:val="18"/>
    </w:rPr>
  </w:style>
  <w:style w:type="paragraph" w:customStyle="1" w:styleId="Ednotepermnotepara">
    <w:name w:val="Ednote(permnotepara)"/>
    <w:basedOn w:val="PermNotePara"/>
    <w:rPr>
      <w:i/>
    </w:rPr>
  </w:style>
  <w:style w:type="paragraph" w:customStyle="1" w:styleId="zPermNotePara">
    <w:name w:val="zPermNotePara"/>
    <w:qFormat/>
    <w:pPr>
      <w:tabs>
        <w:tab w:val="right" w:pos="2410"/>
      </w:tabs>
      <w:spacing w:before="80"/>
      <w:ind w:left="2580" w:right="284" w:hanging="2013"/>
    </w:pPr>
    <w:rPr>
      <w:rFonts w:ascii="Arial" w:hAnsi="Arial"/>
      <w:sz w:val="18"/>
    </w:rPr>
  </w:style>
  <w:style w:type="paragraph" w:customStyle="1" w:styleId="PermNoteSubPara">
    <w:name w:val="PermNoteSubPara"/>
    <w:qFormat/>
    <w:pPr>
      <w:tabs>
        <w:tab w:val="right" w:pos="2296"/>
      </w:tabs>
      <w:spacing w:before="80"/>
      <w:ind w:left="2580" w:hanging="2580"/>
    </w:pPr>
    <w:rPr>
      <w:rFonts w:ascii="Arial" w:hAnsi="Arial"/>
      <w:sz w:val="18"/>
    </w:rPr>
  </w:style>
  <w:style w:type="paragraph" w:customStyle="1" w:styleId="Ednotepermnotesubpara">
    <w:name w:val="Ednote(permnotesubpara)"/>
    <w:basedOn w:val="PermNoteSubPara"/>
    <w:rPr>
      <w:i/>
    </w:rPr>
  </w:style>
  <w:style w:type="paragraph" w:customStyle="1" w:styleId="zPermNoteSubPara">
    <w:name w:val="zPermNoteSubPara"/>
    <w:qFormat/>
    <w:pPr>
      <w:tabs>
        <w:tab w:val="right" w:pos="2863"/>
      </w:tabs>
      <w:spacing w:before="80"/>
      <w:ind w:left="3147" w:right="284" w:hanging="2580"/>
    </w:pPr>
    <w:rPr>
      <w:rFonts w:ascii="Arial" w:hAnsi="Arial"/>
      <w:sz w:val="18"/>
    </w:rPr>
  </w:style>
  <w:style w:type="paragraph" w:customStyle="1" w:styleId="SectAltNote">
    <w:name w:val="SectAltNote"/>
    <w:qFormat/>
    <w:pPr>
      <w:keepNext/>
      <w:tabs>
        <w:tab w:val="left" w:pos="879"/>
      </w:tabs>
      <w:spacing w:before="160"/>
      <w:ind w:left="1418" w:hanging="1418"/>
    </w:pPr>
    <w:rPr>
      <w:rFonts w:ascii="Arial" w:hAnsi="Arial"/>
      <w:sz w:val="18"/>
    </w:rPr>
  </w:style>
  <w:style w:type="paragraph" w:customStyle="1" w:styleId="SectAltHeading">
    <w:name w:val="SectAltHeading"/>
    <w:qFormat/>
    <w:pPr>
      <w:tabs>
        <w:tab w:val="left" w:pos="879"/>
      </w:tabs>
      <w:spacing w:before="80"/>
      <w:ind w:left="1418" w:hanging="1418"/>
    </w:pPr>
    <w:rPr>
      <w:rFonts w:ascii="Arial" w:hAnsi="Arial"/>
      <w:b/>
      <w:sz w:val="18"/>
    </w:rPr>
  </w:style>
  <w:style w:type="paragraph" w:customStyle="1" w:styleId="TitleNote">
    <w:name w:val="TitleNote"/>
    <w:rPr>
      <w:sz w:val="24"/>
    </w:rPr>
  </w:style>
  <w:style w:type="paragraph" w:customStyle="1" w:styleId="nStatement">
    <w:name w:val="nStatement"/>
    <w:pPr>
      <w:spacing w:before="80"/>
    </w:pPr>
  </w:style>
  <w:style w:type="paragraph" w:customStyle="1" w:styleId="nNote">
    <w:name w:val="nNote"/>
    <w:pPr>
      <w:spacing w:before="80"/>
      <w:ind w:left="454" w:hanging="454"/>
    </w:pPr>
  </w:style>
  <w:style w:type="paragraph" w:customStyle="1" w:styleId="nNotePara">
    <w:name w:val="nNotePara"/>
    <w:pPr>
      <w:tabs>
        <w:tab w:val="right" w:pos="993"/>
      </w:tabs>
      <w:spacing w:before="40"/>
      <w:ind w:left="1134" w:hanging="1134"/>
    </w:pPr>
  </w:style>
  <w:style w:type="paragraph" w:customStyle="1" w:styleId="nNoteSubPara">
    <w:name w:val="nNoteSubPara"/>
    <w:pPr>
      <w:tabs>
        <w:tab w:val="right" w:pos="1418"/>
      </w:tabs>
      <w:spacing w:before="40"/>
      <w:ind w:left="1701" w:hanging="1701"/>
    </w:pPr>
  </w:style>
  <w:style w:type="paragraph" w:customStyle="1" w:styleId="AssentDate">
    <w:name w:val="AssentDate"/>
    <w:pPr>
      <w:jc w:val="right"/>
    </w:pPr>
    <w:rPr>
      <w:sz w:val="24"/>
    </w:rPr>
  </w:style>
  <w:style w:type="table" w:styleId="TableGrid">
    <w:name w:val="Table Grid"/>
    <w:basedOn w:val="TableNormal"/>
    <w:uiPriority w:val="59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basedOn w:val="DefaultParagraphFont"/>
    <w:link w:val="Footer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652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3.xml"/><Relationship Id="rId18" Type="http://schemas.openxmlformats.org/officeDocument/2006/relationships/footer" Target="footer5.xml"/><Relationship Id="rId26" Type="http://schemas.openxmlformats.org/officeDocument/2006/relationships/header" Target="header11.xml"/><Relationship Id="rId3" Type="http://schemas.openxmlformats.org/officeDocument/2006/relationships/styles" Target="styles.xml"/><Relationship Id="rId21" Type="http://schemas.openxmlformats.org/officeDocument/2006/relationships/image" Target="media/image2.jpeg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oter" Target="footer4.xml"/><Relationship Id="rId25" Type="http://schemas.openxmlformats.org/officeDocument/2006/relationships/header" Target="header10.xm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footer" Target="footer6.xml"/><Relationship Id="rId29" Type="http://schemas.openxmlformats.org/officeDocument/2006/relationships/footer" Target="footer7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header" Target="header9.xml"/><Relationship Id="rId32" Type="http://schemas.openxmlformats.org/officeDocument/2006/relationships/footer" Target="footer9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23" Type="http://schemas.openxmlformats.org/officeDocument/2006/relationships/header" Target="header8.xml"/><Relationship Id="rId28" Type="http://schemas.openxmlformats.org/officeDocument/2006/relationships/header" Target="header13.xml"/><Relationship Id="rId10" Type="http://schemas.openxmlformats.org/officeDocument/2006/relationships/header" Target="header2.xml"/><Relationship Id="rId19" Type="http://schemas.openxmlformats.org/officeDocument/2006/relationships/header" Target="header6.xml"/><Relationship Id="rId31" Type="http://schemas.openxmlformats.org/officeDocument/2006/relationships/header" Target="header14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header" Target="header7.xml"/><Relationship Id="rId27" Type="http://schemas.openxmlformats.org/officeDocument/2006/relationships/header" Target="header12.xml"/><Relationship Id="rId30" Type="http://schemas.openxmlformats.org/officeDocument/2006/relationships/footer" Target="footer8.xml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F4049B-A108-4798-B1C3-3AF01DF28F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309</Words>
  <Characters>1576</Characters>
  <Application>Microsoft Office Word</Application>
  <DocSecurity>0</DocSecurity>
  <Lines>82</Lines>
  <Paragraphs>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Drafting Template (Regs)</vt:lpstr>
    </vt:vector>
  </TitlesOfParts>
  <Manager/>
  <Company/>
  <LinksUpToDate>false</LinksUpToDate>
  <CharactersWithSpaces>1830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Main Roads (General) Regulations 2023 - 00-b0-00</dc:title>
  <dc:subject/>
  <dc:creator/>
  <cp:keywords/>
  <dc:description/>
  <cp:lastModifiedBy>Master Repository Process</cp:lastModifiedBy>
  <cp:revision>4</cp:revision>
  <cp:lastPrinted>2021-03-14T07:59:00Z</cp:lastPrinted>
  <dcterms:created xsi:type="dcterms:W3CDTF">2025-06-13T04:44:00Z</dcterms:created>
  <dcterms:modified xsi:type="dcterms:W3CDTF">2025-06-13T04:44:00Z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gID">
    <vt:lpwstr>54589</vt:lpwstr>
  </property>
  <property fmtid="{D5CDD505-2E9C-101B-9397-08002B2CF9AE}" pid="3" name="DocumentType">
    <vt:lpwstr>Reg</vt:lpwstr>
  </property>
  <property fmtid="{D5CDD505-2E9C-101B-9397-08002B2CF9AE}" pid="4" name="AsAtDate">
    <vt:lpwstr>28 Nov 2024</vt:lpwstr>
  </property>
  <property fmtid="{D5CDD505-2E9C-101B-9397-08002B2CF9AE}" pid="5" name="Suffix">
    <vt:lpwstr>00-b0-00</vt:lpwstr>
  </property>
  <property fmtid="{D5CDD505-2E9C-101B-9397-08002B2CF9AE}" pid="6" name="Official">
    <vt:lpwstr/>
  </property>
  <property fmtid="{D5CDD505-2E9C-101B-9397-08002B2CF9AE}" pid="7" name="CommencementDate">
    <vt:lpwstr>20241128</vt:lpwstr>
  </property>
  <property fmtid="{D5CDD505-2E9C-101B-9397-08002B2CF9AE}" pid="8" name="CommencementAsAt">
    <vt:filetime>2024-11-27T16:00:00Z</vt:filetime>
  </property>
  <property fmtid="{D5CDD505-2E9C-101B-9397-08002B2CF9AE}" pid="9" name="CommencementYear">
    <vt:lpwstr>2024</vt:lpwstr>
  </property>
</Properties>
</file>