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_Toc183423050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_Toc183423051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_Toc183423052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_Toc183423053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_Toc183423054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_Toc183423055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_Toc183423056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_Toc183423059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_Toc183423061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_Toc183423063 \h </w:instrText>
      </w:r>
      <w:r>
        <w:fldChar w:fldCharType="separate"/>
      </w:r>
      <w:r>
        <w:t>9</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_Toc183423064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_Toc183423066 \h </w:instrText>
      </w:r>
      <w:r>
        <w:fldChar w:fldCharType="separate"/>
      </w:r>
      <w:r>
        <w:t>10</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_Toc183423067 \h </w:instrText>
      </w:r>
      <w:r>
        <w:fldChar w:fldCharType="separate"/>
      </w:r>
      <w:r>
        <w:t>11</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_Toc183423068 \h </w:instrText>
      </w:r>
      <w:r>
        <w:fldChar w:fldCharType="separate"/>
      </w:r>
      <w:r>
        <w:t>11</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_Toc183423069 \h </w:instrText>
      </w:r>
      <w:r>
        <w:fldChar w:fldCharType="separate"/>
      </w:r>
      <w:r>
        <w:t>11</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_Toc183423070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5J.</w:t>
      </w:r>
      <w:r>
        <w:tab/>
        <w:t>Waiver of contractual duty of care for recreational activities</w:t>
      </w:r>
      <w:r>
        <w:tab/>
      </w:r>
      <w:r>
        <w:fldChar w:fldCharType="begin"/>
      </w:r>
      <w:r>
        <w:instrText xml:space="preserve"> PAGEREF _Toc183423071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_Toc183423073 \h </w:instrText>
      </w:r>
      <w:r>
        <w:fldChar w:fldCharType="separate"/>
      </w:r>
      <w:r>
        <w:t>15</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_Toc183423074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_Toc183423076 \h </w:instrText>
      </w:r>
      <w:r>
        <w:fldChar w:fldCharType="separate"/>
      </w:r>
      <w:r>
        <w:t>17</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_Toc183423077 \h </w:instrText>
      </w:r>
      <w:r>
        <w:fldChar w:fldCharType="separate"/>
      </w:r>
      <w:r>
        <w:t>17</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_Toc183423078 \h </w:instrText>
      </w:r>
      <w:r>
        <w:fldChar w:fldCharType="separate"/>
      </w:r>
      <w:r>
        <w:t>17</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_Toc183423079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_Toc183423081 \h </w:instrText>
      </w:r>
      <w:r>
        <w:fldChar w:fldCharType="separate"/>
      </w:r>
      <w:r>
        <w:t>18</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_Toc183423082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_Toc183423084 \h </w:instrText>
      </w:r>
      <w:r>
        <w:fldChar w:fldCharType="separate"/>
      </w:r>
      <w:r>
        <w:t>21</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_Toc183423085 \h </w:instrText>
      </w:r>
      <w:r>
        <w:fldChar w:fldCharType="separate"/>
      </w:r>
      <w:r>
        <w:t>21</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_Toc183423086 \h </w:instrText>
      </w:r>
      <w:r>
        <w:fldChar w:fldCharType="separate"/>
      </w:r>
      <w:r>
        <w:t>22</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_Toc183423087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_Toc183423089 \h </w:instrText>
      </w:r>
      <w:r>
        <w:fldChar w:fldCharType="separate"/>
      </w:r>
      <w:r>
        <w:t>24</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_Toc183423090 \h </w:instrText>
      </w:r>
      <w:r>
        <w:fldChar w:fldCharType="separate"/>
      </w:r>
      <w:r>
        <w:t>25</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_Toc183423091 \h </w:instrText>
      </w:r>
      <w:r>
        <w:fldChar w:fldCharType="separate"/>
      </w:r>
      <w:r>
        <w:t>25</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_Toc183423092 \h </w:instrText>
      </w:r>
      <w:r>
        <w:fldChar w:fldCharType="separate"/>
      </w:r>
      <w:r>
        <w:t>26</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_Toc183423093 \h </w:instrText>
      </w:r>
      <w:r>
        <w:fldChar w:fldCharType="separate"/>
      </w:r>
      <w:r>
        <w:t>26</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_Toc183423094 \h </w:instrText>
      </w:r>
      <w:r>
        <w:fldChar w:fldCharType="separate"/>
      </w:r>
      <w:r>
        <w:t>27</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_Toc183423095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_Toc183423097 \h </w:instrText>
      </w:r>
      <w:r>
        <w:fldChar w:fldCharType="separate"/>
      </w:r>
      <w:r>
        <w:t>29</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_Toc183423098 \h </w:instrText>
      </w:r>
      <w:r>
        <w:fldChar w:fldCharType="separate"/>
      </w:r>
      <w:r>
        <w:t>30</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_Toc183423099 \h </w:instrText>
      </w:r>
      <w:r>
        <w:fldChar w:fldCharType="separate"/>
      </w:r>
      <w:r>
        <w:t>31</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_Toc183423100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_Toc183423102 \h </w:instrText>
      </w:r>
      <w:r>
        <w:fldChar w:fldCharType="separate"/>
      </w:r>
      <w:r>
        <w:t>32</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_Toc183423103 \h </w:instrText>
      </w:r>
      <w:r>
        <w:fldChar w:fldCharType="separate"/>
      </w:r>
      <w:r>
        <w:t>32</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_Toc183423104 \h </w:instrText>
      </w:r>
      <w:r>
        <w:fldChar w:fldCharType="separate"/>
      </w:r>
      <w:r>
        <w:t>33</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_Toc183423105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_Toc183423107 \h </w:instrText>
      </w:r>
      <w:r>
        <w:fldChar w:fldCharType="separate"/>
      </w:r>
      <w:r>
        <w:t>35</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_Toc183423108 \h </w:instrText>
      </w:r>
      <w:r>
        <w:fldChar w:fldCharType="separate"/>
      </w:r>
      <w:r>
        <w:t>35</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_Toc183423109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_Toc183423111 \h </w:instrText>
      </w:r>
      <w:r>
        <w:fldChar w:fldCharType="separate"/>
      </w:r>
      <w:r>
        <w:t>37</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_Toc183423112 \h </w:instrText>
      </w:r>
      <w:r>
        <w:fldChar w:fldCharType="separate"/>
      </w:r>
      <w:r>
        <w:t>37</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_Toc183423113 \h </w:instrText>
      </w:r>
      <w:r>
        <w:fldChar w:fldCharType="separate"/>
      </w:r>
      <w:r>
        <w:t>38</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_Toc183423114 \h </w:instrText>
      </w:r>
      <w:r>
        <w:fldChar w:fldCharType="separate"/>
      </w:r>
      <w:r>
        <w:t>39</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_Toc183423115 \h </w:instrText>
      </w:r>
      <w:r>
        <w:fldChar w:fldCharType="separate"/>
      </w:r>
      <w:r>
        <w:t>40</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_Toc183423116 \h </w:instrText>
      </w:r>
      <w:r>
        <w:fldChar w:fldCharType="separate"/>
      </w:r>
      <w:r>
        <w:t>41</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_Toc183423117 \h </w:instrText>
      </w:r>
      <w:r>
        <w:fldChar w:fldCharType="separate"/>
      </w:r>
      <w:r>
        <w:t>41</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_Toc183423118 \h </w:instrText>
      </w:r>
      <w:r>
        <w:fldChar w:fldCharType="separate"/>
      </w:r>
      <w:r>
        <w:t>42</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_Toc183423119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_Toc183423122 \h </w:instrText>
      </w:r>
      <w:r>
        <w:fldChar w:fldCharType="separate"/>
      </w:r>
      <w:r>
        <w:t>43</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_Toc183423123 \h </w:instrText>
      </w:r>
      <w:r>
        <w:fldChar w:fldCharType="separate"/>
      </w:r>
      <w:r>
        <w:t>43</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_Toc183423124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_Toc183423126 \h </w:instrText>
      </w:r>
      <w:r>
        <w:fldChar w:fldCharType="separate"/>
      </w:r>
      <w:r>
        <w:t>44</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_Toc183423127 \h </w:instrText>
      </w:r>
      <w:r>
        <w:fldChar w:fldCharType="separate"/>
      </w:r>
      <w:r>
        <w:t>45</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_Toc183423128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_Toc183423130 \h </w:instrText>
      </w:r>
      <w:r>
        <w:fldChar w:fldCharType="separate"/>
      </w:r>
      <w:r>
        <w:t>46</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_Toc183423131 \h </w:instrText>
      </w:r>
      <w:r>
        <w:fldChar w:fldCharType="separate"/>
      </w:r>
      <w:r>
        <w:t>47</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_Toc183423132 \h </w:instrText>
      </w:r>
      <w:r>
        <w:fldChar w:fldCharType="separate"/>
      </w:r>
      <w:r>
        <w:t>48</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_Toc183423133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_Toc183423135 \h </w:instrText>
      </w:r>
      <w:r>
        <w:fldChar w:fldCharType="separate"/>
      </w:r>
      <w:r>
        <w:t>50</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_Toc183423136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Provisional and subsequent damages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15AA.</w:t>
      </w:r>
      <w:r>
        <w:tab/>
        <w:t>Terms used</w:t>
      </w:r>
      <w:r>
        <w:tab/>
      </w:r>
      <w:r>
        <w:fldChar w:fldCharType="begin"/>
      </w:r>
      <w:r>
        <w:instrText xml:space="preserve"> PAGEREF _Toc183423139 \h </w:instrText>
      </w:r>
      <w:r>
        <w:fldChar w:fldCharType="separate"/>
      </w:r>
      <w:r>
        <w:t>51</w:t>
      </w:r>
      <w:r>
        <w:fldChar w:fldCharType="end"/>
      </w:r>
    </w:p>
    <w:p>
      <w:pPr>
        <w:pStyle w:val="TOC8"/>
        <w:rPr>
          <w:rFonts w:asciiTheme="minorHAnsi" w:eastAsiaTheme="minorEastAsia" w:hAnsiTheme="minorHAnsi" w:cstheme="minorBidi"/>
          <w:szCs w:val="22"/>
        </w:rPr>
      </w:pPr>
      <w:r>
        <w:t>15AB.</w:t>
      </w:r>
      <w:r>
        <w:tab/>
        <w:t>Dust disease</w:t>
      </w:r>
      <w:r>
        <w:tab/>
      </w:r>
      <w:r>
        <w:fldChar w:fldCharType="begin"/>
      </w:r>
      <w:r>
        <w:instrText xml:space="preserve"> PAGEREF _Toc183423140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Provisional damages</w:t>
      </w:r>
    </w:p>
    <w:p>
      <w:pPr>
        <w:pStyle w:val="TOC8"/>
        <w:rPr>
          <w:rFonts w:asciiTheme="minorHAnsi" w:eastAsiaTheme="minorEastAsia" w:hAnsiTheme="minorHAnsi" w:cstheme="minorBidi"/>
          <w:szCs w:val="22"/>
        </w:rPr>
      </w:pPr>
      <w:r>
        <w:t>15AC.</w:t>
      </w:r>
      <w:r>
        <w:tab/>
        <w:t>Award of provisional damages</w:t>
      </w:r>
      <w:r>
        <w:tab/>
      </w:r>
      <w:r>
        <w:fldChar w:fldCharType="begin"/>
      </w:r>
      <w:r>
        <w:instrText xml:space="preserve"> PAGEREF _Toc183423142 \h </w:instrText>
      </w:r>
      <w:r>
        <w:fldChar w:fldCharType="separate"/>
      </w:r>
      <w:r>
        <w:t>52</w:t>
      </w:r>
      <w:r>
        <w:fldChar w:fldCharType="end"/>
      </w:r>
    </w:p>
    <w:p>
      <w:pPr>
        <w:pStyle w:val="TOC8"/>
        <w:rPr>
          <w:rFonts w:asciiTheme="minorHAnsi" w:eastAsiaTheme="minorEastAsia" w:hAnsiTheme="minorHAnsi" w:cstheme="minorBidi"/>
          <w:szCs w:val="22"/>
        </w:rPr>
      </w:pPr>
      <w:r>
        <w:t>15AD.</w:t>
      </w:r>
      <w:r>
        <w:tab/>
        <w:t>Amount of provisional damages</w:t>
      </w:r>
      <w:r>
        <w:tab/>
      </w:r>
      <w:r>
        <w:fldChar w:fldCharType="begin"/>
      </w:r>
      <w:r>
        <w:instrText xml:space="preserve"> PAGEREF _Toc183423143 \h </w:instrText>
      </w:r>
      <w:r>
        <w:fldChar w:fldCharType="separate"/>
      </w:r>
      <w:r>
        <w:t>53</w:t>
      </w:r>
      <w:r>
        <w:fldChar w:fldCharType="end"/>
      </w:r>
    </w:p>
    <w:p>
      <w:pPr>
        <w:pStyle w:val="TOC8"/>
        <w:rPr>
          <w:rFonts w:asciiTheme="minorHAnsi" w:eastAsiaTheme="minorEastAsia" w:hAnsiTheme="minorHAnsi" w:cstheme="minorBidi"/>
          <w:szCs w:val="22"/>
        </w:rPr>
      </w:pPr>
      <w:r>
        <w:t>15AE.</w:t>
      </w:r>
      <w:r>
        <w:tab/>
        <w:t>Settlement agreement in initial action</w:t>
      </w:r>
      <w:r>
        <w:tab/>
      </w:r>
      <w:r>
        <w:fldChar w:fldCharType="begin"/>
      </w:r>
      <w:r>
        <w:instrText xml:space="preserve"> PAGEREF _Toc183423144 \h </w:instrText>
      </w:r>
      <w:r>
        <w:fldChar w:fldCharType="separate"/>
      </w:r>
      <w:r>
        <w:t>53</w:t>
      </w:r>
      <w:r>
        <w:fldChar w:fldCharType="end"/>
      </w:r>
    </w:p>
    <w:p>
      <w:pPr>
        <w:pStyle w:val="TOC8"/>
        <w:rPr>
          <w:rFonts w:asciiTheme="minorHAnsi" w:eastAsiaTheme="minorEastAsia" w:hAnsiTheme="minorHAnsi" w:cstheme="minorBidi"/>
          <w:szCs w:val="22"/>
        </w:rPr>
      </w:pPr>
      <w:r>
        <w:t>15AF.</w:t>
      </w:r>
      <w:r>
        <w:tab/>
        <w:t>Consequence of settlement in initial action</w:t>
      </w:r>
      <w:r>
        <w:tab/>
      </w:r>
      <w:r>
        <w:fldChar w:fldCharType="begin"/>
      </w:r>
      <w:r>
        <w:instrText xml:space="preserve"> PAGEREF _Toc183423145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Subsequent damages</w:t>
      </w:r>
    </w:p>
    <w:p>
      <w:pPr>
        <w:pStyle w:val="TOC8"/>
        <w:rPr>
          <w:rFonts w:asciiTheme="minorHAnsi" w:eastAsiaTheme="minorEastAsia" w:hAnsiTheme="minorHAnsi" w:cstheme="minorBidi"/>
          <w:szCs w:val="22"/>
        </w:rPr>
      </w:pPr>
      <w:r>
        <w:t>15AG.</w:t>
      </w:r>
      <w:r>
        <w:tab/>
        <w:t>Award of subsequent damages</w:t>
      </w:r>
      <w:r>
        <w:tab/>
      </w:r>
      <w:r>
        <w:fldChar w:fldCharType="begin"/>
      </w:r>
      <w:r>
        <w:instrText xml:space="preserve"> PAGEREF _Toc183423147 \h </w:instrText>
      </w:r>
      <w:r>
        <w:fldChar w:fldCharType="separate"/>
      </w:r>
      <w:r>
        <w:t>54</w:t>
      </w:r>
      <w:r>
        <w:fldChar w:fldCharType="end"/>
      </w:r>
    </w:p>
    <w:p>
      <w:pPr>
        <w:pStyle w:val="TOC8"/>
        <w:rPr>
          <w:rFonts w:asciiTheme="minorHAnsi" w:eastAsiaTheme="minorEastAsia" w:hAnsiTheme="minorHAnsi" w:cstheme="minorBidi"/>
          <w:szCs w:val="22"/>
        </w:rPr>
      </w:pPr>
      <w:r>
        <w:t>15AH.</w:t>
      </w:r>
      <w:r>
        <w:tab/>
        <w:t>Court must give effect to terms of settlement agreements</w:t>
      </w:r>
      <w:r>
        <w:tab/>
      </w:r>
      <w:r>
        <w:fldChar w:fldCharType="begin"/>
      </w:r>
      <w:r>
        <w:instrText xml:space="preserve"> PAGEREF _Toc183423148 \h </w:instrText>
      </w:r>
      <w:r>
        <w:fldChar w:fldCharType="separate"/>
      </w:r>
      <w:r>
        <w:t>55</w:t>
      </w:r>
      <w:r>
        <w:fldChar w:fldCharType="end"/>
      </w:r>
    </w:p>
    <w:p>
      <w:pPr>
        <w:pStyle w:val="TOC8"/>
        <w:rPr>
          <w:rFonts w:asciiTheme="minorHAnsi" w:eastAsiaTheme="minorEastAsia" w:hAnsiTheme="minorHAnsi" w:cstheme="minorBidi"/>
          <w:szCs w:val="22"/>
        </w:rPr>
      </w:pPr>
      <w:r>
        <w:t>15AI.</w:t>
      </w:r>
      <w:r>
        <w:tab/>
        <w:t>Evidence to apply in subsequent actions</w:t>
      </w:r>
      <w:r>
        <w:tab/>
      </w:r>
      <w:r>
        <w:fldChar w:fldCharType="begin"/>
      </w:r>
      <w:r>
        <w:instrText xml:space="preserve"> PAGEREF _Toc183423149 \h </w:instrText>
      </w:r>
      <w:r>
        <w:fldChar w:fldCharType="separate"/>
      </w:r>
      <w:r>
        <w:t>56</w:t>
      </w:r>
      <w:r>
        <w:fldChar w:fldCharType="end"/>
      </w:r>
    </w:p>
    <w:p>
      <w:pPr>
        <w:pStyle w:val="TOC8"/>
        <w:rPr>
          <w:rFonts w:asciiTheme="minorHAnsi" w:eastAsiaTheme="minorEastAsia" w:hAnsiTheme="minorHAnsi" w:cstheme="minorBidi"/>
          <w:szCs w:val="22"/>
        </w:rPr>
      </w:pPr>
      <w:r>
        <w:t>15AJ.</w:t>
      </w:r>
      <w:r>
        <w:tab/>
        <w:t>One award of subsequent damages for each subsequent dust disease</w:t>
      </w:r>
      <w:r>
        <w:tab/>
      </w:r>
      <w:r>
        <w:fldChar w:fldCharType="begin"/>
      </w:r>
      <w:r>
        <w:instrText xml:space="preserve"> PAGEREF _Toc183423150 \h </w:instrText>
      </w:r>
      <w:r>
        <w:fldChar w:fldCharType="separate"/>
      </w:r>
      <w:r>
        <w:t>57</w:t>
      </w:r>
      <w:r>
        <w:fldChar w:fldCharType="end"/>
      </w:r>
    </w:p>
    <w:p>
      <w:pPr>
        <w:pStyle w:val="TOC8"/>
        <w:rPr>
          <w:rFonts w:asciiTheme="minorHAnsi" w:eastAsiaTheme="minorEastAsia" w:hAnsiTheme="minorHAnsi" w:cstheme="minorBidi"/>
          <w:szCs w:val="22"/>
        </w:rPr>
      </w:pPr>
      <w:r>
        <w:t>15AK.</w:t>
      </w:r>
      <w:r>
        <w:tab/>
        <w:t>Amount of subsequent damages</w:t>
      </w:r>
      <w:r>
        <w:tab/>
      </w:r>
      <w:r>
        <w:fldChar w:fldCharType="begin"/>
      </w:r>
      <w:r>
        <w:instrText xml:space="preserve"> PAGEREF _Toc183423151 \h </w:instrText>
      </w:r>
      <w:r>
        <w:fldChar w:fldCharType="separate"/>
      </w:r>
      <w:r>
        <w:t>57</w:t>
      </w:r>
      <w:r>
        <w:fldChar w:fldCharType="end"/>
      </w:r>
    </w:p>
    <w:p>
      <w:pPr>
        <w:pStyle w:val="TOC8"/>
        <w:rPr>
          <w:rFonts w:asciiTheme="minorHAnsi" w:eastAsiaTheme="minorEastAsia" w:hAnsiTheme="minorHAnsi" w:cstheme="minorBidi"/>
          <w:szCs w:val="22"/>
        </w:rPr>
      </w:pPr>
      <w:r>
        <w:t>15AL.</w:t>
      </w:r>
      <w:r>
        <w:tab/>
        <w:t>Settlement agreement in subsequent action</w:t>
      </w:r>
      <w:r>
        <w:tab/>
      </w:r>
      <w:r>
        <w:fldChar w:fldCharType="begin"/>
      </w:r>
      <w:r>
        <w:instrText xml:space="preserve"> PAGEREF _Toc183423152 \h </w:instrText>
      </w:r>
      <w:r>
        <w:fldChar w:fldCharType="separate"/>
      </w:r>
      <w:r>
        <w:t>57</w:t>
      </w:r>
      <w:r>
        <w:fldChar w:fldCharType="end"/>
      </w:r>
    </w:p>
    <w:p>
      <w:pPr>
        <w:pStyle w:val="TOC8"/>
        <w:rPr>
          <w:rFonts w:asciiTheme="minorHAnsi" w:eastAsiaTheme="minorEastAsia" w:hAnsiTheme="minorHAnsi" w:cstheme="minorBidi"/>
          <w:szCs w:val="22"/>
        </w:rPr>
      </w:pPr>
      <w:r>
        <w:t>15AM.</w:t>
      </w:r>
      <w:r>
        <w:tab/>
        <w:t>Consequence of settlement in subsequent action</w:t>
      </w:r>
      <w:r>
        <w:tab/>
      </w:r>
      <w:r>
        <w:fldChar w:fldCharType="begin"/>
      </w:r>
      <w:r>
        <w:instrText xml:space="preserve"> PAGEREF _Toc183423153 \h </w:instrText>
      </w:r>
      <w:r>
        <w:fldChar w:fldCharType="separate"/>
      </w:r>
      <w:r>
        <w:t>58</w:t>
      </w:r>
      <w:r>
        <w:fldChar w:fldCharType="end"/>
      </w:r>
    </w:p>
    <w:p>
      <w:pPr>
        <w:pStyle w:val="TOC8"/>
        <w:rPr>
          <w:rFonts w:asciiTheme="minorHAnsi" w:eastAsiaTheme="minorEastAsia" w:hAnsiTheme="minorHAnsi" w:cstheme="minorBidi"/>
          <w:szCs w:val="22"/>
        </w:rPr>
      </w:pPr>
      <w:r>
        <w:t>15AN.</w:t>
      </w:r>
      <w:r>
        <w:tab/>
        <w:t>Costs</w:t>
      </w:r>
      <w:r>
        <w:tab/>
      </w:r>
      <w:r>
        <w:fldChar w:fldCharType="begin"/>
      </w:r>
      <w:r>
        <w:instrText xml:space="preserve"> PAGEREF _Toc183423154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Transitional provisions</w:t>
      </w:r>
    </w:p>
    <w:p>
      <w:pPr>
        <w:pStyle w:val="TOC8"/>
        <w:rPr>
          <w:rFonts w:asciiTheme="minorHAnsi" w:eastAsiaTheme="minorEastAsia" w:hAnsiTheme="minorHAnsi" w:cstheme="minorBidi"/>
          <w:szCs w:val="22"/>
        </w:rPr>
      </w:pPr>
      <w:r>
        <w:t>15AO.</w:t>
      </w:r>
      <w:r>
        <w:tab/>
        <w:t>Transitional provision</w:t>
      </w:r>
      <w:r>
        <w:tab/>
      </w:r>
      <w:r>
        <w:fldChar w:fldCharType="begin"/>
      </w:r>
      <w:r>
        <w:instrText xml:space="preserve"> PAGEREF _Toc183423156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_Toc183423159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_Toc183423161 \h </w:instrText>
      </w:r>
      <w:r>
        <w:fldChar w:fldCharType="separate"/>
      </w:r>
      <w:r>
        <w:t>61</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_Toc183423162 \h </w:instrText>
      </w:r>
      <w:r>
        <w:fldChar w:fldCharType="separate"/>
      </w:r>
      <w:r>
        <w:t>62</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_Toc183423163 \h </w:instrText>
      </w:r>
      <w:r>
        <w:fldChar w:fldCharType="separate"/>
      </w:r>
      <w:r>
        <w:t>63</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_Toc183423164 \h </w:instrText>
      </w:r>
      <w:r>
        <w:fldChar w:fldCharType="separate"/>
      </w:r>
      <w:r>
        <w:t>64</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_Toc183423165 \h </w:instrText>
      </w:r>
      <w:r>
        <w:fldChar w:fldCharType="separate"/>
      </w:r>
      <w:r>
        <w:t>65</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_Toc183423166 \h </w:instrText>
      </w:r>
      <w:r>
        <w:fldChar w:fldCharType="separate"/>
      </w:r>
      <w:r>
        <w:t>66</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_Toc183423167 \h </w:instrText>
      </w:r>
      <w:r>
        <w:fldChar w:fldCharType="separate"/>
      </w:r>
      <w:r>
        <w:t>68</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_Toc183423168 \h </w:instrText>
      </w:r>
      <w:r>
        <w:fldChar w:fldCharType="separate"/>
      </w:r>
      <w:r>
        <w:t>68</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_Toc183423169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_Toc183423171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_Toc183423173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_Toc183423175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_Toc183423177 \h </w:instrText>
      </w:r>
      <w:r>
        <w:fldChar w:fldCharType="separate"/>
      </w:r>
      <w:r>
        <w:t>72</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_Toc183423178 \h </w:instrText>
      </w:r>
      <w:r>
        <w:fldChar w:fldCharType="separate"/>
      </w:r>
      <w:r>
        <w:t>73</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_Toc183423179 \h </w:instrText>
      </w:r>
      <w:r>
        <w:fldChar w:fldCharType="separate"/>
      </w:r>
      <w:r>
        <w:t>75</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_Toc183423180 \h </w:instrText>
      </w:r>
      <w:r>
        <w:fldChar w:fldCharType="separate"/>
      </w:r>
      <w:r>
        <w:t>76</w:t>
      </w:r>
      <w:r>
        <w:fldChar w:fldCharType="end"/>
      </w:r>
    </w:p>
    <w:p>
      <w:pPr>
        <w:pStyle w:val="TOC8"/>
        <w:rPr>
          <w:rFonts w:asciiTheme="minorHAnsi" w:eastAsiaTheme="minorEastAsia" w:hAnsiTheme="minorHAnsi" w:cstheme="minorBidi"/>
          <w:szCs w:val="22"/>
        </w:rPr>
      </w:pPr>
      <w:r>
        <w:lastRenderedPageBreak/>
        <w:t>20.</w:t>
      </w:r>
      <w:r>
        <w:tab/>
        <w:t>Prohibition against paying, or seeking payment, for touting</w:t>
      </w:r>
      <w:r>
        <w:tab/>
      </w:r>
      <w:r>
        <w:fldChar w:fldCharType="begin"/>
      </w:r>
      <w:r>
        <w:instrText xml:space="preserve"> PAGEREF _Toc183423181 \h </w:instrText>
      </w:r>
      <w:r>
        <w:fldChar w:fldCharType="separate"/>
      </w:r>
      <w:r>
        <w:t>79</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_Toc183423182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_Toc183423184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_Toc183423186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2" w:name="_Toc183180455"/>
      <w:bookmarkStart w:id="3" w:name="_Toc183182123"/>
      <w:bookmarkStart w:id="4" w:name="_Toc183182262"/>
      <w:bookmarkStart w:id="5" w:name="_Toc18342304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8342305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7" w:name="_Toc183423051"/>
      <w:r>
        <w:rPr>
          <w:snapToGrid w:val="0"/>
        </w:rPr>
        <w:t>2.</w:t>
      </w:r>
      <w:r>
        <w:rPr>
          <w:snapToGrid w:val="0"/>
        </w:rPr>
        <w:tab/>
        <w:t>Commencement</w:t>
      </w:r>
      <w:bookmarkEnd w:id="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8" w:name="_Toc183423052"/>
      <w:r>
        <w:rPr>
          <w:rStyle w:val="CharSectno"/>
        </w:rPr>
        <w:t>3</w:t>
      </w:r>
      <w:r>
        <w:t>.</w:t>
      </w:r>
      <w:r>
        <w:tab/>
      </w:r>
      <w:r>
        <w:rPr>
          <w:snapToGrid w:val="0"/>
        </w:rPr>
        <w:t>Terms used</w:t>
      </w:r>
      <w:bookmarkEnd w:id="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9" w:name="_Toc183423053"/>
      <w:r>
        <w:rPr>
          <w:rStyle w:val="CharSectno"/>
        </w:rPr>
        <w:lastRenderedPageBreak/>
        <w:t>3A</w:t>
      </w:r>
      <w:r>
        <w:t>.</w:t>
      </w:r>
      <w:r>
        <w:tab/>
      </w:r>
      <w:r>
        <w:rPr>
          <w:snapToGrid w:val="0"/>
        </w:rPr>
        <w:t>Damages excluded</w:t>
      </w:r>
      <w:r>
        <w:t xml:space="preserve"> from Act</w:t>
      </w:r>
      <w:bookmarkEnd w:id="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 xml:space="preserve">Parts 1A, 1B, 1C, 1D, 1E and 2 (other than section 10A and </w:t>
            </w:r>
            <w:r>
              <w:t>Divisions 4 and 5).</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 xml:space="preserve">Parts 1A (other than sections 5A, 5B, 5C and 5D), 1B, 1D, 1E and 2 (other than </w:t>
            </w:r>
            <w:r>
              <w:lastRenderedPageBreak/>
              <w:t>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rPr>
                <w:szCs w:val="22"/>
              </w:rPr>
              <w:t>6.</w:t>
            </w:r>
          </w:p>
        </w:tc>
        <w:tc>
          <w:tcPr>
            <w:tcW w:w="4196" w:type="dxa"/>
            <w:tcBorders>
              <w:top w:val="nil"/>
              <w:left w:val="nil"/>
              <w:bottom w:val="single" w:sz="4" w:space="0" w:color="auto"/>
              <w:right w:val="nil"/>
            </w:tcBorders>
          </w:tcPr>
          <w:p>
            <w:pPr>
              <w:pStyle w:val="Table"/>
            </w:pPr>
            <w:r>
              <w:rPr>
                <w:szCs w:val="22"/>
              </w:rPr>
              <w:t>Damages relating to personal injury that resulted from the inhalation of asbestos or silica.</w:t>
            </w:r>
          </w:p>
        </w:tc>
        <w:tc>
          <w:tcPr>
            <w:tcW w:w="1758" w:type="dxa"/>
            <w:tcBorders>
              <w:top w:val="nil"/>
              <w:left w:val="nil"/>
              <w:bottom w:val="single" w:sz="4" w:space="0" w:color="auto"/>
              <w:right w:val="nil"/>
            </w:tcBorders>
          </w:tcPr>
          <w:p>
            <w:pPr>
              <w:pStyle w:val="Table"/>
            </w:pPr>
            <w:r>
              <w:rPr>
                <w:szCs w:val="22"/>
              </w:rPr>
              <w:t>Parts 1A (other than sections 5A, 5B, 5C and 5D), 1B, 1D, 1E and 2 (other than section 10A and Divisions 4 and 5).</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 No. 32 of 2024 s. 4.]</w:t>
      </w:r>
    </w:p>
    <w:p>
      <w:pPr>
        <w:pStyle w:val="Heading5"/>
      </w:pPr>
      <w:bookmarkStart w:id="10" w:name="_Toc183423054"/>
      <w:r>
        <w:rPr>
          <w:rStyle w:val="CharSectno"/>
        </w:rPr>
        <w:t>4</w:t>
      </w:r>
      <w:r>
        <w:t>.</w:t>
      </w:r>
      <w:r>
        <w:tab/>
        <w:t>Varying amounts to reflect award rate changes</w:t>
      </w:r>
      <w:bookmarkEnd w:id="10"/>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keepNext/>
        <w:ind w:right="709"/>
      </w:pPr>
      <w:r>
        <w:lastRenderedPageBreak/>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1" w:name="_Toc183423055"/>
      <w:r>
        <w:rPr>
          <w:rStyle w:val="CharSectno"/>
        </w:rPr>
        <w:t>4A</w:t>
      </w:r>
      <w:r>
        <w:t>.</w:t>
      </w:r>
      <w:r>
        <w:tab/>
      </w:r>
      <w:r>
        <w:rPr>
          <w:snapToGrid w:val="0"/>
        </w:rPr>
        <w:t>Lim</w:t>
      </w:r>
      <w:r>
        <w:t>ited contracting out</w:t>
      </w:r>
      <w:bookmarkEnd w:id="11"/>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keepNext/>
      </w:pPr>
      <w:r>
        <w:lastRenderedPageBreak/>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2" w:name="_Toc183423056"/>
      <w:r>
        <w:rPr>
          <w:rStyle w:val="CharSectno"/>
        </w:rPr>
        <w:t>5</w:t>
      </w:r>
      <w:r>
        <w:t>.</w:t>
      </w:r>
      <w:r>
        <w:tab/>
        <w:t>Act bi</w:t>
      </w:r>
      <w:r>
        <w:rPr>
          <w:snapToGrid w:val="0"/>
        </w:rPr>
        <w:t xml:space="preserve">nds </w:t>
      </w:r>
      <w:r>
        <w:t>Crown</w:t>
      </w:r>
      <w:bookmarkEnd w:id="12"/>
    </w:p>
    <w:p>
      <w:pPr>
        <w:pStyle w:val="Subsection"/>
      </w:pPr>
      <w:r>
        <w:tab/>
      </w:r>
      <w:r>
        <w:tab/>
        <w:t>This Act binds the Crown in right of the State and, in so far as the legislative power of Parliament permits, the Crown in all its other capacities.</w:t>
      </w:r>
    </w:p>
    <w:p>
      <w:pPr>
        <w:pStyle w:val="Heading2"/>
      </w:pPr>
      <w:bookmarkStart w:id="13" w:name="_Toc183180463"/>
      <w:bookmarkStart w:id="14" w:name="_Toc183182131"/>
      <w:bookmarkStart w:id="15" w:name="_Toc183182270"/>
      <w:bookmarkStart w:id="16" w:name="_Toc183423057"/>
      <w:r>
        <w:rPr>
          <w:rStyle w:val="CharPartNo"/>
        </w:rPr>
        <w:lastRenderedPageBreak/>
        <w:t>Part 1A</w:t>
      </w:r>
      <w:r>
        <w:rPr>
          <w:b w:val="0"/>
        </w:rPr>
        <w:t> </w:t>
      </w:r>
      <w:r>
        <w:t>—</w:t>
      </w:r>
      <w:r>
        <w:rPr>
          <w:b w:val="0"/>
        </w:rPr>
        <w:t> </w:t>
      </w:r>
      <w:r>
        <w:rPr>
          <w:rStyle w:val="CharPartText"/>
        </w:rPr>
        <w:t>Liability for harm caused by the fault of a person</w:t>
      </w:r>
      <w:bookmarkEnd w:id="13"/>
      <w:bookmarkEnd w:id="14"/>
      <w:bookmarkEnd w:id="15"/>
      <w:bookmarkEnd w:id="16"/>
    </w:p>
    <w:p>
      <w:pPr>
        <w:pStyle w:val="Footnoteheading"/>
      </w:pPr>
      <w:r>
        <w:tab/>
        <w:t>[Heading inserted: No. 58 of 2003 s. 8.]</w:t>
      </w:r>
    </w:p>
    <w:p>
      <w:pPr>
        <w:pStyle w:val="Heading3"/>
      </w:pPr>
      <w:bookmarkStart w:id="17" w:name="_Toc183180464"/>
      <w:bookmarkStart w:id="18" w:name="_Toc183182132"/>
      <w:bookmarkStart w:id="19" w:name="_Toc183182271"/>
      <w:bookmarkStart w:id="20" w:name="_Toc183423058"/>
      <w:r>
        <w:rPr>
          <w:rStyle w:val="CharDivNo"/>
        </w:rPr>
        <w:t>Division 1</w:t>
      </w:r>
      <w:r>
        <w:t> — </w:t>
      </w:r>
      <w:r>
        <w:rPr>
          <w:rStyle w:val="CharDivText"/>
        </w:rPr>
        <w:t>Preliminary</w:t>
      </w:r>
      <w:bookmarkEnd w:id="17"/>
      <w:bookmarkEnd w:id="18"/>
      <w:bookmarkEnd w:id="19"/>
      <w:bookmarkEnd w:id="20"/>
    </w:p>
    <w:p>
      <w:pPr>
        <w:pStyle w:val="Footnoteheading"/>
      </w:pPr>
      <w:r>
        <w:tab/>
        <w:t>[Heading inserted: No. 58 of 2003 s. 8.]</w:t>
      </w:r>
    </w:p>
    <w:p>
      <w:pPr>
        <w:pStyle w:val="Heading5"/>
      </w:pPr>
      <w:bookmarkStart w:id="21" w:name="_Toc183423059"/>
      <w:r>
        <w:rPr>
          <w:rStyle w:val="CharSectno"/>
        </w:rPr>
        <w:t>5A</w:t>
      </w:r>
      <w:r>
        <w:t>.</w:t>
      </w:r>
      <w:r>
        <w:tab/>
        <w:t>Application of Part</w:t>
      </w:r>
      <w:bookmarkEnd w:id="2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lastRenderedPageBreak/>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22" w:name="_Toc183180466"/>
      <w:bookmarkStart w:id="23" w:name="_Toc183182134"/>
      <w:bookmarkStart w:id="24" w:name="_Toc183182273"/>
      <w:bookmarkStart w:id="25" w:name="_Toc183423060"/>
      <w:r>
        <w:rPr>
          <w:rStyle w:val="CharDivNo"/>
        </w:rPr>
        <w:t>Division 2</w:t>
      </w:r>
      <w:r>
        <w:t> — </w:t>
      </w:r>
      <w:r>
        <w:rPr>
          <w:rStyle w:val="CharDivText"/>
        </w:rPr>
        <w:t>Duty of care</w:t>
      </w:r>
      <w:bookmarkEnd w:id="22"/>
      <w:bookmarkEnd w:id="23"/>
      <w:bookmarkEnd w:id="24"/>
      <w:bookmarkEnd w:id="25"/>
    </w:p>
    <w:p>
      <w:pPr>
        <w:pStyle w:val="Footnoteheading"/>
      </w:pPr>
      <w:r>
        <w:tab/>
        <w:t>[Heading inserted: No. 58 of 2003 s. 8.]</w:t>
      </w:r>
    </w:p>
    <w:p>
      <w:pPr>
        <w:pStyle w:val="Heading5"/>
      </w:pPr>
      <w:bookmarkStart w:id="26" w:name="_Toc183423061"/>
      <w:r>
        <w:rPr>
          <w:rStyle w:val="CharSectno"/>
        </w:rPr>
        <w:t>5B</w:t>
      </w:r>
      <w:r>
        <w:t>.</w:t>
      </w:r>
      <w:r>
        <w:tab/>
        <w:t>General principles</w:t>
      </w:r>
      <w:bookmarkEnd w:id="2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27" w:name="_Toc183180468"/>
      <w:bookmarkStart w:id="28" w:name="_Toc183182136"/>
      <w:bookmarkStart w:id="29" w:name="_Toc183182275"/>
      <w:bookmarkStart w:id="30" w:name="_Toc183423062"/>
      <w:r>
        <w:rPr>
          <w:rStyle w:val="CharDivNo"/>
        </w:rPr>
        <w:lastRenderedPageBreak/>
        <w:t>Division 3</w:t>
      </w:r>
      <w:r>
        <w:t> — </w:t>
      </w:r>
      <w:r>
        <w:rPr>
          <w:rStyle w:val="CharDivText"/>
        </w:rPr>
        <w:t>Causation</w:t>
      </w:r>
      <w:bookmarkEnd w:id="27"/>
      <w:bookmarkEnd w:id="28"/>
      <w:bookmarkEnd w:id="29"/>
      <w:bookmarkEnd w:id="30"/>
    </w:p>
    <w:p>
      <w:pPr>
        <w:pStyle w:val="Footnoteheading"/>
        <w:keepNext/>
        <w:keepLines/>
      </w:pPr>
      <w:r>
        <w:tab/>
        <w:t>[Heading inserted: No. 58 of 2003 s. 8.]</w:t>
      </w:r>
    </w:p>
    <w:p>
      <w:pPr>
        <w:pStyle w:val="Heading5"/>
        <w:spacing w:before="240"/>
      </w:pPr>
      <w:bookmarkStart w:id="31" w:name="_Toc183423063"/>
      <w:r>
        <w:rPr>
          <w:rStyle w:val="CharSectno"/>
        </w:rPr>
        <w:t>5C</w:t>
      </w:r>
      <w:r>
        <w:t>.</w:t>
      </w:r>
      <w:r>
        <w:tab/>
        <w:t>General principles</w:t>
      </w:r>
      <w:bookmarkEnd w:id="31"/>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pPr>
        <w:pStyle w:val="Footnotesection"/>
      </w:pPr>
      <w:r>
        <w:tab/>
        <w:t>[Section 5C inserted: No. 58 of 2003 s. 8.]</w:t>
      </w:r>
    </w:p>
    <w:p>
      <w:pPr>
        <w:pStyle w:val="Heading5"/>
      </w:pPr>
      <w:bookmarkStart w:id="32" w:name="_Toc183423064"/>
      <w:r>
        <w:rPr>
          <w:rStyle w:val="CharSectno"/>
        </w:rPr>
        <w:t>5D</w:t>
      </w:r>
      <w:r>
        <w:t>.</w:t>
      </w:r>
      <w:r>
        <w:tab/>
        <w:t>Onus of proof</w:t>
      </w:r>
      <w:bookmarkEnd w:id="32"/>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33" w:name="_Toc183180471"/>
      <w:bookmarkStart w:id="34" w:name="_Toc183182139"/>
      <w:bookmarkStart w:id="35" w:name="_Toc183182278"/>
      <w:bookmarkStart w:id="36" w:name="_Toc183423065"/>
      <w:r>
        <w:rPr>
          <w:rStyle w:val="CharDivNo"/>
        </w:rPr>
        <w:t>Division 4</w:t>
      </w:r>
      <w:r>
        <w:t> — </w:t>
      </w:r>
      <w:r>
        <w:rPr>
          <w:rStyle w:val="CharDivText"/>
        </w:rPr>
        <w:t>Recreational activities</w:t>
      </w:r>
      <w:bookmarkEnd w:id="33"/>
      <w:bookmarkEnd w:id="34"/>
      <w:bookmarkEnd w:id="35"/>
      <w:bookmarkEnd w:id="36"/>
    </w:p>
    <w:p>
      <w:pPr>
        <w:pStyle w:val="Footnoteheading"/>
      </w:pPr>
      <w:r>
        <w:tab/>
        <w:t>[Heading inserted: No. 58 of 2003 s. 8.]</w:t>
      </w:r>
    </w:p>
    <w:p>
      <w:pPr>
        <w:pStyle w:val="Heading5"/>
      </w:pPr>
      <w:bookmarkStart w:id="37" w:name="_Toc183423066"/>
      <w:r>
        <w:rPr>
          <w:rStyle w:val="CharSectno"/>
        </w:rPr>
        <w:t>5E</w:t>
      </w:r>
      <w:r>
        <w:t>.</w:t>
      </w:r>
      <w:r>
        <w:tab/>
        <w:t>Terms used</w:t>
      </w:r>
      <w:bookmarkEnd w:id="37"/>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38" w:name="_Toc183423067"/>
      <w:r>
        <w:rPr>
          <w:rStyle w:val="CharSectno"/>
        </w:rPr>
        <w:lastRenderedPageBreak/>
        <w:t>5F</w:t>
      </w:r>
      <w:r>
        <w:t>.</w:t>
      </w:r>
      <w:r>
        <w:tab/>
        <w:t>Term used: obvious risk</w:t>
      </w:r>
      <w:bookmarkEnd w:id="3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39" w:name="_Toc183423068"/>
      <w:r>
        <w:rPr>
          <w:rStyle w:val="CharSectno"/>
        </w:rPr>
        <w:t>5G</w:t>
      </w:r>
      <w:r>
        <w:t>.</w:t>
      </w:r>
      <w:r>
        <w:tab/>
        <w:t>Application of Division</w:t>
      </w:r>
      <w:bookmarkEnd w:id="39"/>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40" w:name="_Toc183423069"/>
      <w:r>
        <w:rPr>
          <w:rStyle w:val="CharSectno"/>
        </w:rPr>
        <w:t>5H</w:t>
      </w:r>
      <w:r>
        <w:t>.</w:t>
      </w:r>
      <w:r>
        <w:tab/>
        <w:t>No liability for harm from obvious risks of dangerous recreational activities</w:t>
      </w:r>
      <w:bookmarkEnd w:id="40"/>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lastRenderedPageBreak/>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41" w:name="_Toc183423070"/>
      <w:r>
        <w:rPr>
          <w:rStyle w:val="CharSectno"/>
        </w:rPr>
        <w:t>5I</w:t>
      </w:r>
      <w:r>
        <w:t>.</w:t>
      </w:r>
      <w:r>
        <w:tab/>
        <w:t>No liability for recreational activity where risk warning</w:t>
      </w:r>
      <w:bookmarkEnd w:id="41"/>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lastRenderedPageBreak/>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 xml:space="preserve">A defendant is not entitled to rely on a risk warning if it is established (on the balance of probabilities) that the harm </w:t>
      </w:r>
      <w:r>
        <w:lastRenderedPageBreak/>
        <w:t>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42" w:name="_Toc183423071"/>
      <w:r>
        <w:rPr>
          <w:rStyle w:val="CharSectno"/>
        </w:rPr>
        <w:t>5J</w:t>
      </w:r>
      <w:r>
        <w:t>.</w:t>
      </w:r>
      <w:r>
        <w:tab/>
        <w:t>Waiver of contractual duty of care for recreational activities</w:t>
      </w:r>
      <w:bookmarkEnd w:id="4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lastRenderedPageBreak/>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43" w:name="_Toc183180478"/>
      <w:bookmarkStart w:id="44" w:name="_Toc183182146"/>
      <w:bookmarkStart w:id="45" w:name="_Toc183182285"/>
      <w:bookmarkStart w:id="46" w:name="_Toc183423072"/>
      <w:r>
        <w:rPr>
          <w:rStyle w:val="CharDivNo"/>
        </w:rPr>
        <w:t>Division 5</w:t>
      </w:r>
      <w:r>
        <w:t> — </w:t>
      </w:r>
      <w:r>
        <w:rPr>
          <w:rStyle w:val="CharDivText"/>
        </w:rPr>
        <w:t>Contributory negligence</w:t>
      </w:r>
      <w:bookmarkEnd w:id="43"/>
      <w:bookmarkEnd w:id="44"/>
      <w:bookmarkEnd w:id="45"/>
      <w:bookmarkEnd w:id="46"/>
    </w:p>
    <w:p>
      <w:pPr>
        <w:pStyle w:val="Footnoteheading"/>
      </w:pPr>
      <w:r>
        <w:tab/>
        <w:t>[Heading inserted: No. 58 of 2003 s. 8.]</w:t>
      </w:r>
    </w:p>
    <w:p>
      <w:pPr>
        <w:pStyle w:val="Heading5"/>
      </w:pPr>
      <w:bookmarkStart w:id="47" w:name="_Toc183423073"/>
      <w:r>
        <w:rPr>
          <w:rStyle w:val="CharSectno"/>
        </w:rPr>
        <w:t>5K</w:t>
      </w:r>
      <w:r>
        <w:t>.</w:t>
      </w:r>
      <w:r>
        <w:tab/>
        <w:t>Standard of contributory negligence</w:t>
      </w:r>
      <w:bookmarkEnd w:id="47"/>
    </w:p>
    <w:p>
      <w:pPr>
        <w:pStyle w:val="Subsection"/>
      </w:pPr>
      <w:r>
        <w:tab/>
        <w:t>(1)</w:t>
      </w:r>
      <w:r>
        <w:tab/>
        <w:t xml:space="preserve">The principles that are applicable in determining whether a person is liable for harm caused by the fault of the person also apply in determining whether the person who suffered harm has </w:t>
      </w:r>
      <w:r>
        <w:lastRenderedPageBreak/>
        <w:t>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48" w:name="_Toc183423074"/>
      <w:r>
        <w:rPr>
          <w:rStyle w:val="CharSectno"/>
        </w:rPr>
        <w:t>5L</w:t>
      </w:r>
      <w:r>
        <w:t>.</w:t>
      </w:r>
      <w:r>
        <w:tab/>
        <w:t>Presumption if person who suffers harm is intoxicated</w:t>
      </w:r>
      <w:bookmarkEnd w:id="4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49" w:name="_Toc183180481"/>
      <w:bookmarkStart w:id="50" w:name="_Toc183182149"/>
      <w:bookmarkStart w:id="51" w:name="_Toc183182288"/>
      <w:bookmarkStart w:id="52" w:name="_Toc183423075"/>
      <w:r>
        <w:rPr>
          <w:rStyle w:val="CharDivNo"/>
        </w:rPr>
        <w:lastRenderedPageBreak/>
        <w:t>Division 6</w:t>
      </w:r>
      <w:r>
        <w:t xml:space="preserve"> — </w:t>
      </w:r>
      <w:r>
        <w:rPr>
          <w:rStyle w:val="CharDivText"/>
        </w:rPr>
        <w:t>Assumption of risk</w:t>
      </w:r>
      <w:bookmarkEnd w:id="49"/>
      <w:bookmarkEnd w:id="50"/>
      <w:bookmarkEnd w:id="51"/>
      <w:bookmarkEnd w:id="52"/>
    </w:p>
    <w:p>
      <w:pPr>
        <w:pStyle w:val="Footnoteheading"/>
        <w:keepNext/>
      </w:pPr>
      <w:r>
        <w:tab/>
        <w:t>[Heading inserted: No. 58 of 2003 s. 8.]</w:t>
      </w:r>
    </w:p>
    <w:p>
      <w:pPr>
        <w:pStyle w:val="Heading5"/>
      </w:pPr>
      <w:bookmarkStart w:id="53" w:name="_Toc183423076"/>
      <w:r>
        <w:rPr>
          <w:rStyle w:val="CharSectno"/>
        </w:rPr>
        <w:t>5M</w:t>
      </w:r>
      <w:r>
        <w:t>.</w:t>
      </w:r>
      <w:r>
        <w:tab/>
        <w:t>Term used: obvious risk</w:t>
      </w:r>
      <w:bookmarkEnd w:id="53"/>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54" w:name="_Toc183423077"/>
      <w:r>
        <w:rPr>
          <w:rStyle w:val="CharSectno"/>
        </w:rPr>
        <w:t>5N</w:t>
      </w:r>
      <w:r>
        <w:t>.</w:t>
      </w:r>
      <w:r>
        <w:tab/>
        <w:t>Injured person presumed to be aware of obvious risk</w:t>
      </w:r>
      <w:bookmarkEnd w:id="5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55" w:name="_Toc183423078"/>
      <w:r>
        <w:rPr>
          <w:rStyle w:val="CharSectno"/>
        </w:rPr>
        <w:t>5O</w:t>
      </w:r>
      <w:r>
        <w:t>.</w:t>
      </w:r>
      <w:r>
        <w:tab/>
        <w:t>No duty to warn of obvious risk</w:t>
      </w:r>
      <w:bookmarkEnd w:id="5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lastRenderedPageBreak/>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56" w:name="_Toc183423079"/>
      <w:r>
        <w:rPr>
          <w:rStyle w:val="CharSectno"/>
        </w:rPr>
        <w:t>5P</w:t>
      </w:r>
      <w:r>
        <w:t>.</w:t>
      </w:r>
      <w:r>
        <w:tab/>
        <w:t>No liability for harm from inherent risk</w:t>
      </w:r>
      <w:bookmarkEnd w:id="56"/>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57" w:name="_Toc183180486"/>
      <w:bookmarkStart w:id="58" w:name="_Toc183182154"/>
      <w:bookmarkStart w:id="59" w:name="_Toc183182293"/>
      <w:bookmarkStart w:id="60" w:name="_Toc183423080"/>
      <w:r>
        <w:rPr>
          <w:rStyle w:val="CharDivNo"/>
        </w:rPr>
        <w:t>Division 7</w:t>
      </w:r>
      <w:r>
        <w:t> — </w:t>
      </w:r>
      <w:r>
        <w:rPr>
          <w:rStyle w:val="CharDivText"/>
        </w:rPr>
        <w:t>Professional negligence</w:t>
      </w:r>
      <w:bookmarkEnd w:id="57"/>
      <w:bookmarkEnd w:id="58"/>
      <w:bookmarkEnd w:id="59"/>
      <w:bookmarkEnd w:id="60"/>
    </w:p>
    <w:p>
      <w:pPr>
        <w:pStyle w:val="Footnoteheading"/>
        <w:ind w:left="851"/>
      </w:pPr>
      <w:r>
        <w:tab/>
        <w:t>[Heading inserted: No. 43 of 2004 s. 5.]</w:t>
      </w:r>
    </w:p>
    <w:p>
      <w:pPr>
        <w:pStyle w:val="Heading5"/>
        <w:spacing w:before="180"/>
      </w:pPr>
      <w:bookmarkStart w:id="61" w:name="_Toc183423081"/>
      <w:r>
        <w:rPr>
          <w:rStyle w:val="CharSectno"/>
        </w:rPr>
        <w:t>5PA</w:t>
      </w:r>
      <w:r>
        <w:t>.</w:t>
      </w:r>
      <w:r>
        <w:tab/>
        <w:t>Term used: health professional</w:t>
      </w:r>
      <w:bookmarkEnd w:id="61"/>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lastRenderedPageBreak/>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62" w:name="_Toc183423082"/>
      <w:r>
        <w:rPr>
          <w:rStyle w:val="CharSectno"/>
        </w:rPr>
        <w:t>5PB</w:t>
      </w:r>
      <w:r>
        <w:t>.</w:t>
      </w:r>
      <w:r>
        <w:tab/>
        <w:t>Standard of care for health professionals</w:t>
      </w:r>
      <w:bookmarkEnd w:id="6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lastRenderedPageBreak/>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63" w:name="_Toc183180489"/>
      <w:bookmarkStart w:id="64" w:name="_Toc183182157"/>
      <w:bookmarkStart w:id="65" w:name="_Toc183182296"/>
      <w:bookmarkStart w:id="66" w:name="_Toc183423083"/>
      <w:r>
        <w:rPr>
          <w:rStyle w:val="CharPartNo"/>
        </w:rPr>
        <w:lastRenderedPageBreak/>
        <w:t>Part 1B</w:t>
      </w:r>
      <w:r>
        <w:rPr>
          <w:rStyle w:val="CharDivNo"/>
        </w:rPr>
        <w:t> </w:t>
      </w:r>
      <w:r>
        <w:t>—</w:t>
      </w:r>
      <w:r>
        <w:rPr>
          <w:rStyle w:val="CharDivText"/>
        </w:rPr>
        <w:t> </w:t>
      </w:r>
      <w:r>
        <w:rPr>
          <w:rStyle w:val="CharPartText"/>
        </w:rPr>
        <w:t>Mental harm</w:t>
      </w:r>
      <w:bookmarkEnd w:id="63"/>
      <w:bookmarkEnd w:id="64"/>
      <w:bookmarkEnd w:id="65"/>
      <w:bookmarkEnd w:id="66"/>
    </w:p>
    <w:p>
      <w:pPr>
        <w:pStyle w:val="Footnoteheading"/>
      </w:pPr>
      <w:r>
        <w:tab/>
        <w:t>[Heading inserted: No. 58 of 2003 s. 8.]</w:t>
      </w:r>
    </w:p>
    <w:p>
      <w:pPr>
        <w:pStyle w:val="Heading5"/>
      </w:pPr>
      <w:bookmarkStart w:id="67" w:name="_Toc183423084"/>
      <w:r>
        <w:rPr>
          <w:rStyle w:val="CharSectno"/>
        </w:rPr>
        <w:t>5Q</w:t>
      </w:r>
      <w:r>
        <w:t>.</w:t>
      </w:r>
      <w:r>
        <w:tab/>
        <w:t>Terms used</w:t>
      </w:r>
      <w:bookmarkEnd w:id="6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68" w:name="_Toc183423085"/>
      <w:r>
        <w:rPr>
          <w:rStyle w:val="CharSectno"/>
        </w:rPr>
        <w:t>5R</w:t>
      </w:r>
      <w:r>
        <w:t>.</w:t>
      </w:r>
      <w:r>
        <w:tab/>
        <w:t>Application of Part</w:t>
      </w:r>
      <w:bookmarkEnd w:id="6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lastRenderedPageBreak/>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69" w:name="_Toc183423086"/>
      <w:r>
        <w:rPr>
          <w:rStyle w:val="CharSectno"/>
        </w:rPr>
        <w:t>5S</w:t>
      </w:r>
      <w:r>
        <w:t>.</w:t>
      </w:r>
      <w:r>
        <w:tab/>
        <w:t>Mental harm: duty of care</w:t>
      </w:r>
      <w:bookmarkEnd w:id="6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70" w:name="_Toc183423087"/>
      <w:r>
        <w:rPr>
          <w:rStyle w:val="CharSectno"/>
        </w:rPr>
        <w:lastRenderedPageBreak/>
        <w:t>5T</w:t>
      </w:r>
      <w:r>
        <w:t>.</w:t>
      </w:r>
      <w:r>
        <w:tab/>
        <w:t>Liability for pecuniary loss for consequential mental harm</w:t>
      </w:r>
      <w:bookmarkEnd w:id="7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71" w:name="_Toc183180494"/>
      <w:bookmarkStart w:id="72" w:name="_Toc183182162"/>
      <w:bookmarkStart w:id="73" w:name="_Toc183182301"/>
      <w:bookmarkStart w:id="74" w:name="_Toc183423088"/>
      <w:r>
        <w:rPr>
          <w:rStyle w:val="CharPartNo"/>
        </w:rPr>
        <w:lastRenderedPageBreak/>
        <w:t>Part 1C</w:t>
      </w:r>
      <w:r>
        <w:rPr>
          <w:b w:val="0"/>
        </w:rPr>
        <w:t> </w:t>
      </w:r>
      <w:r>
        <w:t>—</w:t>
      </w:r>
      <w:r>
        <w:rPr>
          <w:b w:val="0"/>
        </w:rPr>
        <w:t> </w:t>
      </w:r>
      <w:r>
        <w:rPr>
          <w:rStyle w:val="CharPartText"/>
        </w:rPr>
        <w:t>Liability relating to public function</w:t>
      </w:r>
      <w:bookmarkEnd w:id="71"/>
      <w:bookmarkEnd w:id="72"/>
      <w:bookmarkEnd w:id="73"/>
      <w:bookmarkEnd w:id="74"/>
    </w:p>
    <w:p>
      <w:pPr>
        <w:pStyle w:val="Footnoteheading"/>
      </w:pPr>
      <w:r>
        <w:tab/>
        <w:t>[Heading inserted: No. 58 of 2003 s. 8.]</w:t>
      </w:r>
    </w:p>
    <w:p>
      <w:pPr>
        <w:pStyle w:val="Heading5"/>
      </w:pPr>
      <w:bookmarkStart w:id="75" w:name="_Toc183423089"/>
      <w:r>
        <w:rPr>
          <w:rStyle w:val="CharSectno"/>
        </w:rPr>
        <w:t>5U</w:t>
      </w:r>
      <w:r>
        <w:t>.</w:t>
      </w:r>
      <w:r>
        <w:tab/>
        <w:t>Terms used</w:t>
      </w:r>
      <w:bookmarkEnd w:id="7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76" w:name="_Toc183423090"/>
      <w:r>
        <w:rPr>
          <w:rStyle w:val="CharSectno"/>
        </w:rPr>
        <w:lastRenderedPageBreak/>
        <w:t>5V</w:t>
      </w:r>
      <w:r>
        <w:t>.</w:t>
      </w:r>
      <w:r>
        <w:tab/>
        <w:t>Application of Part</w:t>
      </w:r>
      <w:bookmarkEnd w:id="7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77" w:name="_Toc183423091"/>
      <w:r>
        <w:rPr>
          <w:rStyle w:val="CharSectno"/>
        </w:rPr>
        <w:t>5W</w:t>
      </w:r>
      <w:r>
        <w:t>.</w:t>
      </w:r>
      <w:r>
        <w:tab/>
        <w:t>Principles concerning resources, responsibilities etc. of public body or officer</w:t>
      </w:r>
      <w:bookmarkEnd w:id="7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78" w:name="_Toc183423092"/>
      <w:r>
        <w:rPr>
          <w:rStyle w:val="CharSectno"/>
        </w:rPr>
        <w:t>5X</w:t>
      </w:r>
      <w:r>
        <w:t>.</w:t>
      </w:r>
      <w:r>
        <w:tab/>
        <w:t>Policy defence</w:t>
      </w:r>
      <w:bookmarkEnd w:id="7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79" w:name="_Toc183423093"/>
      <w:r>
        <w:rPr>
          <w:rStyle w:val="CharSectno"/>
        </w:rPr>
        <w:t>5Y</w:t>
      </w:r>
      <w:r>
        <w:t>.</w:t>
      </w:r>
      <w:r>
        <w:tab/>
        <w:t>Proceedings against public body or officer based on breach of statutory duty</w:t>
      </w:r>
      <w:bookmarkEnd w:id="7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80" w:name="_Toc183423094"/>
      <w:r>
        <w:rPr>
          <w:rStyle w:val="CharSectno"/>
        </w:rPr>
        <w:t>5Z</w:t>
      </w:r>
      <w:r>
        <w:t>.</w:t>
      </w:r>
      <w:r>
        <w:tab/>
        <w:t>Special protection for road authorities</w:t>
      </w:r>
      <w:bookmarkEnd w:id="80"/>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81" w:name="_Toc183423095"/>
      <w:r>
        <w:rPr>
          <w:rStyle w:val="CharSectno"/>
        </w:rPr>
        <w:t>5AA</w:t>
      </w:r>
      <w:r>
        <w:t>.</w:t>
      </w:r>
      <w:r>
        <w:tab/>
        <w:t>Exercise of function or decision to exercise does not create duty</w:t>
      </w:r>
      <w:bookmarkEnd w:id="81"/>
    </w:p>
    <w:p>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82" w:name="_Toc183180502"/>
      <w:bookmarkStart w:id="83" w:name="_Toc183182170"/>
      <w:bookmarkStart w:id="84" w:name="_Toc183182309"/>
      <w:bookmarkStart w:id="85" w:name="_Toc183423096"/>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82"/>
      <w:bookmarkEnd w:id="83"/>
      <w:bookmarkEnd w:id="84"/>
      <w:bookmarkEnd w:id="85"/>
    </w:p>
    <w:p>
      <w:pPr>
        <w:pStyle w:val="Footnoteheading"/>
      </w:pPr>
      <w:r>
        <w:tab/>
        <w:t>[Heading inserted: No. 1 of 2011 s. 6.]</w:t>
      </w:r>
    </w:p>
    <w:p>
      <w:pPr>
        <w:pStyle w:val="Heading5"/>
      </w:pPr>
      <w:bookmarkStart w:id="86" w:name="_Toc183423097"/>
      <w:r>
        <w:rPr>
          <w:rStyle w:val="CharSectno"/>
        </w:rPr>
        <w:t>5AAA</w:t>
      </w:r>
      <w:r>
        <w:t>.</w:t>
      </w:r>
      <w:r>
        <w:tab/>
        <w:t>Terms used</w:t>
      </w:r>
      <w:bookmarkEnd w:id="86"/>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lastRenderedPageBreak/>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87" w:name="_Toc183423098"/>
      <w:r>
        <w:rPr>
          <w:rStyle w:val="CharSectno"/>
        </w:rPr>
        <w:t>5AAB</w:t>
      </w:r>
      <w:r>
        <w:t>.</w:t>
      </w:r>
      <w:r>
        <w:tab/>
        <w:t>Application of this Part</w:t>
      </w:r>
      <w:bookmarkEnd w:id="87"/>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lastRenderedPageBreak/>
        <w:tab/>
        <w:t>(6)</w:t>
      </w:r>
      <w:r>
        <w:tab/>
        <w:t>This Part does not limit the protection from liability given by another written law.</w:t>
      </w:r>
    </w:p>
    <w:p>
      <w:pPr>
        <w:pStyle w:val="Footnotesection"/>
      </w:pPr>
      <w:r>
        <w:tab/>
        <w:t>[Section 5AAB inserted: No. 1 of 2011 s. 6.]</w:t>
      </w:r>
    </w:p>
    <w:p>
      <w:pPr>
        <w:pStyle w:val="Heading5"/>
      </w:pPr>
      <w:bookmarkStart w:id="88" w:name="_Toc183423099"/>
      <w:r>
        <w:rPr>
          <w:rStyle w:val="CharSectno"/>
        </w:rPr>
        <w:t>5AAC</w:t>
      </w:r>
      <w:r>
        <w:t>.</w:t>
      </w:r>
      <w:r>
        <w:tab/>
        <w:t>Protection of staff members</w:t>
      </w:r>
      <w:bookmarkEnd w:id="88"/>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89" w:name="_Toc183423100"/>
      <w:r>
        <w:rPr>
          <w:rStyle w:val="CharSectno"/>
        </w:rPr>
        <w:t>5AAD</w:t>
      </w:r>
      <w:r>
        <w:t>.</w:t>
      </w:r>
      <w:r>
        <w:tab/>
        <w:t>Exclusion from protection</w:t>
      </w:r>
      <w:bookmarkEnd w:id="89"/>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90" w:name="_Toc183180507"/>
      <w:bookmarkStart w:id="91" w:name="_Toc183182175"/>
      <w:bookmarkStart w:id="92" w:name="_Toc183182314"/>
      <w:bookmarkStart w:id="93" w:name="_Toc183423101"/>
      <w:r>
        <w:rPr>
          <w:rStyle w:val="CharPartNo"/>
        </w:rPr>
        <w:lastRenderedPageBreak/>
        <w:t>Part 1D</w:t>
      </w:r>
      <w:r>
        <w:rPr>
          <w:b w:val="0"/>
        </w:rPr>
        <w:t> </w:t>
      </w:r>
      <w:r>
        <w:t>—</w:t>
      </w:r>
      <w:r>
        <w:rPr>
          <w:b w:val="0"/>
        </w:rPr>
        <w:t> </w:t>
      </w:r>
      <w:r>
        <w:rPr>
          <w:rStyle w:val="CharPartText"/>
        </w:rPr>
        <w:t>Good samaritans</w:t>
      </w:r>
      <w:bookmarkEnd w:id="90"/>
      <w:bookmarkEnd w:id="91"/>
      <w:bookmarkEnd w:id="92"/>
      <w:bookmarkEnd w:id="93"/>
    </w:p>
    <w:p>
      <w:pPr>
        <w:pStyle w:val="Footnoteheading"/>
      </w:pPr>
      <w:r>
        <w:tab/>
        <w:t>[Heading inserted: No. 58 of 2003 s. 8.]</w:t>
      </w:r>
    </w:p>
    <w:p>
      <w:pPr>
        <w:pStyle w:val="Heading5"/>
      </w:pPr>
      <w:bookmarkStart w:id="94" w:name="_Toc183423102"/>
      <w:r>
        <w:rPr>
          <w:rStyle w:val="CharSectno"/>
        </w:rPr>
        <w:t>5AB</w:t>
      </w:r>
      <w:r>
        <w:t>.</w:t>
      </w:r>
      <w:r>
        <w:tab/>
        <w:t>Terms used</w:t>
      </w:r>
      <w:bookmarkEnd w:id="9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95" w:name="_Toc183423103"/>
      <w:r>
        <w:rPr>
          <w:rStyle w:val="CharSectno"/>
        </w:rPr>
        <w:t>5AC</w:t>
      </w:r>
      <w:r>
        <w:t>.</w:t>
      </w:r>
      <w:r>
        <w:tab/>
        <w:t>Application of this Part</w:t>
      </w:r>
      <w:bookmarkEnd w:id="95"/>
    </w:p>
    <w:p>
      <w:pPr>
        <w:pStyle w:val="Subsection"/>
      </w:pPr>
      <w:r>
        <w:tab/>
        <w:t>(1)</w:t>
      </w:r>
      <w:r>
        <w:tab/>
        <w:t>Subject to sections 3A and 4A, this Part applies to civil liability of any kind unless this section states otherwise.</w:t>
      </w:r>
    </w:p>
    <w:p>
      <w:pPr>
        <w:pStyle w:val="Subsection"/>
      </w:pPr>
      <w:r>
        <w:lastRenderedPageBreak/>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96" w:name="_Toc183423104"/>
      <w:r>
        <w:rPr>
          <w:rStyle w:val="CharSectno"/>
        </w:rPr>
        <w:t>5AD</w:t>
      </w:r>
      <w:r>
        <w:t>.</w:t>
      </w:r>
      <w:r>
        <w:tab/>
        <w:t>Protection of good samaritans</w:t>
      </w:r>
      <w:bookmarkEnd w:id="9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lastRenderedPageBreak/>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97" w:name="_Toc183423105"/>
      <w:r>
        <w:rPr>
          <w:rStyle w:val="CharSectno"/>
        </w:rPr>
        <w:t>5AE</w:t>
      </w:r>
      <w:r>
        <w:t>.</w:t>
      </w:r>
      <w:r>
        <w:tab/>
        <w:t>Exclusion from protection</w:t>
      </w:r>
      <w:bookmarkEnd w:id="9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98" w:name="_Toc183180512"/>
      <w:bookmarkStart w:id="99" w:name="_Toc183182180"/>
      <w:bookmarkStart w:id="100" w:name="_Toc183182319"/>
      <w:bookmarkStart w:id="101" w:name="_Toc183423106"/>
      <w:r>
        <w:rPr>
          <w:rStyle w:val="CharPartNo"/>
        </w:rPr>
        <w:lastRenderedPageBreak/>
        <w:t>Part 1E</w:t>
      </w:r>
      <w:r>
        <w:rPr>
          <w:b w:val="0"/>
        </w:rPr>
        <w:t> </w:t>
      </w:r>
      <w:r>
        <w:t>—</w:t>
      </w:r>
      <w:r>
        <w:rPr>
          <w:b w:val="0"/>
        </w:rPr>
        <w:t> </w:t>
      </w:r>
      <w:r>
        <w:rPr>
          <w:rStyle w:val="CharPartText"/>
        </w:rPr>
        <w:t>Apologies</w:t>
      </w:r>
      <w:bookmarkEnd w:id="98"/>
      <w:bookmarkEnd w:id="99"/>
      <w:bookmarkEnd w:id="100"/>
      <w:bookmarkEnd w:id="101"/>
    </w:p>
    <w:p>
      <w:pPr>
        <w:pStyle w:val="Footnoteheading"/>
      </w:pPr>
      <w:r>
        <w:tab/>
        <w:t>[Heading inserted: No. 58 of 2003 s. 8.]</w:t>
      </w:r>
    </w:p>
    <w:p>
      <w:pPr>
        <w:pStyle w:val="Heading5"/>
        <w:spacing w:before="180"/>
      </w:pPr>
      <w:bookmarkStart w:id="102" w:name="_Toc183423107"/>
      <w:r>
        <w:rPr>
          <w:rStyle w:val="CharSectno"/>
        </w:rPr>
        <w:t>5AF</w:t>
      </w:r>
      <w:r>
        <w:t>.</w:t>
      </w:r>
      <w:r>
        <w:tab/>
        <w:t>Term used: apology</w:t>
      </w:r>
      <w:bookmarkEnd w:id="102"/>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03" w:name="_Toc183423108"/>
      <w:r>
        <w:rPr>
          <w:rStyle w:val="CharSectno"/>
        </w:rPr>
        <w:t>5AG</w:t>
      </w:r>
      <w:r>
        <w:t>.</w:t>
      </w:r>
      <w:r>
        <w:tab/>
        <w:t>Application of this Part</w:t>
      </w:r>
      <w:bookmarkEnd w:id="10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04" w:name="_Toc183423109"/>
      <w:r>
        <w:rPr>
          <w:rStyle w:val="CharSectno"/>
        </w:rPr>
        <w:lastRenderedPageBreak/>
        <w:t>5AH</w:t>
      </w:r>
      <w:r>
        <w:t>.</w:t>
      </w:r>
      <w:r>
        <w:tab/>
        <w:t>Effect of apology on liability</w:t>
      </w:r>
      <w:bookmarkEnd w:id="10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05" w:name="_Toc183180516"/>
      <w:bookmarkStart w:id="106" w:name="_Toc183182184"/>
      <w:bookmarkStart w:id="107" w:name="_Toc183182323"/>
      <w:bookmarkStart w:id="108" w:name="_Toc183423110"/>
      <w:r>
        <w:rPr>
          <w:rStyle w:val="CharPartNo"/>
        </w:rPr>
        <w:lastRenderedPageBreak/>
        <w:t>Part 1F</w:t>
      </w:r>
      <w:r>
        <w:rPr>
          <w:rStyle w:val="CharDivNo"/>
        </w:rPr>
        <w:t> </w:t>
      </w:r>
      <w:r>
        <w:t>—</w:t>
      </w:r>
      <w:r>
        <w:rPr>
          <w:rStyle w:val="CharDivText"/>
        </w:rPr>
        <w:t> </w:t>
      </w:r>
      <w:r>
        <w:rPr>
          <w:rStyle w:val="CharPartText"/>
        </w:rPr>
        <w:t>Proportionate liability</w:t>
      </w:r>
      <w:bookmarkEnd w:id="105"/>
      <w:bookmarkEnd w:id="106"/>
      <w:bookmarkEnd w:id="107"/>
      <w:bookmarkEnd w:id="108"/>
    </w:p>
    <w:p>
      <w:pPr>
        <w:pStyle w:val="Footnoteheading"/>
      </w:pPr>
      <w:r>
        <w:tab/>
        <w:t>[Heading inserted: No. 58 of 2003 s. 9.]</w:t>
      </w:r>
    </w:p>
    <w:p>
      <w:pPr>
        <w:pStyle w:val="Heading5"/>
        <w:spacing w:before="240"/>
      </w:pPr>
      <w:bookmarkStart w:id="109" w:name="_Toc183423111"/>
      <w:r>
        <w:rPr>
          <w:rStyle w:val="CharSectno"/>
        </w:rPr>
        <w:t>5AI</w:t>
      </w:r>
      <w:r>
        <w:t>.</w:t>
      </w:r>
      <w:r>
        <w:tab/>
        <w:t>Terms used</w:t>
      </w:r>
      <w:bookmarkEnd w:id="109"/>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110" w:name="_Toc183423112"/>
      <w:r>
        <w:rPr>
          <w:rStyle w:val="CharSectno"/>
        </w:rPr>
        <w:t>5AJ</w:t>
      </w:r>
      <w:r>
        <w:t>.</w:t>
      </w:r>
      <w:r>
        <w:tab/>
        <w:t>Application of Part</w:t>
      </w:r>
      <w:bookmarkEnd w:id="110"/>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111" w:name="_Toc183423113"/>
      <w:r>
        <w:rPr>
          <w:rStyle w:val="CharSectno"/>
        </w:rPr>
        <w:t>5AJA</w:t>
      </w:r>
      <w:r>
        <w:t>.</w:t>
      </w:r>
      <w:r>
        <w:tab/>
        <w:t>Certain concurrent wrongdoers not to have benefit of apportionment</w:t>
      </w:r>
      <w:bookmarkEnd w:id="111"/>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112" w:name="_Toc183423114"/>
      <w:r>
        <w:rPr>
          <w:rStyle w:val="CharSectno"/>
        </w:rPr>
        <w:lastRenderedPageBreak/>
        <w:t>5AK</w:t>
      </w:r>
      <w:r>
        <w:t>.</w:t>
      </w:r>
      <w:r>
        <w:tab/>
        <w:t>Proportionate liability for apportionable claims</w:t>
      </w:r>
      <w:bookmarkEnd w:id="112"/>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 xml:space="preserve">A reference in this Part to a defendant in proceedings includes any person joined as a defendant or other party in the </w:t>
      </w:r>
      <w:r>
        <w:lastRenderedPageBreak/>
        <w:t>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113" w:name="_Toc183423115"/>
      <w:r>
        <w:rPr>
          <w:rStyle w:val="CharSectno"/>
        </w:rPr>
        <w:t>5AKA</w:t>
      </w:r>
      <w:r>
        <w:t>.</w:t>
      </w:r>
      <w:r>
        <w:tab/>
        <w:t>Duty of defendant to inform plaintiff about concurrent wrongdoers</w:t>
      </w:r>
      <w:bookmarkEnd w:id="113"/>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14" w:name="_Toc183423116"/>
      <w:r>
        <w:rPr>
          <w:rStyle w:val="CharSectno"/>
        </w:rPr>
        <w:lastRenderedPageBreak/>
        <w:t>5AL</w:t>
      </w:r>
      <w:r>
        <w:t>.</w:t>
      </w:r>
      <w:r>
        <w:tab/>
        <w:t>Contribution not recoverable from defendant</w:t>
      </w:r>
      <w:bookmarkEnd w:id="114"/>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15" w:name="_Toc183423117"/>
      <w:r>
        <w:rPr>
          <w:rStyle w:val="CharSectno"/>
        </w:rPr>
        <w:t>5AM</w:t>
      </w:r>
      <w:r>
        <w:t>.</w:t>
      </w:r>
      <w:r>
        <w:tab/>
        <w:t>Subsequent actions</w:t>
      </w:r>
      <w:bookmarkEnd w:id="11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16" w:name="_Toc183423118"/>
      <w:r>
        <w:rPr>
          <w:rStyle w:val="CharSectno"/>
        </w:rPr>
        <w:lastRenderedPageBreak/>
        <w:t>5AN</w:t>
      </w:r>
      <w:r>
        <w:t>.</w:t>
      </w:r>
      <w:r>
        <w:tab/>
        <w:t>Joining non</w:t>
      </w:r>
      <w:r>
        <w:noBreakHyphen/>
        <w:t>party concurrent wrongdoers in action</w:t>
      </w:r>
      <w:bookmarkEnd w:id="11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17" w:name="_Toc183423119"/>
      <w:r>
        <w:rPr>
          <w:rStyle w:val="CharSectno"/>
        </w:rPr>
        <w:t>5AO</w:t>
      </w:r>
      <w:r>
        <w:t>.</w:t>
      </w:r>
      <w:r>
        <w:tab/>
        <w:t>Part does not prevent other liability or operation of other Act</w:t>
      </w:r>
      <w:bookmarkEnd w:id="117"/>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18" w:name="_Toc183180526"/>
      <w:bookmarkStart w:id="119" w:name="_Toc183182194"/>
      <w:bookmarkStart w:id="120" w:name="_Toc183182333"/>
      <w:bookmarkStart w:id="121" w:name="_Toc183423120"/>
      <w:r>
        <w:rPr>
          <w:rStyle w:val="CharPartNo"/>
        </w:rPr>
        <w:lastRenderedPageBreak/>
        <w:t>Part 2</w:t>
      </w:r>
      <w:r>
        <w:rPr>
          <w:b w:val="0"/>
        </w:rPr>
        <w:t> </w:t>
      </w:r>
      <w:r>
        <w:t>—</w:t>
      </w:r>
      <w:r>
        <w:rPr>
          <w:b w:val="0"/>
        </w:rPr>
        <w:t> </w:t>
      </w:r>
      <w:r>
        <w:rPr>
          <w:rStyle w:val="CharPartText"/>
        </w:rPr>
        <w:t>Awards of personal injury damages</w:t>
      </w:r>
      <w:bookmarkEnd w:id="118"/>
      <w:bookmarkEnd w:id="119"/>
      <w:bookmarkEnd w:id="120"/>
      <w:bookmarkEnd w:id="121"/>
    </w:p>
    <w:p>
      <w:pPr>
        <w:pStyle w:val="Footnoteheading"/>
      </w:pPr>
      <w:r>
        <w:tab/>
        <w:t>[Heading inserted: No. 58 of 2003 s. 10.]</w:t>
      </w:r>
    </w:p>
    <w:p>
      <w:pPr>
        <w:pStyle w:val="Heading3"/>
      </w:pPr>
      <w:bookmarkStart w:id="122" w:name="_Toc183180527"/>
      <w:bookmarkStart w:id="123" w:name="_Toc183182195"/>
      <w:bookmarkStart w:id="124" w:name="_Toc183182334"/>
      <w:bookmarkStart w:id="125" w:name="_Toc183423121"/>
      <w:r>
        <w:rPr>
          <w:rStyle w:val="CharDivNo"/>
        </w:rPr>
        <w:t>Division 1</w:t>
      </w:r>
      <w:r>
        <w:t xml:space="preserve"> — </w:t>
      </w:r>
      <w:r>
        <w:rPr>
          <w:rStyle w:val="CharDivText"/>
        </w:rPr>
        <w:t>Preliminary</w:t>
      </w:r>
      <w:bookmarkEnd w:id="122"/>
      <w:bookmarkEnd w:id="123"/>
      <w:bookmarkEnd w:id="124"/>
      <w:bookmarkEnd w:id="125"/>
    </w:p>
    <w:p>
      <w:pPr>
        <w:pStyle w:val="Heading5"/>
      </w:pPr>
      <w:bookmarkStart w:id="126" w:name="_Toc183423122"/>
      <w:r>
        <w:rPr>
          <w:rStyle w:val="CharSectno"/>
        </w:rPr>
        <w:t>6</w:t>
      </w:r>
      <w:r>
        <w:t>.</w:t>
      </w:r>
      <w:r>
        <w:tab/>
        <w:t>Application of this Part</w:t>
      </w:r>
      <w:bookmarkEnd w:id="12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27" w:name="_Toc183423123"/>
      <w:r>
        <w:rPr>
          <w:rStyle w:val="CharSectno"/>
        </w:rPr>
        <w:t>7</w:t>
      </w:r>
      <w:r>
        <w:t>.</w:t>
      </w:r>
      <w:r>
        <w:tab/>
        <w:t>Court awards constrained</w:t>
      </w:r>
      <w:bookmarkEnd w:id="127"/>
    </w:p>
    <w:p>
      <w:pPr>
        <w:pStyle w:val="Subsection"/>
      </w:pPr>
      <w:r>
        <w:tab/>
      </w:r>
      <w:r>
        <w:tab/>
        <w:t>A court cannot award damages contrary to Division 2 or 3.</w:t>
      </w:r>
    </w:p>
    <w:p>
      <w:pPr>
        <w:pStyle w:val="Heading5"/>
      </w:pPr>
      <w:bookmarkStart w:id="128" w:name="_Toc183423124"/>
      <w:r>
        <w:rPr>
          <w:rStyle w:val="CharSectno"/>
        </w:rPr>
        <w:lastRenderedPageBreak/>
        <w:t>8</w:t>
      </w:r>
      <w:r>
        <w:t>.</w:t>
      </w:r>
      <w:r>
        <w:tab/>
        <w:t>Act does not give rise to any cause of action</w:t>
      </w:r>
      <w:bookmarkEnd w:id="128"/>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29" w:name="_Toc183180531"/>
      <w:bookmarkStart w:id="130" w:name="_Toc183182199"/>
      <w:bookmarkStart w:id="131" w:name="_Toc183182338"/>
      <w:bookmarkStart w:id="132" w:name="_Toc183423125"/>
      <w:r>
        <w:rPr>
          <w:rStyle w:val="CharDivNo"/>
        </w:rPr>
        <w:t>Division 2</w:t>
      </w:r>
      <w:r>
        <w:t> — </w:t>
      </w:r>
      <w:r>
        <w:rPr>
          <w:rStyle w:val="CharDivText"/>
        </w:rPr>
        <w:t>Damages for non</w:t>
      </w:r>
      <w:r>
        <w:rPr>
          <w:rStyle w:val="CharDivText"/>
        </w:rPr>
        <w:noBreakHyphen/>
        <w:t>pecuniary loss (general damages)</w:t>
      </w:r>
      <w:bookmarkEnd w:id="129"/>
      <w:bookmarkEnd w:id="130"/>
      <w:bookmarkEnd w:id="131"/>
      <w:bookmarkEnd w:id="132"/>
    </w:p>
    <w:p>
      <w:pPr>
        <w:pStyle w:val="Footnoteheading"/>
      </w:pPr>
      <w:r>
        <w:tab/>
        <w:t>[Heading inserted: No. 58 of 2003 s. 12.]</w:t>
      </w:r>
    </w:p>
    <w:p>
      <w:pPr>
        <w:pStyle w:val="Heading5"/>
      </w:pPr>
      <w:bookmarkStart w:id="133" w:name="_Toc183423126"/>
      <w:r>
        <w:rPr>
          <w:rStyle w:val="CharSectno"/>
        </w:rPr>
        <w:t>9</w:t>
      </w:r>
      <w:r>
        <w:t>.</w:t>
      </w:r>
      <w:r>
        <w:tab/>
        <w:t>Restrictions on damages for non</w:t>
      </w:r>
      <w:r>
        <w:noBreakHyphen/>
        <w:t>pecuniary loss (general damages)</w:t>
      </w:r>
      <w:bookmarkEnd w:id="13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o:ole="">
            <v:imagedata r:id="rId21" o:title=""/>
          </v:shape>
          <o:OLEObject Type="Embed" ProgID="Equation.3" ShapeID="_x0000_i1025" DrawAspect="Content" ObjectID="_1811323888"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lastRenderedPageBreak/>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34" w:name="_Toc183423127"/>
      <w:r>
        <w:rPr>
          <w:rStyle w:val="CharSectno"/>
        </w:rPr>
        <w:t>10</w:t>
      </w:r>
      <w:r>
        <w:t>.</w:t>
      </w:r>
      <w:r>
        <w:tab/>
        <w:t>Amount A and Amount C</w:t>
      </w:r>
      <w:bookmarkEnd w:id="13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35" w:name="_Toc183423128"/>
      <w:r>
        <w:rPr>
          <w:rStyle w:val="CharSectno"/>
        </w:rPr>
        <w:t>10A</w:t>
      </w:r>
      <w:r>
        <w:t>.</w:t>
      </w:r>
      <w:r>
        <w:tab/>
        <w:t>Tariffs for damages for non</w:t>
      </w:r>
      <w:r>
        <w:noBreakHyphen/>
        <w:t>pecuniary loss</w:t>
      </w:r>
      <w:bookmarkEnd w:id="13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lastRenderedPageBreak/>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136" w:name="_Toc183180535"/>
      <w:bookmarkStart w:id="137" w:name="_Toc183182203"/>
      <w:bookmarkStart w:id="138" w:name="_Toc183182342"/>
      <w:bookmarkStart w:id="139" w:name="_Toc183423129"/>
      <w:r>
        <w:rPr>
          <w:rStyle w:val="CharDivNo"/>
        </w:rPr>
        <w:t>Division 3</w:t>
      </w:r>
      <w:r>
        <w:t xml:space="preserve"> — </w:t>
      </w:r>
      <w:r>
        <w:rPr>
          <w:rStyle w:val="CharDivText"/>
        </w:rPr>
        <w:t>Fixing damages for pecuniary loss</w:t>
      </w:r>
      <w:bookmarkEnd w:id="136"/>
      <w:bookmarkEnd w:id="137"/>
      <w:bookmarkEnd w:id="138"/>
      <w:bookmarkEnd w:id="139"/>
    </w:p>
    <w:p>
      <w:pPr>
        <w:pStyle w:val="Heading5"/>
      </w:pPr>
      <w:bookmarkStart w:id="140" w:name="_Toc183423130"/>
      <w:r>
        <w:rPr>
          <w:rStyle w:val="CharSectno"/>
        </w:rPr>
        <w:t>11</w:t>
      </w:r>
      <w:r>
        <w:t>.</w:t>
      </w:r>
      <w:r>
        <w:tab/>
        <w:t>Damages for loss of earnings</w:t>
      </w:r>
      <w:bookmarkEnd w:id="140"/>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lastRenderedPageBreak/>
        <w:tab/>
        <w:t>(b)</w:t>
      </w:r>
      <w:r>
        <w:tab/>
        <w:t>if the Australian Statistician ceases to make the estimate of the amount referred to in paragraph (a), the amount fixed by, or determined in accordance with, the regulations.</w:t>
      </w:r>
    </w:p>
    <w:p>
      <w:pPr>
        <w:pStyle w:val="Heading5"/>
      </w:pPr>
      <w:bookmarkStart w:id="141" w:name="_Toc183423131"/>
      <w:r>
        <w:rPr>
          <w:rStyle w:val="CharSectno"/>
        </w:rPr>
        <w:t>12</w:t>
      </w:r>
      <w:r>
        <w:t>.</w:t>
      </w:r>
      <w:r>
        <w:tab/>
        <w:t>Damages for provision of home care services</w:t>
      </w:r>
      <w:bookmarkEnd w:id="141"/>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lastRenderedPageBreak/>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42" w:name="_Toc183423132"/>
      <w:r>
        <w:rPr>
          <w:rStyle w:val="CharSectno"/>
        </w:rPr>
        <w:t>13</w:t>
      </w:r>
      <w:r>
        <w:t>.</w:t>
      </w:r>
      <w:r>
        <w:tab/>
        <w:t>Amount B</w:t>
      </w:r>
      <w:bookmarkEnd w:id="142"/>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43" w:name="_Toc183423133"/>
      <w:r>
        <w:rPr>
          <w:rStyle w:val="CharSectno"/>
        </w:rPr>
        <w:t>13A</w:t>
      </w:r>
      <w:r>
        <w:t>.</w:t>
      </w:r>
      <w:r>
        <w:tab/>
        <w:t>Restrictions on damages if payments received under CISS</w:t>
      </w:r>
      <w:bookmarkEnd w:id="143"/>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lastRenderedPageBreak/>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lastRenderedPageBreak/>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144" w:name="_Toc183180540"/>
      <w:bookmarkStart w:id="145" w:name="_Toc183182208"/>
      <w:bookmarkStart w:id="146" w:name="_Toc183182347"/>
      <w:bookmarkStart w:id="147" w:name="_Toc183423134"/>
      <w:r>
        <w:rPr>
          <w:rStyle w:val="CharDivNo"/>
        </w:rPr>
        <w:t>Division 4</w:t>
      </w:r>
      <w:r>
        <w:t> — </w:t>
      </w:r>
      <w:r>
        <w:rPr>
          <w:rStyle w:val="CharDivText"/>
        </w:rPr>
        <w:t>Structured settlements</w:t>
      </w:r>
      <w:bookmarkEnd w:id="144"/>
      <w:bookmarkEnd w:id="145"/>
      <w:bookmarkEnd w:id="146"/>
      <w:bookmarkEnd w:id="147"/>
    </w:p>
    <w:p>
      <w:pPr>
        <w:pStyle w:val="Heading5"/>
        <w:spacing w:before="180"/>
      </w:pPr>
      <w:bookmarkStart w:id="148" w:name="_Toc183423135"/>
      <w:r>
        <w:rPr>
          <w:rStyle w:val="CharSectno"/>
        </w:rPr>
        <w:t>14</w:t>
      </w:r>
      <w:r>
        <w:t>.</w:t>
      </w:r>
      <w:r>
        <w:tab/>
        <w:t>Term used: structured settlement</w:t>
      </w:r>
      <w:bookmarkEnd w:id="148"/>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49" w:name="_Toc183423136"/>
      <w:r>
        <w:rPr>
          <w:rStyle w:val="CharSectno"/>
        </w:rPr>
        <w:lastRenderedPageBreak/>
        <w:t>15</w:t>
      </w:r>
      <w:r>
        <w:t>.</w:t>
      </w:r>
      <w:r>
        <w:tab/>
        <w:t>Consent order for structured settlement</w:t>
      </w:r>
      <w:bookmarkEnd w:id="14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3"/>
      </w:pPr>
      <w:bookmarkStart w:id="150" w:name="_Toc178258504"/>
      <w:bookmarkStart w:id="151" w:name="_Toc178258576"/>
      <w:bookmarkStart w:id="152" w:name="_Toc178258688"/>
      <w:bookmarkStart w:id="153" w:name="_Toc183182211"/>
      <w:bookmarkStart w:id="154" w:name="_Toc183182350"/>
      <w:bookmarkStart w:id="155" w:name="_Toc183423137"/>
      <w:r>
        <w:rPr>
          <w:rStyle w:val="CharDivNo"/>
        </w:rPr>
        <w:t>Division 5</w:t>
      </w:r>
      <w:r>
        <w:t> — </w:t>
      </w:r>
      <w:r>
        <w:rPr>
          <w:rStyle w:val="CharDivText"/>
        </w:rPr>
        <w:t>Provisional and subsequent damages</w:t>
      </w:r>
      <w:bookmarkEnd w:id="150"/>
      <w:bookmarkEnd w:id="151"/>
      <w:bookmarkEnd w:id="152"/>
      <w:bookmarkEnd w:id="153"/>
      <w:bookmarkEnd w:id="154"/>
      <w:bookmarkEnd w:id="155"/>
    </w:p>
    <w:p>
      <w:pPr>
        <w:pStyle w:val="Footnoteheading"/>
      </w:pPr>
      <w:r>
        <w:tab/>
        <w:t>[Heading inserted: No. 32 of 2024 s. 5.]</w:t>
      </w:r>
    </w:p>
    <w:p>
      <w:pPr>
        <w:pStyle w:val="Heading4"/>
      </w:pPr>
      <w:bookmarkStart w:id="156" w:name="_Toc178258505"/>
      <w:bookmarkStart w:id="157" w:name="_Toc178258577"/>
      <w:bookmarkStart w:id="158" w:name="_Toc178258689"/>
      <w:bookmarkStart w:id="159" w:name="_Toc183182212"/>
      <w:bookmarkStart w:id="160" w:name="_Toc183182351"/>
      <w:bookmarkStart w:id="161" w:name="_Toc183423138"/>
      <w:r>
        <w:t>Subdivision 1 — Preliminary</w:t>
      </w:r>
      <w:bookmarkEnd w:id="156"/>
      <w:bookmarkEnd w:id="157"/>
      <w:bookmarkEnd w:id="158"/>
      <w:bookmarkEnd w:id="159"/>
      <w:bookmarkEnd w:id="160"/>
      <w:bookmarkEnd w:id="161"/>
    </w:p>
    <w:p>
      <w:pPr>
        <w:pStyle w:val="Footnoteheading"/>
      </w:pPr>
      <w:r>
        <w:tab/>
        <w:t>[Heading inserted: No. 32 of 2024 s. 5.]</w:t>
      </w:r>
    </w:p>
    <w:p>
      <w:pPr>
        <w:pStyle w:val="Heading5"/>
      </w:pPr>
      <w:bookmarkStart w:id="162" w:name="_Toc178258690"/>
      <w:bookmarkStart w:id="163" w:name="_Toc183423139"/>
      <w:r>
        <w:rPr>
          <w:rStyle w:val="CharSectno"/>
        </w:rPr>
        <w:t>15AA</w:t>
      </w:r>
      <w:r>
        <w:t>.</w:t>
      </w:r>
      <w:r>
        <w:tab/>
        <w:t>Terms used</w:t>
      </w:r>
      <w:bookmarkEnd w:id="162"/>
      <w:bookmarkEnd w:id="163"/>
    </w:p>
    <w:p>
      <w:pPr>
        <w:pStyle w:val="Subsection"/>
      </w:pPr>
      <w:r>
        <w:tab/>
        <w:t>(1)</w:t>
      </w:r>
      <w:r>
        <w:tab/>
        <w:t xml:space="preserve">In this Division — </w:t>
      </w:r>
    </w:p>
    <w:p>
      <w:pPr>
        <w:pStyle w:val="Defstart"/>
      </w:pPr>
      <w:r>
        <w:tab/>
      </w:r>
      <w:r>
        <w:rPr>
          <w:rStyle w:val="CharDefText"/>
        </w:rPr>
        <w:t>Court</w:t>
      </w:r>
      <w:r>
        <w:t xml:space="preserve"> means the Supreme Court;</w:t>
      </w:r>
    </w:p>
    <w:p>
      <w:pPr>
        <w:pStyle w:val="Defstart"/>
      </w:pPr>
      <w:r>
        <w:tab/>
      </w:r>
      <w:r>
        <w:rPr>
          <w:rStyle w:val="CharDefText"/>
        </w:rPr>
        <w:t>dust disease</w:t>
      </w:r>
      <w:r>
        <w:t xml:space="preserve"> has the meaning given in section 15AB(1);</w:t>
      </w:r>
    </w:p>
    <w:p>
      <w:pPr>
        <w:pStyle w:val="Defstart"/>
      </w:pPr>
      <w:r>
        <w:tab/>
      </w:r>
      <w:r>
        <w:rPr>
          <w:rStyle w:val="CharDefText"/>
        </w:rPr>
        <w:t>initial action</w:t>
      </w:r>
      <w:r>
        <w:t xml:space="preserve"> has the meaning given in section 15AC(1);</w:t>
      </w:r>
    </w:p>
    <w:p>
      <w:pPr>
        <w:pStyle w:val="Defstart"/>
      </w:pPr>
      <w:r>
        <w:tab/>
      </w:r>
      <w:r>
        <w:rPr>
          <w:rStyle w:val="CharDefText"/>
        </w:rPr>
        <w:t>provisional damages</w:t>
      </w:r>
      <w:r>
        <w:t xml:space="preserve"> has the meaning given in section 15AC(1);</w:t>
      </w:r>
    </w:p>
    <w:p>
      <w:pPr>
        <w:pStyle w:val="Defstart"/>
      </w:pPr>
      <w:r>
        <w:tab/>
      </w:r>
      <w:r>
        <w:rPr>
          <w:rStyle w:val="CharDefText"/>
        </w:rPr>
        <w:t>settlement agreement</w:t>
      </w:r>
      <w:r>
        <w:t xml:space="preserve"> — </w:t>
      </w:r>
    </w:p>
    <w:p>
      <w:pPr>
        <w:pStyle w:val="Defpara"/>
      </w:pPr>
      <w:r>
        <w:tab/>
        <w:t>(a)</w:t>
      </w:r>
      <w:r>
        <w:tab/>
        <w:t>in relation to an initial action, has the meaning given in section 15AE;</w:t>
      </w:r>
    </w:p>
    <w:p>
      <w:pPr>
        <w:pStyle w:val="Defpara"/>
      </w:pPr>
      <w:r>
        <w:tab/>
        <w:t>(b)</w:t>
      </w:r>
      <w:r>
        <w:tab/>
        <w:t>in relation to a subsequent action, has the meaning given in section 15AL;</w:t>
      </w:r>
    </w:p>
    <w:p>
      <w:pPr>
        <w:pStyle w:val="Defstart"/>
      </w:pPr>
      <w:r>
        <w:tab/>
      </w:r>
      <w:r>
        <w:rPr>
          <w:rStyle w:val="CharDefText"/>
        </w:rPr>
        <w:t>subsequent action</w:t>
      </w:r>
      <w:r>
        <w:t xml:space="preserve"> has the meaning given in section 15AG(1);</w:t>
      </w:r>
    </w:p>
    <w:p>
      <w:pPr>
        <w:pStyle w:val="Defstart"/>
      </w:pPr>
      <w:r>
        <w:tab/>
      </w:r>
      <w:r>
        <w:rPr>
          <w:rStyle w:val="CharDefText"/>
        </w:rPr>
        <w:t>subsequent damages</w:t>
      </w:r>
      <w:r>
        <w:t xml:space="preserve"> has the meaning given in section 15AG(1);</w:t>
      </w:r>
    </w:p>
    <w:p>
      <w:pPr>
        <w:pStyle w:val="Defstart"/>
      </w:pPr>
      <w:r>
        <w:tab/>
      </w:r>
      <w:r>
        <w:rPr>
          <w:rStyle w:val="CharDefText"/>
        </w:rPr>
        <w:t>subsequent dust disease</w:t>
      </w:r>
      <w:r>
        <w:t xml:space="preserve"> has the meaning given in section 15AC(2)(b).</w:t>
      </w:r>
    </w:p>
    <w:p>
      <w:pPr>
        <w:pStyle w:val="Footnotesection"/>
      </w:pPr>
      <w:r>
        <w:tab/>
        <w:t>[Section 15AA inserted: No. 32 of 2024 s. 5.]</w:t>
      </w:r>
    </w:p>
    <w:p>
      <w:pPr>
        <w:pStyle w:val="Heading5"/>
      </w:pPr>
      <w:bookmarkStart w:id="164" w:name="_Toc178258691"/>
      <w:bookmarkStart w:id="165" w:name="_Toc183423140"/>
      <w:r>
        <w:rPr>
          <w:rStyle w:val="CharSectno"/>
        </w:rPr>
        <w:lastRenderedPageBreak/>
        <w:t>15AB</w:t>
      </w:r>
      <w:r>
        <w:t>.</w:t>
      </w:r>
      <w:r>
        <w:tab/>
        <w:t>Dust disease</w:t>
      </w:r>
      <w:bookmarkEnd w:id="164"/>
      <w:bookmarkEnd w:id="165"/>
    </w:p>
    <w:p>
      <w:pPr>
        <w:pStyle w:val="Subsection"/>
      </w:pPr>
      <w:r>
        <w:tab/>
      </w:r>
      <w:r>
        <w:tab/>
        <w:t xml:space="preserve">A </w:t>
      </w:r>
      <w:r>
        <w:rPr>
          <w:rStyle w:val="CharDefText"/>
        </w:rPr>
        <w:t>dust disease</w:t>
      </w:r>
      <w:r>
        <w:t xml:space="preserve"> means a pathological condition that is either or both of the following — </w:t>
      </w:r>
    </w:p>
    <w:p>
      <w:pPr>
        <w:pStyle w:val="Indenta"/>
      </w:pPr>
      <w:r>
        <w:tab/>
        <w:t>(a)</w:t>
      </w:r>
      <w:r>
        <w:tab/>
        <w:t>a pathological condition of the lungs, pleura or peritoneum that has resulted from the inhalation of asbestos or silica;</w:t>
      </w:r>
    </w:p>
    <w:p>
      <w:pPr>
        <w:pStyle w:val="Indenta"/>
      </w:pPr>
      <w:r>
        <w:tab/>
        <w:t>(b)</w:t>
      </w:r>
      <w:r>
        <w:tab/>
        <w:t>a pathological condition specified in the Table (whether or not of the lungs, pleura or peritoneum) that has resulted from the inhalation of asbestos or silica.</w:t>
      </w:r>
    </w:p>
    <w:p>
      <w:pPr>
        <w:pStyle w:val="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trPr>
          <w:tblHeader/>
        </w:trPr>
        <w:tc>
          <w:tcPr>
            <w:tcW w:w="993" w:type="dxa"/>
          </w:tcPr>
          <w:p>
            <w:pPr>
              <w:pStyle w:val="TableNAm"/>
              <w:jc w:val="center"/>
              <w:rPr>
                <w:b/>
                <w:bCs/>
              </w:rPr>
            </w:pPr>
            <w:r>
              <w:rPr>
                <w:b/>
                <w:bCs/>
              </w:rPr>
              <w:t>Item</w:t>
            </w:r>
          </w:p>
        </w:tc>
        <w:tc>
          <w:tcPr>
            <w:tcW w:w="5074" w:type="dxa"/>
          </w:tcPr>
          <w:p>
            <w:pPr>
              <w:pStyle w:val="TableNAm"/>
              <w:jc w:val="center"/>
            </w:pPr>
            <w:r>
              <w:rPr>
                <w:b/>
                <w:bCs/>
              </w:rPr>
              <w:t>Disease</w:t>
            </w:r>
          </w:p>
        </w:tc>
      </w:tr>
      <w:tr>
        <w:tc>
          <w:tcPr>
            <w:tcW w:w="993" w:type="dxa"/>
          </w:tcPr>
          <w:p>
            <w:pPr>
              <w:pStyle w:val="TableNAm"/>
            </w:pPr>
            <w:r>
              <w:t>1.</w:t>
            </w:r>
          </w:p>
        </w:tc>
        <w:tc>
          <w:tcPr>
            <w:tcW w:w="5074" w:type="dxa"/>
          </w:tcPr>
          <w:p>
            <w:pPr>
              <w:pStyle w:val="TableNAm"/>
            </w:pPr>
            <w:r>
              <w:t>Asbestosis</w:t>
            </w:r>
          </w:p>
        </w:tc>
      </w:tr>
      <w:tr>
        <w:tc>
          <w:tcPr>
            <w:tcW w:w="993" w:type="dxa"/>
          </w:tcPr>
          <w:p>
            <w:pPr>
              <w:pStyle w:val="TableNAm"/>
            </w:pPr>
            <w:r>
              <w:t>2.</w:t>
            </w:r>
          </w:p>
        </w:tc>
        <w:tc>
          <w:tcPr>
            <w:tcW w:w="5074" w:type="dxa"/>
          </w:tcPr>
          <w:p>
            <w:pPr>
              <w:pStyle w:val="TableNAm"/>
            </w:pPr>
            <w:r>
              <w:t>Asbestos</w:t>
            </w:r>
            <w:r>
              <w:noBreakHyphen/>
              <w:t>induced carcinoma</w:t>
            </w:r>
          </w:p>
        </w:tc>
      </w:tr>
      <w:tr>
        <w:tc>
          <w:tcPr>
            <w:tcW w:w="993" w:type="dxa"/>
          </w:tcPr>
          <w:p>
            <w:pPr>
              <w:pStyle w:val="TableNAm"/>
            </w:pPr>
            <w:r>
              <w:t>3.</w:t>
            </w:r>
          </w:p>
        </w:tc>
        <w:tc>
          <w:tcPr>
            <w:tcW w:w="5074" w:type="dxa"/>
          </w:tcPr>
          <w:p>
            <w:pPr>
              <w:pStyle w:val="TableNAm"/>
            </w:pPr>
            <w:r>
              <w:t>Asbestos</w:t>
            </w:r>
            <w:r>
              <w:noBreakHyphen/>
              <w:t>related pleural disease</w:t>
            </w:r>
          </w:p>
        </w:tc>
      </w:tr>
      <w:tr>
        <w:tc>
          <w:tcPr>
            <w:tcW w:w="993" w:type="dxa"/>
          </w:tcPr>
          <w:p>
            <w:pPr>
              <w:pStyle w:val="TableNAm"/>
            </w:pPr>
            <w:r>
              <w:t>4.</w:t>
            </w:r>
          </w:p>
        </w:tc>
        <w:tc>
          <w:tcPr>
            <w:tcW w:w="5074" w:type="dxa"/>
          </w:tcPr>
          <w:p>
            <w:pPr>
              <w:pStyle w:val="TableNAm"/>
            </w:pPr>
            <w:r>
              <w:t>Lung cancer</w:t>
            </w:r>
          </w:p>
        </w:tc>
      </w:tr>
      <w:tr>
        <w:tc>
          <w:tcPr>
            <w:tcW w:w="993" w:type="dxa"/>
          </w:tcPr>
          <w:p>
            <w:pPr>
              <w:pStyle w:val="TableNAm"/>
            </w:pPr>
            <w:r>
              <w:t>5.</w:t>
            </w:r>
          </w:p>
        </w:tc>
        <w:tc>
          <w:tcPr>
            <w:tcW w:w="5074" w:type="dxa"/>
          </w:tcPr>
          <w:p>
            <w:pPr>
              <w:pStyle w:val="TableNAm"/>
            </w:pPr>
            <w:r>
              <w:t>Mesothelioma</w:t>
            </w:r>
          </w:p>
        </w:tc>
      </w:tr>
      <w:tr>
        <w:tc>
          <w:tcPr>
            <w:tcW w:w="993" w:type="dxa"/>
          </w:tcPr>
          <w:p>
            <w:pPr>
              <w:pStyle w:val="TableNAm"/>
            </w:pPr>
            <w:r>
              <w:t>6.</w:t>
            </w:r>
          </w:p>
        </w:tc>
        <w:tc>
          <w:tcPr>
            <w:tcW w:w="5074" w:type="dxa"/>
          </w:tcPr>
          <w:p>
            <w:pPr>
              <w:pStyle w:val="TableNAm"/>
            </w:pPr>
            <w:r>
              <w:t>Pneumoconiosis or silicosis</w:t>
            </w:r>
          </w:p>
        </w:tc>
      </w:tr>
      <w:tr>
        <w:tc>
          <w:tcPr>
            <w:tcW w:w="993" w:type="dxa"/>
          </w:tcPr>
          <w:p>
            <w:pPr>
              <w:pStyle w:val="TableNAm"/>
            </w:pPr>
            <w:r>
              <w:t>7.</w:t>
            </w:r>
          </w:p>
        </w:tc>
        <w:tc>
          <w:tcPr>
            <w:tcW w:w="5074" w:type="dxa"/>
          </w:tcPr>
          <w:p>
            <w:pPr>
              <w:pStyle w:val="TableNAm"/>
            </w:pPr>
            <w:r>
              <w:t>Silico</w:t>
            </w:r>
            <w:r>
              <w:noBreakHyphen/>
              <w:t>tuberculosis</w:t>
            </w:r>
          </w:p>
        </w:tc>
      </w:tr>
    </w:tbl>
    <w:p>
      <w:pPr>
        <w:pStyle w:val="Footnotesection"/>
      </w:pPr>
      <w:bookmarkStart w:id="166" w:name="_Toc178258508"/>
      <w:bookmarkStart w:id="167" w:name="_Toc178258580"/>
      <w:bookmarkStart w:id="168" w:name="_Toc178258692"/>
      <w:r>
        <w:tab/>
        <w:t>[Section 15AB inserted: No. 32 of 2024 s. 5.]</w:t>
      </w:r>
    </w:p>
    <w:p>
      <w:pPr>
        <w:pStyle w:val="Heading4"/>
      </w:pPr>
      <w:bookmarkStart w:id="169" w:name="_Toc183182215"/>
      <w:bookmarkStart w:id="170" w:name="_Toc183182354"/>
      <w:bookmarkStart w:id="171" w:name="_Toc183423141"/>
      <w:r>
        <w:t>Subdivision 2 — Provisional damages</w:t>
      </w:r>
      <w:bookmarkEnd w:id="166"/>
      <w:bookmarkEnd w:id="167"/>
      <w:bookmarkEnd w:id="168"/>
      <w:bookmarkEnd w:id="169"/>
      <w:bookmarkEnd w:id="170"/>
      <w:bookmarkEnd w:id="171"/>
    </w:p>
    <w:p>
      <w:pPr>
        <w:pStyle w:val="Footnoteheading"/>
      </w:pPr>
      <w:r>
        <w:tab/>
        <w:t>[Heading inserted: No. 32 of 2024 s. 5.]</w:t>
      </w:r>
    </w:p>
    <w:p>
      <w:pPr>
        <w:pStyle w:val="Heading5"/>
      </w:pPr>
      <w:bookmarkStart w:id="172" w:name="_Toc178258693"/>
      <w:bookmarkStart w:id="173" w:name="_Toc183423142"/>
      <w:r>
        <w:rPr>
          <w:rStyle w:val="CharSectno"/>
        </w:rPr>
        <w:t>15AC</w:t>
      </w:r>
      <w:r>
        <w:t>.</w:t>
      </w:r>
      <w:r>
        <w:tab/>
        <w:t>Award of provisional damages</w:t>
      </w:r>
      <w:bookmarkEnd w:id="172"/>
      <w:bookmarkEnd w:id="173"/>
    </w:p>
    <w:p>
      <w:pPr>
        <w:pStyle w:val="Subsection"/>
      </w:pPr>
      <w:r>
        <w:tab/>
        <w:t>(1)</w:t>
      </w:r>
      <w:r>
        <w:tab/>
        <w:t xml:space="preserve">In an action (an </w:t>
      </w:r>
      <w:r>
        <w:rPr>
          <w:rStyle w:val="CharDefText"/>
        </w:rPr>
        <w:t>initial action</w:t>
      </w:r>
      <w:r>
        <w:t xml:space="preserve">) in respect of a dust disease suffered by a plaintiff for which personal injury damages are </w:t>
      </w:r>
      <w:r>
        <w:lastRenderedPageBreak/>
        <w:t>claimed, the Court may award damages (</w:t>
      </w:r>
      <w:r>
        <w:rPr>
          <w:rStyle w:val="CharDefText"/>
        </w:rPr>
        <w:t>provisional damages</w:t>
      </w:r>
      <w:r>
        <w:t>) on a provisional basis for that dust disease.</w:t>
      </w:r>
    </w:p>
    <w:p>
      <w:pPr>
        <w:pStyle w:val="Subsection"/>
      </w:pPr>
      <w:r>
        <w:tab/>
        <w:t>(2)</w:t>
      </w:r>
      <w:r>
        <w:tab/>
        <w:t xml:space="preserve">Despite subsection (1), provisional damages can only be awarded if the initial action is commenced in the Court by an indorsed writ or a writ indorsed with a statement of claim (as the case may be) that — </w:t>
      </w:r>
    </w:p>
    <w:p>
      <w:pPr>
        <w:pStyle w:val="Indenta"/>
      </w:pPr>
      <w:r>
        <w:tab/>
        <w:t>(a)</w:t>
      </w:r>
      <w:r>
        <w:tab/>
        <w:t>nominates provisional damages as the remedy required; and</w:t>
      </w:r>
    </w:p>
    <w:p>
      <w:pPr>
        <w:pStyle w:val="Indenta"/>
      </w:pPr>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p>
    <w:p>
      <w:pPr>
        <w:pStyle w:val="Footnotesection"/>
      </w:pPr>
      <w:r>
        <w:tab/>
        <w:t>[Section 15AC inserted: No. 32 of 2024 s. 5.]</w:t>
      </w:r>
    </w:p>
    <w:p>
      <w:pPr>
        <w:pStyle w:val="Heading5"/>
      </w:pPr>
      <w:bookmarkStart w:id="174" w:name="_Toc178258694"/>
      <w:bookmarkStart w:id="175" w:name="_Toc183423143"/>
      <w:r>
        <w:rPr>
          <w:rStyle w:val="CharSectno"/>
        </w:rPr>
        <w:t>15AD</w:t>
      </w:r>
      <w:r>
        <w:t>.</w:t>
      </w:r>
      <w:r>
        <w:tab/>
        <w:t>Amount of provisional damages</w:t>
      </w:r>
      <w:bookmarkEnd w:id="174"/>
      <w:bookmarkEnd w:id="175"/>
    </w:p>
    <w:p>
      <w:pPr>
        <w:pStyle w:val="Subsection"/>
      </w:pPr>
      <w:r>
        <w:tab/>
      </w:r>
      <w:r>
        <w:tab/>
        <w:t>In determining the amount of provisional damages to award to a plaintiff the Court must not assume that the plaintiff will develop a subsequent dust disease.</w:t>
      </w:r>
    </w:p>
    <w:p>
      <w:pPr>
        <w:pStyle w:val="Footnotesection"/>
      </w:pPr>
      <w:r>
        <w:tab/>
        <w:t>[Section 15AD inserted: No. 32 of 2024 s. 5.]</w:t>
      </w:r>
    </w:p>
    <w:p>
      <w:pPr>
        <w:pStyle w:val="Heading5"/>
      </w:pPr>
      <w:bookmarkStart w:id="176" w:name="_Toc178258695"/>
      <w:bookmarkStart w:id="177" w:name="_Toc183423144"/>
      <w:r>
        <w:rPr>
          <w:rStyle w:val="CharSectno"/>
        </w:rPr>
        <w:t>15AE</w:t>
      </w:r>
      <w:r>
        <w:t>.</w:t>
      </w:r>
      <w:r>
        <w:tab/>
        <w:t>Settlement agreement in initial action</w:t>
      </w:r>
      <w:bookmarkEnd w:id="176"/>
      <w:bookmarkEnd w:id="177"/>
    </w:p>
    <w:p>
      <w:pPr>
        <w:pStyle w:val="Subsection"/>
      </w:pPr>
      <w:r>
        <w:tab/>
      </w:r>
      <w:r>
        <w:tab/>
        <w:t xml:space="preserve">An agreement (a </w:t>
      </w:r>
      <w:r>
        <w:rPr>
          <w:rStyle w:val="CharDefText"/>
        </w:rPr>
        <w:t>settlement agreement</w:t>
      </w:r>
      <w:r>
        <w:t xml:space="preserve">) effecting the settlement of an initial action must specify the following — </w:t>
      </w:r>
    </w:p>
    <w:p>
      <w:pPr>
        <w:pStyle w:val="Indenta"/>
      </w:pPr>
      <w:r>
        <w:tab/>
        <w:t>(a)</w:t>
      </w:r>
      <w:r>
        <w:tab/>
        <w:t>any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dust disease; and</w:t>
      </w:r>
    </w:p>
    <w:p>
      <w:pPr>
        <w:pStyle w:val="Indenti"/>
      </w:pPr>
      <w:r>
        <w:tab/>
        <w:t>(ii)</w:t>
      </w:r>
      <w:r>
        <w:tab/>
        <w:t>if a subsequent dust disease is specified in accordance with paragraph (a) — the subsequent dust disease;</w:t>
      </w:r>
    </w:p>
    <w:p>
      <w:pPr>
        <w:pStyle w:val="Indenta"/>
      </w:pPr>
      <w:r>
        <w:lastRenderedPageBreak/>
        <w:tab/>
        <w:t>(c)</w:t>
      </w:r>
      <w:r>
        <w:tab/>
        <w:t>whether or not the plaintiff is barred from commencing a subsequent action in relation to a subsequent dust disease specified in accordance with paragraph (a).</w:t>
      </w:r>
    </w:p>
    <w:p>
      <w:pPr>
        <w:pStyle w:val="Footnotesection"/>
      </w:pPr>
      <w:r>
        <w:tab/>
        <w:t>[Section 15AE inserted: No. 32 of 2024 s. 5.]</w:t>
      </w:r>
    </w:p>
    <w:p>
      <w:pPr>
        <w:pStyle w:val="Heading5"/>
      </w:pPr>
      <w:bookmarkStart w:id="178" w:name="_Toc178258696"/>
      <w:bookmarkStart w:id="179" w:name="_Toc183423145"/>
      <w:r>
        <w:rPr>
          <w:rStyle w:val="CharSectno"/>
        </w:rPr>
        <w:t>15AF</w:t>
      </w:r>
      <w:r>
        <w:t>.</w:t>
      </w:r>
      <w:r>
        <w:tab/>
        <w:t>Consequence of settlement in initial action</w:t>
      </w:r>
      <w:bookmarkEnd w:id="178"/>
      <w:bookmarkEnd w:id="179"/>
    </w:p>
    <w:p>
      <w:pPr>
        <w:pStyle w:val="Subsection"/>
      </w:pPr>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p>
    <w:p>
      <w:pPr>
        <w:pStyle w:val="Subsection"/>
      </w:pPr>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p>
    <w:p>
      <w:pPr>
        <w:pStyle w:val="Footnotesection"/>
      </w:pPr>
      <w:r>
        <w:tab/>
        <w:t>[Section 15AF inserted: No. 32 of 2024 s. 5.]</w:t>
      </w:r>
    </w:p>
    <w:p>
      <w:pPr>
        <w:pStyle w:val="Heading4"/>
      </w:pPr>
      <w:bookmarkStart w:id="180" w:name="_Toc178258513"/>
      <w:bookmarkStart w:id="181" w:name="_Toc178258585"/>
      <w:bookmarkStart w:id="182" w:name="_Toc178258697"/>
      <w:bookmarkStart w:id="183" w:name="_Toc183182220"/>
      <w:bookmarkStart w:id="184" w:name="_Toc183182359"/>
      <w:bookmarkStart w:id="185" w:name="_Toc183423146"/>
      <w:r>
        <w:t>Subdivision 3 — Subsequent damages</w:t>
      </w:r>
      <w:bookmarkEnd w:id="180"/>
      <w:bookmarkEnd w:id="181"/>
      <w:bookmarkEnd w:id="182"/>
      <w:bookmarkEnd w:id="183"/>
      <w:bookmarkEnd w:id="184"/>
      <w:bookmarkEnd w:id="185"/>
    </w:p>
    <w:p>
      <w:pPr>
        <w:pStyle w:val="Footnoteheading"/>
      </w:pPr>
      <w:r>
        <w:tab/>
        <w:t>[Heading inserted: No. 32 of 2024 s. 5.]</w:t>
      </w:r>
    </w:p>
    <w:p>
      <w:pPr>
        <w:pStyle w:val="Heading5"/>
      </w:pPr>
      <w:bookmarkStart w:id="186" w:name="_Toc178258698"/>
      <w:bookmarkStart w:id="187" w:name="_Toc183423147"/>
      <w:r>
        <w:rPr>
          <w:rStyle w:val="CharSectno"/>
        </w:rPr>
        <w:t>15AG</w:t>
      </w:r>
      <w:r>
        <w:t>.</w:t>
      </w:r>
      <w:r>
        <w:tab/>
        <w:t>Award of subsequent damages</w:t>
      </w:r>
      <w:bookmarkEnd w:id="186"/>
      <w:bookmarkEnd w:id="187"/>
    </w:p>
    <w:p>
      <w:pPr>
        <w:pStyle w:val="Subsection"/>
      </w:pPr>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p>
    <w:p>
      <w:pPr>
        <w:pStyle w:val="Subsection"/>
      </w:pPr>
      <w:r>
        <w:tab/>
        <w:t>(2)</w:t>
      </w:r>
      <w:r>
        <w:tab/>
        <w:t>A subsequent action must be commenced in the Court.</w:t>
      </w:r>
    </w:p>
    <w:p>
      <w:pPr>
        <w:pStyle w:val="Subsection"/>
      </w:pPr>
      <w:r>
        <w:tab/>
        <w:t>(3)</w:t>
      </w:r>
      <w:r>
        <w:tab/>
        <w:t>A subsequent action must be in respect of a subsequent dust disease specified in the indorsed writ or a writ indorsed with a statement of claim (as the case may be) that commenced the initial action.</w:t>
      </w:r>
    </w:p>
    <w:p>
      <w:pPr>
        <w:pStyle w:val="Subsection"/>
      </w:pPr>
      <w:r>
        <w:lastRenderedPageBreak/>
        <w:tab/>
        <w:t>(4)</w:t>
      </w:r>
      <w:r>
        <w:tab/>
        <w:t>A plaintiff may commence more than 1 subsequent action, with each subsequent action relating to a subsequent dust disease or more than 1 subsequent dust disease.</w:t>
      </w:r>
    </w:p>
    <w:p>
      <w:pPr>
        <w:pStyle w:val="Subsection"/>
      </w:pPr>
      <w:r>
        <w:tab/>
        <w:t>(5)</w:t>
      </w:r>
      <w:r>
        <w:tab/>
        <w:t>Despite subsection (4), a plaintiff cannot commence a subsequent action in relation to a subsequent dust disease that has already been the subject of a subsequent action.</w:t>
      </w:r>
    </w:p>
    <w:p>
      <w:pPr>
        <w:pStyle w:val="Subsection"/>
      </w:pPr>
      <w:r>
        <w:tab/>
        <w:t>(6)</w:t>
      </w:r>
      <w:r>
        <w:tab/>
        <w:t xml:space="preserve">A plaintiff is barred from commencing a subsequent action if — </w:t>
      </w:r>
    </w:p>
    <w:p>
      <w:pPr>
        <w:pStyle w:val="Indenta"/>
      </w:pPr>
      <w:r>
        <w:tab/>
        <w:t>(a)</w:t>
      </w:r>
      <w:r>
        <w:tab/>
        <w:t>the initial action was disposed of in whole by a settlement agreement that specifies that the plaintiff is barred from commencing a subsequent action; or</w:t>
      </w:r>
    </w:p>
    <w:p>
      <w:pPr>
        <w:pStyle w:val="Indenta"/>
      </w:pPr>
      <w:r>
        <w:tab/>
        <w:t>(b)</w:t>
      </w:r>
      <w:r>
        <w:tab/>
        <w:t>any other subsequent action was disposed of in whole by a settlement agreement that specifies that the plaintiff is barred from commencing another subsequent action.</w:t>
      </w:r>
    </w:p>
    <w:p>
      <w:pPr>
        <w:pStyle w:val="Footnotesection"/>
      </w:pPr>
      <w:r>
        <w:tab/>
        <w:t>[Section 15AG inserted: No. 32 of 2024 s. 5.]</w:t>
      </w:r>
    </w:p>
    <w:p>
      <w:pPr>
        <w:pStyle w:val="Heading5"/>
      </w:pPr>
      <w:bookmarkStart w:id="188" w:name="_Toc178258699"/>
      <w:bookmarkStart w:id="189" w:name="_Toc183423148"/>
      <w:r>
        <w:rPr>
          <w:rStyle w:val="CharSectno"/>
        </w:rPr>
        <w:t>15AH</w:t>
      </w:r>
      <w:r>
        <w:t>.</w:t>
      </w:r>
      <w:r>
        <w:tab/>
        <w:t>Court must give effect to terms of settlement agreements</w:t>
      </w:r>
      <w:bookmarkEnd w:id="188"/>
      <w:bookmarkEnd w:id="189"/>
    </w:p>
    <w:p>
      <w:pPr>
        <w:pStyle w:val="Subsection"/>
      </w:pPr>
      <w:r>
        <w:tab/>
        <w:t>(1)</w:t>
      </w:r>
      <w:r>
        <w:tab/>
        <w:t xml:space="preserve">In this section — </w:t>
      </w:r>
    </w:p>
    <w:p>
      <w:pPr>
        <w:pStyle w:val="Defstart"/>
      </w:pPr>
      <w:r>
        <w:tab/>
      </w:r>
      <w:r>
        <w:rPr>
          <w:rStyle w:val="CharDefText"/>
        </w:rPr>
        <w:t>information</w:t>
      </w:r>
      <w:r>
        <w:t xml:space="preserve"> includes any document;</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publication</w:t>
      </w:r>
      <w:r>
        <w:t>, in relation to information, means the dissemination of information to the public or a section of the public by any means, including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suppression order</w:t>
      </w:r>
      <w:r>
        <w:t xml:space="preserve"> means an order that prohibits or restricts the disclosure of information (by publication or otherwise).</w:t>
      </w:r>
    </w:p>
    <w:p>
      <w:pPr>
        <w:pStyle w:val="Subsection"/>
      </w:pPr>
      <w:r>
        <w:tab/>
        <w:t>(2)</w:t>
      </w:r>
      <w:r>
        <w:tab/>
        <w:t xml:space="preserve">In a subsequent action the Court must consider, and if relevant give effect to, the terms of any settlement agreement entered </w:t>
      </w:r>
      <w:r>
        <w:lastRenderedPageBreak/>
        <w:t xml:space="preserve">into by the parties effecting the settlement, in whole or in part, of — </w:t>
      </w:r>
    </w:p>
    <w:p>
      <w:pPr>
        <w:pStyle w:val="Indenta"/>
      </w:pPr>
      <w:r>
        <w:tab/>
        <w:t>(a)</w:t>
      </w:r>
      <w:r>
        <w:tab/>
        <w:t>the subsequent action; or</w:t>
      </w:r>
    </w:p>
    <w:p>
      <w:pPr>
        <w:pStyle w:val="Indenta"/>
      </w:pPr>
      <w:r>
        <w:tab/>
        <w:t>(b)</w:t>
      </w:r>
      <w:r>
        <w:tab/>
        <w:t>the initial action; or</w:t>
      </w:r>
    </w:p>
    <w:p>
      <w:pPr>
        <w:pStyle w:val="Indenta"/>
      </w:pPr>
      <w:r>
        <w:tab/>
        <w:t>(c)</w:t>
      </w:r>
      <w:r>
        <w:tab/>
        <w:t>any other subsequent action.</w:t>
      </w:r>
    </w:p>
    <w:p>
      <w:pPr>
        <w:pStyle w:val="Subsection"/>
      </w:pPr>
      <w:r>
        <w:tab/>
        <w:t>(3)</w:t>
      </w:r>
      <w:r>
        <w:tab/>
        <w:t>The Court may, on its own initiative or on the application of a party to the proceedings, make a suppression order or non</w:t>
      </w:r>
      <w:r>
        <w:noBreakHyphen/>
        <w:t>publication order in relation to any terms of a settlement agreement considered under subsection (2).</w:t>
      </w:r>
    </w:p>
    <w:p>
      <w:pPr>
        <w:pStyle w:val="Subsection"/>
      </w:pPr>
      <w:r>
        <w:tab/>
        <w:t>(4)</w:t>
      </w:r>
      <w:r>
        <w:tab/>
        <w:t>The Court may only make a suppression order or non</w:t>
      </w:r>
      <w:r>
        <w:noBreakHyphen/>
        <w:t>publication order under subsection (3) if the Court considers that making the order is necessary for the proper administration of justice.</w:t>
      </w:r>
    </w:p>
    <w:p>
      <w:pPr>
        <w:pStyle w:val="Subsection"/>
      </w:pPr>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p>
    <w:p>
      <w:pPr>
        <w:pStyle w:val="Subsection"/>
      </w:pPr>
      <w:r>
        <w:tab/>
        <w:t>(6)</w:t>
      </w:r>
      <w:r>
        <w:tab/>
        <w:t>A suppression order or non</w:t>
      </w:r>
      <w:r>
        <w:noBreakHyphen/>
        <w:t>publication order may be made subject to any exceptions or conditions as the Court thinks fit and specifies in the order.</w:t>
      </w:r>
    </w:p>
    <w:p>
      <w:pPr>
        <w:pStyle w:val="Subsection"/>
      </w:pPr>
      <w:r>
        <w:tab/>
        <w:t>(7)</w:t>
      </w:r>
      <w:r>
        <w:tab/>
        <w:t>This section does not limit or otherwise affect any powers that the Court has apart from this section to regulate its proceedings or to deal with a contempt of the Court.</w:t>
      </w:r>
    </w:p>
    <w:p>
      <w:pPr>
        <w:pStyle w:val="Footnotesection"/>
      </w:pPr>
      <w:r>
        <w:tab/>
        <w:t>[Section 15AH inserted: No. 32 of 2024 s. 5.]</w:t>
      </w:r>
    </w:p>
    <w:p>
      <w:pPr>
        <w:pStyle w:val="Heading5"/>
      </w:pPr>
      <w:bookmarkStart w:id="190" w:name="_Toc178258700"/>
      <w:bookmarkStart w:id="191" w:name="_Toc183423149"/>
      <w:r>
        <w:rPr>
          <w:rStyle w:val="CharSectno"/>
        </w:rPr>
        <w:t>15AI</w:t>
      </w:r>
      <w:r>
        <w:t>.</w:t>
      </w:r>
      <w:r>
        <w:tab/>
        <w:t>Evidence to apply in subsequent actions</w:t>
      </w:r>
      <w:bookmarkEnd w:id="190"/>
      <w:bookmarkEnd w:id="191"/>
    </w:p>
    <w:p>
      <w:pPr>
        <w:pStyle w:val="Subsection"/>
      </w:pPr>
      <w:r>
        <w:tab/>
      </w:r>
      <w:r>
        <w:tab/>
        <w:t xml:space="preserve">In a subsequent action, the Court may — </w:t>
      </w:r>
    </w:p>
    <w:p>
      <w:pPr>
        <w:pStyle w:val="Indenta"/>
      </w:pPr>
      <w:r>
        <w:tab/>
        <w:t>(a)</w:t>
      </w:r>
      <w:r>
        <w:tab/>
        <w:t>admit into evidence any evidence admitted in the initial action or any other subsequent action; and</w:t>
      </w:r>
    </w:p>
    <w:p>
      <w:pPr>
        <w:pStyle w:val="Indenta"/>
      </w:pPr>
      <w:r>
        <w:tab/>
        <w:t>(b)</w:t>
      </w:r>
      <w:r>
        <w:tab/>
        <w:t>make a finding of fact that has been made in the initial action or any other subsequent action.</w:t>
      </w:r>
    </w:p>
    <w:p>
      <w:pPr>
        <w:pStyle w:val="Footnotesection"/>
      </w:pPr>
      <w:r>
        <w:lastRenderedPageBreak/>
        <w:tab/>
        <w:t>[Section 15AI inserted: No. 32 of 2024 s. 5.]</w:t>
      </w:r>
    </w:p>
    <w:p>
      <w:pPr>
        <w:pStyle w:val="Heading5"/>
      </w:pPr>
      <w:bookmarkStart w:id="192" w:name="_Toc178258701"/>
      <w:bookmarkStart w:id="193" w:name="_Toc183423150"/>
      <w:r>
        <w:rPr>
          <w:rStyle w:val="CharSectno"/>
        </w:rPr>
        <w:t>15AJ</w:t>
      </w:r>
      <w:r>
        <w:t>.</w:t>
      </w:r>
      <w:r>
        <w:tab/>
        <w:t>One award of subsequent damages for each subsequent dust disease</w:t>
      </w:r>
      <w:bookmarkEnd w:id="192"/>
      <w:bookmarkEnd w:id="193"/>
    </w:p>
    <w:p>
      <w:pPr>
        <w:pStyle w:val="Subsection"/>
      </w:pPr>
      <w:r>
        <w:tab/>
      </w:r>
      <w:r>
        <w:tab/>
        <w:t>Only 1 award of subsequent damages can be made for each subsequent dust disease that is claimed in a subsequent action.</w:t>
      </w:r>
    </w:p>
    <w:p>
      <w:pPr>
        <w:pStyle w:val="Footnotesection"/>
      </w:pPr>
      <w:r>
        <w:tab/>
        <w:t>[Section 15AJ inserted: No. 32 of 2024 s. 5.]</w:t>
      </w:r>
    </w:p>
    <w:p>
      <w:pPr>
        <w:pStyle w:val="Heading5"/>
      </w:pPr>
      <w:bookmarkStart w:id="194" w:name="_Toc178258702"/>
      <w:bookmarkStart w:id="195" w:name="_Toc183423151"/>
      <w:r>
        <w:rPr>
          <w:rStyle w:val="CharSectno"/>
        </w:rPr>
        <w:t>15AK</w:t>
      </w:r>
      <w:r>
        <w:t>.</w:t>
      </w:r>
      <w:r>
        <w:tab/>
        <w:t>Amount of subsequent damages</w:t>
      </w:r>
      <w:bookmarkEnd w:id="194"/>
      <w:bookmarkEnd w:id="195"/>
    </w:p>
    <w:p>
      <w:pPr>
        <w:pStyle w:val="Subsection"/>
      </w:pPr>
      <w:r>
        <w:tab/>
      </w:r>
      <w:r>
        <w:tab/>
        <w:t xml:space="preserve">In determining the amount of subsequent damages to award, the Court must take into account any amount — </w:t>
      </w:r>
    </w:p>
    <w:p>
      <w:pPr>
        <w:pStyle w:val="Indenta"/>
      </w:pPr>
      <w:r>
        <w:tab/>
        <w:t>(a)</w:t>
      </w:r>
      <w:r>
        <w:tab/>
        <w:t xml:space="preserve">awarded to the plaintiff — </w:t>
      </w:r>
    </w:p>
    <w:p>
      <w:pPr>
        <w:pStyle w:val="Indenti"/>
      </w:pPr>
      <w:r>
        <w:tab/>
        <w:t>(i)</w:t>
      </w:r>
      <w:r>
        <w:tab/>
        <w:t>in the initial action by way of provisional damages; and</w:t>
      </w:r>
    </w:p>
    <w:p>
      <w:pPr>
        <w:pStyle w:val="Indenti"/>
      </w:pPr>
      <w:r>
        <w:tab/>
        <w:t>(ii)</w:t>
      </w:r>
      <w:r>
        <w:tab/>
        <w:t>in any other subsequent action by way of subsequent damages;</w:t>
      </w:r>
    </w:p>
    <w:p>
      <w:pPr>
        <w:pStyle w:val="Indenta"/>
      </w:pPr>
      <w:r>
        <w:tab/>
      </w:r>
      <w:r>
        <w:tab/>
        <w:t>and</w:t>
      </w:r>
    </w:p>
    <w:p>
      <w:pPr>
        <w:pStyle w:val="Indenta"/>
      </w:pPr>
      <w:r>
        <w:tab/>
        <w:t>(b)</w:t>
      </w:r>
      <w:r>
        <w:tab/>
        <w:t xml:space="preserve">received by the plaintiff in settlement of — </w:t>
      </w:r>
    </w:p>
    <w:p>
      <w:pPr>
        <w:pStyle w:val="Indenti"/>
      </w:pPr>
      <w:r>
        <w:tab/>
        <w:t>(i)</w:t>
      </w:r>
      <w:r>
        <w:tab/>
        <w:t>the initial action; or</w:t>
      </w:r>
    </w:p>
    <w:p>
      <w:pPr>
        <w:pStyle w:val="Indenti"/>
      </w:pPr>
      <w:r>
        <w:tab/>
        <w:t>(ii)</w:t>
      </w:r>
      <w:r>
        <w:tab/>
        <w:t>any other subsequent action.</w:t>
      </w:r>
    </w:p>
    <w:p>
      <w:pPr>
        <w:pStyle w:val="Footnotesection"/>
      </w:pPr>
      <w:r>
        <w:tab/>
        <w:t>[Section 15AK inserted: No. 32 of 2024 s. 5.]</w:t>
      </w:r>
    </w:p>
    <w:p>
      <w:pPr>
        <w:pStyle w:val="Heading5"/>
      </w:pPr>
      <w:bookmarkStart w:id="196" w:name="_Toc178258703"/>
      <w:bookmarkStart w:id="197" w:name="_Toc183423152"/>
      <w:r>
        <w:rPr>
          <w:rStyle w:val="CharSectno"/>
        </w:rPr>
        <w:t>15AL</w:t>
      </w:r>
      <w:r>
        <w:t>.</w:t>
      </w:r>
      <w:r>
        <w:tab/>
        <w:t>Settlement agreement in subsequent action</w:t>
      </w:r>
      <w:bookmarkEnd w:id="196"/>
      <w:bookmarkEnd w:id="197"/>
    </w:p>
    <w:p>
      <w:pPr>
        <w:pStyle w:val="Subsection"/>
      </w:pPr>
      <w:r>
        <w:tab/>
      </w:r>
      <w:r>
        <w:tab/>
        <w:t xml:space="preserve">An agreement (a </w:t>
      </w:r>
      <w:r>
        <w:rPr>
          <w:rStyle w:val="CharDefText"/>
        </w:rPr>
        <w:t>settlement agreement</w:t>
      </w:r>
      <w:r>
        <w:t xml:space="preserve">) effecting the settlement of a subsequent action must specify the following — </w:t>
      </w:r>
    </w:p>
    <w:p>
      <w:pPr>
        <w:pStyle w:val="Indenta"/>
      </w:pPr>
      <w:r>
        <w:tab/>
        <w:t>(a)</w:t>
      </w:r>
      <w:r>
        <w:tab/>
        <w:t>any other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subsequent dust disease; and</w:t>
      </w:r>
    </w:p>
    <w:p>
      <w:pPr>
        <w:pStyle w:val="Indenti"/>
      </w:pPr>
      <w:r>
        <w:lastRenderedPageBreak/>
        <w:tab/>
        <w:t>(ii)</w:t>
      </w:r>
      <w:r>
        <w:tab/>
        <w:t>if another subsequent dust disease is specified in accordance with paragraph (a) — that subsequent dust disease;</w:t>
      </w:r>
    </w:p>
    <w:p>
      <w:pPr>
        <w:pStyle w:val="Indenta"/>
      </w:pPr>
      <w:r>
        <w:tab/>
        <w:t>(c)</w:t>
      </w:r>
      <w:r>
        <w:tab/>
        <w:t>whether or not the plaintiff is barred from commencing another subsequent action in relation to a subsequent dust disease specified in accordance with paragraph (a).</w:t>
      </w:r>
    </w:p>
    <w:p>
      <w:pPr>
        <w:pStyle w:val="Footnotesection"/>
      </w:pPr>
      <w:r>
        <w:tab/>
        <w:t>[Section 15AL inserted: No. 32 of 2024 s. 5.]</w:t>
      </w:r>
    </w:p>
    <w:p>
      <w:pPr>
        <w:pStyle w:val="Heading5"/>
      </w:pPr>
      <w:bookmarkStart w:id="198" w:name="_Toc178258704"/>
      <w:bookmarkStart w:id="199" w:name="_Toc183423153"/>
      <w:r>
        <w:rPr>
          <w:rStyle w:val="CharSectno"/>
        </w:rPr>
        <w:t>15AM</w:t>
      </w:r>
      <w:r>
        <w:t>.</w:t>
      </w:r>
      <w:r>
        <w:tab/>
        <w:t>Consequence of settlement in subsequent action</w:t>
      </w:r>
      <w:bookmarkEnd w:id="198"/>
      <w:bookmarkEnd w:id="199"/>
    </w:p>
    <w:p>
      <w:pPr>
        <w:pStyle w:val="Subsection"/>
      </w:pPr>
      <w:r>
        <w:tab/>
        <w:t>(1)</w:t>
      </w:r>
      <w:r>
        <w:tab/>
        <w:t>If a subsequent action is disposed of in whole by a settlement agreement that specifies that the plaintiff is not barred from commencing another subsequent action, the subsequent action must be discontinued.</w:t>
      </w:r>
    </w:p>
    <w:p>
      <w:pPr>
        <w:pStyle w:val="Subsection"/>
      </w:pPr>
      <w:r>
        <w:tab/>
        <w:t>(2)</w:t>
      </w:r>
      <w:r>
        <w:tab/>
        <w:t>If a subsequent action is disposed of in whole by a settlement agreement that specifies that the plaintiff is barred from commencing another subsequent action, the subsequent action may be dismissed.</w:t>
      </w:r>
    </w:p>
    <w:p>
      <w:pPr>
        <w:pStyle w:val="Footnotesection"/>
      </w:pPr>
      <w:r>
        <w:tab/>
        <w:t>[Section 15AM inserted: No. 32 of 2024 s. 5.]</w:t>
      </w:r>
    </w:p>
    <w:p>
      <w:pPr>
        <w:pStyle w:val="Heading5"/>
      </w:pPr>
      <w:bookmarkStart w:id="200" w:name="_Toc178258705"/>
      <w:bookmarkStart w:id="201" w:name="_Toc183423154"/>
      <w:r>
        <w:rPr>
          <w:rStyle w:val="CharSectno"/>
        </w:rPr>
        <w:t>15AN</w:t>
      </w:r>
      <w:r>
        <w:t>.</w:t>
      </w:r>
      <w:r>
        <w:tab/>
        <w:t>Costs</w:t>
      </w:r>
      <w:bookmarkEnd w:id="200"/>
      <w:bookmarkEnd w:id="201"/>
    </w:p>
    <w:p>
      <w:pPr>
        <w:pStyle w:val="Subsection"/>
      </w:pPr>
      <w:r>
        <w:tab/>
      </w:r>
      <w:r>
        <w:tab/>
        <w:t xml:space="preserve">In determining costs in relation to a subsequent action, the Court must have regard to — </w:t>
      </w:r>
    </w:p>
    <w:p>
      <w:pPr>
        <w:pStyle w:val="Indenta"/>
      </w:pPr>
      <w:r>
        <w:tab/>
        <w:t>(a)</w:t>
      </w:r>
      <w:r>
        <w:tab/>
        <w:t xml:space="preserve">any amount of costs awarded in relation to — </w:t>
      </w:r>
    </w:p>
    <w:p>
      <w:pPr>
        <w:pStyle w:val="Indenti"/>
      </w:pPr>
      <w:r>
        <w:tab/>
        <w:t>(i)</w:t>
      </w:r>
      <w:r>
        <w:tab/>
        <w:t>the initial action; and</w:t>
      </w:r>
    </w:p>
    <w:p>
      <w:pPr>
        <w:pStyle w:val="Indenti"/>
      </w:pPr>
      <w:r>
        <w:tab/>
        <w:t>(ii)</w:t>
      </w:r>
      <w:r>
        <w:tab/>
        <w:t>any other subsequent action;</w:t>
      </w:r>
    </w:p>
    <w:p>
      <w:pPr>
        <w:pStyle w:val="Indenta"/>
      </w:pPr>
      <w:r>
        <w:tab/>
      </w:r>
      <w:r>
        <w:tab/>
        <w:t>and</w:t>
      </w:r>
    </w:p>
    <w:p>
      <w:pPr>
        <w:pStyle w:val="Indenta"/>
      </w:pPr>
      <w:r>
        <w:tab/>
        <w:t>(b)</w:t>
      </w:r>
      <w:r>
        <w:tab/>
        <w:t>if costs were awarded under paragraph (a) — whether a basis for which costs were awarded is duplicated in a basis for which costs are subsequently claimed.</w:t>
      </w:r>
    </w:p>
    <w:p>
      <w:pPr>
        <w:pStyle w:val="Footnotesection"/>
      </w:pPr>
      <w:r>
        <w:tab/>
        <w:t>[Section 15AN inserted: No. 32 of 2024 s. 5.]</w:t>
      </w:r>
    </w:p>
    <w:p>
      <w:pPr>
        <w:pStyle w:val="Heading4"/>
      </w:pPr>
      <w:bookmarkStart w:id="202" w:name="_Toc178258522"/>
      <w:bookmarkStart w:id="203" w:name="_Toc178258594"/>
      <w:bookmarkStart w:id="204" w:name="_Toc178258706"/>
      <w:bookmarkStart w:id="205" w:name="_Toc183182229"/>
      <w:bookmarkStart w:id="206" w:name="_Toc183182368"/>
      <w:bookmarkStart w:id="207" w:name="_Toc183423155"/>
      <w:r>
        <w:lastRenderedPageBreak/>
        <w:t>Subdivision 4 — Transitional provisions</w:t>
      </w:r>
      <w:bookmarkEnd w:id="202"/>
      <w:bookmarkEnd w:id="203"/>
      <w:bookmarkEnd w:id="204"/>
      <w:bookmarkEnd w:id="205"/>
      <w:bookmarkEnd w:id="206"/>
      <w:bookmarkEnd w:id="207"/>
    </w:p>
    <w:p>
      <w:pPr>
        <w:pStyle w:val="Footnoteheading"/>
      </w:pPr>
      <w:r>
        <w:tab/>
        <w:t>[Heading inserted: No. 32 of 2024 s. 5.]</w:t>
      </w:r>
    </w:p>
    <w:p>
      <w:pPr>
        <w:pStyle w:val="Heading5"/>
      </w:pPr>
      <w:bookmarkStart w:id="208" w:name="_Toc178258707"/>
      <w:bookmarkStart w:id="209" w:name="_Toc183423156"/>
      <w:r>
        <w:rPr>
          <w:rStyle w:val="CharSectno"/>
        </w:rPr>
        <w:t>15AO</w:t>
      </w:r>
      <w:r>
        <w:t>.</w:t>
      </w:r>
      <w:r>
        <w:tab/>
        <w:t>Transitional provision</w:t>
      </w:r>
      <w:bookmarkEnd w:id="208"/>
      <w:bookmarkEnd w:id="209"/>
    </w:p>
    <w:p>
      <w:pPr>
        <w:pStyle w:val="Subsection"/>
      </w:pPr>
      <w:r>
        <w:tab/>
        <w:t>(1)</w:t>
      </w:r>
      <w:r>
        <w:tab/>
        <w:t xml:space="preserve">In this section — </w:t>
      </w:r>
    </w:p>
    <w:p>
      <w:pPr>
        <w:pStyle w:val="Defstart"/>
      </w:pPr>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p>
    <w:p>
      <w:pPr>
        <w:pStyle w:val="Subsection"/>
      </w:pPr>
      <w:r>
        <w:tab/>
        <w:t>(2)</w:t>
      </w:r>
      <w:r>
        <w:tab/>
        <w:t xml:space="preserve">If an action in respect of a dust disease suffered by a plaintiff for which personal injury damages are claimed is commenced before proclamation day, the claim may be amended to specify — </w:t>
      </w:r>
    </w:p>
    <w:p>
      <w:pPr>
        <w:pStyle w:val="Indenta"/>
      </w:pPr>
      <w:r>
        <w:tab/>
        <w:t>(a)</w:t>
      </w:r>
      <w:r>
        <w:tab/>
        <w:t>that provisional damages are the remedy required; and</w:t>
      </w:r>
    </w:p>
    <w:p>
      <w:pPr>
        <w:pStyle w:val="Indenta"/>
      </w:pPr>
      <w:r>
        <w:tab/>
        <w:t>(b)</w:t>
      </w:r>
      <w:r>
        <w:tab/>
        <w:t>a subsequent dust disease or more than 1 subsequent dust disease that the plaintiff may develop, wholly or partly as a result of the act or omission giving rise to the cause of action.</w:t>
      </w:r>
    </w:p>
    <w:p>
      <w:pPr>
        <w:pStyle w:val="Subsection"/>
      </w:pPr>
      <w:r>
        <w:tab/>
        <w:t>(3)</w:t>
      </w:r>
      <w:r>
        <w:tab/>
        <w:t xml:space="preserve">Despite subsection (2), this section does not apply if, before proclamation day — </w:t>
      </w:r>
    </w:p>
    <w:p>
      <w:pPr>
        <w:pStyle w:val="Indenta"/>
      </w:pPr>
      <w:r>
        <w:tab/>
        <w:t>(a)</w:t>
      </w:r>
      <w:r>
        <w:tab/>
        <w:t xml:space="preserve">the hearing of the action has commenced; or </w:t>
      </w:r>
    </w:p>
    <w:p>
      <w:pPr>
        <w:pStyle w:val="Indenta"/>
      </w:pPr>
      <w:r>
        <w:tab/>
        <w:t>(b)</w:t>
      </w:r>
      <w:r>
        <w:tab/>
        <w:t>damages have been awarded or a settlement reached in the action.</w:t>
      </w:r>
    </w:p>
    <w:p>
      <w:pPr>
        <w:pStyle w:val="Subsection"/>
      </w:pPr>
      <w:r>
        <w:tab/>
        <w:t>(4)</w:t>
      </w:r>
      <w:r>
        <w:tab/>
        <w:t>If a claim is commenced in a court other than the Court and the claim is amended in accordance with subsection (2), a registrar of the court in which the action was commenced must transfer the action to the Court.</w:t>
      </w:r>
    </w:p>
    <w:p>
      <w:pPr>
        <w:pStyle w:val="Footnotesection"/>
      </w:pPr>
      <w:r>
        <w:tab/>
        <w:t>[Section 15AO inserted: No. 32 of 2024 s. 5.]</w:t>
      </w:r>
    </w:p>
    <w:p>
      <w:pPr>
        <w:pStyle w:val="Heading2"/>
      </w:pPr>
      <w:bookmarkStart w:id="210" w:name="_Toc183180543"/>
      <w:bookmarkStart w:id="211" w:name="_Toc183182231"/>
      <w:bookmarkStart w:id="212" w:name="_Toc183182370"/>
      <w:bookmarkStart w:id="213" w:name="_Toc183423157"/>
      <w:r>
        <w:rPr>
          <w:rStyle w:val="CharPartNo"/>
        </w:rPr>
        <w:lastRenderedPageBreak/>
        <w:t>Part 2A</w:t>
      </w:r>
      <w:r>
        <w:t> — </w:t>
      </w:r>
      <w:r>
        <w:rPr>
          <w:rStyle w:val="CharPartText"/>
        </w:rPr>
        <w:t>Child sexual abuse actions</w:t>
      </w:r>
      <w:bookmarkEnd w:id="210"/>
      <w:bookmarkEnd w:id="211"/>
      <w:bookmarkEnd w:id="212"/>
      <w:bookmarkEnd w:id="213"/>
    </w:p>
    <w:p>
      <w:pPr>
        <w:pStyle w:val="Footnoteheading"/>
      </w:pPr>
      <w:r>
        <w:tab/>
        <w:t>[Heading inserted: No. 3 of 2018 s. 5.]</w:t>
      </w:r>
    </w:p>
    <w:p>
      <w:pPr>
        <w:pStyle w:val="Heading3"/>
      </w:pPr>
      <w:bookmarkStart w:id="214" w:name="_Toc183180544"/>
      <w:bookmarkStart w:id="215" w:name="_Toc183182232"/>
      <w:bookmarkStart w:id="216" w:name="_Toc183182371"/>
      <w:bookmarkStart w:id="217" w:name="_Toc183423158"/>
      <w:r>
        <w:rPr>
          <w:rStyle w:val="CharDivNo"/>
        </w:rPr>
        <w:t>Division 1</w:t>
      </w:r>
      <w:r>
        <w:t xml:space="preserve"> — </w:t>
      </w:r>
      <w:r>
        <w:rPr>
          <w:rStyle w:val="CharDivText"/>
        </w:rPr>
        <w:t>Preliminary</w:t>
      </w:r>
      <w:bookmarkEnd w:id="214"/>
      <w:bookmarkEnd w:id="215"/>
      <w:bookmarkEnd w:id="216"/>
      <w:bookmarkEnd w:id="217"/>
    </w:p>
    <w:p>
      <w:pPr>
        <w:pStyle w:val="Footnoteheading"/>
      </w:pPr>
      <w:r>
        <w:tab/>
        <w:t>[Heading inserted: No. 3 of 2018 s. 5.]</w:t>
      </w:r>
    </w:p>
    <w:p>
      <w:pPr>
        <w:pStyle w:val="Heading5"/>
      </w:pPr>
      <w:bookmarkStart w:id="218" w:name="_Toc183423159"/>
      <w:r>
        <w:rPr>
          <w:rStyle w:val="CharSectno"/>
        </w:rPr>
        <w:t>15A</w:t>
      </w:r>
      <w:r>
        <w:t>.</w:t>
      </w:r>
      <w:r>
        <w:tab/>
        <w:t>Terms used</w:t>
      </w:r>
      <w:bookmarkEnd w:id="218"/>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219" w:name="_Toc183180546"/>
      <w:bookmarkStart w:id="220" w:name="_Toc183182234"/>
      <w:bookmarkStart w:id="221" w:name="_Toc183182373"/>
      <w:bookmarkStart w:id="222" w:name="_Toc183423160"/>
      <w:r>
        <w:rPr>
          <w:rStyle w:val="CharDivNo"/>
        </w:rPr>
        <w:lastRenderedPageBreak/>
        <w:t>Division 2</w:t>
      </w:r>
      <w:r>
        <w:t xml:space="preserve"> — </w:t>
      </w:r>
      <w:r>
        <w:rPr>
          <w:rStyle w:val="CharDivText"/>
        </w:rPr>
        <w:t>Liability of certain office holders and institutions, and availability of assets</w:t>
      </w:r>
      <w:bookmarkEnd w:id="219"/>
      <w:bookmarkEnd w:id="220"/>
      <w:bookmarkEnd w:id="221"/>
      <w:bookmarkEnd w:id="222"/>
    </w:p>
    <w:p>
      <w:pPr>
        <w:pStyle w:val="Footnoteheading"/>
        <w:keepNext/>
      </w:pPr>
      <w:r>
        <w:tab/>
        <w:t>[Heading inserted: No. 3 of 2018 s. 5.]</w:t>
      </w:r>
    </w:p>
    <w:p>
      <w:pPr>
        <w:pStyle w:val="Heading5"/>
      </w:pPr>
      <w:bookmarkStart w:id="223" w:name="_Toc183423161"/>
      <w:r>
        <w:rPr>
          <w:rStyle w:val="CharSectno"/>
        </w:rPr>
        <w:t>15B</w:t>
      </w:r>
      <w:r>
        <w:t>.</w:t>
      </w:r>
      <w:r>
        <w:tab/>
        <w:t>Liability of current office holder in unincorporated institution</w:t>
      </w:r>
      <w:bookmarkEnd w:id="223"/>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lastRenderedPageBreak/>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224" w:name="_Toc183423162"/>
      <w:r>
        <w:rPr>
          <w:rStyle w:val="CharSectno"/>
        </w:rPr>
        <w:t>15C</w:t>
      </w:r>
      <w:r>
        <w:t>.</w:t>
      </w:r>
      <w:r>
        <w:tab/>
        <w:t>Assets available for judgments and settlements: office holders</w:t>
      </w:r>
      <w:bookmarkEnd w:id="224"/>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lastRenderedPageBreak/>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225" w:name="_Toc183423163"/>
      <w:r>
        <w:rPr>
          <w:rStyle w:val="CharSectno"/>
        </w:rPr>
        <w:t>15D</w:t>
      </w:r>
      <w:r>
        <w:t>.</w:t>
      </w:r>
      <w:r>
        <w:tab/>
        <w:t>Liability of incorporated institution that was unincorporated at time of abuse</w:t>
      </w:r>
      <w:bookmarkEnd w:id="225"/>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lastRenderedPageBreak/>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226" w:name="_Toc183423164"/>
      <w:r>
        <w:rPr>
          <w:rStyle w:val="CharSectno"/>
        </w:rPr>
        <w:t>15E</w:t>
      </w:r>
      <w:r>
        <w:t>.</w:t>
      </w:r>
      <w:r>
        <w:tab/>
        <w:t>Assets available for judgments and settlements: institutions</w:t>
      </w:r>
      <w:bookmarkEnd w:id="226"/>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lastRenderedPageBreak/>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227" w:name="_Toc183423165"/>
      <w:r>
        <w:rPr>
          <w:rStyle w:val="CharSectno"/>
        </w:rPr>
        <w:t>15F</w:t>
      </w:r>
      <w:r>
        <w:t>.</w:t>
      </w:r>
      <w:r>
        <w:tab/>
        <w:t>Continuity of institutions: institution substantially the same</w:t>
      </w:r>
      <w:bookmarkEnd w:id="227"/>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lastRenderedPageBreak/>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228" w:name="_Toc183423166"/>
      <w:r>
        <w:rPr>
          <w:rStyle w:val="CharSectno"/>
        </w:rPr>
        <w:t>15G</w:t>
      </w:r>
      <w:r>
        <w:t>.</w:t>
      </w:r>
      <w:r>
        <w:tab/>
        <w:t>Continuity of institutions: no institution the same or substantially the same</w:t>
      </w:r>
      <w:bookmarkEnd w:id="228"/>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lastRenderedPageBreak/>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229" w:name="_Toc183423167"/>
      <w:r>
        <w:rPr>
          <w:rStyle w:val="CharSectno"/>
        </w:rPr>
        <w:lastRenderedPageBreak/>
        <w:t>15H</w:t>
      </w:r>
      <w:r>
        <w:t>.</w:t>
      </w:r>
      <w:r>
        <w:tab/>
        <w:t>Continuity of offices</w:t>
      </w:r>
      <w:bookmarkEnd w:id="229"/>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230" w:name="_Toc183423168"/>
      <w:r>
        <w:rPr>
          <w:rStyle w:val="CharSectno"/>
        </w:rPr>
        <w:t>15I</w:t>
      </w:r>
      <w:r>
        <w:t>.</w:t>
      </w:r>
      <w:r>
        <w:tab/>
        <w:t>Accrual of certain child sexual abuse causes of action</w:t>
      </w:r>
      <w:bookmarkEnd w:id="230"/>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231" w:name="_Toc183423169"/>
      <w:r>
        <w:rPr>
          <w:rStyle w:val="CharSectno"/>
        </w:rPr>
        <w:lastRenderedPageBreak/>
        <w:t>15J</w:t>
      </w:r>
      <w:r>
        <w:t>.</w:t>
      </w:r>
      <w:r>
        <w:tab/>
        <w:t>Displacement of Corporations legislation</w:t>
      </w:r>
      <w:bookmarkEnd w:id="231"/>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232" w:name="_Toc183180556"/>
      <w:bookmarkStart w:id="233" w:name="_Toc183182244"/>
      <w:bookmarkStart w:id="234" w:name="_Toc183182383"/>
      <w:bookmarkStart w:id="235" w:name="_Toc183423170"/>
      <w:r>
        <w:rPr>
          <w:rStyle w:val="CharDivNo"/>
        </w:rPr>
        <w:t>Division 3</w:t>
      </w:r>
      <w:r>
        <w:t xml:space="preserve"> — </w:t>
      </w:r>
      <w:r>
        <w:rPr>
          <w:rStyle w:val="CharDivText"/>
        </w:rPr>
        <w:t>Prior compensation payments</w:t>
      </w:r>
      <w:bookmarkEnd w:id="232"/>
      <w:bookmarkEnd w:id="233"/>
      <w:bookmarkEnd w:id="234"/>
      <w:bookmarkEnd w:id="235"/>
    </w:p>
    <w:p>
      <w:pPr>
        <w:pStyle w:val="Footnoteheading"/>
      </w:pPr>
      <w:r>
        <w:tab/>
        <w:t>[Heading inserted: No. 3 of 2018 s. 5.]</w:t>
      </w:r>
    </w:p>
    <w:p>
      <w:pPr>
        <w:pStyle w:val="Heading5"/>
      </w:pPr>
      <w:bookmarkStart w:id="236" w:name="_Toc183423171"/>
      <w:r>
        <w:rPr>
          <w:rStyle w:val="CharSectno"/>
        </w:rPr>
        <w:t>15K</w:t>
      </w:r>
      <w:r>
        <w:t>.</w:t>
      </w:r>
      <w:r>
        <w:tab/>
        <w:t>Prior compensation payments taken into account</w:t>
      </w:r>
      <w:bookmarkEnd w:id="236"/>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 xml:space="preserve">This section does not limit a court’s power, in making an award of damages in a child sexual abuse action in respect of a person, to take into account an amount paid under a judgment in or </w:t>
      </w:r>
      <w:r>
        <w:lastRenderedPageBreak/>
        <w:t>settlement of a previous child sexual abuse action in respect of the person.</w:t>
      </w:r>
    </w:p>
    <w:p>
      <w:pPr>
        <w:pStyle w:val="Footnotesection"/>
      </w:pPr>
      <w:r>
        <w:tab/>
        <w:t>[Section 15K inserted: No. 3 of 2018 s. 5.]</w:t>
      </w:r>
    </w:p>
    <w:p>
      <w:pPr>
        <w:pStyle w:val="Heading3"/>
      </w:pPr>
      <w:bookmarkStart w:id="237" w:name="_Toc183180558"/>
      <w:bookmarkStart w:id="238" w:name="_Toc183182246"/>
      <w:bookmarkStart w:id="239" w:name="_Toc183182385"/>
      <w:bookmarkStart w:id="240" w:name="_Toc183423172"/>
      <w:r>
        <w:rPr>
          <w:rStyle w:val="CharDivNo"/>
        </w:rPr>
        <w:t>Division 4</w:t>
      </w:r>
      <w:r>
        <w:t> — </w:t>
      </w:r>
      <w:r>
        <w:rPr>
          <w:rStyle w:val="CharDivText"/>
        </w:rPr>
        <w:t>Caps on legal fees</w:t>
      </w:r>
      <w:bookmarkEnd w:id="237"/>
      <w:bookmarkEnd w:id="238"/>
      <w:bookmarkEnd w:id="239"/>
      <w:bookmarkEnd w:id="240"/>
    </w:p>
    <w:p>
      <w:pPr>
        <w:pStyle w:val="Footnoteheading"/>
        <w:keepNext/>
      </w:pPr>
      <w:r>
        <w:tab/>
        <w:t>[Heading inserted: No. 3 of 2018 s. 5.]</w:t>
      </w:r>
    </w:p>
    <w:p>
      <w:pPr>
        <w:pStyle w:val="Heading5"/>
      </w:pPr>
      <w:bookmarkStart w:id="241" w:name="_Toc183423173"/>
      <w:r>
        <w:rPr>
          <w:rStyle w:val="CharSectno"/>
        </w:rPr>
        <w:t>15L</w:t>
      </w:r>
      <w:r>
        <w:t>.</w:t>
      </w:r>
      <w:r>
        <w:tab/>
        <w:t>Caps on legal fees</w:t>
      </w:r>
      <w:bookmarkEnd w:id="241"/>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w:t>
      </w:r>
      <w:r>
        <w:rPr>
          <w:i/>
        </w:rPr>
        <w:lastRenderedPageBreak/>
        <w:t xml:space="preserve">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242" w:name="_Toc183180560"/>
      <w:bookmarkStart w:id="243" w:name="_Toc183182248"/>
      <w:bookmarkStart w:id="244" w:name="_Toc183182387"/>
      <w:bookmarkStart w:id="245" w:name="_Toc183423174"/>
      <w:r>
        <w:rPr>
          <w:rStyle w:val="CharDivNo"/>
        </w:rPr>
        <w:t>Division 5</w:t>
      </w:r>
      <w:r>
        <w:t> — </w:t>
      </w:r>
      <w:r>
        <w:rPr>
          <w:rStyle w:val="CharDivText"/>
        </w:rPr>
        <w:t>Review of Part 2A</w:t>
      </w:r>
      <w:bookmarkEnd w:id="242"/>
      <w:bookmarkEnd w:id="243"/>
      <w:bookmarkEnd w:id="244"/>
      <w:bookmarkEnd w:id="245"/>
    </w:p>
    <w:p>
      <w:pPr>
        <w:pStyle w:val="Footnoteheading"/>
        <w:keepNext/>
      </w:pPr>
      <w:r>
        <w:tab/>
        <w:t>[Heading inserted: No. 3 of 2018 s. 5.]</w:t>
      </w:r>
    </w:p>
    <w:p>
      <w:pPr>
        <w:pStyle w:val="Heading5"/>
      </w:pPr>
      <w:bookmarkStart w:id="246" w:name="_Toc183423175"/>
      <w:r>
        <w:rPr>
          <w:rStyle w:val="CharSectno"/>
        </w:rPr>
        <w:t>15M</w:t>
      </w:r>
      <w:r>
        <w:t>.</w:t>
      </w:r>
      <w:r>
        <w:tab/>
        <w:t>Review of Part</w:t>
      </w:r>
      <w:bookmarkEnd w:id="246"/>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247" w:name="_Toc183180562"/>
      <w:bookmarkStart w:id="248" w:name="_Toc183182250"/>
      <w:bookmarkStart w:id="249" w:name="_Toc183182389"/>
      <w:bookmarkStart w:id="250" w:name="_Toc183423176"/>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247"/>
      <w:bookmarkEnd w:id="248"/>
      <w:bookmarkEnd w:id="249"/>
      <w:bookmarkEnd w:id="250"/>
    </w:p>
    <w:p>
      <w:pPr>
        <w:pStyle w:val="Heading5"/>
      </w:pPr>
      <w:bookmarkStart w:id="251" w:name="_Toc183423177"/>
      <w:r>
        <w:rPr>
          <w:rStyle w:val="CharSectno"/>
        </w:rPr>
        <w:t>16</w:t>
      </w:r>
      <w:r>
        <w:t>.</w:t>
      </w:r>
      <w:r>
        <w:tab/>
        <w:t>Terms used</w:t>
      </w:r>
      <w:bookmarkEnd w:id="251"/>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lastRenderedPageBreak/>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252" w:name="_Toc183423178"/>
      <w:r>
        <w:rPr>
          <w:rStyle w:val="CharSectno"/>
        </w:rPr>
        <w:t>17</w:t>
      </w:r>
      <w:r>
        <w:t>.</w:t>
      </w:r>
      <w:r>
        <w:tab/>
        <w:t>Restriction on advertising legal services relating to personal injury</w:t>
      </w:r>
      <w:bookmarkEnd w:id="252"/>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lastRenderedPageBreak/>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253" w:name="_Toc183423179"/>
      <w:r>
        <w:rPr>
          <w:rStyle w:val="CharSectno"/>
        </w:rPr>
        <w:lastRenderedPageBreak/>
        <w:t>18</w:t>
      </w:r>
      <w:r>
        <w:t>.</w:t>
      </w:r>
      <w:r>
        <w:tab/>
        <w:t>Allowed publication</w:t>
      </w:r>
      <w:bookmarkEnd w:id="253"/>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lastRenderedPageBreak/>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254" w:name="_Toc183423180"/>
      <w:r>
        <w:rPr>
          <w:rStyle w:val="CharSectno"/>
        </w:rPr>
        <w:t>19</w:t>
      </w:r>
      <w:r>
        <w:t>.</w:t>
      </w:r>
      <w:r>
        <w:tab/>
        <w:t>Prohibition on touting at scene of incidents or at any time</w:t>
      </w:r>
      <w:bookmarkEnd w:id="254"/>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lastRenderedPageBreak/>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lastRenderedPageBreak/>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lastRenderedPageBreak/>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255" w:name="_Toc183423181"/>
      <w:r>
        <w:rPr>
          <w:rStyle w:val="CharSectno"/>
        </w:rPr>
        <w:t>20</w:t>
      </w:r>
      <w:r>
        <w:t>.</w:t>
      </w:r>
      <w:r>
        <w:tab/>
        <w:t>Prohibition against paying, or seeking payment, for touting</w:t>
      </w:r>
      <w:bookmarkEnd w:id="255"/>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lastRenderedPageBreak/>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256" w:name="_Toc183423182"/>
      <w:r>
        <w:rPr>
          <w:rStyle w:val="CharSectno"/>
        </w:rPr>
        <w:t>21</w:t>
      </w:r>
      <w:r>
        <w:t>.</w:t>
      </w:r>
      <w:r>
        <w:tab/>
        <w:t>Consequences if person approved under an Act is convicted under s. 19 or 20</w:t>
      </w:r>
      <w:bookmarkEnd w:id="256"/>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lastRenderedPageBreak/>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57" w:name="_Toc183180569"/>
      <w:bookmarkStart w:id="258" w:name="_Toc183182257"/>
      <w:bookmarkStart w:id="259" w:name="_Toc183182396"/>
      <w:bookmarkStart w:id="260" w:name="_Toc183423183"/>
      <w:r>
        <w:rPr>
          <w:rStyle w:val="CharPartNo"/>
        </w:rPr>
        <w:lastRenderedPageBreak/>
        <w:t>Part 4</w:t>
      </w:r>
      <w:r>
        <w:rPr>
          <w:rStyle w:val="CharDivNo"/>
        </w:rPr>
        <w:t> </w:t>
      </w:r>
      <w:r>
        <w:t>—</w:t>
      </w:r>
      <w:r>
        <w:rPr>
          <w:rStyle w:val="CharDivText"/>
        </w:rPr>
        <w:t> </w:t>
      </w:r>
      <w:r>
        <w:rPr>
          <w:rStyle w:val="CharPartText"/>
        </w:rPr>
        <w:t>Other matters</w:t>
      </w:r>
      <w:bookmarkEnd w:id="257"/>
      <w:bookmarkEnd w:id="258"/>
      <w:bookmarkEnd w:id="259"/>
      <w:bookmarkEnd w:id="260"/>
    </w:p>
    <w:p>
      <w:pPr>
        <w:pStyle w:val="Heading5"/>
      </w:pPr>
      <w:bookmarkStart w:id="261" w:name="_Toc183423184"/>
      <w:r>
        <w:rPr>
          <w:rStyle w:val="CharSectno"/>
        </w:rPr>
        <w:t>22</w:t>
      </w:r>
      <w:r>
        <w:t>.</w:t>
      </w:r>
      <w:r>
        <w:tab/>
        <w:t>Regulations</w:t>
      </w:r>
      <w:bookmarkEnd w:id="26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pPr>
        <w:pStyle w:val="nHeading2"/>
      </w:pPr>
      <w:bookmarkStart w:id="262" w:name="_Toc183180571"/>
      <w:bookmarkStart w:id="263" w:name="_Toc183182259"/>
      <w:bookmarkStart w:id="264" w:name="_Toc183182398"/>
      <w:bookmarkStart w:id="265" w:name="_Toc183423185"/>
      <w:r>
        <w:lastRenderedPageBreak/>
        <w:t>Notes</w:t>
      </w:r>
      <w:bookmarkEnd w:id="262"/>
      <w:bookmarkEnd w:id="263"/>
      <w:bookmarkEnd w:id="264"/>
      <w:bookmarkEnd w:id="265"/>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 </w:t>
      </w:r>
    </w:p>
    <w:p>
      <w:pPr>
        <w:pStyle w:val="nHeading3"/>
      </w:pPr>
      <w:bookmarkStart w:id="266" w:name="_Toc183423186"/>
      <w:r>
        <w:t>Compilation table</w:t>
      </w:r>
      <w:bookmarkEnd w:id="26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lastRenderedPageBreak/>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pPr>
            <w:r>
              <w:rPr>
                <w:i/>
                <w:iCs/>
              </w:rPr>
              <w:t>Workers Compensation and Injury Management Act 2023</w:t>
            </w:r>
            <w:r>
              <w:t xml:space="preserve"> Pt. 15 Div. 3 Subdiv. 1</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 xml:space="preserve">1 Jul 2024 </w:t>
            </w:r>
            <w:r>
              <w:t>(see s. 2(d)</w:t>
            </w:r>
            <w:r>
              <w:rPr>
                <w:noProof/>
              </w:rPr>
              <w:t xml:space="preserve"> and SL 2024/34 cl. 2</w:t>
            </w:r>
            <w:r>
              <w:t>)</w:t>
            </w:r>
          </w:p>
        </w:tc>
      </w:tr>
      <w:tr>
        <w:tc>
          <w:tcPr>
            <w:tcW w:w="2268" w:type="dxa"/>
            <w:tcBorders>
              <w:top w:val="nil"/>
              <w:bottom w:val="single" w:sz="4" w:space="0" w:color="auto"/>
            </w:tcBorders>
          </w:tcPr>
          <w:p>
            <w:pPr>
              <w:pStyle w:val="nTable"/>
              <w:spacing w:after="40"/>
            </w:pPr>
            <w:r>
              <w:rPr>
                <w:i/>
                <w:iCs/>
              </w:rPr>
              <w:t xml:space="preserve">Civil Liability Amendment (Provisional Damages for Dust Diseases) Act 2024 </w:t>
            </w:r>
            <w:r>
              <w:t>Pt. 2</w:t>
            </w:r>
          </w:p>
        </w:tc>
        <w:tc>
          <w:tcPr>
            <w:tcW w:w="1134" w:type="dxa"/>
            <w:tcBorders>
              <w:top w:val="nil"/>
              <w:bottom w:val="single" w:sz="4" w:space="0" w:color="auto"/>
            </w:tcBorders>
          </w:tcPr>
          <w:p>
            <w:pPr>
              <w:pStyle w:val="nTable"/>
              <w:spacing w:after="40"/>
            </w:pPr>
            <w:r>
              <w:t>32 of 2024</w:t>
            </w:r>
          </w:p>
        </w:tc>
        <w:tc>
          <w:tcPr>
            <w:tcW w:w="1134" w:type="dxa"/>
            <w:tcBorders>
              <w:top w:val="nil"/>
              <w:bottom w:val="single" w:sz="4" w:space="0" w:color="auto"/>
            </w:tcBorders>
          </w:tcPr>
          <w:p>
            <w:pPr>
              <w:pStyle w:val="nTable"/>
              <w:spacing w:after="40"/>
            </w:pPr>
            <w:r>
              <w:t>26 Sep 2024</w:t>
            </w:r>
          </w:p>
        </w:tc>
        <w:tc>
          <w:tcPr>
            <w:tcW w:w="2552" w:type="dxa"/>
            <w:tcBorders>
              <w:top w:val="nil"/>
              <w:bottom w:val="single" w:sz="4" w:space="0" w:color="auto"/>
            </w:tcBorders>
          </w:tcPr>
          <w:p>
            <w:pPr>
              <w:pStyle w:val="nTable"/>
              <w:spacing w:after="40"/>
              <w:rPr>
                <w:noProof/>
              </w:rPr>
            </w:pPr>
            <w:r>
              <w:rPr>
                <w:noProof/>
              </w:rPr>
              <w:t>1 Dec 2024 (see s. 2(d) and SL 2024/238 cl. 2)</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68" w:name="_Toc183423187"/>
      <w:r>
        <w:rPr>
          <w:sz w:val="28"/>
        </w:rPr>
        <w:lastRenderedPageBreak/>
        <w:t>Defined terms</w:t>
      </w:r>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Court</w:t>
      </w:r>
      <w:r>
        <w:tab/>
        <w:t>15AA(1)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dust disease</w:t>
      </w:r>
      <w:r>
        <w:tab/>
        <w:t>15AA(1), 15AB</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5B(1)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lastRenderedPageBreak/>
        <w:t>information</w:t>
      </w:r>
      <w:r>
        <w:tab/>
        <w:t>15AH(1)</w:t>
      </w:r>
    </w:p>
    <w:p>
      <w:pPr>
        <w:pStyle w:val="DefinedTerms"/>
      </w:pPr>
      <w:r>
        <w:t>inherent risk</w:t>
      </w:r>
      <w:r>
        <w:tab/>
        <w:t>5E</w:t>
      </w:r>
    </w:p>
    <w:p>
      <w:pPr>
        <w:pStyle w:val="DefinedTerms"/>
      </w:pPr>
      <w:r>
        <w:t>initial action</w:t>
      </w:r>
      <w:r>
        <w:tab/>
        <w:t>15AA(1), 15AC(1)</w:t>
      </w:r>
    </w:p>
    <w:p>
      <w:pPr>
        <w:pStyle w:val="DefinedTerms"/>
      </w:pPr>
      <w:r>
        <w:t>injured person</w:t>
      </w:r>
      <w:r>
        <w:tab/>
        <w:t>5C(3)</w:t>
      </w:r>
    </w:p>
    <w:p>
      <w:pPr>
        <w:pStyle w:val="DefinedTerms"/>
      </w:pPr>
      <w:r>
        <w:t>institution</w:t>
      </w:r>
      <w:r>
        <w:tab/>
        <w:t>15A</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medically qualified good samaritan</w:t>
      </w:r>
      <w:r>
        <w:tab/>
        <w:t>5AB</w:t>
      </w:r>
    </w:p>
    <w:p>
      <w:pPr>
        <w:pStyle w:val="DefinedTerms"/>
      </w:pPr>
      <w:r>
        <w:t>medical qualifications</w:t>
      </w:r>
      <w:r>
        <w:tab/>
        <w:t>5AB</w:t>
      </w:r>
    </w:p>
    <w:p>
      <w:pPr>
        <w:pStyle w:val="DefinedTerms"/>
      </w:pPr>
      <w:r>
        <w:t>mental harm</w:t>
      </w:r>
      <w:r>
        <w:tab/>
        <w:t>5Q</w:t>
      </w:r>
    </w:p>
    <w:p>
      <w:pPr>
        <w:pStyle w:val="DefinedTerms"/>
      </w:pPr>
      <w:r>
        <w:t>misconduct</w:t>
      </w:r>
      <w:r>
        <w:tab/>
        <w:t>21(3)</w:t>
      </w:r>
    </w:p>
    <w:p>
      <w:pPr>
        <w:pStyle w:val="DefinedTerms"/>
      </w:pPr>
      <w:r>
        <w:t>MVWA(CI) Act</w:t>
      </w:r>
      <w:r>
        <w:tab/>
        <w:t>13A(1)</w:t>
      </w:r>
    </w:p>
    <w:p>
      <w:pPr>
        <w:pStyle w:val="DefinedTerms"/>
      </w:pPr>
      <w:r>
        <w:t>non-pecuniary loss</w:t>
      </w:r>
      <w:r>
        <w:tab/>
        <w:t>9(4)</w:t>
      </w:r>
    </w:p>
    <w:p>
      <w:pPr>
        <w:pStyle w:val="DefinedTerms"/>
      </w:pPr>
      <w:r>
        <w:t>non-publication order</w:t>
      </w:r>
      <w:r>
        <w:tab/>
        <w:t>15AH(1)</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personal injury</w:t>
      </w:r>
      <w:r>
        <w:tab/>
        <w:t>3</w:t>
      </w:r>
    </w:p>
    <w:p>
      <w:pPr>
        <w:pStyle w:val="DefinedTerms"/>
      </w:pPr>
      <w:r>
        <w:t>personal injury damages</w:t>
      </w:r>
      <w:r>
        <w:tab/>
        <w:t>3</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proclamation day</w:t>
      </w:r>
      <w:r>
        <w:tab/>
        <w:t>15AO(1)</w:t>
      </w:r>
    </w:p>
    <w:p>
      <w:pPr>
        <w:pStyle w:val="DefinedTerms"/>
      </w:pPr>
      <w:r>
        <w:t>provisional damages</w:t>
      </w:r>
      <w:r>
        <w:tab/>
        <w:t>15AA(1), 15AC(1)</w:t>
      </w:r>
    </w:p>
    <w:p>
      <w:pPr>
        <w:pStyle w:val="DefinedTerms"/>
      </w:pPr>
      <w:r>
        <w:t>publication</w:t>
      </w:r>
      <w:r>
        <w:tab/>
        <w:t>15AH(1)</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lastRenderedPageBreak/>
        <w:t>road</w:t>
      </w:r>
      <w:r>
        <w:tab/>
        <w:t>5Z(1)</w:t>
      </w:r>
    </w:p>
    <w:p>
      <w:pPr>
        <w:pStyle w:val="DefinedTerms"/>
      </w:pPr>
      <w:r>
        <w:t>roads authority</w:t>
      </w:r>
      <w:r>
        <w:tab/>
        <w:t>5Z(1)</w:t>
      </w:r>
    </w:p>
    <w:p>
      <w:pPr>
        <w:pStyle w:val="DefinedTerms"/>
      </w:pPr>
      <w:r>
        <w:t>scope of liability</w:t>
      </w:r>
      <w:r>
        <w:tab/>
        <w:t>5C(1)</w:t>
      </w:r>
    </w:p>
    <w:p>
      <w:pPr>
        <w:pStyle w:val="DefinedTerms"/>
      </w:pPr>
      <w:r>
        <w:t>settlement agreement</w:t>
      </w:r>
      <w:r>
        <w:tab/>
        <w:t>15AA(1), 15AE, 15AL</w:t>
      </w:r>
    </w:p>
    <w:p>
      <w:pPr>
        <w:pStyle w:val="DefinedTerms"/>
      </w:pPr>
      <w:r>
        <w:t>staff member</w:t>
      </w:r>
      <w:r>
        <w:tab/>
        <w:t>5AAA</w:t>
      </w:r>
    </w:p>
    <w:p>
      <w:pPr>
        <w:pStyle w:val="DefinedTerms"/>
      </w:pPr>
      <w:r>
        <w:t>structured settlement</w:t>
      </w:r>
      <w:r>
        <w:tab/>
        <w:t>14</w:t>
      </w:r>
    </w:p>
    <w:p>
      <w:pPr>
        <w:pStyle w:val="DefinedTerms"/>
      </w:pPr>
      <w:r>
        <w:t>subsequent action</w:t>
      </w:r>
      <w:r>
        <w:tab/>
        <w:t>15AA(1), 15AG(1)</w:t>
      </w:r>
    </w:p>
    <w:p>
      <w:pPr>
        <w:pStyle w:val="DefinedTerms"/>
      </w:pPr>
      <w:r>
        <w:t>subsequent damages</w:t>
      </w:r>
      <w:r>
        <w:tab/>
        <w:t>15AA(1), 15AG(1)</w:t>
      </w:r>
    </w:p>
    <w:p>
      <w:pPr>
        <w:pStyle w:val="DefinedTerms"/>
      </w:pPr>
      <w:r>
        <w:t>subsequent dust disease</w:t>
      </w:r>
      <w:r>
        <w:tab/>
        <w:t>15AA(1), 15AC(2)</w:t>
      </w:r>
    </w:p>
    <w:p>
      <w:pPr>
        <w:pStyle w:val="DefinedTerms"/>
      </w:pPr>
      <w:r>
        <w:t>suppression order</w:t>
      </w:r>
      <w:r>
        <w:tab/>
        <w:t>15AH(1)</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26B3F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C3AAE1" w14:textId="1EAFA2F7" w:rsidR="00EA71F1" w:rsidRDefault="00CC19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0629">
                        <w:rPr>
                          <w:sz w:val="16"/>
                        </w:rPr>
                        <w:t>2024</w:t>
                      </w:r>
                      <w:r>
                        <w:rPr>
                          <w:sz w:val="16"/>
                        </w:rPr>
                        <w:fldChar w:fldCharType="end"/>
                      </w:r>
                      <w:r>
                        <w:rPr>
                          <w:sz w:val="16"/>
                        </w:rPr>
                        <w:t>.</w:t>
                      </w:r>
                    </w:p>
                    <w:p w14:paraId="287F77D8" w14:textId="77777777" w:rsidR="00EA71F1" w:rsidRDefault="00CC19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2567EB" w14:textId="7F320377" w:rsidR="00EA71F1" w:rsidRDefault="00CC19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0629">
                        <w:rPr>
                          <w:sz w:val="16"/>
                        </w:rPr>
                        <w:t>2024</w:t>
                      </w:r>
                      <w:r>
                        <w:rPr>
                          <w:sz w:val="16"/>
                        </w:rPr>
                        <w:fldChar w:fldCharType="end"/>
                      </w:r>
                      <w:r>
                        <w:rPr>
                          <w:sz w:val="16"/>
                        </w:rPr>
                        <w:t>.</w:t>
                      </w:r>
                    </w:p>
                    <w:p w14:paraId="5F108307" w14:textId="77777777" w:rsidR="00EA71F1" w:rsidRDefault="00CC190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9" w:name="DefinedTerms"/>
    <w:bookmarkEnd w:id="2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0" w:name="Coversheet"/>
    <w:bookmarkEnd w:id="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5055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 w:name="WAFER_20241122150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0553_GUID" w:val="6ecaa65b-2a74-459e-9989-7458ebf46d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21172</Words>
  <Characters>100568</Characters>
  <Application>Microsoft Office Word</Application>
  <DocSecurity>0</DocSecurity>
  <Lines>2873</Lines>
  <Paragraphs>1764</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119976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2002 - 04-n0-00</dc:title>
  <dc:subject/>
  <dc:creator/>
  <cp:keywords/>
  <dc:description/>
  <cp:lastModifiedBy>Master Repository Process</cp:lastModifiedBy>
  <cp:revision>4</cp:revision>
  <cp:lastPrinted>2013-10-02T01:35:00Z</cp:lastPrinted>
  <dcterms:created xsi:type="dcterms:W3CDTF">2025-06-13T04:45:00Z</dcterms:created>
  <dcterms:modified xsi:type="dcterms:W3CDTF">2025-06-13T04:45:00Z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20241201</vt:lpwstr>
  </property>
  <property fmtid="{D5CDD505-2E9C-101B-9397-08002B2CF9AE}" pid="8" name="CommencementAsAt">
    <vt:filetime>2024-11-30T16:00:00Z</vt:filetime>
  </property>
  <property fmtid="{D5CDD505-2E9C-101B-9397-08002B2CF9AE}" pid="9" name="CommencementYear">
    <vt:lpwstr>2024</vt:lpwstr>
  </property>
  <property fmtid="{D5CDD505-2E9C-101B-9397-08002B2CF9AE}" pid="10" name="AsAtDate">
    <vt:lpwstr>01 Dec 2024</vt:lpwstr>
  </property>
  <property fmtid="{D5CDD505-2E9C-101B-9397-08002B2CF9AE}" pid="11" name="Suffix">
    <vt:lpwstr>04-n0-00</vt:lpwstr>
  </property>
  <property fmtid="{D5CDD505-2E9C-101B-9397-08002B2CF9AE}" pid="12" name="Official">
    <vt:lpwstr/>
  </property>
</Properties>
</file>