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Limitation Act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Limitation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_Toc183424856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_Toc183424857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_Toc183424858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limitation periods under this Act</w:t>
      </w:r>
      <w:r>
        <w:tab/>
      </w:r>
      <w:r>
        <w:fldChar w:fldCharType="begin"/>
      </w:r>
      <w:r>
        <w:instrText xml:space="preserve"> PAGEREF _Toc183424859 \h </w:instrText>
      </w:r>
      <w:r>
        <w:fldChar w:fldCharType="separate"/>
      </w:r>
      <w:r>
        <w:t>6</w:t>
      </w:r>
      <w:r>
        <w:fldChar w:fldCharType="end"/>
      </w:r>
    </w:p>
    <w:p>
      <w:pPr>
        <w:pStyle w:val="TOC8"/>
        <w:rPr>
          <w:rFonts w:asciiTheme="minorHAnsi" w:eastAsiaTheme="minorEastAsia" w:hAnsiTheme="minorHAnsi" w:cstheme="minorBidi"/>
          <w:szCs w:val="22"/>
        </w:rPr>
      </w:pPr>
      <w:r>
        <w:t>5.</w:t>
      </w:r>
      <w:r>
        <w:tab/>
        <w:t>Actions other than personal injury actions do not revive</w:t>
      </w:r>
      <w:r>
        <w:tab/>
      </w:r>
      <w:r>
        <w:fldChar w:fldCharType="begin"/>
      </w:r>
      <w:r>
        <w:instrText xml:space="preserve"> PAGEREF _Toc183424860 \h </w:instrText>
      </w:r>
      <w:r>
        <w:fldChar w:fldCharType="separate"/>
      </w:r>
      <w:r>
        <w:t>6</w:t>
      </w:r>
      <w:r>
        <w:fldChar w:fldCharType="end"/>
      </w:r>
    </w:p>
    <w:p>
      <w:pPr>
        <w:pStyle w:val="TOC8"/>
        <w:rPr>
          <w:rFonts w:asciiTheme="minorHAnsi" w:eastAsiaTheme="minorEastAsia" w:hAnsiTheme="minorHAnsi" w:cstheme="minorBidi"/>
          <w:szCs w:val="22"/>
        </w:rPr>
      </w:pPr>
      <w:r>
        <w:t>6.</w:t>
      </w:r>
      <w:r>
        <w:tab/>
        <w:t>Personal injury actions — accrual, limitation periods</w:t>
      </w:r>
      <w:r>
        <w:tab/>
      </w:r>
      <w:r>
        <w:fldChar w:fldCharType="begin"/>
      </w:r>
      <w:r>
        <w:instrText xml:space="preserve"> PAGEREF _Toc183424861 \h </w:instrText>
      </w:r>
      <w:r>
        <w:fldChar w:fldCharType="separate"/>
      </w:r>
      <w:r>
        <w:t>7</w:t>
      </w:r>
      <w:r>
        <w:fldChar w:fldCharType="end"/>
      </w:r>
    </w:p>
    <w:p>
      <w:pPr>
        <w:pStyle w:val="TOC8"/>
        <w:rPr>
          <w:rFonts w:asciiTheme="minorHAnsi" w:eastAsiaTheme="minorEastAsia" w:hAnsiTheme="minorHAnsi" w:cstheme="minorBidi"/>
          <w:szCs w:val="22"/>
        </w:rPr>
      </w:pPr>
      <w:r>
        <w:t>6A.</w:t>
      </w:r>
      <w:r>
        <w:tab/>
        <w:t>Special provisions for child sexual abuse actions: no limitation period</w:t>
      </w:r>
      <w:r>
        <w:tab/>
      </w:r>
      <w:r>
        <w:fldChar w:fldCharType="begin"/>
      </w:r>
      <w:r>
        <w:instrText xml:space="preserve"> PAGEREF _Toc183424862 \h </w:instrText>
      </w:r>
      <w:r>
        <w:fldChar w:fldCharType="separate"/>
      </w:r>
      <w:r>
        <w:t>7</w:t>
      </w:r>
      <w:r>
        <w:fldChar w:fldCharType="end"/>
      </w:r>
    </w:p>
    <w:p>
      <w:pPr>
        <w:pStyle w:val="TOC8"/>
        <w:rPr>
          <w:rFonts w:asciiTheme="minorHAnsi" w:eastAsiaTheme="minorEastAsia" w:hAnsiTheme="minorHAnsi" w:cstheme="minorBidi"/>
          <w:szCs w:val="22"/>
        </w:rPr>
      </w:pPr>
      <w:r>
        <w:t>6B.</w:t>
      </w:r>
      <w:r>
        <w:tab/>
        <w:t>Special provisions for subsequent action in respect of subsequent dust disease: no limitation period</w:t>
      </w:r>
      <w:r>
        <w:tab/>
      </w:r>
      <w:r>
        <w:fldChar w:fldCharType="begin"/>
      </w:r>
      <w:r>
        <w:instrText xml:space="preserve"> PAGEREF _Toc183424863 \h </w:instrText>
      </w:r>
      <w:r>
        <w:fldChar w:fldCharType="separate"/>
      </w:r>
      <w:r>
        <w:t>9</w:t>
      </w:r>
      <w:r>
        <w:fldChar w:fldCharType="end"/>
      </w:r>
    </w:p>
    <w:p>
      <w:pPr>
        <w:pStyle w:val="TOC8"/>
        <w:rPr>
          <w:rFonts w:asciiTheme="minorHAnsi" w:eastAsiaTheme="minorEastAsia" w:hAnsiTheme="minorHAnsi" w:cstheme="minorBidi"/>
          <w:szCs w:val="22"/>
        </w:rPr>
      </w:pPr>
      <w:r>
        <w:t>7.</w:t>
      </w:r>
      <w:r>
        <w:tab/>
        <w:t>Special provisions for certain personal injury actions relating to childbirth</w:t>
      </w:r>
      <w:r>
        <w:tab/>
      </w:r>
      <w:r>
        <w:fldChar w:fldCharType="begin"/>
      </w:r>
      <w:r>
        <w:instrText xml:space="preserve"> PAGEREF _Toc183424864 \h </w:instrText>
      </w:r>
      <w:r>
        <w:fldChar w:fldCharType="separate"/>
      </w:r>
      <w:r>
        <w:t>9</w:t>
      </w:r>
      <w:r>
        <w:fldChar w:fldCharType="end"/>
      </w:r>
    </w:p>
    <w:p>
      <w:pPr>
        <w:pStyle w:val="TOC8"/>
        <w:rPr>
          <w:rFonts w:asciiTheme="minorHAnsi" w:eastAsiaTheme="minorEastAsia" w:hAnsiTheme="minorHAnsi" w:cstheme="minorBidi"/>
          <w:szCs w:val="22"/>
        </w:rPr>
      </w:pPr>
      <w:r>
        <w:t>8.</w:t>
      </w:r>
      <w:r>
        <w:tab/>
        <w:t>Special provisions for certain defamation actions</w:t>
      </w:r>
      <w:r>
        <w:tab/>
      </w:r>
      <w:r>
        <w:fldChar w:fldCharType="begin"/>
      </w:r>
      <w:r>
        <w:instrText xml:space="preserve"> PAGEREF _Toc183424865 \h </w:instrText>
      </w:r>
      <w:r>
        <w:fldChar w:fldCharType="separate"/>
      </w:r>
      <w:r>
        <w:t>10</w:t>
      </w:r>
      <w:r>
        <w:fldChar w:fldCharType="end"/>
      </w:r>
    </w:p>
    <w:p>
      <w:pPr>
        <w:pStyle w:val="TOC8"/>
        <w:rPr>
          <w:rFonts w:asciiTheme="minorHAnsi" w:eastAsiaTheme="minorEastAsia" w:hAnsiTheme="minorHAnsi" w:cstheme="minorBidi"/>
          <w:szCs w:val="22"/>
        </w:rPr>
      </w:pPr>
      <w:r>
        <w:t>9.</w:t>
      </w:r>
      <w:r>
        <w:tab/>
        <w:t>Limitation periods under other written laws</w:t>
      </w:r>
      <w:r>
        <w:tab/>
      </w:r>
      <w:r>
        <w:fldChar w:fldCharType="begin"/>
      </w:r>
      <w:r>
        <w:instrText xml:space="preserve"> PAGEREF _Toc183424866 \h </w:instrText>
      </w:r>
      <w:r>
        <w:fldChar w:fldCharType="separate"/>
      </w:r>
      <w:r>
        <w:t>11</w:t>
      </w:r>
      <w:r>
        <w:fldChar w:fldCharType="end"/>
      </w:r>
    </w:p>
    <w:p>
      <w:pPr>
        <w:pStyle w:val="TOC8"/>
        <w:rPr>
          <w:rFonts w:asciiTheme="minorHAnsi" w:eastAsiaTheme="minorEastAsia" w:hAnsiTheme="minorHAnsi" w:cstheme="minorBidi"/>
          <w:szCs w:val="22"/>
        </w:rPr>
      </w:pPr>
      <w:r>
        <w:t>10.</w:t>
      </w:r>
      <w:r>
        <w:tab/>
        <w:t>Application to Crown</w:t>
      </w:r>
      <w:r>
        <w:tab/>
      </w:r>
      <w:r>
        <w:fldChar w:fldCharType="begin"/>
      </w:r>
      <w:r>
        <w:instrText xml:space="preserve"> PAGEREF _Toc183424867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Limitation periods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Limitation periods under this Part are extendable etc. under Part 3</w:t>
      </w:r>
      <w:r>
        <w:tab/>
      </w:r>
      <w:r>
        <w:fldChar w:fldCharType="begin"/>
      </w:r>
      <w:r>
        <w:instrText xml:space="preserve"> PAGEREF _Toc183424870 \h </w:instrText>
      </w:r>
      <w:r>
        <w:fldChar w:fldCharType="separate"/>
      </w:r>
      <w:r>
        <w:t>12</w:t>
      </w:r>
      <w:r>
        <w:fldChar w:fldCharType="end"/>
      </w:r>
    </w:p>
    <w:p>
      <w:pPr>
        <w:pStyle w:val="TOC8"/>
        <w:rPr>
          <w:rFonts w:asciiTheme="minorHAnsi" w:eastAsiaTheme="minorEastAsia" w:hAnsiTheme="minorHAnsi" w:cstheme="minorBidi"/>
          <w:szCs w:val="22"/>
        </w:rPr>
      </w:pPr>
      <w:r>
        <w:t>12.</w:t>
      </w:r>
      <w:r>
        <w:tab/>
        <w:t>When actions commence</w:t>
      </w:r>
      <w:r>
        <w:tab/>
      </w:r>
      <w:r>
        <w:fldChar w:fldCharType="begin"/>
      </w:r>
      <w:r>
        <w:instrText xml:space="preserve"> PAGEREF _Toc183424871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General limitation period</w:t>
      </w:r>
    </w:p>
    <w:p>
      <w:pPr>
        <w:pStyle w:val="TOC8"/>
        <w:rPr>
          <w:rFonts w:asciiTheme="minorHAnsi" w:eastAsiaTheme="minorEastAsia" w:hAnsiTheme="minorHAnsi" w:cstheme="minorBidi"/>
          <w:szCs w:val="22"/>
        </w:rPr>
      </w:pPr>
      <w:r>
        <w:t>13.</w:t>
      </w:r>
      <w:r>
        <w:tab/>
        <w:t>General limitation period — 6 years</w:t>
      </w:r>
      <w:r>
        <w:tab/>
      </w:r>
      <w:r>
        <w:fldChar w:fldCharType="begin"/>
      </w:r>
      <w:r>
        <w:instrText xml:space="preserve"> PAGEREF _Toc183424873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Limitation periods for particular causes of action</w:t>
      </w:r>
    </w:p>
    <w:p>
      <w:pPr>
        <w:pStyle w:val="TOC8"/>
        <w:rPr>
          <w:rFonts w:asciiTheme="minorHAnsi" w:eastAsiaTheme="minorEastAsia" w:hAnsiTheme="minorHAnsi" w:cstheme="minorBidi"/>
          <w:szCs w:val="22"/>
        </w:rPr>
      </w:pPr>
      <w:r>
        <w:t>14.</w:t>
      </w:r>
      <w:r>
        <w:tab/>
        <w:t xml:space="preserve">Personal injury, </w:t>
      </w:r>
      <w:r>
        <w:rPr>
          <w:i/>
        </w:rPr>
        <w:t xml:space="preserve">Fatal Accidents Act 1959 </w:t>
      </w:r>
      <w:r>
        <w:t>actions — 3 years</w:t>
      </w:r>
      <w:r>
        <w:tab/>
      </w:r>
      <w:r>
        <w:fldChar w:fldCharType="begin"/>
      </w:r>
      <w:r>
        <w:instrText xml:space="preserve"> PAGEREF _Toc183424875 \h </w:instrText>
      </w:r>
      <w:r>
        <w:fldChar w:fldCharType="separate"/>
      </w:r>
      <w:r>
        <w:t>12</w:t>
      </w:r>
      <w:r>
        <w:fldChar w:fldCharType="end"/>
      </w:r>
    </w:p>
    <w:p>
      <w:pPr>
        <w:pStyle w:val="TOC8"/>
        <w:rPr>
          <w:rFonts w:asciiTheme="minorHAnsi" w:eastAsiaTheme="minorEastAsia" w:hAnsiTheme="minorHAnsi" w:cstheme="minorBidi"/>
          <w:szCs w:val="22"/>
        </w:rPr>
      </w:pPr>
      <w:r>
        <w:t>15.</w:t>
      </w:r>
      <w:r>
        <w:tab/>
        <w:t>Defamation — one year from publication</w:t>
      </w:r>
      <w:r>
        <w:tab/>
      </w:r>
      <w:r>
        <w:fldChar w:fldCharType="begin"/>
      </w:r>
      <w:r>
        <w:instrText xml:space="preserve"> PAGEREF _Toc183424876 \h </w:instrText>
      </w:r>
      <w:r>
        <w:fldChar w:fldCharType="separate"/>
      </w:r>
      <w:r>
        <w:t>13</w:t>
      </w:r>
      <w:r>
        <w:fldChar w:fldCharType="end"/>
      </w:r>
    </w:p>
    <w:p>
      <w:pPr>
        <w:pStyle w:val="TOC8"/>
        <w:rPr>
          <w:rFonts w:asciiTheme="minorHAnsi" w:eastAsiaTheme="minorEastAsia" w:hAnsiTheme="minorHAnsi" w:cstheme="minorBidi"/>
          <w:szCs w:val="22"/>
        </w:rPr>
      </w:pPr>
      <w:r>
        <w:t>16.</w:t>
      </w:r>
      <w:r>
        <w:tab/>
        <w:t>Trespass to the person etc. — 3 years</w:t>
      </w:r>
      <w:r>
        <w:tab/>
      </w:r>
      <w:r>
        <w:fldChar w:fldCharType="begin"/>
      </w:r>
      <w:r>
        <w:instrText xml:space="preserve"> PAGEREF _Toc183424877 \h </w:instrText>
      </w:r>
      <w:r>
        <w:fldChar w:fldCharType="separate"/>
      </w:r>
      <w:r>
        <w:t>13</w:t>
      </w:r>
      <w:r>
        <w:fldChar w:fldCharType="end"/>
      </w:r>
    </w:p>
    <w:p>
      <w:pPr>
        <w:pStyle w:val="TOC8"/>
        <w:rPr>
          <w:rFonts w:asciiTheme="minorHAnsi" w:eastAsiaTheme="minorEastAsia" w:hAnsiTheme="minorHAnsi" w:cstheme="minorBidi"/>
          <w:szCs w:val="22"/>
        </w:rPr>
      </w:pPr>
      <w:r>
        <w:t>17.</w:t>
      </w:r>
      <w:r>
        <w:tab/>
        <w:t>Contribution between tortfeasors — 2 years</w:t>
      </w:r>
      <w:r>
        <w:tab/>
      </w:r>
      <w:r>
        <w:fldChar w:fldCharType="begin"/>
      </w:r>
      <w:r>
        <w:instrText xml:space="preserve"> PAGEREF _Toc183424878 \h </w:instrText>
      </w:r>
      <w:r>
        <w:fldChar w:fldCharType="separate"/>
      </w:r>
      <w:r>
        <w:t>13</w:t>
      </w:r>
      <w:r>
        <w:fldChar w:fldCharType="end"/>
      </w:r>
    </w:p>
    <w:p>
      <w:pPr>
        <w:pStyle w:val="TOC8"/>
        <w:rPr>
          <w:rFonts w:asciiTheme="minorHAnsi" w:eastAsiaTheme="minorEastAsia" w:hAnsiTheme="minorHAnsi" w:cstheme="minorBidi"/>
          <w:szCs w:val="22"/>
        </w:rPr>
      </w:pPr>
      <w:r>
        <w:t>18.</w:t>
      </w:r>
      <w:r>
        <w:tab/>
        <w:t>Deeds — 12 years</w:t>
      </w:r>
      <w:r>
        <w:tab/>
      </w:r>
      <w:r>
        <w:fldChar w:fldCharType="begin"/>
      </w:r>
      <w:r>
        <w:instrText xml:space="preserve"> PAGEREF _Toc183424879 \h </w:instrText>
      </w:r>
      <w:r>
        <w:fldChar w:fldCharType="separate"/>
      </w:r>
      <w:r>
        <w:t>13</w:t>
      </w:r>
      <w:r>
        <w:fldChar w:fldCharType="end"/>
      </w:r>
    </w:p>
    <w:p>
      <w:pPr>
        <w:pStyle w:val="TOC8"/>
        <w:rPr>
          <w:rFonts w:asciiTheme="minorHAnsi" w:eastAsiaTheme="minorEastAsia" w:hAnsiTheme="minorHAnsi" w:cstheme="minorBidi"/>
          <w:szCs w:val="22"/>
        </w:rPr>
      </w:pPr>
      <w:r>
        <w:t>19.</w:t>
      </w:r>
      <w:r>
        <w:tab/>
        <w:t>Recovery of land — 12 years</w:t>
      </w:r>
      <w:r>
        <w:tab/>
      </w:r>
      <w:r>
        <w:fldChar w:fldCharType="begin"/>
      </w:r>
      <w:r>
        <w:instrText xml:space="preserve"> PAGEREF _Toc183424880 \h </w:instrText>
      </w:r>
      <w:r>
        <w:fldChar w:fldCharType="separate"/>
      </w:r>
      <w:r>
        <w:t>13</w:t>
      </w:r>
      <w:r>
        <w:fldChar w:fldCharType="end"/>
      </w:r>
    </w:p>
    <w:p>
      <w:pPr>
        <w:pStyle w:val="TOC8"/>
        <w:rPr>
          <w:rFonts w:asciiTheme="minorHAnsi" w:eastAsiaTheme="minorEastAsia" w:hAnsiTheme="minorHAnsi" w:cstheme="minorBidi"/>
          <w:szCs w:val="22"/>
        </w:rPr>
      </w:pPr>
      <w:r>
        <w:t>20.</w:t>
      </w:r>
      <w:r>
        <w:tab/>
        <w:t>M</w:t>
      </w:r>
      <w:r>
        <w:rPr>
          <w:snapToGrid w:val="0"/>
        </w:rPr>
        <w:t>oney secured on real property or on real and personal property — 12 years</w:t>
      </w:r>
      <w:r>
        <w:tab/>
      </w:r>
      <w:r>
        <w:fldChar w:fldCharType="begin"/>
      </w:r>
      <w:r>
        <w:instrText xml:space="preserve"> PAGEREF _Toc183424881 \h </w:instrText>
      </w:r>
      <w:r>
        <w:fldChar w:fldCharType="separate"/>
      </w:r>
      <w:r>
        <w:t>14</w:t>
      </w:r>
      <w:r>
        <w:fldChar w:fldCharType="end"/>
      </w:r>
    </w:p>
    <w:p>
      <w:pPr>
        <w:pStyle w:val="TOC8"/>
        <w:rPr>
          <w:rFonts w:asciiTheme="minorHAnsi" w:eastAsiaTheme="minorEastAsia" w:hAnsiTheme="minorHAnsi" w:cstheme="minorBidi"/>
          <w:szCs w:val="22"/>
        </w:rPr>
      </w:pPr>
      <w:r>
        <w:t>21.</w:t>
      </w:r>
      <w:r>
        <w:tab/>
        <w:t xml:space="preserve">Interest secured on </w:t>
      </w:r>
      <w:r>
        <w:rPr>
          <w:snapToGrid w:val="0"/>
        </w:rPr>
        <w:t>real property or on real and personal property</w:t>
      </w:r>
      <w:r>
        <w:tab/>
      </w:r>
      <w:r>
        <w:fldChar w:fldCharType="begin"/>
      </w:r>
      <w:r>
        <w:instrText xml:space="preserve"> PAGEREF _Toc183424882 \h </w:instrText>
      </w:r>
      <w:r>
        <w:fldChar w:fldCharType="separate"/>
      </w:r>
      <w:r>
        <w:t>14</w:t>
      </w:r>
      <w:r>
        <w:fldChar w:fldCharType="end"/>
      </w:r>
    </w:p>
    <w:p>
      <w:pPr>
        <w:pStyle w:val="TOC8"/>
        <w:rPr>
          <w:rFonts w:asciiTheme="minorHAnsi" w:eastAsiaTheme="minorEastAsia" w:hAnsiTheme="minorHAnsi" w:cstheme="minorBidi"/>
          <w:szCs w:val="22"/>
        </w:rPr>
      </w:pPr>
      <w:r>
        <w:t>22.</w:t>
      </w:r>
      <w:r>
        <w:tab/>
        <w:t xml:space="preserve">Interest secured on </w:t>
      </w:r>
      <w:r>
        <w:rPr>
          <w:snapToGrid w:val="0"/>
        </w:rPr>
        <w:t>personal property</w:t>
      </w:r>
      <w:r>
        <w:tab/>
      </w:r>
      <w:r>
        <w:fldChar w:fldCharType="begin"/>
      </w:r>
      <w:r>
        <w:instrText xml:space="preserve"> PAGEREF _Toc183424883 \h </w:instrText>
      </w:r>
      <w:r>
        <w:fldChar w:fldCharType="separate"/>
      </w:r>
      <w:r>
        <w:t>15</w:t>
      </w:r>
      <w:r>
        <w:fldChar w:fldCharType="end"/>
      </w:r>
    </w:p>
    <w:p>
      <w:pPr>
        <w:pStyle w:val="TOC8"/>
        <w:rPr>
          <w:rFonts w:asciiTheme="minorHAnsi" w:eastAsiaTheme="minorEastAsia" w:hAnsiTheme="minorHAnsi" w:cstheme="minorBidi"/>
          <w:szCs w:val="22"/>
        </w:rPr>
      </w:pPr>
      <w:r>
        <w:t>23.</w:t>
      </w:r>
      <w:r>
        <w:tab/>
        <w:t>Possession — 12 years</w:t>
      </w:r>
      <w:r>
        <w:tab/>
      </w:r>
      <w:r>
        <w:fldChar w:fldCharType="begin"/>
      </w:r>
      <w:r>
        <w:instrText xml:space="preserve"> PAGEREF _Toc183424884 \h </w:instrText>
      </w:r>
      <w:r>
        <w:fldChar w:fldCharType="separate"/>
      </w:r>
      <w:r>
        <w:t>16</w:t>
      </w:r>
      <w:r>
        <w:fldChar w:fldCharType="end"/>
      </w:r>
    </w:p>
    <w:p>
      <w:pPr>
        <w:pStyle w:val="TOC8"/>
        <w:rPr>
          <w:rFonts w:asciiTheme="minorHAnsi" w:eastAsiaTheme="minorEastAsia" w:hAnsiTheme="minorHAnsi" w:cstheme="minorBidi"/>
          <w:szCs w:val="22"/>
        </w:rPr>
      </w:pPr>
      <w:r>
        <w:t>24.</w:t>
      </w:r>
      <w:r>
        <w:tab/>
        <w:t>Foreclosure — 12 years</w:t>
      </w:r>
      <w:r>
        <w:tab/>
      </w:r>
      <w:r>
        <w:fldChar w:fldCharType="begin"/>
      </w:r>
      <w:r>
        <w:instrText xml:space="preserve"> PAGEREF _Toc183424885 \h </w:instrText>
      </w:r>
      <w:r>
        <w:fldChar w:fldCharType="separate"/>
      </w:r>
      <w:r>
        <w:t>16</w:t>
      </w:r>
      <w:r>
        <w:fldChar w:fldCharType="end"/>
      </w:r>
    </w:p>
    <w:p>
      <w:pPr>
        <w:pStyle w:val="TOC8"/>
        <w:rPr>
          <w:rFonts w:asciiTheme="minorHAnsi" w:eastAsiaTheme="minorEastAsia" w:hAnsiTheme="minorHAnsi" w:cstheme="minorBidi"/>
          <w:szCs w:val="22"/>
        </w:rPr>
      </w:pPr>
      <w:r>
        <w:t>25.</w:t>
      </w:r>
      <w:r>
        <w:tab/>
        <w:t>Redemption — 12 years</w:t>
      </w:r>
      <w:r>
        <w:tab/>
      </w:r>
      <w:r>
        <w:fldChar w:fldCharType="begin"/>
      </w:r>
      <w:r>
        <w:instrText xml:space="preserve"> PAGEREF _Toc183424886 \h </w:instrText>
      </w:r>
      <w:r>
        <w:fldChar w:fldCharType="separate"/>
      </w:r>
      <w:r>
        <w:t>16</w:t>
      </w:r>
      <w:r>
        <w:fldChar w:fldCharType="end"/>
      </w:r>
    </w:p>
    <w:p>
      <w:pPr>
        <w:pStyle w:val="TOC8"/>
        <w:rPr>
          <w:rFonts w:asciiTheme="minorHAnsi" w:eastAsiaTheme="minorEastAsia" w:hAnsiTheme="minorHAnsi" w:cstheme="minorBidi"/>
          <w:szCs w:val="22"/>
        </w:rPr>
      </w:pPr>
      <w:r>
        <w:t>26.</w:t>
      </w:r>
      <w:r>
        <w:tab/>
        <w:t>Accounts — limitation period for the basis of the duty to account applies</w:t>
      </w:r>
      <w:r>
        <w:tab/>
      </w:r>
      <w:r>
        <w:fldChar w:fldCharType="begin"/>
      </w:r>
      <w:r>
        <w:instrText xml:space="preserve"> PAGEREF _Toc183424887 \h </w:instrText>
      </w:r>
      <w:r>
        <w:fldChar w:fldCharType="separate"/>
      </w:r>
      <w:r>
        <w:t>17</w:t>
      </w:r>
      <w:r>
        <w:fldChar w:fldCharType="end"/>
      </w:r>
    </w:p>
    <w:p>
      <w:pPr>
        <w:pStyle w:val="TOC8"/>
        <w:rPr>
          <w:rFonts w:asciiTheme="minorHAnsi" w:eastAsiaTheme="minorEastAsia" w:hAnsiTheme="minorHAnsi" w:cstheme="minorBidi"/>
          <w:szCs w:val="22"/>
        </w:rPr>
      </w:pPr>
      <w:r>
        <w:t>27.</w:t>
      </w:r>
      <w:r>
        <w:tab/>
        <w:t>Equitable actions (not analogous to other actions)</w:t>
      </w:r>
      <w:r>
        <w:tab/>
      </w:r>
      <w:r>
        <w:fldChar w:fldCharType="begin"/>
      </w:r>
      <w:r>
        <w:instrText xml:space="preserve"> PAGEREF _Toc183424888 \h </w:instrText>
      </w:r>
      <w:r>
        <w:fldChar w:fldCharType="separate"/>
      </w:r>
      <w:r>
        <w:t>17</w:t>
      </w:r>
      <w:r>
        <w:fldChar w:fldCharType="end"/>
      </w:r>
    </w:p>
    <w:p>
      <w:pPr>
        <w:pStyle w:val="TOC8"/>
        <w:rPr>
          <w:rFonts w:asciiTheme="minorHAnsi" w:eastAsiaTheme="minorEastAsia" w:hAnsiTheme="minorHAnsi" w:cstheme="minorBidi"/>
          <w:szCs w:val="22"/>
        </w:rPr>
      </w:pPr>
      <w:r>
        <w:t>28.</w:t>
      </w:r>
      <w:r>
        <w:tab/>
        <w:t>T</w:t>
      </w:r>
      <w:r>
        <w:rPr>
          <w:snapToGrid w:val="0"/>
        </w:rPr>
        <w:t>ax mistakenly paid — 12 months or as provided under other Act</w:t>
      </w:r>
      <w:r>
        <w:tab/>
      </w:r>
      <w:r>
        <w:fldChar w:fldCharType="begin"/>
      </w:r>
      <w:r>
        <w:instrText xml:space="preserve"> PAGEREF _Toc183424889 \h </w:instrText>
      </w:r>
      <w:r>
        <w:fldChar w:fldCharType="separate"/>
      </w:r>
      <w:r>
        <w:t>18</w:t>
      </w:r>
      <w:r>
        <w:fldChar w:fldCharType="end"/>
      </w:r>
    </w:p>
    <w:p>
      <w:pPr>
        <w:pStyle w:val="TOC8"/>
        <w:rPr>
          <w:rFonts w:asciiTheme="minorHAnsi" w:eastAsiaTheme="minorEastAsia" w:hAnsiTheme="minorHAnsi" w:cstheme="minorBidi"/>
          <w:szCs w:val="22"/>
        </w:rPr>
      </w:pPr>
      <w:r>
        <w:t>29.</w:t>
      </w:r>
      <w:r>
        <w:tab/>
        <w:t>Arbitration — limitation period for corresponding civil proceeding applies</w:t>
      </w:r>
      <w:r>
        <w:tab/>
      </w:r>
      <w:r>
        <w:fldChar w:fldCharType="begin"/>
      </w:r>
      <w:r>
        <w:instrText xml:space="preserve"> PAGEREF _Toc183424890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Extension or shortening of limitation periods</w:t>
      </w:r>
    </w:p>
    <w:p>
      <w:pPr>
        <w:pStyle w:val="TOC4"/>
        <w:tabs>
          <w:tab w:val="right" w:leader="dot" w:pos="7077"/>
        </w:tabs>
        <w:rPr>
          <w:rFonts w:asciiTheme="minorHAnsi" w:eastAsiaTheme="minorEastAsia" w:hAnsiTheme="minorHAnsi" w:cstheme="minorBidi"/>
          <w:b w:val="0"/>
          <w:szCs w:val="22"/>
        </w:rPr>
      </w:pPr>
      <w:r>
        <w:t>Division 1 — Extension for persons under 18 years when cause of action accrues</w:t>
      </w:r>
    </w:p>
    <w:p>
      <w:pPr>
        <w:pStyle w:val="TOC8"/>
        <w:rPr>
          <w:rFonts w:asciiTheme="minorHAnsi" w:eastAsiaTheme="minorEastAsia" w:hAnsiTheme="minorHAnsi" w:cstheme="minorBidi"/>
          <w:szCs w:val="22"/>
        </w:rPr>
      </w:pPr>
      <w:r>
        <w:t>30.</w:t>
      </w:r>
      <w:r>
        <w:tab/>
        <w:t>Limitation periods applicable to persons under 15 when cause of action accrues</w:t>
      </w:r>
      <w:r>
        <w:tab/>
      </w:r>
      <w:r>
        <w:fldChar w:fldCharType="begin"/>
      </w:r>
      <w:r>
        <w:instrText xml:space="preserve"> PAGEREF _Toc183424893 \h </w:instrText>
      </w:r>
      <w:r>
        <w:fldChar w:fldCharType="separate"/>
      </w:r>
      <w:r>
        <w:t>19</w:t>
      </w:r>
      <w:r>
        <w:fldChar w:fldCharType="end"/>
      </w:r>
    </w:p>
    <w:p>
      <w:pPr>
        <w:pStyle w:val="TOC8"/>
        <w:rPr>
          <w:rFonts w:asciiTheme="minorHAnsi" w:eastAsiaTheme="minorEastAsia" w:hAnsiTheme="minorHAnsi" w:cstheme="minorBidi"/>
          <w:szCs w:val="22"/>
        </w:rPr>
      </w:pPr>
      <w:r>
        <w:t>31.</w:t>
      </w:r>
      <w:r>
        <w:tab/>
        <w:t>Limitation periods applicable to persons between 15 and 18 when cause of action accrues</w:t>
      </w:r>
      <w:r>
        <w:tab/>
      </w:r>
      <w:r>
        <w:fldChar w:fldCharType="begin"/>
      </w:r>
      <w:r>
        <w:instrText xml:space="preserve"> PAGEREF _Toc183424894 \h </w:instrText>
      </w:r>
      <w:r>
        <w:fldChar w:fldCharType="separate"/>
      </w:r>
      <w:r>
        <w:t>19</w:t>
      </w:r>
      <w:r>
        <w:fldChar w:fldCharType="end"/>
      </w:r>
    </w:p>
    <w:p>
      <w:pPr>
        <w:pStyle w:val="TOC8"/>
        <w:rPr>
          <w:rFonts w:asciiTheme="minorHAnsi" w:eastAsiaTheme="minorEastAsia" w:hAnsiTheme="minorHAnsi" w:cstheme="minorBidi"/>
          <w:szCs w:val="22"/>
        </w:rPr>
      </w:pPr>
      <w:r>
        <w:t>32.</w:t>
      </w:r>
      <w:r>
        <w:tab/>
        <w:t>Suspension of time while person under 18 is without guardian</w:t>
      </w:r>
      <w:r>
        <w:tab/>
      </w:r>
      <w:r>
        <w:fldChar w:fldCharType="begin"/>
      </w:r>
      <w:r>
        <w:instrText xml:space="preserve"> PAGEREF _Toc183424895 \h </w:instrText>
      </w:r>
      <w:r>
        <w:fldChar w:fldCharType="separate"/>
      </w:r>
      <w:r>
        <w:t>19</w:t>
      </w:r>
      <w:r>
        <w:fldChar w:fldCharType="end"/>
      </w:r>
    </w:p>
    <w:p>
      <w:pPr>
        <w:pStyle w:val="TOC8"/>
        <w:rPr>
          <w:rFonts w:asciiTheme="minorHAnsi" w:eastAsiaTheme="minorEastAsia" w:hAnsiTheme="minorHAnsi" w:cstheme="minorBidi"/>
          <w:szCs w:val="22"/>
        </w:rPr>
      </w:pPr>
      <w:r>
        <w:t>33.</w:t>
      </w:r>
      <w:r>
        <w:tab/>
        <w:t>Defendant in close relationship with person under 18 when cause of action accrues</w:t>
      </w:r>
      <w:r>
        <w:tab/>
      </w:r>
      <w:r>
        <w:fldChar w:fldCharType="begin"/>
      </w:r>
      <w:r>
        <w:instrText xml:space="preserve"> PAGEREF _Toc183424896 \h </w:instrText>
      </w:r>
      <w:r>
        <w:fldChar w:fldCharType="separate"/>
      </w:r>
      <w:r>
        <w:t>20</w:t>
      </w:r>
      <w:r>
        <w:fldChar w:fldCharType="end"/>
      </w:r>
    </w:p>
    <w:p>
      <w:pPr>
        <w:pStyle w:val="TOC8"/>
        <w:rPr>
          <w:rFonts w:asciiTheme="minorHAnsi" w:eastAsiaTheme="minorEastAsia" w:hAnsiTheme="minorHAnsi" w:cstheme="minorBidi"/>
          <w:szCs w:val="22"/>
        </w:rPr>
      </w:pPr>
      <w:r>
        <w:t>34.</w:t>
      </w:r>
      <w:r>
        <w:tab/>
        <w:t>Defamation</w:t>
      </w:r>
      <w:r>
        <w:tab/>
      </w:r>
      <w:r>
        <w:fldChar w:fldCharType="begin"/>
      </w:r>
      <w:r>
        <w:instrText xml:space="preserve"> PAGEREF _Toc183424897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Extension for persons with mental disability</w:t>
      </w:r>
    </w:p>
    <w:p>
      <w:pPr>
        <w:pStyle w:val="TOC8"/>
        <w:rPr>
          <w:rFonts w:asciiTheme="minorHAnsi" w:eastAsiaTheme="minorEastAsia" w:hAnsiTheme="minorHAnsi" w:cstheme="minorBidi"/>
          <w:szCs w:val="22"/>
        </w:rPr>
      </w:pPr>
      <w:r>
        <w:t>35.</w:t>
      </w:r>
      <w:r>
        <w:tab/>
        <w:t>Suspension of time while person with mental disability is without guardian</w:t>
      </w:r>
      <w:r>
        <w:tab/>
      </w:r>
      <w:r>
        <w:fldChar w:fldCharType="begin"/>
      </w:r>
      <w:r>
        <w:instrText xml:space="preserve"> PAGEREF _Toc183424899 \h </w:instrText>
      </w:r>
      <w:r>
        <w:fldChar w:fldCharType="separate"/>
      </w:r>
      <w:r>
        <w:t>21</w:t>
      </w:r>
      <w:r>
        <w:fldChar w:fldCharType="end"/>
      </w:r>
    </w:p>
    <w:p>
      <w:pPr>
        <w:pStyle w:val="TOC8"/>
        <w:rPr>
          <w:rFonts w:asciiTheme="minorHAnsi" w:eastAsiaTheme="minorEastAsia" w:hAnsiTheme="minorHAnsi" w:cstheme="minorBidi"/>
          <w:szCs w:val="22"/>
        </w:rPr>
      </w:pPr>
      <w:r>
        <w:t>36.</w:t>
      </w:r>
      <w:r>
        <w:tab/>
        <w:t>Defendant in close relationship with person with mental disability</w:t>
      </w:r>
      <w:r>
        <w:tab/>
      </w:r>
      <w:r>
        <w:fldChar w:fldCharType="begin"/>
      </w:r>
      <w:r>
        <w:instrText xml:space="preserve"> PAGEREF _Toc183424900 \h </w:instrText>
      </w:r>
      <w:r>
        <w:fldChar w:fldCharType="separate"/>
      </w:r>
      <w:r>
        <w:t>22</w:t>
      </w:r>
      <w:r>
        <w:fldChar w:fldCharType="end"/>
      </w:r>
    </w:p>
    <w:p>
      <w:pPr>
        <w:pStyle w:val="TOC8"/>
        <w:rPr>
          <w:rFonts w:asciiTheme="minorHAnsi" w:eastAsiaTheme="minorEastAsia" w:hAnsiTheme="minorHAnsi" w:cstheme="minorBidi"/>
          <w:szCs w:val="22"/>
        </w:rPr>
      </w:pPr>
      <w:r>
        <w:t>37.</w:t>
      </w:r>
      <w:r>
        <w:tab/>
        <w:t>Defamation</w:t>
      </w:r>
      <w:r>
        <w:tab/>
      </w:r>
      <w:r>
        <w:fldChar w:fldCharType="begin"/>
      </w:r>
      <w:r>
        <w:instrText xml:space="preserve"> PAGEREF _Toc183424901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Extension by courts</w:t>
      </w:r>
    </w:p>
    <w:p>
      <w:pPr>
        <w:pStyle w:val="TOC8"/>
        <w:rPr>
          <w:rFonts w:asciiTheme="minorHAnsi" w:eastAsiaTheme="minorEastAsia" w:hAnsiTheme="minorHAnsi" w:cstheme="minorBidi"/>
          <w:szCs w:val="22"/>
        </w:rPr>
      </w:pPr>
      <w:r>
        <w:t>38.</w:t>
      </w:r>
      <w:r>
        <w:tab/>
        <w:t>Court may extend time to commence actions in cases of fraud or improper conduct</w:t>
      </w:r>
      <w:r>
        <w:tab/>
      </w:r>
      <w:r>
        <w:fldChar w:fldCharType="begin"/>
      </w:r>
      <w:r>
        <w:instrText xml:space="preserve"> PAGEREF _Toc183424903 \h </w:instrText>
      </w:r>
      <w:r>
        <w:fldChar w:fldCharType="separate"/>
      </w:r>
      <w:r>
        <w:t>23</w:t>
      </w:r>
      <w:r>
        <w:fldChar w:fldCharType="end"/>
      </w:r>
    </w:p>
    <w:p>
      <w:pPr>
        <w:pStyle w:val="TOC8"/>
        <w:rPr>
          <w:rFonts w:asciiTheme="minorHAnsi" w:eastAsiaTheme="minorEastAsia" w:hAnsiTheme="minorHAnsi" w:cstheme="minorBidi"/>
          <w:szCs w:val="22"/>
        </w:rPr>
      </w:pPr>
      <w:r>
        <w:t>39.</w:t>
      </w:r>
      <w:r>
        <w:tab/>
        <w:t xml:space="preserve">Court may extend time to commence actions for personal injury or under </w:t>
      </w:r>
      <w:r>
        <w:rPr>
          <w:i/>
        </w:rPr>
        <w:t>Fatal Accidents Act 1959</w:t>
      </w:r>
      <w:r>
        <w:tab/>
      </w:r>
      <w:r>
        <w:fldChar w:fldCharType="begin"/>
      </w:r>
      <w:r>
        <w:instrText xml:space="preserve"> PAGEREF _Toc183424904 \h </w:instrText>
      </w:r>
      <w:r>
        <w:fldChar w:fldCharType="separate"/>
      </w:r>
      <w:r>
        <w:t>23</w:t>
      </w:r>
      <w:r>
        <w:fldChar w:fldCharType="end"/>
      </w:r>
    </w:p>
    <w:p>
      <w:pPr>
        <w:pStyle w:val="TOC8"/>
        <w:rPr>
          <w:rFonts w:asciiTheme="minorHAnsi" w:eastAsiaTheme="minorEastAsia" w:hAnsiTheme="minorHAnsi" w:cstheme="minorBidi"/>
          <w:szCs w:val="22"/>
        </w:rPr>
      </w:pPr>
      <w:r>
        <w:t>40.</w:t>
      </w:r>
      <w:r>
        <w:tab/>
        <w:t>Court may extend time to commence defamation actions</w:t>
      </w:r>
      <w:r>
        <w:tab/>
      </w:r>
      <w:r>
        <w:fldChar w:fldCharType="begin"/>
      </w:r>
      <w:r>
        <w:instrText xml:space="preserve"> PAGEREF _Toc183424905 \h </w:instrText>
      </w:r>
      <w:r>
        <w:fldChar w:fldCharType="separate"/>
      </w:r>
      <w:r>
        <w:t>25</w:t>
      </w:r>
      <w:r>
        <w:fldChar w:fldCharType="end"/>
      </w:r>
    </w:p>
    <w:p>
      <w:pPr>
        <w:pStyle w:val="TOC8"/>
        <w:rPr>
          <w:rFonts w:asciiTheme="minorHAnsi" w:eastAsiaTheme="minorEastAsia" w:hAnsiTheme="minorHAnsi" w:cstheme="minorBidi"/>
          <w:szCs w:val="22"/>
        </w:rPr>
      </w:pPr>
      <w:r>
        <w:t>41.</w:t>
      </w:r>
      <w:r>
        <w:tab/>
        <w:t>Court may extend time to commence action by person under 18 when cause of action accrues, with guardian</w:t>
      </w:r>
      <w:r>
        <w:tab/>
      </w:r>
      <w:r>
        <w:fldChar w:fldCharType="begin"/>
      </w:r>
      <w:r>
        <w:instrText xml:space="preserve"> PAGEREF _Toc183424906 \h </w:instrText>
      </w:r>
      <w:r>
        <w:fldChar w:fldCharType="separate"/>
      </w:r>
      <w:r>
        <w:t>25</w:t>
      </w:r>
      <w:r>
        <w:fldChar w:fldCharType="end"/>
      </w:r>
    </w:p>
    <w:p>
      <w:pPr>
        <w:pStyle w:val="TOC8"/>
        <w:rPr>
          <w:rFonts w:asciiTheme="minorHAnsi" w:eastAsiaTheme="minorEastAsia" w:hAnsiTheme="minorHAnsi" w:cstheme="minorBidi"/>
          <w:szCs w:val="22"/>
        </w:rPr>
      </w:pPr>
      <w:r>
        <w:t>42.</w:t>
      </w:r>
      <w:r>
        <w:tab/>
        <w:t>Court may extend time to commence action by person with a mental disability, with guardian</w:t>
      </w:r>
      <w:r>
        <w:tab/>
      </w:r>
      <w:r>
        <w:fldChar w:fldCharType="begin"/>
      </w:r>
      <w:r>
        <w:instrText xml:space="preserve"> PAGEREF _Toc183424907 \h </w:instrText>
      </w:r>
      <w:r>
        <w:fldChar w:fldCharType="separate"/>
      </w:r>
      <w:r>
        <w:t>26</w:t>
      </w:r>
      <w:r>
        <w:fldChar w:fldCharType="end"/>
      </w:r>
    </w:p>
    <w:p>
      <w:pPr>
        <w:pStyle w:val="TOC8"/>
        <w:rPr>
          <w:rFonts w:asciiTheme="minorHAnsi" w:eastAsiaTheme="minorEastAsia" w:hAnsiTheme="minorHAnsi" w:cstheme="minorBidi"/>
          <w:szCs w:val="22"/>
        </w:rPr>
      </w:pPr>
      <w:r>
        <w:t>43.</w:t>
      </w:r>
      <w:r>
        <w:tab/>
        <w:t>Jurisdiction and procedure</w:t>
      </w:r>
      <w:r>
        <w:tab/>
      </w:r>
      <w:r>
        <w:fldChar w:fldCharType="begin"/>
      </w:r>
      <w:r>
        <w:instrText xml:space="preserve"> PAGEREF _Toc183424908 \h </w:instrText>
      </w:r>
      <w:r>
        <w:fldChar w:fldCharType="separate"/>
      </w:r>
      <w:r>
        <w:t>26</w:t>
      </w:r>
      <w:r>
        <w:fldChar w:fldCharType="end"/>
      </w:r>
    </w:p>
    <w:p>
      <w:pPr>
        <w:pStyle w:val="TOC8"/>
        <w:rPr>
          <w:rFonts w:asciiTheme="minorHAnsi" w:eastAsiaTheme="minorEastAsia" w:hAnsiTheme="minorHAnsi" w:cstheme="minorBidi"/>
          <w:szCs w:val="22"/>
        </w:rPr>
      </w:pPr>
      <w:r>
        <w:t>44.</w:t>
      </w:r>
      <w:r>
        <w:tab/>
        <w:t>Further matters for court’s consideration on extension applications</w:t>
      </w:r>
      <w:r>
        <w:tab/>
      </w:r>
      <w:r>
        <w:fldChar w:fldCharType="begin"/>
      </w:r>
      <w:r>
        <w:instrText xml:space="preserve"> PAGEREF _Toc183424909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Extension or shortening by agreement</w:t>
      </w:r>
    </w:p>
    <w:p>
      <w:pPr>
        <w:pStyle w:val="TOC8"/>
        <w:rPr>
          <w:rFonts w:asciiTheme="minorHAnsi" w:eastAsiaTheme="minorEastAsia" w:hAnsiTheme="minorHAnsi" w:cstheme="minorBidi"/>
          <w:szCs w:val="22"/>
        </w:rPr>
      </w:pPr>
      <w:r>
        <w:t>45.</w:t>
      </w:r>
      <w:r>
        <w:tab/>
        <w:t>Agreement to extend or shorten limitation period</w:t>
      </w:r>
      <w:r>
        <w:tab/>
      </w:r>
      <w:r>
        <w:fldChar w:fldCharType="begin"/>
      </w:r>
      <w:r>
        <w:instrText xml:space="preserve"> PAGEREF _Toc183424911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Extension by confirmation</w:t>
      </w:r>
    </w:p>
    <w:p>
      <w:pPr>
        <w:pStyle w:val="TOC8"/>
        <w:rPr>
          <w:rFonts w:asciiTheme="minorHAnsi" w:eastAsiaTheme="minorEastAsia" w:hAnsiTheme="minorHAnsi" w:cstheme="minorBidi"/>
          <w:szCs w:val="22"/>
        </w:rPr>
      </w:pPr>
      <w:r>
        <w:t>46.</w:t>
      </w:r>
      <w:r>
        <w:tab/>
        <w:t>Meaning of confirmation</w:t>
      </w:r>
      <w:r>
        <w:tab/>
      </w:r>
      <w:r>
        <w:fldChar w:fldCharType="begin"/>
      </w:r>
      <w:r>
        <w:instrText xml:space="preserve"> PAGEREF _Toc183424913 \h </w:instrText>
      </w:r>
      <w:r>
        <w:fldChar w:fldCharType="separate"/>
      </w:r>
      <w:r>
        <w:t>28</w:t>
      </w:r>
      <w:r>
        <w:fldChar w:fldCharType="end"/>
      </w:r>
    </w:p>
    <w:p>
      <w:pPr>
        <w:pStyle w:val="TOC8"/>
        <w:rPr>
          <w:rFonts w:asciiTheme="minorHAnsi" w:eastAsiaTheme="minorEastAsia" w:hAnsiTheme="minorHAnsi" w:cstheme="minorBidi"/>
          <w:szCs w:val="22"/>
        </w:rPr>
      </w:pPr>
      <w:r>
        <w:t>47.</w:t>
      </w:r>
      <w:r>
        <w:tab/>
        <w:t>Limitation period extended by confirmation</w:t>
      </w:r>
      <w:r>
        <w:tab/>
      </w:r>
      <w:r>
        <w:fldChar w:fldCharType="begin"/>
      </w:r>
      <w:r>
        <w:instrText xml:space="preserve"> PAGEREF _Toc183424914 \h </w:instrText>
      </w:r>
      <w:r>
        <w:fldChar w:fldCharType="separate"/>
      </w:r>
      <w:r>
        <w:t>28</w:t>
      </w:r>
      <w:r>
        <w:fldChar w:fldCharType="end"/>
      </w:r>
    </w:p>
    <w:p>
      <w:pPr>
        <w:pStyle w:val="TOC8"/>
        <w:rPr>
          <w:rFonts w:asciiTheme="minorHAnsi" w:eastAsiaTheme="minorEastAsia" w:hAnsiTheme="minorHAnsi" w:cstheme="minorBidi"/>
          <w:szCs w:val="22"/>
        </w:rPr>
      </w:pPr>
      <w:r>
        <w:t>48.</w:t>
      </w:r>
      <w:r>
        <w:tab/>
        <w:t>Formal requirements for acknowledgments</w:t>
      </w:r>
      <w:r>
        <w:tab/>
      </w:r>
      <w:r>
        <w:fldChar w:fldCharType="begin"/>
      </w:r>
      <w:r>
        <w:instrText xml:space="preserve"> PAGEREF _Toc183424915 \h </w:instrText>
      </w:r>
      <w:r>
        <w:fldChar w:fldCharType="separate"/>
      </w:r>
      <w:r>
        <w:t>29</w:t>
      </w:r>
      <w:r>
        <w:fldChar w:fldCharType="end"/>
      </w:r>
    </w:p>
    <w:p>
      <w:pPr>
        <w:pStyle w:val="TOC8"/>
        <w:rPr>
          <w:rFonts w:asciiTheme="minorHAnsi" w:eastAsiaTheme="minorEastAsia" w:hAnsiTheme="minorHAnsi" w:cstheme="minorBidi"/>
          <w:szCs w:val="22"/>
        </w:rPr>
      </w:pPr>
      <w:r>
        <w:t>49.</w:t>
      </w:r>
      <w:r>
        <w:tab/>
        <w:t>Who has benefit of confirmation</w:t>
      </w:r>
      <w:r>
        <w:tab/>
      </w:r>
      <w:r>
        <w:fldChar w:fldCharType="begin"/>
      </w:r>
      <w:r>
        <w:instrText xml:space="preserve"> PAGEREF _Toc183424916 \h </w:instrText>
      </w:r>
      <w:r>
        <w:fldChar w:fldCharType="separate"/>
      </w:r>
      <w:r>
        <w:t>29</w:t>
      </w:r>
      <w:r>
        <w:fldChar w:fldCharType="end"/>
      </w:r>
    </w:p>
    <w:p>
      <w:pPr>
        <w:pStyle w:val="TOC8"/>
        <w:rPr>
          <w:rFonts w:asciiTheme="minorHAnsi" w:eastAsiaTheme="minorEastAsia" w:hAnsiTheme="minorHAnsi" w:cstheme="minorBidi"/>
          <w:szCs w:val="22"/>
        </w:rPr>
      </w:pPr>
      <w:r>
        <w:t>50.</w:t>
      </w:r>
      <w:r>
        <w:tab/>
        <w:t>Who is bound by confirmation</w:t>
      </w:r>
      <w:r>
        <w:tab/>
      </w:r>
      <w:r>
        <w:fldChar w:fldCharType="begin"/>
      </w:r>
      <w:r>
        <w:instrText xml:space="preserve"> PAGEREF _Toc183424917 \h </w:instrText>
      </w:r>
      <w:r>
        <w:fldChar w:fldCharType="separate"/>
      </w:r>
      <w:r>
        <w:t>29</w:t>
      </w:r>
      <w:r>
        <w:fldChar w:fldCharType="end"/>
      </w:r>
    </w:p>
    <w:p>
      <w:pPr>
        <w:pStyle w:val="TOC8"/>
        <w:rPr>
          <w:rFonts w:asciiTheme="minorHAnsi" w:eastAsiaTheme="minorEastAsia" w:hAnsiTheme="minorHAnsi" w:cstheme="minorBidi"/>
          <w:szCs w:val="22"/>
        </w:rPr>
      </w:pPr>
      <w:r>
        <w:t>51.</w:t>
      </w:r>
      <w:r>
        <w:tab/>
        <w:t>Effects of certain kinds of confirmation</w:t>
      </w:r>
      <w:r>
        <w:tab/>
      </w:r>
      <w:r>
        <w:fldChar w:fldCharType="begin"/>
      </w:r>
      <w:r>
        <w:instrText xml:space="preserve"> PAGEREF _Toc183424918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Extension of limitation periods — other matters</w:t>
      </w:r>
    </w:p>
    <w:p>
      <w:pPr>
        <w:pStyle w:val="TOC8"/>
        <w:rPr>
          <w:rFonts w:asciiTheme="minorHAnsi" w:eastAsiaTheme="minorEastAsia" w:hAnsiTheme="minorHAnsi" w:cstheme="minorBidi"/>
          <w:szCs w:val="22"/>
        </w:rPr>
      </w:pPr>
      <w:r>
        <w:t>52.</w:t>
      </w:r>
      <w:r>
        <w:tab/>
        <w:t>Persons with mental disability under 18 when cause of action accrues — most beneficial limitation period applies</w:t>
      </w:r>
      <w:r>
        <w:tab/>
      </w:r>
      <w:r>
        <w:fldChar w:fldCharType="begin"/>
      </w:r>
      <w:r>
        <w:instrText xml:space="preserve"> PAGEREF _Toc183424920 \h </w:instrText>
      </w:r>
      <w:r>
        <w:fldChar w:fldCharType="separate"/>
      </w:r>
      <w:r>
        <w:t>30</w:t>
      </w:r>
      <w:r>
        <w:fldChar w:fldCharType="end"/>
      </w:r>
    </w:p>
    <w:p>
      <w:pPr>
        <w:pStyle w:val="TOC8"/>
        <w:rPr>
          <w:rFonts w:asciiTheme="minorHAnsi" w:eastAsiaTheme="minorEastAsia" w:hAnsiTheme="minorHAnsi" w:cstheme="minorBidi"/>
          <w:szCs w:val="22"/>
        </w:rPr>
      </w:pPr>
      <w:r>
        <w:lastRenderedPageBreak/>
        <w:t>53.</w:t>
      </w:r>
      <w:r>
        <w:tab/>
        <w:t>Limitation period in case of death of certain persons if cause of action accrues to certain other persons</w:t>
      </w:r>
      <w:r>
        <w:tab/>
      </w:r>
      <w:r>
        <w:fldChar w:fldCharType="begin"/>
      </w:r>
      <w:r>
        <w:instrText xml:space="preserve"> PAGEREF _Toc183424921 \h </w:instrText>
      </w:r>
      <w:r>
        <w:fldChar w:fldCharType="separate"/>
      </w:r>
      <w:r>
        <w:t>31</w:t>
      </w:r>
      <w:r>
        <w:fldChar w:fldCharType="end"/>
      </w:r>
    </w:p>
    <w:p>
      <w:pPr>
        <w:pStyle w:val="TOC8"/>
        <w:rPr>
          <w:rFonts w:asciiTheme="minorHAnsi" w:eastAsiaTheme="minorEastAsia" w:hAnsiTheme="minorHAnsi" w:cstheme="minorBidi"/>
          <w:szCs w:val="22"/>
        </w:rPr>
      </w:pPr>
      <w:r>
        <w:t>54.</w:t>
      </w:r>
      <w:r>
        <w:tab/>
        <w:t>Arbitration — extension of limitation period</w:t>
      </w:r>
      <w:r>
        <w:tab/>
      </w:r>
      <w:r>
        <w:fldChar w:fldCharType="begin"/>
      </w:r>
      <w:r>
        <w:instrText xml:space="preserve"> PAGEREF _Toc183424922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Accrual of particular causes of action</w:t>
      </w:r>
    </w:p>
    <w:p>
      <w:pPr>
        <w:pStyle w:val="TOC4"/>
        <w:tabs>
          <w:tab w:val="right" w:leader="dot" w:pos="7077"/>
        </w:tabs>
        <w:rPr>
          <w:rFonts w:asciiTheme="minorHAnsi" w:eastAsiaTheme="minorEastAsia" w:hAnsiTheme="minorHAnsi" w:cstheme="minorBidi"/>
          <w:b w:val="0"/>
          <w:szCs w:val="22"/>
        </w:rPr>
      </w:pPr>
      <w:r>
        <w:t>Division 1 — Accrual of certain causes of action other than to recover land</w:t>
      </w:r>
    </w:p>
    <w:p>
      <w:pPr>
        <w:pStyle w:val="TOC8"/>
        <w:rPr>
          <w:rFonts w:asciiTheme="minorHAnsi" w:eastAsiaTheme="minorEastAsia" w:hAnsiTheme="minorHAnsi" w:cstheme="minorBidi"/>
          <w:szCs w:val="22"/>
        </w:rPr>
      </w:pPr>
      <w:r>
        <w:t>55.</w:t>
      </w:r>
      <w:r>
        <w:tab/>
        <w:t>Personal injury — general</w:t>
      </w:r>
      <w:r>
        <w:tab/>
      </w:r>
      <w:r>
        <w:fldChar w:fldCharType="begin"/>
      </w:r>
      <w:r>
        <w:instrText xml:space="preserve"> PAGEREF _Toc183424925 \h </w:instrText>
      </w:r>
      <w:r>
        <w:fldChar w:fldCharType="separate"/>
      </w:r>
      <w:r>
        <w:t>33</w:t>
      </w:r>
      <w:r>
        <w:fldChar w:fldCharType="end"/>
      </w:r>
    </w:p>
    <w:p>
      <w:pPr>
        <w:pStyle w:val="TOC8"/>
        <w:rPr>
          <w:rFonts w:asciiTheme="minorHAnsi" w:eastAsiaTheme="minorEastAsia" w:hAnsiTheme="minorHAnsi" w:cstheme="minorBidi"/>
          <w:szCs w:val="22"/>
        </w:rPr>
      </w:pPr>
      <w:r>
        <w:t>56.</w:t>
      </w:r>
      <w:r>
        <w:tab/>
        <w:t>Asbestos or silica dust related diseases</w:t>
      </w:r>
      <w:r>
        <w:tab/>
      </w:r>
      <w:r>
        <w:fldChar w:fldCharType="begin"/>
      </w:r>
      <w:r>
        <w:instrText xml:space="preserve"> PAGEREF _Toc183424926 \h </w:instrText>
      </w:r>
      <w:r>
        <w:fldChar w:fldCharType="separate"/>
      </w:r>
      <w:r>
        <w:t>33</w:t>
      </w:r>
      <w:r>
        <w:fldChar w:fldCharType="end"/>
      </w:r>
    </w:p>
    <w:p>
      <w:pPr>
        <w:pStyle w:val="TOC8"/>
        <w:rPr>
          <w:rFonts w:asciiTheme="minorHAnsi" w:eastAsiaTheme="minorEastAsia" w:hAnsiTheme="minorHAnsi" w:cstheme="minorBidi"/>
          <w:szCs w:val="22"/>
        </w:rPr>
      </w:pPr>
      <w:r>
        <w:t>57.</w:t>
      </w:r>
      <w:r>
        <w:tab/>
        <w:t>Survival of certain actions</w:t>
      </w:r>
      <w:r>
        <w:tab/>
      </w:r>
      <w:r>
        <w:fldChar w:fldCharType="begin"/>
      </w:r>
      <w:r>
        <w:instrText xml:space="preserve"> PAGEREF _Toc183424927 \h </w:instrText>
      </w:r>
      <w:r>
        <w:fldChar w:fldCharType="separate"/>
      </w:r>
      <w:r>
        <w:t>35</w:t>
      </w:r>
      <w:r>
        <w:fldChar w:fldCharType="end"/>
      </w:r>
    </w:p>
    <w:p>
      <w:pPr>
        <w:pStyle w:val="TOC8"/>
        <w:rPr>
          <w:rFonts w:asciiTheme="minorHAnsi" w:eastAsiaTheme="minorEastAsia" w:hAnsiTheme="minorHAnsi" w:cstheme="minorBidi"/>
          <w:szCs w:val="22"/>
        </w:rPr>
      </w:pPr>
      <w:r>
        <w:t>58.</w:t>
      </w:r>
      <w:r>
        <w:tab/>
        <w:t>Contributions between tortfeasors</w:t>
      </w:r>
      <w:r>
        <w:tab/>
      </w:r>
      <w:r>
        <w:fldChar w:fldCharType="begin"/>
      </w:r>
      <w:r>
        <w:instrText xml:space="preserve"> PAGEREF _Toc183424928 \h </w:instrText>
      </w:r>
      <w:r>
        <w:fldChar w:fldCharType="separate"/>
      </w:r>
      <w:r>
        <w:t>36</w:t>
      </w:r>
      <w:r>
        <w:fldChar w:fldCharType="end"/>
      </w:r>
    </w:p>
    <w:p>
      <w:pPr>
        <w:pStyle w:val="TOC8"/>
        <w:rPr>
          <w:rFonts w:asciiTheme="minorHAnsi" w:eastAsiaTheme="minorEastAsia" w:hAnsiTheme="minorHAnsi" w:cstheme="minorBidi"/>
          <w:szCs w:val="22"/>
        </w:rPr>
      </w:pPr>
      <w:r>
        <w:t>59.</w:t>
      </w:r>
      <w:r>
        <w:tab/>
        <w:t>Debts repayable on demand</w:t>
      </w:r>
      <w:r>
        <w:tab/>
      </w:r>
      <w:r>
        <w:fldChar w:fldCharType="begin"/>
      </w:r>
      <w:r>
        <w:instrText xml:space="preserve"> PAGEREF _Toc183424929 \h </w:instrText>
      </w:r>
      <w:r>
        <w:fldChar w:fldCharType="separate"/>
      </w:r>
      <w:r>
        <w:t>36</w:t>
      </w:r>
      <w:r>
        <w:fldChar w:fldCharType="end"/>
      </w:r>
    </w:p>
    <w:p>
      <w:pPr>
        <w:pStyle w:val="TOC8"/>
        <w:rPr>
          <w:rFonts w:asciiTheme="minorHAnsi" w:eastAsiaTheme="minorEastAsia" w:hAnsiTheme="minorHAnsi" w:cstheme="minorBidi"/>
          <w:szCs w:val="22"/>
        </w:rPr>
      </w:pPr>
      <w:r>
        <w:t>60.</w:t>
      </w:r>
      <w:r>
        <w:tab/>
        <w:t>Successive wrongs to goods</w:t>
      </w:r>
      <w:r>
        <w:tab/>
      </w:r>
      <w:r>
        <w:fldChar w:fldCharType="begin"/>
      </w:r>
      <w:r>
        <w:instrText xml:space="preserve"> PAGEREF _Toc183424930 \h </w:instrText>
      </w:r>
      <w:r>
        <w:fldChar w:fldCharType="separate"/>
      </w:r>
      <w:r>
        <w:t>37</w:t>
      </w:r>
      <w:r>
        <w:fldChar w:fldCharType="end"/>
      </w:r>
    </w:p>
    <w:p>
      <w:pPr>
        <w:pStyle w:val="TOC8"/>
        <w:rPr>
          <w:rFonts w:asciiTheme="minorHAnsi" w:eastAsiaTheme="minorEastAsia" w:hAnsiTheme="minorHAnsi" w:cstheme="minorBidi"/>
          <w:szCs w:val="22"/>
        </w:rPr>
      </w:pPr>
      <w:r>
        <w:t>61.</w:t>
      </w:r>
      <w:r>
        <w:tab/>
        <w:t>Equitable interests</w:t>
      </w:r>
      <w:r>
        <w:tab/>
      </w:r>
      <w:r>
        <w:fldChar w:fldCharType="begin"/>
      </w:r>
      <w:r>
        <w:instrText xml:space="preserve"> PAGEREF _Toc183424931 \h </w:instrText>
      </w:r>
      <w:r>
        <w:fldChar w:fldCharType="separate"/>
      </w:r>
      <w:r>
        <w:t>37</w:t>
      </w:r>
      <w:r>
        <w:fldChar w:fldCharType="end"/>
      </w:r>
    </w:p>
    <w:p>
      <w:pPr>
        <w:pStyle w:val="TOC8"/>
        <w:rPr>
          <w:rFonts w:asciiTheme="minorHAnsi" w:eastAsiaTheme="minorEastAsia" w:hAnsiTheme="minorHAnsi" w:cstheme="minorBidi"/>
          <w:szCs w:val="22"/>
        </w:rPr>
      </w:pPr>
      <w:r>
        <w:t>62.</w:t>
      </w:r>
      <w:r>
        <w:tab/>
        <w:t>Future interests of beneficiaries under trusts</w:t>
      </w:r>
      <w:r>
        <w:tab/>
      </w:r>
      <w:r>
        <w:fldChar w:fldCharType="begin"/>
      </w:r>
      <w:r>
        <w:instrText xml:space="preserve"> PAGEREF _Toc183424932 \h </w:instrText>
      </w:r>
      <w:r>
        <w:fldChar w:fldCharType="separate"/>
      </w:r>
      <w:r>
        <w:t>37</w:t>
      </w:r>
      <w:r>
        <w:fldChar w:fldCharType="end"/>
      </w:r>
    </w:p>
    <w:p>
      <w:pPr>
        <w:pStyle w:val="TOC8"/>
        <w:rPr>
          <w:rFonts w:asciiTheme="minorHAnsi" w:eastAsiaTheme="minorEastAsia" w:hAnsiTheme="minorHAnsi" w:cstheme="minorBidi"/>
          <w:szCs w:val="22"/>
        </w:rPr>
      </w:pPr>
      <w:r>
        <w:t>63.</w:t>
      </w:r>
      <w:r>
        <w:tab/>
        <w:t>Matters referable to arbitration</w:t>
      </w:r>
      <w:r>
        <w:tab/>
      </w:r>
      <w:r>
        <w:fldChar w:fldCharType="begin"/>
      </w:r>
      <w:r>
        <w:instrText xml:space="preserve"> PAGEREF _Toc183424933 \h </w:instrText>
      </w:r>
      <w:r>
        <w:fldChar w:fldCharType="separate"/>
      </w:r>
      <w:r>
        <w:t>37</w:t>
      </w:r>
      <w:r>
        <w:fldChar w:fldCharType="end"/>
      </w:r>
    </w:p>
    <w:p>
      <w:pPr>
        <w:pStyle w:val="TOC8"/>
        <w:rPr>
          <w:rFonts w:asciiTheme="minorHAnsi" w:eastAsiaTheme="minorEastAsia" w:hAnsiTheme="minorHAnsi" w:cstheme="minorBidi"/>
          <w:szCs w:val="22"/>
        </w:rPr>
      </w:pPr>
      <w:r>
        <w:t>64.</w:t>
      </w:r>
      <w:r>
        <w:tab/>
        <w:t>Arbitral awards</w:t>
      </w:r>
      <w:r>
        <w:tab/>
      </w:r>
      <w:r>
        <w:fldChar w:fldCharType="begin"/>
      </w:r>
      <w:r>
        <w:instrText xml:space="preserve"> PAGEREF _Toc183424934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Accrual of certain causes of action to recover land</w:t>
      </w:r>
    </w:p>
    <w:p>
      <w:pPr>
        <w:pStyle w:val="TOC8"/>
        <w:rPr>
          <w:rFonts w:asciiTheme="minorHAnsi" w:eastAsiaTheme="minorEastAsia" w:hAnsiTheme="minorHAnsi" w:cstheme="minorBidi"/>
          <w:szCs w:val="22"/>
        </w:rPr>
      </w:pPr>
      <w:r>
        <w:t>65.</w:t>
      </w:r>
      <w:r>
        <w:tab/>
        <w:t>Adverse possession</w:t>
      </w:r>
      <w:r>
        <w:tab/>
      </w:r>
      <w:r>
        <w:fldChar w:fldCharType="begin"/>
      </w:r>
      <w:r>
        <w:instrText xml:space="preserve"> PAGEREF _Toc183424936 \h </w:instrText>
      </w:r>
      <w:r>
        <w:fldChar w:fldCharType="separate"/>
      </w:r>
      <w:r>
        <w:t>38</w:t>
      </w:r>
      <w:r>
        <w:fldChar w:fldCharType="end"/>
      </w:r>
    </w:p>
    <w:p>
      <w:pPr>
        <w:pStyle w:val="TOC8"/>
        <w:rPr>
          <w:rFonts w:asciiTheme="minorHAnsi" w:eastAsiaTheme="minorEastAsia" w:hAnsiTheme="minorHAnsi" w:cstheme="minorBidi"/>
          <w:szCs w:val="22"/>
        </w:rPr>
      </w:pPr>
      <w:r>
        <w:t>66.</w:t>
      </w:r>
      <w:r>
        <w:tab/>
        <w:t>Dispossession or discontinuance</w:t>
      </w:r>
      <w:r>
        <w:tab/>
      </w:r>
      <w:r>
        <w:fldChar w:fldCharType="begin"/>
      </w:r>
      <w:r>
        <w:instrText xml:space="preserve"> PAGEREF _Toc183424937 \h </w:instrText>
      </w:r>
      <w:r>
        <w:fldChar w:fldCharType="separate"/>
      </w:r>
      <w:r>
        <w:t>39</w:t>
      </w:r>
      <w:r>
        <w:fldChar w:fldCharType="end"/>
      </w:r>
    </w:p>
    <w:p>
      <w:pPr>
        <w:pStyle w:val="TOC8"/>
        <w:rPr>
          <w:rFonts w:asciiTheme="minorHAnsi" w:eastAsiaTheme="minorEastAsia" w:hAnsiTheme="minorHAnsi" w:cstheme="minorBidi"/>
          <w:szCs w:val="22"/>
        </w:rPr>
      </w:pPr>
      <w:r>
        <w:t>67.</w:t>
      </w:r>
      <w:r>
        <w:tab/>
        <w:t>Deceased in possession</w:t>
      </w:r>
      <w:r>
        <w:tab/>
      </w:r>
      <w:r>
        <w:fldChar w:fldCharType="begin"/>
      </w:r>
      <w:r>
        <w:instrText xml:space="preserve"> PAGEREF _Toc183424938 \h </w:instrText>
      </w:r>
      <w:r>
        <w:fldChar w:fldCharType="separate"/>
      </w:r>
      <w:r>
        <w:t>39</w:t>
      </w:r>
      <w:r>
        <w:fldChar w:fldCharType="end"/>
      </w:r>
    </w:p>
    <w:p>
      <w:pPr>
        <w:pStyle w:val="TOC8"/>
        <w:rPr>
          <w:rFonts w:asciiTheme="minorHAnsi" w:eastAsiaTheme="minorEastAsia" w:hAnsiTheme="minorHAnsi" w:cstheme="minorBidi"/>
          <w:szCs w:val="22"/>
        </w:rPr>
      </w:pPr>
      <w:r>
        <w:t>68.</w:t>
      </w:r>
      <w:r>
        <w:tab/>
        <w:t>Grantor in possession</w:t>
      </w:r>
      <w:r>
        <w:tab/>
      </w:r>
      <w:r>
        <w:fldChar w:fldCharType="begin"/>
      </w:r>
      <w:r>
        <w:instrText xml:space="preserve"> PAGEREF _Toc183424939 \h </w:instrText>
      </w:r>
      <w:r>
        <w:fldChar w:fldCharType="separate"/>
      </w:r>
      <w:r>
        <w:t>39</w:t>
      </w:r>
      <w:r>
        <w:fldChar w:fldCharType="end"/>
      </w:r>
    </w:p>
    <w:p>
      <w:pPr>
        <w:pStyle w:val="TOC8"/>
        <w:rPr>
          <w:rFonts w:asciiTheme="minorHAnsi" w:eastAsiaTheme="minorEastAsia" w:hAnsiTheme="minorHAnsi" w:cstheme="minorBidi"/>
          <w:szCs w:val="22"/>
        </w:rPr>
      </w:pPr>
      <w:r>
        <w:t>69.</w:t>
      </w:r>
      <w:r>
        <w:tab/>
        <w:t>Future interests in land</w:t>
      </w:r>
      <w:r>
        <w:tab/>
      </w:r>
      <w:r>
        <w:fldChar w:fldCharType="begin"/>
      </w:r>
      <w:r>
        <w:instrText xml:space="preserve"> PAGEREF _Toc183424940 \h </w:instrText>
      </w:r>
      <w:r>
        <w:fldChar w:fldCharType="separate"/>
      </w:r>
      <w:r>
        <w:t>39</w:t>
      </w:r>
      <w:r>
        <w:fldChar w:fldCharType="end"/>
      </w:r>
    </w:p>
    <w:p>
      <w:pPr>
        <w:pStyle w:val="TOC8"/>
        <w:rPr>
          <w:rFonts w:asciiTheme="minorHAnsi" w:eastAsiaTheme="minorEastAsia" w:hAnsiTheme="minorHAnsi" w:cstheme="minorBidi"/>
          <w:szCs w:val="22"/>
        </w:rPr>
      </w:pPr>
      <w:r>
        <w:t>70.</w:t>
      </w:r>
      <w:r>
        <w:tab/>
        <w:t>Forfeiture</w:t>
      </w:r>
      <w:r>
        <w:tab/>
      </w:r>
      <w:r>
        <w:fldChar w:fldCharType="begin"/>
      </w:r>
      <w:r>
        <w:instrText xml:space="preserve"> PAGEREF _Toc183424941 \h </w:instrText>
      </w:r>
      <w:r>
        <w:fldChar w:fldCharType="separate"/>
      </w:r>
      <w:r>
        <w:t>40</w:t>
      </w:r>
      <w:r>
        <w:fldChar w:fldCharType="end"/>
      </w:r>
    </w:p>
    <w:p>
      <w:pPr>
        <w:pStyle w:val="TOC8"/>
        <w:rPr>
          <w:rFonts w:asciiTheme="minorHAnsi" w:eastAsiaTheme="minorEastAsia" w:hAnsiTheme="minorHAnsi" w:cstheme="minorBidi"/>
          <w:szCs w:val="22"/>
        </w:rPr>
      </w:pPr>
      <w:r>
        <w:t>71.</w:t>
      </w:r>
      <w:r>
        <w:tab/>
        <w:t>Rent wrongly paid</w:t>
      </w:r>
      <w:r>
        <w:tab/>
      </w:r>
      <w:r>
        <w:fldChar w:fldCharType="begin"/>
      </w:r>
      <w:r>
        <w:instrText xml:space="preserve"> PAGEREF _Toc183424942 \h </w:instrText>
      </w:r>
      <w:r>
        <w:fldChar w:fldCharType="separate"/>
      </w:r>
      <w:r>
        <w:t>40</w:t>
      </w:r>
      <w:r>
        <w:fldChar w:fldCharType="end"/>
      </w:r>
    </w:p>
    <w:p>
      <w:pPr>
        <w:pStyle w:val="TOC8"/>
        <w:rPr>
          <w:rFonts w:asciiTheme="minorHAnsi" w:eastAsiaTheme="minorEastAsia" w:hAnsiTheme="minorHAnsi" w:cstheme="minorBidi"/>
          <w:szCs w:val="22"/>
        </w:rPr>
      </w:pPr>
      <w:r>
        <w:t>72.</w:t>
      </w:r>
      <w:r>
        <w:tab/>
        <w:t>Tenancies</w:t>
      </w:r>
      <w:r>
        <w:tab/>
      </w:r>
      <w:r>
        <w:fldChar w:fldCharType="begin"/>
      </w:r>
      <w:r>
        <w:instrText xml:space="preserve"> PAGEREF _Toc183424943 \h </w:instrText>
      </w:r>
      <w:r>
        <w:fldChar w:fldCharType="separate"/>
      </w:r>
      <w:r>
        <w:t>40</w:t>
      </w:r>
      <w:r>
        <w:fldChar w:fldCharType="end"/>
      </w:r>
    </w:p>
    <w:p>
      <w:pPr>
        <w:pStyle w:val="TOC8"/>
        <w:rPr>
          <w:rFonts w:asciiTheme="minorHAnsi" w:eastAsiaTheme="minorEastAsia" w:hAnsiTheme="minorHAnsi" w:cstheme="minorBidi"/>
          <w:szCs w:val="22"/>
        </w:rPr>
      </w:pPr>
      <w:r>
        <w:t>73.</w:t>
      </w:r>
      <w:r>
        <w:tab/>
        <w:t>Beneficial co-owners of land</w:t>
      </w:r>
      <w:r>
        <w:tab/>
      </w:r>
      <w:r>
        <w:fldChar w:fldCharType="begin"/>
      </w:r>
      <w:r>
        <w:instrText xml:space="preserve"> PAGEREF _Toc183424944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Effect of expiration of limitation period</w:t>
      </w:r>
    </w:p>
    <w:p>
      <w:pPr>
        <w:pStyle w:val="TOC8"/>
        <w:rPr>
          <w:rFonts w:asciiTheme="minorHAnsi" w:eastAsiaTheme="minorEastAsia" w:hAnsiTheme="minorHAnsi" w:cstheme="minorBidi"/>
          <w:szCs w:val="22"/>
        </w:rPr>
      </w:pPr>
      <w:r>
        <w:t>74.</w:t>
      </w:r>
      <w:r>
        <w:tab/>
        <w:t>Time to commence actions may be extended despite extinguishment of rights</w:t>
      </w:r>
      <w:r>
        <w:tab/>
      </w:r>
      <w:r>
        <w:fldChar w:fldCharType="begin"/>
      </w:r>
      <w:r>
        <w:instrText xml:space="preserve"> PAGEREF _Toc183424946 \h </w:instrText>
      </w:r>
      <w:r>
        <w:fldChar w:fldCharType="separate"/>
      </w:r>
      <w:r>
        <w:t>43</w:t>
      </w:r>
      <w:r>
        <w:fldChar w:fldCharType="end"/>
      </w:r>
    </w:p>
    <w:p>
      <w:pPr>
        <w:pStyle w:val="TOC8"/>
        <w:rPr>
          <w:rFonts w:asciiTheme="minorHAnsi" w:eastAsiaTheme="minorEastAsia" w:hAnsiTheme="minorHAnsi" w:cstheme="minorBidi"/>
          <w:szCs w:val="22"/>
        </w:rPr>
      </w:pPr>
      <w:r>
        <w:t>75.</w:t>
      </w:r>
      <w:r>
        <w:tab/>
        <w:t>Extinguishment of right and title to land</w:t>
      </w:r>
      <w:r>
        <w:tab/>
      </w:r>
      <w:r>
        <w:fldChar w:fldCharType="begin"/>
      </w:r>
      <w:r>
        <w:instrText xml:space="preserve"> PAGEREF _Toc183424947 \h </w:instrText>
      </w:r>
      <w:r>
        <w:fldChar w:fldCharType="separate"/>
      </w:r>
      <w:r>
        <w:t>43</w:t>
      </w:r>
      <w:r>
        <w:fldChar w:fldCharType="end"/>
      </w:r>
    </w:p>
    <w:p>
      <w:pPr>
        <w:pStyle w:val="TOC8"/>
        <w:rPr>
          <w:rFonts w:asciiTheme="minorHAnsi" w:eastAsiaTheme="minorEastAsia" w:hAnsiTheme="minorHAnsi" w:cstheme="minorBidi"/>
          <w:szCs w:val="22"/>
        </w:rPr>
      </w:pPr>
      <w:r>
        <w:t>76.</w:t>
      </w:r>
      <w:r>
        <w:tab/>
      </w:r>
      <w:r>
        <w:rPr>
          <w:snapToGrid w:val="0"/>
        </w:rPr>
        <w:t>No title by adverse possession against Crown</w:t>
      </w:r>
      <w:r>
        <w:tab/>
      </w:r>
      <w:r>
        <w:fldChar w:fldCharType="begin"/>
      </w:r>
      <w:r>
        <w:instrText xml:space="preserve"> PAGEREF _Toc183424948 \h </w:instrText>
      </w:r>
      <w:r>
        <w:fldChar w:fldCharType="separate"/>
      </w:r>
      <w:r>
        <w:t>43</w:t>
      </w:r>
      <w:r>
        <w:fldChar w:fldCharType="end"/>
      </w:r>
    </w:p>
    <w:p>
      <w:pPr>
        <w:pStyle w:val="TOC8"/>
        <w:rPr>
          <w:rFonts w:asciiTheme="minorHAnsi" w:eastAsiaTheme="minorEastAsia" w:hAnsiTheme="minorHAnsi" w:cstheme="minorBidi"/>
          <w:szCs w:val="22"/>
        </w:rPr>
      </w:pPr>
      <w:r>
        <w:t>77.</w:t>
      </w:r>
      <w:r>
        <w:tab/>
        <w:t>Future interests in land</w:t>
      </w:r>
      <w:r>
        <w:tab/>
      </w:r>
      <w:r>
        <w:fldChar w:fldCharType="begin"/>
      </w:r>
      <w:r>
        <w:instrText xml:space="preserve"> PAGEREF _Toc183424949 \h </w:instrText>
      </w:r>
      <w:r>
        <w:fldChar w:fldCharType="separate"/>
      </w:r>
      <w:r>
        <w:t>44</w:t>
      </w:r>
      <w:r>
        <w:fldChar w:fldCharType="end"/>
      </w:r>
    </w:p>
    <w:p>
      <w:pPr>
        <w:pStyle w:val="TOC8"/>
        <w:rPr>
          <w:rFonts w:asciiTheme="minorHAnsi" w:eastAsiaTheme="minorEastAsia" w:hAnsiTheme="minorHAnsi" w:cstheme="minorBidi"/>
          <w:szCs w:val="22"/>
        </w:rPr>
      </w:pPr>
      <w:r>
        <w:t>78.</w:t>
      </w:r>
      <w:r>
        <w:tab/>
        <w:t>Provisions in case of land held on trust</w:t>
      </w:r>
      <w:r>
        <w:tab/>
      </w:r>
      <w:r>
        <w:fldChar w:fldCharType="begin"/>
      </w:r>
      <w:r>
        <w:instrText xml:space="preserve"> PAGEREF _Toc183424950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79.</w:t>
      </w:r>
      <w:r>
        <w:tab/>
        <w:t>Burden of proof</w:t>
      </w:r>
      <w:r>
        <w:tab/>
      </w:r>
      <w:r>
        <w:fldChar w:fldCharType="begin"/>
      </w:r>
      <w:r>
        <w:instrText xml:space="preserve"> PAGEREF _Toc183424952 \h </w:instrText>
      </w:r>
      <w:r>
        <w:fldChar w:fldCharType="separate"/>
      </w:r>
      <w:r>
        <w:t>46</w:t>
      </w:r>
      <w:r>
        <w:fldChar w:fldCharType="end"/>
      </w:r>
    </w:p>
    <w:p>
      <w:pPr>
        <w:pStyle w:val="TOC8"/>
        <w:rPr>
          <w:rFonts w:asciiTheme="minorHAnsi" w:eastAsiaTheme="minorEastAsia" w:hAnsiTheme="minorHAnsi" w:cstheme="minorBidi"/>
          <w:szCs w:val="22"/>
        </w:rPr>
      </w:pPr>
      <w:r>
        <w:t>80.</w:t>
      </w:r>
      <w:r>
        <w:tab/>
        <w:t>Grounds in equity upon which to refuse relief preserved</w:t>
      </w:r>
      <w:r>
        <w:tab/>
      </w:r>
      <w:r>
        <w:fldChar w:fldCharType="begin"/>
      </w:r>
      <w:r>
        <w:instrText xml:space="preserve"> PAGEREF _Toc183424953 \h </w:instrText>
      </w:r>
      <w:r>
        <w:fldChar w:fldCharType="separate"/>
      </w:r>
      <w:r>
        <w:t>46</w:t>
      </w:r>
      <w:r>
        <w:fldChar w:fldCharType="end"/>
      </w:r>
    </w:p>
    <w:p>
      <w:pPr>
        <w:pStyle w:val="TOC8"/>
        <w:rPr>
          <w:rFonts w:asciiTheme="minorHAnsi" w:eastAsiaTheme="minorEastAsia" w:hAnsiTheme="minorHAnsi" w:cstheme="minorBidi"/>
          <w:szCs w:val="22"/>
        </w:rPr>
      </w:pPr>
      <w:r>
        <w:t>81.</w:t>
      </w:r>
      <w:r>
        <w:tab/>
        <w:t>Counterclaims — commencement</w:t>
      </w:r>
      <w:r>
        <w:tab/>
      </w:r>
      <w:r>
        <w:fldChar w:fldCharType="begin"/>
      </w:r>
      <w:r>
        <w:instrText xml:space="preserve"> PAGEREF _Toc183424954 \h </w:instrText>
      </w:r>
      <w:r>
        <w:fldChar w:fldCharType="separate"/>
      </w:r>
      <w:r>
        <w:t>46</w:t>
      </w:r>
      <w:r>
        <w:fldChar w:fldCharType="end"/>
      </w:r>
    </w:p>
    <w:p>
      <w:pPr>
        <w:pStyle w:val="TOC8"/>
        <w:rPr>
          <w:rFonts w:asciiTheme="minorHAnsi" w:eastAsiaTheme="minorEastAsia" w:hAnsiTheme="minorHAnsi" w:cstheme="minorBidi"/>
          <w:szCs w:val="22"/>
        </w:rPr>
      </w:pPr>
      <w:r>
        <w:t>82.</w:t>
      </w:r>
      <w:r>
        <w:tab/>
        <w:t>Joint causes of action</w:t>
      </w:r>
      <w:r>
        <w:tab/>
      </w:r>
      <w:r>
        <w:fldChar w:fldCharType="begin"/>
      </w:r>
      <w:r>
        <w:instrText xml:space="preserve"> PAGEREF _Toc183424955 \h </w:instrText>
      </w:r>
      <w:r>
        <w:fldChar w:fldCharType="separate"/>
      </w:r>
      <w:r>
        <w:t>46</w:t>
      </w:r>
      <w:r>
        <w:fldChar w:fldCharType="end"/>
      </w:r>
    </w:p>
    <w:p>
      <w:pPr>
        <w:pStyle w:val="TOC8"/>
        <w:rPr>
          <w:rFonts w:asciiTheme="minorHAnsi" w:eastAsiaTheme="minorEastAsia" w:hAnsiTheme="minorHAnsi" w:cstheme="minorBidi"/>
          <w:szCs w:val="22"/>
        </w:rPr>
      </w:pPr>
      <w:r>
        <w:t>83.</w:t>
      </w:r>
      <w:r>
        <w:tab/>
        <w:t>Joint liability</w:t>
      </w:r>
      <w:r>
        <w:tab/>
      </w:r>
      <w:r>
        <w:fldChar w:fldCharType="begin"/>
      </w:r>
      <w:r>
        <w:instrText xml:space="preserve"> PAGEREF _Toc183424956 \h </w:instrText>
      </w:r>
      <w:r>
        <w:fldChar w:fldCharType="separate"/>
      </w:r>
      <w:r>
        <w:t>47</w:t>
      </w:r>
      <w:r>
        <w:fldChar w:fldCharType="end"/>
      </w:r>
    </w:p>
    <w:p>
      <w:pPr>
        <w:pStyle w:val="TOC8"/>
        <w:rPr>
          <w:rFonts w:asciiTheme="minorHAnsi" w:eastAsiaTheme="minorEastAsia" w:hAnsiTheme="minorHAnsi" w:cstheme="minorBidi"/>
          <w:szCs w:val="22"/>
        </w:rPr>
      </w:pPr>
      <w:r>
        <w:t>84.</w:t>
      </w:r>
      <w:r>
        <w:tab/>
        <w:t>Formal entry and claim</w:t>
      </w:r>
      <w:r>
        <w:tab/>
      </w:r>
      <w:r>
        <w:fldChar w:fldCharType="begin"/>
      </w:r>
      <w:r>
        <w:instrText xml:space="preserve"> PAGEREF _Toc183424957 \h </w:instrText>
      </w:r>
      <w:r>
        <w:fldChar w:fldCharType="separate"/>
      </w:r>
      <w:r>
        <w:t>47</w:t>
      </w:r>
      <w:r>
        <w:fldChar w:fldCharType="end"/>
      </w:r>
    </w:p>
    <w:p>
      <w:pPr>
        <w:pStyle w:val="TOC8"/>
        <w:rPr>
          <w:rFonts w:asciiTheme="minorHAnsi" w:eastAsiaTheme="minorEastAsia" w:hAnsiTheme="minorHAnsi" w:cstheme="minorBidi"/>
          <w:szCs w:val="22"/>
        </w:rPr>
      </w:pPr>
      <w:r>
        <w:t>85.</w:t>
      </w:r>
      <w:r>
        <w:tab/>
        <w:t>Other beneficiaries</w:t>
      </w:r>
      <w:r>
        <w:tab/>
      </w:r>
      <w:r>
        <w:fldChar w:fldCharType="begin"/>
      </w:r>
      <w:r>
        <w:instrText xml:space="preserve"> PAGEREF _Toc183424958 \h </w:instrText>
      </w:r>
      <w:r>
        <w:fldChar w:fldCharType="separate"/>
      </w:r>
      <w:r>
        <w:t>47</w:t>
      </w:r>
      <w:r>
        <w:fldChar w:fldCharType="end"/>
      </w:r>
    </w:p>
    <w:p>
      <w:pPr>
        <w:pStyle w:val="TOC8"/>
        <w:rPr>
          <w:rFonts w:asciiTheme="minorHAnsi" w:eastAsiaTheme="minorEastAsia" w:hAnsiTheme="minorHAnsi" w:cstheme="minorBidi"/>
          <w:szCs w:val="22"/>
        </w:rPr>
      </w:pPr>
      <w:r>
        <w:t>86.</w:t>
      </w:r>
      <w:r>
        <w:tab/>
      </w:r>
      <w:r>
        <w:rPr>
          <w:snapToGrid w:val="0"/>
        </w:rPr>
        <w:t>Limited right to recover tax</w:t>
      </w:r>
      <w:r>
        <w:tab/>
      </w:r>
      <w:r>
        <w:fldChar w:fldCharType="begin"/>
      </w:r>
      <w:r>
        <w:instrText xml:space="preserve"> PAGEREF _Toc183424959 \h </w:instrText>
      </w:r>
      <w:r>
        <w:fldChar w:fldCharType="separate"/>
      </w:r>
      <w:r>
        <w:t>47</w:t>
      </w:r>
      <w:r>
        <w:fldChar w:fldCharType="end"/>
      </w:r>
    </w:p>
    <w:p>
      <w:pPr>
        <w:pStyle w:val="TOC8"/>
        <w:rPr>
          <w:rFonts w:asciiTheme="minorHAnsi" w:eastAsiaTheme="minorEastAsia" w:hAnsiTheme="minorHAnsi" w:cstheme="minorBidi"/>
          <w:szCs w:val="22"/>
        </w:rPr>
      </w:pPr>
      <w:r>
        <w:t>87.</w:t>
      </w:r>
      <w:r>
        <w:tab/>
      </w:r>
      <w:r>
        <w:rPr>
          <w:snapToGrid w:val="0"/>
        </w:rPr>
        <w:t>Limited operation of certain court orders as to refund of tax</w:t>
      </w:r>
      <w:r>
        <w:tab/>
      </w:r>
      <w:r>
        <w:fldChar w:fldCharType="begin"/>
      </w:r>
      <w:r>
        <w:instrText xml:space="preserve"> PAGEREF _Toc183424960 \h </w:instrText>
      </w:r>
      <w:r>
        <w:fldChar w:fldCharType="separate"/>
      </w:r>
      <w:r>
        <w:t>48</w:t>
      </w:r>
      <w:r>
        <w:fldChar w:fldCharType="end"/>
      </w:r>
    </w:p>
    <w:p>
      <w:pPr>
        <w:pStyle w:val="TOC8"/>
        <w:rPr>
          <w:rFonts w:asciiTheme="minorHAnsi" w:eastAsiaTheme="minorEastAsia" w:hAnsiTheme="minorHAnsi" w:cstheme="minorBidi"/>
          <w:szCs w:val="22"/>
        </w:rPr>
      </w:pPr>
      <w:r>
        <w:t>88.</w:t>
      </w:r>
      <w:r>
        <w:tab/>
        <w:t>Arbitrations — commencement</w:t>
      </w:r>
      <w:r>
        <w:tab/>
      </w:r>
      <w:r>
        <w:fldChar w:fldCharType="begin"/>
      </w:r>
      <w:r>
        <w:instrText xml:space="preserve"> PAGEREF _Toc183424961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Provisions for Civil Liability Legislation Amendment (Child Sexual Abuse Actions) Act 2018</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_Toc183424964 \h </w:instrText>
      </w:r>
      <w:r>
        <w:fldChar w:fldCharType="separate"/>
      </w:r>
      <w:r>
        <w:t>50</w:t>
      </w:r>
      <w:r>
        <w:fldChar w:fldCharType="end"/>
      </w:r>
    </w:p>
    <w:p>
      <w:pPr>
        <w:pStyle w:val="TOC8"/>
        <w:rPr>
          <w:rFonts w:asciiTheme="minorHAnsi" w:eastAsiaTheme="minorEastAsia" w:hAnsiTheme="minorHAnsi" w:cstheme="minorBidi"/>
          <w:szCs w:val="22"/>
        </w:rPr>
      </w:pPr>
      <w:r>
        <w:t>90.</w:t>
      </w:r>
      <w:r>
        <w:tab/>
        <w:t>Application of section 6A</w:t>
      </w:r>
      <w:r>
        <w:tab/>
      </w:r>
      <w:r>
        <w:fldChar w:fldCharType="begin"/>
      </w:r>
      <w:r>
        <w:instrText xml:space="preserve"> PAGEREF _Toc183424965 \h </w:instrText>
      </w:r>
      <w:r>
        <w:fldChar w:fldCharType="separate"/>
      </w:r>
      <w:r>
        <w:t>51</w:t>
      </w:r>
      <w:r>
        <w:fldChar w:fldCharType="end"/>
      </w:r>
    </w:p>
    <w:p>
      <w:pPr>
        <w:pStyle w:val="TOC8"/>
        <w:rPr>
          <w:rFonts w:asciiTheme="minorHAnsi" w:eastAsiaTheme="minorEastAsia" w:hAnsiTheme="minorHAnsi" w:cstheme="minorBidi"/>
          <w:szCs w:val="22"/>
        </w:rPr>
      </w:pPr>
      <w:r>
        <w:t>91.</w:t>
      </w:r>
      <w:r>
        <w:tab/>
        <w:t>Previously barred causes of action</w:t>
      </w:r>
      <w:r>
        <w:tab/>
      </w:r>
      <w:r>
        <w:fldChar w:fldCharType="begin"/>
      </w:r>
      <w:r>
        <w:instrText xml:space="preserve"> PAGEREF _Toc183424966 \h </w:instrText>
      </w:r>
      <w:r>
        <w:fldChar w:fldCharType="separate"/>
      </w:r>
      <w:r>
        <w:t>51</w:t>
      </w:r>
      <w:r>
        <w:fldChar w:fldCharType="end"/>
      </w:r>
    </w:p>
    <w:p>
      <w:pPr>
        <w:pStyle w:val="TOC8"/>
        <w:rPr>
          <w:rFonts w:asciiTheme="minorHAnsi" w:eastAsiaTheme="minorEastAsia" w:hAnsiTheme="minorHAnsi" w:cstheme="minorBidi"/>
          <w:szCs w:val="22"/>
        </w:rPr>
      </w:pPr>
      <w:r>
        <w:t>92.</w:t>
      </w:r>
      <w:r>
        <w:tab/>
        <w:t>Previously settled causes of action</w:t>
      </w:r>
      <w:r>
        <w:tab/>
      </w:r>
      <w:r>
        <w:fldChar w:fldCharType="begin"/>
      </w:r>
      <w:r>
        <w:instrText xml:space="preserve"> PAGEREF _Toc183424967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_Toc183424969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Limitation Act 2005</w:t>
      </w:r>
    </w:p>
    <w:p>
      <w:pPr>
        <w:pStyle w:val="LongTitle"/>
        <w:suppressLineNumbers/>
        <w:rPr>
          <w:snapToGrid w:val="0"/>
        </w:rPr>
      </w:pPr>
      <w:r>
        <w:rPr>
          <w:snapToGrid w:val="0"/>
        </w:rPr>
        <w:t>An Act to provide for time limits for commencing civil legal proceedings and arbitrations, and for related purposes.</w:t>
      </w:r>
    </w:p>
    <w:p>
      <w:pPr>
        <w:pStyle w:val="Heading2"/>
      </w:pPr>
      <w:bookmarkStart w:id="2" w:name="_Toc183183462"/>
      <w:bookmarkStart w:id="3" w:name="_Toc183183705"/>
      <w:bookmarkStart w:id="4" w:name="_Toc18342485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3424856"/>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6" w:name="_Toc183424857"/>
      <w:r>
        <w:rPr>
          <w:rStyle w:val="CharSectno"/>
        </w:rPr>
        <w:t>2</w:t>
      </w:r>
      <w:r>
        <w:t>.</w:t>
      </w:r>
      <w:r>
        <w:tab/>
        <w:t>Commencement</w:t>
      </w:r>
      <w:bookmarkEnd w:id="6"/>
    </w:p>
    <w:p>
      <w:pPr>
        <w:pStyle w:val="Subsection"/>
        <w:rPr>
          <w:spacing w:val="-2"/>
        </w:rPr>
      </w:pPr>
      <w:r>
        <w:tab/>
      </w:r>
      <w:r>
        <w:tab/>
        <w:t xml:space="preserve">This Act </w:t>
      </w:r>
      <w:r>
        <w:rPr>
          <w:spacing w:val="-2"/>
        </w:rPr>
        <w:t>comes into operation on the day on which it receives the Royal Assent.</w:t>
      </w:r>
    </w:p>
    <w:p>
      <w:pPr>
        <w:pStyle w:val="Heading5"/>
      </w:pPr>
      <w:bookmarkStart w:id="7" w:name="_Toc183424858"/>
      <w:r>
        <w:rPr>
          <w:rStyle w:val="CharSectno"/>
        </w:rPr>
        <w:t>3</w:t>
      </w:r>
      <w:r>
        <w:t>.</w:t>
      </w:r>
      <w:r>
        <w:tab/>
        <w:t>Interpretation</w:t>
      </w:r>
      <w:bookmarkEnd w:id="7"/>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lastRenderedPageBreak/>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lastRenderedPageBreak/>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lastRenderedPageBreak/>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lastRenderedPageBreak/>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8" w:name="_Toc183424859"/>
      <w:r>
        <w:rPr>
          <w:rStyle w:val="CharSectno"/>
        </w:rPr>
        <w:t>4</w:t>
      </w:r>
      <w:r>
        <w:t>.</w:t>
      </w:r>
      <w:r>
        <w:tab/>
        <w:t>Application of limitation periods under this Act</w:t>
      </w:r>
      <w:bookmarkEnd w:id="8"/>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9" w:name="_Toc183424860"/>
      <w:r>
        <w:rPr>
          <w:rStyle w:val="CharSectno"/>
        </w:rPr>
        <w:t>5</w:t>
      </w:r>
      <w:r>
        <w:t>.</w:t>
      </w:r>
      <w:r>
        <w:tab/>
        <w:t>Actions other than personal injury actions do not revive</w:t>
      </w:r>
      <w:bookmarkEnd w:id="9"/>
    </w:p>
    <w:p>
      <w:pPr>
        <w:pStyle w:val="Subsection"/>
      </w:pPr>
      <w:r>
        <w:tab/>
        <w:t>(1)</w:t>
      </w:r>
      <w:r>
        <w:tab/>
        <w:t xml:space="preserve">An action cannot be commenced on or after commencement day if the action could not have been commenced immediately before commencement day because of an enactment that is </w:t>
      </w:r>
      <w:r>
        <w:lastRenderedPageBreak/>
        <w:t xml:space="preserve">repealed or amended by the </w:t>
      </w:r>
      <w:r>
        <w:rPr>
          <w:i/>
        </w:rPr>
        <w:t>Limitation Legislation Amendment and Repeal Act 2005</w:t>
      </w:r>
      <w:r>
        <w:t>.</w:t>
      </w:r>
    </w:p>
    <w:p>
      <w:pPr>
        <w:pStyle w:val="Subsection"/>
      </w:pPr>
      <w:r>
        <w:tab/>
        <w:t>(2)</w:t>
      </w:r>
      <w:r>
        <w:tab/>
        <w:t>This section is subject to sections 6 and 6A.</w:t>
      </w:r>
    </w:p>
    <w:p>
      <w:pPr>
        <w:pStyle w:val="Footnotesection"/>
        <w:ind w:left="890" w:hanging="890"/>
      </w:pPr>
      <w:r>
        <w:tab/>
        <w:t>[Section 5 amended: No. 3 of 2018 s. 9.]</w:t>
      </w:r>
    </w:p>
    <w:p>
      <w:pPr>
        <w:pStyle w:val="Heading5"/>
      </w:pPr>
      <w:bookmarkStart w:id="10" w:name="_Toc183424861"/>
      <w:r>
        <w:rPr>
          <w:rStyle w:val="CharSectno"/>
        </w:rPr>
        <w:t>6</w:t>
      </w:r>
      <w:r>
        <w:t>.</w:t>
      </w:r>
      <w:r>
        <w:tab/>
        <w:t>Personal injury actions — accrual, limitation periods</w:t>
      </w:r>
      <w:bookmarkEnd w:id="10"/>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pPr>
      <w:bookmarkStart w:id="11" w:name="_Toc183424862"/>
      <w:r>
        <w:rPr>
          <w:rStyle w:val="CharSectno"/>
        </w:rPr>
        <w:t>6A</w:t>
      </w:r>
      <w:r>
        <w:t>.</w:t>
      </w:r>
      <w:r>
        <w:tab/>
        <w:t>Special provisions for child sexual abuse actions: no limitation period</w:t>
      </w:r>
      <w:bookmarkEnd w:id="11"/>
    </w:p>
    <w:p>
      <w:pPr>
        <w:pStyle w:val="Subsection"/>
      </w:pPr>
      <w:r>
        <w:tab/>
        <w:t>(1)</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child sexual abuse</w:t>
      </w:r>
      <w:r>
        <w:t>, of a person, means an act or omission in relation to the person, when the person is a child, that is sexual abuse;</w:t>
      </w:r>
    </w:p>
    <w:p>
      <w:pPr>
        <w:pStyle w:val="Defstart"/>
      </w:pPr>
      <w:r>
        <w:tab/>
      </w:r>
      <w:r>
        <w:rPr>
          <w:rStyle w:val="CharDefText"/>
        </w:rPr>
        <w:t>child sexual abuse action</w:t>
      </w:r>
      <w:r>
        <w:t xml:space="preserve"> means an action on a child sexual abuse cause of action;</w:t>
      </w:r>
    </w:p>
    <w:p>
      <w:pPr>
        <w:pStyle w:val="Defstart"/>
      </w:pPr>
      <w:r>
        <w:tab/>
      </w:r>
      <w:r>
        <w:rPr>
          <w:rStyle w:val="CharDefText"/>
        </w:rPr>
        <w:t>child sexual abuse cause of action</w:t>
      </w:r>
      <w:r>
        <w:t xml:space="preserve"> means a cause of action that relates, directly or indirectly, to a personal injury of the person to whom the cause of action accrues, where the injury results from child sexual abuse of the person.</w:t>
      </w:r>
    </w:p>
    <w:p>
      <w:pPr>
        <w:pStyle w:val="Subsection"/>
      </w:pPr>
      <w:r>
        <w:tab/>
        <w:t>(2)</w:t>
      </w:r>
      <w:r>
        <w:tab/>
        <w:t>Despite anything in this or any other Act, no limitation period applies in respect of a child sexual abuse action.</w:t>
      </w:r>
    </w:p>
    <w:p>
      <w:pPr>
        <w:pStyle w:val="Subsection"/>
        <w:keepNext/>
      </w:pPr>
      <w:r>
        <w:lastRenderedPageBreak/>
        <w:tab/>
        <w:t>(3)</w:t>
      </w:r>
      <w:r>
        <w:tab/>
        <w:t xml:space="preserve">The following provisions do not apply in respect of a child sexual abuse action — </w:t>
      </w:r>
    </w:p>
    <w:p>
      <w:pPr>
        <w:pStyle w:val="Indenta"/>
      </w:pPr>
      <w:r>
        <w:tab/>
        <w:t>(a)</w:t>
      </w:r>
      <w:r>
        <w:tab/>
        <w:t xml:space="preserve">the </w:t>
      </w:r>
      <w:r>
        <w:rPr>
          <w:i/>
        </w:rPr>
        <w:t>Crown Suits Act 1947</w:t>
      </w:r>
      <w:r>
        <w:t xml:space="preserve"> section 6 (as applying under the </w:t>
      </w:r>
      <w:r>
        <w:rPr>
          <w:i/>
        </w:rPr>
        <w:t>Limitation Legislation Amendment and Repeal Act 2005</w:t>
      </w:r>
      <w:r>
        <w:t xml:space="preserve"> section 8);</w:t>
      </w:r>
    </w:p>
    <w:p>
      <w:pPr>
        <w:pStyle w:val="Indenta"/>
      </w:pPr>
      <w:r>
        <w:tab/>
        <w:t>(b)</w:t>
      </w:r>
      <w:r>
        <w:tab/>
        <w:t xml:space="preserve">the </w:t>
      </w:r>
      <w:r>
        <w:rPr>
          <w:i/>
        </w:rPr>
        <w:t>Limitation Act 1935</w:t>
      </w:r>
      <w:r>
        <w:t xml:space="preserve"> section 47A (as applying under the </w:t>
      </w:r>
      <w:r>
        <w:rPr>
          <w:i/>
        </w:rPr>
        <w:t>Limitation Legislation Amendment and Repeal Act 2005</w:t>
      </w:r>
      <w:r>
        <w:t xml:space="preserve"> section 4);</w:t>
      </w:r>
    </w:p>
    <w:p>
      <w:pPr>
        <w:pStyle w:val="Indenta"/>
      </w:pPr>
      <w:r>
        <w:tab/>
        <w:t>(c)</w:t>
      </w:r>
      <w:r>
        <w:tab/>
        <w:t>section 5 of this Act.</w:t>
      </w:r>
    </w:p>
    <w:p>
      <w:pPr>
        <w:pStyle w:val="Subsection"/>
      </w:pPr>
      <w:r>
        <w:tab/>
        <w:t>(4)</w:t>
      </w:r>
      <w:r>
        <w:tab/>
        <w:t>This section applies regardless of whether the action is brought in tort (including trespass), in contract, under statute or otherwise.</w:t>
      </w:r>
    </w:p>
    <w:p>
      <w:pPr>
        <w:pStyle w:val="Subsection"/>
      </w:pPr>
      <w:r>
        <w:tab/>
        <w:t>(5)</w:t>
      </w:r>
      <w:r>
        <w:tab/>
        <w:t xml:space="preserve">This section does not limit — </w:t>
      </w:r>
    </w:p>
    <w:p>
      <w:pPr>
        <w:pStyle w:val="Indenta"/>
      </w:pPr>
      <w:r>
        <w:tab/>
        <w:t>(a)</w:t>
      </w:r>
      <w:r>
        <w:tab/>
        <w:t>any inherent, implied or statutory jurisdiction of a court; or</w:t>
      </w:r>
    </w:p>
    <w:p>
      <w:pPr>
        <w:pStyle w:val="Indenta"/>
      </w:pPr>
      <w:r>
        <w:tab/>
        <w:t>(b)</w:t>
      </w:r>
      <w:r>
        <w:tab/>
        <w:t>any other powers of a court arising or derived from the common law or under any other Act (including any Commonwealth Act), rule of court, practice note or practice direction.</w:t>
      </w:r>
    </w:p>
    <w:p>
      <w:pPr>
        <w:pStyle w:val="PermNoteHeading"/>
      </w:pPr>
      <w:r>
        <w:tab/>
        <w:t>Note for this subsection:</w:t>
      </w:r>
    </w:p>
    <w:p>
      <w:pPr>
        <w:pStyle w:val="PermNoteText"/>
      </w:pPr>
      <w:r>
        <w:tab/>
      </w:r>
      <w:r>
        <w:tab/>
        <w:t>For example, this section is not intended to limit a court’s power to summarily dismiss or permanently stay proceedings where the lapse of time has a burdensome effect on the defendant that is so serious that a fair trial is not possible.</w:t>
      </w:r>
    </w:p>
    <w:p>
      <w:pPr>
        <w:pStyle w:val="Subsection"/>
      </w:pPr>
      <w:r>
        <w:tab/>
        <w:t>(6)</w:t>
      </w:r>
      <w:r>
        <w:tab/>
        <w:t xml:space="preserve">A cause of action referred to in the definition of </w:t>
      </w:r>
      <w:r>
        <w:rPr>
          <w:rStyle w:val="CharDefText"/>
        </w:rPr>
        <w:t>child sexual abuse cause of action</w:t>
      </w:r>
      <w:r>
        <w:t xml:space="preserve"> does not include a cause of action, action on which could not be maintained but for the </w:t>
      </w:r>
      <w:r>
        <w:rPr>
          <w:i/>
        </w:rPr>
        <w:t>Fatal Accidents Act 1959</w:t>
      </w:r>
      <w:r>
        <w:t xml:space="preserve"> or the </w:t>
      </w:r>
      <w:r>
        <w:rPr>
          <w:i/>
        </w:rPr>
        <w:t>Law Reform (Miscellaneous Provisions) Act 1941</w:t>
      </w:r>
      <w:r>
        <w:t>.</w:t>
      </w:r>
    </w:p>
    <w:p>
      <w:pPr>
        <w:pStyle w:val="Subsection"/>
      </w:pPr>
      <w:r>
        <w:tab/>
        <w:t>(7)</w:t>
      </w:r>
      <w:r>
        <w:tab/>
        <w:t>The Minister must carry out a review of the operation and effectiveness of this section and Part 7 as soon as is practicable after the 3</w:t>
      </w:r>
      <w:r>
        <w:rPr>
          <w:vertAlign w:val="superscript"/>
        </w:rPr>
        <w:t>rd</w:t>
      </w:r>
      <w:r>
        <w:t xml:space="preserve"> anniversary of the day on which the </w:t>
      </w:r>
      <w:r>
        <w:rPr>
          <w:i/>
        </w:rPr>
        <w:t xml:space="preserve">Civil Liability </w:t>
      </w:r>
      <w:r>
        <w:rPr>
          <w:i/>
        </w:rPr>
        <w:lastRenderedPageBreak/>
        <w:t>Legislation Amendment (Child Sexual Abuse Actions) Act 2018</w:t>
      </w:r>
      <w:r>
        <w:t xml:space="preserve"> section 10 comes into operation.</w:t>
      </w:r>
    </w:p>
    <w:p>
      <w:pPr>
        <w:pStyle w:val="Subsection"/>
      </w:pPr>
      <w:r>
        <w:tab/>
        <w:t>(8)</w:t>
      </w:r>
      <w:r>
        <w:tab/>
        <w:t>The Minister must prepare a report based on the review and, as soon as is practicable after the report is prepared, cause it to be laid before each House of Parliament.</w:t>
      </w:r>
    </w:p>
    <w:p>
      <w:pPr>
        <w:pStyle w:val="Footnotesection"/>
        <w:ind w:left="890" w:hanging="890"/>
      </w:pPr>
      <w:r>
        <w:tab/>
        <w:t>[Section 6A inserted: No. 3 of 2018 s. 10.]</w:t>
      </w:r>
    </w:p>
    <w:p>
      <w:pPr>
        <w:pStyle w:val="Heading5"/>
      </w:pPr>
      <w:bookmarkStart w:id="12" w:name="_Toc178258714"/>
      <w:bookmarkStart w:id="13" w:name="_Toc183424863"/>
      <w:r>
        <w:rPr>
          <w:rStyle w:val="CharSectno"/>
        </w:rPr>
        <w:t>6B</w:t>
      </w:r>
      <w:r>
        <w:t>.</w:t>
      </w:r>
      <w:r>
        <w:tab/>
        <w:t>Special provisions for subsequent action in respect of subsequent dust disease: no limitation period</w:t>
      </w:r>
      <w:bookmarkEnd w:id="12"/>
      <w:bookmarkEnd w:id="13"/>
    </w:p>
    <w:p>
      <w:pPr>
        <w:pStyle w:val="Subsection"/>
      </w:pPr>
      <w:r>
        <w:tab/>
        <w:t>(1)</w:t>
      </w:r>
      <w:r>
        <w:tab/>
        <w:t xml:space="preserve">Despite anything in this or any other Act, no limitation period applies to a subsequent action for subsequent damages in respect of a subsequent dust disease (as those terms are defined in the </w:t>
      </w:r>
      <w:r>
        <w:rPr>
          <w:i/>
        </w:rPr>
        <w:t>Civil Liability Act 2002</w:t>
      </w:r>
      <w:r>
        <w:t xml:space="preserve"> Part 2 Division 5).</w:t>
      </w:r>
    </w:p>
    <w:p>
      <w:pPr>
        <w:pStyle w:val="Subsection"/>
      </w:pPr>
      <w:r>
        <w:tab/>
        <w:t>(2)</w:t>
      </w:r>
      <w:r>
        <w:tab/>
        <w:t>This section applies regardless of whether the action is brought in tort (including trespass), in contract, under statute or otherwise.</w:t>
      </w:r>
    </w:p>
    <w:p>
      <w:pPr>
        <w:pStyle w:val="Footnotesection"/>
      </w:pPr>
      <w:r>
        <w:tab/>
        <w:t>[Section 6B inserted: No. 32 of 2024 s. 9.]</w:t>
      </w:r>
    </w:p>
    <w:p>
      <w:pPr>
        <w:pStyle w:val="Heading5"/>
      </w:pPr>
      <w:bookmarkStart w:id="14" w:name="_Toc183424864"/>
      <w:r>
        <w:rPr>
          <w:rStyle w:val="CharSectno"/>
        </w:rPr>
        <w:t>7</w:t>
      </w:r>
      <w:r>
        <w:t>.</w:t>
      </w:r>
      <w:r>
        <w:tab/>
        <w:t>Special provisions for certain personal injury actions relating to childbirth</w:t>
      </w:r>
      <w:bookmarkEnd w:id="14"/>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lastRenderedPageBreak/>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tab/>
        <w:t>(4)</w:t>
      </w:r>
      <w:r>
        <w:tab/>
        <w:t>For the purposes of the provisions of Part 3 that apply under subsection (3), a cause of action (childbirth) is to be taken as having accrued on commencement day.</w:t>
      </w:r>
    </w:p>
    <w:p>
      <w:pPr>
        <w:pStyle w:val="Heading5"/>
      </w:pPr>
      <w:bookmarkStart w:id="15" w:name="_Toc183424865"/>
      <w:r>
        <w:rPr>
          <w:rStyle w:val="CharSectno"/>
        </w:rPr>
        <w:t>8</w:t>
      </w:r>
      <w:r>
        <w:t>.</w:t>
      </w:r>
      <w:r>
        <w:tab/>
        <w:t>Special provisions for certain defamation actions</w:t>
      </w:r>
      <w:bookmarkEnd w:id="15"/>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lastRenderedPageBreak/>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16" w:name="_Toc183424866"/>
      <w:r>
        <w:rPr>
          <w:rStyle w:val="CharSectno"/>
        </w:rPr>
        <w:t>9</w:t>
      </w:r>
      <w:r>
        <w:t>.</w:t>
      </w:r>
      <w:r>
        <w:tab/>
        <w:t>Limitation periods under other written laws</w:t>
      </w:r>
      <w:bookmarkEnd w:id="16"/>
    </w:p>
    <w:p>
      <w:pPr>
        <w:pStyle w:val="Subsection"/>
      </w:pPr>
      <w:r>
        <w:tab/>
        <w:t>(1)</w:t>
      </w:r>
      <w:r>
        <w:tab/>
        <w:t>This Act (except sections 6A and 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Footnotesection"/>
        <w:ind w:left="890" w:hanging="890"/>
      </w:pPr>
      <w:r>
        <w:tab/>
        <w:t>[Section 9 amended: No. 3 of 2018 s. 11.]</w:t>
      </w:r>
    </w:p>
    <w:p>
      <w:pPr>
        <w:pStyle w:val="Heading5"/>
        <w:rPr>
          <w:snapToGrid w:val="0"/>
        </w:rPr>
      </w:pPr>
      <w:bookmarkStart w:id="17" w:name="_Toc183424867"/>
      <w:r>
        <w:rPr>
          <w:rStyle w:val="CharSectno"/>
        </w:rPr>
        <w:t>10</w:t>
      </w:r>
      <w:r>
        <w:t>.</w:t>
      </w:r>
      <w:r>
        <w:tab/>
        <w:t>Application to Crown</w:t>
      </w:r>
      <w:bookmarkEnd w:id="17"/>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18" w:name="_Toc183183474"/>
      <w:bookmarkStart w:id="19" w:name="_Toc183183718"/>
      <w:bookmarkStart w:id="20" w:name="_Toc183424868"/>
      <w:r>
        <w:rPr>
          <w:rStyle w:val="CharPartNo"/>
        </w:rPr>
        <w:lastRenderedPageBreak/>
        <w:t>Part 2</w:t>
      </w:r>
      <w:r>
        <w:t> — </w:t>
      </w:r>
      <w:r>
        <w:rPr>
          <w:rStyle w:val="CharPartText"/>
        </w:rPr>
        <w:t>Limitation periods</w:t>
      </w:r>
      <w:bookmarkEnd w:id="18"/>
      <w:bookmarkEnd w:id="19"/>
      <w:bookmarkEnd w:id="20"/>
    </w:p>
    <w:p>
      <w:pPr>
        <w:pStyle w:val="Heading3"/>
      </w:pPr>
      <w:bookmarkStart w:id="21" w:name="_Toc183183475"/>
      <w:bookmarkStart w:id="22" w:name="_Toc183183719"/>
      <w:bookmarkStart w:id="23" w:name="_Toc183424869"/>
      <w:r>
        <w:rPr>
          <w:rStyle w:val="CharDivNo"/>
        </w:rPr>
        <w:t>Division 1</w:t>
      </w:r>
      <w:r>
        <w:t> — </w:t>
      </w:r>
      <w:r>
        <w:rPr>
          <w:rStyle w:val="CharDivText"/>
        </w:rPr>
        <w:t>Preliminary</w:t>
      </w:r>
      <w:bookmarkEnd w:id="21"/>
      <w:bookmarkEnd w:id="22"/>
      <w:bookmarkEnd w:id="23"/>
    </w:p>
    <w:p>
      <w:pPr>
        <w:pStyle w:val="Heading5"/>
      </w:pPr>
      <w:bookmarkStart w:id="24" w:name="_Toc183424870"/>
      <w:r>
        <w:rPr>
          <w:rStyle w:val="CharSectno"/>
        </w:rPr>
        <w:t>11</w:t>
      </w:r>
      <w:r>
        <w:t>.</w:t>
      </w:r>
      <w:r>
        <w:tab/>
        <w:t>Limitation periods under this Part are extendable etc. under Part 3</w:t>
      </w:r>
      <w:bookmarkEnd w:id="24"/>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25" w:name="_Toc183424871"/>
      <w:r>
        <w:rPr>
          <w:rStyle w:val="CharSectno"/>
        </w:rPr>
        <w:t>12</w:t>
      </w:r>
      <w:r>
        <w:t>.</w:t>
      </w:r>
      <w:r>
        <w:tab/>
        <w:t>When actions commence</w:t>
      </w:r>
      <w:bookmarkEnd w:id="25"/>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26" w:name="_Toc183183478"/>
      <w:bookmarkStart w:id="27" w:name="_Toc183183722"/>
      <w:bookmarkStart w:id="28" w:name="_Toc183424872"/>
      <w:r>
        <w:rPr>
          <w:rStyle w:val="CharDivNo"/>
        </w:rPr>
        <w:t>Division 2</w:t>
      </w:r>
      <w:r>
        <w:t> — </w:t>
      </w:r>
      <w:r>
        <w:rPr>
          <w:rStyle w:val="CharDivText"/>
        </w:rPr>
        <w:t>General limitation period</w:t>
      </w:r>
      <w:bookmarkEnd w:id="26"/>
      <w:bookmarkEnd w:id="27"/>
      <w:bookmarkEnd w:id="28"/>
    </w:p>
    <w:p>
      <w:pPr>
        <w:pStyle w:val="Heading5"/>
      </w:pPr>
      <w:bookmarkStart w:id="29" w:name="_Toc183424873"/>
      <w:r>
        <w:rPr>
          <w:rStyle w:val="CharSectno"/>
        </w:rPr>
        <w:t>13</w:t>
      </w:r>
      <w:r>
        <w:t>.</w:t>
      </w:r>
      <w:r>
        <w:tab/>
        <w:t>General limitation period — 6 years</w:t>
      </w:r>
      <w:bookmarkEnd w:id="29"/>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30" w:name="_Toc183183480"/>
      <w:bookmarkStart w:id="31" w:name="_Toc183183724"/>
      <w:bookmarkStart w:id="32" w:name="_Toc183424874"/>
      <w:r>
        <w:rPr>
          <w:rStyle w:val="CharDivNo"/>
        </w:rPr>
        <w:t>Division 3</w:t>
      </w:r>
      <w:r>
        <w:t> — </w:t>
      </w:r>
      <w:r>
        <w:rPr>
          <w:rStyle w:val="CharDivText"/>
        </w:rPr>
        <w:t>Limitation periods for particular causes of action</w:t>
      </w:r>
      <w:bookmarkEnd w:id="30"/>
      <w:bookmarkEnd w:id="31"/>
      <w:bookmarkEnd w:id="32"/>
    </w:p>
    <w:p>
      <w:pPr>
        <w:pStyle w:val="Heading5"/>
      </w:pPr>
      <w:bookmarkStart w:id="33" w:name="_Toc183424875"/>
      <w:r>
        <w:rPr>
          <w:rStyle w:val="CharSectno"/>
        </w:rPr>
        <w:t>14</w:t>
      </w:r>
      <w:r>
        <w:t>.</w:t>
      </w:r>
      <w:r>
        <w:tab/>
        <w:t xml:space="preserve">Personal injury, </w:t>
      </w:r>
      <w:r>
        <w:rPr>
          <w:i/>
        </w:rPr>
        <w:t xml:space="preserve">Fatal Accidents Act 1959 </w:t>
      </w:r>
      <w:r>
        <w:t>actions — 3 years</w:t>
      </w:r>
      <w:bookmarkEnd w:id="33"/>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34" w:name="_Toc183424876"/>
      <w:r>
        <w:rPr>
          <w:rStyle w:val="CharSectno"/>
        </w:rPr>
        <w:lastRenderedPageBreak/>
        <w:t>15</w:t>
      </w:r>
      <w:r>
        <w:t>.</w:t>
      </w:r>
      <w:r>
        <w:tab/>
        <w:t>Defamation — one year from publication</w:t>
      </w:r>
      <w:bookmarkEnd w:id="34"/>
    </w:p>
    <w:p>
      <w:pPr>
        <w:pStyle w:val="Subsection"/>
      </w:pPr>
      <w:r>
        <w:tab/>
      </w:r>
      <w:r>
        <w:tab/>
        <w:t>An action relating to the publication of defamatory matter cannot be commenced if one year has elapsed since the publication.</w:t>
      </w:r>
    </w:p>
    <w:p>
      <w:pPr>
        <w:pStyle w:val="Heading5"/>
      </w:pPr>
      <w:bookmarkStart w:id="35" w:name="_Toc183424877"/>
      <w:r>
        <w:rPr>
          <w:rStyle w:val="CharSectno"/>
        </w:rPr>
        <w:t>16</w:t>
      </w:r>
      <w:r>
        <w:t>.</w:t>
      </w:r>
      <w:r>
        <w:tab/>
        <w:t>Trespass to the person etc. — 3 years</w:t>
      </w:r>
      <w:bookmarkEnd w:id="35"/>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36" w:name="_Toc183424878"/>
      <w:r>
        <w:rPr>
          <w:rStyle w:val="CharSectno"/>
        </w:rPr>
        <w:t>17</w:t>
      </w:r>
      <w:r>
        <w:t>.</w:t>
      </w:r>
      <w:r>
        <w:tab/>
        <w:t>Contribution between tortfeasors — 2 years</w:t>
      </w:r>
      <w:bookmarkEnd w:id="36"/>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37" w:name="_Toc183424879"/>
      <w:r>
        <w:rPr>
          <w:rStyle w:val="CharSectno"/>
        </w:rPr>
        <w:t>18</w:t>
      </w:r>
      <w:r>
        <w:t>.</w:t>
      </w:r>
      <w:r>
        <w:tab/>
        <w:t>Deeds — 12 years</w:t>
      </w:r>
      <w:bookmarkEnd w:id="37"/>
    </w:p>
    <w:p>
      <w:pPr>
        <w:pStyle w:val="Subsection"/>
      </w:pPr>
      <w:r>
        <w:tab/>
      </w:r>
      <w:r>
        <w:tab/>
        <w:t>An action on a cause of action founded on a deed cannot be commenced if 12 years have elapsed since the cause of action accrued.</w:t>
      </w:r>
    </w:p>
    <w:p>
      <w:pPr>
        <w:pStyle w:val="Heading5"/>
      </w:pPr>
      <w:bookmarkStart w:id="38" w:name="_Toc183424880"/>
      <w:r>
        <w:rPr>
          <w:rStyle w:val="CharSectno"/>
        </w:rPr>
        <w:t>19</w:t>
      </w:r>
      <w:r>
        <w:t>.</w:t>
      </w:r>
      <w:r>
        <w:tab/>
        <w:t>Recovery of land — 12 years</w:t>
      </w:r>
      <w:bookmarkEnd w:id="38"/>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lastRenderedPageBreak/>
        <w:tab/>
        <w:t>(b)</w:t>
      </w:r>
      <w:r>
        <w:tab/>
        <w:t>on a cause of action which accrues to the Crown.</w:t>
      </w:r>
    </w:p>
    <w:p>
      <w:pPr>
        <w:pStyle w:val="Heading5"/>
        <w:rPr>
          <w:snapToGrid w:val="0"/>
        </w:rPr>
      </w:pPr>
      <w:bookmarkStart w:id="39" w:name="_Toc183424881"/>
      <w:r>
        <w:rPr>
          <w:rStyle w:val="CharSectno"/>
        </w:rPr>
        <w:t>20</w:t>
      </w:r>
      <w:r>
        <w:t>.</w:t>
      </w:r>
      <w:r>
        <w:tab/>
        <w:t>M</w:t>
      </w:r>
      <w:r>
        <w:rPr>
          <w:snapToGrid w:val="0"/>
        </w:rPr>
        <w:t>oney secured on real property or on real and personal property — 12 years</w:t>
      </w:r>
      <w:bookmarkEnd w:id="39"/>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40" w:name="_Toc183424882"/>
      <w:r>
        <w:rPr>
          <w:rStyle w:val="CharSectno"/>
        </w:rPr>
        <w:t>21</w:t>
      </w:r>
      <w:r>
        <w:t>.</w:t>
      </w:r>
      <w:r>
        <w:tab/>
        <w:t xml:space="preserve">Interest secured on </w:t>
      </w:r>
      <w:r>
        <w:rPr>
          <w:snapToGrid w:val="0"/>
        </w:rPr>
        <w:t>real property or on real and personal property</w:t>
      </w:r>
      <w:bookmarkEnd w:id="40"/>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lastRenderedPageBreak/>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41" w:name="_Toc183424883"/>
      <w:r>
        <w:rPr>
          <w:rStyle w:val="CharSectno"/>
        </w:rPr>
        <w:t>22</w:t>
      </w:r>
      <w:r>
        <w:t>.</w:t>
      </w:r>
      <w:r>
        <w:tab/>
        <w:t xml:space="preserve">Interest secured on </w:t>
      </w:r>
      <w:r>
        <w:rPr>
          <w:snapToGrid w:val="0"/>
        </w:rPr>
        <w:t>personal property</w:t>
      </w:r>
      <w:bookmarkEnd w:id="41"/>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lastRenderedPageBreak/>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42" w:name="_Toc183424884"/>
      <w:r>
        <w:rPr>
          <w:rStyle w:val="CharSectno"/>
        </w:rPr>
        <w:t>23</w:t>
      </w:r>
      <w:r>
        <w:t>.</w:t>
      </w:r>
      <w:r>
        <w:tab/>
        <w:t>Possession — 12 years</w:t>
      </w:r>
      <w:bookmarkEnd w:id="42"/>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43" w:name="_Toc183424885"/>
      <w:r>
        <w:rPr>
          <w:rStyle w:val="CharSectno"/>
        </w:rPr>
        <w:t>24</w:t>
      </w:r>
      <w:r>
        <w:t>.</w:t>
      </w:r>
      <w:r>
        <w:tab/>
        <w:t>Foreclosure — 12 years</w:t>
      </w:r>
      <w:bookmarkEnd w:id="43"/>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44" w:name="_Toc183424886"/>
      <w:r>
        <w:rPr>
          <w:rStyle w:val="CharSectno"/>
        </w:rPr>
        <w:t>25</w:t>
      </w:r>
      <w:r>
        <w:t>.</w:t>
      </w:r>
      <w:r>
        <w:tab/>
        <w:t>Redemption — 12 years</w:t>
      </w:r>
      <w:bookmarkEnd w:id="44"/>
    </w:p>
    <w:p>
      <w:pPr>
        <w:pStyle w:val="Subsection"/>
        <w:keepNext/>
      </w:pPr>
      <w:r>
        <w:tab/>
      </w:r>
      <w:r>
        <w:tab/>
        <w:t xml:space="preserve">An action to redeem mortgaged property (whether real or personal) in the possession of a mortgagee cannot be </w:t>
      </w:r>
      <w:r>
        <w:lastRenderedPageBreak/>
        <w:t xml:space="preserve">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45" w:name="_Toc183424887"/>
      <w:r>
        <w:rPr>
          <w:rStyle w:val="CharSectno"/>
        </w:rPr>
        <w:t>26</w:t>
      </w:r>
      <w:r>
        <w:t>.</w:t>
      </w:r>
      <w:r>
        <w:tab/>
        <w:t>Accounts — limitation period for the basis of the duty to account applies</w:t>
      </w:r>
      <w:bookmarkEnd w:id="45"/>
    </w:p>
    <w:p>
      <w:pPr>
        <w:pStyle w:val="Subsection"/>
      </w:pPr>
      <w:r>
        <w:tab/>
      </w:r>
      <w:r>
        <w:tab/>
        <w:t>An action for an account cannot be commenced if the limitation period for the cause of action that is the basis of the duty to account has expired.</w:t>
      </w:r>
    </w:p>
    <w:p>
      <w:pPr>
        <w:pStyle w:val="Heading5"/>
      </w:pPr>
      <w:bookmarkStart w:id="46" w:name="_Toc183424888"/>
      <w:r>
        <w:rPr>
          <w:rStyle w:val="CharSectno"/>
        </w:rPr>
        <w:t>27</w:t>
      </w:r>
      <w:r>
        <w:t>.</w:t>
      </w:r>
      <w:r>
        <w:tab/>
        <w:t>Equitable actions (not analogous to other actions)</w:t>
      </w:r>
      <w:bookmarkEnd w:id="46"/>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47" w:name="_Toc183424889"/>
      <w:r>
        <w:rPr>
          <w:rStyle w:val="CharSectno"/>
        </w:rPr>
        <w:lastRenderedPageBreak/>
        <w:t>28</w:t>
      </w:r>
      <w:r>
        <w:t>.</w:t>
      </w:r>
      <w:r>
        <w:tab/>
        <w:t>T</w:t>
      </w:r>
      <w:r>
        <w:rPr>
          <w:snapToGrid w:val="0"/>
        </w:rPr>
        <w:t>ax mistakenly paid — 12 months or as provided under other Act</w:t>
      </w:r>
      <w:bookmarkEnd w:id="47"/>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48" w:name="_Toc183424890"/>
      <w:r>
        <w:rPr>
          <w:rStyle w:val="CharSectno"/>
        </w:rPr>
        <w:t>29</w:t>
      </w:r>
      <w:r>
        <w:t>.</w:t>
      </w:r>
      <w:r>
        <w:tab/>
        <w:t>Arbitration — limitation period for corresponding civil proceeding applies</w:t>
      </w:r>
      <w:bookmarkEnd w:id="48"/>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49" w:name="_Toc183183497"/>
      <w:bookmarkStart w:id="50" w:name="_Toc183183741"/>
      <w:bookmarkStart w:id="51" w:name="_Toc183424891"/>
      <w:r>
        <w:rPr>
          <w:rStyle w:val="CharPartNo"/>
        </w:rPr>
        <w:lastRenderedPageBreak/>
        <w:t>Part 3</w:t>
      </w:r>
      <w:r>
        <w:t> — </w:t>
      </w:r>
      <w:r>
        <w:rPr>
          <w:rStyle w:val="CharPartText"/>
        </w:rPr>
        <w:t>Extension or shortening of limitation periods</w:t>
      </w:r>
      <w:bookmarkEnd w:id="49"/>
      <w:bookmarkEnd w:id="50"/>
      <w:bookmarkEnd w:id="51"/>
    </w:p>
    <w:p>
      <w:pPr>
        <w:pStyle w:val="Heading3"/>
      </w:pPr>
      <w:bookmarkStart w:id="52" w:name="_Toc183183498"/>
      <w:bookmarkStart w:id="53" w:name="_Toc183183742"/>
      <w:bookmarkStart w:id="54" w:name="_Toc183424892"/>
      <w:r>
        <w:rPr>
          <w:rStyle w:val="CharDivNo"/>
        </w:rPr>
        <w:t>Division 1</w:t>
      </w:r>
      <w:r>
        <w:t> — </w:t>
      </w:r>
      <w:r>
        <w:rPr>
          <w:rStyle w:val="CharDivText"/>
        </w:rPr>
        <w:t>Extension for persons under 18 years when cause of action accrues</w:t>
      </w:r>
      <w:bookmarkEnd w:id="52"/>
      <w:bookmarkEnd w:id="53"/>
      <w:bookmarkEnd w:id="54"/>
    </w:p>
    <w:p>
      <w:pPr>
        <w:pStyle w:val="Heading5"/>
      </w:pPr>
      <w:bookmarkStart w:id="55" w:name="_Toc183424893"/>
      <w:r>
        <w:rPr>
          <w:rStyle w:val="CharSectno"/>
        </w:rPr>
        <w:t>30</w:t>
      </w:r>
      <w:r>
        <w:t>.</w:t>
      </w:r>
      <w:r>
        <w:tab/>
        <w:t>Limitation periods applicable to persons under 15 when cause of action accrues</w:t>
      </w:r>
      <w:bookmarkEnd w:id="55"/>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56" w:name="_Toc183424894"/>
      <w:r>
        <w:rPr>
          <w:rStyle w:val="CharSectno"/>
        </w:rPr>
        <w:t>31</w:t>
      </w:r>
      <w:r>
        <w:t>.</w:t>
      </w:r>
      <w:r>
        <w:tab/>
        <w:t>Limitation periods applicable to persons between 15 and 18 when cause of action accrues</w:t>
      </w:r>
      <w:bookmarkEnd w:id="56"/>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57" w:name="_Toc183424895"/>
      <w:r>
        <w:rPr>
          <w:rStyle w:val="CharSectno"/>
        </w:rPr>
        <w:t>32</w:t>
      </w:r>
      <w:r>
        <w:t>.</w:t>
      </w:r>
      <w:r>
        <w:tab/>
        <w:t>Suspension of time while person under 18 is without guardian</w:t>
      </w:r>
      <w:bookmarkEnd w:id="57"/>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lastRenderedPageBreak/>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58" w:name="_Toc183424896"/>
      <w:r>
        <w:rPr>
          <w:rStyle w:val="CharSectno"/>
        </w:rPr>
        <w:t>33</w:t>
      </w:r>
      <w:r>
        <w:t>.</w:t>
      </w:r>
      <w:r>
        <w:tab/>
        <w:t>Defendant in close relationship with person under 18 when cause of action accrues</w:t>
      </w:r>
      <w:bookmarkEnd w:id="58"/>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lastRenderedPageBreak/>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59" w:name="_Toc183424897"/>
      <w:r>
        <w:rPr>
          <w:rStyle w:val="CharSectno"/>
        </w:rPr>
        <w:t>34</w:t>
      </w:r>
      <w:r>
        <w:t>.</w:t>
      </w:r>
      <w:r>
        <w:tab/>
        <w:t>Defamation</w:t>
      </w:r>
      <w:bookmarkEnd w:id="59"/>
    </w:p>
    <w:p>
      <w:pPr>
        <w:pStyle w:val="Subsection"/>
      </w:pPr>
      <w:r>
        <w:tab/>
      </w:r>
      <w:r>
        <w:tab/>
        <w:t>Sections 30, 31, 32 and 33 do not apply to an action relating to the publication of defamatory matter.</w:t>
      </w:r>
    </w:p>
    <w:p>
      <w:pPr>
        <w:pStyle w:val="Heading3"/>
      </w:pPr>
      <w:bookmarkStart w:id="60" w:name="_Toc183183504"/>
      <w:bookmarkStart w:id="61" w:name="_Toc183183748"/>
      <w:bookmarkStart w:id="62" w:name="_Toc183424898"/>
      <w:r>
        <w:rPr>
          <w:rStyle w:val="CharDivNo"/>
        </w:rPr>
        <w:t>Division 2</w:t>
      </w:r>
      <w:r>
        <w:t> — </w:t>
      </w:r>
      <w:r>
        <w:rPr>
          <w:rStyle w:val="CharDivText"/>
        </w:rPr>
        <w:t>Extension for persons with mental disability</w:t>
      </w:r>
      <w:bookmarkEnd w:id="60"/>
      <w:bookmarkEnd w:id="61"/>
      <w:bookmarkEnd w:id="62"/>
    </w:p>
    <w:p>
      <w:pPr>
        <w:pStyle w:val="Heading5"/>
      </w:pPr>
      <w:bookmarkStart w:id="63" w:name="_Toc183424899"/>
      <w:r>
        <w:rPr>
          <w:rStyle w:val="CharSectno"/>
        </w:rPr>
        <w:t>35</w:t>
      </w:r>
      <w:r>
        <w:t>.</w:t>
      </w:r>
      <w:r>
        <w:tab/>
        <w:t>Suspension of time while person with mental disability is without guardian</w:t>
      </w:r>
      <w:bookmarkEnd w:id="63"/>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lastRenderedPageBreak/>
        <w:tab/>
        <w:t>(3)</w:t>
      </w:r>
      <w:r>
        <w:tab/>
        <w:t>This section is subject to section 36.</w:t>
      </w:r>
    </w:p>
    <w:p>
      <w:pPr>
        <w:pStyle w:val="Heading5"/>
      </w:pPr>
      <w:bookmarkStart w:id="64" w:name="_Toc183424900"/>
      <w:r>
        <w:rPr>
          <w:rStyle w:val="CharSectno"/>
        </w:rPr>
        <w:t>36</w:t>
      </w:r>
      <w:r>
        <w:t>.</w:t>
      </w:r>
      <w:r>
        <w:tab/>
        <w:t>Defendant in close relationship with person with mental disability</w:t>
      </w:r>
      <w:bookmarkEnd w:id="64"/>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65" w:name="_Toc183424901"/>
      <w:r>
        <w:rPr>
          <w:rStyle w:val="CharSectno"/>
        </w:rPr>
        <w:lastRenderedPageBreak/>
        <w:t>37</w:t>
      </w:r>
      <w:r>
        <w:t>.</w:t>
      </w:r>
      <w:r>
        <w:tab/>
        <w:t>Defamation</w:t>
      </w:r>
      <w:bookmarkEnd w:id="65"/>
    </w:p>
    <w:p>
      <w:pPr>
        <w:pStyle w:val="Subsection"/>
      </w:pPr>
      <w:r>
        <w:tab/>
      </w:r>
      <w:r>
        <w:tab/>
        <w:t>Sections 35 and 36 do not apply to an action relating to the publication of defamatory matter.</w:t>
      </w:r>
    </w:p>
    <w:p>
      <w:pPr>
        <w:pStyle w:val="Heading3"/>
      </w:pPr>
      <w:bookmarkStart w:id="66" w:name="_Toc183183508"/>
      <w:bookmarkStart w:id="67" w:name="_Toc183183752"/>
      <w:bookmarkStart w:id="68" w:name="_Toc183424902"/>
      <w:r>
        <w:rPr>
          <w:rStyle w:val="CharDivNo"/>
        </w:rPr>
        <w:t>Division 3</w:t>
      </w:r>
      <w:r>
        <w:t> — </w:t>
      </w:r>
      <w:r>
        <w:rPr>
          <w:rStyle w:val="CharDivText"/>
        </w:rPr>
        <w:t>Extension by courts</w:t>
      </w:r>
      <w:bookmarkEnd w:id="66"/>
      <w:bookmarkEnd w:id="67"/>
      <w:bookmarkEnd w:id="68"/>
    </w:p>
    <w:p>
      <w:pPr>
        <w:pStyle w:val="Heading5"/>
      </w:pPr>
      <w:bookmarkStart w:id="69" w:name="_Toc183424903"/>
      <w:r>
        <w:rPr>
          <w:rStyle w:val="CharSectno"/>
        </w:rPr>
        <w:t>38</w:t>
      </w:r>
      <w:r>
        <w:t>.</w:t>
      </w:r>
      <w:r>
        <w:tab/>
        <w:t>Court may extend time to commence actions in cases of fraud or improper conduct</w:t>
      </w:r>
      <w:bookmarkEnd w:id="69"/>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70" w:name="_Toc183424904"/>
      <w:r>
        <w:rPr>
          <w:rStyle w:val="CharSectno"/>
        </w:rPr>
        <w:t>39</w:t>
      </w:r>
      <w:r>
        <w:t>.</w:t>
      </w:r>
      <w:r>
        <w:tab/>
        <w:t xml:space="preserve">Court may extend time to commence actions for personal injury or under </w:t>
      </w:r>
      <w:r>
        <w:rPr>
          <w:i/>
        </w:rPr>
        <w:t>Fatal Accidents Act 1959</w:t>
      </w:r>
      <w:bookmarkEnd w:id="70"/>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lastRenderedPageBreak/>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lastRenderedPageBreak/>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71" w:name="_Toc183424905"/>
      <w:r>
        <w:rPr>
          <w:rStyle w:val="CharSectno"/>
        </w:rPr>
        <w:t>40</w:t>
      </w:r>
      <w:r>
        <w:t>.</w:t>
      </w:r>
      <w:r>
        <w:tab/>
        <w:t>Court may extend time to commence defamation actions</w:t>
      </w:r>
      <w:bookmarkEnd w:id="71"/>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72" w:name="_Toc183424906"/>
      <w:r>
        <w:rPr>
          <w:rStyle w:val="CharSectno"/>
        </w:rPr>
        <w:t>41</w:t>
      </w:r>
      <w:r>
        <w:t>.</w:t>
      </w:r>
      <w:r>
        <w:tab/>
        <w:t>Court may extend time to commence action by person under 18 when cause of action accrues, with guardian</w:t>
      </w:r>
      <w:bookmarkEnd w:id="72"/>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 xml:space="preserve">A court is not to extend time on an application unless the court is satisfied that in the circumstances it was unreasonable for a </w:t>
      </w:r>
      <w:r>
        <w:lastRenderedPageBreak/>
        <w:t>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73" w:name="_Toc183424907"/>
      <w:r>
        <w:rPr>
          <w:rStyle w:val="CharSectno"/>
        </w:rPr>
        <w:t>42</w:t>
      </w:r>
      <w:r>
        <w:t>.</w:t>
      </w:r>
      <w:r>
        <w:tab/>
        <w:t>Court may extend time to commence action by person with a mental disability, with guardian</w:t>
      </w:r>
      <w:bookmarkEnd w:id="73"/>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74" w:name="_Toc183424908"/>
      <w:r>
        <w:rPr>
          <w:rStyle w:val="CharSectno"/>
        </w:rPr>
        <w:t>43</w:t>
      </w:r>
      <w:r>
        <w:t>.</w:t>
      </w:r>
      <w:r>
        <w:tab/>
        <w:t>Jurisdiction and procedure</w:t>
      </w:r>
      <w:bookmarkEnd w:id="74"/>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lastRenderedPageBreak/>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75" w:name="_Toc183424909"/>
      <w:r>
        <w:rPr>
          <w:rStyle w:val="CharSectno"/>
        </w:rPr>
        <w:t>44</w:t>
      </w:r>
      <w:r>
        <w:t>.</w:t>
      </w:r>
      <w:r>
        <w:tab/>
        <w:t>Further matters for court’s consideration on extension applications</w:t>
      </w:r>
      <w:bookmarkEnd w:id="75"/>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76" w:name="_Toc183183516"/>
      <w:bookmarkStart w:id="77" w:name="_Toc183183760"/>
      <w:bookmarkStart w:id="78" w:name="_Toc183424910"/>
      <w:r>
        <w:rPr>
          <w:rStyle w:val="CharDivNo"/>
        </w:rPr>
        <w:t>Division 4</w:t>
      </w:r>
      <w:r>
        <w:t> — </w:t>
      </w:r>
      <w:r>
        <w:rPr>
          <w:rStyle w:val="CharDivText"/>
        </w:rPr>
        <w:t>Extension or shortening by agreement</w:t>
      </w:r>
      <w:bookmarkEnd w:id="76"/>
      <w:bookmarkEnd w:id="77"/>
      <w:bookmarkEnd w:id="78"/>
    </w:p>
    <w:p>
      <w:pPr>
        <w:pStyle w:val="Heading5"/>
      </w:pPr>
      <w:bookmarkStart w:id="79" w:name="_Toc183424911"/>
      <w:r>
        <w:rPr>
          <w:rStyle w:val="CharSectno"/>
        </w:rPr>
        <w:t>45</w:t>
      </w:r>
      <w:r>
        <w:t>.</w:t>
      </w:r>
      <w:r>
        <w:tab/>
        <w:t>Agreement to extend or shorten limitation period</w:t>
      </w:r>
      <w:bookmarkEnd w:id="79"/>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80" w:name="_Toc183183518"/>
      <w:bookmarkStart w:id="81" w:name="_Toc183183762"/>
      <w:bookmarkStart w:id="82" w:name="_Toc183424912"/>
      <w:r>
        <w:rPr>
          <w:rStyle w:val="CharDivNo"/>
        </w:rPr>
        <w:lastRenderedPageBreak/>
        <w:t>Division 5</w:t>
      </w:r>
      <w:r>
        <w:t> — </w:t>
      </w:r>
      <w:r>
        <w:rPr>
          <w:rStyle w:val="CharDivText"/>
        </w:rPr>
        <w:t>Extension by confirmation</w:t>
      </w:r>
      <w:bookmarkEnd w:id="80"/>
      <w:bookmarkEnd w:id="81"/>
      <w:bookmarkEnd w:id="82"/>
    </w:p>
    <w:p>
      <w:pPr>
        <w:pStyle w:val="Heading5"/>
      </w:pPr>
      <w:bookmarkStart w:id="83" w:name="_Toc183424913"/>
      <w:r>
        <w:rPr>
          <w:rStyle w:val="CharSectno"/>
        </w:rPr>
        <w:t>46</w:t>
      </w:r>
      <w:r>
        <w:t>.</w:t>
      </w:r>
      <w:r>
        <w:tab/>
        <w:t>Meaning of confirmation</w:t>
      </w:r>
      <w:bookmarkEnd w:id="83"/>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84" w:name="_Toc183424914"/>
      <w:r>
        <w:rPr>
          <w:rStyle w:val="CharSectno"/>
        </w:rPr>
        <w:t>47</w:t>
      </w:r>
      <w:r>
        <w:t>.</w:t>
      </w:r>
      <w:r>
        <w:tab/>
        <w:t>Limitation period extended by confirmation</w:t>
      </w:r>
      <w:bookmarkEnd w:id="84"/>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 xml:space="preserve">the time during which the limitation period runs before the confirmation is made does not count in the reckoning of the limitation period for an action on the cause of action by a person </w:t>
      </w:r>
      <w:r>
        <w:lastRenderedPageBreak/>
        <w:t>having the benefit of the confirmation against a person bound by the confirmation.</w:t>
      </w:r>
    </w:p>
    <w:p>
      <w:pPr>
        <w:pStyle w:val="Heading5"/>
      </w:pPr>
      <w:bookmarkStart w:id="85" w:name="_Toc183424915"/>
      <w:r>
        <w:rPr>
          <w:rStyle w:val="CharSectno"/>
        </w:rPr>
        <w:t>48</w:t>
      </w:r>
      <w:r>
        <w:t>.</w:t>
      </w:r>
      <w:r>
        <w:tab/>
        <w:t>Formal requirements for acknowledgments</w:t>
      </w:r>
      <w:bookmarkEnd w:id="85"/>
    </w:p>
    <w:p>
      <w:pPr>
        <w:pStyle w:val="Subsection"/>
      </w:pPr>
      <w:r>
        <w:tab/>
      </w:r>
      <w:r>
        <w:tab/>
        <w:t>For the purposes of section 46(1)(a), an acknowledgment is of no effect unless it is in writing and signed by the maker.</w:t>
      </w:r>
    </w:p>
    <w:p>
      <w:pPr>
        <w:pStyle w:val="Heading5"/>
      </w:pPr>
      <w:bookmarkStart w:id="86" w:name="_Toc183424916"/>
      <w:r>
        <w:rPr>
          <w:rStyle w:val="CharSectno"/>
        </w:rPr>
        <w:t>49</w:t>
      </w:r>
      <w:r>
        <w:t>.</w:t>
      </w:r>
      <w:r>
        <w:tab/>
        <w:t>Who has benefit of confirmation</w:t>
      </w:r>
      <w:bookmarkEnd w:id="86"/>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87" w:name="_Toc183424917"/>
      <w:r>
        <w:rPr>
          <w:rStyle w:val="CharSectno"/>
        </w:rPr>
        <w:t>50</w:t>
      </w:r>
      <w:r>
        <w:t>.</w:t>
      </w:r>
      <w:r>
        <w:tab/>
        <w:t>Who is bound by confirmation</w:t>
      </w:r>
      <w:bookmarkEnd w:id="87"/>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keepLines/>
      </w:pPr>
      <w:r>
        <w:lastRenderedPageBreak/>
        <w:tab/>
        <w:t>(2)</w:t>
      </w:r>
      <w:r>
        <w:tab/>
        <w:t>If a maker of a confirmation of a cause of action in relation to property is in possession of the property when the confirmation is made, the confirmation binds a person subsequently in possession of the property who claims through the maker of the confirmation.</w:t>
      </w:r>
    </w:p>
    <w:p>
      <w:pPr>
        <w:pStyle w:val="Heading5"/>
      </w:pPr>
      <w:bookmarkStart w:id="88" w:name="_Toc183424918"/>
      <w:r>
        <w:rPr>
          <w:rStyle w:val="CharSectno"/>
        </w:rPr>
        <w:t>51</w:t>
      </w:r>
      <w:r>
        <w:t>.</w:t>
      </w:r>
      <w:r>
        <w:tab/>
        <w:t>Effects of certain kinds of confirmation</w:t>
      </w:r>
      <w:bookmarkEnd w:id="88"/>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89" w:name="_Toc183183525"/>
      <w:bookmarkStart w:id="90" w:name="_Toc183183769"/>
      <w:bookmarkStart w:id="91" w:name="_Toc183424919"/>
      <w:r>
        <w:rPr>
          <w:rStyle w:val="CharDivNo"/>
        </w:rPr>
        <w:t>Division 6</w:t>
      </w:r>
      <w:r>
        <w:t> — </w:t>
      </w:r>
      <w:r>
        <w:rPr>
          <w:rStyle w:val="CharDivText"/>
        </w:rPr>
        <w:t>Extension of limitation periods — other matters</w:t>
      </w:r>
      <w:bookmarkEnd w:id="89"/>
      <w:bookmarkEnd w:id="90"/>
      <w:bookmarkEnd w:id="91"/>
    </w:p>
    <w:p>
      <w:pPr>
        <w:pStyle w:val="Heading5"/>
      </w:pPr>
      <w:bookmarkStart w:id="92" w:name="_Toc183424920"/>
      <w:r>
        <w:rPr>
          <w:rStyle w:val="CharSectno"/>
        </w:rPr>
        <w:t>52</w:t>
      </w:r>
      <w:r>
        <w:t>.</w:t>
      </w:r>
      <w:r>
        <w:tab/>
        <w:t>Persons with mental disability under 18 when cause of action accrues — most beneficial limitation period applies</w:t>
      </w:r>
      <w:bookmarkEnd w:id="92"/>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93" w:name="_Toc183424921"/>
      <w:r>
        <w:rPr>
          <w:rStyle w:val="CharSectno"/>
        </w:rPr>
        <w:lastRenderedPageBreak/>
        <w:t>53</w:t>
      </w:r>
      <w:r>
        <w:t>.</w:t>
      </w:r>
      <w:r>
        <w:tab/>
        <w:t>Limitation period in case of death of certain persons if cause of action accrues to certain other persons</w:t>
      </w:r>
      <w:bookmarkEnd w:id="93"/>
    </w:p>
    <w:p>
      <w:pPr>
        <w:pStyle w:val="Subsection"/>
        <w:keepNext/>
      </w:pPr>
      <w:r>
        <w:tab/>
        <w:t>(1)</w:t>
      </w:r>
      <w:r>
        <w:tab/>
        <w:t xml:space="preserve">In this section — </w:t>
      </w:r>
    </w:p>
    <w:p>
      <w:pPr>
        <w:pStyle w:val="Defstart"/>
        <w:keepNext/>
      </w:pPr>
      <w:r>
        <w:rPr>
          <w:b/>
        </w:rPr>
        <w:tab/>
      </w:r>
      <w:r>
        <w:rPr>
          <w:rStyle w:val="CharDefText"/>
        </w:rPr>
        <w:t>person A</w:t>
      </w:r>
      <w:r>
        <w:t xml:space="preserve"> means — </w:t>
      </w:r>
    </w:p>
    <w:p>
      <w:pPr>
        <w:pStyle w:val="Defpara"/>
      </w:pPr>
      <w:r>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94" w:name="_Toc183424922"/>
      <w:r>
        <w:rPr>
          <w:rStyle w:val="CharSectno"/>
        </w:rPr>
        <w:t>54</w:t>
      </w:r>
      <w:r>
        <w:t>.</w:t>
      </w:r>
      <w:r>
        <w:tab/>
        <w:t>Arbitration — extension of limitation period</w:t>
      </w:r>
      <w:bookmarkEnd w:id="94"/>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keepLines/>
      </w:pPr>
      <w:r>
        <w:lastRenderedPageBreak/>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95" w:name="_Toc183183529"/>
      <w:bookmarkStart w:id="96" w:name="_Toc183183773"/>
      <w:bookmarkStart w:id="97" w:name="_Toc183424923"/>
      <w:r>
        <w:rPr>
          <w:rStyle w:val="CharPartNo"/>
        </w:rPr>
        <w:lastRenderedPageBreak/>
        <w:t>Part 4</w:t>
      </w:r>
      <w:r>
        <w:t> — </w:t>
      </w:r>
      <w:r>
        <w:rPr>
          <w:rStyle w:val="CharPartText"/>
        </w:rPr>
        <w:t>Accrual of particular causes of action</w:t>
      </w:r>
      <w:bookmarkEnd w:id="95"/>
      <w:bookmarkEnd w:id="96"/>
      <w:bookmarkEnd w:id="97"/>
    </w:p>
    <w:p>
      <w:pPr>
        <w:pStyle w:val="Heading3"/>
        <w:spacing w:before="180"/>
      </w:pPr>
      <w:bookmarkStart w:id="98" w:name="_Toc183183530"/>
      <w:bookmarkStart w:id="99" w:name="_Toc183183774"/>
      <w:bookmarkStart w:id="100" w:name="_Toc183424924"/>
      <w:r>
        <w:rPr>
          <w:rStyle w:val="CharDivNo"/>
        </w:rPr>
        <w:t>Division 1</w:t>
      </w:r>
      <w:r>
        <w:t> — </w:t>
      </w:r>
      <w:r>
        <w:rPr>
          <w:rStyle w:val="CharDivText"/>
        </w:rPr>
        <w:t>Accrual of certain causes of action other than to recover land</w:t>
      </w:r>
      <w:bookmarkEnd w:id="98"/>
      <w:bookmarkEnd w:id="99"/>
      <w:bookmarkEnd w:id="100"/>
    </w:p>
    <w:p>
      <w:pPr>
        <w:pStyle w:val="Heading5"/>
        <w:spacing w:before="120"/>
      </w:pPr>
      <w:bookmarkStart w:id="101" w:name="_Toc183424925"/>
      <w:r>
        <w:rPr>
          <w:rStyle w:val="CharSectno"/>
        </w:rPr>
        <w:t>55</w:t>
      </w:r>
      <w:r>
        <w:t>.</w:t>
      </w:r>
      <w:r>
        <w:tab/>
        <w:t>Personal injury — general</w:t>
      </w:r>
      <w:bookmarkEnd w:id="101"/>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 or silica dust.</w:t>
      </w:r>
    </w:p>
    <w:p>
      <w:pPr>
        <w:pStyle w:val="Footnotesection"/>
      </w:pPr>
      <w:r>
        <w:tab/>
        <w:t>[Section 55 amended: No. 21 of 2023 s. 656.]</w:t>
      </w:r>
    </w:p>
    <w:p>
      <w:pPr>
        <w:pStyle w:val="Heading5"/>
      </w:pPr>
      <w:bookmarkStart w:id="102" w:name="_Toc183424926"/>
      <w:r>
        <w:rPr>
          <w:rStyle w:val="CharSectno"/>
        </w:rPr>
        <w:t>56</w:t>
      </w:r>
      <w:r>
        <w:t>.</w:t>
      </w:r>
      <w:r>
        <w:tab/>
        <w:t>Asbestos or silica dust related diseases</w:t>
      </w:r>
      <w:bookmarkEnd w:id="102"/>
    </w:p>
    <w:p>
      <w:pPr>
        <w:pStyle w:val="Subsection"/>
      </w:pPr>
      <w:r>
        <w:tab/>
        <w:t>(1)</w:t>
      </w:r>
      <w:r>
        <w:tab/>
        <w:t>A cause of action for damages relating to a personal injury —</w:t>
      </w:r>
    </w:p>
    <w:p>
      <w:pPr>
        <w:pStyle w:val="Indenta"/>
      </w:pPr>
      <w:r>
        <w:tab/>
        <w:t>(a)</w:t>
      </w:r>
      <w:r>
        <w:tab/>
        <w:t>that is attributable to the inhalation of asbestos or silica dust;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lastRenderedPageBreak/>
        <w:tab/>
        <w:t>(c)</w:t>
      </w:r>
      <w:r>
        <w:tab/>
        <w:t>of the identity of the defendant; and</w:t>
      </w:r>
    </w:p>
    <w:p>
      <w:pPr>
        <w:pStyle w:val="Indenta"/>
      </w:pPr>
      <w:r>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 xml:space="preserve">For the purposes of this section an injury to which this subsection applies must not be treated as significant unless — </w:t>
      </w:r>
    </w:p>
    <w:p>
      <w:pPr>
        <w:pStyle w:val="Indenta"/>
      </w:pPr>
      <w:r>
        <w:tab/>
        <w:t>(a)</w:t>
      </w:r>
      <w:r>
        <w:tab/>
        <w:t>the parties to the proposed action have so agreed; or</w:t>
      </w:r>
    </w:p>
    <w:p>
      <w:pPr>
        <w:pStyle w:val="Indenta"/>
      </w:pPr>
      <w:r>
        <w:tab/>
        <w:t>(b)</w:t>
      </w:r>
      <w:r>
        <w:tab/>
        <w:t xml:space="preserve">a medical panel constituted as described in the </w:t>
      </w:r>
      <w:r>
        <w:rPr>
          <w:i/>
        </w:rPr>
        <w:t xml:space="preserve">Workers’ Compensation and Injury Management Act 1981 </w:t>
      </w:r>
      <w:r>
        <w:t>section 36(1) —</w:t>
      </w:r>
    </w:p>
    <w:p>
      <w:pPr>
        <w:pStyle w:val="Indenti"/>
      </w:pPr>
      <w:r>
        <w:tab/>
        <w:t>(i)</w:t>
      </w:r>
      <w:r>
        <w:tab/>
        <w:t>has determined that the degree of the disability assessed in accordance with section 93D(2) of that Act is 30% or more; or</w:t>
      </w:r>
    </w:p>
    <w:p>
      <w:pPr>
        <w:pStyle w:val="Indenti"/>
      </w:pPr>
      <w:r>
        <w:tab/>
        <w:t>(ii)</w:t>
      </w:r>
      <w:r>
        <w:tab/>
        <w:t>has assessed that the worker’s degree of whole of person impairment evaluated as described in sections 146A and 146C of that Act (on or after 14 November 2005) is 25% or more;</w:t>
      </w:r>
    </w:p>
    <w:p>
      <w:pPr>
        <w:pStyle w:val="Indenta"/>
      </w:pPr>
      <w:r>
        <w:tab/>
      </w:r>
      <w:r>
        <w:tab/>
        <w:t>or</w:t>
      </w:r>
    </w:p>
    <w:p>
      <w:pPr>
        <w:pStyle w:val="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Subsection"/>
      </w:pPr>
      <w:r>
        <w:lastRenderedPageBreak/>
        <w:tab/>
        <w:t>(4A)</w:t>
      </w:r>
      <w:r>
        <w:tab/>
        <w:t>Subsection (4) applies to an injury that —</w:t>
      </w:r>
    </w:p>
    <w:p>
      <w:pPr>
        <w:pStyle w:val="Indenta"/>
      </w:pPr>
      <w:r>
        <w:tab/>
        <w:t>(a)</w:t>
      </w:r>
      <w:r>
        <w:tab/>
        <w:t xml:space="preserve">before 14 November 2005, is a disability as defined in the </w:t>
      </w:r>
      <w:r>
        <w:rPr>
          <w:i/>
        </w:rPr>
        <w:t>Workers’ Compensation and Injury Management Act 1981</w:t>
      </w:r>
      <w:r>
        <w:t>; or</w:t>
      </w:r>
    </w:p>
    <w:p>
      <w:pPr>
        <w:pStyle w:val="Indenta"/>
      </w:pPr>
      <w:r>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Footnotesection"/>
      </w:pPr>
      <w:r>
        <w:tab/>
        <w:t>[Section 56 amended: No. 21 of 2023 s. 657.]</w:t>
      </w:r>
    </w:p>
    <w:p>
      <w:pPr>
        <w:pStyle w:val="Heading5"/>
      </w:pPr>
      <w:bookmarkStart w:id="103" w:name="_Toc183424927"/>
      <w:r>
        <w:rPr>
          <w:rStyle w:val="CharSectno"/>
        </w:rPr>
        <w:t>57</w:t>
      </w:r>
      <w:r>
        <w:t>.</w:t>
      </w:r>
      <w:r>
        <w:tab/>
        <w:t>Survival of certain actions</w:t>
      </w:r>
      <w:bookmarkEnd w:id="103"/>
    </w:p>
    <w:p>
      <w:pPr>
        <w:pStyle w:val="Subsection"/>
      </w:pPr>
      <w:r>
        <w:tab/>
        <w:t>(1)</w:t>
      </w:r>
      <w:r>
        <w:tab/>
        <w:t>If a person dies as a result of a personal injury other than an injury that is attributable to the inhalation of asbestos or silica dust but, immediately before the death, a cause of action relating to the personal injury had not accrued under section 55, the cause of action relating to the personal injury is to be taken as having accrued when the person died.</w:t>
      </w:r>
    </w:p>
    <w:p>
      <w:pPr>
        <w:pStyle w:val="Subsection"/>
      </w:pPr>
      <w:r>
        <w:lastRenderedPageBreak/>
        <w:tab/>
        <w:t>(2)</w:t>
      </w:r>
      <w:r>
        <w:tab/>
        <w:t>If a person dies as a result of a personal injury that is attributable to the inhalation of asbestos or silica dust but, immediately before the death, a cause of action relating to the personal injury had not accrued under section 56, the cause of action relating to the personal injury is to be taken as having accrued when the person died.</w:t>
      </w:r>
    </w:p>
    <w:p>
      <w:pPr>
        <w:pStyle w:val="Footnotesection"/>
      </w:pPr>
      <w:r>
        <w:tab/>
        <w:t>[Section 57 amended: No. 21 of 2023 s. 658.]</w:t>
      </w:r>
    </w:p>
    <w:p>
      <w:pPr>
        <w:pStyle w:val="Heading5"/>
      </w:pPr>
      <w:bookmarkStart w:id="104" w:name="_Toc183424928"/>
      <w:r>
        <w:rPr>
          <w:rStyle w:val="CharSectno"/>
        </w:rPr>
        <w:t>58</w:t>
      </w:r>
      <w:r>
        <w:t>.</w:t>
      </w:r>
      <w:r>
        <w:tab/>
        <w:t>Contributions between tortfeasors</w:t>
      </w:r>
      <w:bookmarkEnd w:id="104"/>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in any other case, if person A makes an agreement with a person having a cause of action for the damage for 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105" w:name="_Toc183424929"/>
      <w:r>
        <w:rPr>
          <w:rStyle w:val="CharSectno"/>
        </w:rPr>
        <w:t>59</w:t>
      </w:r>
      <w:r>
        <w:t>.</w:t>
      </w:r>
      <w:r>
        <w:tab/>
        <w:t>Debts repayable on demand</w:t>
      </w:r>
      <w:bookmarkEnd w:id="105"/>
    </w:p>
    <w:p>
      <w:pPr>
        <w:pStyle w:val="Subsection"/>
      </w:pPr>
      <w:r>
        <w:tab/>
      </w:r>
      <w:r>
        <w:tab/>
        <w:t>A cause of action for the repayment of a debt repayable on demand accrues when there is a failure to comply with a demand for repayment.</w:t>
      </w:r>
    </w:p>
    <w:p>
      <w:pPr>
        <w:pStyle w:val="Heading5"/>
      </w:pPr>
      <w:bookmarkStart w:id="106" w:name="_Toc183424930"/>
      <w:r>
        <w:rPr>
          <w:rStyle w:val="CharSectno"/>
        </w:rPr>
        <w:lastRenderedPageBreak/>
        <w:t>60</w:t>
      </w:r>
      <w:r>
        <w:t>.</w:t>
      </w:r>
      <w:r>
        <w:tab/>
        <w:t>Successive wrongs to goods</w:t>
      </w:r>
      <w:bookmarkEnd w:id="106"/>
    </w:p>
    <w:p>
      <w:pPr>
        <w:pStyle w:val="Subsection"/>
        <w:keepNext/>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107" w:name="_Toc183424931"/>
      <w:r>
        <w:rPr>
          <w:rStyle w:val="CharSectno"/>
        </w:rPr>
        <w:t>61</w:t>
      </w:r>
      <w:r>
        <w:t>.</w:t>
      </w:r>
      <w:r>
        <w:tab/>
        <w:t>Equitable interests</w:t>
      </w:r>
      <w:bookmarkEnd w:id="107"/>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108" w:name="_Toc183424932"/>
      <w:r>
        <w:rPr>
          <w:rStyle w:val="CharSectno"/>
        </w:rPr>
        <w:t>62</w:t>
      </w:r>
      <w:r>
        <w:t>.</w:t>
      </w:r>
      <w:r>
        <w:tab/>
        <w:t>Future interests of beneficiaries under trusts</w:t>
      </w:r>
      <w:bookmarkEnd w:id="108"/>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109" w:name="_Toc183424933"/>
      <w:r>
        <w:rPr>
          <w:rStyle w:val="CharSectno"/>
        </w:rPr>
        <w:t>63</w:t>
      </w:r>
      <w:r>
        <w:t>.</w:t>
      </w:r>
      <w:r>
        <w:tab/>
        <w:t>Matters referable to arbitration</w:t>
      </w:r>
      <w:bookmarkEnd w:id="109"/>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lastRenderedPageBreak/>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110" w:name="_Toc183424934"/>
      <w:r>
        <w:rPr>
          <w:rStyle w:val="CharSectno"/>
        </w:rPr>
        <w:t>64</w:t>
      </w:r>
      <w:r>
        <w:t>.</w:t>
      </w:r>
      <w:r>
        <w:tab/>
        <w:t>Arbitral awards</w:t>
      </w:r>
      <w:bookmarkEnd w:id="110"/>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111" w:name="_Toc183183541"/>
      <w:bookmarkStart w:id="112" w:name="_Toc183183785"/>
      <w:bookmarkStart w:id="113" w:name="_Toc183424935"/>
      <w:r>
        <w:rPr>
          <w:rStyle w:val="CharDivNo"/>
        </w:rPr>
        <w:t>Division 2</w:t>
      </w:r>
      <w:r>
        <w:t> — </w:t>
      </w:r>
      <w:r>
        <w:rPr>
          <w:rStyle w:val="CharDivText"/>
        </w:rPr>
        <w:t>Accrual of certain causes of action to recover land</w:t>
      </w:r>
      <w:bookmarkEnd w:id="111"/>
      <w:bookmarkEnd w:id="112"/>
      <w:bookmarkEnd w:id="113"/>
    </w:p>
    <w:p>
      <w:pPr>
        <w:pStyle w:val="Heading5"/>
      </w:pPr>
      <w:bookmarkStart w:id="114" w:name="_Toc183424936"/>
      <w:r>
        <w:rPr>
          <w:rStyle w:val="CharSectno"/>
        </w:rPr>
        <w:t>65</w:t>
      </w:r>
      <w:r>
        <w:t>.</w:t>
      </w:r>
      <w:r>
        <w:tab/>
        <w:t>Adverse possession</w:t>
      </w:r>
      <w:bookmarkEnd w:id="114"/>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115" w:name="_Toc183424937"/>
      <w:r>
        <w:rPr>
          <w:rStyle w:val="CharSectno"/>
        </w:rPr>
        <w:lastRenderedPageBreak/>
        <w:t>66</w:t>
      </w:r>
      <w:r>
        <w:t>.</w:t>
      </w:r>
      <w:r>
        <w:tab/>
        <w:t>Dispossession or discontinuance</w:t>
      </w:r>
      <w:bookmarkEnd w:id="115"/>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116" w:name="_Toc183424938"/>
      <w:r>
        <w:rPr>
          <w:rStyle w:val="CharSectno"/>
        </w:rPr>
        <w:t>67</w:t>
      </w:r>
      <w:r>
        <w:t>.</w:t>
      </w:r>
      <w:r>
        <w:tab/>
        <w:t>Deceased in possession</w:t>
      </w:r>
      <w:bookmarkEnd w:id="116"/>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117" w:name="_Toc183424939"/>
      <w:r>
        <w:rPr>
          <w:rStyle w:val="CharSectno"/>
        </w:rPr>
        <w:t>68</w:t>
      </w:r>
      <w:r>
        <w:t>.</w:t>
      </w:r>
      <w:r>
        <w:tab/>
        <w:t>Grantor in possession</w:t>
      </w:r>
      <w:bookmarkEnd w:id="117"/>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118" w:name="_Toc183424940"/>
      <w:r>
        <w:rPr>
          <w:rStyle w:val="CharSectno"/>
        </w:rPr>
        <w:t>69</w:t>
      </w:r>
      <w:r>
        <w:t>.</w:t>
      </w:r>
      <w:r>
        <w:tab/>
        <w:t>Future interests in land</w:t>
      </w:r>
      <w:bookmarkEnd w:id="118"/>
    </w:p>
    <w:p>
      <w:pPr>
        <w:pStyle w:val="Subsection"/>
        <w:spacing w:before="200"/>
      </w:pPr>
      <w:r>
        <w:tab/>
        <w:t>(1)</w:t>
      </w:r>
      <w:r>
        <w:tab/>
        <w:t xml:space="preserve">A cause of action to recover land in which a person has a future interest accrues when the person becomes entitled to immediate possession of the land if, after the person becomes so entitled </w:t>
      </w:r>
      <w:r>
        <w:lastRenderedPageBreak/>
        <w:t>and before the action is commenced, no person is in possession under the interest claimed.</w:t>
      </w:r>
    </w:p>
    <w:p>
      <w:pPr>
        <w:pStyle w:val="Subsection"/>
        <w:spacing w:before="200"/>
      </w:pPr>
      <w:r>
        <w:tab/>
        <w:t>(2)</w:t>
      </w:r>
      <w:r>
        <w:tab/>
        <w:t>Subsection (1) is subject to section 77.</w:t>
      </w:r>
    </w:p>
    <w:p>
      <w:pPr>
        <w:pStyle w:val="Heading5"/>
      </w:pPr>
      <w:bookmarkStart w:id="119" w:name="_Toc183424941"/>
      <w:r>
        <w:rPr>
          <w:rStyle w:val="CharSectno"/>
        </w:rPr>
        <w:t>70</w:t>
      </w:r>
      <w:r>
        <w:t>.</w:t>
      </w:r>
      <w:r>
        <w:tab/>
        <w:t>Forfeiture</w:t>
      </w:r>
      <w:bookmarkEnd w:id="119"/>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120" w:name="_Toc183424942"/>
      <w:r>
        <w:rPr>
          <w:rStyle w:val="CharSectno"/>
        </w:rPr>
        <w:t>71</w:t>
      </w:r>
      <w:r>
        <w:t>.</w:t>
      </w:r>
      <w:r>
        <w:tab/>
        <w:t>Rent wrongly paid</w:t>
      </w:r>
      <w:bookmarkEnd w:id="120"/>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121" w:name="_Toc183424943"/>
      <w:r>
        <w:rPr>
          <w:rStyle w:val="CharSectno"/>
        </w:rPr>
        <w:t>72</w:t>
      </w:r>
      <w:r>
        <w:t>.</w:t>
      </w:r>
      <w:r>
        <w:tab/>
        <w:t>Tenancies</w:t>
      </w:r>
      <w:bookmarkEnd w:id="121"/>
    </w:p>
    <w:p>
      <w:pPr>
        <w:pStyle w:val="Subsection"/>
      </w:pPr>
      <w:r>
        <w:tab/>
        <w:t>(1)</w:t>
      </w:r>
      <w:r>
        <w:tab/>
        <w:t xml:space="preserve">A cause of action of a person entitled to land subject to a periodic tenancy to recover the land from the tenant or from a </w:t>
      </w:r>
      <w:r>
        <w:lastRenderedPageBreak/>
        <w:t xml:space="preserve">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tab/>
        <w:t>(3)</w:t>
      </w:r>
      <w:r>
        <w:tab/>
        <w:t>Subsection (1) or (2), as is applicable in the case, does not apply if the cause of action accrues earlier because the tenancy is determined.</w:t>
      </w:r>
    </w:p>
    <w:p>
      <w:pPr>
        <w:pStyle w:val="Heading5"/>
      </w:pPr>
      <w:bookmarkStart w:id="122" w:name="_Toc183424944"/>
      <w:r>
        <w:rPr>
          <w:rStyle w:val="CharSectno"/>
        </w:rPr>
        <w:t>73</w:t>
      </w:r>
      <w:r>
        <w:t>.</w:t>
      </w:r>
      <w:r>
        <w:tab/>
        <w:t>Beneficial co-owners of land</w:t>
      </w:r>
      <w:bookmarkEnd w:id="122"/>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keepNext/>
      </w:pPr>
      <w:r>
        <w:lastRenderedPageBreak/>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123" w:name="_Toc183183551"/>
      <w:bookmarkStart w:id="124" w:name="_Toc183183795"/>
      <w:bookmarkStart w:id="125" w:name="_Toc183424945"/>
      <w:r>
        <w:rPr>
          <w:rStyle w:val="CharPartNo"/>
        </w:rPr>
        <w:lastRenderedPageBreak/>
        <w:t>Part 5</w:t>
      </w:r>
      <w:r>
        <w:rPr>
          <w:rStyle w:val="CharDivNo"/>
        </w:rPr>
        <w:t> </w:t>
      </w:r>
      <w:r>
        <w:t>—</w:t>
      </w:r>
      <w:r>
        <w:rPr>
          <w:rStyle w:val="CharDivText"/>
        </w:rPr>
        <w:t> </w:t>
      </w:r>
      <w:r>
        <w:rPr>
          <w:rStyle w:val="CharPartText"/>
        </w:rPr>
        <w:t>Effect of expiration of limitation period</w:t>
      </w:r>
      <w:bookmarkEnd w:id="123"/>
      <w:bookmarkEnd w:id="124"/>
      <w:bookmarkEnd w:id="125"/>
    </w:p>
    <w:p>
      <w:pPr>
        <w:pStyle w:val="Heading5"/>
      </w:pPr>
      <w:bookmarkStart w:id="126" w:name="_Toc183424946"/>
      <w:r>
        <w:rPr>
          <w:rStyle w:val="CharSectno"/>
        </w:rPr>
        <w:t>74</w:t>
      </w:r>
      <w:r>
        <w:t>.</w:t>
      </w:r>
      <w:r>
        <w:tab/>
        <w:t>Time to commence actions may be extended despite extinguishment of rights</w:t>
      </w:r>
      <w:bookmarkEnd w:id="126"/>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127" w:name="_Toc183424947"/>
      <w:r>
        <w:rPr>
          <w:rStyle w:val="CharSectno"/>
        </w:rPr>
        <w:t>75</w:t>
      </w:r>
      <w:r>
        <w:t>.</w:t>
      </w:r>
      <w:r>
        <w:tab/>
        <w:t>Extinguishment of right and title to land</w:t>
      </w:r>
      <w:bookmarkEnd w:id="127"/>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128" w:name="_Toc183424948"/>
      <w:r>
        <w:rPr>
          <w:rStyle w:val="CharSectno"/>
        </w:rPr>
        <w:t>76</w:t>
      </w:r>
      <w:r>
        <w:t>.</w:t>
      </w:r>
      <w:r>
        <w:tab/>
      </w:r>
      <w:r>
        <w:rPr>
          <w:snapToGrid w:val="0"/>
        </w:rPr>
        <w:t>No title by adverse possession against Crown</w:t>
      </w:r>
      <w:bookmarkEnd w:id="128"/>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129" w:name="_Toc183424949"/>
      <w:r>
        <w:rPr>
          <w:rStyle w:val="CharSectno"/>
        </w:rPr>
        <w:lastRenderedPageBreak/>
        <w:t>77</w:t>
      </w:r>
      <w:r>
        <w:t>.</w:t>
      </w:r>
      <w:r>
        <w:tab/>
        <w:t>Future interests in land</w:t>
      </w:r>
      <w:bookmarkEnd w:id="129"/>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130" w:name="_Toc183424950"/>
      <w:r>
        <w:rPr>
          <w:rStyle w:val="CharSectno"/>
        </w:rPr>
        <w:t>78</w:t>
      </w:r>
      <w:r>
        <w:t>.</w:t>
      </w:r>
      <w:r>
        <w:tab/>
        <w:t>Provisions in case of land held on trust</w:t>
      </w:r>
      <w:bookmarkEnd w:id="130"/>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lastRenderedPageBreak/>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131" w:name="_Toc183183557"/>
      <w:bookmarkStart w:id="132" w:name="_Toc183183801"/>
      <w:bookmarkStart w:id="133" w:name="_Toc183424951"/>
      <w:r>
        <w:rPr>
          <w:rStyle w:val="CharPartNo"/>
        </w:rPr>
        <w:lastRenderedPageBreak/>
        <w:t>Part 6</w:t>
      </w:r>
      <w:r>
        <w:rPr>
          <w:rStyle w:val="CharDivNo"/>
        </w:rPr>
        <w:t> </w:t>
      </w:r>
      <w:r>
        <w:t>—</w:t>
      </w:r>
      <w:r>
        <w:rPr>
          <w:rStyle w:val="CharDivText"/>
        </w:rPr>
        <w:t> </w:t>
      </w:r>
      <w:r>
        <w:rPr>
          <w:rStyle w:val="CharPartText"/>
        </w:rPr>
        <w:t>Miscellaneous</w:t>
      </w:r>
      <w:bookmarkEnd w:id="131"/>
      <w:bookmarkEnd w:id="132"/>
      <w:bookmarkEnd w:id="133"/>
    </w:p>
    <w:p>
      <w:pPr>
        <w:pStyle w:val="Heading5"/>
      </w:pPr>
      <w:bookmarkStart w:id="134" w:name="_Toc183424952"/>
      <w:r>
        <w:rPr>
          <w:rStyle w:val="CharSectno"/>
        </w:rPr>
        <w:t>79</w:t>
      </w:r>
      <w:r>
        <w:t>.</w:t>
      </w:r>
      <w:r>
        <w:tab/>
        <w:t>Burden of proof</w:t>
      </w:r>
      <w:bookmarkEnd w:id="134"/>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135" w:name="_Toc183424953"/>
      <w:r>
        <w:rPr>
          <w:rStyle w:val="CharSectno"/>
        </w:rPr>
        <w:t>80</w:t>
      </w:r>
      <w:r>
        <w:t>.</w:t>
      </w:r>
      <w:r>
        <w:tab/>
        <w:t>Grounds in equity upon which to refuse relief preserved</w:t>
      </w:r>
      <w:bookmarkEnd w:id="135"/>
    </w:p>
    <w:p>
      <w:pPr>
        <w:pStyle w:val="Subsection"/>
      </w:pPr>
      <w:r>
        <w:tab/>
      </w:r>
      <w:r>
        <w:tab/>
        <w:t>Nothing in this Act affects any equitable jurisdiction to refuse relief on the ground of laches, acquiescence or otherwise.</w:t>
      </w:r>
    </w:p>
    <w:p>
      <w:pPr>
        <w:pStyle w:val="Heading5"/>
      </w:pPr>
      <w:bookmarkStart w:id="136" w:name="_Toc183424954"/>
      <w:r>
        <w:rPr>
          <w:rStyle w:val="CharSectno"/>
        </w:rPr>
        <w:t>81</w:t>
      </w:r>
      <w:r>
        <w:t>.</w:t>
      </w:r>
      <w:r>
        <w:tab/>
        <w:t>Counterclaims — commencement</w:t>
      </w:r>
      <w:bookmarkEnd w:id="136"/>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137" w:name="_Toc183424955"/>
      <w:r>
        <w:rPr>
          <w:rStyle w:val="CharSectno"/>
        </w:rPr>
        <w:t>82</w:t>
      </w:r>
      <w:r>
        <w:t>.</w:t>
      </w:r>
      <w:r>
        <w:tab/>
        <w:t>Joint causes of action</w:t>
      </w:r>
      <w:bookmarkEnd w:id="137"/>
    </w:p>
    <w:p>
      <w:pPr>
        <w:pStyle w:val="Subsection"/>
      </w:pPr>
      <w:r>
        <w:tab/>
      </w:r>
      <w:r>
        <w:tab/>
        <w:t xml:space="preserve">If, were it not for this Act, 2 or more persons would have a cause of action jointly but, because of this Act, an action on the </w:t>
      </w:r>
      <w:r>
        <w:lastRenderedPageBreak/>
        <w:t>cause of action cannot be commenced by one or more of them, an action on the cause of action may nonetheless be commenced by the other or others of them and judgment may be given accordingly.</w:t>
      </w:r>
    </w:p>
    <w:p>
      <w:pPr>
        <w:pStyle w:val="Heading5"/>
      </w:pPr>
      <w:bookmarkStart w:id="138" w:name="_Toc183424956"/>
      <w:r>
        <w:rPr>
          <w:rStyle w:val="CharSectno"/>
        </w:rPr>
        <w:t>83</w:t>
      </w:r>
      <w:r>
        <w:t>.</w:t>
      </w:r>
      <w:r>
        <w:tab/>
        <w:t>Joint liability</w:t>
      </w:r>
      <w:bookmarkEnd w:id="138"/>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139" w:name="_Toc183424957"/>
      <w:r>
        <w:rPr>
          <w:rStyle w:val="CharSectno"/>
        </w:rPr>
        <w:t>84</w:t>
      </w:r>
      <w:r>
        <w:t>.</w:t>
      </w:r>
      <w:r>
        <w:tab/>
        <w:t>Formal entry and claim</w:t>
      </w:r>
      <w:bookmarkEnd w:id="139"/>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140" w:name="_Toc183424958"/>
      <w:r>
        <w:rPr>
          <w:rStyle w:val="CharSectno"/>
        </w:rPr>
        <w:t>85</w:t>
      </w:r>
      <w:r>
        <w:t>.</w:t>
      </w:r>
      <w:r>
        <w:tab/>
        <w:t>Other beneficiaries</w:t>
      </w:r>
      <w:bookmarkEnd w:id="140"/>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141" w:name="_Toc183424959"/>
      <w:r>
        <w:rPr>
          <w:rStyle w:val="CharSectno"/>
        </w:rPr>
        <w:t>86</w:t>
      </w:r>
      <w:r>
        <w:t>.</w:t>
      </w:r>
      <w:r>
        <w:tab/>
      </w:r>
      <w:r>
        <w:rPr>
          <w:snapToGrid w:val="0"/>
        </w:rPr>
        <w:t>Limited right to recover tax</w:t>
      </w:r>
      <w:bookmarkEnd w:id="141"/>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keepNext/>
        <w:rPr>
          <w:snapToGrid w:val="0"/>
        </w:rPr>
      </w:pPr>
      <w:r>
        <w:rPr>
          <w:snapToGrid w:val="0"/>
        </w:rPr>
        <w:lastRenderedPageBreak/>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142" w:name="_Toc183424960"/>
      <w:r>
        <w:rPr>
          <w:rStyle w:val="CharSectno"/>
        </w:rPr>
        <w:t>87</w:t>
      </w:r>
      <w:r>
        <w:t>.</w:t>
      </w:r>
      <w:r>
        <w:tab/>
      </w:r>
      <w:r>
        <w:rPr>
          <w:snapToGrid w:val="0"/>
        </w:rPr>
        <w:t>Limited operation of certain court orders as to refund of tax</w:t>
      </w:r>
      <w:bookmarkEnd w:id="142"/>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143" w:name="_Toc183424961"/>
      <w:r>
        <w:rPr>
          <w:rStyle w:val="CharSectno"/>
        </w:rPr>
        <w:lastRenderedPageBreak/>
        <w:t>88</w:t>
      </w:r>
      <w:r>
        <w:t>.</w:t>
      </w:r>
      <w:r>
        <w:tab/>
        <w:t>Arbitrations — commencement</w:t>
      </w:r>
      <w:bookmarkEnd w:id="143"/>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pStyle w:val="Heading2"/>
      </w:pPr>
      <w:bookmarkStart w:id="144" w:name="_Toc183183568"/>
      <w:bookmarkStart w:id="145" w:name="_Toc183183812"/>
      <w:bookmarkStart w:id="146" w:name="_Toc183424962"/>
      <w:r>
        <w:rPr>
          <w:rStyle w:val="CharPartNo"/>
        </w:rPr>
        <w:lastRenderedPageBreak/>
        <w:t>Part 7</w:t>
      </w:r>
      <w:r>
        <w:t> — </w:t>
      </w:r>
      <w:r>
        <w:rPr>
          <w:rStyle w:val="CharPartText"/>
        </w:rPr>
        <w:t>Transitional provisions</w:t>
      </w:r>
      <w:bookmarkEnd w:id="144"/>
      <w:bookmarkEnd w:id="145"/>
      <w:bookmarkEnd w:id="146"/>
    </w:p>
    <w:p>
      <w:pPr>
        <w:pStyle w:val="Footnoteheading"/>
      </w:pPr>
      <w:r>
        <w:tab/>
        <w:t>[Heading inserted: No. 3 of 2018 s. 12.]</w:t>
      </w:r>
    </w:p>
    <w:p>
      <w:pPr>
        <w:pStyle w:val="Heading3"/>
      </w:pPr>
      <w:bookmarkStart w:id="147" w:name="_Toc183183569"/>
      <w:bookmarkStart w:id="148" w:name="_Toc183183813"/>
      <w:bookmarkStart w:id="149" w:name="_Toc183424963"/>
      <w:r>
        <w:rPr>
          <w:rStyle w:val="CharDivNo"/>
        </w:rPr>
        <w:t>Division 1</w:t>
      </w:r>
      <w:r>
        <w:t> — </w:t>
      </w:r>
      <w:r>
        <w:rPr>
          <w:rStyle w:val="CharDivText"/>
        </w:rPr>
        <w:t>Provisions for Civil Liability Legislation Amendment (Child Sexual Abuse Actions) Act 2018</w:t>
      </w:r>
      <w:bookmarkEnd w:id="147"/>
      <w:bookmarkEnd w:id="148"/>
      <w:bookmarkEnd w:id="149"/>
    </w:p>
    <w:p>
      <w:pPr>
        <w:pStyle w:val="Footnoteheading"/>
      </w:pPr>
      <w:r>
        <w:tab/>
        <w:t>[Heading inserted: No. 3 of 2018 s. 12.]</w:t>
      </w:r>
    </w:p>
    <w:p>
      <w:pPr>
        <w:pStyle w:val="Heading5"/>
      </w:pPr>
      <w:bookmarkStart w:id="150" w:name="_Toc183424964"/>
      <w:r>
        <w:rPr>
          <w:rStyle w:val="CharSectno"/>
        </w:rPr>
        <w:t>89</w:t>
      </w:r>
      <w:r>
        <w:t>.</w:t>
      </w:r>
      <w:r>
        <w:tab/>
        <w:t>Terms used</w:t>
      </w:r>
      <w:bookmarkEnd w:id="150"/>
    </w:p>
    <w:p>
      <w:pPr>
        <w:pStyle w:val="Subsection"/>
      </w:pPr>
      <w:r>
        <w:tab/>
      </w:r>
      <w:r>
        <w:tab/>
        <w:t xml:space="preserve">In this Division — </w:t>
      </w:r>
    </w:p>
    <w:p>
      <w:pPr>
        <w:pStyle w:val="Defstart"/>
      </w:pPr>
      <w:r>
        <w:tab/>
      </w:r>
      <w:r>
        <w:rPr>
          <w:rStyle w:val="CharDefText"/>
        </w:rPr>
        <w:t>child sexual abuse</w:t>
      </w:r>
      <w:r>
        <w:t xml:space="preserve"> has the meaning given in section 6A(1);</w:t>
      </w:r>
    </w:p>
    <w:p>
      <w:pPr>
        <w:pStyle w:val="Defstart"/>
      </w:pPr>
      <w:r>
        <w:tab/>
      </w:r>
      <w:r>
        <w:rPr>
          <w:rStyle w:val="CharDefText"/>
        </w:rPr>
        <w:t>child sexual abuse action</w:t>
      </w:r>
      <w:r>
        <w:t xml:space="preserve"> has the meaning given in section 6A(1);</w:t>
      </w:r>
    </w:p>
    <w:p>
      <w:pPr>
        <w:pStyle w:val="Defstart"/>
      </w:pPr>
      <w:r>
        <w:tab/>
      </w:r>
      <w:r>
        <w:rPr>
          <w:rStyle w:val="CharDefText"/>
        </w:rPr>
        <w:t>child sexual abuse cause of action</w:t>
      </w:r>
      <w:r>
        <w:t xml:space="preserve"> has the meaning given in section 6A(1);</w:t>
      </w:r>
    </w:p>
    <w:p>
      <w:pPr>
        <w:pStyle w:val="Defstart"/>
      </w:pPr>
      <w:r>
        <w:tab/>
      </w:r>
      <w:r>
        <w:rPr>
          <w:rStyle w:val="CharDefText"/>
        </w:rPr>
        <w:t>commencement day</w:t>
      </w:r>
      <w:r>
        <w:t xml:space="preserve"> means the day on which the </w:t>
      </w:r>
      <w:r>
        <w:rPr>
          <w:i/>
        </w:rPr>
        <w:t xml:space="preserve">Civil Liability Legislation Amendment (Child Sexual Abuse Actions) Act 2018 </w:t>
      </w:r>
      <w:r>
        <w:t>section 12 comes into operation;</w:t>
      </w:r>
    </w:p>
    <w:p>
      <w:pPr>
        <w:pStyle w:val="Defstart"/>
      </w:pPr>
      <w:r>
        <w:tab/>
      </w:r>
      <w:r>
        <w:rPr>
          <w:rStyle w:val="CharDefText"/>
        </w:rPr>
        <w:t>previously barred cause of action</w:t>
      </w:r>
      <w:r>
        <w:t xml:space="preserve"> means a child sexual abuse cause of action that was statute barred immediately before commencement day;</w:t>
      </w:r>
    </w:p>
    <w:p>
      <w:pPr>
        <w:pStyle w:val="Defstart"/>
      </w:pPr>
      <w:r>
        <w:tab/>
      </w:r>
      <w:r>
        <w:rPr>
          <w:rStyle w:val="CharDefText"/>
        </w:rPr>
        <w:t>previously settled cause of action</w:t>
      </w:r>
      <w:r>
        <w:t xml:space="preserve"> means a child sexual abuse cause of action that was settled after it was statute barred but before commencement day;</w:t>
      </w:r>
    </w:p>
    <w:p>
      <w:pPr>
        <w:pStyle w:val="Defstart"/>
      </w:pPr>
      <w:r>
        <w:tab/>
      </w:r>
      <w:r>
        <w:rPr>
          <w:rStyle w:val="CharDefText"/>
        </w:rPr>
        <w:t>statute barred</w:t>
      </w:r>
      <w:r>
        <w:t xml:space="preserve">, in relation to a child sexual abuse cause of action, means that action on the cause of action cannot be maintained — </w:t>
      </w:r>
    </w:p>
    <w:p>
      <w:pPr>
        <w:pStyle w:val="Defpara"/>
      </w:pPr>
      <w:r>
        <w:tab/>
        <w:t>(a)</w:t>
      </w:r>
      <w:r>
        <w:tab/>
        <w:t>under one of the provisions referred to in section 6A(3); or</w:t>
      </w:r>
    </w:p>
    <w:p>
      <w:pPr>
        <w:pStyle w:val="Defpara"/>
      </w:pPr>
      <w:r>
        <w:tab/>
        <w:t>(b)</w:t>
      </w:r>
      <w:r>
        <w:tab/>
        <w:t>because a limitation period applicable to the action under this or any other Act has expired.</w:t>
      </w:r>
    </w:p>
    <w:p>
      <w:pPr>
        <w:pStyle w:val="Footnotesection"/>
        <w:ind w:left="890" w:hanging="890"/>
      </w:pPr>
      <w:r>
        <w:tab/>
        <w:t>[Section 89 inserted: No. 3 of 2018 s. 12.]</w:t>
      </w:r>
    </w:p>
    <w:p>
      <w:pPr>
        <w:pStyle w:val="Heading5"/>
      </w:pPr>
      <w:bookmarkStart w:id="151" w:name="_Toc183424965"/>
      <w:r>
        <w:rPr>
          <w:rStyle w:val="CharSectno"/>
        </w:rPr>
        <w:lastRenderedPageBreak/>
        <w:t>90</w:t>
      </w:r>
      <w:r>
        <w:t>.</w:t>
      </w:r>
      <w:r>
        <w:tab/>
        <w:t>Application of section 6A</w:t>
      </w:r>
      <w:bookmarkEnd w:id="151"/>
    </w:p>
    <w:p>
      <w:pPr>
        <w:pStyle w:val="Subsection"/>
      </w:pPr>
      <w:r>
        <w:tab/>
      </w:r>
      <w:r>
        <w:tab/>
        <w:t>Section 6A applies in relation to a child sexual abuse action regardless of when the act or omission constituting child sexual abuse occurred.</w:t>
      </w:r>
    </w:p>
    <w:p>
      <w:pPr>
        <w:pStyle w:val="Footnotesection"/>
        <w:ind w:left="890" w:hanging="890"/>
      </w:pPr>
      <w:r>
        <w:tab/>
        <w:t>[Section 90 inserted: No. 3 of 2018 s. 12.]</w:t>
      </w:r>
    </w:p>
    <w:p>
      <w:pPr>
        <w:pStyle w:val="Heading5"/>
      </w:pPr>
      <w:bookmarkStart w:id="152" w:name="_Toc183424966"/>
      <w:r>
        <w:rPr>
          <w:rStyle w:val="CharSectno"/>
        </w:rPr>
        <w:t>91</w:t>
      </w:r>
      <w:r>
        <w:t>.</w:t>
      </w:r>
      <w:r>
        <w:tab/>
        <w:t>Previously barred causes of action</w:t>
      </w:r>
      <w:bookmarkEnd w:id="152"/>
    </w:p>
    <w:p>
      <w:pPr>
        <w:pStyle w:val="Subsection"/>
      </w:pPr>
      <w:r>
        <w:tab/>
        <w:t>(1)</w:t>
      </w:r>
      <w:r>
        <w:tab/>
        <w:t xml:space="preserve">An action on a previously barred cause of action may be commenced even though one or more of the following apply — </w:t>
      </w:r>
    </w:p>
    <w:p>
      <w:pPr>
        <w:pStyle w:val="Indenta"/>
      </w:pPr>
      <w:r>
        <w:tab/>
        <w:t>(a)</w:t>
      </w:r>
      <w:r>
        <w:tab/>
        <w:t>the action was statute barred before commencement day;</w:t>
      </w:r>
    </w:p>
    <w:p>
      <w:pPr>
        <w:pStyle w:val="Indenta"/>
      </w:pPr>
      <w:r>
        <w:tab/>
        <w:t>(b)</w:t>
      </w:r>
      <w:r>
        <w:tab/>
        <w:t>an action on the cause of action had commenced but was discontinued or not finalised before commencement day;</w:t>
      </w:r>
    </w:p>
    <w:p>
      <w:pPr>
        <w:pStyle w:val="Indenta"/>
      </w:pPr>
      <w:r>
        <w:tab/>
        <w:t>(c)</w:t>
      </w:r>
      <w:r>
        <w:tab/>
        <w:t>a judgment was given before commencement day in relation to the cause of action on the ground that the action was statute barred;</w:t>
      </w:r>
    </w:p>
    <w:p>
      <w:pPr>
        <w:pStyle w:val="Indenta"/>
      </w:pPr>
      <w:r>
        <w:tab/>
        <w:t>(d)</w:t>
      </w:r>
      <w:r>
        <w:tab/>
        <w:t>an action on the cause of action was dismissed before commencement day on the ground that the action was statute barred.</w:t>
      </w:r>
    </w:p>
    <w:p>
      <w:pPr>
        <w:pStyle w:val="Subsection"/>
      </w:pPr>
      <w:r>
        <w:tab/>
        <w:t>(2)</w:t>
      </w:r>
      <w:r>
        <w:tab/>
        <w:t xml:space="preserve">Application may be made to a court with jurisdiction to deal with the action to set aside a judgment referred to in subsection (1)(c) or (d) (the </w:t>
      </w:r>
      <w:r>
        <w:rPr>
          <w:rStyle w:val="CharDefText"/>
        </w:rPr>
        <w:t>previous judgment</w:t>
      </w:r>
      <w:r>
        <w:t>). An application may be made prior to the commencement of the action.</w:t>
      </w:r>
    </w:p>
    <w:p>
      <w:pPr>
        <w:pStyle w:val="Subsection"/>
      </w:pPr>
      <w:r>
        <w:tab/>
        <w:t>(3)</w:t>
      </w:r>
      <w:r>
        <w:tab/>
        <w:t>The court may, if satisfied that it is just and reasonable to do so, set aside the previous judgment to the extent to which it relates to the action.</w:t>
      </w:r>
    </w:p>
    <w:p>
      <w:pPr>
        <w:pStyle w:val="Subsection"/>
      </w:pPr>
      <w:r>
        <w:tab/>
        <w:t>(4)</w:t>
      </w:r>
      <w:r>
        <w:tab/>
        <w:t>If the previous judgment is wholly or partly set aside, a person who paid an amount under the judgment cannot seek to recover that amount on the basis of the judgment having been set aside to that extent.</w:t>
      </w:r>
    </w:p>
    <w:p>
      <w:pPr>
        <w:pStyle w:val="Subsection"/>
      </w:pPr>
      <w:r>
        <w:tab/>
        <w:t>(5)</w:t>
      </w:r>
      <w:r>
        <w:tab/>
        <w:t xml:space="preserve">If an action on a previously barred cause of action is commenced, the court dealing with the action may, if satisfied that it is just and reasonable to do so, take into account any </w:t>
      </w:r>
      <w:r>
        <w:lastRenderedPageBreak/>
        <w:t>amount paid under a previous judgment relating to the cause of action.</w:t>
      </w:r>
    </w:p>
    <w:p>
      <w:pPr>
        <w:pStyle w:val="Subsection"/>
      </w:pPr>
      <w:r>
        <w:tab/>
        <w:t>(6)</w:t>
      </w:r>
      <w:r>
        <w:tab/>
        <w:t>A court, other than the Supreme Court, may not set aside a previous judgment of another court.</w:t>
      </w:r>
    </w:p>
    <w:p>
      <w:pPr>
        <w:pStyle w:val="Footnotesection"/>
        <w:ind w:left="890" w:hanging="890"/>
      </w:pPr>
      <w:r>
        <w:tab/>
        <w:t>[Section 91 inserted: No. 3 of 2018 s. 12.]</w:t>
      </w:r>
    </w:p>
    <w:p>
      <w:pPr>
        <w:pStyle w:val="Heading5"/>
      </w:pPr>
      <w:bookmarkStart w:id="153" w:name="_Toc183424967"/>
      <w:r>
        <w:rPr>
          <w:rStyle w:val="CharSectno"/>
        </w:rPr>
        <w:t>92</w:t>
      </w:r>
      <w:r>
        <w:t>.</w:t>
      </w:r>
      <w:r>
        <w:tab/>
        <w:t>Previously settled causes of action</w:t>
      </w:r>
      <w:bookmarkEnd w:id="153"/>
    </w:p>
    <w:p>
      <w:pPr>
        <w:pStyle w:val="Subsection"/>
      </w:pPr>
      <w:r>
        <w:tab/>
        <w:t>(1)</w:t>
      </w:r>
      <w:r>
        <w:tab/>
        <w:t xml:space="preserve">This section applies in relation to a proposed action on a previously settled cause of action and to the agreement effecting the settlement (the </w:t>
      </w:r>
      <w:r>
        <w:rPr>
          <w:rStyle w:val="CharDefText"/>
        </w:rPr>
        <w:t>settlement agreement</w:t>
      </w:r>
      <w:r>
        <w:t>).</w:t>
      </w:r>
    </w:p>
    <w:p>
      <w:pPr>
        <w:pStyle w:val="Subsection"/>
      </w:pPr>
      <w:r>
        <w:tab/>
        <w:t>(2)</w:t>
      </w:r>
      <w:r>
        <w:tab/>
        <w:t>Application may be made to a court that would have jurisdiction to deal with the action, but for the settlement agreement, for leave to commence the action.</w:t>
      </w:r>
    </w:p>
    <w:p>
      <w:pPr>
        <w:pStyle w:val="Subsection"/>
      </w:pPr>
      <w:r>
        <w:tab/>
        <w:t>(3)</w:t>
      </w:r>
      <w:r>
        <w:tab/>
        <w:t xml:space="preserve">The court may, if satisfied that it is just and reasonable to do so — </w:t>
      </w:r>
    </w:p>
    <w:p>
      <w:pPr>
        <w:pStyle w:val="Indenta"/>
      </w:pPr>
      <w:r>
        <w:tab/>
        <w:t>(a)</w:t>
      </w:r>
      <w:r>
        <w:tab/>
        <w:t>grant leave to commence the action, subject to conditions; and</w:t>
      </w:r>
    </w:p>
    <w:p>
      <w:pPr>
        <w:pStyle w:val="Indenta"/>
      </w:pPr>
      <w:r>
        <w:tab/>
        <w:t>(b)</w:t>
      </w:r>
      <w:r>
        <w:tab/>
        <w:t>to the extent necessary for that, set aside the settlement agreement and any judgment giving effect to the settlement.</w:t>
      </w:r>
    </w:p>
    <w:p>
      <w:pPr>
        <w:pStyle w:val="Subsection"/>
      </w:pPr>
      <w:r>
        <w:tab/>
        <w:t>(4)</w:t>
      </w:r>
      <w:r>
        <w:tab/>
        <w:t>If an action on the previously settled cause of action is commenced, the settlement agreement and each agreement relating to the settlement, other than a contract of insurance, is, despite any written or other law, void to the extent to which it relates to the child sexual abuse the subject of the cause of action.</w:t>
      </w:r>
    </w:p>
    <w:p>
      <w:pPr>
        <w:pStyle w:val="Subsection"/>
      </w:pPr>
      <w:r>
        <w:tab/>
        <w:t>(5)</w:t>
      </w:r>
      <w:r>
        <w:tab/>
        <w:t>A party to an agreement that is wholly or partly void under subsection (4) cannot seek to recover an amount paid by or for the party under the agreement on the basis that the agreement is void to that extent.</w:t>
      </w:r>
    </w:p>
    <w:p>
      <w:pPr>
        <w:pStyle w:val="Subsection"/>
      </w:pPr>
      <w:r>
        <w:tab/>
        <w:t>(6)</w:t>
      </w:r>
      <w:r>
        <w:tab/>
        <w:t xml:space="preserve">The court dealing with the action may, if satisfied that it is just and reasonable to do so, take into account any amount paid </w:t>
      </w:r>
      <w:r>
        <w:lastRenderedPageBreak/>
        <w:t>under an agreement that is wholly or partly void under this section, to the extent to which the amount relates to the child sexual abuse the subject of the cause of action.</w:t>
      </w:r>
    </w:p>
    <w:p>
      <w:pPr>
        <w:pStyle w:val="Subsection"/>
      </w:pPr>
      <w:r>
        <w:tab/>
        <w:t>(7)</w:t>
      </w:r>
      <w:r>
        <w:tab/>
        <w:t xml:space="preserve">For the purposes of subsection (6), amounts paid under an agreement are taken to relate to the child sexual abuse the subject of the cause of action to the extent of 50% if the agreement — </w:t>
      </w:r>
    </w:p>
    <w:p>
      <w:pPr>
        <w:pStyle w:val="Indenta"/>
      </w:pPr>
      <w:r>
        <w:tab/>
        <w:t>(a)</w:t>
      </w:r>
      <w:r>
        <w:tab/>
        <w:t>does not relate solely to that child sexual abuse; and</w:t>
      </w:r>
    </w:p>
    <w:p>
      <w:pPr>
        <w:pStyle w:val="Indenta"/>
      </w:pPr>
      <w:r>
        <w:tab/>
        <w:t>(b)</w:t>
      </w:r>
      <w:r>
        <w:tab/>
        <w:t>does not expressly deal with the extent to which the agreement and amounts paid under it relate to that child sexual abuse.</w:t>
      </w:r>
    </w:p>
    <w:p>
      <w:pPr>
        <w:pStyle w:val="Footnotesection"/>
        <w:ind w:left="890" w:hanging="890"/>
      </w:pPr>
      <w:r>
        <w:tab/>
        <w:t>[Section 92 inserted: No. 3 of 2018 s.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54" w:name="_Toc183183574"/>
      <w:bookmarkStart w:id="155" w:name="_Toc183183818"/>
      <w:bookmarkStart w:id="156" w:name="_Toc183424968"/>
      <w:r>
        <w:lastRenderedPageBreak/>
        <w:t>Notes</w:t>
      </w:r>
      <w:bookmarkEnd w:id="154"/>
      <w:bookmarkEnd w:id="155"/>
      <w:bookmarkEnd w:id="156"/>
    </w:p>
    <w:p>
      <w:pPr>
        <w:pStyle w:val="nStatement"/>
      </w:pPr>
      <w:r>
        <w:t xml:space="preserve">This is a compilation of the </w:t>
      </w:r>
      <w:r>
        <w:rPr>
          <w:i/>
          <w:noProof/>
        </w:rPr>
        <w:t>Limitation Act 2005</w:t>
      </w:r>
      <w:r>
        <w:t xml:space="preserve"> and includes amendments made by other written laws. For provisions that have come into operation see the compilation table. </w:t>
      </w:r>
    </w:p>
    <w:p>
      <w:pPr>
        <w:pStyle w:val="nHeading3"/>
      </w:pPr>
      <w:bookmarkStart w:id="157" w:name="_Toc183424969"/>
      <w:r>
        <w:t>Compilation table</w:t>
      </w:r>
      <w:bookmarkEnd w:id="157"/>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after="40"/>
            </w:pPr>
            <w:r>
              <w:rPr>
                <w:i/>
                <w:noProof/>
                <w:snapToGrid w:val="0"/>
              </w:rPr>
              <w:t>Limitation Act 2005</w:t>
            </w:r>
          </w:p>
        </w:tc>
        <w:tc>
          <w:tcPr>
            <w:tcW w:w="1134" w:type="dxa"/>
            <w:tcBorders>
              <w:top w:val="single" w:sz="4" w:space="0" w:color="auto"/>
            </w:tcBorders>
          </w:tcPr>
          <w:p>
            <w:pPr>
              <w:pStyle w:val="nTable"/>
              <w:spacing w:before="100" w:after="40"/>
            </w:pPr>
            <w:r>
              <w:t>19 of 2005</w:t>
            </w:r>
          </w:p>
        </w:tc>
        <w:tc>
          <w:tcPr>
            <w:tcW w:w="1134" w:type="dxa"/>
            <w:tcBorders>
              <w:top w:val="single" w:sz="4" w:space="0" w:color="auto"/>
            </w:tcBorders>
          </w:tcPr>
          <w:p>
            <w:pPr>
              <w:pStyle w:val="nTable"/>
              <w:spacing w:before="100" w:after="40"/>
            </w:pPr>
            <w:r>
              <w:t>15 Nov 2005</w:t>
            </w:r>
          </w:p>
        </w:tc>
        <w:tc>
          <w:tcPr>
            <w:tcW w:w="2552" w:type="dxa"/>
            <w:tcBorders>
              <w:top w:val="single" w:sz="4" w:space="0" w:color="auto"/>
            </w:tcBorders>
          </w:tcPr>
          <w:p>
            <w:pPr>
              <w:pStyle w:val="nTable"/>
              <w:spacing w:before="100" w:after="40"/>
            </w:pPr>
            <w:r>
              <w:t>15 Nov 2005 (see s. 2)</w:t>
            </w:r>
          </w:p>
        </w:tc>
      </w:tr>
      <w:tr>
        <w:tc>
          <w:tcPr>
            <w:tcW w:w="2268" w:type="dxa"/>
            <w:tcBorders>
              <w:top w:val="nil"/>
              <w:bottom w:val="nil"/>
            </w:tcBorders>
          </w:tcPr>
          <w:p>
            <w:pPr>
              <w:pStyle w:val="nTable"/>
              <w:spacing w:after="40"/>
              <w:rPr>
                <w:vertAlign w:val="superscript"/>
              </w:rPr>
            </w:pPr>
            <w:r>
              <w:rPr>
                <w:i/>
                <w:snapToGrid w:val="0"/>
              </w:rPr>
              <w:t xml:space="preserve">Civil Liability Legislation Amendment (Child Sexual Abuse Actions) Act 2018 </w:t>
            </w:r>
            <w:r>
              <w:rPr>
                <w:snapToGrid w:val="0"/>
              </w:rPr>
              <w:t>Pt. 4</w:t>
            </w:r>
          </w:p>
        </w:tc>
        <w:tc>
          <w:tcPr>
            <w:tcW w:w="1134" w:type="dxa"/>
            <w:tcBorders>
              <w:top w:val="nil"/>
              <w:bottom w:val="nil"/>
            </w:tcBorders>
          </w:tcPr>
          <w:p>
            <w:pPr>
              <w:pStyle w:val="nTable"/>
              <w:spacing w:after="40"/>
            </w:pPr>
            <w:r>
              <w:t>3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pPr>
            <w:r>
              <w:rPr>
                <w:i/>
                <w:iCs/>
              </w:rPr>
              <w:t>Workers Compensation and Injury Management Act 2023</w:t>
            </w:r>
            <w:r>
              <w:t xml:space="preserve"> Pt. 15 Div. 3 Subdiv. 9</w:t>
            </w:r>
          </w:p>
        </w:tc>
        <w:tc>
          <w:tcPr>
            <w:tcW w:w="1134"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pPr>
            <w:r>
              <w:rPr>
                <w:noProof/>
              </w:rPr>
              <w:t>1 Jul 2024</w:t>
            </w:r>
            <w:r>
              <w:t xml:space="preserve"> (see s. 2(d)</w:t>
            </w:r>
            <w:r>
              <w:rPr>
                <w:noProof/>
              </w:rPr>
              <w:t xml:space="preserve"> and SL 2024/34 cl. 2</w:t>
            </w:r>
            <w:r>
              <w:t>)</w:t>
            </w:r>
          </w:p>
        </w:tc>
      </w:tr>
      <w:tr>
        <w:tc>
          <w:tcPr>
            <w:tcW w:w="2268" w:type="dxa"/>
            <w:tcBorders>
              <w:top w:val="nil"/>
            </w:tcBorders>
          </w:tcPr>
          <w:p>
            <w:pPr>
              <w:pStyle w:val="nTable"/>
              <w:spacing w:after="40"/>
              <w:rPr>
                <w:i/>
                <w:iCs/>
              </w:rPr>
            </w:pPr>
            <w:r>
              <w:rPr>
                <w:i/>
              </w:rPr>
              <w:t xml:space="preserve">Civil Liability Amendment (Provisional Damages for Dust Diseases) Act 2024 </w:t>
            </w:r>
            <w:r>
              <w:rPr>
                <w:iCs/>
              </w:rPr>
              <w:t>Pt. 4</w:t>
            </w:r>
          </w:p>
        </w:tc>
        <w:tc>
          <w:tcPr>
            <w:tcW w:w="1134" w:type="dxa"/>
            <w:tcBorders>
              <w:top w:val="nil"/>
            </w:tcBorders>
          </w:tcPr>
          <w:p>
            <w:pPr>
              <w:pStyle w:val="nTable"/>
              <w:spacing w:after="40"/>
            </w:pPr>
            <w:r>
              <w:t>32 of 2024</w:t>
            </w:r>
          </w:p>
        </w:tc>
        <w:tc>
          <w:tcPr>
            <w:tcW w:w="1134" w:type="dxa"/>
            <w:tcBorders>
              <w:top w:val="nil"/>
            </w:tcBorders>
          </w:tcPr>
          <w:p>
            <w:pPr>
              <w:pStyle w:val="nTable"/>
              <w:spacing w:after="40"/>
            </w:pPr>
            <w:r>
              <w:t>26 Sep 2024</w:t>
            </w:r>
          </w:p>
        </w:tc>
        <w:tc>
          <w:tcPr>
            <w:tcW w:w="2552" w:type="dxa"/>
            <w:tcBorders>
              <w:top w:val="nil"/>
            </w:tcBorders>
          </w:tcPr>
          <w:p>
            <w:pPr>
              <w:pStyle w:val="nTable"/>
              <w:spacing w:after="40"/>
              <w:rPr>
                <w:noProof/>
              </w:rPr>
            </w:pPr>
            <w:r>
              <w:t>1 Dec 2024 (see s. 2(1)(d) and SL 2024/238 cl. 2)</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59" w:name="_Toc183183577"/>
      <w:bookmarkStart w:id="160" w:name="_Toc183183820"/>
      <w:bookmarkStart w:id="161" w:name="_Toc183424970"/>
      <w:r>
        <w:rPr>
          <w:sz w:val="28"/>
        </w:rPr>
        <w:lastRenderedPageBreak/>
        <w:t>Defined terms</w:t>
      </w:r>
      <w:bookmarkEnd w:id="159"/>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3(1), 21(1), 22(1)</w:t>
      </w:r>
    </w:p>
    <w:p>
      <w:pPr>
        <w:pStyle w:val="DefinedTerms"/>
      </w:pPr>
      <w:r>
        <w:t>arbitral award</w:t>
      </w:r>
      <w:r>
        <w:tab/>
        <w:t>3(1)</w:t>
      </w:r>
    </w:p>
    <w:p>
      <w:pPr>
        <w:pStyle w:val="DefinedTerms"/>
      </w:pPr>
      <w:r>
        <w:t>arbitration provision</w:t>
      </w:r>
      <w:r>
        <w:tab/>
        <w:t>3(1)</w:t>
      </w:r>
    </w:p>
    <w:p>
      <w:pPr>
        <w:pStyle w:val="DefinedTerms"/>
      </w:pPr>
      <w:r>
        <w:t>beneficiary 1’s action</w:t>
      </w:r>
      <w:r>
        <w:tab/>
        <w:t>85</w:t>
      </w:r>
    </w:p>
    <w:p>
      <w:pPr>
        <w:pStyle w:val="DefinedTerms"/>
      </w:pPr>
      <w:r>
        <w:t>beneficiary 2</w:t>
      </w:r>
      <w:r>
        <w:tab/>
        <w:t>85</w:t>
      </w:r>
    </w:p>
    <w:p>
      <w:pPr>
        <w:pStyle w:val="DefinedTerms"/>
      </w:pPr>
      <w:r>
        <w:t>cause of action (childbirth)</w:t>
      </w:r>
      <w:r>
        <w:tab/>
        <w:t>7(1)</w:t>
      </w:r>
    </w:p>
    <w:p>
      <w:pPr>
        <w:pStyle w:val="DefinedTerms"/>
      </w:pPr>
      <w:r>
        <w:t>child</w:t>
      </w:r>
      <w:r>
        <w:tab/>
        <w:t>6A(1)</w:t>
      </w:r>
    </w:p>
    <w:p>
      <w:pPr>
        <w:pStyle w:val="DefinedTerms"/>
      </w:pPr>
      <w:r>
        <w:t>child sexual abuse</w:t>
      </w:r>
      <w:r>
        <w:tab/>
        <w:t>6A(1), 89</w:t>
      </w:r>
    </w:p>
    <w:p>
      <w:pPr>
        <w:pStyle w:val="DefinedTerms"/>
      </w:pPr>
      <w:r>
        <w:t>child sexual abuse action</w:t>
      </w:r>
      <w:r>
        <w:tab/>
        <w:t>6A(1), 89</w:t>
      </w:r>
    </w:p>
    <w:p>
      <w:pPr>
        <w:pStyle w:val="DefinedTerms"/>
      </w:pPr>
      <w:r>
        <w:t>child sexual abuse cause of action</w:t>
      </w:r>
      <w:r>
        <w:tab/>
        <w:t>6A(1) and (6), 89</w:t>
      </w:r>
    </w:p>
    <w:p>
      <w:pPr>
        <w:pStyle w:val="DefinedTerms"/>
      </w:pPr>
      <w:r>
        <w:t>claimant</w:t>
      </w:r>
      <w:r>
        <w:tab/>
        <w:t>86(1)</w:t>
      </w:r>
    </w:p>
    <w:p>
      <w:pPr>
        <w:pStyle w:val="DefinedTerms"/>
      </w:pPr>
      <w:r>
        <w:t>commencement day</w:t>
      </w:r>
      <w:r>
        <w:tab/>
        <w:t>3(1), 89</w:t>
      </w:r>
    </w:p>
    <w:p>
      <w:pPr>
        <w:pStyle w:val="DefinedTerms"/>
      </w:pPr>
      <w:r>
        <w:t>defendant</w:t>
      </w:r>
      <w:r>
        <w:tab/>
        <w:t>3(1), 33(3), 36(4)</w:t>
      </w:r>
    </w:p>
    <w:p>
      <w:pPr>
        <w:pStyle w:val="DefinedTerms"/>
      </w:pPr>
      <w:r>
        <w:t>equitable action</w:t>
      </w:r>
      <w:r>
        <w:tab/>
        <w:t>27(2)</w:t>
      </w:r>
    </w:p>
    <w:p>
      <w:pPr>
        <w:pStyle w:val="DefinedTerms"/>
      </w:pPr>
      <w:r>
        <w:t>extension application</w:t>
      </w:r>
      <w:r>
        <w:tab/>
        <w:t>3(1)</w:t>
      </w:r>
    </w:p>
    <w:p>
      <w:pPr>
        <w:pStyle w:val="DefinedTerms"/>
      </w:pPr>
      <w:r>
        <w:t>future interest</w:t>
      </w:r>
      <w:r>
        <w:tab/>
        <w:t>3(1)</w:t>
      </w:r>
    </w:p>
    <w:p>
      <w:pPr>
        <w:pStyle w:val="DefinedTerms"/>
      </w:pPr>
      <w:r>
        <w:t>guardian</w:t>
      </w:r>
      <w:r>
        <w:tab/>
        <w:t>3(1), 3(1)</w:t>
      </w:r>
    </w:p>
    <w:p>
      <w:pPr>
        <w:pStyle w:val="DefinedTerms"/>
      </w:pPr>
      <w:r>
        <w:t>income</w:t>
      </w:r>
      <w:r>
        <w:tab/>
        <w:t>3(1)</w:t>
      </w:r>
    </w:p>
    <w:p>
      <w:pPr>
        <w:pStyle w:val="DefinedTerms"/>
      </w:pPr>
      <w:r>
        <w:t>land</w:t>
      </w:r>
      <w:r>
        <w:tab/>
        <w:t>3(1), 73(1)</w:t>
      </w:r>
    </w:p>
    <w:p>
      <w:pPr>
        <w:pStyle w:val="DefinedTerms"/>
      </w:pPr>
      <w:r>
        <w:t>limitation provision</w:t>
      </w:r>
      <w:r>
        <w:tab/>
        <w:t>9(2)</w:t>
      </w:r>
    </w:p>
    <w:p>
      <w:pPr>
        <w:pStyle w:val="DefinedTerms"/>
      </w:pPr>
      <w:r>
        <w:t>mental disability</w:t>
      </w:r>
      <w:r>
        <w:tab/>
        <w:t>3(1)</w:t>
      </w:r>
    </w:p>
    <w:p>
      <w:pPr>
        <w:pStyle w:val="DefinedTerms"/>
      </w:pPr>
      <w:r>
        <w:t>mortgage</w:t>
      </w:r>
      <w:r>
        <w:tab/>
        <w:t>3(1)</w:t>
      </w:r>
    </w:p>
    <w:p>
      <w:pPr>
        <w:pStyle w:val="DefinedTerms"/>
      </w:pPr>
      <w:r>
        <w:t>mortgagee</w:t>
      </w:r>
      <w:r>
        <w:tab/>
        <w:t>3(1)</w:t>
      </w:r>
    </w:p>
    <w:p>
      <w:pPr>
        <w:pStyle w:val="DefinedTerms"/>
      </w:pPr>
      <w:r>
        <w:t>mortgagor</w:t>
      </w:r>
      <w:r>
        <w:tab/>
        <w:t>3(1)</w:t>
      </w:r>
    </w:p>
    <w:p>
      <w:pPr>
        <w:pStyle w:val="DefinedTerms"/>
      </w:pPr>
      <w:r>
        <w:t>person A</w:t>
      </w:r>
      <w:r>
        <w:tab/>
        <w:t>3(2) and (3), 33(1), 36(1), 46(1), 49, 50(1), 53(1), 58</w:t>
      </w:r>
    </w:p>
    <w:p>
      <w:pPr>
        <w:pStyle w:val="DefinedTerms"/>
      </w:pPr>
      <w:r>
        <w:t>person B</w:t>
      </w:r>
      <w:r>
        <w:tab/>
        <w:t>3(3), 33(3), 36(4), 53(2)</w:t>
      </w:r>
    </w:p>
    <w:p>
      <w:pPr>
        <w:pStyle w:val="DefinedTerms"/>
      </w:pPr>
      <w:r>
        <w:t>person C</w:t>
      </w:r>
      <w:r>
        <w:tab/>
        <w:t>33(3)</w:t>
      </w:r>
    </w:p>
    <w:p>
      <w:pPr>
        <w:pStyle w:val="DefinedTerms"/>
      </w:pPr>
      <w:r>
        <w:t>person in a close relationship</w:t>
      </w:r>
      <w:r>
        <w:tab/>
        <w:t>33(3), 36(4)</w:t>
      </w:r>
    </w:p>
    <w:p>
      <w:pPr>
        <w:pStyle w:val="DefinedTerms"/>
      </w:pPr>
      <w:r>
        <w:t>person to whom the cause of action accrues</w:t>
      </w:r>
      <w:r>
        <w:tab/>
        <w:t>39(5)</w:t>
      </w:r>
    </w:p>
    <w:p>
      <w:pPr>
        <w:pStyle w:val="DefinedTerms"/>
      </w:pPr>
      <w:r>
        <w:t>person A</w:t>
      </w:r>
      <w:r>
        <w:tab/>
        <w:t>3(1)</w:t>
      </w:r>
    </w:p>
    <w:p>
      <w:pPr>
        <w:pStyle w:val="DefinedTerms"/>
      </w:pPr>
      <w:r>
        <w:t>person B</w:t>
      </w:r>
      <w:r>
        <w:tab/>
        <w:t>46(1)</w:t>
      </w:r>
    </w:p>
    <w:p>
      <w:pPr>
        <w:pStyle w:val="DefinedTerms"/>
      </w:pPr>
      <w:r>
        <w:t>person C</w:t>
      </w:r>
      <w:r>
        <w:tab/>
        <w:t>46(1)</w:t>
      </w:r>
    </w:p>
    <w:p>
      <w:pPr>
        <w:pStyle w:val="DefinedTerms"/>
      </w:pPr>
      <w:r>
        <w:t>personal injury</w:t>
      </w:r>
      <w:r>
        <w:tab/>
        <w:t>3(1)</w:t>
      </w:r>
    </w:p>
    <w:p>
      <w:pPr>
        <w:pStyle w:val="DefinedTerms"/>
      </w:pPr>
      <w:r>
        <w:t>personal representative</w:t>
      </w:r>
      <w:r>
        <w:tab/>
        <w:t>3(1)</w:t>
      </w:r>
    </w:p>
    <w:p>
      <w:pPr>
        <w:pStyle w:val="DefinedTerms"/>
      </w:pPr>
      <w:r>
        <w:t>plaintiff</w:t>
      </w:r>
      <w:r>
        <w:tab/>
        <w:t>3(1)</w:t>
      </w:r>
    </w:p>
    <w:p>
      <w:pPr>
        <w:pStyle w:val="DefinedTerms"/>
      </w:pPr>
      <w:r>
        <w:t>previous judgment</w:t>
      </w:r>
      <w:r>
        <w:tab/>
        <w:t>91(2)</w:t>
      </w:r>
    </w:p>
    <w:p>
      <w:pPr>
        <w:pStyle w:val="DefinedTerms"/>
      </w:pPr>
      <w:r>
        <w:t>previously barred cause of action</w:t>
      </w:r>
      <w:r>
        <w:tab/>
        <w:t>89</w:t>
      </w:r>
    </w:p>
    <w:p>
      <w:pPr>
        <w:pStyle w:val="DefinedTerms"/>
      </w:pPr>
      <w:r>
        <w:t>previously settled cause of action</w:t>
      </w:r>
      <w:r>
        <w:tab/>
        <w:t>89</w:t>
      </w:r>
    </w:p>
    <w:p>
      <w:pPr>
        <w:pStyle w:val="DefinedTerms"/>
      </w:pPr>
      <w:r>
        <w:t>principal money</w:t>
      </w:r>
      <w:r>
        <w:tab/>
        <w:t>3(1)</w:t>
      </w:r>
    </w:p>
    <w:p>
      <w:pPr>
        <w:pStyle w:val="DefinedTerms"/>
      </w:pPr>
      <w:r>
        <w:lastRenderedPageBreak/>
        <w:t>rent</w:t>
      </w:r>
      <w:r>
        <w:tab/>
        <w:t>3(1)</w:t>
      </w:r>
    </w:p>
    <w:p>
      <w:pPr>
        <w:pStyle w:val="DefinedTerms"/>
      </w:pPr>
      <w:r>
        <w:t>rentcharge</w:t>
      </w:r>
      <w:r>
        <w:tab/>
        <w:t>3(1)</w:t>
      </w:r>
    </w:p>
    <w:p>
      <w:pPr>
        <w:pStyle w:val="DefinedTerms"/>
      </w:pPr>
      <w:r>
        <w:t>settlement</w:t>
      </w:r>
      <w:r>
        <w:tab/>
        <w:t>73(1)</w:t>
      </w:r>
    </w:p>
    <w:p>
      <w:pPr>
        <w:pStyle w:val="DefinedTerms"/>
      </w:pPr>
      <w:r>
        <w:t>settlement agreement</w:t>
      </w:r>
      <w:r>
        <w:tab/>
        <w:t>92(1)</w:t>
      </w:r>
    </w:p>
    <w:p>
      <w:pPr>
        <w:pStyle w:val="DefinedTerms"/>
      </w:pPr>
      <w:r>
        <w:t>statute barred</w:t>
      </w:r>
      <w:r>
        <w:tab/>
        <w:t>89</w:t>
      </w:r>
    </w:p>
    <w:p>
      <w:pPr>
        <w:pStyle w:val="DefinedTerms"/>
      </w:pPr>
      <w:r>
        <w:t>tax</w:t>
      </w:r>
      <w:r>
        <w:tab/>
        <w:t>3(1)</w:t>
      </w:r>
    </w:p>
    <w:p>
      <w:pPr>
        <w:pStyle w:val="DefinedTerms"/>
      </w:pPr>
      <w:r>
        <w:t>taxing authority</w:t>
      </w:r>
      <w:r>
        <w:tab/>
        <w:t>87(4)</w:t>
      </w:r>
    </w:p>
    <w:p>
      <w:pPr>
        <w:pStyle w:val="DefinedTerms"/>
      </w:pPr>
      <w:r>
        <w:t>tenant A</w:t>
      </w:r>
      <w:r>
        <w:tab/>
        <w:t>3(6)</w:t>
      </w:r>
    </w:p>
    <w:p>
      <w:pPr>
        <w:pStyle w:val="DefinedTerms"/>
      </w:pPr>
      <w:r>
        <w:t>tenant B</w:t>
      </w:r>
      <w:r>
        <w:tab/>
        <w:t>3(6)</w:t>
      </w:r>
    </w:p>
    <w:p>
      <w:pPr>
        <w:pStyle w:val="DefinedTerms"/>
      </w:pPr>
      <w:r>
        <w:t>trust</w:t>
      </w:r>
      <w:r>
        <w:tab/>
        <w:t>3(1)</w:t>
      </w:r>
    </w:p>
    <w:p>
      <w:pPr>
        <w:pStyle w:val="DefinedTerms"/>
      </w:pPr>
      <w:r>
        <w:t>trustee</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092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C6B5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88AC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B4953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7CE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155550"/>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 w:name="WAFER_20180420123405" w:val="RemoveTocBookmarks,RemoveUnusedBookmarks,RemoveLanguageTags,UpdateStyles,UsedStyles,ResetPageSize"/>
    <w:docVar w:name="WAFER_20180420123405_GUID" w:val="e5179ebd-2b38-4637-ad6c-8da67965cd97"/>
    <w:docVar w:name="WAFER_20180629091917" w:val="RemoveTocBookmarks,RemoveUnusedBookmarks,RemoveLanguageTags,UsedStyles,ResetPageSize"/>
    <w:docVar w:name="WAFER_20180629091917_GUID" w:val="7fb3f22b-a83d-45d5-97af-ca4253f9bf90"/>
    <w:docVar w:name="WAFER_20231020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48_GUID" w:val="b3e79210-da5b-4fff-be1b-a663708b64dd"/>
    <w:docVar w:name="WAFER_20231227114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10_GUID" w:val="b644567c-2f59-4c27-acf1-3a9bba4e28c3"/>
    <w:docVar w:name="WAFER_2024031416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912_GUID" w:val="5068cd90-9da2-486b-bdc7-d8dac087b5c8"/>
    <w:docVar w:name="WAFER_20240611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093752_GUID" w:val="84a15c19-2f58-4784-8e10-74dd37534677"/>
    <w:docVar w:name="WAFER_2024091911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5426_GUID" w:val="ac8a59f6-b69a-403c-9105-476f9bc8785a"/>
    <w:docVar w:name="WAFER_20241122155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55550_GUID" w:val="91291bc9-694d-4bda-b2f0-9d6fe3b151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14186</Words>
  <Characters>66678</Characters>
  <Application>Microsoft Office Word</Application>
  <DocSecurity>0</DocSecurity>
  <Lines>1802</Lines>
  <Paragraphs>1036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79828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2005 - 00-g0-00</dc:title>
  <dc:subject/>
  <dc:creator/>
  <cp:keywords/>
  <dc:description/>
  <cp:lastModifiedBy>Master Repository Process</cp:lastModifiedBy>
  <cp:revision>4</cp:revision>
  <cp:lastPrinted>2005-11-15T11:52:00Z</cp:lastPrinted>
  <dcterms:created xsi:type="dcterms:W3CDTF">2025-06-20T06:15:00Z</dcterms:created>
  <dcterms:modified xsi:type="dcterms:W3CDTF">2025-06-20T06:15:00Z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DocumentType">
    <vt:lpwstr>Act</vt:lpwstr>
  </property>
  <property fmtid="{D5CDD505-2E9C-101B-9397-08002B2CF9AE}" pid="4" name="OwlsUID">
    <vt:i4>9389</vt:i4>
  </property>
  <property fmtid="{D5CDD505-2E9C-101B-9397-08002B2CF9AE}" pid="5" name="CommencementDate">
    <vt:lpwstr>20241201</vt:lpwstr>
  </property>
  <property fmtid="{D5CDD505-2E9C-101B-9397-08002B2CF9AE}" pid="6" name="CommencementAsAt">
    <vt:filetime>2024-11-30T16:00:00Z</vt:filetime>
  </property>
  <property fmtid="{D5CDD505-2E9C-101B-9397-08002B2CF9AE}" pid="7" name="CommencementYear">
    <vt:lpwstr>2024</vt:lpwstr>
  </property>
  <property fmtid="{D5CDD505-2E9C-101B-9397-08002B2CF9AE}" pid="8" name="AsAtDate">
    <vt:lpwstr>01 Dec 2024</vt:lpwstr>
  </property>
  <property fmtid="{D5CDD505-2E9C-101B-9397-08002B2CF9AE}" pid="9" name="Suffix">
    <vt:lpwstr>00-g0-00</vt:lpwstr>
  </property>
  <property fmtid="{D5CDD505-2E9C-101B-9397-08002B2CF9AE}" pid="10" name="Official">
    <vt:lpwstr/>
  </property>
</Properties>
</file>