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Dog Act 1976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Dog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_Toc183507273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_Toc183507274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_Toc183507275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w:t>
      </w:r>
      <w:r>
        <w:tab/>
      </w:r>
      <w:r>
        <w:fldChar w:fldCharType="begin"/>
      </w:r>
      <w:r>
        <w:instrText xml:space="preserve"> PAGEREF _Toc183507276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Dogs to be registered</w:t>
      </w:r>
      <w:r>
        <w:tab/>
      </w:r>
      <w:r>
        <w:fldChar w:fldCharType="begin"/>
      </w:r>
      <w:r>
        <w:instrText xml:space="preserve"> PAGEREF _Toc183507277 \h </w:instrText>
      </w:r>
      <w:r>
        <w:fldChar w:fldCharType="separate"/>
      </w:r>
      <w:r>
        <w:t>12</w:t>
      </w:r>
      <w:r>
        <w:fldChar w:fldCharType="end"/>
      </w:r>
    </w:p>
    <w:p>
      <w:pPr>
        <w:pStyle w:val="TOC8"/>
        <w:rPr>
          <w:rFonts w:asciiTheme="minorHAnsi" w:eastAsiaTheme="minorEastAsia" w:hAnsiTheme="minorHAnsi" w:cstheme="minorBidi"/>
          <w:szCs w:val="22"/>
        </w:rPr>
      </w:pPr>
      <w:r>
        <w:t>8.</w:t>
      </w:r>
      <w:r>
        <w:tab/>
        <w:t>Assistance dogs</w:t>
      </w:r>
      <w:r>
        <w:tab/>
      </w:r>
      <w:r>
        <w:fldChar w:fldCharType="begin"/>
      </w:r>
      <w:r>
        <w:instrText xml:space="preserve"> PAGEREF _Toc183507278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9</w:t>
      </w:r>
      <w:r>
        <w:rPr>
          <w:snapToGrid w:val="0"/>
        </w:rPr>
        <w:t>.</w:t>
      </w:r>
      <w:r>
        <w:rPr>
          <w:snapToGrid w:val="0"/>
        </w:rPr>
        <w:tab/>
        <w:t>Administrative responsibility</w:t>
      </w:r>
      <w:r>
        <w:tab/>
      </w:r>
      <w:r>
        <w:fldChar w:fldCharType="begin"/>
      </w:r>
      <w:r>
        <w:instrText xml:space="preserve"> PAGEREF _Toc183507280 \h </w:instrText>
      </w:r>
      <w:r>
        <w:fldChar w:fldCharType="separate"/>
      </w:r>
      <w:r>
        <w:t>17</w:t>
      </w:r>
      <w:r>
        <w:fldChar w:fldCharType="end"/>
      </w:r>
    </w:p>
    <w:p>
      <w:pPr>
        <w:pStyle w:val="TOC8"/>
        <w:rPr>
          <w:rFonts w:asciiTheme="minorHAnsi" w:eastAsiaTheme="minorEastAsia" w:hAnsiTheme="minorHAnsi" w:cstheme="minorBidi"/>
          <w:szCs w:val="22"/>
        </w:rPr>
      </w:pPr>
      <w:r>
        <w:t>9A.</w:t>
      </w:r>
      <w:r>
        <w:tab/>
        <w:t>Delegation by CEO</w:t>
      </w:r>
      <w:r>
        <w:tab/>
      </w:r>
      <w:r>
        <w:fldChar w:fldCharType="begin"/>
      </w:r>
      <w:r>
        <w:instrText xml:space="preserve"> PAGEREF _Toc183507281 \h </w:instrText>
      </w:r>
      <w:r>
        <w:fldChar w:fldCharType="separate"/>
      </w:r>
      <w:r>
        <w:t>17</w:t>
      </w:r>
      <w:r>
        <w:fldChar w:fldCharType="end"/>
      </w:r>
    </w:p>
    <w:p>
      <w:pPr>
        <w:pStyle w:val="TOC8"/>
        <w:rPr>
          <w:rFonts w:asciiTheme="minorHAnsi" w:eastAsiaTheme="minorEastAsia" w:hAnsiTheme="minorHAnsi" w:cstheme="minorBidi"/>
          <w:szCs w:val="22"/>
        </w:rPr>
      </w:pPr>
      <w:r>
        <w:t>9B.</w:t>
      </w:r>
      <w:r>
        <w:tab/>
        <w:t>Designated persons</w:t>
      </w:r>
      <w:r>
        <w:tab/>
      </w:r>
      <w:r>
        <w:fldChar w:fldCharType="begin"/>
      </w:r>
      <w:r>
        <w:instrText xml:space="preserve"> PAGEREF _Toc183507282 \h </w:instrText>
      </w:r>
      <w:r>
        <w:fldChar w:fldCharType="separate"/>
      </w:r>
      <w:r>
        <w:t>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Dogs not kept in district</w:t>
      </w:r>
      <w:r>
        <w:tab/>
      </w:r>
      <w:r>
        <w:fldChar w:fldCharType="begin"/>
      </w:r>
      <w:r>
        <w:instrText xml:space="preserve"> PAGEREF _Toc183507283 \h </w:instrText>
      </w:r>
      <w:r>
        <w:fldChar w:fldCharType="separate"/>
      </w:r>
      <w:r>
        <w:t>18</w:t>
      </w:r>
      <w:r>
        <w:fldChar w:fldCharType="end"/>
      </w:r>
    </w:p>
    <w:p>
      <w:pPr>
        <w:pStyle w:val="TOC8"/>
        <w:rPr>
          <w:rFonts w:asciiTheme="minorHAnsi" w:eastAsiaTheme="minorEastAsia" w:hAnsiTheme="minorHAnsi" w:cstheme="minorBidi"/>
          <w:szCs w:val="22"/>
        </w:rPr>
      </w:pPr>
      <w:r>
        <w:t>10AA.</w:t>
      </w:r>
      <w:r>
        <w:tab/>
        <w:t xml:space="preserve">Delegation of </w:t>
      </w:r>
      <w:r>
        <w:rPr>
          <w:snapToGrid w:val="0"/>
        </w:rPr>
        <w:t>local</w:t>
      </w:r>
      <w:r>
        <w:t xml:space="preserve"> government powers and duties</w:t>
      </w:r>
      <w:r>
        <w:tab/>
      </w:r>
      <w:r>
        <w:fldChar w:fldCharType="begin"/>
      </w:r>
      <w:r>
        <w:instrText xml:space="preserve"> PAGEREF _Toc183507284 \h </w:instrText>
      </w:r>
      <w:r>
        <w:fldChar w:fldCharType="separate"/>
      </w:r>
      <w:r>
        <w:t>18</w:t>
      </w:r>
      <w:r>
        <w:fldChar w:fldCharType="end"/>
      </w:r>
    </w:p>
    <w:p>
      <w:pPr>
        <w:pStyle w:val="TOC8"/>
        <w:rPr>
          <w:rFonts w:asciiTheme="minorHAnsi" w:eastAsiaTheme="minorEastAsia" w:hAnsiTheme="minorHAnsi" w:cstheme="minorBidi"/>
          <w:szCs w:val="22"/>
        </w:rPr>
      </w:pPr>
      <w:r>
        <w:t>10AB.</w:t>
      </w:r>
      <w:r>
        <w:tab/>
        <w:t>Register of, and review of, delegations</w:t>
      </w:r>
      <w:r>
        <w:tab/>
      </w:r>
      <w:r>
        <w:fldChar w:fldCharType="begin"/>
      </w:r>
      <w:r>
        <w:instrText xml:space="preserve"> PAGEREF _Toc183507285 \h </w:instrText>
      </w:r>
      <w:r>
        <w:fldChar w:fldCharType="separate"/>
      </w:r>
      <w:r>
        <w:t>19</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Payments to veterinarians towards cost of sterilisation</w:t>
      </w:r>
      <w:r>
        <w:tab/>
      </w:r>
      <w:r>
        <w:fldChar w:fldCharType="begin"/>
      </w:r>
      <w:r>
        <w:instrText xml:space="preserve"> PAGEREF _Toc183507286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Staff and services</w:t>
      </w:r>
      <w:r>
        <w:tab/>
      </w:r>
      <w:r>
        <w:fldChar w:fldCharType="begin"/>
      </w:r>
      <w:r>
        <w:instrText xml:space="preserve"> PAGEREF _Toc183507287 \h </w:instrText>
      </w:r>
      <w:r>
        <w:fldChar w:fldCharType="separate"/>
      </w:r>
      <w:r>
        <w:t>20</w:t>
      </w:r>
      <w:r>
        <w:fldChar w:fldCharType="end"/>
      </w:r>
    </w:p>
    <w:p>
      <w:pPr>
        <w:pStyle w:val="TOC8"/>
        <w:rPr>
          <w:rFonts w:asciiTheme="minorHAnsi" w:eastAsiaTheme="minorEastAsia" w:hAnsiTheme="minorHAnsi" w:cstheme="minorBidi"/>
          <w:szCs w:val="22"/>
        </w:rPr>
      </w:pPr>
      <w:r>
        <w:t>11A.</w:t>
      </w:r>
      <w:r>
        <w:tab/>
        <w:t>Authorised persons</w:t>
      </w:r>
      <w:r>
        <w:tab/>
      </w:r>
      <w:r>
        <w:fldChar w:fldCharType="begin"/>
      </w:r>
      <w:r>
        <w:instrText xml:space="preserve"> PAGEREF _Toc183507288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Joint jurisdiction</w:t>
      </w:r>
      <w:r>
        <w:tab/>
      </w:r>
      <w:r>
        <w:fldChar w:fldCharType="begin"/>
      </w:r>
      <w:r>
        <w:instrText xml:space="preserve"> PAGEREF _Toc183507289 \h </w:instrText>
      </w:r>
      <w:r>
        <w:fldChar w:fldCharType="separate"/>
      </w:r>
      <w:r>
        <w:t>21</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Entry of premises</w:t>
      </w:r>
      <w:r>
        <w:tab/>
      </w:r>
      <w:r>
        <w:fldChar w:fldCharType="begin"/>
      </w:r>
      <w:r>
        <w:instrText xml:space="preserve"> PAGEREF _Toc183507290 \h </w:instrText>
      </w:r>
      <w:r>
        <w:fldChar w:fldCharType="separate"/>
      </w:r>
      <w:r>
        <w:t>22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Immunity of persons acting in good faith</w:t>
      </w:r>
      <w:r>
        <w:tab/>
      </w:r>
      <w:r>
        <w:fldChar w:fldCharType="begin"/>
      </w:r>
      <w:r>
        <w:instrText xml:space="preserve"> PAGEREF _Toc183507291 \h </w:instrText>
      </w:r>
      <w:r>
        <w:fldChar w:fldCharType="separate"/>
      </w:r>
      <w:r>
        <w:t>23</w:t>
      </w:r>
      <w:r>
        <w:fldChar w:fldCharType="end"/>
      </w:r>
    </w:p>
    <w:p>
      <w:pPr>
        <w:pStyle w:val="TOC8"/>
        <w:rPr>
          <w:rFonts w:asciiTheme="minorHAnsi" w:eastAsiaTheme="minorEastAsia" w:hAnsiTheme="minorHAnsi" w:cstheme="minorBidi"/>
          <w:szCs w:val="22"/>
        </w:rPr>
      </w:pPr>
      <w:r>
        <w:t>13A.</w:t>
      </w:r>
      <w:r>
        <w:tab/>
        <w:t>Centralised registration system</w:t>
      </w:r>
      <w:r>
        <w:tab/>
      </w:r>
      <w:r>
        <w:fldChar w:fldCharType="begin"/>
      </w:r>
      <w:r>
        <w:instrText xml:space="preserve"> PAGEREF _Toc183507292 \h </w:instrText>
      </w:r>
      <w:r>
        <w:fldChar w:fldCharType="separate"/>
      </w:r>
      <w:r>
        <w:t>23</w:t>
      </w:r>
      <w:r>
        <w:fldChar w:fldCharType="end"/>
      </w:r>
    </w:p>
    <w:p>
      <w:pPr>
        <w:pStyle w:val="TOC8"/>
        <w:rPr>
          <w:rFonts w:asciiTheme="minorHAnsi" w:eastAsiaTheme="minorEastAsia" w:hAnsiTheme="minorHAnsi" w:cstheme="minorBidi"/>
          <w:szCs w:val="22"/>
        </w:rPr>
      </w:pPr>
      <w:r>
        <w:t>13B.</w:t>
      </w:r>
      <w:r>
        <w:tab/>
        <w:t>Dog owner numbers</w:t>
      </w:r>
      <w:r>
        <w:tab/>
      </w:r>
      <w:r>
        <w:fldChar w:fldCharType="begin"/>
      </w:r>
      <w:r>
        <w:instrText xml:space="preserve"> PAGEREF _Toc183507293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w:t>
      </w:r>
      <w:r>
        <w:rPr>
          <w:b w:val="0"/>
        </w:rPr>
        <w:t> </w:t>
      </w:r>
      <w:r>
        <w:t>—</w:t>
      </w:r>
      <w:r>
        <w:rPr>
          <w:b w:val="0"/>
        </w:rPr>
        <w:t> </w:t>
      </w:r>
      <w:r>
        <w:t>Registration and identification</w:t>
      </w:r>
    </w:p>
    <w:p>
      <w:pPr>
        <w:pStyle w:val="TOC4"/>
        <w:tabs>
          <w:tab w:val="right" w:leader="dot" w:pos="7077"/>
        </w:tabs>
        <w:rPr>
          <w:rFonts w:asciiTheme="minorHAnsi" w:eastAsiaTheme="minorEastAsia" w:hAnsiTheme="minorHAnsi" w:cstheme="minorBidi"/>
          <w:b w:val="0"/>
          <w:szCs w:val="22"/>
        </w:rPr>
      </w:pPr>
      <w:r>
        <w:t>Division 1 — Registration</w:t>
      </w:r>
    </w:p>
    <w:p>
      <w:pPr>
        <w:pStyle w:val="TOC8"/>
        <w:rPr>
          <w:rFonts w:asciiTheme="minorHAnsi" w:eastAsiaTheme="minorEastAsia" w:hAnsiTheme="minorHAnsi" w:cstheme="minorBidi"/>
          <w:szCs w:val="22"/>
        </w:rPr>
      </w:pPr>
      <w:r>
        <w:t>14.</w:t>
      </w:r>
      <w:r>
        <w:tab/>
        <w:t>Register of dogs</w:t>
      </w:r>
      <w:r>
        <w:tab/>
      </w:r>
      <w:r>
        <w:fldChar w:fldCharType="begin"/>
      </w:r>
      <w:r>
        <w:instrText xml:space="preserve"> PAGEREF _Toc183507296 \h </w:instrText>
      </w:r>
      <w:r>
        <w:fldChar w:fldCharType="separate"/>
      </w:r>
      <w:r>
        <w:t>25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Registration periods and fees</w:t>
      </w:r>
      <w:r>
        <w:tab/>
      </w:r>
      <w:r>
        <w:fldChar w:fldCharType="begin"/>
      </w:r>
      <w:r>
        <w:instrText xml:space="preserve"> PAGEREF _Toc183507297 \h </w:instrText>
      </w:r>
      <w:r>
        <w:fldChar w:fldCharType="separate"/>
      </w:r>
      <w:r>
        <w:t>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Registration procedure</w:t>
      </w:r>
      <w:r>
        <w:tab/>
      </w:r>
      <w:r>
        <w:fldChar w:fldCharType="begin"/>
      </w:r>
      <w:r>
        <w:instrText xml:space="preserve"> PAGEREF _Toc183507298 \h </w:instrText>
      </w:r>
      <w:r>
        <w:fldChar w:fldCharType="separate"/>
      </w:r>
      <w:r>
        <w:t>27</w:t>
      </w:r>
      <w:r>
        <w:fldChar w:fldCharType="end"/>
      </w:r>
    </w:p>
    <w:p>
      <w:pPr>
        <w:pStyle w:val="TOC8"/>
        <w:rPr>
          <w:rFonts w:asciiTheme="minorHAnsi" w:eastAsiaTheme="minorEastAsia" w:hAnsiTheme="minorHAnsi" w:cstheme="minorBidi"/>
          <w:szCs w:val="22"/>
        </w:rPr>
      </w:pPr>
      <w:r>
        <w:t>16AA</w:t>
      </w:r>
      <w:r>
        <w:rPr>
          <w:snapToGrid w:val="0"/>
        </w:rPr>
        <w:t>.</w:t>
      </w:r>
      <w:r>
        <w:rPr>
          <w:snapToGrid w:val="0"/>
        </w:rPr>
        <w:tab/>
        <w:t>Owner’s delegate</w:t>
      </w:r>
      <w:r>
        <w:tab/>
      </w:r>
      <w:r>
        <w:fldChar w:fldCharType="begin"/>
      </w:r>
      <w:r>
        <w:instrText xml:space="preserve"> PAGEREF _Toc183507299 \h </w:instrText>
      </w:r>
      <w:r>
        <w:fldChar w:fldCharType="separate"/>
      </w:r>
      <w:r>
        <w:t>30</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Change of ownership</w:t>
      </w:r>
      <w:r>
        <w:tab/>
      </w:r>
      <w:r>
        <w:fldChar w:fldCharType="begin"/>
      </w:r>
      <w:r>
        <w:instrText xml:space="preserve"> PAGEREF _Toc183507300 \h </w:instrText>
      </w:r>
      <w:r>
        <w:fldChar w:fldCharType="separate"/>
      </w:r>
      <w:r>
        <w:t>30</w:t>
      </w:r>
      <w:r>
        <w:fldChar w:fldCharType="end"/>
      </w:r>
    </w:p>
    <w:p>
      <w:pPr>
        <w:pStyle w:val="TOC8"/>
        <w:rPr>
          <w:rFonts w:asciiTheme="minorHAnsi" w:eastAsiaTheme="minorEastAsia" w:hAnsiTheme="minorHAnsi" w:cstheme="minorBidi"/>
          <w:szCs w:val="22"/>
        </w:rPr>
      </w:pPr>
      <w:r>
        <w:t>17A.</w:t>
      </w:r>
      <w:r>
        <w:tab/>
        <w:t>If no application for registration made</w:t>
      </w:r>
      <w:r>
        <w:tab/>
      </w:r>
      <w:r>
        <w:fldChar w:fldCharType="begin"/>
      </w:r>
      <w:r>
        <w:instrText xml:space="preserve"> PAGEREF _Toc183507301 \h </w:instrText>
      </w:r>
      <w:r>
        <w:fldChar w:fldCharType="separate"/>
      </w:r>
      <w:r>
        <w:t>31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Refusal or cancellation of registration</w:t>
      </w:r>
      <w:r>
        <w:tab/>
      </w:r>
      <w:r>
        <w:fldChar w:fldCharType="begin"/>
      </w:r>
      <w:r>
        <w:instrText xml:space="preserve"> PAGEREF _Toc183507302 \h </w:instrText>
      </w:r>
      <w:r>
        <w:fldChar w:fldCharType="separate"/>
      </w:r>
      <w:r>
        <w:t>32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Registration tags</w:t>
      </w:r>
      <w:r>
        <w:tab/>
      </w:r>
      <w:r>
        <w:fldChar w:fldCharType="begin"/>
      </w:r>
      <w:r>
        <w:instrText xml:space="preserve"> PAGEREF _Toc183507303 \h </w:instrText>
      </w:r>
      <w:r>
        <w:fldChar w:fldCharType="separate"/>
      </w:r>
      <w:r>
        <w:t>33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Refund of fee on cancellation</w:t>
      </w:r>
      <w:r>
        <w:tab/>
      </w:r>
      <w:r>
        <w:fldChar w:fldCharType="begin"/>
      </w:r>
      <w:r>
        <w:instrText xml:space="preserve"> PAGEREF _Toc183507304 \h </w:instrText>
      </w:r>
      <w:r>
        <w:fldChar w:fldCharType="separate"/>
      </w:r>
      <w:r>
        <w:t>34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Offences relating to registration etc.</w:t>
      </w:r>
      <w:r>
        <w:tab/>
      </w:r>
      <w:r>
        <w:fldChar w:fldCharType="begin"/>
      </w:r>
      <w:r>
        <w:instrText xml:space="preserve"> PAGEREF _Toc183507305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Microchipping</w:t>
      </w:r>
    </w:p>
    <w:p>
      <w:pPr>
        <w:pStyle w:val="TOC8"/>
        <w:rPr>
          <w:rFonts w:asciiTheme="minorHAnsi" w:eastAsiaTheme="minorEastAsia" w:hAnsiTheme="minorHAnsi" w:cstheme="minorBidi"/>
          <w:szCs w:val="22"/>
        </w:rPr>
      </w:pPr>
      <w:r>
        <w:t>21.</w:t>
      </w:r>
      <w:r>
        <w:tab/>
        <w:t>Microchipping of dogs other than dangerous dogs</w:t>
      </w:r>
      <w:r>
        <w:tab/>
      </w:r>
      <w:r>
        <w:fldChar w:fldCharType="begin"/>
      </w:r>
      <w:r>
        <w:instrText xml:space="preserve"> PAGEREF _Toc183507307 \h </w:instrText>
      </w:r>
      <w:r>
        <w:fldChar w:fldCharType="separate"/>
      </w:r>
      <w:r>
        <w:t>35</w:t>
      </w:r>
      <w:r>
        <w:fldChar w:fldCharType="end"/>
      </w:r>
    </w:p>
    <w:p>
      <w:pPr>
        <w:pStyle w:val="TOC8"/>
        <w:rPr>
          <w:rFonts w:asciiTheme="minorHAnsi" w:eastAsiaTheme="minorEastAsia" w:hAnsiTheme="minorHAnsi" w:cstheme="minorBidi"/>
          <w:szCs w:val="22"/>
        </w:rPr>
      </w:pPr>
      <w:r>
        <w:t>22.</w:t>
      </w:r>
      <w:r>
        <w:tab/>
        <w:t>Microchipping of dangerous dogs</w:t>
      </w:r>
      <w:r>
        <w:tab/>
      </w:r>
      <w:r>
        <w:fldChar w:fldCharType="begin"/>
      </w:r>
      <w:r>
        <w:instrText xml:space="preserve"> PAGEREF _Toc183507308 \h </w:instrText>
      </w:r>
      <w:r>
        <w:fldChar w:fldCharType="separate"/>
      </w:r>
      <w:r>
        <w:t>36</w:t>
      </w:r>
      <w:r>
        <w:fldChar w:fldCharType="end"/>
      </w:r>
    </w:p>
    <w:p>
      <w:pPr>
        <w:pStyle w:val="TOC8"/>
        <w:rPr>
          <w:rFonts w:asciiTheme="minorHAnsi" w:eastAsiaTheme="minorEastAsia" w:hAnsiTheme="minorHAnsi" w:cstheme="minorBidi"/>
          <w:szCs w:val="22"/>
        </w:rPr>
      </w:pPr>
      <w:r>
        <w:t>23.</w:t>
      </w:r>
      <w:r>
        <w:tab/>
        <w:t>Notice to be given of microchip information</w:t>
      </w:r>
      <w:r>
        <w:tab/>
      </w:r>
      <w:r>
        <w:fldChar w:fldCharType="begin"/>
      </w:r>
      <w:r>
        <w:instrText xml:space="preserve"> PAGEREF _Toc183507309 \h </w:instrText>
      </w:r>
      <w:r>
        <w:fldChar w:fldCharType="separate"/>
      </w:r>
      <w:r>
        <w:t>38</w:t>
      </w:r>
      <w:r>
        <w:fldChar w:fldCharType="end"/>
      </w:r>
    </w:p>
    <w:p>
      <w:pPr>
        <w:pStyle w:val="TOC8"/>
        <w:rPr>
          <w:rFonts w:asciiTheme="minorHAnsi" w:eastAsiaTheme="minorEastAsia" w:hAnsiTheme="minorHAnsi" w:cstheme="minorBidi"/>
          <w:szCs w:val="22"/>
        </w:rPr>
      </w:pPr>
      <w:r>
        <w:t>24.</w:t>
      </w:r>
      <w:r>
        <w:tab/>
        <w:t>Microchip implanter to give information to microchip database company</w:t>
      </w:r>
      <w:r>
        <w:tab/>
      </w:r>
      <w:r>
        <w:fldChar w:fldCharType="begin"/>
      </w:r>
      <w:r>
        <w:instrText xml:space="preserve"> PAGEREF _Toc183507310 \h </w:instrText>
      </w:r>
      <w:r>
        <w:fldChar w:fldCharType="separate"/>
      </w:r>
      <w:r>
        <w:t>38</w:t>
      </w:r>
      <w:r>
        <w:fldChar w:fldCharType="end"/>
      </w:r>
    </w:p>
    <w:p>
      <w:pPr>
        <w:pStyle w:val="TOC8"/>
        <w:rPr>
          <w:rFonts w:asciiTheme="minorHAnsi" w:eastAsiaTheme="minorEastAsia" w:hAnsiTheme="minorHAnsi" w:cstheme="minorBidi"/>
          <w:szCs w:val="22"/>
        </w:rPr>
      </w:pPr>
      <w:r>
        <w:t>25.</w:t>
      </w:r>
      <w:r>
        <w:tab/>
        <w:t>Microchip database company’s obligations</w:t>
      </w:r>
      <w:r>
        <w:tab/>
      </w:r>
      <w:r>
        <w:fldChar w:fldCharType="begin"/>
      </w:r>
      <w:r>
        <w:instrText xml:space="preserve"> PAGEREF _Toc183507311 \h </w:instrText>
      </w:r>
      <w:r>
        <w:fldChar w:fldCharType="separate"/>
      </w:r>
      <w:r>
        <w:t>38</w:t>
      </w:r>
      <w:r>
        <w:fldChar w:fldCharType="end"/>
      </w:r>
    </w:p>
    <w:p>
      <w:pPr>
        <w:pStyle w:val="TOC8"/>
        <w:rPr>
          <w:rFonts w:asciiTheme="minorHAnsi" w:eastAsiaTheme="minorEastAsia" w:hAnsiTheme="minorHAnsi" w:cstheme="minorBidi"/>
          <w:szCs w:val="22"/>
        </w:rPr>
      </w:pPr>
      <w:r>
        <w:t>26A.</w:t>
      </w:r>
      <w:r>
        <w:tab/>
        <w:t>Interference with microchips</w:t>
      </w:r>
      <w:r>
        <w:tab/>
      </w:r>
      <w:r>
        <w:fldChar w:fldCharType="begin"/>
      </w:r>
      <w:r>
        <w:instrText xml:space="preserve"> PAGEREF _Toc183507312 \h </w:instrText>
      </w:r>
      <w:r>
        <w:fldChar w:fldCharType="separate"/>
      </w:r>
      <w:r>
        <w:t>39</w:t>
      </w:r>
      <w:r>
        <w:fldChar w:fldCharType="end"/>
      </w:r>
    </w:p>
    <w:p>
      <w:pPr>
        <w:pStyle w:val="TOC8"/>
        <w:rPr>
          <w:rFonts w:asciiTheme="minorHAnsi" w:eastAsiaTheme="minorEastAsia" w:hAnsiTheme="minorHAnsi" w:cstheme="minorBidi"/>
          <w:szCs w:val="22"/>
        </w:rPr>
      </w:pPr>
      <w:r>
        <w:t>26B.</w:t>
      </w:r>
      <w:r>
        <w:tab/>
        <w:t>Transfer of ownership of unmicrochipped dogs</w:t>
      </w:r>
      <w:r>
        <w:tab/>
      </w:r>
      <w:r>
        <w:fldChar w:fldCharType="begin"/>
      </w:r>
      <w:r>
        <w:instrText xml:space="preserve"> PAGEREF _Toc183507313 \h </w:instrText>
      </w:r>
      <w:r>
        <w:fldChar w:fldCharType="separate"/>
      </w:r>
      <w:r>
        <w:t>39</w:t>
      </w:r>
      <w:r>
        <w:fldChar w:fldCharType="end"/>
      </w:r>
    </w:p>
    <w:p>
      <w:pPr>
        <w:pStyle w:val="TOC8"/>
        <w:rPr>
          <w:rFonts w:asciiTheme="minorHAnsi" w:eastAsiaTheme="minorEastAsia" w:hAnsiTheme="minorHAnsi" w:cstheme="minorBidi"/>
          <w:szCs w:val="22"/>
        </w:rPr>
      </w:pPr>
      <w:r>
        <w:t>26C.</w:t>
      </w:r>
      <w:r>
        <w:tab/>
        <w:t>Transfer of ownership of microchipped dogs</w:t>
      </w:r>
      <w:r>
        <w:tab/>
      </w:r>
      <w:r>
        <w:fldChar w:fldCharType="begin"/>
      </w:r>
      <w:r>
        <w:instrText xml:space="preserve"> PAGEREF _Toc183507314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Changes to recorded information</w:t>
      </w:r>
    </w:p>
    <w:p>
      <w:pPr>
        <w:pStyle w:val="TOC8"/>
        <w:rPr>
          <w:rFonts w:asciiTheme="minorHAnsi" w:eastAsiaTheme="minorEastAsia" w:hAnsiTheme="minorHAnsi" w:cstheme="minorBidi"/>
          <w:szCs w:val="22"/>
        </w:rPr>
      </w:pPr>
      <w:r>
        <w:t>26D.</w:t>
      </w:r>
      <w:r>
        <w:tab/>
        <w:t>Notice to be given of changes to recorded information</w:t>
      </w:r>
      <w:r>
        <w:tab/>
      </w:r>
      <w:r>
        <w:fldChar w:fldCharType="begin"/>
      </w:r>
      <w:r>
        <w:instrText xml:space="preserve"> PAGEREF _Toc183507316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V — The keeping of dogs</w:t>
      </w:r>
    </w:p>
    <w:p>
      <w:pPr>
        <w:pStyle w:val="TOC8"/>
        <w:rPr>
          <w:rFonts w:asciiTheme="minorHAnsi" w:eastAsiaTheme="minorEastAsia" w:hAnsiTheme="minorHAnsi" w:cstheme="minorBidi"/>
          <w:szCs w:val="22"/>
        </w:rPr>
      </w:pPr>
      <w:r>
        <w:t>26</w:t>
      </w:r>
      <w:r>
        <w:rPr>
          <w:snapToGrid w:val="0"/>
        </w:rPr>
        <w:t>.</w:t>
      </w:r>
      <w:r>
        <w:rPr>
          <w:snapToGrid w:val="0"/>
        </w:rPr>
        <w:tab/>
        <w:t>Limitation as to numbers</w:t>
      </w:r>
      <w:r>
        <w:tab/>
      </w:r>
      <w:r>
        <w:fldChar w:fldCharType="begin"/>
      </w:r>
      <w:r>
        <w:instrText xml:space="preserve"> PAGEREF _Toc183507318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Licensing of approved kennel establishments</w:t>
      </w:r>
      <w:r>
        <w:tab/>
      </w:r>
      <w:r>
        <w:fldChar w:fldCharType="begin"/>
      </w:r>
      <w:r>
        <w:instrText xml:space="preserve"> PAGEREF _Toc183507319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VI — Control of dogs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Dogs generally</w:t>
      </w:r>
    </w:p>
    <w:p>
      <w:pPr>
        <w:pStyle w:val="TOC8"/>
        <w:rPr>
          <w:rFonts w:asciiTheme="minorHAnsi" w:eastAsiaTheme="minorEastAsia" w:hAnsiTheme="minorHAnsi" w:cstheme="minorBidi"/>
          <w:szCs w:val="22"/>
        </w:rPr>
      </w:pPr>
      <w:r>
        <w:t>28.</w:t>
      </w:r>
      <w:r>
        <w:tab/>
        <w:t>Obligation to identify dog’s owner</w:t>
      </w:r>
      <w:r>
        <w:tab/>
      </w:r>
      <w:r>
        <w:fldChar w:fldCharType="begin"/>
      </w:r>
      <w:r>
        <w:instrText xml:space="preserve"> PAGEREF _Toc183507322 \h </w:instrText>
      </w:r>
      <w:r>
        <w:fldChar w:fldCharType="separate"/>
      </w:r>
      <w:r>
        <w:t>46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 to seize dogs</w:t>
      </w:r>
      <w:r>
        <w:tab/>
      </w:r>
      <w:r>
        <w:fldChar w:fldCharType="begin"/>
      </w:r>
      <w:r>
        <w:instrText xml:space="preserve"> PAGEREF _Toc183507323 \h </w:instrText>
      </w:r>
      <w:r>
        <w:fldChar w:fldCharType="separate"/>
      </w:r>
      <w:r>
        <w:t>46</w:t>
      </w:r>
      <w:r>
        <w:fldChar w:fldCharType="end"/>
      </w:r>
    </w:p>
    <w:p>
      <w:pPr>
        <w:pStyle w:val="TOC8"/>
        <w:rPr>
          <w:rFonts w:asciiTheme="minorHAnsi" w:eastAsiaTheme="minorEastAsia" w:hAnsiTheme="minorHAnsi" w:cstheme="minorBidi"/>
          <w:szCs w:val="22"/>
        </w:rPr>
      </w:pPr>
      <w:r>
        <w:t>30A.</w:t>
      </w:r>
      <w:r>
        <w:tab/>
        <w:t>Operator of dog management facility may have dog microchipped at owner’s expense</w:t>
      </w:r>
      <w:r>
        <w:tab/>
      </w:r>
      <w:r>
        <w:fldChar w:fldCharType="begin"/>
      </w:r>
      <w:r>
        <w:instrText xml:space="preserve"> PAGEREF _Toc183507324 \h </w:instrText>
      </w:r>
      <w:r>
        <w:fldChar w:fldCharType="separate"/>
      </w:r>
      <w:r>
        <w:t>53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Dogs to wear collars, registration tags etc.</w:t>
      </w:r>
      <w:r>
        <w:tab/>
      </w:r>
      <w:r>
        <w:fldChar w:fldCharType="begin"/>
      </w:r>
      <w:r>
        <w:instrText xml:space="preserve"> PAGEREF _Toc183507325 \h </w:instrText>
      </w:r>
      <w:r>
        <w:fldChar w:fldCharType="separate"/>
      </w:r>
      <w:r>
        <w:t>54</w:t>
      </w:r>
      <w:r>
        <w:fldChar w:fldCharType="end"/>
      </w:r>
    </w:p>
    <w:p>
      <w:pPr>
        <w:pStyle w:val="TOC8"/>
        <w:rPr>
          <w:rFonts w:asciiTheme="minorHAnsi" w:eastAsiaTheme="minorEastAsia" w:hAnsiTheme="minorHAnsi" w:cstheme="minorBidi"/>
          <w:szCs w:val="22"/>
        </w:rPr>
      </w:pPr>
      <w:r>
        <w:lastRenderedPageBreak/>
        <w:t>31</w:t>
      </w:r>
      <w:r>
        <w:rPr>
          <w:snapToGrid w:val="0"/>
        </w:rPr>
        <w:t>.</w:t>
      </w:r>
      <w:r>
        <w:rPr>
          <w:snapToGrid w:val="0"/>
        </w:rPr>
        <w:tab/>
        <w:t>Control of dogs in certain public places</w:t>
      </w:r>
      <w:r>
        <w:tab/>
      </w:r>
      <w:r>
        <w:fldChar w:fldCharType="begin"/>
      </w:r>
      <w:r>
        <w:instrText xml:space="preserve"> PAGEREF _Toc183507326 \h </w:instrText>
      </w:r>
      <w:r>
        <w:fldChar w:fldCharType="separate"/>
      </w:r>
      <w:r>
        <w:t>55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Control of dogs in exercise areas and rural areas</w:t>
      </w:r>
      <w:r>
        <w:tab/>
      </w:r>
      <w:r>
        <w:fldChar w:fldCharType="begin"/>
      </w:r>
      <w:r>
        <w:instrText xml:space="preserve"> PAGEREF _Toc183507327 \h </w:instrText>
      </w:r>
      <w:r>
        <w:fldChar w:fldCharType="separate"/>
      </w:r>
      <w:r>
        <w:t>57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Special provision for greyhounds</w:t>
      </w:r>
      <w:r>
        <w:tab/>
      </w:r>
      <w:r>
        <w:fldChar w:fldCharType="begin"/>
      </w:r>
      <w:r>
        <w:instrText xml:space="preserve"> PAGEREF _Toc183507328 \h </w:instrText>
      </w:r>
      <w:r>
        <w:fldChar w:fldCharType="separate"/>
      </w:r>
      <w:r>
        <w:t>58</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Control of dogs in places that are not public</w:t>
      </w:r>
      <w:r>
        <w:tab/>
      </w:r>
      <w:r>
        <w:fldChar w:fldCharType="begin"/>
      </w:r>
      <w:r>
        <w:instrText xml:space="preserve"> PAGEREF _Toc183507329 \h </w:instrText>
      </w:r>
      <w:r>
        <w:fldChar w:fldCharType="separate"/>
      </w:r>
      <w:r>
        <w:t>59</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Defences applicable to offences under this Division</w:t>
      </w:r>
      <w:r>
        <w:tab/>
      </w:r>
      <w:r>
        <w:fldChar w:fldCharType="begin"/>
      </w:r>
      <w:r>
        <w:instrText xml:space="preserve"> PAGEREF _Toc183507330 \h </w:instrText>
      </w:r>
      <w:r>
        <w:fldChar w:fldCharType="separate"/>
      </w:r>
      <w:r>
        <w:t>60</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Saving</w:t>
      </w:r>
      <w:r>
        <w:tab/>
      </w:r>
      <w:r>
        <w:fldChar w:fldCharType="begin"/>
      </w:r>
      <w:r>
        <w:instrText xml:space="preserve"> PAGEREF _Toc183507331 \h </w:instrText>
      </w:r>
      <w:r>
        <w:fldChar w:fldCharType="separate"/>
      </w:r>
      <w:r>
        <w:t>61</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Dog attacks etc.</w:t>
      </w:r>
      <w:r>
        <w:tab/>
      </w:r>
      <w:r>
        <w:fldChar w:fldCharType="begin"/>
      </w:r>
      <w:r>
        <w:instrText xml:space="preserve"> PAGEREF _Toc183507332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Dangerous dogs</w:t>
      </w:r>
    </w:p>
    <w:p>
      <w:pPr>
        <w:pStyle w:val="TOC8"/>
        <w:rPr>
          <w:rFonts w:asciiTheme="minorHAnsi" w:eastAsiaTheme="minorEastAsia" w:hAnsiTheme="minorHAnsi" w:cstheme="minorBidi"/>
          <w:szCs w:val="22"/>
        </w:rPr>
      </w:pPr>
      <w:r>
        <w:t>33E</w:t>
      </w:r>
      <w:r>
        <w:rPr>
          <w:snapToGrid w:val="0"/>
        </w:rPr>
        <w:t>.</w:t>
      </w:r>
      <w:r>
        <w:rPr>
          <w:snapToGrid w:val="0"/>
        </w:rPr>
        <w:tab/>
        <w:t>Individual dog may be declared to be dangerous dog (declared)</w:t>
      </w:r>
      <w:r>
        <w:tab/>
      </w:r>
      <w:r>
        <w:fldChar w:fldCharType="begin"/>
      </w:r>
      <w:r>
        <w:instrText xml:space="preserve"> PAGEREF _Toc183507334 \h </w:instrText>
      </w:r>
      <w:r>
        <w:fldChar w:fldCharType="separate"/>
      </w:r>
      <w:r>
        <w:t>63</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Owner to be notified of making of declaration</w:t>
      </w:r>
      <w:r>
        <w:tab/>
      </w:r>
      <w:r>
        <w:fldChar w:fldCharType="begin"/>
      </w:r>
      <w:r>
        <w:instrText xml:space="preserve"> PAGEREF _Toc183507335 \h </w:instrText>
      </w:r>
      <w:r>
        <w:fldChar w:fldCharType="separate"/>
      </w:r>
      <w:r>
        <w:t>64</w:t>
      </w:r>
      <w:r>
        <w:fldChar w:fldCharType="end"/>
      </w:r>
    </w:p>
    <w:p>
      <w:pPr>
        <w:pStyle w:val="TOC8"/>
        <w:rPr>
          <w:rFonts w:asciiTheme="minorHAnsi" w:eastAsiaTheme="minorEastAsia" w:hAnsiTheme="minorHAnsi" w:cstheme="minorBidi"/>
          <w:szCs w:val="22"/>
        </w:rPr>
      </w:pPr>
      <w:r>
        <w:t>33GA.</w:t>
      </w:r>
      <w:r>
        <w:tab/>
        <w:t>Offences relating to dangerous dogs</w:t>
      </w:r>
      <w:r>
        <w:tab/>
      </w:r>
      <w:r>
        <w:fldChar w:fldCharType="begin"/>
      </w:r>
      <w:r>
        <w:instrText xml:space="preserve"> PAGEREF _Toc183507336 \h </w:instrText>
      </w:r>
      <w:r>
        <w:fldChar w:fldCharType="separate"/>
      </w:r>
      <w:r>
        <w:t>65</w:t>
      </w:r>
      <w:r>
        <w:fldChar w:fldCharType="end"/>
      </w:r>
    </w:p>
    <w:p>
      <w:pPr>
        <w:pStyle w:val="TOC8"/>
        <w:rPr>
          <w:rFonts w:asciiTheme="minorHAnsi" w:eastAsiaTheme="minorEastAsia" w:hAnsiTheme="minorHAnsi" w:cstheme="minorBidi"/>
          <w:szCs w:val="22"/>
        </w:rPr>
      </w:pPr>
      <w:r>
        <w:t>33GB.</w:t>
      </w:r>
      <w:r>
        <w:tab/>
        <w:t>Dangerous dogs (restricted breed) to be sterilised</w:t>
      </w:r>
      <w:r>
        <w:tab/>
      </w:r>
      <w:r>
        <w:fldChar w:fldCharType="begin"/>
      </w:r>
      <w:r>
        <w:instrText xml:space="preserve"> PAGEREF _Toc183507337 \h </w:instrText>
      </w:r>
      <w:r>
        <w:fldChar w:fldCharType="separate"/>
      </w:r>
      <w:r>
        <w:t>70</w:t>
      </w:r>
      <w:r>
        <w:fldChar w:fldCharType="end"/>
      </w:r>
    </w:p>
    <w:p>
      <w:pPr>
        <w:pStyle w:val="TOC8"/>
        <w:rPr>
          <w:rFonts w:asciiTheme="minorHAnsi" w:eastAsiaTheme="minorEastAsia" w:hAnsiTheme="minorHAnsi" w:cstheme="minorBidi"/>
          <w:szCs w:val="22"/>
        </w:rPr>
      </w:pPr>
      <w:r>
        <w:t>33GC.</w:t>
      </w:r>
      <w:r>
        <w:tab/>
        <w:t>Restrictions on transferring ownership of dangerous dogs (restricted breed)</w:t>
      </w:r>
      <w:r>
        <w:tab/>
      </w:r>
      <w:r>
        <w:fldChar w:fldCharType="begin"/>
      </w:r>
      <w:r>
        <w:instrText xml:space="preserve"> PAGEREF _Toc183507338 \h </w:instrText>
      </w:r>
      <w:r>
        <w:fldChar w:fldCharType="separate"/>
      </w:r>
      <w:r>
        <w:t>71</w:t>
      </w:r>
      <w:r>
        <w:fldChar w:fldCharType="end"/>
      </w:r>
    </w:p>
    <w:p>
      <w:pPr>
        <w:pStyle w:val="TOC8"/>
        <w:rPr>
          <w:rFonts w:asciiTheme="minorHAnsi" w:eastAsiaTheme="minorEastAsia" w:hAnsiTheme="minorHAnsi" w:cstheme="minorBidi"/>
          <w:szCs w:val="22"/>
        </w:rPr>
      </w:pPr>
      <w:r>
        <w:t>33GD.</w:t>
      </w:r>
      <w:r>
        <w:tab/>
        <w:t>Dangerous dogs (restricted breed) not to be bred</w:t>
      </w:r>
      <w:r>
        <w:tab/>
      </w:r>
      <w:r>
        <w:fldChar w:fldCharType="begin"/>
      </w:r>
      <w:r>
        <w:instrText xml:space="preserve"> PAGEREF _Toc183507339 \h </w:instrText>
      </w:r>
      <w:r>
        <w:fldChar w:fldCharType="separate"/>
      </w:r>
      <w:r>
        <w:t>72</w:t>
      </w:r>
      <w:r>
        <w:fldChar w:fldCharType="end"/>
      </w:r>
    </w:p>
    <w:p>
      <w:pPr>
        <w:pStyle w:val="TOC8"/>
        <w:rPr>
          <w:rFonts w:asciiTheme="minorHAnsi" w:eastAsiaTheme="minorEastAsia" w:hAnsiTheme="minorHAnsi" w:cstheme="minorBidi"/>
          <w:szCs w:val="22"/>
        </w:rPr>
      </w:pPr>
      <w:r>
        <w:t>33GE.</w:t>
      </w:r>
      <w:r>
        <w:tab/>
        <w:t>Prohibition on transfer of ownership of dangerous dogs (declared) to persons under 18</w:t>
      </w:r>
      <w:r>
        <w:tab/>
      </w:r>
      <w:r>
        <w:fldChar w:fldCharType="begin"/>
      </w:r>
      <w:r>
        <w:instrText xml:space="preserve"> PAGEREF _Toc183507340 \h </w:instrText>
      </w:r>
      <w:r>
        <w:fldChar w:fldCharType="separate"/>
      </w:r>
      <w:r>
        <w:t>73</w:t>
      </w:r>
      <w:r>
        <w:fldChar w:fldCharType="end"/>
      </w:r>
    </w:p>
    <w:p>
      <w:pPr>
        <w:pStyle w:val="TOC8"/>
        <w:rPr>
          <w:rFonts w:asciiTheme="minorHAnsi" w:eastAsiaTheme="minorEastAsia" w:hAnsiTheme="minorHAnsi" w:cstheme="minorBidi"/>
          <w:szCs w:val="22"/>
        </w:rPr>
      </w:pPr>
      <w:r>
        <w:t>33G</w:t>
      </w:r>
      <w:r>
        <w:rPr>
          <w:snapToGrid w:val="0"/>
        </w:rPr>
        <w:t>.</w:t>
      </w:r>
      <w:r>
        <w:rPr>
          <w:snapToGrid w:val="0"/>
        </w:rPr>
        <w:tab/>
        <w:t>Seizure and destruction</w:t>
      </w:r>
      <w:r>
        <w:tab/>
      </w:r>
      <w:r>
        <w:fldChar w:fldCharType="begin"/>
      </w:r>
      <w:r>
        <w:instrText xml:space="preserve"> PAGEREF _Toc183507341 \h </w:instrText>
      </w:r>
      <w:r>
        <w:fldChar w:fldCharType="separate"/>
      </w:r>
      <w:r>
        <w:t>74</w:t>
      </w:r>
      <w:r>
        <w:fldChar w:fldCharType="end"/>
      </w:r>
    </w:p>
    <w:p>
      <w:pPr>
        <w:pStyle w:val="TOC8"/>
        <w:rPr>
          <w:rFonts w:asciiTheme="minorHAnsi" w:eastAsiaTheme="minorEastAsia" w:hAnsiTheme="minorHAnsi" w:cstheme="minorBidi"/>
          <w:szCs w:val="22"/>
        </w:rPr>
      </w:pPr>
      <w:r>
        <w:t>33H</w:t>
      </w:r>
      <w:r>
        <w:rPr>
          <w:snapToGrid w:val="0"/>
        </w:rPr>
        <w:t>.</w:t>
      </w:r>
      <w:r>
        <w:rPr>
          <w:snapToGrid w:val="0"/>
        </w:rPr>
        <w:tab/>
        <w:t>Local government may revoke declaration or proposal to destroy</w:t>
      </w:r>
      <w:r>
        <w:tab/>
      </w:r>
      <w:r>
        <w:fldChar w:fldCharType="begin"/>
      </w:r>
      <w:r>
        <w:instrText xml:space="preserve"> PAGEREF _Toc183507342 \h </w:instrText>
      </w:r>
      <w:r>
        <w:fldChar w:fldCharType="separate"/>
      </w:r>
      <w:r>
        <w:t>76</w:t>
      </w:r>
      <w:r>
        <w:fldChar w:fldCharType="end"/>
      </w:r>
    </w:p>
    <w:p>
      <w:pPr>
        <w:pStyle w:val="TOC8"/>
        <w:rPr>
          <w:rFonts w:asciiTheme="minorHAnsi" w:eastAsiaTheme="minorEastAsia" w:hAnsiTheme="minorHAnsi" w:cstheme="minorBidi"/>
          <w:szCs w:val="22"/>
        </w:rPr>
      </w:pPr>
      <w:r>
        <w:t>33I</w:t>
      </w:r>
      <w:r>
        <w:rPr>
          <w:snapToGrid w:val="0"/>
        </w:rPr>
        <w:t>.</w:t>
      </w:r>
      <w:r>
        <w:rPr>
          <w:snapToGrid w:val="0"/>
        </w:rPr>
        <w:tab/>
        <w:t>Jurisdiction of State Administrative Tribunal</w:t>
      </w:r>
      <w:r>
        <w:tab/>
      </w:r>
      <w:r>
        <w:fldChar w:fldCharType="begin"/>
      </w:r>
      <w:r>
        <w:instrText xml:space="preserve"> PAGEREF _Toc183507343 \h </w:instrText>
      </w:r>
      <w:r>
        <w:fldChar w:fldCharType="separate"/>
      </w:r>
      <w:r>
        <w:t>78</w:t>
      </w:r>
      <w:r>
        <w:fldChar w:fldCharType="end"/>
      </w:r>
    </w:p>
    <w:p>
      <w:pPr>
        <w:pStyle w:val="TOC8"/>
        <w:rPr>
          <w:rFonts w:asciiTheme="minorHAnsi" w:eastAsiaTheme="minorEastAsia" w:hAnsiTheme="minorHAnsi" w:cstheme="minorBidi"/>
          <w:szCs w:val="22"/>
        </w:rPr>
      </w:pPr>
      <w:r>
        <w:t>33J</w:t>
      </w:r>
      <w:r>
        <w:rPr>
          <w:snapToGrid w:val="0"/>
        </w:rPr>
        <w:t>.</w:t>
      </w:r>
      <w:r>
        <w:rPr>
          <w:snapToGrid w:val="0"/>
        </w:rPr>
        <w:tab/>
        <w:t>Duration of declaration</w:t>
      </w:r>
      <w:r>
        <w:tab/>
      </w:r>
      <w:r>
        <w:fldChar w:fldCharType="begin"/>
      </w:r>
      <w:r>
        <w:instrText xml:space="preserve"> PAGEREF _Toc183507344 \h </w:instrText>
      </w:r>
      <w:r>
        <w:fldChar w:fldCharType="separate"/>
      </w:r>
      <w:r>
        <w:t>79</w:t>
      </w:r>
      <w:r>
        <w:fldChar w:fldCharType="end"/>
      </w:r>
    </w:p>
    <w:p>
      <w:pPr>
        <w:pStyle w:val="TOC8"/>
        <w:rPr>
          <w:rFonts w:asciiTheme="minorHAnsi" w:eastAsiaTheme="minorEastAsia" w:hAnsiTheme="minorHAnsi" w:cstheme="minorBidi"/>
          <w:szCs w:val="22"/>
        </w:rPr>
      </w:pPr>
      <w:r>
        <w:t>33K</w:t>
      </w:r>
      <w:r>
        <w:rPr>
          <w:snapToGrid w:val="0"/>
        </w:rPr>
        <w:t>.</w:t>
      </w:r>
      <w:r>
        <w:rPr>
          <w:snapToGrid w:val="0"/>
        </w:rPr>
        <w:tab/>
        <w:t>Duty to notify persons</w:t>
      </w:r>
      <w:r>
        <w:tab/>
      </w:r>
      <w:r>
        <w:fldChar w:fldCharType="begin"/>
      </w:r>
      <w:r>
        <w:instrText xml:space="preserve"> PAGEREF _Toc183507345 \h </w:instrText>
      </w:r>
      <w:r>
        <w:fldChar w:fldCharType="separate"/>
      </w:r>
      <w:r>
        <w:t>79</w:t>
      </w:r>
      <w:r>
        <w:fldChar w:fldCharType="end"/>
      </w:r>
    </w:p>
    <w:p>
      <w:pPr>
        <w:pStyle w:val="TOC8"/>
        <w:rPr>
          <w:rFonts w:asciiTheme="minorHAnsi" w:eastAsiaTheme="minorEastAsia" w:hAnsiTheme="minorHAnsi" w:cstheme="minorBidi"/>
          <w:szCs w:val="22"/>
        </w:rPr>
      </w:pPr>
      <w:r>
        <w:t>33L.</w:t>
      </w:r>
      <w:r>
        <w:tab/>
        <w:t>Defences applicable to this Division</w:t>
      </w:r>
      <w:r>
        <w:tab/>
      </w:r>
      <w:r>
        <w:fldChar w:fldCharType="begin"/>
      </w:r>
      <w:r>
        <w:instrText xml:space="preserve"> PAGEREF _Toc183507346 \h </w:instrText>
      </w:r>
      <w:r>
        <w:fldChar w:fldCharType="separate"/>
      </w:r>
      <w:r>
        <w:t>81</w:t>
      </w:r>
      <w:r>
        <w:fldChar w:fldCharType="end"/>
      </w:r>
    </w:p>
    <w:p>
      <w:pPr>
        <w:pStyle w:val="TOC8"/>
        <w:rPr>
          <w:rFonts w:asciiTheme="minorHAnsi" w:eastAsiaTheme="minorEastAsia" w:hAnsiTheme="minorHAnsi" w:cstheme="minorBidi"/>
          <w:szCs w:val="22"/>
        </w:rPr>
      </w:pPr>
      <w:r>
        <w:t>33M</w:t>
      </w:r>
      <w:r>
        <w:rPr>
          <w:snapToGrid w:val="0"/>
        </w:rPr>
        <w:t>.</w:t>
      </w:r>
      <w:r>
        <w:rPr>
          <w:snapToGrid w:val="0"/>
        </w:rPr>
        <w:tab/>
        <w:t>Local government expenses to be recoverable</w:t>
      </w:r>
      <w:r>
        <w:tab/>
      </w:r>
      <w:r>
        <w:fldChar w:fldCharType="begin"/>
      </w:r>
      <w:r>
        <w:instrText xml:space="preserve"> PAGEREF _Toc183507347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Protection of stock; vermin disease and parasite control</w:t>
      </w:r>
    </w:p>
    <w:p>
      <w:pPr>
        <w:pStyle w:val="TOC8"/>
        <w:rPr>
          <w:rFonts w:asciiTheme="minorHAnsi" w:eastAsiaTheme="minorEastAsia" w:hAnsiTheme="minorHAnsi" w:cstheme="minorBidi"/>
          <w:szCs w:val="22"/>
        </w:rPr>
      </w:pPr>
      <w:r>
        <w:t>34</w:t>
      </w:r>
      <w:r>
        <w:rPr>
          <w:snapToGrid w:val="0"/>
        </w:rPr>
        <w:t>.</w:t>
      </w:r>
      <w:r>
        <w:rPr>
          <w:snapToGrid w:val="0"/>
        </w:rPr>
        <w:tab/>
        <w:t>Protection of livestock</w:t>
      </w:r>
      <w:r>
        <w:tab/>
      </w:r>
      <w:r>
        <w:fldChar w:fldCharType="begin"/>
      </w:r>
      <w:r>
        <w:instrText xml:space="preserve"> PAGEREF _Toc183507349 \h </w:instrText>
      </w:r>
      <w:r>
        <w:fldChar w:fldCharType="separate"/>
      </w:r>
      <w:r>
        <w:t>83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Destruction of vermin etc.</w:t>
      </w:r>
      <w:r>
        <w:tab/>
      </w:r>
      <w:r>
        <w:fldChar w:fldCharType="begin"/>
      </w:r>
      <w:r>
        <w:instrText xml:space="preserve"> PAGEREF _Toc183507350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nuisance</w:t>
      </w:r>
    </w:p>
    <w:p>
      <w:pPr>
        <w:pStyle w:val="TOC8"/>
        <w:rPr>
          <w:rFonts w:asciiTheme="minorHAnsi" w:eastAsiaTheme="minorEastAsia" w:hAnsiTheme="minorHAnsi" w:cstheme="minorBidi"/>
          <w:szCs w:val="22"/>
        </w:rPr>
      </w:pPr>
      <w:r>
        <w:t>38.</w:t>
      </w:r>
      <w:r>
        <w:tab/>
        <w:t>Nuisance dogs</w:t>
      </w:r>
      <w:r>
        <w:tab/>
      </w:r>
      <w:r>
        <w:fldChar w:fldCharType="begin"/>
      </w:r>
      <w:r>
        <w:instrText xml:space="preserve"> PAGEREF _Toc183507352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VIA — Pet shops and supply of dogs to relevant pet shop businesses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38A.</w:t>
      </w:r>
      <w:r>
        <w:tab/>
        <w:t>Supply of dogs to relevant pet shop businesses</w:t>
      </w:r>
      <w:r>
        <w:tab/>
      </w:r>
      <w:r>
        <w:fldChar w:fldCharType="begin"/>
      </w:r>
      <w:r>
        <w:instrText xml:space="preserve"> PAGEREF _Toc183507355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Approval of pet shop for relevant pet shop business</w:t>
      </w:r>
    </w:p>
    <w:p>
      <w:pPr>
        <w:pStyle w:val="TOC8"/>
        <w:rPr>
          <w:rFonts w:asciiTheme="minorHAnsi" w:eastAsiaTheme="minorEastAsia" w:hAnsiTheme="minorHAnsi" w:cstheme="minorBidi"/>
          <w:szCs w:val="22"/>
        </w:rPr>
      </w:pPr>
      <w:r>
        <w:t>38B.</w:t>
      </w:r>
      <w:r>
        <w:tab/>
        <w:t>Pet shop for relevant pet shop business must be approved</w:t>
      </w:r>
      <w:r>
        <w:tab/>
      </w:r>
      <w:r>
        <w:fldChar w:fldCharType="begin"/>
      </w:r>
      <w:r>
        <w:instrText xml:space="preserve"> PAGEREF _Toc183507357 \h </w:instrText>
      </w:r>
      <w:r>
        <w:fldChar w:fldCharType="separate"/>
      </w:r>
      <w:r>
        <w:t>87</w:t>
      </w:r>
      <w:r>
        <w:fldChar w:fldCharType="end"/>
      </w:r>
    </w:p>
    <w:p>
      <w:pPr>
        <w:pStyle w:val="TOC8"/>
        <w:rPr>
          <w:rFonts w:asciiTheme="minorHAnsi" w:eastAsiaTheme="minorEastAsia" w:hAnsiTheme="minorHAnsi" w:cstheme="minorBidi"/>
          <w:szCs w:val="22"/>
        </w:rPr>
      </w:pPr>
      <w:r>
        <w:t>38C.</w:t>
      </w:r>
      <w:r>
        <w:tab/>
        <w:t>Application for pet shop approval</w:t>
      </w:r>
      <w:r>
        <w:tab/>
      </w:r>
      <w:r>
        <w:fldChar w:fldCharType="begin"/>
      </w:r>
      <w:r>
        <w:instrText xml:space="preserve"> PAGEREF _Toc183507358 \h </w:instrText>
      </w:r>
      <w:r>
        <w:fldChar w:fldCharType="separate"/>
      </w:r>
      <w:r>
        <w:t>88</w:t>
      </w:r>
      <w:r>
        <w:fldChar w:fldCharType="end"/>
      </w:r>
    </w:p>
    <w:p>
      <w:pPr>
        <w:pStyle w:val="TOC8"/>
        <w:rPr>
          <w:rFonts w:asciiTheme="minorHAnsi" w:eastAsiaTheme="minorEastAsia" w:hAnsiTheme="minorHAnsi" w:cstheme="minorBidi"/>
          <w:szCs w:val="22"/>
        </w:rPr>
      </w:pPr>
      <w:r>
        <w:t>38D.</w:t>
      </w:r>
      <w:r>
        <w:tab/>
        <w:t>Pet shop approval</w:t>
      </w:r>
      <w:r>
        <w:tab/>
      </w:r>
      <w:r>
        <w:fldChar w:fldCharType="begin"/>
      </w:r>
      <w:r>
        <w:instrText xml:space="preserve"> PAGEREF _Toc183507359 \h </w:instrText>
      </w:r>
      <w:r>
        <w:fldChar w:fldCharType="separate"/>
      </w:r>
      <w:r>
        <w:t>88</w:t>
      </w:r>
      <w:r>
        <w:fldChar w:fldCharType="end"/>
      </w:r>
    </w:p>
    <w:p>
      <w:pPr>
        <w:pStyle w:val="TOC8"/>
        <w:rPr>
          <w:rFonts w:asciiTheme="minorHAnsi" w:eastAsiaTheme="minorEastAsia" w:hAnsiTheme="minorHAnsi" w:cstheme="minorBidi"/>
          <w:szCs w:val="22"/>
        </w:rPr>
      </w:pPr>
      <w:r>
        <w:t>38E.</w:t>
      </w:r>
      <w:r>
        <w:tab/>
        <w:t>Cancellation of pet shop approval</w:t>
      </w:r>
      <w:r>
        <w:tab/>
      </w:r>
      <w:r>
        <w:fldChar w:fldCharType="begin"/>
      </w:r>
      <w:r>
        <w:instrText xml:space="preserve"> PAGEREF _Toc183507360 \h </w:instrText>
      </w:r>
      <w:r>
        <w:fldChar w:fldCharType="separate"/>
      </w:r>
      <w:r>
        <w:t>89</w:t>
      </w:r>
      <w:r>
        <w:fldChar w:fldCharType="end"/>
      </w:r>
    </w:p>
    <w:p>
      <w:pPr>
        <w:pStyle w:val="TOC8"/>
        <w:rPr>
          <w:rFonts w:asciiTheme="minorHAnsi" w:eastAsiaTheme="minorEastAsia" w:hAnsiTheme="minorHAnsi" w:cstheme="minorBidi"/>
          <w:szCs w:val="22"/>
        </w:rPr>
      </w:pPr>
      <w:r>
        <w:t>38F.</w:t>
      </w:r>
      <w:r>
        <w:tab/>
        <w:t>Continuation of pet shop approval until application for renewal decided</w:t>
      </w:r>
      <w:r>
        <w:tab/>
      </w:r>
      <w:r>
        <w:fldChar w:fldCharType="begin"/>
      </w:r>
      <w:r>
        <w:instrText xml:space="preserve"> PAGEREF _Toc183507361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Obligations of person conducting relevant pet shop business</w:t>
      </w:r>
    </w:p>
    <w:p>
      <w:pPr>
        <w:pStyle w:val="TOC8"/>
        <w:rPr>
          <w:rFonts w:asciiTheme="minorHAnsi" w:eastAsiaTheme="minorEastAsia" w:hAnsiTheme="minorHAnsi" w:cstheme="minorBidi"/>
          <w:szCs w:val="22"/>
        </w:rPr>
      </w:pPr>
      <w:r>
        <w:t>38G.</w:t>
      </w:r>
      <w:r>
        <w:tab/>
        <w:t>Relevant pet shop business only to supply dogs obtained from holder of dog supply approval</w:t>
      </w:r>
      <w:r>
        <w:tab/>
      </w:r>
      <w:r>
        <w:fldChar w:fldCharType="begin"/>
      </w:r>
      <w:r>
        <w:instrText xml:space="preserve"> PAGEREF _Toc183507363 \h </w:instrText>
      </w:r>
      <w:r>
        <w:fldChar w:fldCharType="separate"/>
      </w:r>
      <w:r>
        <w:t>90</w:t>
      </w:r>
      <w:r>
        <w:fldChar w:fldCharType="end"/>
      </w:r>
    </w:p>
    <w:p>
      <w:pPr>
        <w:pStyle w:val="TOC8"/>
        <w:rPr>
          <w:rFonts w:asciiTheme="minorHAnsi" w:eastAsiaTheme="minorEastAsia" w:hAnsiTheme="minorHAnsi" w:cstheme="minorBidi"/>
          <w:szCs w:val="22"/>
        </w:rPr>
      </w:pPr>
      <w:r>
        <w:t>38H.</w:t>
      </w:r>
      <w:r>
        <w:tab/>
        <w:t>Pet shop to display certificate of registration</w:t>
      </w:r>
      <w:r>
        <w:tab/>
      </w:r>
      <w:r>
        <w:fldChar w:fldCharType="begin"/>
      </w:r>
      <w:r>
        <w:instrText xml:space="preserve"> PAGEREF _Toc183507364 \h </w:instrText>
      </w:r>
      <w:r>
        <w:fldChar w:fldCharType="separate"/>
      </w:r>
      <w:r>
        <w:t>91</w:t>
      </w:r>
      <w:r>
        <w:fldChar w:fldCharType="end"/>
      </w:r>
    </w:p>
    <w:p>
      <w:pPr>
        <w:pStyle w:val="TOC8"/>
        <w:rPr>
          <w:rFonts w:asciiTheme="minorHAnsi" w:eastAsiaTheme="minorEastAsia" w:hAnsiTheme="minorHAnsi" w:cstheme="minorBidi"/>
          <w:szCs w:val="22"/>
        </w:rPr>
      </w:pPr>
      <w:r>
        <w:t>38I.</w:t>
      </w:r>
      <w:r>
        <w:tab/>
        <w:t>Person conducting relevant pet shop business to provide certain information</w:t>
      </w:r>
      <w:r>
        <w:tab/>
      </w:r>
      <w:r>
        <w:fldChar w:fldCharType="begin"/>
      </w:r>
      <w:r>
        <w:instrText xml:space="preserve"> PAGEREF _Toc183507365 \h </w:instrText>
      </w:r>
      <w:r>
        <w:fldChar w:fldCharType="separate"/>
      </w:r>
      <w:r>
        <w:t>91</w:t>
      </w:r>
      <w:r>
        <w:fldChar w:fldCharType="end"/>
      </w:r>
    </w:p>
    <w:p>
      <w:pPr>
        <w:pStyle w:val="TOC8"/>
        <w:rPr>
          <w:rFonts w:asciiTheme="minorHAnsi" w:eastAsiaTheme="minorEastAsia" w:hAnsiTheme="minorHAnsi" w:cstheme="minorBidi"/>
          <w:szCs w:val="22"/>
        </w:rPr>
      </w:pPr>
      <w:r>
        <w:t>38J.</w:t>
      </w:r>
      <w:r>
        <w:tab/>
        <w:t>Person conducting relevant pet shop business to provide copy of health certificate</w:t>
      </w:r>
      <w:r>
        <w:tab/>
      </w:r>
      <w:r>
        <w:fldChar w:fldCharType="begin"/>
      </w:r>
      <w:r>
        <w:instrText xml:space="preserve"> PAGEREF _Toc183507366 \h </w:instrText>
      </w:r>
      <w:r>
        <w:fldChar w:fldCharType="separate"/>
      </w:r>
      <w:r>
        <w:t>92</w:t>
      </w:r>
      <w:r>
        <w:fldChar w:fldCharType="end"/>
      </w:r>
    </w:p>
    <w:p>
      <w:pPr>
        <w:pStyle w:val="TOC8"/>
        <w:rPr>
          <w:rFonts w:asciiTheme="minorHAnsi" w:eastAsiaTheme="minorEastAsia" w:hAnsiTheme="minorHAnsi" w:cstheme="minorBidi"/>
          <w:szCs w:val="22"/>
        </w:rPr>
      </w:pPr>
      <w:r>
        <w:t>38K.</w:t>
      </w:r>
      <w:r>
        <w:tab/>
        <w:t>Person conducting relevant pet shop business to keep records relating to source of dogs</w:t>
      </w:r>
      <w:r>
        <w:tab/>
      </w:r>
      <w:r>
        <w:fldChar w:fldCharType="begin"/>
      </w:r>
      <w:r>
        <w:instrText xml:space="preserve"> PAGEREF _Toc183507367 \h </w:instrText>
      </w:r>
      <w:r>
        <w:fldChar w:fldCharType="separate"/>
      </w:r>
      <w:r>
        <w:t>92</w:t>
      </w:r>
      <w:r>
        <w:fldChar w:fldCharType="end"/>
      </w:r>
    </w:p>
    <w:p>
      <w:pPr>
        <w:pStyle w:val="TOC8"/>
        <w:rPr>
          <w:rFonts w:asciiTheme="minorHAnsi" w:eastAsiaTheme="minorEastAsia" w:hAnsiTheme="minorHAnsi" w:cstheme="minorBidi"/>
          <w:szCs w:val="22"/>
        </w:rPr>
      </w:pPr>
      <w:r>
        <w:t>38L.</w:t>
      </w:r>
      <w:r>
        <w:tab/>
        <w:t>Person conducting relevant pet shop business to provide information to local government</w:t>
      </w:r>
      <w:r>
        <w:tab/>
      </w:r>
      <w:r>
        <w:fldChar w:fldCharType="begin"/>
      </w:r>
      <w:r>
        <w:instrText xml:space="preserve"> PAGEREF _Toc183507368 \h </w:instrText>
      </w:r>
      <w:r>
        <w:fldChar w:fldCharType="separate"/>
      </w:r>
      <w:r>
        <w:t>93</w:t>
      </w:r>
      <w:r>
        <w:fldChar w:fldCharType="end"/>
      </w:r>
    </w:p>
    <w:p>
      <w:pPr>
        <w:pStyle w:val="TOC8"/>
        <w:rPr>
          <w:rFonts w:asciiTheme="minorHAnsi" w:eastAsiaTheme="minorEastAsia" w:hAnsiTheme="minorHAnsi" w:cstheme="minorBidi"/>
          <w:szCs w:val="22"/>
        </w:rPr>
      </w:pPr>
      <w:r>
        <w:t>38M.</w:t>
      </w:r>
      <w:r>
        <w:tab/>
        <w:t>Self</w:t>
      </w:r>
      <w:r>
        <w:noBreakHyphen/>
        <w:t>incrimination</w:t>
      </w:r>
      <w:r>
        <w:tab/>
      </w:r>
      <w:r>
        <w:fldChar w:fldCharType="begin"/>
      </w:r>
      <w:r>
        <w:instrText xml:space="preserve"> PAGEREF _Toc183507369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 — Dog supply approval</w:t>
      </w:r>
    </w:p>
    <w:p>
      <w:pPr>
        <w:pStyle w:val="TOC8"/>
        <w:rPr>
          <w:rFonts w:asciiTheme="minorHAnsi" w:eastAsiaTheme="minorEastAsia" w:hAnsiTheme="minorHAnsi" w:cstheme="minorBidi"/>
          <w:szCs w:val="22"/>
        </w:rPr>
      </w:pPr>
      <w:r>
        <w:t>38N.</w:t>
      </w:r>
      <w:r>
        <w:tab/>
        <w:t>Only holder of dog supply approval may supply dogs to relevant pet shop businesses</w:t>
      </w:r>
      <w:r>
        <w:tab/>
      </w:r>
      <w:r>
        <w:fldChar w:fldCharType="begin"/>
      </w:r>
      <w:r>
        <w:instrText xml:space="preserve"> PAGEREF _Toc183507371 \h </w:instrText>
      </w:r>
      <w:r>
        <w:fldChar w:fldCharType="separate"/>
      </w:r>
      <w:r>
        <w:t>94</w:t>
      </w:r>
      <w:r>
        <w:fldChar w:fldCharType="end"/>
      </w:r>
    </w:p>
    <w:p>
      <w:pPr>
        <w:pStyle w:val="TOC8"/>
        <w:rPr>
          <w:rFonts w:asciiTheme="minorHAnsi" w:eastAsiaTheme="minorEastAsia" w:hAnsiTheme="minorHAnsi" w:cstheme="minorBidi"/>
          <w:szCs w:val="22"/>
        </w:rPr>
      </w:pPr>
      <w:r>
        <w:t>38O.</w:t>
      </w:r>
      <w:r>
        <w:tab/>
        <w:t>Person conducting refuge operations or operating dog management facility may apply for dog supply approval</w:t>
      </w:r>
      <w:r>
        <w:tab/>
      </w:r>
      <w:r>
        <w:fldChar w:fldCharType="begin"/>
      </w:r>
      <w:r>
        <w:instrText xml:space="preserve"> PAGEREF _Toc183507372 \h </w:instrText>
      </w:r>
      <w:r>
        <w:fldChar w:fldCharType="separate"/>
      </w:r>
      <w:r>
        <w:t>95</w:t>
      </w:r>
      <w:r>
        <w:fldChar w:fldCharType="end"/>
      </w:r>
    </w:p>
    <w:p>
      <w:pPr>
        <w:pStyle w:val="TOC8"/>
        <w:rPr>
          <w:rFonts w:asciiTheme="minorHAnsi" w:eastAsiaTheme="minorEastAsia" w:hAnsiTheme="minorHAnsi" w:cstheme="minorBidi"/>
          <w:szCs w:val="22"/>
        </w:rPr>
      </w:pPr>
      <w:r>
        <w:t>38P.</w:t>
      </w:r>
      <w:r>
        <w:tab/>
        <w:t>Dog supply approval</w:t>
      </w:r>
      <w:r>
        <w:tab/>
      </w:r>
      <w:r>
        <w:fldChar w:fldCharType="begin"/>
      </w:r>
      <w:r>
        <w:instrText xml:space="preserve"> PAGEREF _Toc183507373 \h </w:instrText>
      </w:r>
      <w:r>
        <w:fldChar w:fldCharType="separate"/>
      </w:r>
      <w:r>
        <w:t>96</w:t>
      </w:r>
      <w:r>
        <w:fldChar w:fldCharType="end"/>
      </w:r>
    </w:p>
    <w:p>
      <w:pPr>
        <w:pStyle w:val="TOC8"/>
        <w:rPr>
          <w:rFonts w:asciiTheme="minorHAnsi" w:eastAsiaTheme="minorEastAsia" w:hAnsiTheme="minorHAnsi" w:cstheme="minorBidi"/>
          <w:szCs w:val="22"/>
        </w:rPr>
      </w:pPr>
      <w:r>
        <w:t>38Q.</w:t>
      </w:r>
      <w:r>
        <w:tab/>
        <w:t>Cancellation of dog supply approval</w:t>
      </w:r>
      <w:r>
        <w:tab/>
      </w:r>
      <w:r>
        <w:fldChar w:fldCharType="begin"/>
      </w:r>
      <w:r>
        <w:instrText xml:space="preserve"> PAGEREF _Toc183507374 \h </w:instrText>
      </w:r>
      <w:r>
        <w:fldChar w:fldCharType="separate"/>
      </w:r>
      <w:r>
        <w:t>97</w:t>
      </w:r>
      <w:r>
        <w:fldChar w:fldCharType="end"/>
      </w:r>
    </w:p>
    <w:p>
      <w:pPr>
        <w:pStyle w:val="TOC8"/>
        <w:rPr>
          <w:rFonts w:asciiTheme="minorHAnsi" w:eastAsiaTheme="minorEastAsia" w:hAnsiTheme="minorHAnsi" w:cstheme="minorBidi"/>
          <w:szCs w:val="22"/>
        </w:rPr>
      </w:pPr>
      <w:r>
        <w:t>38R.</w:t>
      </w:r>
      <w:r>
        <w:tab/>
        <w:t>Notice of certain decisions made under this Division</w:t>
      </w:r>
      <w:r>
        <w:tab/>
      </w:r>
      <w:r>
        <w:fldChar w:fldCharType="begin"/>
      </w:r>
      <w:r>
        <w:instrText xml:space="preserve"> PAGEREF _Toc183507375 \h </w:instrText>
      </w:r>
      <w:r>
        <w:fldChar w:fldCharType="separate"/>
      </w:r>
      <w:r>
        <w:t>98</w:t>
      </w:r>
      <w:r>
        <w:fldChar w:fldCharType="end"/>
      </w:r>
    </w:p>
    <w:p>
      <w:pPr>
        <w:pStyle w:val="TOC8"/>
        <w:rPr>
          <w:rFonts w:asciiTheme="minorHAnsi" w:eastAsiaTheme="minorEastAsia" w:hAnsiTheme="minorHAnsi" w:cstheme="minorBidi"/>
          <w:szCs w:val="22"/>
        </w:rPr>
      </w:pPr>
      <w:r>
        <w:lastRenderedPageBreak/>
        <w:t>38S.</w:t>
      </w:r>
      <w:r>
        <w:tab/>
        <w:t>Record of dog supply approval</w:t>
      </w:r>
      <w:r>
        <w:tab/>
      </w:r>
      <w:r>
        <w:fldChar w:fldCharType="begin"/>
      </w:r>
      <w:r>
        <w:instrText xml:space="preserve"> PAGEREF _Toc183507376 \h </w:instrText>
      </w:r>
      <w:r>
        <w:fldChar w:fldCharType="separate"/>
      </w:r>
      <w:r>
        <w:t>98</w:t>
      </w:r>
      <w:r>
        <w:fldChar w:fldCharType="end"/>
      </w:r>
    </w:p>
    <w:p>
      <w:pPr>
        <w:pStyle w:val="TOC8"/>
        <w:rPr>
          <w:rFonts w:asciiTheme="minorHAnsi" w:eastAsiaTheme="minorEastAsia" w:hAnsiTheme="minorHAnsi" w:cstheme="minorBidi"/>
          <w:szCs w:val="22"/>
        </w:rPr>
      </w:pPr>
      <w:r>
        <w:t>38T.</w:t>
      </w:r>
      <w:r>
        <w:tab/>
        <w:t>Notice of change to information</w:t>
      </w:r>
      <w:r>
        <w:tab/>
      </w:r>
      <w:r>
        <w:fldChar w:fldCharType="begin"/>
      </w:r>
      <w:r>
        <w:instrText xml:space="preserve"> PAGEREF _Toc183507377 \h </w:instrText>
      </w:r>
      <w:r>
        <w:fldChar w:fldCharType="separate"/>
      </w:r>
      <w:r>
        <w:t>99</w:t>
      </w:r>
      <w:r>
        <w:fldChar w:fldCharType="end"/>
      </w:r>
    </w:p>
    <w:p>
      <w:pPr>
        <w:pStyle w:val="TOC8"/>
        <w:rPr>
          <w:rFonts w:asciiTheme="minorHAnsi" w:eastAsiaTheme="minorEastAsia" w:hAnsiTheme="minorHAnsi" w:cstheme="minorBidi"/>
          <w:szCs w:val="22"/>
        </w:rPr>
      </w:pPr>
      <w:r>
        <w:t>38U.</w:t>
      </w:r>
      <w:r>
        <w:tab/>
        <w:t>Certificate and unique number to be given to holder of dog supply approval</w:t>
      </w:r>
      <w:r>
        <w:tab/>
      </w:r>
      <w:r>
        <w:fldChar w:fldCharType="begin"/>
      </w:r>
      <w:r>
        <w:instrText xml:space="preserve"> PAGEREF _Toc183507378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5 — Obligations of holder of dog supply approval</w:t>
      </w:r>
    </w:p>
    <w:p>
      <w:pPr>
        <w:pStyle w:val="TOC8"/>
        <w:rPr>
          <w:rFonts w:asciiTheme="minorHAnsi" w:eastAsiaTheme="minorEastAsia" w:hAnsiTheme="minorHAnsi" w:cstheme="minorBidi"/>
          <w:szCs w:val="22"/>
        </w:rPr>
      </w:pPr>
      <w:r>
        <w:t>38V.</w:t>
      </w:r>
      <w:r>
        <w:tab/>
        <w:t>Holder of dog supply approval to keep records</w:t>
      </w:r>
      <w:r>
        <w:tab/>
      </w:r>
      <w:r>
        <w:fldChar w:fldCharType="begin"/>
      </w:r>
      <w:r>
        <w:instrText xml:space="preserve"> PAGEREF _Toc183507380 \h </w:instrText>
      </w:r>
      <w:r>
        <w:fldChar w:fldCharType="separate"/>
      </w:r>
      <w:r>
        <w:t>100</w:t>
      </w:r>
      <w:r>
        <w:fldChar w:fldCharType="end"/>
      </w:r>
    </w:p>
    <w:p>
      <w:pPr>
        <w:pStyle w:val="TOC8"/>
        <w:rPr>
          <w:rFonts w:asciiTheme="minorHAnsi" w:eastAsiaTheme="minorEastAsia" w:hAnsiTheme="minorHAnsi" w:cstheme="minorBidi"/>
          <w:szCs w:val="22"/>
        </w:rPr>
      </w:pPr>
      <w:r>
        <w:t>38W.</w:t>
      </w:r>
      <w:r>
        <w:tab/>
        <w:t>Holder of dog supply approval to provide information to CEO</w:t>
      </w:r>
      <w:r>
        <w:tab/>
      </w:r>
      <w:r>
        <w:fldChar w:fldCharType="begin"/>
      </w:r>
      <w:r>
        <w:instrText xml:space="preserve"> PAGEREF _Toc183507381 \h </w:instrText>
      </w:r>
      <w:r>
        <w:fldChar w:fldCharType="separate"/>
      </w:r>
      <w:r>
        <w:t>100</w:t>
      </w:r>
      <w:r>
        <w:fldChar w:fldCharType="end"/>
      </w:r>
    </w:p>
    <w:p>
      <w:pPr>
        <w:pStyle w:val="TOC8"/>
        <w:rPr>
          <w:rFonts w:asciiTheme="minorHAnsi" w:eastAsiaTheme="minorEastAsia" w:hAnsiTheme="minorHAnsi" w:cstheme="minorBidi"/>
          <w:szCs w:val="22"/>
        </w:rPr>
      </w:pPr>
      <w:r>
        <w:t>38X.</w:t>
      </w:r>
      <w:r>
        <w:tab/>
        <w:t>Holder of dog supply approval to provide information to local government</w:t>
      </w:r>
      <w:r>
        <w:tab/>
      </w:r>
      <w:r>
        <w:fldChar w:fldCharType="begin"/>
      </w:r>
      <w:r>
        <w:instrText xml:space="preserve"> PAGEREF _Toc183507382 \h </w:instrText>
      </w:r>
      <w:r>
        <w:fldChar w:fldCharType="separate"/>
      </w:r>
      <w:r>
        <w:t>101</w:t>
      </w:r>
      <w:r>
        <w:fldChar w:fldCharType="end"/>
      </w:r>
    </w:p>
    <w:p>
      <w:pPr>
        <w:pStyle w:val="TOC8"/>
        <w:rPr>
          <w:rFonts w:asciiTheme="minorHAnsi" w:eastAsiaTheme="minorEastAsia" w:hAnsiTheme="minorHAnsi" w:cstheme="minorBidi"/>
          <w:szCs w:val="22"/>
        </w:rPr>
      </w:pPr>
      <w:r>
        <w:t>38Y.</w:t>
      </w:r>
      <w:r>
        <w:tab/>
        <w:t>Self</w:t>
      </w:r>
      <w:r>
        <w:noBreakHyphen/>
        <w:t>incrimination</w:t>
      </w:r>
      <w:r>
        <w:tab/>
      </w:r>
      <w:r>
        <w:fldChar w:fldCharType="begin"/>
      </w:r>
      <w:r>
        <w:instrText xml:space="preserve"> PAGEREF _Toc183507383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VII — Enforcement</w:t>
      </w:r>
    </w:p>
    <w:p>
      <w:pPr>
        <w:pStyle w:val="TOC8"/>
        <w:rPr>
          <w:rFonts w:asciiTheme="minorHAnsi" w:eastAsiaTheme="minorEastAsia" w:hAnsiTheme="minorHAnsi" w:cstheme="minorBidi"/>
          <w:szCs w:val="22"/>
        </w:rPr>
      </w:pPr>
      <w:r>
        <w:t>39</w:t>
      </w:r>
      <w:r>
        <w:rPr>
          <w:snapToGrid w:val="0"/>
        </w:rPr>
        <w:t>.</w:t>
      </w:r>
      <w:r>
        <w:rPr>
          <w:snapToGrid w:val="0"/>
        </w:rPr>
        <w:tab/>
        <w:t>Dogs causing injury or damage may be destroyed</w:t>
      </w:r>
      <w:r>
        <w:tab/>
      </w:r>
      <w:r>
        <w:fldChar w:fldCharType="begin"/>
      </w:r>
      <w:r>
        <w:instrText xml:space="preserve"> PAGEREF _Toc183507385 \h </w:instrText>
      </w:r>
      <w:r>
        <w:fldChar w:fldCharType="separate"/>
      </w:r>
      <w:r>
        <w:t>103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Destruction of dogs etc.</w:t>
      </w:r>
      <w:r>
        <w:tab/>
      </w:r>
      <w:r>
        <w:fldChar w:fldCharType="begin"/>
      </w:r>
      <w:r>
        <w:instrText xml:space="preserve"> PAGEREF _Toc183507386 \h </w:instrText>
      </w:r>
      <w:r>
        <w:fldChar w:fldCharType="separate"/>
      </w:r>
      <w:r>
        <w:t>104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Indemnity as to destruction of dogs</w:t>
      </w:r>
      <w:r>
        <w:tab/>
      </w:r>
      <w:r>
        <w:fldChar w:fldCharType="begin"/>
      </w:r>
      <w:r>
        <w:instrText xml:space="preserve"> PAGEREF _Toc183507387 \h </w:instrText>
      </w:r>
      <w:r>
        <w:fldChar w:fldCharType="separate"/>
      </w:r>
      <w:r>
        <w:t>105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Offences relating to enforcement etc.</w:t>
      </w:r>
      <w:r>
        <w:tab/>
      </w:r>
      <w:r>
        <w:fldChar w:fldCharType="begin"/>
      </w:r>
      <w:r>
        <w:instrText xml:space="preserve"> PAGEREF _Toc183507388 \h </w:instrText>
      </w:r>
      <w:r>
        <w:fldChar w:fldCharType="separate"/>
      </w:r>
      <w:r>
        <w:t>106</w:t>
      </w:r>
      <w:r>
        <w:fldChar w:fldCharType="end"/>
      </w:r>
    </w:p>
    <w:p>
      <w:pPr>
        <w:pStyle w:val="TOC8"/>
        <w:rPr>
          <w:rFonts w:asciiTheme="minorHAnsi" w:eastAsiaTheme="minorEastAsia" w:hAnsiTheme="minorHAnsi" w:cstheme="minorBidi"/>
          <w:szCs w:val="22"/>
        </w:rPr>
      </w:pPr>
      <w:r>
        <w:t>43AA.</w:t>
      </w:r>
      <w:r>
        <w:tab/>
        <w:t>False or misleading information</w:t>
      </w:r>
      <w:r>
        <w:tab/>
      </w:r>
      <w:r>
        <w:fldChar w:fldCharType="begin"/>
      </w:r>
      <w:r>
        <w:instrText xml:space="preserve"> PAGEREF _Toc183507389 \h </w:instrText>
      </w:r>
      <w:r>
        <w:fldChar w:fldCharType="separate"/>
      </w:r>
      <w:r>
        <w:t>107</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Name and address to be supplied</w:t>
      </w:r>
      <w:r>
        <w:tab/>
      </w:r>
      <w:r>
        <w:fldChar w:fldCharType="begin"/>
      </w:r>
      <w:r>
        <w:instrText xml:space="preserve"> PAGEREF _Toc183507390 \h </w:instrText>
      </w:r>
      <w:r>
        <w:fldChar w:fldCharType="separate"/>
      </w:r>
      <w:r>
        <w:t>108</w:t>
      </w:r>
      <w:r>
        <w:fldChar w:fldCharType="end"/>
      </w:r>
    </w:p>
    <w:p>
      <w:pPr>
        <w:pStyle w:val="TOC8"/>
        <w:rPr>
          <w:rFonts w:asciiTheme="minorHAnsi" w:eastAsiaTheme="minorEastAsia" w:hAnsiTheme="minorHAnsi" w:cstheme="minorBidi"/>
          <w:szCs w:val="22"/>
        </w:rPr>
      </w:pPr>
      <w:r>
        <w:t>43B.</w:t>
      </w:r>
      <w:r>
        <w:tab/>
        <w:t>General powers of relevant persons</w:t>
      </w:r>
      <w:r>
        <w:tab/>
      </w:r>
      <w:r>
        <w:fldChar w:fldCharType="begin"/>
      </w:r>
      <w:r>
        <w:instrText xml:space="preserve"> PAGEREF _Toc183507391 \h </w:instrText>
      </w:r>
      <w:r>
        <w:fldChar w:fldCharType="separate"/>
      </w:r>
      <w:r>
        <w:t>109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Enforcement proceedings</w:t>
      </w:r>
      <w:r>
        <w:tab/>
      </w:r>
      <w:r>
        <w:fldChar w:fldCharType="begin"/>
      </w:r>
      <w:r>
        <w:instrText xml:space="preserve"> PAGEREF _Toc183507392 \h </w:instrText>
      </w:r>
      <w:r>
        <w:fldChar w:fldCharType="separate"/>
      </w:r>
      <w:r>
        <w:t>109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Evidentiary provisions</w:t>
      </w:r>
      <w:r>
        <w:tab/>
      </w:r>
      <w:r>
        <w:fldChar w:fldCharType="begin"/>
      </w:r>
      <w:r>
        <w:instrText xml:space="preserve"> PAGEREF _Toc183507393 \h </w:instrText>
      </w:r>
      <w:r>
        <w:fldChar w:fldCharType="separate"/>
      </w:r>
      <w:r>
        <w:t>110</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Modified penalties</w:t>
      </w:r>
      <w:r>
        <w:tab/>
      </w:r>
      <w:r>
        <w:fldChar w:fldCharType="begin"/>
      </w:r>
      <w:r>
        <w:instrText xml:space="preserve"> PAGEREF _Toc183507394 \h </w:instrText>
      </w:r>
      <w:r>
        <w:fldChar w:fldCharType="separate"/>
      </w:r>
      <w:r>
        <w:t>112</w:t>
      </w:r>
      <w:r>
        <w:fldChar w:fldCharType="end"/>
      </w:r>
    </w:p>
    <w:p>
      <w:pPr>
        <w:pStyle w:val="TOC8"/>
        <w:rPr>
          <w:rFonts w:asciiTheme="minorHAnsi" w:eastAsiaTheme="minorEastAsia" w:hAnsiTheme="minorHAnsi" w:cstheme="minorBidi"/>
          <w:szCs w:val="22"/>
        </w:rPr>
      </w:pPr>
      <w:r>
        <w:t>46A.</w:t>
      </w:r>
      <w:r>
        <w:tab/>
        <w:t>Order to attend dog training course, ban on owning or keeping dogs</w:t>
      </w:r>
      <w:r>
        <w:tab/>
      </w:r>
      <w:r>
        <w:fldChar w:fldCharType="begin"/>
      </w:r>
      <w:r>
        <w:instrText xml:space="preserve"> PAGEREF _Toc183507395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VIII — Civil remedies, etc.</w:t>
      </w:r>
    </w:p>
    <w:p>
      <w:pPr>
        <w:pStyle w:val="TOC8"/>
        <w:rPr>
          <w:rFonts w:asciiTheme="minorHAnsi" w:eastAsiaTheme="minorEastAsia" w:hAnsiTheme="minorHAnsi" w:cstheme="minorBidi"/>
          <w:szCs w:val="22"/>
        </w:rPr>
      </w:pPr>
      <w:r>
        <w:t>46</w:t>
      </w:r>
      <w:r>
        <w:rPr>
          <w:snapToGrid w:val="0"/>
        </w:rPr>
        <w:t>.</w:t>
      </w:r>
      <w:r>
        <w:rPr>
          <w:snapToGrid w:val="0"/>
        </w:rPr>
        <w:tab/>
        <w:t>Damages</w:t>
      </w:r>
      <w:r>
        <w:tab/>
      </w:r>
      <w:r>
        <w:fldChar w:fldCharType="begin"/>
      </w:r>
      <w:r>
        <w:instrText xml:space="preserve"> PAGEREF _Toc183507397 \h </w:instrText>
      </w:r>
      <w:r>
        <w:fldChar w:fldCharType="separate"/>
      </w:r>
      <w:r>
        <w:t>115</w:t>
      </w:r>
      <w:r>
        <w:fldChar w:fldCharType="end"/>
      </w:r>
    </w:p>
    <w:p>
      <w:pPr>
        <w:pStyle w:val="TOC8"/>
        <w:rPr>
          <w:rFonts w:asciiTheme="minorHAnsi" w:eastAsiaTheme="minorEastAsia" w:hAnsiTheme="minorHAnsi" w:cstheme="minorBidi"/>
          <w:szCs w:val="22"/>
        </w:rPr>
      </w:pPr>
      <w:r>
        <w:t>47.</w:t>
      </w:r>
      <w:r>
        <w:tab/>
        <w:t>Veterinary service expenses recoverable from local government</w:t>
      </w:r>
      <w:r>
        <w:tab/>
      </w:r>
      <w:r>
        <w:fldChar w:fldCharType="begin"/>
      </w:r>
      <w:r>
        <w:instrText xml:space="preserve"> PAGEREF _Toc183507398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IX — Local laws</w:t>
      </w:r>
    </w:p>
    <w:p>
      <w:pPr>
        <w:pStyle w:val="TOC8"/>
        <w:rPr>
          <w:rFonts w:asciiTheme="minorHAnsi" w:eastAsiaTheme="minorEastAsia" w:hAnsiTheme="minorHAnsi" w:cstheme="minorBidi"/>
          <w:szCs w:val="22"/>
        </w:rPr>
      </w:pPr>
      <w:r>
        <w:t>48</w:t>
      </w:r>
      <w:r>
        <w:rPr>
          <w:snapToGrid w:val="0"/>
        </w:rPr>
        <w:t>.</w:t>
      </w:r>
      <w:r>
        <w:rPr>
          <w:snapToGrid w:val="0"/>
        </w:rPr>
        <w:tab/>
        <w:t>Regulations to operate as local laws</w:t>
      </w:r>
      <w:r>
        <w:tab/>
      </w:r>
      <w:r>
        <w:fldChar w:fldCharType="begin"/>
      </w:r>
      <w:r>
        <w:instrText xml:space="preserve"> PAGEREF _Toc183507400 \h </w:instrText>
      </w:r>
      <w:r>
        <w:fldChar w:fldCharType="separate"/>
      </w:r>
      <w:r>
        <w:t>118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Local laws</w:t>
      </w:r>
      <w:r>
        <w:tab/>
      </w:r>
      <w:r>
        <w:fldChar w:fldCharType="begin"/>
      </w:r>
      <w:r>
        <w:instrText xml:space="preserve"> PAGEREF _Toc183507401 \h </w:instrText>
      </w:r>
      <w:r>
        <w:fldChar w:fldCharType="separate"/>
      </w:r>
      <w:r>
        <w:t>118</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Model local laws</w:t>
      </w:r>
      <w:r>
        <w:tab/>
      </w:r>
      <w:r>
        <w:fldChar w:fldCharType="begin"/>
      </w:r>
      <w:r>
        <w:instrText xml:space="preserve"> PAGEREF _Toc183507402 \h </w:instrText>
      </w:r>
      <w:r>
        <w:fldChar w:fldCharType="separate"/>
      </w:r>
      <w:r>
        <w:t>119</w:t>
      </w:r>
      <w:r>
        <w:fldChar w:fldCharType="end"/>
      </w:r>
    </w:p>
    <w:p>
      <w:pPr>
        <w:pStyle w:val="TOC8"/>
        <w:rPr>
          <w:rFonts w:asciiTheme="minorHAnsi" w:eastAsiaTheme="minorEastAsia" w:hAnsiTheme="minorHAnsi" w:cstheme="minorBidi"/>
          <w:szCs w:val="22"/>
        </w:rPr>
      </w:pPr>
      <w:r>
        <w:t>49B</w:t>
      </w:r>
      <w:r>
        <w:rPr>
          <w:snapToGrid w:val="0"/>
        </w:rPr>
        <w:t>.</w:t>
      </w:r>
      <w:r>
        <w:rPr>
          <w:snapToGrid w:val="0"/>
        </w:rPr>
        <w:tab/>
        <w:t>Governor may amend or repeal local laws</w:t>
      </w:r>
      <w:r>
        <w:tab/>
      </w:r>
      <w:r>
        <w:fldChar w:fldCharType="begin"/>
      </w:r>
      <w:r>
        <w:instrText xml:space="preserve"> PAGEREF _Toc183507403 \h </w:instrText>
      </w:r>
      <w:r>
        <w:fldChar w:fldCharType="separate"/>
      </w:r>
      <w:r>
        <w:t>119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General provisions relating to regulations and local laws</w:t>
      </w:r>
      <w:r>
        <w:tab/>
      </w:r>
      <w:r>
        <w:fldChar w:fldCharType="begin"/>
      </w:r>
      <w:r>
        <w:instrText xml:space="preserve"> PAGEREF _Toc183507404 \h </w:instrText>
      </w:r>
      <w:r>
        <w:fldChar w:fldCharType="separate"/>
      </w:r>
      <w:r>
        <w:t>120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Local law making powers</w:t>
      </w:r>
      <w:r>
        <w:tab/>
      </w:r>
      <w:r>
        <w:fldChar w:fldCharType="begin"/>
      </w:r>
      <w:r>
        <w:instrText xml:space="preserve"> PAGEREF _Toc183507405 \h </w:instrText>
      </w:r>
      <w:r>
        <w:fldChar w:fldCharType="separate"/>
      </w:r>
      <w:r>
        <w:t>121</w:t>
      </w:r>
      <w:r>
        <w:fldChar w:fldCharType="end"/>
      </w:r>
    </w:p>
    <w:p>
      <w:pPr>
        <w:pStyle w:val="TOC8"/>
        <w:rPr>
          <w:rFonts w:asciiTheme="minorHAnsi" w:eastAsiaTheme="minorEastAsia" w:hAnsiTheme="minorHAnsi" w:cstheme="minorBidi"/>
          <w:szCs w:val="22"/>
        </w:rPr>
      </w:pPr>
      <w:r>
        <w:lastRenderedPageBreak/>
        <w:t>52</w:t>
      </w:r>
      <w:r>
        <w:rPr>
          <w:snapToGrid w:val="0"/>
        </w:rPr>
        <w:t>.</w:t>
      </w:r>
      <w:r>
        <w:rPr>
          <w:snapToGrid w:val="0"/>
        </w:rPr>
        <w:tab/>
        <w:t>Revocation of local laws</w:t>
      </w:r>
      <w:r>
        <w:tab/>
      </w:r>
      <w:r>
        <w:fldChar w:fldCharType="begin"/>
      </w:r>
      <w:r>
        <w:instrText xml:space="preserve"> PAGEREF _Toc183507406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w:t>
      </w:r>
    </w:p>
    <w:p>
      <w:pPr>
        <w:pStyle w:val="TOC4"/>
        <w:tabs>
          <w:tab w:val="right" w:leader="dot" w:pos="7077"/>
        </w:tabs>
        <w:rPr>
          <w:rFonts w:asciiTheme="minorHAnsi" w:eastAsiaTheme="minorEastAsia" w:hAnsiTheme="minorHAnsi" w:cstheme="minorBidi"/>
          <w:b w:val="0"/>
          <w:szCs w:val="22"/>
        </w:rPr>
      </w:pPr>
      <w:r>
        <w:rPr>
          <w:bCs/>
          <w:iCs/>
        </w:rPr>
        <w:t>Division 1 </w:t>
      </w:r>
      <w:r>
        <w:t>—</w:t>
      </w:r>
      <w:r>
        <w:rPr>
          <w:bCs/>
          <w:iCs/>
        </w:rPr>
        <w:t> Regulations</w:t>
      </w:r>
    </w:p>
    <w:p>
      <w:pPr>
        <w:pStyle w:val="TOC8"/>
        <w:rPr>
          <w:rFonts w:asciiTheme="minorHAnsi" w:eastAsiaTheme="minorEastAsia" w:hAnsiTheme="minorHAnsi" w:cstheme="minorBidi"/>
          <w:szCs w:val="22"/>
        </w:rPr>
      </w:pPr>
      <w:r>
        <w:t>54</w:t>
      </w:r>
      <w:r>
        <w:rPr>
          <w:snapToGrid w:val="0"/>
        </w:rPr>
        <w:t>.</w:t>
      </w:r>
      <w:r>
        <w:rPr>
          <w:snapToGrid w:val="0"/>
        </w:rPr>
        <w:tab/>
        <w:t>Regulations generally</w:t>
      </w:r>
      <w:r>
        <w:tab/>
      </w:r>
      <w:r>
        <w:fldChar w:fldCharType="begin"/>
      </w:r>
      <w:r>
        <w:instrText xml:space="preserve"> PAGEREF _Toc183507409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 approvals</w:t>
      </w:r>
    </w:p>
    <w:p>
      <w:pPr>
        <w:pStyle w:val="TOC6"/>
        <w:tabs>
          <w:tab w:val="right" w:leader="dot" w:pos="7077"/>
        </w:tabs>
        <w:rPr>
          <w:rFonts w:asciiTheme="minorHAnsi" w:eastAsiaTheme="minorEastAsia" w:hAnsiTheme="minorHAnsi" w:cstheme="minorBidi"/>
          <w:b w:val="0"/>
          <w:sz w:val="22"/>
          <w:szCs w:val="22"/>
        </w:rPr>
      </w:pPr>
      <w:r>
        <w:t>Subdivision 1 — Applications for approval</w:t>
      </w:r>
    </w:p>
    <w:p>
      <w:pPr>
        <w:pStyle w:val="TOC8"/>
        <w:rPr>
          <w:rFonts w:asciiTheme="minorHAnsi" w:eastAsiaTheme="minorEastAsia" w:hAnsiTheme="minorHAnsi" w:cstheme="minorBidi"/>
          <w:szCs w:val="22"/>
        </w:rPr>
      </w:pPr>
      <w:r>
        <w:t>54A.</w:t>
      </w:r>
      <w:r>
        <w:tab/>
        <w:t>Applications</w:t>
      </w:r>
      <w:r>
        <w:tab/>
      </w:r>
      <w:r>
        <w:fldChar w:fldCharType="begin"/>
      </w:r>
      <w:r>
        <w:instrText xml:space="preserve"> PAGEREF _Toc183507412 \h </w:instrText>
      </w:r>
      <w:r>
        <w:fldChar w:fldCharType="separate"/>
      </w:r>
      <w:r>
        <w:t>124</w:t>
      </w:r>
      <w:r>
        <w:fldChar w:fldCharType="end"/>
      </w:r>
    </w:p>
    <w:p>
      <w:pPr>
        <w:pStyle w:val="TOC8"/>
        <w:rPr>
          <w:rFonts w:asciiTheme="minorHAnsi" w:eastAsiaTheme="minorEastAsia" w:hAnsiTheme="minorHAnsi" w:cstheme="minorBidi"/>
          <w:szCs w:val="22"/>
        </w:rPr>
      </w:pPr>
      <w:r>
        <w:t>54B.</w:t>
      </w:r>
      <w:r>
        <w:tab/>
        <w:t>Record of approval</w:t>
      </w:r>
      <w:r>
        <w:tab/>
      </w:r>
      <w:r>
        <w:fldChar w:fldCharType="begin"/>
      </w:r>
      <w:r>
        <w:instrText xml:space="preserve"> PAGEREF _Toc183507413 \h </w:instrText>
      </w:r>
      <w:r>
        <w:fldChar w:fldCharType="separate"/>
      </w:r>
      <w:r>
        <w:t>125</w:t>
      </w:r>
      <w:r>
        <w:fldChar w:fldCharType="end"/>
      </w:r>
    </w:p>
    <w:p>
      <w:pPr>
        <w:pStyle w:val="TOC8"/>
        <w:rPr>
          <w:rFonts w:asciiTheme="minorHAnsi" w:eastAsiaTheme="minorEastAsia" w:hAnsiTheme="minorHAnsi" w:cstheme="minorBidi"/>
          <w:szCs w:val="22"/>
        </w:rPr>
      </w:pPr>
      <w:r>
        <w:t>54C.</w:t>
      </w:r>
      <w:r>
        <w:tab/>
        <w:t>Notice of change to information</w:t>
      </w:r>
      <w:r>
        <w:tab/>
      </w:r>
      <w:r>
        <w:fldChar w:fldCharType="begin"/>
      </w:r>
      <w:r>
        <w:instrText xml:space="preserve"> PAGEREF _Toc183507414 \h </w:instrText>
      </w:r>
      <w:r>
        <w:fldChar w:fldCharType="separate"/>
      </w:r>
      <w:r>
        <w:t>125</w:t>
      </w:r>
      <w:r>
        <w:fldChar w:fldCharType="end"/>
      </w:r>
    </w:p>
    <w:p>
      <w:pPr>
        <w:pStyle w:val="TOC8"/>
        <w:rPr>
          <w:rFonts w:asciiTheme="minorHAnsi" w:eastAsiaTheme="minorEastAsia" w:hAnsiTheme="minorHAnsi" w:cstheme="minorBidi"/>
          <w:szCs w:val="22"/>
        </w:rPr>
      </w:pPr>
      <w:r>
        <w:t>54D.</w:t>
      </w:r>
      <w:r>
        <w:tab/>
        <w:t>Certificate and unique number to be given to holder of approval</w:t>
      </w:r>
      <w:r>
        <w:tab/>
      </w:r>
      <w:r>
        <w:fldChar w:fldCharType="begin"/>
      </w:r>
      <w:r>
        <w:instrText xml:space="preserve"> PAGEREF _Toc183507415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Objection and review process</w:t>
      </w:r>
    </w:p>
    <w:p>
      <w:pPr>
        <w:pStyle w:val="TOC8"/>
        <w:rPr>
          <w:rFonts w:asciiTheme="minorHAnsi" w:eastAsiaTheme="minorEastAsia" w:hAnsiTheme="minorHAnsi" w:cstheme="minorBidi"/>
          <w:szCs w:val="22"/>
        </w:rPr>
      </w:pPr>
      <w:r>
        <w:t>54E.</w:t>
      </w:r>
      <w:r>
        <w:tab/>
        <w:t>Notice of certain decisions made by local government</w:t>
      </w:r>
      <w:r>
        <w:tab/>
      </w:r>
      <w:r>
        <w:fldChar w:fldCharType="begin"/>
      </w:r>
      <w:r>
        <w:instrText xml:space="preserve"> PAGEREF _Toc183507417 \h </w:instrText>
      </w:r>
      <w:r>
        <w:fldChar w:fldCharType="separate"/>
      </w:r>
      <w:r>
        <w:t>126</w:t>
      </w:r>
      <w:r>
        <w:fldChar w:fldCharType="end"/>
      </w:r>
    </w:p>
    <w:p>
      <w:pPr>
        <w:pStyle w:val="TOC8"/>
        <w:rPr>
          <w:rFonts w:asciiTheme="minorHAnsi" w:eastAsiaTheme="minorEastAsia" w:hAnsiTheme="minorHAnsi" w:cstheme="minorBidi"/>
          <w:szCs w:val="22"/>
        </w:rPr>
      </w:pPr>
      <w:r>
        <w:t>54F.</w:t>
      </w:r>
      <w:r>
        <w:tab/>
        <w:t>Objection may be lodged</w:t>
      </w:r>
      <w:r>
        <w:tab/>
      </w:r>
      <w:r>
        <w:fldChar w:fldCharType="begin"/>
      </w:r>
      <w:r>
        <w:instrText xml:space="preserve"> PAGEREF _Toc183507418 \h </w:instrText>
      </w:r>
      <w:r>
        <w:fldChar w:fldCharType="separate"/>
      </w:r>
      <w:r>
        <w:t>127</w:t>
      </w:r>
      <w:r>
        <w:fldChar w:fldCharType="end"/>
      </w:r>
    </w:p>
    <w:p>
      <w:pPr>
        <w:pStyle w:val="TOC8"/>
        <w:rPr>
          <w:rFonts w:asciiTheme="minorHAnsi" w:eastAsiaTheme="minorEastAsia" w:hAnsiTheme="minorHAnsi" w:cstheme="minorBidi"/>
          <w:szCs w:val="22"/>
        </w:rPr>
      </w:pPr>
      <w:r>
        <w:t>54G.</w:t>
      </w:r>
      <w:r>
        <w:tab/>
        <w:t>Dealing with objection</w:t>
      </w:r>
      <w:r>
        <w:tab/>
      </w:r>
      <w:r>
        <w:fldChar w:fldCharType="begin"/>
      </w:r>
      <w:r>
        <w:instrText xml:space="preserve"> PAGEREF _Toc183507419 \h </w:instrText>
      </w:r>
      <w:r>
        <w:fldChar w:fldCharType="separate"/>
      </w:r>
      <w:r>
        <w:t>128</w:t>
      </w:r>
      <w:r>
        <w:fldChar w:fldCharType="end"/>
      </w:r>
    </w:p>
    <w:p>
      <w:pPr>
        <w:pStyle w:val="TOC8"/>
        <w:rPr>
          <w:rFonts w:asciiTheme="minorHAnsi" w:eastAsiaTheme="minorEastAsia" w:hAnsiTheme="minorHAnsi" w:cstheme="minorBidi"/>
          <w:szCs w:val="22"/>
        </w:rPr>
      </w:pPr>
      <w:r>
        <w:t>54H.</w:t>
      </w:r>
      <w:r>
        <w:tab/>
        <w:t>Review of decisions</w:t>
      </w:r>
      <w:r>
        <w:tab/>
      </w:r>
      <w:r>
        <w:fldChar w:fldCharType="begin"/>
      </w:r>
      <w:r>
        <w:instrText xml:space="preserve"> PAGEREF _Toc183507420 \h </w:instrText>
      </w:r>
      <w:r>
        <w:fldChar w:fldCharType="separate"/>
      </w:r>
      <w:r>
        <w:t>128</w:t>
      </w:r>
      <w:r>
        <w:fldChar w:fldCharType="end"/>
      </w:r>
    </w:p>
    <w:p>
      <w:pPr>
        <w:pStyle w:val="TOC8"/>
        <w:rPr>
          <w:rFonts w:asciiTheme="minorHAnsi" w:eastAsiaTheme="minorEastAsia" w:hAnsiTheme="minorHAnsi" w:cstheme="minorBidi"/>
          <w:szCs w:val="22"/>
        </w:rPr>
      </w:pPr>
      <w:r>
        <w:t>54I.</w:t>
      </w:r>
      <w:r>
        <w:tab/>
        <w:t>Suspension of effect of some decisions</w:t>
      </w:r>
      <w:r>
        <w:tab/>
      </w:r>
      <w:r>
        <w:fldChar w:fldCharType="begin"/>
      </w:r>
      <w:r>
        <w:instrText xml:space="preserve"> PAGEREF _Toc183507421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for the </w:t>
      </w:r>
      <w:r>
        <w:rPr>
          <w:i/>
        </w:rPr>
        <w:t>Dog Amendment Act 2013</w:t>
      </w:r>
    </w:p>
    <w:p>
      <w:pPr>
        <w:pStyle w:val="TOC8"/>
        <w:rPr>
          <w:rFonts w:asciiTheme="minorHAnsi" w:eastAsiaTheme="minorEastAsia" w:hAnsiTheme="minorHAnsi" w:cstheme="minorBidi"/>
          <w:szCs w:val="22"/>
        </w:rPr>
      </w:pPr>
      <w:r>
        <w:t>55.</w:t>
      </w:r>
      <w:r>
        <w:tab/>
        <w:t xml:space="preserve">Application of </w:t>
      </w:r>
      <w:r>
        <w:rPr>
          <w:i/>
          <w:iCs/>
        </w:rPr>
        <w:t>Interpretation Act 1984</w:t>
      </w:r>
      <w:r>
        <w:tab/>
      </w:r>
      <w:r>
        <w:fldChar w:fldCharType="begin"/>
      </w:r>
      <w:r>
        <w:instrText xml:space="preserve"> PAGEREF _Toc183507424 \h </w:instrText>
      </w:r>
      <w:r>
        <w:fldChar w:fldCharType="separate"/>
      </w:r>
      <w:r>
        <w:t>131</w:t>
      </w:r>
      <w:r>
        <w:fldChar w:fldCharType="end"/>
      </w:r>
    </w:p>
    <w:p>
      <w:pPr>
        <w:pStyle w:val="TOC8"/>
        <w:rPr>
          <w:rFonts w:asciiTheme="minorHAnsi" w:eastAsiaTheme="minorEastAsia" w:hAnsiTheme="minorHAnsi" w:cstheme="minorBidi"/>
          <w:szCs w:val="22"/>
        </w:rPr>
      </w:pPr>
      <w:r>
        <w:t>56.</w:t>
      </w:r>
      <w:r>
        <w:tab/>
        <w:t>Authorisations in relation to assistance dogs</w:t>
      </w:r>
      <w:r>
        <w:tab/>
      </w:r>
      <w:r>
        <w:fldChar w:fldCharType="begin"/>
      </w:r>
      <w:r>
        <w:instrText xml:space="preserve"> PAGEREF _Toc183507425 \h </w:instrText>
      </w:r>
      <w:r>
        <w:fldChar w:fldCharType="separate"/>
      </w:r>
      <w:r>
        <w:t>131</w:t>
      </w:r>
      <w:r>
        <w:fldChar w:fldCharType="end"/>
      </w:r>
    </w:p>
    <w:p>
      <w:pPr>
        <w:pStyle w:val="TOC8"/>
        <w:rPr>
          <w:rFonts w:asciiTheme="minorHAnsi" w:eastAsiaTheme="minorEastAsia" w:hAnsiTheme="minorHAnsi" w:cstheme="minorBidi"/>
          <w:szCs w:val="22"/>
        </w:rPr>
      </w:pPr>
      <w:r>
        <w:t>57.</w:t>
      </w:r>
      <w:r>
        <w:tab/>
        <w:t>Registration procedure</w:t>
      </w:r>
      <w:r>
        <w:tab/>
      </w:r>
      <w:r>
        <w:fldChar w:fldCharType="begin"/>
      </w:r>
      <w:r>
        <w:instrText xml:space="preserve"> PAGEREF _Toc183507426 \h </w:instrText>
      </w:r>
      <w:r>
        <w:fldChar w:fldCharType="separate"/>
      </w:r>
      <w:r>
        <w:t>131</w:t>
      </w:r>
      <w:r>
        <w:fldChar w:fldCharType="end"/>
      </w:r>
    </w:p>
    <w:p>
      <w:pPr>
        <w:pStyle w:val="TOC8"/>
        <w:rPr>
          <w:rFonts w:asciiTheme="minorHAnsi" w:eastAsiaTheme="minorEastAsia" w:hAnsiTheme="minorHAnsi" w:cstheme="minorBidi"/>
          <w:szCs w:val="22"/>
        </w:rPr>
      </w:pPr>
      <w:r>
        <w:t>58.</w:t>
      </w:r>
      <w:r>
        <w:tab/>
        <w:t>Detained dogs</w:t>
      </w:r>
      <w:r>
        <w:tab/>
      </w:r>
      <w:r>
        <w:fldChar w:fldCharType="begin"/>
      </w:r>
      <w:r>
        <w:instrText xml:space="preserve"> PAGEREF _Toc183507427 \h </w:instrText>
      </w:r>
      <w:r>
        <w:fldChar w:fldCharType="separate"/>
      </w:r>
      <w:r>
        <w:t>132</w:t>
      </w:r>
      <w:r>
        <w:fldChar w:fldCharType="end"/>
      </w:r>
    </w:p>
    <w:p>
      <w:pPr>
        <w:pStyle w:val="TOC8"/>
        <w:rPr>
          <w:rFonts w:asciiTheme="minorHAnsi" w:eastAsiaTheme="minorEastAsia" w:hAnsiTheme="minorHAnsi" w:cstheme="minorBidi"/>
          <w:szCs w:val="22"/>
        </w:rPr>
      </w:pPr>
      <w:r>
        <w:t>59.</w:t>
      </w:r>
      <w:r>
        <w:tab/>
        <w:t>Dogs declared to be dangerous dogs</w:t>
      </w:r>
      <w:r>
        <w:tab/>
      </w:r>
      <w:r>
        <w:fldChar w:fldCharType="begin"/>
      </w:r>
      <w:r>
        <w:instrText xml:space="preserve"> PAGEREF _Toc183507428 \h </w:instrText>
      </w:r>
      <w:r>
        <w:fldChar w:fldCharType="separate"/>
      </w:r>
      <w:r>
        <w:t>132</w:t>
      </w:r>
      <w:r>
        <w:fldChar w:fldCharType="end"/>
      </w:r>
    </w:p>
    <w:p>
      <w:pPr>
        <w:pStyle w:val="TOC8"/>
        <w:rPr>
          <w:rFonts w:asciiTheme="minorHAnsi" w:eastAsiaTheme="minorEastAsia" w:hAnsiTheme="minorHAnsi" w:cstheme="minorBidi"/>
          <w:szCs w:val="22"/>
        </w:rPr>
      </w:pPr>
      <w:r>
        <w:t>60.</w:t>
      </w:r>
      <w:r>
        <w:tab/>
        <w:t>Transitional regulations</w:t>
      </w:r>
      <w:r>
        <w:tab/>
      </w:r>
      <w:r>
        <w:fldChar w:fldCharType="begin"/>
      </w:r>
      <w:r>
        <w:instrText xml:space="preserve"> PAGEREF _Toc183507429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 for the </w:t>
      </w:r>
      <w:r>
        <w:rPr>
          <w:i/>
        </w:rPr>
        <w:t>Local Government Legislation Amendment Act 2019</w:t>
      </w:r>
    </w:p>
    <w:p>
      <w:pPr>
        <w:pStyle w:val="TOC8"/>
        <w:rPr>
          <w:rFonts w:asciiTheme="minorHAnsi" w:eastAsiaTheme="minorEastAsia" w:hAnsiTheme="minorHAnsi" w:cstheme="minorBidi"/>
          <w:szCs w:val="22"/>
        </w:rPr>
      </w:pPr>
      <w:r>
        <w:t>61.</w:t>
      </w:r>
      <w:r>
        <w:tab/>
        <w:t>Authorised persons</w:t>
      </w:r>
      <w:r>
        <w:tab/>
      </w:r>
      <w:r>
        <w:fldChar w:fldCharType="begin"/>
      </w:r>
      <w:r>
        <w:instrText xml:space="preserve"> PAGEREF _Toc183507431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the </w:t>
      </w:r>
      <w:r>
        <w:rPr>
          <w:i/>
        </w:rPr>
        <w:t>Dog Amendment (Stop Puppy Farming) Act 2021</w:t>
      </w:r>
    </w:p>
    <w:p>
      <w:pPr>
        <w:pStyle w:val="TOC8"/>
        <w:rPr>
          <w:rFonts w:asciiTheme="minorHAnsi" w:eastAsiaTheme="minorEastAsia" w:hAnsiTheme="minorHAnsi" w:cstheme="minorBidi"/>
          <w:szCs w:val="22"/>
        </w:rPr>
      </w:pPr>
      <w:r>
        <w:t>62.</w:t>
      </w:r>
      <w:r>
        <w:tab/>
        <w:t>Transitional provision for centralised registration system</w:t>
      </w:r>
      <w:r>
        <w:tab/>
      </w:r>
      <w:r>
        <w:fldChar w:fldCharType="begin"/>
      </w:r>
      <w:r>
        <w:instrText xml:space="preserve"> PAGEREF _Toc183507433 \h </w:instrText>
      </w:r>
      <w:r>
        <w:fldChar w:fldCharType="separate"/>
      </w:r>
      <w:r>
        <w:t>134</w:t>
      </w:r>
      <w:r>
        <w:fldChar w:fldCharType="end"/>
      </w:r>
    </w:p>
    <w:p>
      <w:pPr>
        <w:pStyle w:val="TOC8"/>
        <w:rPr>
          <w:rFonts w:asciiTheme="minorHAnsi" w:eastAsiaTheme="minorEastAsia" w:hAnsiTheme="minorHAnsi" w:cstheme="minorBidi"/>
          <w:szCs w:val="22"/>
        </w:rPr>
      </w:pPr>
      <w:r>
        <w:t>63.</w:t>
      </w:r>
      <w:r>
        <w:tab/>
        <w:t>Registered unsterilised dogs</w:t>
      </w:r>
      <w:r>
        <w:tab/>
      </w:r>
      <w:r>
        <w:fldChar w:fldCharType="begin"/>
      </w:r>
      <w:r>
        <w:instrText xml:space="preserve"> PAGEREF _Toc183507434 \h </w:instrText>
      </w:r>
      <w:r>
        <w:fldChar w:fldCharType="separate"/>
      </w:r>
      <w:r>
        <w:t>135</w:t>
      </w:r>
      <w:r>
        <w:fldChar w:fldCharType="end"/>
      </w:r>
    </w:p>
    <w:p>
      <w:pPr>
        <w:pStyle w:val="TOC8"/>
        <w:rPr>
          <w:rFonts w:asciiTheme="minorHAnsi" w:eastAsiaTheme="minorEastAsia" w:hAnsiTheme="minorHAnsi" w:cstheme="minorBidi"/>
          <w:szCs w:val="22"/>
        </w:rPr>
      </w:pPr>
      <w:r>
        <w:lastRenderedPageBreak/>
        <w:t>64.</w:t>
      </w:r>
      <w:r>
        <w:tab/>
        <w:t>Application for registration</w:t>
      </w:r>
      <w:r>
        <w:tab/>
      </w:r>
      <w:r>
        <w:fldChar w:fldCharType="begin"/>
      </w:r>
      <w:r>
        <w:instrText xml:space="preserve"> PAGEREF _Toc183507435 \h </w:instrText>
      </w:r>
      <w:r>
        <w:fldChar w:fldCharType="separate"/>
      </w:r>
      <w:r>
        <w:t>135</w:t>
      </w:r>
      <w:r>
        <w:fldChar w:fldCharType="end"/>
      </w:r>
    </w:p>
    <w:p>
      <w:pPr>
        <w:pStyle w:val="TOC8"/>
        <w:rPr>
          <w:rFonts w:asciiTheme="minorHAnsi" w:eastAsiaTheme="minorEastAsia" w:hAnsiTheme="minorHAnsi" w:cstheme="minorBidi"/>
          <w:szCs w:val="22"/>
        </w:rPr>
      </w:pPr>
      <w:r>
        <w:t>65.</w:t>
      </w:r>
      <w:r>
        <w:tab/>
        <w:t>Transition period for relevant pet shop businesses</w:t>
      </w:r>
      <w:r>
        <w:tab/>
      </w:r>
      <w:r>
        <w:fldChar w:fldCharType="begin"/>
      </w:r>
      <w:r>
        <w:instrText xml:space="preserve"> PAGEREF _Toc183507436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_Toc183507438 \h </w:instrText>
      </w:r>
      <w:r>
        <w:fldChar w:fldCharType="separate"/>
      </w:r>
      <w:r>
        <w:t>137</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_Toc183507439 \h </w:instrText>
      </w:r>
      <w:r>
        <w:fldChar w:fldCharType="separate"/>
      </w:r>
      <w:r>
        <w:t>140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_Toc183507440 \h </w:instrText>
      </w:r>
      <w:r>
        <w:fldChar w:fldCharType="separate"/>
      </w:r>
      <w:r>
        <w:t>140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_Toc183507441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 xml:space="preserve">Dog Act 1976 </w:t>
      </w:r>
    </w:p>
    <w:p>
      <w:pPr>
        <w:pStyle w:val="LongTitle"/>
        <w:rPr>
          <w:snapToGrid w:val="0"/>
        </w:rPr>
      </w:pPr>
      <w:r>
        <w:rPr>
          <w:snapToGrid w:val="0"/>
        </w:rPr>
        <w:t xml:space="preserve">An Act to amend and consolidate the law relating to the control and registration of dogs, the </w:t>
      </w:r>
      <w:r>
        <w:t>ownership, breeding and keeping of dogs, the supply of dogs to and by relevant pet shop businesses</w:t>
      </w:r>
      <w:r>
        <w:rPr>
          <w:snapToGrid w:val="0"/>
        </w:rPr>
        <w:t xml:space="preserve"> and the obligations and rights of persons in relation thereto, and for incidental and other purposes.</w:t>
      </w:r>
    </w:p>
    <w:p>
      <w:pPr>
        <w:pStyle w:val="Footnotelongtitle"/>
      </w:pPr>
      <w:r>
        <w:t>[Long title amended: No. 29 of 2021 s. 6.]</w:t>
      </w:r>
    </w:p>
    <w:p>
      <w:pPr>
        <w:pStyle w:val="Heading2"/>
      </w:pPr>
      <w:bookmarkStart w:id="2" w:name="_Toc183090349"/>
      <w:bookmarkStart w:id="3" w:name="_Toc183182187"/>
      <w:bookmarkStart w:id="4" w:name="_Toc183419308"/>
      <w:bookmarkStart w:id="5" w:name="_Toc183423372"/>
      <w:bookmarkStart w:id="6" w:name="_Toc18350727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spacing w:before="240"/>
        <w:rPr>
          <w:snapToGrid w:val="0"/>
        </w:rPr>
      </w:pPr>
      <w:bookmarkStart w:id="7" w:name="_Toc183507273"/>
      <w:r>
        <w:rPr>
          <w:rStyle w:val="CharSectno"/>
        </w:rPr>
        <w:t>1</w:t>
      </w:r>
      <w:r>
        <w:rPr>
          <w:snapToGrid w:val="0"/>
        </w:rPr>
        <w:t>.</w:t>
      </w:r>
      <w:r>
        <w:rPr>
          <w:snapToGrid w:val="0"/>
        </w:rPr>
        <w:tab/>
        <w:t>Short title</w:t>
      </w:r>
      <w:bookmarkEnd w:id="7"/>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Dog Act 1976</w:t>
      </w:r>
      <w:r>
        <w:rPr>
          <w:snapToGrid w:val="0"/>
        </w:rPr>
        <w:t>.</w:t>
      </w:r>
    </w:p>
    <w:p>
      <w:pPr>
        <w:pStyle w:val="Heading5"/>
        <w:spacing w:before="240"/>
        <w:rPr>
          <w:snapToGrid w:val="0"/>
        </w:rPr>
      </w:pPr>
      <w:bookmarkStart w:id="8" w:name="_Toc183507274"/>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p>
    <w:p>
      <w:pPr>
        <w:pStyle w:val="Heading5"/>
        <w:spacing w:before="240"/>
        <w:rPr>
          <w:snapToGrid w:val="0"/>
        </w:rPr>
      </w:pPr>
      <w:bookmarkStart w:id="9" w:name="_Toc183507275"/>
      <w:r>
        <w:rPr>
          <w:rStyle w:val="CharSectno"/>
        </w:rPr>
        <w:t>3</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context otherwise requires — </w:t>
      </w:r>
    </w:p>
    <w:p>
      <w:pPr>
        <w:pStyle w:val="Defstart"/>
      </w:pPr>
      <w:r>
        <w:tab/>
      </w:r>
      <w:r>
        <w:rPr>
          <w:rStyle w:val="CharDefText"/>
        </w:rPr>
        <w:t>approval to breed</w:t>
      </w:r>
      <w:r>
        <w:t xml:space="preserve"> has the meaning given in section 26I(1);</w:t>
      </w:r>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keepNext/>
      </w:pPr>
      <w:r>
        <w:lastRenderedPageBreak/>
        <w:tab/>
      </w:r>
      <w:r>
        <w:rPr>
          <w:rStyle w:val="CharDefText"/>
        </w:rPr>
        <w:t>authorised person</w:t>
      </w:r>
      <w:r>
        <w:t xml:space="preserve"> means — </w:t>
      </w:r>
    </w:p>
    <w:p>
      <w:pPr>
        <w:pStyle w:val="Defpara"/>
      </w:pPr>
      <w:r>
        <w:tab/>
        <w:t>(a)</w:t>
      </w:r>
      <w:r>
        <w:tab/>
        <w:t xml:space="preserve">a person appointed under the </w:t>
      </w:r>
      <w:r>
        <w:rPr>
          <w:i/>
        </w:rPr>
        <w:t>Local Government Act 1995</w:t>
      </w:r>
      <w:r>
        <w:t xml:space="preserve"> section 9.10(2) to be an authorised person for the purposes of this Act; or</w:t>
      </w:r>
    </w:p>
    <w:p>
      <w:pPr>
        <w:pStyle w:val="Defpara"/>
      </w:pPr>
      <w:r>
        <w:tab/>
        <w:t>(b)</w:t>
      </w:r>
      <w:r>
        <w:tab/>
        <w:t xml:space="preserve">a person designated as an authorised officer under the </w:t>
      </w:r>
      <w:r>
        <w:rPr>
          <w:i/>
          <w:iCs/>
        </w:rPr>
        <w:t xml:space="preserve">Public Health Act 2016 </w:t>
      </w:r>
      <w:r>
        <w:t>section 24(1) for the purposes of this Act;</w:t>
      </w:r>
    </w:p>
    <w:p>
      <w:pPr>
        <w:pStyle w:val="Defstart"/>
      </w:pPr>
      <w:r>
        <w:tab/>
      </w:r>
      <w:r>
        <w:rPr>
          <w:rStyle w:val="CharDefText"/>
        </w:rPr>
        <w:t>centralised registration system</w:t>
      </w:r>
      <w:r>
        <w:t xml:space="preserve"> has the meaning given in section 13A(1);</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commercial security dog</w:t>
      </w:r>
      <w:r>
        <w:t xml:space="preserve"> means a dog that is kept primarily for the purpose of guarding or protecting premises that are not dwellings and that are not the premises of the dog’s owner, whether or not accompanied by a dog handler;</w:t>
      </w:r>
    </w:p>
    <w:p>
      <w:pPr>
        <w:pStyle w:val="Defstart"/>
      </w:pPr>
      <w:r>
        <w:tab/>
      </w:r>
      <w:r>
        <w:rPr>
          <w:rStyle w:val="CharDefText"/>
        </w:rPr>
        <w:t>convicted person</w:t>
      </w:r>
      <w:r>
        <w:t xml:space="preserve"> means a person who has, within the previous 5 years, been convicted of —</w:t>
      </w:r>
    </w:p>
    <w:p>
      <w:pPr>
        <w:pStyle w:val="Defpara"/>
      </w:pPr>
      <w:r>
        <w:tab/>
        <w:t>(a)</w:t>
      </w:r>
      <w:r>
        <w:tab/>
        <w:t xml:space="preserve">an offence against — </w:t>
      </w:r>
    </w:p>
    <w:p>
      <w:pPr>
        <w:pStyle w:val="Defsubpara"/>
      </w:pPr>
      <w:r>
        <w:tab/>
        <w:t>(i)</w:t>
      </w:r>
      <w:r>
        <w:tab/>
        <w:t>this Act; or</w:t>
      </w:r>
    </w:p>
    <w:p>
      <w:pPr>
        <w:pStyle w:val="Defsubpara"/>
      </w:pPr>
      <w:r>
        <w:tab/>
        <w:t>(ii)</w:t>
      </w:r>
      <w:r>
        <w:tab/>
        <w:t xml:space="preserve">the </w:t>
      </w:r>
      <w:r>
        <w:rPr>
          <w:i/>
        </w:rPr>
        <w:t>Cat Act 2011</w:t>
      </w:r>
      <w:r>
        <w:t>; or</w:t>
      </w:r>
    </w:p>
    <w:p>
      <w:pPr>
        <w:pStyle w:val="Defsubpara"/>
      </w:pPr>
      <w:r>
        <w:tab/>
        <w:t>(iii)</w:t>
      </w:r>
      <w:r>
        <w:tab/>
        <w:t xml:space="preserve">the </w:t>
      </w:r>
      <w:r>
        <w:rPr>
          <w:i/>
        </w:rPr>
        <w:t>Animal Welfare Act 2002</w:t>
      </w:r>
      <w:r>
        <w:t>;</w:t>
      </w:r>
    </w:p>
    <w:p>
      <w:pPr>
        <w:pStyle w:val="Defpara"/>
      </w:pPr>
      <w:r>
        <w:tab/>
      </w:r>
      <w:r>
        <w:tab/>
        <w:t>or</w:t>
      </w:r>
    </w:p>
    <w:p>
      <w:pPr>
        <w:pStyle w:val="Defpara"/>
      </w:pPr>
      <w:r>
        <w:tab/>
        <w:t>(b)</w:t>
      </w:r>
      <w:r>
        <w:tab/>
        <w:t>an offence against a law of the Commonwealth, another State or a Territory that is substantially the same as an offence referred to in paragraph (a);</w:t>
      </w:r>
    </w:p>
    <w:p>
      <w:pPr>
        <w:pStyle w:val="Defstart"/>
      </w:pPr>
      <w:r>
        <w:rPr>
          <w:b/>
        </w:rPr>
        <w:tab/>
      </w:r>
      <w:r>
        <w:rPr>
          <w:rStyle w:val="CharDefText"/>
        </w:rPr>
        <w:t>dangerous dog</w:t>
      </w:r>
      <w:r>
        <w:t xml:space="preserve"> means a dog that is — </w:t>
      </w:r>
    </w:p>
    <w:p>
      <w:pPr>
        <w:pStyle w:val="Defpara"/>
      </w:pPr>
      <w:r>
        <w:tab/>
        <w:t>(a)</w:t>
      </w:r>
      <w:r>
        <w:tab/>
        <w:t>a dangerous dog (declared); or</w:t>
      </w:r>
    </w:p>
    <w:p>
      <w:pPr>
        <w:pStyle w:val="Defpara"/>
      </w:pPr>
      <w:r>
        <w:tab/>
        <w:t>(b)</w:t>
      </w:r>
      <w:r>
        <w:tab/>
        <w:t>a dangerous dog (restricted breed); or</w:t>
      </w:r>
    </w:p>
    <w:p>
      <w:pPr>
        <w:pStyle w:val="Defpara"/>
      </w:pPr>
      <w:r>
        <w:tab/>
        <w:t>(c)</w:t>
      </w:r>
      <w:r>
        <w:tab/>
        <w:t>a commercial security dog;</w:t>
      </w:r>
    </w:p>
    <w:p>
      <w:pPr>
        <w:pStyle w:val="Defstart"/>
      </w:pPr>
      <w:r>
        <w:rPr>
          <w:b/>
        </w:rPr>
        <w:tab/>
      </w:r>
      <w:r>
        <w:rPr>
          <w:rStyle w:val="CharDefText"/>
        </w:rPr>
        <w:t>dangerous dog (declared)</w:t>
      </w:r>
      <w:r>
        <w:t xml:space="preserve"> means an individual dog that under section 33E(1) is declared to be a dangerous dog (declared);</w:t>
      </w:r>
    </w:p>
    <w:p>
      <w:pPr>
        <w:pStyle w:val="Defstart"/>
        <w:keepNext/>
      </w:pPr>
      <w:r>
        <w:lastRenderedPageBreak/>
        <w:tab/>
      </w:r>
      <w:r>
        <w:rPr>
          <w:rStyle w:val="CharDefText"/>
        </w:rPr>
        <w:t>dangerous dog (restricted breed)</w:t>
      </w:r>
      <w:r>
        <w:t xml:space="preserve"> means a dog that —</w:t>
      </w:r>
    </w:p>
    <w:p>
      <w:pPr>
        <w:pStyle w:val="Defpara"/>
      </w:pPr>
      <w:r>
        <w:tab/>
        <w:t>(a)</w:t>
      </w:r>
      <w:r>
        <w:tab/>
        <w:t>is of a breed prescribed by the regulations to be a restricted breed; or</w:t>
      </w:r>
    </w:p>
    <w:p>
      <w:pPr>
        <w:pStyle w:val="Defpara"/>
      </w:pPr>
      <w:r>
        <w:tab/>
        <w:t>(b)</w:t>
      </w:r>
      <w:r>
        <w:tab/>
        <w:t>is a mix of 2 or more breeds, one being a breed prescribed by the regulations to be a restricted breed;</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designated person</w:t>
      </w:r>
      <w:r>
        <w:t xml:space="preserve"> has the meaning given in section 9B(1);</w:t>
      </w:r>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keepNext/>
      </w:pPr>
      <w:r>
        <w:rPr>
          <w:i/>
        </w:rPr>
        <w:tab/>
      </w:r>
      <w:r>
        <w:rPr>
          <w:rStyle w:val="CharDefText"/>
        </w:rPr>
        <w:t>dog management facility</w:t>
      </w:r>
      <w:r>
        <w:t xml:space="preserve"> means — </w:t>
      </w:r>
    </w:p>
    <w:p>
      <w:pPr>
        <w:pStyle w:val="Defpara"/>
      </w:pPr>
      <w:r>
        <w:tab/>
        <w:t>(a)</w:t>
      </w:r>
      <w:r>
        <w:tab/>
        <w:t>a facility operated by a local government that is, or may be, used for keeping dogs; or</w:t>
      </w:r>
    </w:p>
    <w:p>
      <w:pPr>
        <w:pStyle w:val="Defpara"/>
      </w:pPr>
      <w:r>
        <w:tab/>
        <w:t>(b)</w:t>
      </w:r>
      <w:r>
        <w:tab/>
        <w:t>a facility for keeping dogs that is operated by a person or body prescribed; or</w:t>
      </w:r>
    </w:p>
    <w:p>
      <w:pPr>
        <w:pStyle w:val="Defpara"/>
      </w:pPr>
      <w:r>
        <w:tab/>
        <w:t>(c)</w:t>
      </w:r>
      <w:r>
        <w:tab/>
        <w:t>a facility for keeping dogs that is operated by a person or body approved in writing by a local government;</w:t>
      </w:r>
    </w:p>
    <w:p>
      <w:pPr>
        <w:pStyle w:val="Defstart"/>
      </w:pPr>
      <w:r>
        <w:tab/>
      </w:r>
      <w:r>
        <w:rPr>
          <w:rStyle w:val="CharDefText"/>
        </w:rPr>
        <w:t>dog owner number</w:t>
      </w:r>
      <w:r>
        <w:t xml:space="preserve"> has the meaning given in section 13B(1);</w:t>
      </w:r>
    </w:p>
    <w:p>
      <w:pPr>
        <w:pStyle w:val="Defstart"/>
      </w:pPr>
      <w:r>
        <w:tab/>
      </w:r>
      <w:r>
        <w:rPr>
          <w:rStyle w:val="CharDefText"/>
        </w:rPr>
        <w:t>dog supply approval</w:t>
      </w:r>
      <w:r>
        <w:t xml:space="preserve"> has the meaning given in section 38O(1);</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tab/>
      </w:r>
      <w:r>
        <w:rPr>
          <w:rStyle w:val="CharDefText"/>
        </w:rPr>
        <w:t>effectively confined</w:t>
      </w:r>
      <w:r>
        <w:t xml:space="preserve"> — </w:t>
      </w:r>
    </w:p>
    <w:p>
      <w:pPr>
        <w:pStyle w:val="Defpara"/>
      </w:pPr>
      <w:r>
        <w:tab/>
        <w:t>(a)</w:t>
      </w:r>
      <w:r>
        <w:tab/>
        <w:t>in relation to keeping a dog in premises comprising a mobile home, means the mobile home is designed and constructed in a way that enables an occupant to prevent the dog from escaping the mobile home; and</w:t>
      </w:r>
    </w:p>
    <w:p>
      <w:pPr>
        <w:pStyle w:val="Defpara"/>
      </w:pPr>
      <w:r>
        <w:lastRenderedPageBreak/>
        <w:tab/>
        <w:t>(b)</w:t>
      </w:r>
      <w:r>
        <w:tab/>
        <w:t>in relation to keeping a dog in or at other premises, or in any outdoor area of those premises, means the premises or area is bounded by a fence or barrier of a standard sufficient to prevent the dog from escaping;</w:t>
      </w:r>
    </w:p>
    <w:p>
      <w:pPr>
        <w:pStyle w:val="Defstart"/>
      </w:pPr>
      <w:r>
        <w:tab/>
      </w:r>
      <w:r>
        <w:rPr>
          <w:rStyle w:val="CharDefText"/>
        </w:rPr>
        <w:t>health certificate</w:t>
      </w:r>
      <w:r>
        <w:t xml:space="preserve"> has the meaning given in section 38N(2)(a);</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microchip</w:t>
      </w:r>
      <w:r>
        <w:t xml:space="preserve"> means an identification device of a prescribed type that — </w:t>
      </w:r>
    </w:p>
    <w:p>
      <w:pPr>
        <w:pStyle w:val="Defpara"/>
      </w:pPr>
      <w:r>
        <w:tab/>
        <w:t>(a)</w:t>
      </w:r>
      <w:r>
        <w:tab/>
        <w:t>is capable of being implanted in a dog;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dog (which may include information about its breeder or its owner); and</w:t>
      </w:r>
    </w:p>
    <w:p>
      <w:pPr>
        <w:pStyle w:val="Defpara"/>
      </w:pPr>
      <w:r>
        <w:tab/>
        <w:t>(b)</w:t>
      </w:r>
      <w:r>
        <w:tab/>
        <w:t>kept by a microchip database company;</w:t>
      </w:r>
    </w:p>
    <w:p>
      <w:pPr>
        <w:pStyle w:val="Defstart"/>
        <w:keepNext/>
      </w:pPr>
      <w:r>
        <w:tab/>
      </w:r>
      <w:r>
        <w:rPr>
          <w:rStyle w:val="CharDefText"/>
        </w:rPr>
        <w:t>microchip database company</w:t>
      </w:r>
      <w:r>
        <w:t xml:space="preserve"> means — </w:t>
      </w:r>
    </w:p>
    <w:p>
      <w:pPr>
        <w:pStyle w:val="Defpara"/>
        <w:keepNext/>
      </w:pPr>
      <w:r>
        <w:tab/>
        <w:t>(a)</w:t>
      </w:r>
      <w:r>
        <w:tab/>
        <w:t xml:space="preserve">a person or body — </w:t>
      </w:r>
    </w:p>
    <w:p>
      <w:pPr>
        <w:pStyle w:val="Defsubpara"/>
        <w:keepLines w:val="0"/>
        <w:widowControl w:val="0"/>
      </w:pPr>
      <w:r>
        <w:tab/>
        <w:t>(i)</w:t>
      </w:r>
      <w:r>
        <w:tab/>
        <w:t>that keeps a microchip database; and</w:t>
      </w:r>
    </w:p>
    <w:p>
      <w:pPr>
        <w:pStyle w:val="Defsubpara"/>
        <w:keepNext/>
      </w:pPr>
      <w:r>
        <w:tab/>
        <w:t>(ii)</w:t>
      </w:r>
      <w:r>
        <w:tab/>
        <w:t>that is prescribed as a microchip database company for the purposes of this definition;</w:t>
      </w:r>
    </w:p>
    <w:p>
      <w:pPr>
        <w:pStyle w:val="Defpara"/>
        <w:keepNext/>
      </w:pPr>
      <w:r>
        <w:tab/>
      </w:r>
      <w:r>
        <w:tab/>
        <w:t>and</w:t>
      </w:r>
    </w:p>
    <w:p>
      <w:pPr>
        <w:pStyle w:val="Defpara"/>
      </w:pPr>
      <w:r>
        <w:tab/>
        <w:t>(b)</w:t>
      </w:r>
      <w:r>
        <w:tab/>
        <w:t>in relation to a particular dog, means the microchip database company that keeps, or has agreed to keep, records containing information about that dog;</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lastRenderedPageBreak/>
        <w:tab/>
      </w:r>
      <w:r>
        <w:rPr>
          <w:rStyle w:val="CharDefText"/>
        </w:rPr>
        <w:t>microchipped</w:t>
      </w:r>
      <w:r>
        <w:t xml:space="preserve"> means implanted with a microchip in a prescribed manner;</w:t>
      </w:r>
    </w:p>
    <w:p>
      <w:pPr>
        <w:pStyle w:val="Defstart"/>
      </w:pPr>
      <w:r>
        <w:rPr>
          <w:b/>
        </w:rPr>
        <w:tab/>
      </w:r>
      <w:r>
        <w:rPr>
          <w:rStyle w:val="CharDefText"/>
        </w:rPr>
        <w:t>mobile home</w:t>
      </w:r>
      <w:r>
        <w:t xml:space="preserve"> means a caravan or campervan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tab/>
      </w:r>
      <w:r>
        <w:rPr>
          <w:rStyle w:val="CharDefText"/>
        </w:rPr>
        <w:t>non</w:t>
      </w:r>
      <w:r>
        <w:rPr>
          <w:rStyle w:val="CharDefText"/>
        </w:rPr>
        <w:noBreakHyphen/>
        <w:t>profit organisation</w:t>
      </w:r>
      <w:r>
        <w:t xml:space="preserve"> means a body corporate, society, club or association formed otherwise than for the purpose of profit or gain to its individual members;</w:t>
      </w:r>
    </w:p>
    <w:p>
      <w:pPr>
        <w:pStyle w:val="Defstart"/>
      </w:pPr>
      <w:r>
        <w:tab/>
      </w:r>
      <w:r>
        <w:rPr>
          <w:rStyle w:val="CharDefText"/>
        </w:rPr>
        <w:t>offer</w:t>
      </w:r>
      <w:r>
        <w:t>, in relation to transfer of ownership, sale or supply, includes advertise, expose or display for transfer of ownership, sale or supply;</w:t>
      </w:r>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r>
        <w:rPr>
          <w:rStyle w:val="CharDefText"/>
        </w:rPr>
        <w:t>owner’s delegate</w:t>
      </w:r>
      <w:r>
        <w:t>, in relation to a registered owner, means a person appointed under section 16AA as the dog owner’s delegate;</w:t>
      </w:r>
    </w:p>
    <w:p>
      <w:pPr>
        <w:pStyle w:val="Defstart"/>
        <w:spacing w:before="60"/>
      </w:pPr>
      <w:r>
        <w:rPr>
          <w:b/>
        </w:rPr>
        <w:tab/>
      </w:r>
      <w:r>
        <w:rPr>
          <w:rStyle w:val="CharDefText"/>
        </w:rPr>
        <w:t>person liable for the control of the dog</w:t>
      </w:r>
      <w:r>
        <w:t xml:space="preserve"> means each of the following — </w:t>
      </w:r>
    </w:p>
    <w:p>
      <w:pPr>
        <w:pStyle w:val="Defpara"/>
        <w:spacing w:before="60"/>
      </w:pPr>
      <w:r>
        <w:tab/>
        <w:t>(a)</w:t>
      </w:r>
      <w:r>
        <w:tab/>
        <w:t>the registered owner of the dog; or</w:t>
      </w:r>
    </w:p>
    <w:p>
      <w:pPr>
        <w:pStyle w:val="Defpara"/>
        <w:spacing w:before="60"/>
      </w:pPr>
      <w:r>
        <w:tab/>
        <w:t>(b)</w:t>
      </w:r>
      <w:r>
        <w:tab/>
        <w:t>the owner of the dog; or</w:t>
      </w:r>
    </w:p>
    <w:p>
      <w:pPr>
        <w:pStyle w:val="Defpara"/>
        <w:spacing w:before="60"/>
      </w:pPr>
      <w:r>
        <w:tab/>
        <w:t>(c)</w:t>
      </w:r>
      <w:r>
        <w:tab/>
        <w:t>the occupier of any premises where the dog is ordinarily kept or ordinarily permitted to live; or</w:t>
      </w:r>
    </w:p>
    <w:p>
      <w:pPr>
        <w:pStyle w:val="Defpara"/>
        <w:keepNext/>
        <w:keepLines/>
        <w:spacing w:before="60"/>
      </w:pPr>
      <w:r>
        <w:tab/>
        <w:t>(d)</w:t>
      </w:r>
      <w:r>
        <w:tab/>
        <w:t>a person who has the dog in his possession or under his control,</w:t>
      </w:r>
    </w:p>
    <w:p>
      <w:pPr>
        <w:pStyle w:val="Defstart"/>
        <w:keepNext/>
        <w:keepLines/>
        <w:spacing w:before="60"/>
      </w:pPr>
      <w:r>
        <w:tab/>
        <w:t>but does not include — </w:t>
      </w:r>
    </w:p>
    <w:p>
      <w:pPr>
        <w:pStyle w:val="Defpara"/>
      </w:pPr>
      <w:r>
        <w:tab/>
        <w:t>(e)</w:t>
      </w:r>
      <w:r>
        <w:tab/>
        <w:t>a veterinarian, or a person acting on a veterinarian’s behalf, in the course of the veterinarian’s professional practice; or</w:t>
      </w:r>
    </w:p>
    <w:p>
      <w:pPr>
        <w:pStyle w:val="Defpara"/>
      </w:pPr>
      <w:r>
        <w:lastRenderedPageBreak/>
        <w:tab/>
        <w:t>(f)</w:t>
      </w:r>
      <w:r>
        <w:tab/>
        <w:t>a police officer or other person acting under a statutory duty or in the administration of this Act;</w:t>
      </w:r>
    </w:p>
    <w:p>
      <w:pPr>
        <w:pStyle w:val="Defstart"/>
      </w:pPr>
      <w:r>
        <w:tab/>
      </w:r>
      <w:r>
        <w:rPr>
          <w:rStyle w:val="CharDefText"/>
        </w:rPr>
        <w:t>pet shop</w:t>
      </w:r>
      <w:r>
        <w:t>, in relation to a relevant pet shop business, means the shop at, in or from which the relevant pet shop business is conducted;</w:t>
      </w:r>
    </w:p>
    <w:p>
      <w:pPr>
        <w:pStyle w:val="Defstart"/>
      </w:pPr>
      <w:r>
        <w:tab/>
      </w:r>
      <w:r>
        <w:rPr>
          <w:rStyle w:val="CharDefText"/>
        </w:rPr>
        <w:t>pet shop approval</w:t>
      </w:r>
      <w:r>
        <w:t xml:space="preserve"> has the meaning given in section 38C(1)(a);</w:t>
      </w:r>
    </w:p>
    <w:p>
      <w:pPr>
        <w:pStyle w:val="Defstart"/>
      </w:pPr>
      <w:r>
        <w:tab/>
      </w:r>
      <w:r>
        <w:rPr>
          <w:rStyle w:val="CharDefText"/>
        </w:rPr>
        <w:t>pet shop certificate</w:t>
      </w:r>
      <w:r>
        <w:t xml:space="preserve"> means a certificate given under section 54D to a person who holds a pet shop approval;</w:t>
      </w:r>
    </w:p>
    <w:p>
      <w:pPr>
        <w:pStyle w:val="Defstart"/>
      </w:pPr>
      <w:r>
        <w:tab/>
      </w:r>
      <w:r>
        <w:rPr>
          <w:rStyle w:val="CharDefText"/>
        </w:rPr>
        <w:t>pet shop number</w:t>
      </w:r>
      <w:r>
        <w:t xml:space="preserve"> has the meaning given in section 54D(1)(b);</w:t>
      </w:r>
    </w:p>
    <w:p>
      <w:pPr>
        <w:pStyle w:val="Defstart"/>
      </w:pPr>
      <w:r>
        <w:rPr>
          <w:b/>
        </w:rPr>
        <w:tab/>
      </w:r>
      <w:r>
        <w:rPr>
          <w:rStyle w:val="CharDefText"/>
        </w:rPr>
        <w:t>police officer</w:t>
      </w:r>
      <w:r>
        <w:t xml:space="preserve"> means a person appointed —</w:t>
      </w:r>
    </w:p>
    <w:p>
      <w:pPr>
        <w:pStyle w:val="Defpara"/>
      </w:pPr>
      <w:r>
        <w:tab/>
        <w:t>(a)</w:t>
      </w:r>
      <w:r>
        <w:tab/>
        <w:t xml:space="preserve">under the </w:t>
      </w:r>
      <w:r>
        <w:rPr>
          <w:i/>
          <w:iCs/>
        </w:rPr>
        <w:t>Police Act 1892</w:t>
      </w:r>
      <w:r>
        <w:t xml:space="preserve"> Part I to be a member of the Police Force of Western Australia; or</w:t>
      </w:r>
    </w:p>
    <w:p>
      <w:pPr>
        <w:pStyle w:val="Defpara"/>
      </w:pPr>
      <w:r>
        <w:tab/>
        <w:t>(b)</w:t>
      </w:r>
      <w:r>
        <w:tab/>
        <w:t xml:space="preserve">under the </w:t>
      </w:r>
      <w:r>
        <w:rPr>
          <w:i/>
          <w:iCs/>
        </w:rPr>
        <w:t>Police Act 1892</w:t>
      </w:r>
      <w:r>
        <w:t xml:space="preserve"> section 35 to be a special constable; or</w:t>
      </w:r>
    </w:p>
    <w:p>
      <w:pPr>
        <w:pStyle w:val="Defpara"/>
      </w:pPr>
      <w:r>
        <w:tab/>
        <w:t>(c)</w:t>
      </w:r>
      <w:r>
        <w:tab/>
        <w:t xml:space="preserve">under the </w:t>
      </w:r>
      <w:r>
        <w:rPr>
          <w:i/>
          <w:iCs/>
        </w:rPr>
        <w:t>Police Act 1892</w:t>
      </w:r>
      <w:r>
        <w:t xml:space="preserve"> section 38B(1) to be an Aboriginal police liaison officer;</w:t>
      </w:r>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w:t>
      </w:r>
      <w:r>
        <w:rPr>
          <w:bCs/>
          <w:iCs/>
        </w:rPr>
        <w:t xml:space="preserve"> tenement, and includes a mobile home;</w:t>
      </w:r>
    </w:p>
    <w:p>
      <w:pPr>
        <w:pStyle w:val="Defstart"/>
      </w:pPr>
      <w:r>
        <w:tab/>
      </w:r>
      <w:r>
        <w:rPr>
          <w:rStyle w:val="CharDefText"/>
        </w:rPr>
        <w:t>prescribed</w:t>
      </w:r>
      <w:r>
        <w:t xml:space="preserve"> means prescribed under regulations made under this Act;</w:t>
      </w:r>
    </w:p>
    <w:p>
      <w:pPr>
        <w:pStyle w:val="Defstart"/>
      </w:pPr>
      <w:r>
        <w:rPr>
          <w:b/>
        </w:rPr>
        <w:tab/>
      </w:r>
      <w:r>
        <w:rPr>
          <w:rStyle w:val="CharDefText"/>
        </w:rPr>
        <w:t>provocation</w:t>
      </w:r>
      <w:r>
        <w:t>, in relation to the behaviour of a dog, includes — </w:t>
      </w:r>
    </w:p>
    <w:p>
      <w:pPr>
        <w:pStyle w:val="Defpara"/>
        <w:keepNext/>
      </w:pPr>
      <w:r>
        <w:tab/>
        <w:t>(a)</w:t>
      </w:r>
      <w:r>
        <w:tab/>
        <w:t>on the part of a person, other than a person liable for the control of the dog — </w:t>
      </w:r>
    </w:p>
    <w:p>
      <w:pPr>
        <w:pStyle w:val="Defsubpara"/>
        <w:keepLines w:val="0"/>
      </w:pPr>
      <w:r>
        <w:tab/>
        <w:t>(i)</w:t>
      </w:r>
      <w:r>
        <w:tab/>
        <w:t>any teasing, tormenting, or abuse of the dog; or</w:t>
      </w:r>
    </w:p>
    <w:p>
      <w:pPr>
        <w:pStyle w:val="Defsubpara"/>
        <w:keepLines w:val="0"/>
      </w:pPr>
      <w:r>
        <w:tab/>
        <w:t>(ii)</w:t>
      </w:r>
      <w:r>
        <w:tab/>
        <w:t>any assault on, or act of cruelty towards, the dog; or</w:t>
      </w:r>
    </w:p>
    <w:p>
      <w:pPr>
        <w:pStyle w:val="Defsubpara"/>
        <w:keepLines w:val="0"/>
      </w:pPr>
      <w:r>
        <w:tab/>
        <w:t>(iii)</w:t>
      </w:r>
      <w:r>
        <w:tab/>
        <w:t>entry without lawful excuse on any land or premises of which the owner of the dog is an occupier or where the dog is ordinarily kept; or</w:t>
      </w:r>
    </w:p>
    <w:p>
      <w:pPr>
        <w:pStyle w:val="Defsubpara"/>
        <w:keepLines w:val="0"/>
      </w:pPr>
      <w:r>
        <w:lastRenderedPageBreak/>
        <w:tab/>
        <w:t>(iv)</w:t>
      </w:r>
      <w:r>
        <w:tab/>
        <w:t>any intrusion into or upon any vehicle in or on which the dog is present; or</w:t>
      </w:r>
    </w:p>
    <w:p>
      <w:pPr>
        <w:pStyle w:val="Defsubpara"/>
        <w:keepLines w:val="0"/>
      </w:pPr>
      <w:r>
        <w:tab/>
        <w:t>(v)</w:t>
      </w:r>
      <w:r>
        <w:tab/>
        <w:t>any threat to, or attack upon, another person or animal towards whom the dog could reasonably be expected to be protective;</w:t>
      </w:r>
    </w:p>
    <w:p>
      <w:pPr>
        <w:pStyle w:val="Defpara"/>
      </w:pPr>
      <w:r>
        <w:tab/>
      </w:r>
      <w:r>
        <w:tab/>
        <w:t>or</w:t>
      </w:r>
    </w:p>
    <w:p>
      <w:pPr>
        <w:pStyle w:val="Defpara"/>
        <w:keepNext/>
      </w:pPr>
      <w:r>
        <w:tab/>
        <w:t>(b)</w:t>
      </w:r>
      <w:r>
        <w:tab/>
        <w:t>on the part of another animal — </w:t>
      </w:r>
    </w:p>
    <w:p>
      <w:pPr>
        <w:pStyle w:val="Defsubpara"/>
        <w:keepLines w:val="0"/>
      </w:pPr>
      <w:r>
        <w:tab/>
        <w:t>(i)</w:t>
      </w:r>
      <w:r>
        <w:tab/>
        <w:t>an attack on the dog made by any other animal; or</w:t>
      </w:r>
    </w:p>
    <w:p>
      <w:pPr>
        <w:pStyle w:val="Defsubpara"/>
        <w:keepLines w:val="0"/>
      </w:pPr>
      <w:r>
        <w:tab/>
        <w:t>(ii)</w:t>
      </w:r>
      <w:r>
        <w:tab/>
        <w:t>the entry of that other animal on any land or premises of which the owner of the dog is an occupier or where the dog is ordinarily kept; or</w:t>
      </w:r>
    </w:p>
    <w:p>
      <w:pPr>
        <w:pStyle w:val="Defsubpara"/>
        <w:keepLines w:val="0"/>
      </w:pPr>
      <w:r>
        <w:tab/>
        <w:t>(iii)</w:t>
      </w:r>
      <w: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may lawfully have access;</w:t>
      </w:r>
    </w:p>
    <w:p>
      <w:pPr>
        <w:pStyle w:val="Defstart"/>
      </w:pPr>
      <w:r>
        <w:tab/>
      </w:r>
      <w:r>
        <w:rPr>
          <w:rStyle w:val="CharDefText"/>
        </w:rPr>
        <w:t>refuge operations</w:t>
      </w:r>
      <w:r>
        <w:t xml:space="preserve"> means operations conducted by a non</w:t>
      </w:r>
      <w:r>
        <w:noBreakHyphen/>
        <w:t>profit organisation for the purposes of providing temporary shelter or care to, and finding suitable homes for, stray, abandoned, seized or surrendered dogs;</w:t>
      </w:r>
    </w:p>
    <w:p>
      <w:pPr>
        <w:pStyle w:val="Defstart"/>
      </w:pPr>
      <w:r>
        <w:rPr>
          <w:b/>
        </w:rPr>
        <w:tab/>
      </w:r>
      <w:r>
        <w:rPr>
          <w:rStyle w:val="CharDefText"/>
        </w:rPr>
        <w:t>registered owner</w:t>
      </w:r>
      <w:r>
        <w:t xml:space="preserve"> means the person in whose name the dog is registered under this Act;</w:t>
      </w:r>
    </w:p>
    <w:p>
      <w:pPr>
        <w:pStyle w:val="Defstart"/>
      </w:pPr>
      <w:r>
        <w:rPr>
          <w:b/>
        </w:rPr>
        <w:tab/>
      </w:r>
      <w:r>
        <w:rPr>
          <w:rStyle w:val="CharDefText"/>
        </w:rPr>
        <w:t>registration officer</w:t>
      </w:r>
      <w:r>
        <w:t xml:space="preserve"> means a person authorised by the local government to effect the registration of dogs pursuant to this Act;</w:t>
      </w:r>
    </w:p>
    <w:p>
      <w:pPr>
        <w:pStyle w:val="Defstart"/>
      </w:pPr>
      <w:r>
        <w:tab/>
      </w:r>
      <w:r>
        <w:rPr>
          <w:rStyle w:val="CharDefText"/>
        </w:rPr>
        <w:t>relevant pet shop business</w:t>
      </w:r>
      <w:r>
        <w:t xml:space="preserve"> — </w:t>
      </w:r>
    </w:p>
    <w:p>
      <w:pPr>
        <w:pStyle w:val="Defpara"/>
      </w:pPr>
      <w:r>
        <w:tab/>
        <w:t>(a)</w:t>
      </w:r>
      <w:r>
        <w:tab/>
        <w:t>means a business, or a part of a business, that is conducted at, in or from a shop and involves supplying, or offering to supply, dogs; but</w:t>
      </w:r>
    </w:p>
    <w:p>
      <w:pPr>
        <w:pStyle w:val="Defpara"/>
      </w:pPr>
      <w:r>
        <w:lastRenderedPageBreak/>
        <w:tab/>
        <w:t>(b)</w:t>
      </w:r>
      <w:r>
        <w:tab/>
        <w:t xml:space="preserve">does not include — </w:t>
      </w:r>
    </w:p>
    <w:p>
      <w:pPr>
        <w:pStyle w:val="Defsubpara"/>
      </w:pPr>
      <w:r>
        <w:tab/>
        <w:t>(i)</w:t>
      </w:r>
      <w:r>
        <w:tab/>
        <w:t xml:space="preserve">refuge operations; or </w:t>
      </w:r>
    </w:p>
    <w:p>
      <w:pPr>
        <w:pStyle w:val="Defsubpara"/>
      </w:pPr>
      <w:r>
        <w:tab/>
        <w:t>(ii)</w:t>
      </w:r>
      <w:r>
        <w:tab/>
        <w:t>operations conducted at, in or from a dog management facility by the operator of the dog management facility; or</w:t>
      </w:r>
    </w:p>
    <w:p>
      <w:pPr>
        <w:pStyle w:val="Defsubpara"/>
      </w:pPr>
      <w:r>
        <w:tab/>
        <w:t>(iii)</w:t>
      </w:r>
      <w:r>
        <w:tab/>
        <w:t>a business, or a part of a business, of a prescribed class;</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shop</w:t>
      </w:r>
      <w:r>
        <w:t xml:space="preserve"> means a shop that is open to the public generally at specified times or otherwise on a regular basis; </w:t>
      </w:r>
    </w:p>
    <w:p>
      <w:pPr>
        <w:pStyle w:val="Defstart"/>
      </w:pPr>
      <w:r>
        <w:tab/>
      </w:r>
      <w:r>
        <w:rPr>
          <w:rStyle w:val="CharDefText"/>
        </w:rPr>
        <w:t>sterilised</w:t>
      </w:r>
      <w:r>
        <w:t xml:space="preserve"> has the meaning given in subsection (1A);</w:t>
      </w:r>
    </w:p>
    <w:p>
      <w:pPr>
        <w:pStyle w:val="Defstart"/>
      </w:pPr>
      <w:r>
        <w:tab/>
      </w:r>
      <w:r>
        <w:rPr>
          <w:rStyle w:val="CharDefText"/>
        </w:rPr>
        <w:t>supply</w:t>
      </w:r>
      <w:r>
        <w:t xml:space="preserve"> includes — </w:t>
      </w:r>
    </w:p>
    <w:p>
      <w:pPr>
        <w:pStyle w:val="Defpara"/>
      </w:pPr>
      <w:r>
        <w:tab/>
        <w:t>(a)</w:t>
      </w:r>
      <w:r>
        <w:tab/>
        <w:t>sell, trade, give away, take consideration for; and</w:t>
      </w:r>
    </w:p>
    <w:p>
      <w:pPr>
        <w:pStyle w:val="Defpara"/>
      </w:pPr>
      <w:r>
        <w:tab/>
        <w:t>(b)</w:t>
      </w:r>
      <w:r>
        <w:tab/>
        <w:t>agree to supply, or cause or permit a supply;</w:t>
      </w:r>
    </w:p>
    <w:p>
      <w:pPr>
        <w:pStyle w:val="Defstart"/>
        <w:keepNext/>
      </w:pPr>
      <w:r>
        <w:rPr>
          <w:b/>
        </w:rPr>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 and</w:t>
      </w:r>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332"/>
          <w:tab w:val="right" w:pos="1330"/>
          <w:tab w:val="left" w:pos="1624"/>
        </w:tabs>
        <w:ind w:left="1638" w:hanging="1638"/>
      </w:pPr>
      <w:r>
        <w:tab/>
        <w:t>[(c)</w:t>
      </w:r>
      <w: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Defstart"/>
        <w:keepNext/>
      </w:pPr>
      <w:r>
        <w:lastRenderedPageBreak/>
        <w:tab/>
      </w:r>
      <w:r>
        <w:rPr>
          <w:rStyle w:val="CharDefText"/>
        </w:rPr>
        <w:t>transfer</w:t>
      </w:r>
      <w:r>
        <w:t xml:space="preserve">, in relation to ownership of a dog, includes — </w:t>
      </w:r>
    </w:p>
    <w:p>
      <w:pPr>
        <w:pStyle w:val="Defpara"/>
      </w:pPr>
      <w:r>
        <w:tab/>
        <w:t>(a)</w:t>
      </w:r>
      <w:r>
        <w:tab/>
        <w:t>sell, trade, give away, take consideration for and transfer ownership of; and</w:t>
      </w:r>
    </w:p>
    <w:p>
      <w:pPr>
        <w:pStyle w:val="Defpara"/>
      </w:pPr>
      <w:r>
        <w:tab/>
        <w:t>(b)</w:t>
      </w:r>
      <w:r>
        <w:tab/>
        <w:t>to reclaim from a dog management facility;</w:t>
      </w:r>
    </w:p>
    <w:p>
      <w:pPr>
        <w:pStyle w:val="Defstart"/>
      </w:pPr>
      <w:r>
        <w:tab/>
      </w:r>
      <w:r>
        <w:rPr>
          <w:rStyle w:val="CharDefText"/>
        </w:rPr>
        <w:t>vehicle</w:t>
      </w:r>
      <w:r>
        <w:t xml:space="preserve"> means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caravan or campervan that is reasonably suspected not to be permanently or semi</w:t>
      </w:r>
      <w:r>
        <w:noBreakHyphen/>
        <w:t>permanently stationary in a single location,</w:t>
      </w:r>
    </w:p>
    <w:p>
      <w:pPr>
        <w:pStyle w:val="Defstart"/>
      </w:pPr>
      <w:r>
        <w:tab/>
        <w:t>and it does not matter how the thing, caravan or campervan is moved or propelled;</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rPr>
          <w:b/>
        </w:rPr>
        <w:tab/>
      </w:r>
      <w:r>
        <w:rPr>
          <w:rStyle w:val="CharDefText"/>
        </w:rPr>
        <w:t>working</w:t>
      </w:r>
      <w:r>
        <w:rPr>
          <w:bCs/>
        </w:rPr>
        <w:t>,</w:t>
      </w:r>
      <w:r>
        <w:t xml:space="preserve"> in relation to a commercial security dog, means guarding or protecting premises that are not dwellings and that are not the premises of the dog’s owner.</w:t>
      </w:r>
    </w:p>
    <w:p>
      <w:pPr>
        <w:pStyle w:val="Subsection"/>
      </w:pPr>
      <w:r>
        <w:tab/>
        <w:t>(1A)</w:t>
      </w:r>
      <w:r>
        <w:tab/>
        <w:t xml:space="preserve">For the purposes of this Act, a dog is </w:t>
      </w:r>
      <w:r>
        <w:rPr>
          <w:rStyle w:val="CharDefText"/>
        </w:rPr>
        <w:t>sterilised</w:t>
      </w:r>
      <w:r>
        <w:t xml:space="preserve"> if the dog has been made permanently infertile.</w:t>
      </w:r>
    </w:p>
    <w:p>
      <w:pPr>
        <w:pStyle w:val="Subsection"/>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Subsection"/>
        <w:keepNext/>
      </w:pPr>
      <w:r>
        <w:tab/>
        <w:t>(3)</w:t>
      </w:r>
      <w:r>
        <w:tab/>
        <w:t xml:space="preserve">In the case of a dog that is not registered, but is microchipped, a person whose name is recorded as the owner of the dog in a </w:t>
      </w:r>
      <w:r>
        <w:lastRenderedPageBreak/>
        <w:t>microchip database is to be taken, in the absence of evidence to the contrary, to be a person by whom the dog is ordinarily kept.</w:t>
      </w:r>
    </w:p>
    <w:p>
      <w:pPr>
        <w:pStyle w:val="Footnotesection"/>
      </w:pPr>
      <w:r>
        <w:tab/>
        <w:t>[Section 3 amended: No. 23 of 1987 s. 4; No. 14 of 1996 s. 4; No. 24 of 1996 s. 4; No. 81 of 1996 s. 153(1); No. 31 of 1997 s. 141; No. 10 of 1998 s. 29(1); No. 38 of 2005 s. 15; No. 60 of 2006 s. 132; No. 18 of 2013 s. 4; No. 19 of 2016 s. 130; No. 16 of 2019 s. 106; No. 19 of 2021 s. 230(2)</w:t>
      </w:r>
      <w:r>
        <w:noBreakHyphen/>
        <w:t xml:space="preserve">(4); No. 29 of 2021 s. 8(1)-(7).] </w:t>
      </w:r>
    </w:p>
    <w:p>
      <w:pPr>
        <w:pStyle w:val="Ednotesection"/>
      </w:pPr>
      <w:r>
        <w:t>[</w:t>
      </w:r>
      <w:r>
        <w:rPr>
          <w:b/>
        </w:rPr>
        <w:t>4.</w:t>
      </w:r>
      <w:r>
        <w:tab/>
        <w:t xml:space="preserve">Deleted: No. 23 of 1987 s. 5.] </w:t>
      </w:r>
    </w:p>
    <w:p>
      <w:pPr>
        <w:pStyle w:val="Ednotesection"/>
      </w:pPr>
      <w:r>
        <w:t>[</w:t>
      </w:r>
      <w:r>
        <w:rPr>
          <w:b/>
        </w:rPr>
        <w:t>5.</w:t>
      </w:r>
      <w:r>
        <w:tab/>
        <w:t>Omitted under the Reprints Act 1984 s. 7(4)(f) and (g).]</w:t>
      </w:r>
    </w:p>
    <w:p>
      <w:pPr>
        <w:pStyle w:val="Heading5"/>
        <w:rPr>
          <w:snapToGrid w:val="0"/>
        </w:rPr>
      </w:pPr>
      <w:bookmarkStart w:id="10" w:name="_Toc183507276"/>
      <w:r>
        <w:rPr>
          <w:rStyle w:val="CharSectno"/>
        </w:rPr>
        <w:t>6</w:t>
      </w:r>
      <w:r>
        <w:rPr>
          <w:snapToGrid w:val="0"/>
        </w:rPr>
        <w:t>.</w:t>
      </w:r>
      <w:r>
        <w:rPr>
          <w:snapToGrid w:val="0"/>
        </w:rPr>
        <w:tab/>
        <w:t>Application</w:t>
      </w:r>
      <w:bookmarkEnd w:id="10"/>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sterilised or unsterilised,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keepNext/>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keepNext/>
      </w:pPr>
      <w:r>
        <w:tab/>
        <w:t>(b)</w:t>
      </w:r>
      <w:r>
        <w:tab/>
        <w:t>a person deemed under section 46(5) to be the owner,</w:t>
      </w:r>
    </w:p>
    <w:p>
      <w:pPr>
        <w:pStyle w:val="Subsection"/>
        <w:keepNext/>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keepLines/>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pPr>
      <w:r>
        <w:lastRenderedPageBreak/>
        <w:tab/>
        <w:t>(4)</w:t>
      </w:r>
      <w:r>
        <w:tab/>
        <w:t>The provisions of this Act do not apply to or in relation to a dog that is kept for the purposes of the Crown.</w:t>
      </w:r>
    </w:p>
    <w:p>
      <w:pPr>
        <w:pStyle w:val="Subsection"/>
      </w:pPr>
      <w:r>
        <w:tab/>
        <w:t>(5)</w:t>
      </w:r>
      <w:r>
        <w:tab/>
        <w:t>Notwithstanding anything in this Act or any other written law, a person who is a public officer is not guilty of an offence by reason only that the person takes a dog into a place in the performance of the person’s functions as a public officer.</w:t>
      </w:r>
    </w:p>
    <w:p>
      <w:pPr>
        <w:pStyle w:val="Subsection"/>
        <w:keepNext/>
      </w:pPr>
      <w:r>
        <w:tab/>
        <w:t>(6)</w:t>
      </w:r>
      <w:r>
        <w:tab/>
        <w:t xml:space="preserve">In subsection (5) — </w:t>
      </w:r>
    </w:p>
    <w:p>
      <w:pPr>
        <w:pStyle w:val="Defstart"/>
        <w:keepNext/>
      </w:pPr>
      <w:r>
        <w:tab/>
      </w:r>
      <w:r>
        <w:rPr>
          <w:rStyle w:val="CharDefText"/>
        </w:rPr>
        <w:t>public officer</w:t>
      </w:r>
      <w:r>
        <w:t xml:space="preserve"> means — </w:t>
      </w:r>
    </w:p>
    <w:p>
      <w:pPr>
        <w:pStyle w:val="Defpara"/>
      </w:pPr>
      <w:r>
        <w:tab/>
        <w:t>(a)</w:t>
      </w:r>
      <w:r>
        <w:tab/>
        <w:t>a police officer; or</w:t>
      </w:r>
    </w:p>
    <w:p>
      <w:pPr>
        <w:pStyle w:val="Defpara"/>
      </w:pPr>
      <w:r>
        <w:tab/>
        <w:t>(b)</w:t>
      </w:r>
      <w:r>
        <w:tab/>
        <w:t xml:space="preserve">a prison officer as defined in the </w:t>
      </w:r>
      <w:r>
        <w:rPr>
          <w:i/>
          <w:iCs/>
        </w:rPr>
        <w:t>Prisons Act 1981</w:t>
      </w:r>
      <w:r>
        <w:t xml:space="preserve"> section 3(1); or</w:t>
      </w:r>
    </w:p>
    <w:p>
      <w:pPr>
        <w:pStyle w:val="Defpara"/>
      </w:pPr>
      <w:r>
        <w:tab/>
        <w:t>(c)</w:t>
      </w:r>
      <w:r>
        <w:tab/>
        <w:t xml:space="preserve">a contract worker as defined in the </w:t>
      </w:r>
      <w:r>
        <w:rPr>
          <w:i/>
        </w:rPr>
        <w:t>Prisons Act 1981</w:t>
      </w:r>
      <w:r>
        <w:t xml:space="preserve"> section 15A; or</w:t>
      </w:r>
    </w:p>
    <w:p>
      <w:pPr>
        <w:pStyle w:val="Defpara"/>
        <w:keepNext/>
      </w:pPr>
      <w:r>
        <w:tab/>
        <w:t>(d)</w:t>
      </w:r>
      <w:r>
        <w:tab/>
        <w:t xml:space="preserve">a member of — </w:t>
      </w:r>
    </w:p>
    <w:p>
      <w:pPr>
        <w:pStyle w:val="Defsubpara"/>
        <w:keepLines w:val="0"/>
      </w:pPr>
      <w:r>
        <w:tab/>
        <w:t>(i)</w:t>
      </w:r>
      <w:r>
        <w:tab/>
        <w:t>the armed forces of the Commonwealth; or</w:t>
      </w:r>
    </w:p>
    <w:p>
      <w:pPr>
        <w:pStyle w:val="Defsubpara"/>
        <w:keepLines w:val="0"/>
      </w:pPr>
      <w:r>
        <w:tab/>
        <w:t>(ii)</w:t>
      </w:r>
      <w:r>
        <w:tab/>
        <w:t>the Australian Federal Police; or</w:t>
      </w:r>
    </w:p>
    <w:p>
      <w:pPr>
        <w:pStyle w:val="Defsubpara"/>
        <w:keepLines w:val="0"/>
      </w:pPr>
      <w:r>
        <w:tab/>
        <w:t>(iii)</w:t>
      </w:r>
      <w:r>
        <w:tab/>
        <w:t>the Australian Quarantine and Inspection Service; or</w:t>
      </w:r>
    </w:p>
    <w:p>
      <w:pPr>
        <w:pStyle w:val="Defsubpara"/>
      </w:pPr>
      <w:r>
        <w:tab/>
        <w:t>(iv)</w:t>
      </w:r>
      <w:r>
        <w:tab/>
        <w:t>the Australian Customs Service;</w:t>
      </w:r>
    </w:p>
    <w:p>
      <w:pPr>
        <w:pStyle w:val="Defpara"/>
      </w:pPr>
      <w:r>
        <w:tab/>
      </w:r>
      <w:r>
        <w:tab/>
        <w:t>or</w:t>
      </w:r>
    </w:p>
    <w:p>
      <w:pPr>
        <w:pStyle w:val="Defpara"/>
        <w:keepNext/>
      </w:pPr>
      <w:r>
        <w:tab/>
        <w:t>(e)</w:t>
      </w:r>
      <w:r>
        <w:tab/>
        <w:t>a person of a prescribed class.</w:t>
      </w:r>
    </w:p>
    <w:p>
      <w:pPr>
        <w:pStyle w:val="Footnotesection"/>
        <w:spacing w:before="100"/>
        <w:ind w:left="890" w:hanging="890"/>
      </w:pPr>
      <w:r>
        <w:tab/>
        <w:t>[Section 6 amended: No. 64 of 1983 s. 3; No. 23 of 1987 s. 6; No. 24 of 1996 s. 5; No. 10 of 1998 s. 29(2); No. 18 of 2013 s. 5.]</w:t>
      </w:r>
    </w:p>
    <w:p>
      <w:pPr>
        <w:pStyle w:val="Heading5"/>
        <w:spacing w:before="200"/>
        <w:rPr>
          <w:snapToGrid w:val="0"/>
        </w:rPr>
      </w:pPr>
      <w:bookmarkStart w:id="11" w:name="_Toc183507277"/>
      <w:r>
        <w:rPr>
          <w:rStyle w:val="CharSectno"/>
        </w:rPr>
        <w:t>7</w:t>
      </w:r>
      <w:r>
        <w:rPr>
          <w:snapToGrid w:val="0"/>
        </w:rPr>
        <w:t>.</w:t>
      </w:r>
      <w:r>
        <w:rPr>
          <w:snapToGrid w:val="0"/>
        </w:rPr>
        <w:tab/>
        <w:t>Dogs to be registered</w:t>
      </w:r>
      <w:bookmarkEnd w:id="11"/>
      <w:r>
        <w:rPr>
          <w:snapToGrid w:val="0"/>
        </w:rPr>
        <w:t xml:space="preserve"> </w:t>
      </w:r>
    </w:p>
    <w:p>
      <w:pPr>
        <w:pStyle w:val="Subsection"/>
        <w:keepNext/>
      </w:pPr>
      <w:r>
        <w:tab/>
        <w:t>(1)</w:t>
      </w:r>
      <w:r>
        <w:tab/>
        <w:t xml:space="preserve">Subject to subsections (1a) and (3), if a dog is not registered under this Act or the law of another State or a Territory each of the following persons commits an offence — </w:t>
      </w:r>
    </w:p>
    <w:p>
      <w:pPr>
        <w:pStyle w:val="Indenta"/>
      </w:pPr>
      <w:r>
        <w:tab/>
        <w:t>(a)</w:t>
      </w:r>
      <w:r>
        <w:tab/>
        <w:t>the owner of the dog;</w:t>
      </w:r>
    </w:p>
    <w:p>
      <w:pPr>
        <w:pStyle w:val="Indenta"/>
        <w:keepNext/>
      </w:pPr>
      <w:r>
        <w:lastRenderedPageBreak/>
        <w:tab/>
        <w:t>(b)</w:t>
      </w:r>
      <w:r>
        <w:tab/>
        <w:t>if the dog is ordinarily kept or permitted to live in or at premises in Western Australia, the occupier of the premises.</w:t>
      </w:r>
    </w:p>
    <w:p>
      <w:pPr>
        <w:pStyle w:val="Penstart"/>
      </w:pPr>
      <w:r>
        <w:tab/>
        <w:t>Penalty for this subsection:</w:t>
      </w:r>
    </w:p>
    <w:p>
      <w:pPr>
        <w:pStyle w:val="Penpara"/>
      </w:pPr>
      <w:r>
        <w:tab/>
        <w:t>(a)</w:t>
      </w:r>
      <w:r>
        <w:tab/>
        <w:t>for an offence relating to a dangerous dog, a fine of $10 000;</w:t>
      </w:r>
    </w:p>
    <w:p>
      <w:pPr>
        <w:pStyle w:val="Penpara"/>
      </w:pPr>
      <w:r>
        <w:tab/>
        <w:t>(b)</w:t>
      </w:r>
      <w:r>
        <w:tab/>
        <w:t>for an offence relating to a dog other than a dangerous dog, a fine of $5 000.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keepNext/>
        <w:rPr>
          <w:snapToGrid w:val="0"/>
        </w:rPr>
      </w:pPr>
      <w:r>
        <w:rPr>
          <w:snapToGrid w:val="0"/>
        </w:rPr>
        <w:tab/>
        <w:t>(3)</w:t>
      </w:r>
      <w:r>
        <w:rPr>
          <w:snapToGrid w:val="0"/>
        </w:rPr>
        <w:tab/>
        <w:t>The provisions of this section do not apply to — </w:t>
      </w:r>
    </w:p>
    <w:p>
      <w:pPr>
        <w:pStyle w:val="Indenta"/>
      </w:pPr>
      <w:r>
        <w:tab/>
        <w:t>(a)</w:t>
      </w:r>
      <w:r>
        <w:tab/>
        <w:t>a dog under the age of 3 months; or</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 or</w:t>
      </w:r>
    </w:p>
    <w:p>
      <w:pPr>
        <w:pStyle w:val="Indenta"/>
        <w:keepNext/>
      </w:pPr>
      <w:r>
        <w:tab/>
        <w:t>(b)</w:t>
      </w:r>
      <w:r>
        <w:tab/>
        <w:t>a dog held in the custody of — </w:t>
      </w:r>
    </w:p>
    <w:p>
      <w:pPr>
        <w:pStyle w:val="Indenti"/>
        <w:rPr>
          <w:snapToGrid w:val="0"/>
        </w:rPr>
      </w:pPr>
      <w:r>
        <w:rPr>
          <w:snapToGrid w:val="0"/>
        </w:rPr>
        <w:tab/>
        <w:t>(i)</w:t>
      </w:r>
      <w:r>
        <w:rPr>
          <w:snapToGrid w:val="0"/>
        </w:rPr>
        <w:tab/>
        <w:t>The Royal Society for the Prevention of Cruelty to Animals, Western Australia</w:t>
      </w:r>
      <w:r>
        <w:rPr>
          <w:snapToGrid w:val="0"/>
          <w:vertAlign w:val="superscript"/>
        </w:rPr>
        <w:t>6</w:t>
      </w:r>
      <w:r>
        <w:rPr>
          <w:snapToGrid w:val="0"/>
        </w:rPr>
        <w:t>; or</w:t>
      </w:r>
    </w:p>
    <w:p>
      <w:pPr>
        <w:pStyle w:val="Indenti"/>
        <w:rPr>
          <w:snapToGrid w:val="0"/>
        </w:rPr>
      </w:pPr>
      <w:r>
        <w:rPr>
          <w:snapToGrid w:val="0"/>
        </w:rPr>
        <w:tab/>
        <w:t>(ii)</w:t>
      </w:r>
      <w:r>
        <w:rPr>
          <w:snapToGrid w:val="0"/>
        </w:rPr>
        <w:tab/>
        <w:t>the Dogs Refuge Home (W.A.) Inc.; or</w:t>
      </w:r>
    </w:p>
    <w:p>
      <w:pPr>
        <w:pStyle w:val="Indenti"/>
        <w:keepNext/>
        <w:rPr>
          <w:snapToGrid w:val="0"/>
        </w:rPr>
      </w:pPr>
      <w:r>
        <w:rPr>
          <w:snapToGrid w:val="0"/>
        </w:rPr>
        <w:lastRenderedPageBreak/>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r>
        <w:t xml:space="preserve"> or</w:t>
      </w:r>
    </w:p>
    <w:p>
      <w:pPr>
        <w:pStyle w:val="Indenta"/>
        <w:keepNext/>
      </w:pPr>
      <w:r>
        <w:tab/>
        <w:t>(c)</w:t>
      </w:r>
      <w:r>
        <w:tab/>
        <w:t>a dog held in the custody of — </w:t>
      </w:r>
    </w:p>
    <w:p>
      <w:pPr>
        <w:pStyle w:val="Indenti"/>
      </w:pPr>
      <w:r>
        <w:tab/>
        <w:t>(i)</w:t>
      </w:r>
      <w:r>
        <w:tab/>
        <w:t>a veterinarian, or a person acting on a veterinarian’s behalf, in the course of the veterinarian’s professional practice; or</w:t>
      </w:r>
    </w:p>
    <w:p>
      <w:pPr>
        <w:pStyle w:val="Indenti"/>
      </w:pPr>
      <w:r>
        <w:tab/>
        <w:t>(ii)</w:t>
      </w:r>
      <w:r>
        <w:tab/>
        <w:t>a police officer in the performance of the officer’s functions; or</w:t>
      </w:r>
    </w:p>
    <w:p>
      <w:pPr>
        <w:pStyle w:val="Indenti"/>
        <w:keepNext/>
      </w:pPr>
      <w:r>
        <w:tab/>
        <w:t>(iii)</w:t>
      </w:r>
      <w:r>
        <w:tab/>
        <w:t>any other person in the performance of a function under this Act or any other written law;</w:t>
      </w:r>
    </w:p>
    <w:p>
      <w:pPr>
        <w:pStyle w:val="Indenta"/>
      </w:pPr>
      <w:r>
        <w:tab/>
      </w:r>
      <w:r>
        <w:tab/>
        <w:t>or</w:t>
      </w:r>
    </w:p>
    <w:p>
      <w:pPr>
        <w:pStyle w:val="Indenta"/>
        <w:keepNext/>
      </w:pPr>
      <w:r>
        <w:tab/>
        <w:t>(d)</w:t>
      </w:r>
      <w:r>
        <w:tab/>
        <w:t xml:space="preserve">a greyhound that is registered under the </w:t>
      </w:r>
      <w:r>
        <w:rPr>
          <w:i/>
        </w:rPr>
        <w:t>Racing and Wagering Western Australia Act 2003</w:t>
      </w:r>
      <w:r>
        <w:t xml:space="preserve"> section 41 while the registration is in effect.</w:t>
      </w:r>
    </w:p>
    <w:p>
      <w:pPr>
        <w:pStyle w:val="Footnotesection"/>
      </w:pPr>
      <w:r>
        <w:tab/>
        <w:t xml:space="preserve">[Section 7 amended: No. 57 of 1977 s. 2; No. 23 of 1987 s. 7; No. 24 of 1996 s. 16; No. 55 of 2004 s. 252 and 268; No. 18 of 2013 s. 6; No. 19 of 2021 s. 230(5); No. 29 of 2021 s. 9(1).] </w:t>
      </w:r>
    </w:p>
    <w:p>
      <w:pPr>
        <w:pStyle w:val="Heading5"/>
      </w:pPr>
      <w:bookmarkStart w:id="12" w:name="_Toc183507278"/>
      <w:r>
        <w:rPr>
          <w:rStyle w:val="CharSectno"/>
        </w:rPr>
        <w:t>8</w:t>
      </w:r>
      <w:r>
        <w:t>.</w:t>
      </w:r>
      <w:r>
        <w:tab/>
        <w:t>Assistance dogs</w:t>
      </w:r>
      <w:bookmarkEnd w:id="12"/>
    </w:p>
    <w:p>
      <w:pPr>
        <w:pStyle w:val="Subsection"/>
        <w:keepNext/>
      </w:pPr>
      <w:r>
        <w:tab/>
        <w:t>(1)</w:t>
      </w:r>
      <w:r>
        <w:tab/>
        <w:t xml:space="preserve">In this section — </w:t>
      </w:r>
    </w:p>
    <w:p>
      <w:pPr>
        <w:pStyle w:val="Defstart"/>
        <w:keepNext/>
      </w:pPr>
      <w:r>
        <w:tab/>
      </w:r>
      <w:r>
        <w:rPr>
          <w:rStyle w:val="CharDefText"/>
        </w:rPr>
        <w:t>assistance dog</w:t>
      </w:r>
      <w:r>
        <w:t xml:space="preserve"> means a dog — </w:t>
      </w:r>
    </w:p>
    <w:p>
      <w:pPr>
        <w:pStyle w:val="Defpara"/>
      </w:pPr>
      <w:r>
        <w:tab/>
        <w:t>(a)</w:t>
      </w:r>
      <w:r>
        <w:tab/>
        <w:t>that is trained or is being trained by a representative of an organisation that is prescribed for the purposes of this definition; or</w:t>
      </w:r>
    </w:p>
    <w:p>
      <w:pPr>
        <w:pStyle w:val="Defpara"/>
      </w:pPr>
      <w:r>
        <w:tab/>
        <w:t>(b)</w:t>
      </w:r>
      <w:r>
        <w:tab/>
        <w:t>that is trained or is being trained by an individual having the qualifications and experience prescribed for the purposes of this definition; or</w:t>
      </w:r>
    </w:p>
    <w:p>
      <w:pPr>
        <w:pStyle w:val="Defpara"/>
      </w:pPr>
      <w:r>
        <w:tab/>
        <w:t>(c)</w:t>
      </w:r>
      <w:r>
        <w:tab/>
        <w:t>that is assessed by a person mentioned in paragraph (a) or (b) as being competent to be an assistance dog; or</w:t>
      </w:r>
    </w:p>
    <w:p>
      <w:pPr>
        <w:pStyle w:val="Defpara"/>
      </w:pPr>
      <w:r>
        <w:lastRenderedPageBreak/>
        <w:tab/>
        <w:t>(d)</w:t>
      </w:r>
      <w:r>
        <w:tab/>
        <w:t>that is being assessed by a person mentioned in paragraph (a) or (b) to decide whether the dog is competent to be an assistance dog; or</w:t>
      </w:r>
    </w:p>
    <w:p>
      <w:pPr>
        <w:pStyle w:val="Defpara"/>
      </w:pPr>
      <w:r>
        <w:tab/>
        <w:t>(e)</w:t>
      </w:r>
      <w:r>
        <w:tab/>
        <w:t>that has been approved, for the purposes of a law of another State or a Territory, as a dog whose use can alleviate or manage an effect of a person’s disability or medical condition; or</w:t>
      </w:r>
    </w:p>
    <w:p>
      <w:pPr>
        <w:pStyle w:val="Defpara"/>
      </w:pPr>
      <w:r>
        <w:tab/>
        <w:t>(f)</w:t>
      </w:r>
      <w:r>
        <w:tab/>
        <w:t>that is approved by the CEO for the purposes of this definition.</w:t>
      </w:r>
    </w:p>
    <w:p>
      <w:pPr>
        <w:pStyle w:val="Subsection"/>
        <w:keepNext/>
      </w:pPr>
      <w:r>
        <w:tab/>
        <w:t>(2)</w:t>
      </w:r>
      <w:r>
        <w:tab/>
        <w:t xml:space="preserve">A person mentioned in subsection (3) — </w:t>
      </w:r>
    </w:p>
    <w:p>
      <w:pPr>
        <w:pStyle w:val="Indenta"/>
      </w:pPr>
      <w:r>
        <w:tab/>
        <w:t>(a)</w:t>
      </w:r>
      <w:r>
        <w:tab/>
        <w:t>is entitled to be accompanied by an assistance dog, in any building or place open to or used by the public, for any purpose, or in any public transport; and</w:t>
      </w:r>
    </w:p>
    <w:p>
      <w:pPr>
        <w:pStyle w:val="Indenta"/>
      </w:pPr>
      <w:r>
        <w:tab/>
        <w:t>(b)</w:t>
      </w:r>
      <w:r>
        <w:tab/>
        <w:t>is not guilty of an offence by reason only that he or she takes that dog into or permits that dog to enter any building or place open to or used by the public or on any public transport.</w:t>
      </w:r>
    </w:p>
    <w:p>
      <w:pPr>
        <w:pStyle w:val="Subsection"/>
        <w:keepNext/>
      </w:pPr>
      <w:r>
        <w:tab/>
        <w:t>(3)</w:t>
      </w:r>
      <w:r>
        <w:tab/>
        <w:t xml:space="preserve">The persons to whom subsection (2) applies are as follows — </w:t>
      </w:r>
    </w:p>
    <w:p>
      <w:pPr>
        <w:pStyle w:val="Indenta"/>
      </w:pPr>
      <w:r>
        <w:tab/>
        <w:t>(a)</w:t>
      </w:r>
      <w:r>
        <w:tab/>
        <w:t>a person who has a disability or medical condition an effect of which can be alleviated or managed by the use of an assistance dog;</w:t>
      </w:r>
    </w:p>
    <w:p>
      <w:pPr>
        <w:pStyle w:val="Indenta"/>
      </w:pPr>
      <w:r>
        <w:tab/>
        <w:t>(b)</w:t>
      </w:r>
      <w:r>
        <w:tab/>
        <w:t xml:space="preserve">a person who is training or assessing an assistance dog and who is a representative of an organisation mentioned in the definition of </w:t>
      </w:r>
      <w:r>
        <w:rPr>
          <w:b/>
          <w:i/>
        </w:rPr>
        <w:t>assistance dog</w:t>
      </w:r>
      <w:r>
        <w:t xml:space="preserve"> paragraph (a);</w:t>
      </w:r>
    </w:p>
    <w:p>
      <w:pPr>
        <w:pStyle w:val="Indenta"/>
      </w:pPr>
      <w:r>
        <w:tab/>
        <w:t>(c)</w:t>
      </w:r>
      <w:r>
        <w:tab/>
        <w:t xml:space="preserve">a person who is training or assessing an assistance dog and who is an individual mentioned in the definition of </w:t>
      </w:r>
      <w:r>
        <w:rPr>
          <w:b/>
          <w:i/>
        </w:rPr>
        <w:t>assistance dog</w:t>
      </w:r>
      <w:r>
        <w:t xml:space="preserve"> paragraph (b);</w:t>
      </w:r>
    </w:p>
    <w:p>
      <w:pPr>
        <w:pStyle w:val="Defpara"/>
      </w:pPr>
      <w:r>
        <w:tab/>
        <w:t>(d)</w:t>
      </w:r>
      <w:r>
        <w:tab/>
        <w:t>an individual person who is approved by the CEO as a person to whom subsection (2) applies.</w:t>
      </w:r>
    </w:p>
    <w:p>
      <w:pPr>
        <w:pStyle w:val="Subsection"/>
        <w:keepNext/>
      </w:pPr>
      <w:r>
        <w:lastRenderedPageBreak/>
        <w:tab/>
        <w:t>(4)</w:t>
      </w:r>
      <w:r>
        <w:tab/>
        <w:t xml:space="preserve">The CEO may, on application, approve — </w:t>
      </w:r>
    </w:p>
    <w:p>
      <w:pPr>
        <w:pStyle w:val="Indenta"/>
      </w:pPr>
      <w:r>
        <w:tab/>
        <w:t>(a)</w:t>
      </w:r>
      <w:r>
        <w:tab/>
        <w:t>an individual person to be a person to whom subsection (2) applies; or</w:t>
      </w:r>
    </w:p>
    <w:p>
      <w:pPr>
        <w:pStyle w:val="Indenta"/>
      </w:pPr>
      <w:r>
        <w:tab/>
        <w:t>(b)</w:t>
      </w:r>
      <w:r>
        <w:tab/>
        <w:t>a particular dog to be an assistance dog for the purposes of the definition in subsection (1).</w:t>
      </w:r>
    </w:p>
    <w:p>
      <w:pPr>
        <w:pStyle w:val="Subsection"/>
        <w:keepNext/>
      </w:pPr>
      <w:r>
        <w:tab/>
        <w:t>(5)</w:t>
      </w:r>
      <w:r>
        <w:tab/>
        <w:t xml:space="preserve">An application under subsection (4) must be made in a manner and form approved by the CEO and accompanied by — </w:t>
      </w:r>
    </w:p>
    <w:p>
      <w:pPr>
        <w:pStyle w:val="Indenta"/>
      </w:pPr>
      <w:r>
        <w:tab/>
        <w:t>(a)</w:t>
      </w:r>
      <w:r>
        <w:tab/>
        <w:t>the prescribed fee, if any, for the application; and</w:t>
      </w:r>
    </w:p>
    <w:p>
      <w:pPr>
        <w:pStyle w:val="Indenta"/>
      </w:pPr>
      <w:r>
        <w:tab/>
        <w:t>(b)</w:t>
      </w:r>
      <w:r>
        <w:tab/>
        <w:t>each other thing that the CEO requires to accompany the application that will enable the CEO to make a decision.</w:t>
      </w:r>
    </w:p>
    <w:p>
      <w:pPr>
        <w:pStyle w:val="Subsection"/>
      </w:pPr>
      <w:r>
        <w:tab/>
        <w:t>(6)</w:t>
      </w:r>
      <w:r>
        <w:tab/>
        <w:t>The regulations may provide for the review by the State Administrative Tribunal of a decision of the CEO on an application under subsection (4).</w:t>
      </w:r>
    </w:p>
    <w:p>
      <w:pPr>
        <w:pStyle w:val="Subsection"/>
        <w:keepNext/>
      </w:pPr>
      <w:r>
        <w:tab/>
        <w:t>(7)</w:t>
      </w:r>
      <w:r>
        <w:tab/>
        <w:t>This section applies despite any other provision of this Act or other written law.</w:t>
      </w:r>
    </w:p>
    <w:p>
      <w:pPr>
        <w:pStyle w:val="Footnotesection"/>
      </w:pPr>
      <w:r>
        <w:tab/>
        <w:t xml:space="preserve">[Section 8 inserted: No. 18 of 2013 s. 7.] </w:t>
      </w:r>
    </w:p>
    <w:p>
      <w:pPr>
        <w:pStyle w:val="Heading2"/>
      </w:pPr>
      <w:bookmarkStart w:id="13" w:name="_Toc183090356"/>
      <w:bookmarkStart w:id="14" w:name="_Toc183182194"/>
      <w:bookmarkStart w:id="15" w:name="_Toc183419315"/>
      <w:bookmarkStart w:id="16" w:name="_Toc183423379"/>
      <w:bookmarkStart w:id="17" w:name="_Toc183507279"/>
      <w:r>
        <w:rPr>
          <w:rStyle w:val="CharPartNo"/>
        </w:rPr>
        <w:lastRenderedPageBreak/>
        <w:t>Part II</w:t>
      </w:r>
      <w:r>
        <w:rPr>
          <w:rStyle w:val="CharDivNo"/>
        </w:rPr>
        <w:t> </w:t>
      </w:r>
      <w:r>
        <w:t>—</w:t>
      </w:r>
      <w:r>
        <w:rPr>
          <w:rStyle w:val="CharDivText"/>
        </w:rPr>
        <w:t> </w:t>
      </w:r>
      <w:r>
        <w:rPr>
          <w:rStyle w:val="CharPartText"/>
        </w:rPr>
        <w:t>Administration</w:t>
      </w:r>
      <w:bookmarkEnd w:id="13"/>
      <w:bookmarkEnd w:id="14"/>
      <w:bookmarkEnd w:id="15"/>
      <w:bookmarkEnd w:id="16"/>
      <w:bookmarkEnd w:id="17"/>
      <w:r>
        <w:rPr>
          <w:rStyle w:val="CharPartText"/>
        </w:rPr>
        <w:t xml:space="preserve"> </w:t>
      </w:r>
    </w:p>
    <w:p>
      <w:pPr>
        <w:pStyle w:val="Heading5"/>
        <w:spacing w:before="240"/>
        <w:rPr>
          <w:snapToGrid w:val="0"/>
        </w:rPr>
      </w:pPr>
      <w:bookmarkStart w:id="18" w:name="_Toc183507280"/>
      <w:r>
        <w:rPr>
          <w:rStyle w:val="CharSectno"/>
        </w:rPr>
        <w:t>9</w:t>
      </w:r>
      <w:r>
        <w:rPr>
          <w:snapToGrid w:val="0"/>
        </w:rPr>
        <w:t>.</w:t>
      </w:r>
      <w:r>
        <w:rPr>
          <w:snapToGrid w:val="0"/>
        </w:rPr>
        <w:tab/>
        <w:t>Administrative responsibility</w:t>
      </w:r>
      <w:bookmarkEnd w:id="18"/>
      <w:r>
        <w:rPr>
          <w:snapToGrid w:val="0"/>
        </w:rPr>
        <w:t xml:space="preserve"> </w:t>
      </w:r>
    </w:p>
    <w:p>
      <w:pPr>
        <w:pStyle w:val="Subsection"/>
      </w:pPr>
      <w:r>
        <w:tab/>
        <w:t>(1)</w:t>
      </w:r>
      <w:r>
        <w:tab/>
        <w:t>It</w:t>
      </w:r>
      <w:r>
        <w:rPr>
          <w:snapToGrid w:val="0"/>
        </w:rPr>
        <w:t xml:space="preserve">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Subsection"/>
      </w:pPr>
      <w:r>
        <w:tab/>
        <w:t>(2)</w:t>
      </w:r>
      <w:r>
        <w:tab/>
        <w:t xml:space="preserve">Nothing in subsection (1) prevents the CEO from — </w:t>
      </w:r>
    </w:p>
    <w:p>
      <w:pPr>
        <w:pStyle w:val="Indenta"/>
      </w:pPr>
      <w:r>
        <w:tab/>
        <w:t>(a)</w:t>
      </w:r>
      <w:r>
        <w:tab/>
        <w:t>performing the CEO’s functions under this Act; or</w:t>
      </w:r>
    </w:p>
    <w:p>
      <w:pPr>
        <w:pStyle w:val="Indenta"/>
      </w:pPr>
      <w:r>
        <w:tab/>
        <w:t>(b)</w:t>
      </w:r>
      <w:r>
        <w:tab/>
        <w:t xml:space="preserve">doing anything the CEO considers appropriate for the purposes of performing those functions. </w:t>
      </w:r>
    </w:p>
    <w:p>
      <w:pPr>
        <w:pStyle w:val="Footnotesection"/>
        <w:ind w:left="890" w:hanging="890"/>
      </w:pPr>
      <w:r>
        <w:tab/>
        <w:t>[Section 9 amended: No. 14 of 1996 s. 4; No. 29 of 2021 s. 10.]</w:t>
      </w:r>
    </w:p>
    <w:p>
      <w:pPr>
        <w:pStyle w:val="Heading5"/>
      </w:pPr>
      <w:bookmarkStart w:id="19" w:name="_Toc91145097"/>
      <w:bookmarkStart w:id="20" w:name="_Toc183507281"/>
      <w:r>
        <w:rPr>
          <w:rStyle w:val="CharSectno"/>
        </w:rPr>
        <w:t>9A</w:t>
      </w:r>
      <w:r>
        <w:t>.</w:t>
      </w:r>
      <w:r>
        <w:tab/>
        <w:t>Delegation by CEO</w:t>
      </w:r>
      <w:bookmarkEnd w:id="19"/>
      <w:bookmarkEnd w:id="20"/>
    </w:p>
    <w:p>
      <w:pPr>
        <w:pStyle w:val="Subsection"/>
      </w:pPr>
      <w:r>
        <w:tab/>
        <w:t>(1)</w:t>
      </w:r>
      <w:r>
        <w:tab/>
        <w:t>The CEO may delegate to a person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Footnotesection"/>
      </w:pPr>
      <w:r>
        <w:tab/>
        <w:t>[Section 9A inserted: No. 29 of 2021 s. 11.]</w:t>
      </w:r>
    </w:p>
    <w:p>
      <w:pPr>
        <w:pStyle w:val="Heading5"/>
      </w:pPr>
      <w:bookmarkStart w:id="21" w:name="_Toc91145098"/>
      <w:bookmarkStart w:id="22" w:name="_Toc183507282"/>
      <w:r>
        <w:rPr>
          <w:rStyle w:val="CharSectno"/>
        </w:rPr>
        <w:lastRenderedPageBreak/>
        <w:t>9B</w:t>
      </w:r>
      <w:r>
        <w:t>.</w:t>
      </w:r>
      <w:r>
        <w:tab/>
        <w:t>Designated persons</w:t>
      </w:r>
      <w:bookmarkEnd w:id="21"/>
      <w:bookmarkEnd w:id="22"/>
    </w:p>
    <w:p>
      <w:pPr>
        <w:pStyle w:val="Subsection"/>
      </w:pPr>
      <w:r>
        <w:tab/>
        <w:t>(1)</w:t>
      </w:r>
      <w:r>
        <w:tab/>
        <w:t xml:space="preserve">The CEO may, in writing, authorise persons to perform the functions conferred on designated persons under this Act (each a </w:t>
      </w:r>
      <w:r>
        <w:rPr>
          <w:rStyle w:val="CharDefText"/>
        </w:rPr>
        <w:t>designated person</w:t>
      </w:r>
      <w:r>
        <w:t>).</w:t>
      </w:r>
    </w:p>
    <w:p>
      <w:pPr>
        <w:pStyle w:val="Subsection"/>
      </w:pPr>
      <w:r>
        <w:tab/>
        <w:t>(2)</w:t>
      </w:r>
      <w:r>
        <w:tab/>
        <w:t xml:space="preserve">An authorisation under this section may — </w:t>
      </w:r>
    </w:p>
    <w:p>
      <w:pPr>
        <w:pStyle w:val="Indenta"/>
      </w:pPr>
      <w:r>
        <w:tab/>
        <w:t>(a)</w:t>
      </w:r>
      <w:r>
        <w:tab/>
        <w:t>limit the functions of the designated person to functions specified in the authorisation; and</w:t>
      </w:r>
    </w:p>
    <w:p>
      <w:pPr>
        <w:pStyle w:val="Indenta"/>
      </w:pPr>
      <w:r>
        <w:tab/>
        <w:t>(b)</w:t>
      </w:r>
      <w:r>
        <w:tab/>
        <w:t>be cancelled by the CEO at any time.</w:t>
      </w:r>
    </w:p>
    <w:p>
      <w:pPr>
        <w:pStyle w:val="Subsection"/>
      </w:pPr>
      <w:r>
        <w:tab/>
        <w:t>(3)</w:t>
      </w:r>
      <w:r>
        <w:tab/>
        <w:t>The CEO is to issue to each designated person a certificate stating that the person is a designated person for the purposes of this Act.</w:t>
      </w:r>
    </w:p>
    <w:p>
      <w:pPr>
        <w:pStyle w:val="Subsection"/>
      </w:pPr>
      <w:r>
        <w:tab/>
        <w:t>(4)</w:t>
      </w:r>
      <w:r>
        <w:tab/>
        <w:t>A designated person must produce the certificate issued under subsection (3) at the reasonable request of a person in respect of whom the designated person exercises, has exercised, or is about to exercise any power under this Act.</w:t>
      </w:r>
    </w:p>
    <w:p>
      <w:pPr>
        <w:pStyle w:val="Footnotesection"/>
      </w:pPr>
      <w:r>
        <w:tab/>
        <w:t>[Section 9B inserted: No. 29 of 2021 s. 11.]</w:t>
      </w:r>
    </w:p>
    <w:p>
      <w:pPr>
        <w:pStyle w:val="Heading5"/>
        <w:spacing w:before="240"/>
        <w:rPr>
          <w:snapToGrid w:val="0"/>
        </w:rPr>
      </w:pPr>
      <w:bookmarkStart w:id="23" w:name="_Toc183507283"/>
      <w:r>
        <w:rPr>
          <w:rStyle w:val="CharSectno"/>
        </w:rPr>
        <w:t>10</w:t>
      </w:r>
      <w:r>
        <w:rPr>
          <w:snapToGrid w:val="0"/>
        </w:rPr>
        <w:t>.</w:t>
      </w:r>
      <w:r>
        <w:rPr>
          <w:snapToGrid w:val="0"/>
        </w:rPr>
        <w:tab/>
        <w:t>Dogs not kept in district</w:t>
      </w:r>
      <w:bookmarkEnd w:id="2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ind w:left="890" w:hanging="890"/>
      </w:pPr>
      <w:r>
        <w:tab/>
        <w:t xml:space="preserve">[Section 10 amended: No. 23 of 1987 s. 9; No. 14 of 1996 s. 4.] </w:t>
      </w:r>
    </w:p>
    <w:p>
      <w:pPr>
        <w:pStyle w:val="Heading5"/>
        <w:spacing w:before="240"/>
      </w:pPr>
      <w:bookmarkStart w:id="24" w:name="_Toc183507284"/>
      <w:r>
        <w:rPr>
          <w:rStyle w:val="CharSectno"/>
        </w:rPr>
        <w:t>10AA</w:t>
      </w:r>
      <w:r>
        <w:t>.</w:t>
      </w:r>
      <w:r>
        <w:tab/>
        <w:t xml:space="preserve">Delegation of </w:t>
      </w:r>
      <w:r>
        <w:rPr>
          <w:snapToGrid w:val="0"/>
        </w:rPr>
        <w:t>local</w:t>
      </w:r>
      <w:r>
        <w:t xml:space="preserve"> government powers and duties</w:t>
      </w:r>
      <w:bookmarkEnd w:id="24"/>
    </w:p>
    <w:p>
      <w:pPr>
        <w:pStyle w:val="Subsection"/>
      </w:pPr>
      <w:r>
        <w:tab/>
        <w:t>(1)</w:t>
      </w:r>
      <w:r>
        <w:tab/>
        <w:t xml:space="preserve">A local government may, by absolute majority as defined in the </w:t>
      </w:r>
      <w:r>
        <w:rPr>
          <w:i/>
          <w:iCs/>
        </w:rPr>
        <w:t>Local Government Act 1995</w:t>
      </w:r>
      <w:r>
        <w:t xml:space="preserve"> section 1.4, delegate to its chief executive officer any power or duty of the local government under another provision of this Act.</w:t>
      </w:r>
    </w:p>
    <w:p>
      <w:pPr>
        <w:pStyle w:val="Subsection"/>
      </w:pPr>
      <w:r>
        <w:lastRenderedPageBreak/>
        <w:tab/>
        <w:t>(2)</w:t>
      </w:r>
      <w:r>
        <w:tab/>
        <w:t>The delegation must be in writing.</w:t>
      </w:r>
    </w:p>
    <w:p>
      <w:pPr>
        <w:pStyle w:val="Subsection"/>
      </w:pPr>
      <w:r>
        <w:tab/>
        <w:t>(3)</w:t>
      </w:r>
      <w:r>
        <w:tab/>
        <w:t>The delegation may expressly authorise the delegate to further delegate the power or duty.</w:t>
      </w:r>
    </w:p>
    <w:p>
      <w:pPr>
        <w:pStyle w:val="Subsection"/>
      </w:pPr>
      <w:r>
        <w:tab/>
        <w:t>(4)</w:t>
      </w:r>
      <w:r>
        <w:tab/>
        <w:t>A local government’s chief executive officer who is exercising or performing a power or duty that has been delegated as authorised under this section, is to be taken to do so in accordance with the terms of the delegation unless the contrary is shown.</w:t>
      </w:r>
    </w:p>
    <w:p>
      <w:pPr>
        <w:pStyle w:val="Subsection"/>
        <w:widowControl w:val="0"/>
      </w:pPr>
      <w:r>
        <w:tab/>
        <w:t>(5)</w:t>
      </w:r>
      <w:r>
        <w:tab/>
        <w:t>Nothing in this section limits the ability of a local government’s chief executive officer to perform a function through an officer or agent.</w:t>
      </w:r>
    </w:p>
    <w:p>
      <w:pPr>
        <w:pStyle w:val="Footnotesection"/>
      </w:pPr>
      <w:r>
        <w:tab/>
        <w:t xml:space="preserve">[Section 10AA inserted: No. 18 of 2013 s. 8.] </w:t>
      </w:r>
    </w:p>
    <w:p>
      <w:pPr>
        <w:pStyle w:val="Heading5"/>
        <w:spacing w:before="180"/>
      </w:pPr>
      <w:bookmarkStart w:id="25" w:name="_Toc183507285"/>
      <w:r>
        <w:rPr>
          <w:rStyle w:val="CharSectno"/>
        </w:rPr>
        <w:t>10AB</w:t>
      </w:r>
      <w:r>
        <w:t>.</w:t>
      </w:r>
      <w:r>
        <w:tab/>
        <w:t>Register of, and review of, delegations</w:t>
      </w:r>
      <w:bookmarkEnd w:id="25"/>
    </w:p>
    <w:p>
      <w:pPr>
        <w:pStyle w:val="Subsection"/>
      </w:pPr>
      <w:r>
        <w:tab/>
        <w:t>(1)</w:t>
      </w:r>
      <w:r>
        <w:tab/>
        <w:t xml:space="preserve">The chief executive officer of a local government is to keep a register of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t>(2)</w:t>
      </w:r>
      <w:r>
        <w:tab/>
        <w:t xml:space="preserve">At least once every financial year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r>
      <w:r>
        <w:tab/>
        <w:t>are to be reviewed by the delegator.</w:t>
      </w:r>
    </w:p>
    <w:p>
      <w:pPr>
        <w:pStyle w:val="Footnotesection"/>
      </w:pPr>
      <w:r>
        <w:tab/>
        <w:t xml:space="preserve">[Section 10AB inserted: No. 18 of 2013 s. 8.] </w:t>
      </w:r>
    </w:p>
    <w:p>
      <w:pPr>
        <w:pStyle w:val="Heading5"/>
        <w:spacing w:before="180"/>
        <w:rPr>
          <w:snapToGrid w:val="0"/>
        </w:rPr>
      </w:pPr>
      <w:bookmarkStart w:id="26" w:name="_Toc183507286"/>
      <w:r>
        <w:rPr>
          <w:rStyle w:val="CharSectno"/>
        </w:rPr>
        <w:t>10A</w:t>
      </w:r>
      <w:r>
        <w:rPr>
          <w:snapToGrid w:val="0"/>
        </w:rPr>
        <w:t>.</w:t>
      </w:r>
      <w:r>
        <w:rPr>
          <w:snapToGrid w:val="0"/>
        </w:rPr>
        <w:tab/>
        <w:t>Payments to veterinarians towards cost of sterilisation</w:t>
      </w:r>
      <w:bookmarkEnd w:id="26"/>
    </w:p>
    <w:p>
      <w:pPr>
        <w:pStyle w:val="Subsection"/>
        <w:rPr>
          <w:snapToGrid w:val="0"/>
        </w:rPr>
      </w:pPr>
      <w:r>
        <w:rPr>
          <w:snapToGrid w:val="0"/>
        </w:rPr>
        <w:tab/>
        <w:t>(1)</w:t>
      </w:r>
      <w:r>
        <w:rPr>
          <w:snapToGrid w:val="0"/>
        </w:rPr>
        <w:tab/>
        <w:t>A local government may — </w:t>
      </w:r>
    </w:p>
    <w:p>
      <w:pPr>
        <w:pStyle w:val="Indenta"/>
      </w:pPr>
      <w:r>
        <w:tab/>
        <w:t>(a)</w:t>
      </w:r>
      <w:r>
        <w:tab/>
        <w:t>make payments to veterinarians towards the cost of sterilisation of a dog owned by an eligible person;</w:t>
      </w:r>
    </w:p>
    <w:p>
      <w:pPr>
        <w:pStyle w:val="Indenta"/>
      </w:pPr>
      <w:r>
        <w:lastRenderedPageBreak/>
        <w:tab/>
        <w:t>(b)</w:t>
      </w:r>
      <w:r>
        <w:tab/>
        <w:t>from time to time issue directions in writing to such veterinarians to be complied with as a condition of the receipt of a payment under paragraph (a).</w:t>
      </w:r>
    </w:p>
    <w:p>
      <w:pPr>
        <w:pStyle w:val="Subsection"/>
        <w:rPr>
          <w:snapToGrid w:val="0"/>
        </w:rPr>
      </w:pPr>
      <w:r>
        <w:rPr>
          <w:snapToGrid w:val="0"/>
        </w:rPr>
        <w:tab/>
        <w:t>(2)</w:t>
      </w:r>
      <w:r>
        <w:rPr>
          <w:snapToGrid w:val="0"/>
        </w:rPr>
        <w:tab/>
        <w:t xml:space="preserve">No payment shall be made under subsection (1)(a) to a </w:t>
      </w:r>
      <w:r>
        <w:t>veterinarian</w:t>
      </w:r>
      <w:r>
        <w:rPr>
          <w:snapToGrid w:val="0"/>
        </w:rPr>
        <w:t xml:space="preserve"> for the sterilisation of a dog unless the local government is satisfied that the </w:t>
      </w:r>
      <w:r>
        <w:t>veterinarian</w:t>
      </w:r>
      <w:r>
        <w:rPr>
          <w:snapToGrid w:val="0"/>
        </w:rPr>
        <w:t xml:space="preserve"> has complied with any direction issued under subsection (1)(b).</w:t>
      </w:r>
    </w:p>
    <w:p>
      <w:pPr>
        <w:pStyle w:val="Subsection"/>
        <w:keepNext/>
        <w:spacing w:before="180"/>
        <w:rPr>
          <w:snapToGrid w:val="0"/>
        </w:rPr>
      </w:pPr>
      <w:r>
        <w:rPr>
          <w:snapToGrid w:val="0"/>
        </w:rPr>
        <w:tab/>
        <w:t>(3)</w:t>
      </w:r>
      <w:r>
        <w:rPr>
          <w:snapToGrid w:val="0"/>
        </w:rPr>
        <w:tab/>
        <w:t>For the purposes of subsection (1) a person is an eligible person in relation to a local government if he — </w:t>
      </w:r>
    </w:p>
    <w:p>
      <w:pPr>
        <w:pStyle w:val="Indenta"/>
        <w:spacing w:before="100"/>
      </w:pPr>
      <w:r>
        <w:tab/>
        <w:t>(a)</w:t>
      </w:r>
      <w:r>
        <w:tab/>
        <w:t>is the registered owner of the dog whether or not the registration is in the district of that local government or in another district; and</w:t>
      </w:r>
    </w:p>
    <w:p>
      <w:pPr>
        <w:pStyle w:val="Indenta"/>
        <w:spacing w:before="100"/>
      </w:pPr>
      <w:r>
        <w:tab/>
        <w:t>(b)</w:t>
      </w:r>
      <w:r>
        <w:tab/>
        <w:t>resides in the district of that local government; and</w:t>
      </w:r>
    </w:p>
    <w:p>
      <w:pPr>
        <w:pStyle w:val="Indenta"/>
        <w:keepNext/>
        <w:spacing w:before="100"/>
      </w:pPr>
      <w:r>
        <w:tab/>
        <w:t>(c)</w:t>
      </w:r>
      <w:r>
        <w:tab/>
        <w:t>in the opinion of that local government, would suffer hardship in paying the whole of the cost of sterilisation of the dog.</w:t>
      </w:r>
    </w:p>
    <w:p>
      <w:pPr>
        <w:pStyle w:val="Footnotesection"/>
      </w:pPr>
      <w:r>
        <w:tab/>
        <w:t>[Section 10A inserted: No. 23 of 1987 s. 10; amended: No. 14 of 1996 s. 4; No. 19 of 2021 s. 230(6) and (7).]</w:t>
      </w:r>
    </w:p>
    <w:p>
      <w:pPr>
        <w:pStyle w:val="Heading5"/>
        <w:spacing w:before="240"/>
        <w:rPr>
          <w:snapToGrid w:val="0"/>
        </w:rPr>
      </w:pPr>
      <w:bookmarkStart w:id="27" w:name="_Toc183507287"/>
      <w:r>
        <w:rPr>
          <w:rStyle w:val="CharSectno"/>
        </w:rPr>
        <w:t>11</w:t>
      </w:r>
      <w:r>
        <w:rPr>
          <w:snapToGrid w:val="0"/>
        </w:rPr>
        <w:t>.</w:t>
      </w:r>
      <w:r>
        <w:rPr>
          <w:snapToGrid w:val="0"/>
        </w:rPr>
        <w:tab/>
        <w:t>Staff and services</w:t>
      </w:r>
      <w:bookmarkEnd w:id="27"/>
      <w:r>
        <w:rPr>
          <w:snapToGrid w:val="0"/>
        </w:rPr>
        <w:t xml:space="preserve"> </w:t>
      </w:r>
    </w:p>
    <w:p>
      <w:pPr>
        <w:pStyle w:val="Subsection"/>
        <w:spacing w:before="180"/>
        <w:rPr>
          <w:snapToGrid w:val="0"/>
        </w:rPr>
      </w:pPr>
      <w:r>
        <w:rPr>
          <w:snapToGrid w:val="0"/>
        </w:rPr>
        <w:tab/>
        <w:t>(1)</w:t>
      </w:r>
      <w:r>
        <w:rPr>
          <w:snapToGrid w:val="0"/>
        </w:rPr>
        <w:tab/>
        <w:t xml:space="preserve">For the purposes of this Act a local government may establish and maintain one or more </w:t>
      </w:r>
      <w:r>
        <w:t>dog management facilities</w:t>
      </w:r>
      <w:r>
        <w:rPr>
          <w:snapToGrid w:val="0"/>
        </w:rPr>
        <w:t xml:space="preserve"> and may appoint, under and subject to the provisions of the </w:t>
      </w:r>
      <w:r>
        <w:rPr>
          <w:i/>
          <w:snapToGrid w:val="0"/>
        </w:rPr>
        <w:t>Local Government Act 1995</w:t>
      </w:r>
      <w:r>
        <w:rPr>
          <w:snapToGrid w:val="0"/>
        </w:rPr>
        <w:t xml:space="preserve">, fit and proper persons to administer </w:t>
      </w:r>
      <w:r>
        <w:t>those facilities</w:t>
      </w:r>
      <w:r>
        <w:rPr>
          <w:snapToGrid w:val="0"/>
        </w:rPr>
        <w:t xml:space="preserve"> and otherwise to carry out the objects of this Act.</w:t>
      </w:r>
    </w:p>
    <w:p>
      <w:pPr>
        <w:pStyle w:val="Subsection"/>
        <w:spacing w:before="180"/>
        <w:rPr>
          <w:snapToGrid w:val="0"/>
        </w:rPr>
      </w:pPr>
      <w:r>
        <w:rPr>
          <w:snapToGrid w:val="0"/>
        </w:rPr>
        <w:tab/>
        <w:t>(2)</w:t>
      </w:r>
      <w:r>
        <w:rPr>
          <w:snapToGrid w:val="0"/>
        </w:rPr>
        <w:tab/>
        <w:t xml:space="preserve">Where each of 2 or more local governments desire to establish and maintain </w:t>
      </w:r>
      <w:r>
        <w:t>dog management facilities</w:t>
      </w:r>
      <w:r>
        <w:rPr>
          <w:snapToGrid w:val="0"/>
        </w:rPr>
        <w:t xml:space="preserve">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spacing w:before="180"/>
        <w:rPr>
          <w:snapToGrid w:val="0"/>
        </w:rPr>
      </w:pPr>
      <w:r>
        <w:rPr>
          <w:snapToGrid w:val="0"/>
        </w:rPr>
        <w:lastRenderedPageBreak/>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Subsection"/>
        <w:rPr>
          <w:snapToGrid w:val="0"/>
        </w:rPr>
      </w:pPr>
      <w:r>
        <w:tab/>
        <w:t>(4)</w:t>
      </w:r>
      <w:r>
        <w:tab/>
        <w:t xml:space="preserve">Subsection (3) is subject to the </w:t>
      </w:r>
      <w:r>
        <w:rPr>
          <w:i/>
        </w:rPr>
        <w:t>Public Health Act 2016</w:t>
      </w:r>
      <w:r>
        <w:t xml:space="preserve"> section 31.</w:t>
      </w:r>
    </w:p>
    <w:p>
      <w:pPr>
        <w:pStyle w:val="Subsection"/>
        <w:keepNext/>
      </w:pPr>
      <w:r>
        <w:tab/>
        <w:t>(5)</w:t>
      </w:r>
      <w:r>
        <w:tab/>
        <w:t xml:space="preserve">Subsection (3) does not apply to a person appointed under the </w:t>
      </w:r>
      <w:r>
        <w:rPr>
          <w:i/>
        </w:rPr>
        <w:t>Local Government Act 1995</w:t>
      </w:r>
      <w:r>
        <w:t xml:space="preserve"> section 9.10(2) to be an authorised person for the purposes of this Act.</w:t>
      </w:r>
    </w:p>
    <w:p>
      <w:pPr>
        <w:pStyle w:val="Footnotesection"/>
      </w:pPr>
      <w:r>
        <w:tab/>
        <w:t xml:space="preserve">[Section 11 amended: No. 14 of 1996 s. 4; No. 18 of 2013 s. 9; No. 19 of 2016 s. 131; No. 16 of 2019 s. 107.] </w:t>
      </w:r>
    </w:p>
    <w:p>
      <w:pPr>
        <w:pStyle w:val="Heading5"/>
      </w:pPr>
      <w:bookmarkStart w:id="28" w:name="_Toc183507288"/>
      <w:r>
        <w:rPr>
          <w:rStyle w:val="CharSectno"/>
        </w:rPr>
        <w:t>11A</w:t>
      </w:r>
      <w:r>
        <w:t>.</w:t>
      </w:r>
      <w:r>
        <w:tab/>
        <w:t>Authorised persons</w:t>
      </w:r>
      <w:bookmarkEnd w:id="28"/>
    </w:p>
    <w:p>
      <w:pPr>
        <w:pStyle w:val="Subsection"/>
        <w:keepNext/>
      </w:pPr>
      <w:r>
        <w:tab/>
      </w:r>
      <w:r>
        <w:tab/>
        <w:t xml:space="preserve">The chief executive officer of a local government must, under the </w:t>
      </w:r>
      <w:r>
        <w:rPr>
          <w:i/>
        </w:rPr>
        <w:t>Local Government Act 1995</w:t>
      </w:r>
      <w:r>
        <w:t xml:space="preserve"> section 9.10(2), appoint persons to be authorised persons for the purposes of this Act.</w:t>
      </w:r>
    </w:p>
    <w:p>
      <w:pPr>
        <w:pStyle w:val="Footnotesection"/>
      </w:pPr>
      <w:r>
        <w:tab/>
        <w:t>[Section 11A inserted: No. 16 of 2019 s. 108.]</w:t>
      </w:r>
    </w:p>
    <w:p>
      <w:pPr>
        <w:pStyle w:val="Heading5"/>
        <w:spacing w:before="240"/>
        <w:rPr>
          <w:snapToGrid w:val="0"/>
        </w:rPr>
      </w:pPr>
      <w:bookmarkStart w:id="29" w:name="_Toc183507289"/>
      <w:r>
        <w:rPr>
          <w:rStyle w:val="CharSectno"/>
        </w:rPr>
        <w:t>12</w:t>
      </w:r>
      <w:r>
        <w:rPr>
          <w:snapToGrid w:val="0"/>
        </w:rPr>
        <w:t>.</w:t>
      </w:r>
      <w:r>
        <w:rPr>
          <w:snapToGrid w:val="0"/>
        </w:rPr>
        <w:tab/>
        <w:t>Joint jurisdiction</w:t>
      </w:r>
      <w:bookmarkEnd w:id="29"/>
      <w:r>
        <w:rPr>
          <w:snapToGrid w:val="0"/>
        </w:rPr>
        <w:t xml:space="preserve"> </w:t>
      </w:r>
    </w:p>
    <w:p>
      <w:pPr>
        <w:pStyle w:val="Subsection"/>
        <w:spacing w:before="18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keepNext/>
        <w:spacing w:before="180"/>
        <w:rPr>
          <w:snapToGrid w:val="0"/>
        </w:rPr>
      </w:pPr>
      <w:r>
        <w:rPr>
          <w:snapToGrid w:val="0"/>
        </w:rPr>
        <w:tab/>
        <w:t>(2)</w:t>
      </w:r>
      <w:r>
        <w:rPr>
          <w:snapToGrid w:val="0"/>
        </w:rPr>
        <w:tab/>
        <w:t>Where 2 or more local governments enter into an agreement to co</w:t>
      </w:r>
      <w:r>
        <w:rPr>
          <w:snapToGrid w:val="0"/>
        </w:rPr>
        <w:noBreakHyphen/>
        <w:t xml:space="preserve">operate in the administration of this Act, that agreement may provide that an authorisation for the purposes of this Act given by any one of those local governments shall have effect in the </w:t>
      </w:r>
      <w:r>
        <w:rPr>
          <w:snapToGrid w:val="0"/>
        </w:rPr>
        <w:lastRenderedPageBreak/>
        <w:t>registration area administered by any other of those local governments, and effect shall be given to any such agreement.</w:t>
      </w:r>
    </w:p>
    <w:p>
      <w:pPr>
        <w:pStyle w:val="Footnotesection"/>
        <w:ind w:left="890" w:hanging="890"/>
      </w:pPr>
      <w:r>
        <w:tab/>
        <w:t xml:space="preserve">[Section 12 amended: No. 14 of 1996 s. 4.] </w:t>
      </w:r>
    </w:p>
    <w:p>
      <w:pPr>
        <w:pStyle w:val="Heading5"/>
        <w:spacing w:before="240"/>
        <w:rPr>
          <w:snapToGrid w:val="0"/>
        </w:rPr>
      </w:pPr>
      <w:bookmarkStart w:id="30" w:name="_Toc183507290"/>
      <w:r>
        <w:rPr>
          <w:rStyle w:val="CharSectno"/>
        </w:rPr>
        <w:t>12A</w:t>
      </w:r>
      <w:r>
        <w:rPr>
          <w:snapToGrid w:val="0"/>
        </w:rPr>
        <w:t>.</w:t>
      </w:r>
      <w:r>
        <w:rPr>
          <w:snapToGrid w:val="0"/>
        </w:rPr>
        <w:tab/>
        <w:t>Entry of premises</w:t>
      </w:r>
      <w:bookmarkEnd w:id="30"/>
      <w:r>
        <w:rPr>
          <w:snapToGrid w:val="0"/>
        </w:rPr>
        <w:t xml:space="preserve"> </w:t>
      </w:r>
    </w:p>
    <w:p>
      <w:pPr>
        <w:pStyle w:val="Subsection"/>
        <w:keepNext/>
        <w:spacing w:before="180"/>
        <w:rPr>
          <w:snapToGrid w:val="0"/>
        </w:rPr>
      </w:pPr>
      <w:r>
        <w:rPr>
          <w:snapToGrid w:val="0"/>
        </w:rPr>
        <w:tab/>
        <w:t>(1)</w:t>
      </w:r>
      <w:r>
        <w:rPr>
          <w:snapToGrid w:val="0"/>
        </w:rPr>
        <w:tab/>
        <w:t>A registration officer may, with the consent of the occupier, enter and inspect — </w:t>
      </w:r>
    </w:p>
    <w:p>
      <w:pPr>
        <w:pStyle w:val="Indenta"/>
        <w:keepNext/>
      </w:pPr>
      <w:r>
        <w:tab/>
        <w:t>(a)</w:t>
      </w:r>
      <w:r>
        <w:tab/>
        <w:t xml:space="preserve">any premises — </w:t>
      </w:r>
    </w:p>
    <w:p>
      <w:pPr>
        <w:pStyle w:val="Indenti"/>
      </w:pPr>
      <w:r>
        <w:tab/>
        <w:t>(i)</w:t>
      </w:r>
      <w:r>
        <w:tab/>
        <w:t>where a dog is registered to be ordinarily kept; or</w:t>
      </w:r>
    </w:p>
    <w:p>
      <w:pPr>
        <w:pStyle w:val="Indenti"/>
        <w:keepNext/>
      </w:pPr>
      <w:r>
        <w:tab/>
        <w:t>(ii)</w:t>
      </w:r>
      <w:r>
        <w:tab/>
        <w:t>described in an application for registration as those where a dog will be ordinarily kept,</w:t>
      </w:r>
    </w:p>
    <w:p>
      <w:pPr>
        <w:pStyle w:val="Indenta"/>
      </w:pPr>
      <w:r>
        <w:tab/>
      </w:r>
      <w:r>
        <w:tab/>
        <w:t>for the purpose of ascertaining whether the dog is, or will be, effectively confined; or</w:t>
      </w:r>
    </w:p>
    <w:p>
      <w:pPr>
        <w:pStyle w:val="Indenta"/>
        <w:keepNext/>
      </w:pPr>
      <w:r>
        <w:tab/>
        <w:t>(b)</w:t>
      </w:r>
      <w:r>
        <w:tab/>
        <w:t>any premises, for the purpose of ascertaining whether a dog that is reasonably suspected to be in or at the premises is registered for the purposes of section 7(1),</w:t>
      </w:r>
    </w:p>
    <w:p>
      <w:pPr>
        <w:pStyle w:val="Subsection"/>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 xml:space="preserve">With the authority of a warrant or the consent of an occupier who has reached 18 years of age, the following persons may enter and inspect any premises for any purpose relating to the enforcement of this Act and may make any enquiries they think necessary — </w:t>
      </w:r>
    </w:p>
    <w:p>
      <w:pPr>
        <w:pStyle w:val="Indenta"/>
        <w:rPr>
          <w:snapToGrid w:val="0"/>
        </w:rPr>
      </w:pPr>
      <w:r>
        <w:rPr>
          <w:snapToGrid w:val="0"/>
        </w:rPr>
        <w:tab/>
        <w:t>(a)</w:t>
      </w:r>
      <w:r>
        <w:rPr>
          <w:snapToGrid w:val="0"/>
        </w:rPr>
        <w:tab/>
        <w:t>an authorised person;</w:t>
      </w:r>
    </w:p>
    <w:p>
      <w:pPr>
        <w:pStyle w:val="Indenta"/>
        <w:rPr>
          <w:snapToGrid w:val="0"/>
        </w:rPr>
      </w:pPr>
      <w:r>
        <w:rPr>
          <w:snapToGrid w:val="0"/>
        </w:rPr>
        <w:tab/>
        <w:t>(b)</w:t>
      </w:r>
      <w:r>
        <w:rPr>
          <w:snapToGrid w:val="0"/>
        </w:rPr>
        <w:tab/>
        <w:t>a designated person;</w:t>
      </w:r>
    </w:p>
    <w:p>
      <w:pPr>
        <w:pStyle w:val="Indenta"/>
        <w:rPr>
          <w:snapToGrid w:val="0"/>
        </w:rPr>
      </w:pPr>
      <w:r>
        <w:rPr>
          <w:snapToGrid w:val="0"/>
        </w:rPr>
        <w:tab/>
        <w:t>(c)</w:t>
      </w:r>
      <w:r>
        <w:rPr>
          <w:snapToGrid w:val="0"/>
        </w:rPr>
        <w:tab/>
        <w:t>in the case of a warrant issued to a person referred to in paragraph (a) or (b) — any other person named in the warrant.</w:t>
      </w:r>
    </w:p>
    <w:p>
      <w:pPr>
        <w:pStyle w:val="Subsection"/>
      </w:pPr>
      <w:r>
        <w:tab/>
        <w:t>(2A)</w:t>
      </w:r>
      <w:r>
        <w:tab/>
        <w:t>Without limiting subsection (2), the purpose of determining whether grounds exist for the cancellation of an approval to breed, a pet shop approval or a dog supply approval is a purpose relating to the enforcement of this Act.</w:t>
      </w:r>
    </w:p>
    <w:p>
      <w:pPr>
        <w:pStyle w:val="Subsection"/>
        <w:rPr>
          <w:snapToGrid w:val="0"/>
        </w:rPr>
      </w:pPr>
      <w:r>
        <w:rPr>
          <w:snapToGrid w:val="0"/>
        </w:rPr>
        <w:lastRenderedPageBreak/>
        <w:tab/>
        <w:t>(3)</w:t>
      </w:r>
      <w:r>
        <w:rPr>
          <w:snapToGrid w:val="0"/>
        </w:rPr>
        <w:tab/>
        <w:t>If he is satisfied that there are reasonable grounds for doing so, a Justice of the Peace may issue a warrant for the purposes of subsection (2).</w:t>
      </w:r>
    </w:p>
    <w:p>
      <w:pPr>
        <w:pStyle w:val="Subsection"/>
      </w:pPr>
      <w:r>
        <w:tab/>
        <w:t>(4)</w:t>
      </w:r>
      <w:r>
        <w:tab/>
        <w:t>An authorised person may, at any reasonable time, without a warrant and without consent, enter any premises other than a dwelling where the person reasonably suspects a dangerous dog to be, for the purpose of ascertaining whether an offence against Part VI Division 2 is being committed.</w:t>
      </w:r>
    </w:p>
    <w:p>
      <w:pPr>
        <w:pStyle w:val="Subsection"/>
        <w:keepNext/>
        <w:rPr>
          <w:snapToGrid w:val="0"/>
        </w:rPr>
      </w:pPr>
      <w:r>
        <w:rPr>
          <w:snapToGrid w:val="0"/>
        </w:rPr>
        <w:tab/>
        <w:t>(5)</w:t>
      </w:r>
      <w:r>
        <w:rPr>
          <w:snapToGrid w:val="0"/>
        </w:rPr>
        <w:tab/>
        <w:t>An authorised person may, without a warrant and without consent, stop, enter and search or inspect a vehicle in which the person reasonably suspects a dog to be, for any purpose relating to the enforcement of this Act.</w:t>
      </w:r>
    </w:p>
    <w:p>
      <w:pPr>
        <w:pStyle w:val="Footnotesection"/>
      </w:pPr>
      <w:r>
        <w:tab/>
        <w:t xml:space="preserve">[Section 12A inserted: No. 23 of 1987 s. 11; amended: No. 18 of 2013 s. 10; No. 29 of 2021 s. 13.] </w:t>
      </w:r>
    </w:p>
    <w:p>
      <w:pPr>
        <w:pStyle w:val="Heading5"/>
        <w:rPr>
          <w:snapToGrid w:val="0"/>
        </w:rPr>
      </w:pPr>
      <w:bookmarkStart w:id="31" w:name="_Toc183507291"/>
      <w:r>
        <w:rPr>
          <w:rStyle w:val="CharSectno"/>
        </w:rPr>
        <w:t>13</w:t>
      </w:r>
      <w:r>
        <w:rPr>
          <w:snapToGrid w:val="0"/>
        </w:rPr>
        <w:t>.</w:t>
      </w:r>
      <w:r>
        <w:rPr>
          <w:snapToGrid w:val="0"/>
        </w:rPr>
        <w:tab/>
        <w:t>Immunity of persons acting in good faith</w:t>
      </w:r>
      <w:bookmarkEnd w:id="31"/>
      <w:r>
        <w:rPr>
          <w:snapToGrid w:val="0"/>
        </w:rPr>
        <w:t xml:space="preserve"> </w:t>
      </w:r>
    </w:p>
    <w:p>
      <w:pPr>
        <w:pStyle w:val="Subsection"/>
        <w:keepNext/>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No. 14 of 1996 s. 4.] </w:t>
      </w:r>
    </w:p>
    <w:p>
      <w:pPr>
        <w:pStyle w:val="Heading5"/>
      </w:pPr>
      <w:bookmarkStart w:id="32" w:name="_Toc91145102"/>
      <w:bookmarkStart w:id="33" w:name="_Toc183507292"/>
      <w:bookmarkStart w:id="34" w:name="_Toc183090367"/>
      <w:r>
        <w:rPr>
          <w:rStyle w:val="CharSectno"/>
        </w:rPr>
        <w:t>13A</w:t>
      </w:r>
      <w:r>
        <w:t>.</w:t>
      </w:r>
      <w:r>
        <w:tab/>
        <w:t>Centralised registration system</w:t>
      </w:r>
      <w:bookmarkEnd w:id="32"/>
      <w:bookmarkEnd w:id="33"/>
    </w:p>
    <w:p>
      <w:pPr>
        <w:pStyle w:val="Subsection"/>
      </w:pPr>
      <w:r>
        <w:tab/>
        <w:t>(1)</w:t>
      </w:r>
      <w:r>
        <w:tab/>
        <w:t xml:space="preserve">The CEO must establish and maintain an electronic database or system in which information relating to dogs can be recorded (the </w:t>
      </w:r>
      <w:r>
        <w:rPr>
          <w:rStyle w:val="CharDefText"/>
        </w:rPr>
        <w:t>centralised registration system</w:t>
      </w:r>
      <w:r>
        <w:t>).</w:t>
      </w:r>
    </w:p>
    <w:p>
      <w:pPr>
        <w:pStyle w:val="Subsection"/>
      </w:pPr>
      <w:r>
        <w:tab/>
        <w:t>(2)</w:t>
      </w:r>
      <w:r>
        <w:tab/>
        <w:t xml:space="preserve">The CEO and each local government is to — </w:t>
      </w:r>
    </w:p>
    <w:p>
      <w:pPr>
        <w:pStyle w:val="Indenta"/>
      </w:pPr>
      <w:r>
        <w:tab/>
        <w:t>(a)</w:t>
      </w:r>
      <w:r>
        <w:tab/>
        <w:t>record in the centralised registration system any information that is prescribed; and</w:t>
      </w:r>
    </w:p>
    <w:p>
      <w:pPr>
        <w:pStyle w:val="Indenta"/>
      </w:pPr>
      <w:r>
        <w:lastRenderedPageBreak/>
        <w:tab/>
        <w:t>(b)</w:t>
      </w:r>
      <w:r>
        <w:tab/>
        <w:t>ensure that the information recorded by it in the centralised registration system is accurate and kept up</w:t>
      </w:r>
      <w:r>
        <w:noBreakHyphen/>
        <w:t>to</w:t>
      </w:r>
      <w:r>
        <w:noBreakHyphen/>
        <w:t>date.</w:t>
      </w:r>
    </w:p>
    <w:p>
      <w:pPr>
        <w:pStyle w:val="Subsection"/>
      </w:pPr>
      <w:r>
        <w:tab/>
        <w:t>(3)</w:t>
      </w:r>
      <w:r>
        <w:tab/>
        <w:t>The CEO or a local government may cause any error in, or omission from, the centralised registration system to be corrected.</w:t>
      </w:r>
    </w:p>
    <w:p>
      <w:pPr>
        <w:pStyle w:val="Subsection"/>
      </w:pPr>
      <w:r>
        <w:tab/>
        <w:t>(4)</w:t>
      </w:r>
      <w:r>
        <w:tab/>
        <w:t>Where anything under this Act is required or permitted to be done in a manner approved by the CEO or a local government, the manner approved by the CEO or the local government may, without limitation, involve the use of the centralised registration system.</w:t>
      </w:r>
    </w:p>
    <w:p>
      <w:pPr>
        <w:pStyle w:val="Subsection"/>
      </w:pPr>
      <w:r>
        <w:tab/>
        <w:t>(5)</w:t>
      </w:r>
      <w:r>
        <w:tab/>
        <w:t>Regulations under section 54 may deal with any matter relating to the centralised registration system, including (without limitation) its establishment, maintenance and accessibility (including its accessibility to the public).</w:t>
      </w:r>
    </w:p>
    <w:p>
      <w:pPr>
        <w:pStyle w:val="Subsection"/>
      </w:pPr>
      <w:r>
        <w:tab/>
        <w:t>(6)</w:t>
      </w:r>
      <w:r>
        <w:tab/>
        <w:t xml:space="preserve">The CEO may establish a single database or system for the purposes of subsection (1) and the </w:t>
      </w:r>
      <w:r>
        <w:rPr>
          <w:i/>
        </w:rPr>
        <w:t>Cat Act 2011</w:t>
      </w:r>
      <w:r>
        <w:t xml:space="preserve"> section 41A(1).</w:t>
      </w:r>
    </w:p>
    <w:p>
      <w:pPr>
        <w:pStyle w:val="Footnotesection"/>
      </w:pPr>
      <w:bookmarkStart w:id="35" w:name="_Toc91145103"/>
      <w:r>
        <w:tab/>
        <w:t>[Section 13A inserted: No. 29 of 2021 s. 14.]</w:t>
      </w:r>
    </w:p>
    <w:p>
      <w:pPr>
        <w:pStyle w:val="Heading5"/>
      </w:pPr>
      <w:bookmarkStart w:id="36" w:name="_Toc183507293"/>
      <w:r>
        <w:rPr>
          <w:rStyle w:val="CharSectno"/>
        </w:rPr>
        <w:t>13B</w:t>
      </w:r>
      <w:r>
        <w:t>.</w:t>
      </w:r>
      <w:r>
        <w:tab/>
        <w:t>Dog owner numbers</w:t>
      </w:r>
      <w:bookmarkEnd w:id="35"/>
      <w:bookmarkEnd w:id="36"/>
    </w:p>
    <w:p>
      <w:pPr>
        <w:pStyle w:val="Subsection"/>
      </w:pPr>
      <w:r>
        <w:tab/>
        <w:t>(1)</w:t>
      </w:r>
      <w:r>
        <w:tab/>
        <w:t xml:space="preserve">Regulations under section 54 may require, or otherwise deal with, the issue, for the purposes of this Act, of a unique number (a </w:t>
      </w:r>
      <w:r>
        <w:rPr>
          <w:rStyle w:val="CharDefText"/>
        </w:rPr>
        <w:t>dog owner number</w:t>
      </w:r>
      <w:r>
        <w:t xml:space="preserve">) to — </w:t>
      </w:r>
    </w:p>
    <w:p>
      <w:pPr>
        <w:pStyle w:val="Indenta"/>
      </w:pPr>
      <w:r>
        <w:tab/>
        <w:t>(a)</w:t>
      </w:r>
      <w:r>
        <w:tab/>
        <w:t>a person who owns, or has previously owned, 1 or more dogs; or</w:t>
      </w:r>
    </w:p>
    <w:p>
      <w:pPr>
        <w:pStyle w:val="Indenta"/>
      </w:pPr>
      <w:r>
        <w:tab/>
        <w:t>(b)</w:t>
      </w:r>
      <w:r>
        <w:tab/>
        <w:t>a person of a prescribed class.</w:t>
      </w:r>
    </w:p>
    <w:p>
      <w:pPr>
        <w:pStyle w:val="Subsection"/>
      </w:pPr>
      <w:r>
        <w:tab/>
        <w:t>(2)</w:t>
      </w:r>
      <w:r>
        <w:tab/>
        <w:t>Regulations under section 54 may deal with any matter relating to dog owner numbers and may, without limitation, require a person to have a dog owner number before transferring ownership of a dog to another person.</w:t>
      </w:r>
    </w:p>
    <w:p>
      <w:pPr>
        <w:pStyle w:val="Footnotesection"/>
      </w:pPr>
      <w:r>
        <w:tab/>
        <w:t>[Section 13B inserted: No. 29 of 2021 s. 14.]</w:t>
      </w:r>
    </w:p>
    <w:p>
      <w:pPr>
        <w:pStyle w:val="Heading2"/>
      </w:pPr>
      <w:bookmarkStart w:id="37" w:name="_Toc183182209"/>
      <w:bookmarkStart w:id="38" w:name="_Toc183419330"/>
      <w:bookmarkStart w:id="39" w:name="_Toc183423394"/>
      <w:bookmarkStart w:id="40" w:name="_Toc183507294"/>
      <w:r>
        <w:rPr>
          <w:rStyle w:val="CharPartNo"/>
        </w:rPr>
        <w:lastRenderedPageBreak/>
        <w:t>Part III</w:t>
      </w:r>
      <w:r>
        <w:rPr>
          <w:b w:val="0"/>
        </w:rPr>
        <w:t> </w:t>
      </w:r>
      <w:r>
        <w:t>—</w:t>
      </w:r>
      <w:r>
        <w:rPr>
          <w:b w:val="0"/>
        </w:rPr>
        <w:t> </w:t>
      </w:r>
      <w:r>
        <w:rPr>
          <w:rStyle w:val="CharPartText"/>
        </w:rPr>
        <w:t>Registration and identification</w:t>
      </w:r>
      <w:bookmarkEnd w:id="34"/>
      <w:bookmarkEnd w:id="37"/>
      <w:bookmarkEnd w:id="38"/>
      <w:bookmarkEnd w:id="39"/>
      <w:bookmarkEnd w:id="40"/>
    </w:p>
    <w:p>
      <w:pPr>
        <w:pStyle w:val="Footnoteheading"/>
      </w:pPr>
      <w:r>
        <w:tab/>
        <w:t xml:space="preserve">[Heading inserted: No. 18 of 2013 s. 11.] </w:t>
      </w:r>
    </w:p>
    <w:p>
      <w:pPr>
        <w:pStyle w:val="Heading3"/>
      </w:pPr>
      <w:bookmarkStart w:id="41" w:name="_Toc183090368"/>
      <w:bookmarkStart w:id="42" w:name="_Toc183182210"/>
      <w:bookmarkStart w:id="43" w:name="_Toc183419331"/>
      <w:bookmarkStart w:id="44" w:name="_Toc183423395"/>
      <w:bookmarkStart w:id="45" w:name="_Toc183507295"/>
      <w:r>
        <w:rPr>
          <w:rStyle w:val="CharDivNo"/>
        </w:rPr>
        <w:t>Division 1</w:t>
      </w:r>
      <w:r>
        <w:t> — </w:t>
      </w:r>
      <w:r>
        <w:rPr>
          <w:rStyle w:val="CharDivText"/>
        </w:rPr>
        <w:t>Registration</w:t>
      </w:r>
      <w:bookmarkEnd w:id="41"/>
      <w:bookmarkEnd w:id="42"/>
      <w:bookmarkEnd w:id="43"/>
      <w:bookmarkEnd w:id="44"/>
      <w:bookmarkEnd w:id="45"/>
    </w:p>
    <w:p>
      <w:pPr>
        <w:pStyle w:val="Footnoteheading"/>
      </w:pPr>
      <w:r>
        <w:tab/>
        <w:t xml:space="preserve">[Heading inserted: No. 18 of 2013 s. 11.] </w:t>
      </w:r>
    </w:p>
    <w:p>
      <w:pPr>
        <w:pStyle w:val="Heading5"/>
      </w:pPr>
      <w:bookmarkStart w:id="46" w:name="_Toc183507296"/>
      <w:r>
        <w:rPr>
          <w:rStyle w:val="CharSectno"/>
        </w:rPr>
        <w:t>14</w:t>
      </w:r>
      <w:r>
        <w:t>.</w:t>
      </w:r>
      <w:r>
        <w:tab/>
        <w:t>Register of dogs</w:t>
      </w:r>
      <w:bookmarkEnd w:id="46"/>
    </w:p>
    <w:p>
      <w:pPr>
        <w:pStyle w:val="Subsection"/>
      </w:pPr>
      <w:r>
        <w:tab/>
        <w:t>(1)</w:t>
      </w:r>
      <w:r>
        <w:tab/>
        <w:t>A local government is to keep an accurate and up</w:t>
      </w:r>
      <w:r>
        <w:noBreakHyphen/>
        <w:t>to</w:t>
      </w:r>
      <w:r>
        <w:noBreakHyphen/>
        <w:t>date register of dogs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dog registered by the local government.</w:t>
      </w:r>
    </w:p>
    <w:p>
      <w:pPr>
        <w:pStyle w:val="Subsection"/>
      </w:pPr>
      <w:r>
        <w:tab/>
        <w:t>(4)</w:t>
      </w:r>
      <w:r>
        <w:tab/>
        <w:t>The local government may cause any error in, or omission from, the register to be corrected.</w:t>
      </w:r>
    </w:p>
    <w:p>
      <w:pPr>
        <w:pStyle w:val="Footnotesection"/>
      </w:pPr>
      <w:r>
        <w:tab/>
        <w:t>[Section 14 inserted: No. 18 of 2013 s. 12.]</w:t>
      </w:r>
    </w:p>
    <w:p>
      <w:pPr>
        <w:pStyle w:val="Heading5"/>
        <w:rPr>
          <w:snapToGrid w:val="0"/>
        </w:rPr>
      </w:pPr>
      <w:bookmarkStart w:id="47" w:name="_Toc183507297"/>
      <w:r>
        <w:rPr>
          <w:rStyle w:val="CharSectno"/>
        </w:rPr>
        <w:t>15</w:t>
      </w:r>
      <w:r>
        <w:rPr>
          <w:snapToGrid w:val="0"/>
        </w:rPr>
        <w:t>.</w:t>
      </w:r>
      <w:r>
        <w:rPr>
          <w:snapToGrid w:val="0"/>
        </w:rPr>
        <w:tab/>
        <w:t>Registration periods and fees</w:t>
      </w:r>
      <w:bookmarkEnd w:id="47"/>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pPr>
      <w:r>
        <w:tab/>
        <w:t>(2)</w:t>
      </w:r>
      <w:r>
        <w:tab/>
        <w:t xml:space="preserve">The </w:t>
      </w:r>
      <w:r>
        <w:rPr>
          <w:snapToGrid w:val="0"/>
        </w:rPr>
        <w:t>registration</w:t>
      </w:r>
      <w:r>
        <w:t xml:space="preserve"> under this Act of a dog, other than a dangerous dog, has effect from the date specified in the registration certificate until — </w:t>
      </w:r>
    </w:p>
    <w:p>
      <w:pPr>
        <w:pStyle w:val="Indenta"/>
      </w:pPr>
      <w:r>
        <w:tab/>
        <w:t>(a)</w:t>
      </w:r>
      <w:r>
        <w:tab/>
        <w:t>in the case of registration for an extended period prescribed under subsection (3)(b), 31 October in the final year of that period, unless cancelled sooner; or</w:t>
      </w:r>
    </w:p>
    <w:p>
      <w:pPr>
        <w:pStyle w:val="Indenta"/>
      </w:pPr>
      <w:r>
        <w:tab/>
        <w:t>(b)</w:t>
      </w:r>
      <w:r>
        <w:tab/>
        <w:t>in the case of registration for a dog’s lifetime, the dog’s death, unless cancelled sooner; or</w:t>
      </w:r>
    </w:p>
    <w:p>
      <w:pPr>
        <w:pStyle w:val="Indenta"/>
      </w:pPr>
      <w:r>
        <w:lastRenderedPageBreak/>
        <w:tab/>
        <w:t>(c)</w:t>
      </w:r>
      <w:r>
        <w:tab/>
        <w:t>in all other cases, the next 31 October, unless cancelled sooner.</w:t>
      </w:r>
    </w:p>
    <w:p>
      <w:pPr>
        <w:pStyle w:val="Subsection"/>
      </w:pPr>
      <w:r>
        <w:tab/>
        <w:t>(3A)</w:t>
      </w:r>
      <w:r>
        <w:tab/>
        <w:t xml:space="preserve">The </w:t>
      </w:r>
      <w:r>
        <w:rPr>
          <w:snapToGrid w:val="0"/>
        </w:rPr>
        <w:t>registration</w:t>
      </w:r>
      <w:r>
        <w:t xml:space="preserve"> under this Act of a dangerous dog has effect from the date specified in the registration certificate until the next 31 October, unless cancelled sooner.</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 and</w:t>
      </w:r>
    </w:p>
    <w:p>
      <w:pPr>
        <w:pStyle w:val="Indenta"/>
      </w:pPr>
      <w:r>
        <w:tab/>
        <w:t>(b)</w:t>
      </w:r>
      <w:r>
        <w:tab/>
        <w:t>by persons who elect to effect registration of a dog for such extended period as is prescribed; and</w:t>
      </w:r>
    </w:p>
    <w:p>
      <w:pPr>
        <w:pStyle w:val="Indenta"/>
      </w:pPr>
      <w:r>
        <w:tab/>
        <w:t>(ca)</w:t>
      </w:r>
      <w:r>
        <w:tab/>
        <w:t>by persons who elect to effect registration for the lifetime of a dog; and</w:t>
      </w:r>
    </w:p>
    <w:p>
      <w:pPr>
        <w:pStyle w:val="Indenta"/>
      </w:pPr>
      <w:r>
        <w:tab/>
        <w:t>(c)</w:t>
      </w:r>
      <w:r>
        <w:tab/>
        <w:t>in respect of registration for a period of less than one year; and</w:t>
      </w:r>
    </w:p>
    <w:p>
      <w:pPr>
        <w:pStyle w:val="Indenta"/>
      </w:pPr>
      <w:r>
        <w:tab/>
        <w:t>(d)</w:t>
      </w:r>
      <w:r>
        <w:tab/>
        <w:t>in respect of a dog that is proved, in such manner as is prescribed, to have been sterilised; and</w:t>
      </w:r>
    </w:p>
    <w:p>
      <w:pPr>
        <w:pStyle w:val="Indenta"/>
      </w:pPr>
      <w:r>
        <w:tab/>
        <w:t>(e)</w:t>
      </w:r>
      <w:r>
        <w:tab/>
        <w:t>in respect of a dog that is kept in an approved kennel establishment licensed under section 27; and</w:t>
      </w:r>
    </w:p>
    <w:p>
      <w:pPr>
        <w:pStyle w:val="Indenta"/>
      </w:pPr>
      <w:r>
        <w:tab/>
        <w:t>(f)</w:t>
      </w:r>
      <w:r>
        <w:tab/>
        <w:t>in respect of a dog that is kept in prescribed circumstances.</w:t>
      </w:r>
    </w:p>
    <w:p>
      <w:pPr>
        <w:pStyle w:val="Subsection"/>
      </w:pPr>
      <w:r>
        <w:tab/>
        <w:t>(4A)</w:t>
      </w:r>
      <w:r>
        <w:tab/>
        <w:t>A local government may discount or waive a registration fee, including a registration fee prescribed under subsection (3), for any individual dog or any class of dogs within its district.</w:t>
      </w:r>
    </w:p>
    <w:p>
      <w:pPr>
        <w:pStyle w:val="Subsection"/>
      </w:pPr>
      <w:r>
        <w:tab/>
        <w:t>(4B)</w:t>
      </w:r>
      <w:r>
        <w:tab/>
        <w:t>Subsections (3) and (4A) do not apply to a dangerous dog.</w:t>
      </w:r>
    </w:p>
    <w:p>
      <w:pPr>
        <w:pStyle w:val="Subsection"/>
        <w:rPr>
          <w:snapToGrid w:val="0"/>
        </w:rPr>
      </w:pPr>
      <w:r>
        <w:rPr>
          <w:snapToGrid w:val="0"/>
        </w:rPr>
        <w:tab/>
        <w:t>(4)</w:t>
      </w:r>
      <w:r>
        <w:rPr>
          <w:snapToGrid w:val="0"/>
        </w:rPr>
        <w:tab/>
        <w:t xml:space="preserve">No registration fee shall be payable in relation to </w:t>
      </w:r>
      <w:r>
        <w:t xml:space="preserve">an assistance dog as defined in section 8(1), </w:t>
      </w:r>
      <w:r>
        <w:rPr>
          <w:snapToGrid w:val="0"/>
        </w:rPr>
        <w:t>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keepNext/>
      </w:pPr>
      <w:r>
        <w:lastRenderedPageBreak/>
        <w:tab/>
        <w:t>(6)</w:t>
      </w:r>
      <w:r>
        <w:tab/>
        <w:t xml:space="preserve">The registration fee payable in relation to a dog’s first </w:t>
      </w:r>
      <w:r>
        <w:rPr>
          <w:snapToGrid w:val="0"/>
        </w:rPr>
        <w:t>registration</w:t>
      </w:r>
      <w:r>
        <w:t xml:space="preserve"> — </w:t>
      </w:r>
    </w:p>
    <w:p>
      <w:pPr>
        <w:pStyle w:val="Indenta"/>
      </w:pPr>
      <w:r>
        <w:tab/>
        <w:t>(a)</w:t>
      </w:r>
      <w:r>
        <w:tab/>
        <w:t>that takes effect after 31 May and before 1 November in the year of the first registration; and</w:t>
      </w:r>
    </w:p>
    <w:p>
      <w:pPr>
        <w:pStyle w:val="Indenta"/>
      </w:pPr>
      <w:r>
        <w:tab/>
        <w:t>(b)</w:t>
      </w:r>
      <w:r>
        <w:tab/>
        <w:t>that is to have effect until 31 October in that year,</w:t>
      </w:r>
    </w:p>
    <w:p>
      <w:pPr>
        <w:pStyle w:val="Subsection"/>
        <w:keepNext/>
      </w:pPr>
      <w:r>
        <w:tab/>
      </w:r>
      <w:r>
        <w:tab/>
        <w:t>is one half of the fee that would otherwise be payable.</w:t>
      </w:r>
    </w:p>
    <w:p>
      <w:pPr>
        <w:pStyle w:val="Footnotesection"/>
      </w:pPr>
      <w:r>
        <w:tab/>
        <w:t xml:space="preserve">[Section 15 amended: No. 57 of 1977 s. 3; No. 23 of 1987 s. 13; No. 18 of 2013 s. 13.] </w:t>
      </w:r>
    </w:p>
    <w:p>
      <w:pPr>
        <w:pStyle w:val="Heading5"/>
        <w:rPr>
          <w:snapToGrid w:val="0"/>
        </w:rPr>
      </w:pPr>
      <w:bookmarkStart w:id="48" w:name="_Toc183507298"/>
      <w:r>
        <w:rPr>
          <w:rStyle w:val="CharSectno"/>
        </w:rPr>
        <w:t>16</w:t>
      </w:r>
      <w:r>
        <w:rPr>
          <w:snapToGrid w:val="0"/>
        </w:rPr>
        <w:t>.</w:t>
      </w:r>
      <w:r>
        <w:rPr>
          <w:snapToGrid w:val="0"/>
        </w:rPr>
        <w:tab/>
        <w:t>Registration procedure</w:t>
      </w:r>
      <w:bookmarkEnd w:id="48"/>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 xml:space="preserve">if the owner of the dog or some person on his behalf delivers an application in the prescribed form, signed by or on behalf of the owner and accompanied by the prescribed fee, </w:t>
      </w:r>
      <w:r>
        <w:t xml:space="preserve">if any, </w:t>
      </w:r>
      <w:r>
        <w:rPr>
          <w:snapToGrid w:val="0"/>
        </w:rPr>
        <w:t>to the office of the local government or some other place within the district appointed by the local government for the purpose.</w:t>
      </w:r>
    </w:p>
    <w:p>
      <w:pPr>
        <w:pStyle w:val="Subsection"/>
      </w:pPr>
      <w:r>
        <w:tab/>
        <w:t>(1BA)</w:t>
      </w:r>
      <w:r>
        <w:tab/>
        <w:t xml:space="preserve">The form of application prescribed for the purposes of subsection (1) shall require the applicant to provide — </w:t>
      </w:r>
    </w:p>
    <w:p>
      <w:pPr>
        <w:pStyle w:val="Indenta"/>
      </w:pPr>
      <w:r>
        <w:tab/>
        <w:t>(a)</w:t>
      </w:r>
      <w:r>
        <w:tab/>
        <w:t>the name, residential address and contact details of the owner of the dog; and</w:t>
      </w:r>
    </w:p>
    <w:p>
      <w:pPr>
        <w:pStyle w:val="Indenta"/>
      </w:pPr>
      <w:r>
        <w:tab/>
        <w:t>(b)</w:t>
      </w:r>
      <w:r>
        <w:tab/>
        <w:t>the address of the premises where the dog will ordinarily be kept; and</w:t>
      </w:r>
    </w:p>
    <w:p>
      <w:pPr>
        <w:pStyle w:val="Indenta"/>
      </w:pPr>
      <w:r>
        <w:tab/>
        <w:t>(c)</w:t>
      </w:r>
      <w:r>
        <w:tab/>
        <w:t>a statement that the dog will be effectively confined in or at those premises; and</w:t>
      </w:r>
    </w:p>
    <w:p>
      <w:pPr>
        <w:pStyle w:val="Indenta"/>
      </w:pPr>
      <w:r>
        <w:tab/>
        <w:t>(d)</w:t>
      </w:r>
      <w:r>
        <w:tab/>
        <w:t xml:space="preserve">if the dog is microchipped — </w:t>
      </w:r>
    </w:p>
    <w:p>
      <w:pPr>
        <w:pStyle w:val="Indenti"/>
      </w:pPr>
      <w:r>
        <w:tab/>
        <w:t>(i)</w:t>
      </w:r>
      <w:r>
        <w:tab/>
        <w:t>the name of the microchip database company for the dog; and</w:t>
      </w:r>
    </w:p>
    <w:p>
      <w:pPr>
        <w:pStyle w:val="Indenti"/>
      </w:pPr>
      <w:r>
        <w:lastRenderedPageBreak/>
        <w:tab/>
        <w:t>(ii)</w:t>
      </w:r>
      <w:r>
        <w:tab/>
        <w:t>the microchip’s unique identification number for the dog;</w:t>
      </w:r>
    </w:p>
    <w:p>
      <w:pPr>
        <w:pStyle w:val="Indenta"/>
      </w:pPr>
      <w:r>
        <w:tab/>
      </w:r>
      <w:r>
        <w:tab/>
        <w:t>and</w:t>
      </w:r>
    </w:p>
    <w:p>
      <w:pPr>
        <w:pStyle w:val="Indenta"/>
      </w:pPr>
      <w:r>
        <w:tab/>
        <w:t>(e)</w:t>
      </w:r>
      <w:r>
        <w:tab/>
        <w:t>a statement as to whether the dog is kept, or is to be kept, as a commercial security dog; and</w:t>
      </w:r>
    </w:p>
    <w:p>
      <w:pPr>
        <w:pStyle w:val="Indenta"/>
      </w:pPr>
      <w:r>
        <w:tab/>
        <w:t>(f)</w:t>
      </w:r>
      <w:r>
        <w:tab/>
        <w:t>a statement as to whether the owner is subject to an order under section 46A(2).</w:t>
      </w:r>
    </w:p>
    <w:p>
      <w:pPr>
        <w:pStyle w:val="Subsection"/>
      </w:pPr>
      <w:r>
        <w:t>(1BB)</w:t>
      </w:r>
      <w:r>
        <w:tab/>
        <w:t>Nothing in subsection (1BA) prevents a form prescribed for the purposes of subsection (1) requiring an applicant to provide additional information.</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 if any,</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pPr>
      <w:r>
        <w:tab/>
        <w:t>(3A)</w:t>
      </w:r>
      <w:r>
        <w:tab/>
        <w:t xml:space="preserve">If on an order under section 46A(2) a person is banned from owning or keeping a dog — </w:t>
      </w:r>
    </w:p>
    <w:p>
      <w:pPr>
        <w:pStyle w:val="Indenta"/>
        <w:spacing w:before="60"/>
      </w:pPr>
      <w:r>
        <w:tab/>
        <w:t>(a)</w:t>
      </w:r>
      <w:r>
        <w:tab/>
        <w:t>the registration officer of the local government district in which a dog is registered in the person’s name is to cancel the registration of the dog in the person’s name; and</w:t>
      </w:r>
    </w:p>
    <w:p>
      <w:pPr>
        <w:pStyle w:val="Indenta"/>
        <w:spacing w:before="60"/>
      </w:pPr>
      <w:r>
        <w:tab/>
        <w:t>(b)</w:t>
      </w:r>
      <w:r>
        <w:tab/>
        <w:t>a registration officer of any local government is not to effect or renew the registration of a dog in the person’s name during the period to which the order applies.</w:t>
      </w:r>
    </w:p>
    <w:p>
      <w:pPr>
        <w:pStyle w:val="Subsection"/>
        <w:rPr>
          <w:snapToGrid w:val="0"/>
        </w:rPr>
      </w:pPr>
      <w:r>
        <w:rPr>
          <w:snapToGrid w:val="0"/>
        </w:rPr>
        <w:lastRenderedPageBreak/>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 xml:space="preserve">the applicant, 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(da)</w:t>
      </w:r>
      <w:r>
        <w:tab/>
        <w:t>the dog is required under section 21 or 22 to be microchipped but is not microchipped; or</w:t>
      </w:r>
    </w:p>
    <w:p>
      <w:pPr>
        <w:pStyle w:val="Indenta"/>
      </w:pPr>
      <w:r>
        <w:tab/>
        <w:t>(d)</w:t>
      </w:r>
      <w:r>
        <w:tab/>
        <w:t>the dog is a dangerous dog.</w:t>
      </w:r>
    </w:p>
    <w:p>
      <w:pPr>
        <w:pStyle w:val="Ednotesubsection"/>
      </w:pPr>
      <w:r>
        <w:tab/>
        <w:t>[(3a), (3b)</w:t>
      </w:r>
      <w:r>
        <w:tab/>
        <w:t>deleted]</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lastRenderedPageBreak/>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ind w:left="890" w:hanging="890"/>
      </w:pPr>
      <w:r>
        <w:tab/>
        <w:t xml:space="preserve">[Section 16 amended: No. 23 of 1987 s. 14 and 44; No. 14 of 1996 s. 4; No. 24 of 1996 s. 6; No. 10 of 1998 s. 29(1); No. 18 of 2013 s. 14.] </w:t>
      </w:r>
    </w:p>
    <w:p>
      <w:pPr>
        <w:pStyle w:val="Heading5"/>
      </w:pPr>
      <w:bookmarkStart w:id="49" w:name="_Toc183507299"/>
      <w:r>
        <w:rPr>
          <w:rStyle w:val="CharSectno"/>
        </w:rPr>
        <w:t>16AA</w:t>
      </w:r>
      <w:r>
        <w:rPr>
          <w:snapToGrid w:val="0"/>
        </w:rPr>
        <w:t>.</w:t>
      </w:r>
      <w:r>
        <w:rPr>
          <w:snapToGrid w:val="0"/>
        </w:rPr>
        <w:tab/>
        <w:t>Owner’s delegate</w:t>
      </w:r>
      <w:bookmarkEnd w:id="49"/>
      <w:r>
        <w:rPr>
          <w:snapToGrid w:val="0"/>
        </w:rPr>
        <w:t xml:space="preserve"> </w:t>
      </w:r>
    </w:p>
    <w:p>
      <w:pPr>
        <w:pStyle w:val="Subsection"/>
        <w:rPr>
          <w:snapToGrid w:val="0"/>
        </w:rPr>
      </w:pPr>
      <w:r>
        <w:rPr>
          <w:snapToGrid w:val="0"/>
        </w:rPr>
        <w:tab/>
        <w:t>(1)</w:t>
      </w:r>
      <w:r>
        <w:rPr>
          <w:snapToGrid w:val="0"/>
        </w:rPr>
        <w:tab/>
        <w:t>The registered owner of a dog may, in writing given to the local government with which the dog is registered, appoint a person who has reached 18 years of age to act as the owner’s delegate.</w:t>
      </w:r>
    </w:p>
    <w:p>
      <w:pPr>
        <w:pStyle w:val="Subsection"/>
        <w:rPr>
          <w:snapToGrid w:val="0"/>
        </w:rPr>
      </w:pPr>
      <w:r>
        <w:rPr>
          <w:snapToGrid w:val="0"/>
        </w:rPr>
        <w:tab/>
        <w:t>(2)</w:t>
      </w:r>
      <w:r>
        <w:rPr>
          <w:snapToGrid w:val="0"/>
        </w:rPr>
        <w:tab/>
        <w:t>A local government may deal with the owner’s delegate instead of the owner in the circumstances specified in this Act.</w:t>
      </w:r>
    </w:p>
    <w:p>
      <w:pPr>
        <w:pStyle w:val="Subsection"/>
        <w:rPr>
          <w:snapToGrid w:val="0"/>
        </w:rPr>
      </w:pPr>
      <w:r>
        <w:rPr>
          <w:snapToGrid w:val="0"/>
        </w:rPr>
        <w:tab/>
        <w:t>(3)</w:t>
      </w:r>
      <w:r>
        <w:rPr>
          <w:snapToGrid w:val="0"/>
        </w:rPr>
        <w:tab/>
        <w:t>An appointment under subsection (1) must be in a prescribed form.</w:t>
      </w:r>
    </w:p>
    <w:p>
      <w:pPr>
        <w:pStyle w:val="Subsection"/>
      </w:pPr>
      <w:r>
        <w:tab/>
        <w:t>(4)</w:t>
      </w:r>
      <w:r>
        <w:tab/>
        <w:t>An appointment under subsection (1) may be terminated in writing by either the registered owner or the appointed person.</w:t>
      </w:r>
    </w:p>
    <w:p>
      <w:pPr>
        <w:pStyle w:val="Subsection"/>
        <w:rPr>
          <w:szCs w:val="24"/>
        </w:rPr>
      </w:pPr>
      <w:r>
        <w:tab/>
        <w:t>(5)</w:t>
      </w:r>
      <w:r>
        <w:tab/>
        <w:t>An appointment under subsection (1) ceases to have effect when the person who made the appointment ceases to be the registered owner of the dog.</w:t>
      </w:r>
    </w:p>
    <w:p>
      <w:pPr>
        <w:pStyle w:val="Footnotesection"/>
      </w:pPr>
      <w:r>
        <w:tab/>
        <w:t>[Section 16AA inserted: No. 18 of 2013 s. 15.]</w:t>
      </w:r>
    </w:p>
    <w:p>
      <w:pPr>
        <w:pStyle w:val="Heading5"/>
        <w:rPr>
          <w:snapToGrid w:val="0"/>
        </w:rPr>
      </w:pPr>
      <w:bookmarkStart w:id="50" w:name="_Toc183507300"/>
      <w:r>
        <w:rPr>
          <w:rStyle w:val="CharSectno"/>
        </w:rPr>
        <w:t>16A</w:t>
      </w:r>
      <w:r>
        <w:rPr>
          <w:snapToGrid w:val="0"/>
        </w:rPr>
        <w:t>.</w:t>
      </w:r>
      <w:r>
        <w:rPr>
          <w:snapToGrid w:val="0"/>
        </w:rPr>
        <w:tab/>
        <w:t>Change of ownership</w:t>
      </w:r>
      <w:bookmarkEnd w:id="50"/>
      <w:r>
        <w:rPr>
          <w:snapToGrid w:val="0"/>
        </w:rPr>
        <w:t xml:space="preserve"> </w:t>
      </w:r>
    </w:p>
    <w:p>
      <w:pPr>
        <w:pStyle w:val="Subsection"/>
        <w:rPr>
          <w:snapToGrid w:val="0"/>
        </w:rPr>
      </w:pPr>
      <w:r>
        <w:rPr>
          <w:snapToGrid w:val="0"/>
        </w:rPr>
        <w:tab/>
        <w:t>(1)</w:t>
      </w:r>
      <w:r>
        <w:rPr>
          <w:snapToGrid w:val="0"/>
        </w:rPr>
        <w:tab/>
        <w:t xml:space="preserve">Where the ownership of </w:t>
      </w:r>
      <w:r>
        <w:t xml:space="preserve">a dog, other than a dangerous dog, </w:t>
      </w:r>
      <w:r>
        <w:rPr>
          <w:snapToGrid w:val="0"/>
        </w:rPr>
        <w:t xml:space="preserve">is transferred to another person, the registered owner shall within 28 days thereafter cause the local government in whose register </w:t>
      </w:r>
      <w:r>
        <w:rPr>
          <w:snapToGrid w:val="0"/>
        </w:rPr>
        <w:lastRenderedPageBreak/>
        <w:t>his name appears to be notified in the prescribed manner and form of the name and residential address of the new owner.</w:t>
      </w:r>
    </w:p>
    <w:p>
      <w:pPr>
        <w:pStyle w:val="Penstart"/>
      </w:pPr>
      <w:r>
        <w:tab/>
        <w:t>Penalty: a fine of $5 000.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 section 33K(2)(c);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No. 23 of 1987 s. 15; amended: No. 14 of 1996 s. 4; No. 24 of 1996 s. 16; No. 55 of 2004 s. 254; No. 18 of 2013 s. 16.] </w:t>
      </w:r>
    </w:p>
    <w:p>
      <w:pPr>
        <w:pStyle w:val="Heading5"/>
      </w:pPr>
      <w:bookmarkStart w:id="51" w:name="_Toc183507301"/>
      <w:r>
        <w:rPr>
          <w:rStyle w:val="CharSectno"/>
        </w:rPr>
        <w:t>17A</w:t>
      </w:r>
      <w:r>
        <w:t>.</w:t>
      </w:r>
      <w:r>
        <w:tab/>
        <w:t>If no application for registration made</w:t>
      </w:r>
      <w:bookmarkEnd w:id="51"/>
    </w:p>
    <w:p>
      <w:pPr>
        <w:pStyle w:val="Subsection"/>
      </w:pPr>
      <w:r>
        <w:tab/>
        <w:t>(1)</w:t>
      </w:r>
      <w:r>
        <w:tab/>
        <w:t xml:space="preserve">In this section — </w:t>
      </w:r>
    </w:p>
    <w:p>
      <w:pPr>
        <w:pStyle w:val="Defstart"/>
      </w:pPr>
      <w:r>
        <w:tab/>
      </w:r>
      <w:r>
        <w:rPr>
          <w:rStyle w:val="CharDefText"/>
        </w:rPr>
        <w:t>dog</w:t>
      </w:r>
      <w:r>
        <w:t xml:space="preserve"> means a dog — </w:t>
      </w:r>
    </w:p>
    <w:p>
      <w:pPr>
        <w:pStyle w:val="Defpara"/>
      </w:pPr>
      <w:r>
        <w:tab/>
        <w:t>(a)</w:t>
      </w:r>
      <w:r>
        <w:tab/>
        <w:t>that is, or is deemed under section 9 or 10(2) to be, ordinarily kept in the district of the relevant local government district; and</w:t>
      </w:r>
    </w:p>
    <w:p>
      <w:pPr>
        <w:pStyle w:val="Defpara"/>
      </w:pPr>
      <w:r>
        <w:tab/>
        <w:t>(b)</w:t>
      </w:r>
      <w:r>
        <w:tab/>
        <w:t>in respect of which an application for registration has not been made.</w:t>
      </w:r>
    </w:p>
    <w:p>
      <w:pPr>
        <w:pStyle w:val="Subsection"/>
      </w:pPr>
      <w:r>
        <w:tab/>
        <w:t>(2)</w:t>
      </w:r>
      <w:r>
        <w:tab/>
        <w:t xml:space="preserve">A local government may give written notice to the owner of a dog that the dog cannot be registered by the local government because — </w:t>
      </w:r>
    </w:p>
    <w:p>
      <w:pPr>
        <w:pStyle w:val="Indenta"/>
      </w:pPr>
      <w:r>
        <w:tab/>
        <w:t>(a)</w:t>
      </w:r>
      <w:r>
        <w:tab/>
        <w:t xml:space="preserve">the owner or the registered owner, as the case may be, has been convicted, or has paid a modified penalty, within the previous 3 years in respect of 2 or more </w:t>
      </w:r>
      <w:r>
        <w:lastRenderedPageBreak/>
        <w:t xml:space="preserve">offences against any of this Act, the </w:t>
      </w:r>
      <w:r>
        <w:rPr>
          <w:i/>
        </w:rPr>
        <w:t>Cat Act 2011</w:t>
      </w:r>
      <w:r>
        <w:t xml:space="preserve"> or the </w:t>
      </w:r>
      <w:r>
        <w:rPr>
          <w:i/>
        </w:rPr>
        <w:t>Animal Welfare Act 2002</w:t>
      </w:r>
      <w:r>
        <w:t>; or</w:t>
      </w:r>
    </w:p>
    <w:p>
      <w:pPr>
        <w:pStyle w:val="Indenta"/>
      </w:pPr>
      <w:r>
        <w:tab/>
        <w:t>(b)</w:t>
      </w:r>
      <w:r>
        <w:tab/>
        <w:t>the dog has been shown to the satisfaction of the local government to be destructive, unduly mischievous or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w:t>
      </w:r>
      <w:r>
        <w:tab/>
        <w:t>the dog is required under section 21 or 22 to be microchipped but is not microchipped; or</w:t>
      </w:r>
    </w:p>
    <w:p>
      <w:pPr>
        <w:pStyle w:val="Indenta"/>
      </w:pPr>
      <w:r>
        <w:tab/>
        <w:t>(e)</w:t>
      </w:r>
      <w:r>
        <w:tab/>
        <w:t>the dog is a dangerous dog.</w:t>
      </w:r>
    </w:p>
    <w:p>
      <w:pPr>
        <w:pStyle w:val="Subsection"/>
      </w:pPr>
      <w:r>
        <w:tab/>
        <w:t>(3)</w:t>
      </w:r>
      <w:r>
        <w:tab/>
        <w:t>The notice must inform the owner of the right under section 17(1) to apply for a review of the decision.</w:t>
      </w:r>
    </w:p>
    <w:p>
      <w:pPr>
        <w:pStyle w:val="Footnotesection"/>
      </w:pPr>
      <w:r>
        <w:tab/>
        <w:t xml:space="preserve">[Section 17A inserted: No. 18 of 2013 s. 17.] </w:t>
      </w:r>
    </w:p>
    <w:p>
      <w:pPr>
        <w:pStyle w:val="Heading5"/>
        <w:rPr>
          <w:snapToGrid w:val="0"/>
        </w:rPr>
      </w:pPr>
      <w:bookmarkStart w:id="52" w:name="_Toc183507302"/>
      <w:r>
        <w:rPr>
          <w:rStyle w:val="CharSectno"/>
        </w:rPr>
        <w:t>17</w:t>
      </w:r>
      <w:r>
        <w:rPr>
          <w:snapToGrid w:val="0"/>
        </w:rPr>
        <w:t>.</w:t>
      </w:r>
      <w:r>
        <w:rPr>
          <w:snapToGrid w:val="0"/>
        </w:rPr>
        <w:tab/>
        <w:t>Refusal or cancellation of registration</w:t>
      </w:r>
      <w:bookmarkEnd w:id="52"/>
      <w:r>
        <w:rPr>
          <w:snapToGrid w:val="0"/>
        </w:rPr>
        <w:t xml:space="preserve"> </w:t>
      </w:r>
    </w:p>
    <w:p>
      <w:pPr>
        <w:pStyle w:val="Subsection"/>
        <w:rPr>
          <w:snapToGrid w:val="0"/>
        </w:rPr>
      </w:pPr>
      <w:r>
        <w:rPr>
          <w:snapToGrid w:val="0"/>
        </w:rPr>
        <w:tab/>
        <w:t>(1)</w:t>
      </w:r>
      <w:r>
        <w:rPr>
          <w:snapToGrid w:val="0"/>
        </w:rPr>
        <w:tab/>
        <w:t xml:space="preserve">Where a local government refuses to effect or renew the registration of a dog, or cancels a </w:t>
      </w:r>
      <w:r>
        <w:t xml:space="preserve">registration or gives a written notice under section 17A(2), the applicant or the registered owner or owner of the dog, as the case may be, may </w:t>
      </w:r>
      <w:r>
        <w:rPr>
          <w:snapToGrid w:val="0"/>
        </w:rPr>
        <w:t>apply to the State Administrative Tribunal for a review of the decision.</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spacing w:before="180"/>
        <w:rPr>
          <w:snapToGrid w:val="0"/>
        </w:rPr>
      </w:pPr>
      <w:r>
        <w:rPr>
          <w:snapToGrid w:val="0"/>
        </w:rPr>
        <w:lastRenderedPageBreak/>
        <w:tab/>
        <w:t>(4)</w:t>
      </w:r>
      <w:r>
        <w:rPr>
          <w:snapToGrid w:val="0"/>
        </w:rPr>
        <w:tab/>
        <w:t>If an application is not made</w:t>
      </w:r>
      <w:r>
        <w:t xml:space="preserve"> under subsection (1) </w:t>
      </w:r>
      <w:r>
        <w:rPr>
          <w:snapToGrid w:val="0"/>
        </w:rPr>
        <w:t xml:space="preserve">within the time fixed for the making of the application the local government may apply to a Justice of the Peace for an order authorising the seizure of the dog and where the Justice is satisfied that the applicant or the registered </w:t>
      </w:r>
      <w:r>
        <w:t xml:space="preserve">owner or owner of the dog, </w:t>
      </w:r>
      <w:r>
        <w:rPr>
          <w:snapToGrid w:val="0"/>
        </w:rPr>
        <w:t>as the case may be, of the dog has been given proper notice of the reason for the decision but has not applied for a review of the decision, the Justice may make an order for the seizure of the dog.</w:t>
      </w:r>
    </w:p>
    <w:p>
      <w:pPr>
        <w:pStyle w:val="Subsection"/>
        <w:spacing w:before="180"/>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spacing w:before="180"/>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ind w:left="890" w:hanging="890"/>
      </w:pPr>
      <w:r>
        <w:tab/>
        <w:t xml:space="preserve">[Section 17 amended: No. 23 of 1987 s. 16; No. 14 of 1996 s. 4; No. 55 of 2004 s. 255; No. 18 of 2013 s. 18.] </w:t>
      </w:r>
    </w:p>
    <w:p>
      <w:pPr>
        <w:pStyle w:val="Heading5"/>
        <w:spacing w:before="240"/>
        <w:rPr>
          <w:snapToGrid w:val="0"/>
        </w:rPr>
      </w:pPr>
      <w:bookmarkStart w:id="53" w:name="_Toc183507303"/>
      <w:r>
        <w:rPr>
          <w:rStyle w:val="CharSectno"/>
        </w:rPr>
        <w:t>18</w:t>
      </w:r>
      <w:r>
        <w:rPr>
          <w:snapToGrid w:val="0"/>
        </w:rPr>
        <w:t>.</w:t>
      </w:r>
      <w:r>
        <w:rPr>
          <w:snapToGrid w:val="0"/>
        </w:rPr>
        <w:tab/>
        <w:t>Registration tags</w:t>
      </w:r>
      <w:bookmarkEnd w:id="53"/>
      <w:r>
        <w:rPr>
          <w:snapToGrid w:val="0"/>
        </w:rPr>
        <w:t xml:space="preserve"> </w:t>
      </w:r>
    </w:p>
    <w:p>
      <w:pPr>
        <w:pStyle w:val="Subsection"/>
        <w:spacing w:before="180"/>
        <w:rPr>
          <w:snapToGrid w:val="0"/>
        </w:rPr>
      </w:pPr>
      <w:r>
        <w:rPr>
          <w:snapToGrid w:val="0"/>
        </w:rPr>
        <w:tab/>
        <w:t>(1)</w:t>
      </w:r>
      <w:r>
        <w:rPr>
          <w:snapToGrid w:val="0"/>
        </w:rPr>
        <w:tab/>
        <w:t>A registration tag shall — </w:t>
      </w:r>
    </w:p>
    <w:p>
      <w:pPr>
        <w:pStyle w:val="Indenta"/>
      </w:pPr>
      <w:r>
        <w:tab/>
        <w:t>(a)</w:t>
      </w:r>
      <w:r>
        <w:tab/>
        <w:t>be of a durable material; and</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spacing w:before="18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w:t>
      </w:r>
      <w:r>
        <w:t xml:space="preserve">section 15(2)(a), or a lifetime registration referred </w:t>
      </w:r>
      <w:r>
        <w:lastRenderedPageBreak/>
        <w:t xml:space="preserve">to in section 15(2)(b), </w:t>
      </w:r>
      <w:r>
        <w:rPr>
          <w:snapToGrid w:val="0"/>
        </w:rPr>
        <w:t>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No. 23 of 1987 s. 17; amended: No. 18 of 2013 s. 19.] </w:t>
      </w:r>
    </w:p>
    <w:p>
      <w:pPr>
        <w:pStyle w:val="Heading5"/>
        <w:rPr>
          <w:snapToGrid w:val="0"/>
        </w:rPr>
      </w:pPr>
      <w:bookmarkStart w:id="54" w:name="_Toc183507304"/>
      <w:r>
        <w:rPr>
          <w:rStyle w:val="CharSectno"/>
        </w:rPr>
        <w:t>19</w:t>
      </w:r>
      <w:r>
        <w:rPr>
          <w:snapToGrid w:val="0"/>
        </w:rPr>
        <w:t>.</w:t>
      </w:r>
      <w:r>
        <w:rPr>
          <w:snapToGrid w:val="0"/>
        </w:rPr>
        <w:tab/>
        <w:t>Refund of fee on cancellation</w:t>
      </w:r>
      <w:bookmarkEnd w:id="54"/>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ind w:left="890" w:hanging="890"/>
      </w:pPr>
      <w:r>
        <w:tab/>
        <w:t xml:space="preserve">[Section 19 inserted: No. 23 of 1987 s. 18; amended: No. 14 of 1996 s. 4.] </w:t>
      </w:r>
    </w:p>
    <w:p>
      <w:pPr>
        <w:pStyle w:val="Heading5"/>
        <w:keepNext w:val="0"/>
        <w:rPr>
          <w:snapToGrid w:val="0"/>
        </w:rPr>
      </w:pPr>
      <w:bookmarkStart w:id="55" w:name="_Toc183507305"/>
      <w:r>
        <w:rPr>
          <w:rStyle w:val="CharSectno"/>
        </w:rPr>
        <w:t>20</w:t>
      </w:r>
      <w:r>
        <w:rPr>
          <w:snapToGrid w:val="0"/>
        </w:rPr>
        <w:t>.</w:t>
      </w:r>
      <w:r>
        <w:rPr>
          <w:snapToGrid w:val="0"/>
        </w:rPr>
        <w:tab/>
        <w:t>Offences relating to registration etc.</w:t>
      </w:r>
      <w:bookmarkEnd w:id="55"/>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 or</w:t>
      </w:r>
    </w:p>
    <w:p>
      <w:pPr>
        <w:pStyle w:val="Ednotepara"/>
      </w:pPr>
      <w:r>
        <w:tab/>
        <w:t>[(b)</w:t>
      </w:r>
      <w:r>
        <w:tab/>
        <w:t>deleted]</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keepNext/>
        <w:spacing w:before="100"/>
        <w:rPr>
          <w:snapToGrid w:val="0"/>
        </w:rPr>
      </w:pPr>
      <w:r>
        <w:rPr>
          <w:snapToGrid w:val="0"/>
        </w:rPr>
        <w:tab/>
        <w:t>(iii)</w:t>
      </w:r>
      <w:r>
        <w:rPr>
          <w:snapToGrid w:val="0"/>
        </w:rPr>
        <w:tab/>
        <w:t>in respect of a registration which is cancelled;</w:t>
      </w:r>
    </w:p>
    <w:p>
      <w:pPr>
        <w:pStyle w:val="Indenta"/>
        <w:spacing w:before="100"/>
      </w:pPr>
      <w:r>
        <w:tab/>
      </w:r>
      <w:r>
        <w:tab/>
        <w:t>or</w:t>
      </w:r>
    </w:p>
    <w:p>
      <w:pPr>
        <w:pStyle w:val="Indenta"/>
        <w:spacing w:before="100"/>
      </w:pPr>
      <w:r>
        <w:tab/>
        <w:t>(d)</w:t>
      </w:r>
      <w:r>
        <w:tab/>
        <w:t xml:space="preserve">wrongfully removes or defaces any registration tag issued under this Act, or makes, uses, purchases or has in his possession any counterfeit or false certificate of </w:t>
      </w:r>
      <w:r>
        <w:lastRenderedPageBreak/>
        <w:t>registration or registration tag or any thing apparently intended to resemble or pass for the same,</w:t>
      </w:r>
    </w:p>
    <w:p>
      <w:pPr>
        <w:pStyle w:val="Subsection"/>
        <w:spacing w:before="180"/>
        <w:rPr>
          <w:snapToGrid w:val="0"/>
        </w:rPr>
      </w:pPr>
      <w:r>
        <w:rPr>
          <w:snapToGrid w:val="0"/>
        </w:rPr>
        <w:tab/>
      </w:r>
      <w:r>
        <w:rPr>
          <w:snapToGrid w:val="0"/>
        </w:rPr>
        <w:tab/>
        <w:t>commits an offence.</w:t>
      </w:r>
    </w:p>
    <w:p>
      <w:pPr>
        <w:pStyle w:val="Subsection"/>
      </w:pPr>
      <w:r>
        <w:tab/>
      </w:r>
      <w:r>
        <w:tab/>
        <w:t>Penalty for this subsection:</w:t>
      </w:r>
    </w:p>
    <w:p>
      <w:pPr>
        <w:pStyle w:val="Penpara"/>
        <w:spacing w:before="100"/>
      </w:pPr>
      <w:r>
        <w:tab/>
        <w:t>(a)</w:t>
      </w:r>
      <w:r>
        <w:tab/>
        <w:t>for an offence relating to a dangerous dog, a fine of $10 000;</w:t>
      </w:r>
    </w:p>
    <w:p>
      <w:pPr>
        <w:pStyle w:val="Penpara"/>
        <w:spacing w:before="100"/>
      </w:pPr>
      <w:r>
        <w:tab/>
        <w:t>(b)</w:t>
      </w:r>
      <w:r>
        <w:tab/>
        <w:t>for an offence relating to a dog other than a dangerous dog, a fine of $5 000.</w:t>
      </w:r>
    </w:p>
    <w:p>
      <w:pPr>
        <w:pStyle w:val="Subsection"/>
        <w:spacing w:before="180"/>
        <w:rPr>
          <w:snapToGrid w:val="0"/>
        </w:rPr>
      </w:pPr>
      <w:r>
        <w:rPr>
          <w:snapToGrid w:val="0"/>
        </w:rPr>
        <w:tab/>
        <w:t>(2)</w:t>
      </w:r>
      <w:r>
        <w:rPr>
          <w:snapToGrid w:val="0"/>
        </w:rPr>
        <w:tab/>
        <w:t>Where by regulations it is provided that a prescribed tattoo appearing on a dog may be accepted by a local government as proof that the dog has been sterilised, a person who applies that tattoo, or causes the same to be applied, to an unsterilised dog commits an offence.</w:t>
      </w:r>
    </w:p>
    <w:p>
      <w:pPr>
        <w:pStyle w:val="Penstart"/>
      </w:pPr>
      <w:r>
        <w:tab/>
        <w:t>Penalty: a fine of $5 000.</w:t>
      </w:r>
    </w:p>
    <w:p>
      <w:pPr>
        <w:pStyle w:val="Footnotesection"/>
        <w:keepNext/>
      </w:pPr>
      <w:r>
        <w:tab/>
        <w:t xml:space="preserve">[Section 20 amended: No. 23 of 1987 s. 19 and 44; No. 14 of 1996 s. 4; No. 24 of 1996 s. 16; No. 18 of 2013 s. 20; No. 29 of 2021 s. 20(1) and (2).] </w:t>
      </w:r>
    </w:p>
    <w:p>
      <w:pPr>
        <w:pStyle w:val="Heading3"/>
        <w:spacing w:before="260"/>
      </w:pPr>
      <w:bookmarkStart w:id="56" w:name="_Toc183090379"/>
      <w:bookmarkStart w:id="57" w:name="_Toc183182221"/>
      <w:bookmarkStart w:id="58" w:name="_Toc183419342"/>
      <w:bookmarkStart w:id="59" w:name="_Toc183423406"/>
      <w:bookmarkStart w:id="60" w:name="_Toc183507306"/>
      <w:r>
        <w:rPr>
          <w:rStyle w:val="CharDivNo"/>
        </w:rPr>
        <w:t>Division 2</w:t>
      </w:r>
      <w:r>
        <w:t> — </w:t>
      </w:r>
      <w:r>
        <w:rPr>
          <w:rStyle w:val="CharDivText"/>
        </w:rPr>
        <w:t>Microchipping</w:t>
      </w:r>
      <w:bookmarkEnd w:id="56"/>
      <w:bookmarkEnd w:id="57"/>
      <w:bookmarkEnd w:id="58"/>
      <w:bookmarkEnd w:id="59"/>
      <w:bookmarkEnd w:id="60"/>
    </w:p>
    <w:p>
      <w:pPr>
        <w:pStyle w:val="Footnoteheading"/>
        <w:keepNext/>
      </w:pPr>
      <w:r>
        <w:tab/>
        <w:t xml:space="preserve">[Heading inserted: No. 18 of 2013 s. 21.] </w:t>
      </w:r>
    </w:p>
    <w:p>
      <w:pPr>
        <w:pStyle w:val="Heading5"/>
        <w:spacing w:before="240"/>
      </w:pPr>
      <w:bookmarkStart w:id="61" w:name="_Toc183507307"/>
      <w:r>
        <w:rPr>
          <w:rStyle w:val="CharSectno"/>
        </w:rPr>
        <w:t>21</w:t>
      </w:r>
      <w:r>
        <w:t>.</w:t>
      </w:r>
      <w:r>
        <w:tab/>
        <w:t>Microchipping of dogs other than dangerous dogs</w:t>
      </w:r>
      <w:bookmarkEnd w:id="61"/>
    </w:p>
    <w:p>
      <w:pPr>
        <w:pStyle w:val="Subsection"/>
        <w:spacing w:before="180"/>
      </w:pPr>
      <w:r>
        <w:tab/>
        <w:t>(1)</w:t>
      </w:r>
      <w:r>
        <w:tab/>
        <w:t xml:space="preserve">On and after 1 November 2013, the owner of a dog must ensure that the dog is microchipped if — </w:t>
      </w:r>
    </w:p>
    <w:p>
      <w:pPr>
        <w:pStyle w:val="Indenta"/>
      </w:pPr>
      <w:r>
        <w:tab/>
        <w:t>(a)</w:t>
      </w:r>
      <w:r>
        <w:tab/>
        <w:t>the dog has reached 3 months of age; and</w:t>
      </w:r>
    </w:p>
    <w:p>
      <w:pPr>
        <w:pStyle w:val="Indenta"/>
        <w:keepNext/>
      </w:pPr>
      <w:r>
        <w:lastRenderedPageBreak/>
        <w:tab/>
        <w:t>(b)</w:t>
      </w:r>
      <w:r>
        <w:tab/>
        <w:t>the dog was not registered under this Act or the law of another State or a Territory so that its registration was in effect on 31 October 2013.</w:t>
      </w:r>
    </w:p>
    <w:p>
      <w:pPr>
        <w:pStyle w:val="Penstart"/>
        <w:keepNext/>
      </w:pPr>
      <w:r>
        <w:tab/>
        <w:t>Penalty: a fine of $5 000.</w:t>
      </w:r>
    </w:p>
    <w:p>
      <w:pPr>
        <w:pStyle w:val="Subsection"/>
      </w:pPr>
      <w:r>
        <w:tab/>
        <w:t>(2)</w:t>
      </w:r>
      <w:r>
        <w:tab/>
        <w:t>On and after 1 November 2015, the owner of a dog that has reached 3 months of age must ensure that the dog is microchipped.</w:t>
      </w:r>
    </w:p>
    <w:p>
      <w:pPr>
        <w:pStyle w:val="Penstart"/>
      </w:pPr>
      <w:r>
        <w:tab/>
        <w:t>Penalty: a fine of $5 000.</w:t>
      </w:r>
    </w:p>
    <w:p>
      <w:pPr>
        <w:pStyle w:val="Subsection"/>
      </w:pPr>
      <w:r>
        <w:tab/>
        <w:t>(3)</w:t>
      </w:r>
      <w:r>
        <w:tab/>
        <w:t>Neither subsection (1) nor (2) requires a dog to be microchipped if, under subsection (4) it is exempt from microchipping.</w:t>
      </w:r>
    </w:p>
    <w:p>
      <w:pPr>
        <w:pStyle w:val="Subsection"/>
      </w:pPr>
      <w:r>
        <w:tab/>
        <w:t>(4)</w:t>
      </w:r>
      <w:r>
        <w:tab/>
        <w:t>A dog is exempt from microchipping if a certificate given by a veterinarian stating that the implantation of a microchip in the dog may adversely affect the health and welfare of the dog applies in respect of the dog.</w:t>
      </w:r>
    </w:p>
    <w:p>
      <w:pPr>
        <w:pStyle w:val="Subsection"/>
      </w:pPr>
      <w:r>
        <w:tab/>
        <w:t>(5)</w:t>
      </w:r>
      <w:r>
        <w:tab/>
        <w:t>A certificate referred to in subsection (4) cannot apply in respect of a dog that is under 3 months of age.</w:t>
      </w:r>
    </w:p>
    <w:p>
      <w:pPr>
        <w:pStyle w:val="Footnotesection"/>
        <w:ind w:left="890" w:hanging="890"/>
      </w:pPr>
      <w:r>
        <w:tab/>
        <w:t xml:space="preserve">[Section 21 inserted: No. 18 of 2013 s. 21.] </w:t>
      </w:r>
    </w:p>
    <w:p>
      <w:pPr>
        <w:pStyle w:val="Ednotepart"/>
      </w:pPr>
      <w:r>
        <w:t>[Part IV heading deleted: No. 23 of 1987 s. 21.]</w:t>
      </w:r>
    </w:p>
    <w:p>
      <w:pPr>
        <w:pStyle w:val="Heading5"/>
        <w:spacing w:before="240"/>
      </w:pPr>
      <w:bookmarkStart w:id="62" w:name="_Toc183507308"/>
      <w:r>
        <w:rPr>
          <w:rStyle w:val="CharSectno"/>
        </w:rPr>
        <w:t>22</w:t>
      </w:r>
      <w:r>
        <w:t>.</w:t>
      </w:r>
      <w:r>
        <w:tab/>
        <w:t>Microchipping of dangerous dogs</w:t>
      </w:r>
      <w:bookmarkEnd w:id="62"/>
    </w:p>
    <w:p>
      <w:pPr>
        <w:pStyle w:val="Subsection"/>
        <w:keepNext/>
        <w:spacing w:before="180"/>
      </w:pPr>
      <w:r>
        <w:tab/>
        <w:t>(1)</w:t>
      </w:r>
      <w:r>
        <w:tab/>
        <w:t xml:space="preserve">In this section — </w:t>
      </w:r>
    </w:p>
    <w:p>
      <w:pPr>
        <w:pStyle w:val="Defstart"/>
        <w:spacing w:before="100"/>
      </w:pPr>
      <w:r>
        <w:tab/>
      </w:r>
      <w:r>
        <w:rPr>
          <w:rStyle w:val="CharDefText"/>
        </w:rPr>
        <w:t>relevant day</w:t>
      </w:r>
      <w:r>
        <w:rPr>
          <w:rStyle w:val="CharDefText"/>
          <w:i w:val="0"/>
        </w:rPr>
        <w:t xml:space="preserve"> </w:t>
      </w:r>
      <w:r>
        <w:t xml:space="preserve">means the last day of the period of 30 days beginning on the day on which the </w:t>
      </w:r>
      <w:r>
        <w:rPr>
          <w:i/>
        </w:rPr>
        <w:t>Dog Amendment Act 2013</w:t>
      </w:r>
      <w:r>
        <w:t xml:space="preserve"> section 21 comes into operation.</w:t>
      </w:r>
    </w:p>
    <w:p>
      <w:pPr>
        <w:pStyle w:val="Subsection"/>
        <w:spacing w:before="180"/>
      </w:pPr>
      <w:r>
        <w:tab/>
        <w:t>(2)</w:t>
      </w:r>
      <w:r>
        <w:tab/>
        <w:t>After the relevant day, the owner of a dangerous dog that has reached 3 months of age must ensure that the dog is microchipped.</w:t>
      </w:r>
    </w:p>
    <w:p>
      <w:pPr>
        <w:pStyle w:val="Penstart"/>
      </w:pPr>
      <w:r>
        <w:tab/>
        <w:t>Penalty:</w:t>
      </w:r>
    </w:p>
    <w:p>
      <w:pPr>
        <w:pStyle w:val="Penpara"/>
      </w:pPr>
      <w:r>
        <w:tab/>
        <w:t>(a)</w:t>
      </w:r>
      <w:r>
        <w:tab/>
        <w:t>a fine of $10 000, but the minimum penalty is a fine of $500;</w:t>
      </w:r>
    </w:p>
    <w:p>
      <w:pPr>
        <w:pStyle w:val="Penpara"/>
        <w:spacing w:before="60"/>
      </w:pPr>
      <w:r>
        <w:lastRenderedPageBreak/>
        <w:tab/>
        <w:t>(b)</w:t>
      </w:r>
      <w:r>
        <w:tab/>
        <w:t xml:space="preserve">for each separate and further offence committed by the person under the </w:t>
      </w:r>
      <w:r>
        <w:rPr>
          <w:i/>
        </w:rPr>
        <w:t>Interpretation Act 1984</w:t>
      </w:r>
      <w:r>
        <w:t xml:space="preserve"> section 71, a fine of $500.</w:t>
      </w:r>
    </w:p>
    <w:p>
      <w:pPr>
        <w:pStyle w:val="Subsection"/>
        <w:keepNext/>
        <w:spacing w:before="180"/>
      </w:pPr>
      <w:r>
        <w:tab/>
        <w:t>(3)</w:t>
      </w:r>
      <w:r>
        <w:tab/>
        <w:t xml:space="preserve">Subsection (2) does not apply in relation to a dangerous dog (declared) — </w:t>
      </w:r>
    </w:p>
    <w:p>
      <w:pPr>
        <w:pStyle w:val="Indenta"/>
        <w:widowControl w:val="0"/>
      </w:pPr>
      <w:r>
        <w:tab/>
        <w:t>(a)</w:t>
      </w:r>
      <w:r>
        <w:tab/>
        <w:t>during the 7 day period after the giving of the notice, required by section 33F(1), by which the dog is declared a dangerous dog (declared); or</w:t>
      </w:r>
    </w:p>
    <w:p>
      <w:pPr>
        <w:pStyle w:val="Indenta"/>
      </w:pPr>
      <w:r>
        <w:tab/>
        <w:t>(b)</w:t>
      </w:r>
      <w:r>
        <w:tab/>
        <w:t>during the period, if any, beginning when the owner lodges an objection under section 33F or applies for review under section 33I(1)(b) and ending 7 days after the day of the determination of that objection or review; or</w:t>
      </w:r>
    </w:p>
    <w:p>
      <w:pPr>
        <w:pStyle w:val="Indenta"/>
      </w:pPr>
      <w:r>
        <w:tab/>
        <w:t>(c)</w:t>
      </w:r>
      <w:r>
        <w:tab/>
        <w:t>during the 7 day period, if any, after the giving of a notice under section 33F(6)(a) as to the dismissal of an objection; or</w:t>
      </w:r>
    </w:p>
    <w:p>
      <w:pPr>
        <w:pStyle w:val="Indenta"/>
      </w:pPr>
      <w:r>
        <w:tab/>
        <w:t>(d)</w:t>
      </w:r>
      <w:r>
        <w:tab/>
        <w:t>during the period, if any, beginning when the owner applies for a review under section 33I(1)(a)(i) or (d) and ending 7 days after the day of the determination of that review.</w:t>
      </w:r>
    </w:p>
    <w:p>
      <w:pPr>
        <w:pStyle w:val="Subsection"/>
        <w:spacing w:before="180"/>
      </w:pPr>
      <w:r>
        <w:tab/>
        <w:t>(4)</w:t>
      </w:r>
      <w:r>
        <w:tab/>
        <w:t>A dangerous dog is exempt from microchipping if a certificate given by a veterinarian stating that the implantation of a microchip in the dog may adversely affect the health and welfare of the dog applies in respect of the dog.</w:t>
      </w:r>
    </w:p>
    <w:p>
      <w:pPr>
        <w:pStyle w:val="Subsection"/>
        <w:spacing w:before="180"/>
      </w:pPr>
      <w:r>
        <w:tab/>
        <w:t>(5)</w:t>
      </w:r>
      <w:r>
        <w:tab/>
        <w:t>A certificate referred to in subsection (4) cannot apply in respect of a dangerous dog that is under 3 months of age.</w:t>
      </w:r>
    </w:p>
    <w:p>
      <w:pPr>
        <w:pStyle w:val="Subsection"/>
        <w:keepNext/>
        <w:spacing w:before="180"/>
      </w:pPr>
      <w:r>
        <w:tab/>
        <w:t>(6)</w:t>
      </w:r>
      <w:r>
        <w:tab/>
        <w:t>Nothing in subsection (3) affects the operation of section 21(1) or (2) in relation to a particular dog.</w:t>
      </w:r>
    </w:p>
    <w:p>
      <w:pPr>
        <w:pStyle w:val="Footnotesection"/>
        <w:ind w:left="890" w:hanging="890"/>
      </w:pPr>
      <w:r>
        <w:tab/>
        <w:t xml:space="preserve">[Section 22 inserted: No. 18 of 2013 s. 21.] </w:t>
      </w:r>
    </w:p>
    <w:p>
      <w:pPr>
        <w:pStyle w:val="Heading5"/>
        <w:keepLines w:val="0"/>
        <w:widowControl w:val="0"/>
      </w:pPr>
      <w:bookmarkStart w:id="63" w:name="_Toc183507309"/>
      <w:r>
        <w:rPr>
          <w:rStyle w:val="CharSectno"/>
        </w:rPr>
        <w:lastRenderedPageBreak/>
        <w:t>23</w:t>
      </w:r>
      <w:r>
        <w:t>.</w:t>
      </w:r>
      <w:r>
        <w:tab/>
        <w:t>Notice to be given of microchip information</w:t>
      </w:r>
      <w:bookmarkEnd w:id="63"/>
    </w:p>
    <w:p>
      <w:pPr>
        <w:pStyle w:val="Subsection"/>
        <w:keepNext/>
      </w:pPr>
      <w:r>
        <w:tab/>
        <w:t>(1)</w:t>
      </w:r>
      <w:r>
        <w:tab/>
        <w:t xml:space="preserve">The owner of a microchipped dog must, within 7 days of the microchipping, give notice in writing to the local government of the district in which the dog is ordinarily kept or ordinarily permitted to live of — </w:t>
      </w:r>
    </w:p>
    <w:p>
      <w:pPr>
        <w:pStyle w:val="Indenta"/>
        <w:keepNext/>
      </w:pPr>
      <w:r>
        <w:tab/>
        <w:t>(a)</w:t>
      </w:r>
      <w:r>
        <w:tab/>
        <w:t>the name of the microchip database company for the dog; and</w:t>
      </w:r>
    </w:p>
    <w:p>
      <w:pPr>
        <w:pStyle w:val="Indenta"/>
      </w:pPr>
      <w:r>
        <w:tab/>
        <w:t>(b)</w:t>
      </w:r>
      <w:r>
        <w:tab/>
        <w:t>the microchip’s unique identification number for the dog.</w:t>
      </w:r>
    </w:p>
    <w:p>
      <w:pPr>
        <w:pStyle w:val="Penstart"/>
      </w:pPr>
      <w:r>
        <w:tab/>
        <w:t>Penalty: a fine of $5 000.</w:t>
      </w:r>
    </w:p>
    <w:p>
      <w:pPr>
        <w:pStyle w:val="Subsection"/>
      </w:pPr>
      <w:r>
        <w:tab/>
        <w:t>(2)</w:t>
      </w:r>
      <w:r>
        <w:tab/>
        <w:t>Subsection (1) does not apply if the information has been, or will be, provided with an application to the local government to register the dog.</w:t>
      </w:r>
    </w:p>
    <w:p>
      <w:pPr>
        <w:pStyle w:val="Footnotesection"/>
      </w:pPr>
      <w:r>
        <w:tab/>
        <w:t xml:space="preserve">[Section 23 inserted: No. 18 of 2013 s. 21.] </w:t>
      </w:r>
    </w:p>
    <w:p>
      <w:pPr>
        <w:pStyle w:val="Heading5"/>
      </w:pPr>
      <w:bookmarkStart w:id="64" w:name="_Toc183507310"/>
      <w:r>
        <w:rPr>
          <w:rStyle w:val="CharSectno"/>
        </w:rPr>
        <w:t>24</w:t>
      </w:r>
      <w:r>
        <w:t>.</w:t>
      </w:r>
      <w:r>
        <w:tab/>
        <w:t>Microchip implanter to give information to microchip database company</w:t>
      </w:r>
      <w:bookmarkEnd w:id="64"/>
    </w:p>
    <w:p>
      <w:pPr>
        <w:pStyle w:val="Subsection"/>
      </w:pPr>
      <w:r>
        <w:tab/>
      </w:r>
      <w:r>
        <w:tab/>
        <w:t>A microchip implanter who implants a microchip in a dog must, within 7 days after the microchip is implanted, give notice in writing in the form, if any, prescribed of the information prescribed to the microchip database company for that dog.</w:t>
      </w:r>
    </w:p>
    <w:p>
      <w:pPr>
        <w:pStyle w:val="Penstart"/>
      </w:pPr>
      <w:r>
        <w:tab/>
        <w:t>Penalty: a fine of $5 000.</w:t>
      </w:r>
    </w:p>
    <w:p>
      <w:pPr>
        <w:pStyle w:val="Footnotesection"/>
      </w:pPr>
      <w:r>
        <w:tab/>
        <w:t xml:space="preserve">[Section 24 inserted: No. 18 of 2013 s. 21.] </w:t>
      </w:r>
    </w:p>
    <w:p>
      <w:pPr>
        <w:pStyle w:val="Heading5"/>
      </w:pPr>
      <w:bookmarkStart w:id="65" w:name="_Toc183507311"/>
      <w:r>
        <w:rPr>
          <w:rStyle w:val="CharSectno"/>
        </w:rPr>
        <w:t>25</w:t>
      </w:r>
      <w:r>
        <w:t>.</w:t>
      </w:r>
      <w:r>
        <w:tab/>
        <w:t>Microchip database company’s obligations</w:t>
      </w:r>
      <w:bookmarkEnd w:id="65"/>
    </w:p>
    <w:p>
      <w:pPr>
        <w:pStyle w:val="Subsection"/>
      </w:pPr>
      <w:r>
        <w:tab/>
      </w:r>
      <w:r>
        <w:tab/>
        <w:t>A microchip database company for a dog must keep and maintain in its microchip database the information prescribed under section 24 that has been given to it in respect of the dog.</w:t>
      </w:r>
    </w:p>
    <w:p>
      <w:pPr>
        <w:pStyle w:val="Penstart"/>
      </w:pPr>
      <w:r>
        <w:tab/>
        <w:t>Penalty: a fine of $5 000.</w:t>
      </w:r>
    </w:p>
    <w:p>
      <w:pPr>
        <w:pStyle w:val="Footnotesection"/>
      </w:pPr>
      <w:r>
        <w:tab/>
        <w:t xml:space="preserve">[Section 25 inserted: No. 18 of 2013 s. 21; amended: No. 29 of 2021 s. 21.] </w:t>
      </w:r>
    </w:p>
    <w:p>
      <w:pPr>
        <w:pStyle w:val="Heading5"/>
      </w:pPr>
      <w:bookmarkStart w:id="66" w:name="_Toc183507312"/>
      <w:r>
        <w:rPr>
          <w:rStyle w:val="CharSectno"/>
        </w:rPr>
        <w:lastRenderedPageBreak/>
        <w:t>26A</w:t>
      </w:r>
      <w:r>
        <w:t>.</w:t>
      </w:r>
      <w:r>
        <w:tab/>
        <w:t>Interference with microchips</w:t>
      </w:r>
      <w:bookmarkEnd w:id="66"/>
    </w:p>
    <w:p>
      <w:pPr>
        <w:pStyle w:val="Subsection"/>
        <w:keepNext/>
      </w:pPr>
      <w:r>
        <w:tab/>
      </w:r>
      <w:r>
        <w:tab/>
        <w:t>A person must not, without reasonable excuse, remove or interfere with a microchip implanted in a dog.</w:t>
      </w:r>
    </w:p>
    <w:p>
      <w:pPr>
        <w:pStyle w:val="Penstart"/>
        <w:keepNext/>
      </w:pPr>
      <w:r>
        <w:tab/>
        <w:t>Penalty: a fine of $5 000.</w:t>
      </w:r>
    </w:p>
    <w:p>
      <w:pPr>
        <w:pStyle w:val="Footnotesection"/>
      </w:pPr>
      <w:r>
        <w:tab/>
        <w:t xml:space="preserve">[Section 26A inserted: No. 18 of 2013 s. 21.] </w:t>
      </w:r>
    </w:p>
    <w:p>
      <w:pPr>
        <w:pStyle w:val="Heading5"/>
      </w:pPr>
      <w:bookmarkStart w:id="67" w:name="_Toc183507313"/>
      <w:r>
        <w:rPr>
          <w:rStyle w:val="CharSectno"/>
        </w:rPr>
        <w:t>26B</w:t>
      </w:r>
      <w:r>
        <w:t>.</w:t>
      </w:r>
      <w:r>
        <w:tab/>
        <w:t>Transfer of ownership of unmicrochipped dogs</w:t>
      </w:r>
      <w:bookmarkEnd w:id="67"/>
    </w:p>
    <w:p>
      <w:pPr>
        <w:pStyle w:val="Subsection"/>
      </w:pPr>
      <w:r>
        <w:tab/>
        <w:t>(1)</w:t>
      </w:r>
      <w:r>
        <w:tab/>
        <w:t>A person must not transfer the ownership of a dog that is not microchipped unless, at the time of the transfer, the person is satisfied that a certificate referred to in section 21(4) or 22(4) applies in respect of the dog.</w:t>
      </w:r>
    </w:p>
    <w:p>
      <w:pPr>
        <w:pStyle w:val="Penstart"/>
      </w:pPr>
      <w:r>
        <w:tab/>
        <w:t>Penalty: a fine of $5 000.</w:t>
      </w:r>
    </w:p>
    <w:p>
      <w:pPr>
        <w:pStyle w:val="Subsection"/>
      </w:pPr>
      <w:r>
        <w:tab/>
        <w:t>(2)</w:t>
      </w:r>
      <w:r>
        <w:tab/>
        <w:t>Subsection (1) applies regardless of when or whether the dog was registered.</w:t>
      </w:r>
    </w:p>
    <w:p>
      <w:pPr>
        <w:pStyle w:val="Footnotesection"/>
      </w:pPr>
      <w:r>
        <w:tab/>
        <w:t xml:space="preserve">[Section 26B inserted: No. 18 of 2013 s. 21.] </w:t>
      </w:r>
    </w:p>
    <w:p>
      <w:pPr>
        <w:pStyle w:val="Heading5"/>
      </w:pPr>
      <w:bookmarkStart w:id="68" w:name="_Toc183507314"/>
      <w:r>
        <w:rPr>
          <w:rStyle w:val="CharSectno"/>
        </w:rPr>
        <w:t>26C</w:t>
      </w:r>
      <w:r>
        <w:t>.</w:t>
      </w:r>
      <w:r>
        <w:tab/>
        <w:t>Transfer of ownership of microchipped dogs</w:t>
      </w:r>
      <w:bookmarkEnd w:id="68"/>
    </w:p>
    <w:p>
      <w:pPr>
        <w:pStyle w:val="Subsection"/>
      </w:pPr>
      <w:r>
        <w:tab/>
      </w:r>
      <w:r>
        <w:tab/>
        <w:t xml:space="preserve">Within 7 days after the transfer of the ownership of a microchipped dog, the person who effected the transfer must give notice in writing to the microchip database company for that dog, of — </w:t>
      </w:r>
    </w:p>
    <w:p>
      <w:pPr>
        <w:pStyle w:val="Indenta"/>
      </w:pPr>
      <w:r>
        <w:tab/>
        <w:t>(a)</w:t>
      </w:r>
      <w:r>
        <w:tab/>
        <w:t>the name and address of the person to whom the ownership of the dog was transferred; and</w:t>
      </w:r>
    </w:p>
    <w:p>
      <w:pPr>
        <w:pStyle w:val="Indenta"/>
      </w:pPr>
      <w:r>
        <w:tab/>
        <w:t>(b)</w:t>
      </w:r>
      <w:r>
        <w:tab/>
        <w:t>any other changes to the information prescribed under section 24 in respect of the dog.</w:t>
      </w:r>
    </w:p>
    <w:p>
      <w:pPr>
        <w:pStyle w:val="Penstart"/>
      </w:pPr>
      <w:r>
        <w:tab/>
        <w:t>Penalty: a fine of $5 000.</w:t>
      </w:r>
    </w:p>
    <w:p>
      <w:pPr>
        <w:pStyle w:val="Footnotesection"/>
      </w:pPr>
      <w:r>
        <w:tab/>
        <w:t xml:space="preserve">[Section 26C inserted: No. 18 of 2013 s. 21.] </w:t>
      </w:r>
    </w:p>
    <w:p>
      <w:pPr>
        <w:pStyle w:val="Heading3"/>
        <w:keepNext w:val="0"/>
        <w:pageBreakBefore/>
        <w:widowControl w:val="0"/>
        <w:spacing w:before="0"/>
      </w:pPr>
      <w:bookmarkStart w:id="69" w:name="_Toc183090388"/>
      <w:bookmarkStart w:id="70" w:name="_Toc183182230"/>
      <w:bookmarkStart w:id="71" w:name="_Toc183419351"/>
      <w:bookmarkStart w:id="72" w:name="_Toc183423415"/>
      <w:bookmarkStart w:id="73" w:name="_Toc183507315"/>
      <w:r>
        <w:rPr>
          <w:rStyle w:val="CharDivNo"/>
        </w:rPr>
        <w:lastRenderedPageBreak/>
        <w:t>Division 3</w:t>
      </w:r>
      <w:r>
        <w:t> — </w:t>
      </w:r>
      <w:r>
        <w:rPr>
          <w:rStyle w:val="CharDivText"/>
        </w:rPr>
        <w:t>Changes to recorded information</w:t>
      </w:r>
      <w:bookmarkEnd w:id="69"/>
      <w:bookmarkEnd w:id="70"/>
      <w:bookmarkEnd w:id="71"/>
      <w:bookmarkEnd w:id="72"/>
      <w:bookmarkEnd w:id="73"/>
    </w:p>
    <w:p>
      <w:pPr>
        <w:pStyle w:val="Footnoteheading"/>
      </w:pPr>
      <w:r>
        <w:tab/>
        <w:t xml:space="preserve">[Heading inserted: No. 18 of 2013 s. 21.] </w:t>
      </w:r>
    </w:p>
    <w:p>
      <w:pPr>
        <w:pStyle w:val="Heading5"/>
      </w:pPr>
      <w:bookmarkStart w:id="74" w:name="_Toc183507316"/>
      <w:r>
        <w:rPr>
          <w:rStyle w:val="CharSectno"/>
        </w:rPr>
        <w:t>26D</w:t>
      </w:r>
      <w:r>
        <w:t>.</w:t>
      </w:r>
      <w:r>
        <w:tab/>
        <w:t>Notice to be given of changes to recorded information</w:t>
      </w:r>
      <w:bookmarkEnd w:id="74"/>
    </w:p>
    <w:p>
      <w:pPr>
        <w:pStyle w:val="Subsection"/>
      </w:pPr>
      <w:r>
        <w:tab/>
      </w:r>
      <w:r>
        <w:tab/>
        <w:t xml:space="preserve">The owner of a dog must give notice in writing — </w:t>
      </w:r>
    </w:p>
    <w:p>
      <w:pPr>
        <w:pStyle w:val="Indenta"/>
      </w:pPr>
      <w:r>
        <w:tab/>
        <w:t>(a)</w:t>
      </w:r>
      <w:r>
        <w:tab/>
        <w:t>to the local government with which the dog is registered, if there is a change to any of the information prescribed under section 14(3) in respect of the dog; and</w:t>
      </w:r>
    </w:p>
    <w:p>
      <w:pPr>
        <w:pStyle w:val="Indenta"/>
      </w:pPr>
      <w:r>
        <w:tab/>
        <w:t>(b)</w:t>
      </w:r>
      <w:r>
        <w:tab/>
        <w:t>to the microchip database company for that dog, if there is a change to any of the information prescribed under section 24 in respect of the dog,</w:t>
      </w:r>
    </w:p>
    <w:p>
      <w:pPr>
        <w:pStyle w:val="Subsection"/>
      </w:pPr>
      <w:r>
        <w:tab/>
      </w:r>
      <w:r>
        <w:tab/>
        <w:t>within 7 days after the change to the information.</w:t>
      </w:r>
    </w:p>
    <w:p>
      <w:pPr>
        <w:pStyle w:val="Penstart"/>
      </w:pPr>
      <w:r>
        <w:tab/>
        <w:t>Penalty: a fine of $5 000.</w:t>
      </w:r>
    </w:p>
    <w:p>
      <w:pPr>
        <w:pStyle w:val="Footnotesection"/>
      </w:pPr>
      <w:r>
        <w:tab/>
        <w:t xml:space="preserve">[Section 26D inserted: No. 18 of 2013 s. 21.] </w:t>
      </w:r>
    </w:p>
    <w:p>
      <w:pPr>
        <w:pStyle w:val="Heading2"/>
      </w:pPr>
      <w:bookmarkStart w:id="75" w:name="_Toc183090390"/>
      <w:bookmarkStart w:id="76" w:name="_Toc183182232"/>
      <w:bookmarkStart w:id="77" w:name="_Toc183419353"/>
      <w:bookmarkStart w:id="78" w:name="_Toc183423417"/>
      <w:bookmarkStart w:id="79" w:name="_Toc183507317"/>
      <w:r>
        <w:rPr>
          <w:rStyle w:val="CharPartNo"/>
        </w:rPr>
        <w:lastRenderedPageBreak/>
        <w:t>Part V</w:t>
      </w:r>
      <w:r>
        <w:rPr>
          <w:rStyle w:val="CharDivNo"/>
        </w:rPr>
        <w:t> </w:t>
      </w:r>
      <w:r>
        <w:t>—</w:t>
      </w:r>
      <w:r>
        <w:rPr>
          <w:rStyle w:val="CharDivText"/>
        </w:rPr>
        <w:t> </w:t>
      </w:r>
      <w:r>
        <w:rPr>
          <w:rStyle w:val="CharPartText"/>
        </w:rPr>
        <w:t>The keeping of dogs</w:t>
      </w:r>
      <w:bookmarkEnd w:id="75"/>
      <w:bookmarkEnd w:id="76"/>
      <w:bookmarkEnd w:id="77"/>
      <w:bookmarkEnd w:id="78"/>
      <w:bookmarkEnd w:id="79"/>
      <w:r>
        <w:rPr>
          <w:rStyle w:val="CharPartText"/>
        </w:rPr>
        <w:t xml:space="preserve"> </w:t>
      </w:r>
    </w:p>
    <w:p>
      <w:pPr>
        <w:pStyle w:val="Heading5"/>
        <w:spacing w:before="240"/>
        <w:rPr>
          <w:snapToGrid w:val="0"/>
        </w:rPr>
      </w:pPr>
      <w:bookmarkStart w:id="80" w:name="_Toc183507318"/>
      <w:r>
        <w:rPr>
          <w:rStyle w:val="CharSectno"/>
        </w:rPr>
        <w:t>26</w:t>
      </w:r>
      <w:r>
        <w:rPr>
          <w:snapToGrid w:val="0"/>
        </w:rPr>
        <w:t>.</w:t>
      </w:r>
      <w:r>
        <w:rPr>
          <w:snapToGrid w:val="0"/>
        </w:rPr>
        <w:tab/>
        <w:t>Limitation as to numbers</w:t>
      </w:r>
      <w:bookmarkEnd w:id="80"/>
      <w:r>
        <w:rPr>
          <w:snapToGrid w:val="0"/>
        </w:rPr>
        <w:t xml:space="preserve"> </w:t>
      </w:r>
    </w:p>
    <w:p>
      <w:pPr>
        <w:pStyle w:val="Subsection"/>
      </w:pPr>
      <w:r>
        <w:tab/>
        <w:t>(1)</w:t>
      </w:r>
      <w:r>
        <w:tab/>
        <w:t xml:space="preserve">A local government may, by a local law under this Act — </w:t>
      </w:r>
    </w:p>
    <w:p>
      <w:pPr>
        <w:pStyle w:val="Indenta"/>
      </w:pPr>
      <w:r>
        <w:tab/>
        <w:t>(a)</w:t>
      </w:r>
      <w:r>
        <w:tab/>
        <w:t>limit the number of dogs that have reached 3 months of age that can be kept in or at premises in the local government’s district; or</w:t>
      </w:r>
    </w:p>
    <w:p>
      <w:pPr>
        <w:pStyle w:val="Indenta"/>
      </w:pPr>
      <w:r>
        <w:tab/>
        <w:t>(b)</w:t>
      </w:r>
      <w:r>
        <w:tab/>
        <w:t>limit the number of dogs of a breed specified in the local law that can be kept in or at premises in the local government’s district.</w:t>
      </w:r>
    </w:p>
    <w:p>
      <w:pPr>
        <w:pStyle w:val="Subsection"/>
      </w:pPr>
      <w:r>
        <w:tab/>
        <w:t>(2)</w:t>
      </w:r>
      <w:r>
        <w:tab/>
        <w:t xml:space="preserve">A local law mentioned in subsection (1) — </w:t>
      </w:r>
    </w:p>
    <w:p>
      <w:pPr>
        <w:pStyle w:val="Indenta"/>
      </w:pPr>
      <w:r>
        <w:tab/>
        <w:t>(a)</w:t>
      </w:r>
      <w:r>
        <w:tab/>
        <w:t>may limit the number of dogs that can be kept in or at premises to 2, 3, 4, 5 or 6 only; and</w:t>
      </w:r>
    </w:p>
    <w:p>
      <w:pPr>
        <w:pStyle w:val="Indenta"/>
      </w:pPr>
      <w:r>
        <w:tab/>
        <w:t>(b)</w:t>
      </w:r>
      <w:r>
        <w:tab/>
        <w:t>cannot prevent the keeping in or at premises of one or 2 dogs that have reached 3 months of age and any pup of either of those dogs under that age; and</w:t>
      </w:r>
    </w:p>
    <w:p>
      <w:pPr>
        <w:pStyle w:val="Indenta"/>
      </w:pPr>
      <w:r>
        <w:tab/>
        <w:t>(c)</w:t>
      </w:r>
      <w:r>
        <w:tab/>
        <w:t>cannot apply to dogs kept at premises that are licensed under section 27 as an approved kennel establishment; and</w:t>
      </w:r>
    </w:p>
    <w:p>
      <w:pPr>
        <w:pStyle w:val="Indenta"/>
      </w:pPr>
      <w:r>
        <w:tab/>
        <w:t>(d)</w:t>
      </w:r>
      <w:r>
        <w:tab/>
        <w:t>cannot apply to dangerous dogs (declared) or dangerous dogs (restricted breed).</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in the exemption; and</w:t>
      </w:r>
    </w:p>
    <w:p>
      <w:pPr>
        <w:pStyle w:val="Indenta"/>
        <w:keepNext/>
      </w:pPr>
      <w:r>
        <w:lastRenderedPageBreak/>
        <w:tab/>
        <w:t>(b)</w:t>
      </w:r>
      <w:r>
        <w:tab/>
        <w:t xml:space="preserve">cannot authorise the keeping in or at those premises of — </w:t>
      </w:r>
    </w:p>
    <w:p>
      <w:pPr>
        <w:pStyle w:val="Indenti"/>
      </w:pPr>
      <w:r>
        <w:tab/>
        <w:t>(i)</w:t>
      </w:r>
      <w:r>
        <w:tab/>
        <w:t>more than 6 dogs that have reached 3 months of age; or</w:t>
      </w:r>
    </w:p>
    <w:p>
      <w:pPr>
        <w:pStyle w:val="Indenti"/>
      </w:pPr>
      <w:r>
        <w:tab/>
        <w:t>(ii)</w:t>
      </w:r>
      <w:r>
        <w:tab/>
        <w:t>a dog under that age unless it is a pup of a dog whose keeping is authorised by the exemption;</w:t>
      </w:r>
    </w:p>
    <w:p>
      <w:pPr>
        <w:pStyle w:val="Indenta"/>
      </w:pPr>
      <w:r>
        <w:tab/>
      </w:r>
      <w:r>
        <w:tab/>
        <w:t>and</w:t>
      </w:r>
    </w:p>
    <w:p>
      <w:pPr>
        <w:pStyle w:val="Indenta"/>
      </w:pPr>
      <w:r>
        <w:tab/>
        <w:t>(c)</w:t>
      </w:r>
      <w:r>
        <w:tab/>
        <w:t>may be revoked or varied at any time.</w:t>
      </w:r>
    </w:p>
    <w:p>
      <w:pPr>
        <w:pStyle w:val="Subsection"/>
        <w:rPr>
          <w:snapToGrid w:val="0"/>
        </w:rPr>
      </w:pPr>
      <w:r>
        <w:tab/>
        <w:t>(4)</w:t>
      </w:r>
      <w:r>
        <w:tab/>
        <w:t xml:space="preserve">A person must not keep in or at any premises, not being </w:t>
      </w:r>
      <w:r>
        <w:rPr>
          <w:snapToGrid w:val="0"/>
        </w:rPr>
        <w:t xml:space="preserve">licensed under section 27 as an approved kennel establishment — </w:t>
      </w:r>
    </w:p>
    <w:p>
      <w:pPr>
        <w:pStyle w:val="Indenta"/>
      </w:pPr>
      <w:r>
        <w:tab/>
        <w:t>(a)</w:t>
      </w:r>
      <w:r>
        <w:tab/>
        <w:t xml:space="preserve">in the case of dogs that have reached 3 months of age, other than dangerous dogs (declared) or dangerous dogs (restricted breed), more than the number of dogs than the limit imposed under — </w:t>
      </w:r>
    </w:p>
    <w:p>
      <w:pPr>
        <w:pStyle w:val="Indenti"/>
      </w:pPr>
      <w:r>
        <w:tab/>
        <w:t>(i)</w:t>
      </w:r>
      <w:r>
        <w:tab/>
        <w:t>a local law mentioned in subsection (1); or</w:t>
      </w:r>
    </w:p>
    <w:p>
      <w:pPr>
        <w:pStyle w:val="Indenti"/>
      </w:pPr>
      <w:r>
        <w:tab/>
        <w:t>(ii)</w:t>
      </w:r>
      <w:r>
        <w:tab/>
        <w:t>an exemption granted under subsection (3);</w:t>
      </w:r>
    </w:p>
    <w:p>
      <w:pPr>
        <w:pStyle w:val="Indenta"/>
      </w:pPr>
      <w:r>
        <w:tab/>
      </w:r>
      <w:r>
        <w:tab/>
        <w:t>or</w:t>
      </w:r>
    </w:p>
    <w:p>
      <w:pPr>
        <w:pStyle w:val="Indenta"/>
      </w:pPr>
      <w:r>
        <w:tab/>
        <w:t>(b)</w:t>
      </w:r>
      <w:r>
        <w:tab/>
        <w:t xml:space="preserve">more than — </w:t>
      </w:r>
    </w:p>
    <w:p>
      <w:pPr>
        <w:pStyle w:val="Indenti"/>
      </w:pPr>
      <w:r>
        <w:tab/>
        <w:t>(i)</w:t>
      </w:r>
      <w:r>
        <w:tab/>
        <w:t>2 dangerous dogs (declared); or</w:t>
      </w:r>
    </w:p>
    <w:p>
      <w:pPr>
        <w:pStyle w:val="Indenti"/>
      </w:pPr>
      <w:r>
        <w:tab/>
        <w:t>(ii)</w:t>
      </w:r>
      <w:r>
        <w:tab/>
        <w:t>2 dangerous dogs (restricted breed); or</w:t>
      </w:r>
    </w:p>
    <w:p>
      <w:pPr>
        <w:pStyle w:val="Indenti"/>
      </w:pPr>
      <w:r>
        <w:tab/>
        <w:t>(iii)</w:t>
      </w:r>
      <w:r>
        <w:tab/>
        <w:t>one of each of those kinds of dangerous dogs,</w:t>
      </w:r>
    </w:p>
    <w:p>
      <w:pPr>
        <w:pStyle w:val="Indenta"/>
      </w:pPr>
      <w:r>
        <w:tab/>
      </w:r>
      <w:r>
        <w:tab/>
        <w:t>that have reached 3 months of age; or</w:t>
      </w:r>
    </w:p>
    <w:p>
      <w:pPr>
        <w:pStyle w:val="Indenta"/>
      </w:pPr>
      <w:r>
        <w:tab/>
        <w:t>(c)</w:t>
      </w:r>
      <w:r>
        <w:tab/>
        <w:t>any pup, of a dangerous dog (restricted breed), that is under 3 months of age.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lastRenderedPageBreak/>
        <w:t>Interpretation Act 1984</w:t>
      </w:r>
      <w:r>
        <w:t xml:space="preserve"> section 71, a fine of $500;</w:t>
      </w:r>
    </w:p>
    <w:p>
      <w:pPr>
        <w:pStyle w:val="Penpara"/>
      </w:pPr>
      <w:r>
        <w:tab/>
        <w:t>(b)</w:t>
      </w:r>
      <w:r>
        <w:tab/>
        <w:t xml:space="preserve">for an offence relating to a dog other than a dangerous dog — </w:t>
      </w:r>
    </w:p>
    <w:p>
      <w:pPr>
        <w:pStyle w:val="Pensubpara"/>
      </w:pPr>
      <w:r>
        <w:tab/>
        <w:t>(i)</w:t>
      </w:r>
      <w:r>
        <w:tab/>
        <w:t>a fine of $5 000;</w:t>
      </w:r>
    </w:p>
    <w:p>
      <w:pPr>
        <w:pStyle w:val="Pensubpara"/>
      </w:pPr>
      <w:r>
        <w:tab/>
        <w:t>(ii)</w:t>
      </w:r>
      <w:r>
        <w:tab/>
        <w:t xml:space="preserve">for each separate and further offence committed by the person under the </w:t>
      </w:r>
      <w:r>
        <w:rPr>
          <w:i/>
        </w:rPr>
        <w:t>Interpretation Act 1984</w:t>
      </w:r>
      <w:r>
        <w:t xml:space="preserve"> section 71, a fine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under subsection (3);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No. 23 of 1987 s. 22; No. 14 of 1996 s. 4; No. 24 of 1996 s. 16; No. 55 of 2004 s. 256 and 268; No. 18 of 2013 s. 22.] </w:t>
      </w:r>
    </w:p>
    <w:p>
      <w:pPr>
        <w:pStyle w:val="Heading5"/>
        <w:rPr>
          <w:snapToGrid w:val="0"/>
        </w:rPr>
      </w:pPr>
      <w:bookmarkStart w:id="81" w:name="_Toc183507319"/>
      <w:r>
        <w:rPr>
          <w:rStyle w:val="CharSectno"/>
        </w:rPr>
        <w:t>27</w:t>
      </w:r>
      <w:r>
        <w:rPr>
          <w:snapToGrid w:val="0"/>
        </w:rPr>
        <w:t>.</w:t>
      </w:r>
      <w:r>
        <w:rPr>
          <w:snapToGrid w:val="0"/>
        </w:rPr>
        <w:tab/>
        <w:t>Licensing of approved kennel establishments</w:t>
      </w:r>
      <w:bookmarkEnd w:id="81"/>
      <w:r>
        <w:rPr>
          <w:snapToGrid w:val="0"/>
        </w:rPr>
        <w:t xml:space="preserve"> </w:t>
      </w:r>
    </w:p>
    <w:p>
      <w:pPr>
        <w:pStyle w:val="Subsection"/>
      </w:pPr>
      <w:r>
        <w:tab/>
        <w:t>(1)</w:t>
      </w:r>
      <w:r>
        <w:tab/>
        <w:t>Where, under section 26(1)(a) or (b), a limit is imposed on the number of dogs that can be kept in or at any premises situate in a local government’s district area, and a person proposes to keep more than that number of dogs in or at premises in that area that are not exempt from the limitation, the person must apply for the premises in question to be licensed as an approved kennel establishment.</w:t>
      </w:r>
    </w:p>
    <w:p>
      <w:pPr>
        <w:pStyle w:val="Subsection"/>
        <w:rPr>
          <w:snapToGrid w:val="0"/>
        </w:rPr>
      </w:pPr>
      <w:r>
        <w:rPr>
          <w:snapToGrid w:val="0"/>
        </w:rPr>
        <w:lastRenderedPageBreak/>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Subsection"/>
      </w:pPr>
      <w:r>
        <w:tab/>
      </w:r>
      <w:r>
        <w:tab/>
        <w:t>Penalty for this subsection:</w:t>
      </w:r>
    </w:p>
    <w:p>
      <w:pPr>
        <w:pStyle w:val="Penpara"/>
      </w:pPr>
      <w:r>
        <w:tab/>
        <w:t>(a)</w:t>
      </w:r>
      <w:r>
        <w:tab/>
        <w:t>a fine of $5 000;</w:t>
      </w:r>
    </w:p>
    <w:p>
      <w:pPr>
        <w:pStyle w:val="Penpara"/>
      </w:pPr>
      <w:r>
        <w:tab/>
        <w:t>(b)</w:t>
      </w:r>
      <w:r>
        <w:tab/>
        <w:t xml:space="preserve">for each separate and further offence committed by the person under the </w:t>
      </w:r>
      <w:r>
        <w:rPr>
          <w:i/>
        </w:rPr>
        <w:t>Interpretation Act 1984</w:t>
      </w:r>
      <w:r>
        <w:t xml:space="preserve"> section 71, a fine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a manner and form approved by the local government,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keepNext/>
        <w:widowControl w:val="0"/>
        <w:rPr>
          <w:snapToGrid w:val="0"/>
        </w:rPr>
      </w:pPr>
      <w:r>
        <w:rPr>
          <w:snapToGrid w:val="0"/>
        </w:rPr>
        <w:lastRenderedPageBreak/>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No. 23 of 1987 s. 23; No. 14 of 1996 s. 4; No. 24 of 1996 s. 16; No. 55 of 2004 s. 257; No. 18 of 2013 s. 23; No. 29 of 2021 s. 25.] </w:t>
      </w:r>
    </w:p>
    <w:p>
      <w:pPr>
        <w:pStyle w:val="Heading2"/>
      </w:pPr>
      <w:bookmarkStart w:id="82" w:name="_Toc183090393"/>
      <w:bookmarkStart w:id="83" w:name="_Toc183182235"/>
      <w:bookmarkStart w:id="84" w:name="_Toc183419356"/>
      <w:bookmarkStart w:id="85" w:name="_Toc183423420"/>
      <w:bookmarkStart w:id="86" w:name="_Toc183507320"/>
      <w:r>
        <w:rPr>
          <w:rStyle w:val="CharPartNo"/>
        </w:rPr>
        <w:lastRenderedPageBreak/>
        <w:t>Part VI</w:t>
      </w:r>
      <w:r>
        <w:t> — </w:t>
      </w:r>
      <w:r>
        <w:rPr>
          <w:rStyle w:val="CharPartText"/>
        </w:rPr>
        <w:t>Control of dogs</w:t>
      </w:r>
      <w:bookmarkEnd w:id="82"/>
      <w:bookmarkEnd w:id="83"/>
      <w:bookmarkEnd w:id="84"/>
      <w:bookmarkEnd w:id="85"/>
      <w:bookmarkEnd w:id="86"/>
      <w:r>
        <w:rPr>
          <w:rStyle w:val="CharPartText"/>
        </w:rPr>
        <w:t xml:space="preserve"> </w:t>
      </w:r>
    </w:p>
    <w:p>
      <w:pPr>
        <w:pStyle w:val="Footnoteheading"/>
        <w:spacing w:before="100"/>
        <w:ind w:left="890"/>
        <w:rPr>
          <w:snapToGrid w:val="0"/>
        </w:rPr>
      </w:pPr>
      <w:r>
        <w:rPr>
          <w:snapToGrid w:val="0"/>
        </w:rPr>
        <w:tab/>
        <w:t>[Heading inserted: No. 23 of 1987 s. 24.]</w:t>
      </w:r>
    </w:p>
    <w:p>
      <w:pPr>
        <w:pStyle w:val="Heading3"/>
        <w:rPr>
          <w:snapToGrid w:val="0"/>
        </w:rPr>
      </w:pPr>
      <w:bookmarkStart w:id="87" w:name="_Toc183090394"/>
      <w:bookmarkStart w:id="88" w:name="_Toc183182236"/>
      <w:bookmarkStart w:id="89" w:name="_Toc183419357"/>
      <w:bookmarkStart w:id="90" w:name="_Toc183423421"/>
      <w:bookmarkStart w:id="91" w:name="_Toc183507321"/>
      <w:r>
        <w:rPr>
          <w:rStyle w:val="CharDivNo"/>
        </w:rPr>
        <w:t>Division 1</w:t>
      </w:r>
      <w:r>
        <w:rPr>
          <w:snapToGrid w:val="0"/>
        </w:rPr>
        <w:t> — </w:t>
      </w:r>
      <w:r>
        <w:rPr>
          <w:rStyle w:val="CharDivText"/>
        </w:rPr>
        <w:t>Dogs generally</w:t>
      </w:r>
      <w:bookmarkEnd w:id="87"/>
      <w:bookmarkEnd w:id="88"/>
      <w:bookmarkEnd w:id="89"/>
      <w:bookmarkEnd w:id="90"/>
      <w:bookmarkEnd w:id="91"/>
      <w:r>
        <w:rPr>
          <w:rStyle w:val="CharDivText"/>
        </w:rPr>
        <w:t xml:space="preserve"> </w:t>
      </w:r>
    </w:p>
    <w:p>
      <w:pPr>
        <w:pStyle w:val="Footnoteheading"/>
        <w:spacing w:before="100"/>
        <w:ind w:left="890"/>
        <w:rPr>
          <w:snapToGrid w:val="0"/>
        </w:rPr>
      </w:pPr>
      <w:r>
        <w:rPr>
          <w:snapToGrid w:val="0"/>
        </w:rPr>
        <w:tab/>
        <w:t xml:space="preserve">[Heading inserted: No. 24 of 1996 s. 7.] </w:t>
      </w:r>
    </w:p>
    <w:p>
      <w:pPr>
        <w:pStyle w:val="Heading5"/>
      </w:pPr>
      <w:bookmarkStart w:id="92" w:name="_Toc183507322"/>
      <w:r>
        <w:rPr>
          <w:rStyle w:val="CharSectno"/>
        </w:rPr>
        <w:t>28</w:t>
      </w:r>
      <w:r>
        <w:t>.</w:t>
      </w:r>
      <w:r>
        <w:tab/>
        <w:t>Obligation to identify dog’s owner</w:t>
      </w:r>
      <w:bookmarkEnd w:id="92"/>
    </w:p>
    <w:p>
      <w:pPr>
        <w:pStyle w:val="Subsection"/>
      </w:pPr>
      <w:r>
        <w:tab/>
        <w:t>(1)</w:t>
      </w:r>
      <w:r>
        <w:tab/>
        <w:t>If the identity of the owner of a dog entering a dog management facility is unknown to the operator of the facility then, as soon as practicable after the dog enters the facility, the operator must make every reasonable attempt to identify the owner of the dog including, where possible, by scanning the dog.</w:t>
      </w:r>
    </w:p>
    <w:p>
      <w:pPr>
        <w:pStyle w:val="Penstart"/>
      </w:pPr>
      <w:r>
        <w:tab/>
        <w:t>Penalty: a fine of $5 000.</w:t>
      </w:r>
    </w:p>
    <w:p>
      <w:pPr>
        <w:pStyle w:val="Subsection"/>
      </w:pPr>
      <w:r>
        <w:tab/>
        <w:t>(2)</w:t>
      </w:r>
      <w:r>
        <w:tab/>
        <w:t xml:space="preserve">Despite subsection (1), a person does not have to scan a dog if — </w:t>
      </w:r>
    </w:p>
    <w:p>
      <w:pPr>
        <w:pStyle w:val="Indenta"/>
      </w:pPr>
      <w:r>
        <w:tab/>
        <w:t>(a)</w:t>
      </w:r>
      <w:r>
        <w:tab/>
        <w:t>the dog behaves aggressively towards the person or any other person; and</w:t>
      </w:r>
    </w:p>
    <w:p>
      <w:pPr>
        <w:pStyle w:val="Indenta"/>
      </w:pPr>
      <w:r>
        <w:tab/>
        <w:t>(b)</w:t>
      </w:r>
      <w:r>
        <w:tab/>
        <w:t>the person believes on reasonable grounds that there is a danger to the health or safety of any person in attempting to scan the dog.</w:t>
      </w:r>
    </w:p>
    <w:p>
      <w:pPr>
        <w:pStyle w:val="Footnotesection"/>
        <w:spacing w:before="80"/>
        <w:ind w:left="890" w:hanging="890"/>
      </w:pPr>
      <w:r>
        <w:tab/>
        <w:t xml:space="preserve">[Section 28 inserted: No. 18 of 2013 s. 24.] </w:t>
      </w:r>
    </w:p>
    <w:p>
      <w:pPr>
        <w:pStyle w:val="Heading5"/>
        <w:rPr>
          <w:snapToGrid w:val="0"/>
        </w:rPr>
      </w:pPr>
      <w:bookmarkStart w:id="93" w:name="_Toc183507323"/>
      <w:r>
        <w:rPr>
          <w:rStyle w:val="CharSectno"/>
        </w:rPr>
        <w:t>29</w:t>
      </w:r>
      <w:r>
        <w:rPr>
          <w:snapToGrid w:val="0"/>
        </w:rPr>
        <w:t>.</w:t>
      </w:r>
      <w:r>
        <w:rPr>
          <w:snapToGrid w:val="0"/>
        </w:rPr>
        <w:tab/>
        <w:t>Power to seize dogs</w:t>
      </w:r>
      <w:bookmarkEnd w:id="93"/>
    </w:p>
    <w:p>
      <w:pPr>
        <w:pStyle w:val="Ednotesubsection"/>
      </w:pPr>
      <w:r>
        <w:tab/>
        <w:t>[(1)</w:t>
      </w:r>
      <w:r>
        <w:tab/>
        <w:t>deleted]</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keepNext/>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keepNext/>
      </w:pPr>
      <w:r>
        <w:lastRenderedPageBreak/>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 or</w:t>
      </w:r>
    </w:p>
    <w:p>
      <w:pPr>
        <w:pStyle w:val="Indenta"/>
      </w:pPr>
      <w:r>
        <w:tab/>
        <w:t>(b)</w:t>
      </w:r>
      <w:r>
        <w:tab/>
        <w:t>an attack by a dog is likely to occur; or</w:t>
      </w:r>
    </w:p>
    <w:p>
      <w:pPr>
        <w:pStyle w:val="Indenta"/>
      </w:pPr>
      <w:r>
        <w:tab/>
        <w:t>(ca)</w:t>
      </w:r>
      <w:r>
        <w:tab/>
        <w:t>a dog is in a place in contravention of section 31, 32 or 33A; or</w:t>
      </w:r>
    </w:p>
    <w:p>
      <w:pPr>
        <w:pStyle w:val="Indenta"/>
      </w:pPr>
      <w:r>
        <w:tab/>
        <w:t>(cb)</w:t>
      </w:r>
      <w:r>
        <w:tab/>
        <w:t>an offence against section 26(4) or 27(2) is being committed in respect of a dog; or</w:t>
      </w:r>
    </w:p>
    <w:p>
      <w:pPr>
        <w:pStyle w:val="Indenta"/>
      </w:pPr>
      <w:r>
        <w:tab/>
        <w:t>(cc)</w:t>
      </w:r>
      <w:r>
        <w:tab/>
        <w:t>an offence against Division 2 is being committed in respect of a dog;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w:t>
      </w:r>
      <w:r>
        <w:t xml:space="preserve"> as required under section 7,</w:t>
      </w:r>
    </w:p>
    <w:p>
      <w:pPr>
        <w:pStyle w:val="Subsection"/>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than a dwelling unless section 33G(1) applies.</w:t>
      </w:r>
    </w:p>
    <w:p>
      <w:pPr>
        <w:pStyle w:val="Subsection"/>
      </w:pPr>
      <w:r>
        <w:tab/>
        <w:t>(4A)</w:t>
      </w:r>
      <w:r>
        <w:tab/>
        <w:t xml:space="preserve">In relation to subsection (3)(cb), an authorised person may seize and detain only the number of dogs in excess of the limit imposed under — </w:t>
      </w:r>
    </w:p>
    <w:p>
      <w:pPr>
        <w:pStyle w:val="Indenta"/>
      </w:pPr>
      <w:r>
        <w:tab/>
        <w:t>(a)</w:t>
      </w:r>
      <w:r>
        <w:tab/>
        <w:t>a local law mentioned in section 26(1); or</w:t>
      </w:r>
    </w:p>
    <w:p>
      <w:pPr>
        <w:pStyle w:val="Indenta"/>
      </w:pPr>
      <w:r>
        <w:tab/>
        <w:t>(b)</w:t>
      </w:r>
      <w:r>
        <w:tab/>
        <w:t>an exemption granted under section 26(3); or</w:t>
      </w:r>
    </w:p>
    <w:p>
      <w:pPr>
        <w:pStyle w:val="Indenta"/>
      </w:pPr>
      <w:r>
        <w:lastRenderedPageBreak/>
        <w:tab/>
        <w:t>(c)</w:t>
      </w:r>
      <w:r>
        <w:tab/>
        <w:t>section 26(4)(b) or (c); or</w:t>
      </w:r>
    </w:p>
    <w:p>
      <w:pPr>
        <w:pStyle w:val="Indenta"/>
      </w:pPr>
      <w:r>
        <w:tab/>
        <w:t>(d)</w:t>
      </w:r>
      <w:r>
        <w:tab/>
        <w:t>a licence under section 27(2),</w:t>
      </w:r>
    </w:p>
    <w:p>
      <w:pPr>
        <w:pStyle w:val="Subsection"/>
      </w:pPr>
      <w:r>
        <w:tab/>
      </w:r>
      <w:r>
        <w:tab/>
        <w:t>as is applicable in the case.</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spacing w:before="120"/>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spacing w:before="120"/>
        <w:rPr>
          <w:snapToGrid w:val="0"/>
        </w:rPr>
      </w:pPr>
      <w:r>
        <w:rPr>
          <w:snapToGrid w:val="0"/>
        </w:rPr>
        <w:tab/>
        <w:t>(5a)</w:t>
      </w:r>
      <w:r>
        <w:rPr>
          <w:snapToGrid w:val="0"/>
        </w:rPr>
        <w:tab/>
        <w:t xml:space="preserve">If he is satisfied on the balance of probabilities that an attack by a dog </w:t>
      </w:r>
      <w:r>
        <w:t xml:space="preserve">(the </w:t>
      </w:r>
      <w:r>
        <w:rPr>
          <w:rStyle w:val="CharDefText"/>
        </w:rPr>
        <w:t>attack dog</w:t>
      </w:r>
      <w:r>
        <w:t xml:space="preserve">) has or may have caused injury or damage, or that a dangerous dog (restricted breed) has given birth to one or more pups, </w:t>
      </w:r>
      <w:r>
        <w:rPr>
          <w:snapToGrid w:val="0"/>
        </w:rPr>
        <w:t xml:space="preserve">a Justice of the Peace may issue a </w:t>
      </w:r>
      <w:r>
        <w:rPr>
          <w:snapToGrid w:val="0"/>
        </w:rPr>
        <w:lastRenderedPageBreak/>
        <w:t xml:space="preserve">warrant authorising any authorised person to </w:t>
      </w:r>
      <w:r>
        <w:t xml:space="preserve">seize the attack dog, or each pup, as is relevant to the case, </w:t>
      </w:r>
      <w:r>
        <w:rPr>
          <w:snapToGrid w:val="0"/>
        </w:rPr>
        <w:t>and — </w:t>
      </w:r>
    </w:p>
    <w:p>
      <w:pPr>
        <w:pStyle w:val="Indenta"/>
      </w:pPr>
      <w:r>
        <w:tab/>
        <w:t>(a)</w:t>
      </w:r>
      <w:r>
        <w:tab/>
        <w:t>if the attack dog is a dangerous dog, or in the case of a pup of a dangerous dog (restricted breed),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 xml:space="preserve">Where a dog is seized under this section and is not forthwith returned to the owner it shall be detained in a </w:t>
      </w:r>
      <w:r>
        <w:t>dog management facility</w:t>
      </w:r>
      <w:r>
        <w:rPr>
          <w:snapToGrid w:val="0"/>
        </w:rPr>
        <w:t xml:space="preserve"> or in any other suitable premises.</w:t>
      </w:r>
    </w:p>
    <w:p>
      <w:pPr>
        <w:pStyle w:val="Subsection"/>
        <w:rPr>
          <w:snapToGrid w:val="0"/>
        </w:rPr>
      </w:pPr>
      <w:r>
        <w:rPr>
          <w:snapToGrid w:val="0"/>
        </w:rPr>
        <w:tab/>
        <w:t>(7)</w:t>
      </w:r>
      <w:r>
        <w:rPr>
          <w:snapToGrid w:val="0"/>
        </w:rPr>
        <w:tab/>
        <w:t xml:space="preserve">An officer of a </w:t>
      </w:r>
      <w:r>
        <w:t xml:space="preserve">body prescribed for the purposes of the definition of </w:t>
      </w:r>
      <w:r>
        <w:rPr>
          <w:b/>
          <w:i/>
        </w:rPr>
        <w:t>dog management facility</w:t>
      </w:r>
      <w:r>
        <w:t xml:space="preserve"> in section 3(1) and</w:t>
      </w:r>
      <w:r>
        <w:rPr>
          <w:snapToGrid w:val="0"/>
        </w:rPr>
        <w:t xml:space="preserve"> who is authorised by that body for the purpose may receive and keep dogs in </w:t>
      </w:r>
      <w:r>
        <w:t>a dog management facility operated by that body</w:t>
      </w:r>
      <w:r>
        <w:rPr>
          <w:snapToGrid w:val="0"/>
        </w:rPr>
        <w:t xml:space="preserve">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is microchipped or the owner is otherwise readily identifiable, the authorised person causing it to be detained shall also cause notice to be given to the owner, or if the notice cannot be given to the owner to the owner’s delegate, if any, in the prescribed manner and form as soon as is practicable; and</w:t>
      </w:r>
    </w:p>
    <w:p>
      <w:pPr>
        <w:pStyle w:val="Indenta"/>
      </w:pPr>
      <w:r>
        <w:lastRenderedPageBreak/>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tab/>
        <w:t>(8A)</w:t>
      </w:r>
      <w:r>
        <w:tab/>
        <w:t xml:space="preserve">Where </w:t>
      </w:r>
      <w:r>
        <w:rPr>
          <w:snapToGrid w:val="0"/>
        </w:rPr>
        <w:t xml:space="preserve">a dog is detained under subsection (5b) and, at the expiration of the period of 7 days after the detention commenced (the </w:t>
      </w:r>
      <w:r>
        <w:rPr>
          <w:rStyle w:val="CharDefText"/>
        </w:rPr>
        <w:t>detention period</w:t>
      </w:r>
      <w:r>
        <w:rPr>
          <w:snapToGrid w:val="0"/>
        </w:rPr>
        <w:t>), no application has been made for an order for the destruction of the dog —</w:t>
      </w:r>
    </w:p>
    <w:p>
      <w:pPr>
        <w:pStyle w:val="Indenta"/>
      </w:pPr>
      <w:r>
        <w:tab/>
        <w:t>(a)</w:t>
      </w:r>
      <w:r>
        <w:tab/>
        <w:t>if the dog is wearing a registration tag or is microchipped or the owner is otherwise readily identifiable, an authorised person shall cause notice to be given to the owner, or if the notice cannot be given to the owner to the owner’s delegate, if any, in the prescribed manner and form as soon as is practicable after the expiration of the detention period;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expiration of the detention period; and</w:t>
      </w:r>
    </w:p>
    <w:p>
      <w:pPr>
        <w:pStyle w:val="Indenta"/>
      </w:pPr>
      <w:r>
        <w:lastRenderedPageBreak/>
        <w:tab/>
        <w:t>(d)</w:t>
      </w:r>
      <w:r>
        <w:tab/>
        <w:t>subject to this section the dog is to be delivered up to a person who produces satisfactory evidence of ownership or of the person’s authority to take delivery of the dog; and</w:t>
      </w:r>
    </w:p>
    <w:p>
      <w:pPr>
        <w:pStyle w:val="Indenta"/>
      </w:pPr>
      <w:r>
        <w:tab/>
        <w:t>(e)</w:t>
      </w:r>
      <w:r>
        <w:tab/>
        <w:t>the owner of the dog is liable to pay the reasonable cost of maintaining the dog during any period after the expiration of the period of 7 days mentioned in paragraph (b) or 72 hours mentioned in paragraph (c), as is applicable in the case, but otherwise the owner is not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w:t>
      </w:r>
      <w:r>
        <w:t xml:space="preserve"> subsection (8A)(a), (b), (c) and (e) apply in relation to the dog as if the determination of the application were the expiration of the detention period.</w:t>
      </w:r>
    </w:p>
    <w:p>
      <w:pPr>
        <w:pStyle w:val="Subsection"/>
        <w:rPr>
          <w:snapToGrid w:val="0"/>
        </w:rPr>
      </w:pPr>
      <w:r>
        <w:rPr>
          <w:snapToGrid w:val="0"/>
        </w:rPr>
        <w:tab/>
        <w:t>(8c)</w:t>
      </w:r>
      <w:r>
        <w:rPr>
          <w:snapToGrid w:val="0"/>
        </w:rPr>
        <w:tab/>
        <w:t xml:space="preserve">Subsection (5) applies in relation to any moneys that the owner of a dog is liable to pay under </w:t>
      </w:r>
      <w:r>
        <w:t xml:space="preserve">subsection (8A)(e), or under subsection (8A)(e) </w:t>
      </w:r>
      <w:r>
        <w:rPr>
          <w:snapToGrid w:val="0"/>
        </w:rPr>
        <w:t>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 or</w:t>
      </w:r>
    </w:p>
    <w:p>
      <w:pPr>
        <w:pStyle w:val="Indenta"/>
      </w:pPr>
      <w:r>
        <w:lastRenderedPageBreak/>
        <w:tab/>
        <w:t>(e)</w:t>
      </w:r>
      <w:r>
        <w:tab/>
        <w:t>an authorised person is satisfied that to deliver up the dog under subsection (8) or (8A) would create circumstances that give rise to an offence against this Act,</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 xml:space="preserve">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w:t>
      </w:r>
      <w:r>
        <w:t>veterinarian</w:t>
      </w:r>
      <w:r>
        <w:rPr>
          <w:snapToGrid w:val="0"/>
        </w:rPr>
        <w:t xml:space="preserve"> </w:t>
      </w:r>
      <w:r>
        <w:t>or a medical practitioner.</w:t>
      </w:r>
    </w:p>
    <w:p>
      <w:pPr>
        <w:pStyle w:val="Subsection"/>
        <w:spacing w:before="120"/>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spacing w:before="120"/>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keepNext/>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lastRenderedPageBreak/>
        <w:tab/>
        <w:t>(b)</w:t>
      </w:r>
      <w:r>
        <w:tab/>
        <w:t>on premises that are not a public place if the occupier of those premises consents to the destruction.</w:t>
      </w:r>
    </w:p>
    <w:p>
      <w:pPr>
        <w:pStyle w:val="Subsection"/>
        <w:spacing w:before="12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spacing w:before="120"/>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No. 23 of 1987 s. 26; No. 14 of 1996 s. 4; No. 24 of 1996 s. 8; No. 57 of 1997 s. 49; No. 10 of 1998 s. 29(1); No. 55 of 2004 s. 258; No. 18 of 2013 s. 25; No. 19 of 2016 s. 132; No. 16 of 2019 s. 109; No. 19 of 2021 s. 230(8).] </w:t>
      </w:r>
    </w:p>
    <w:p>
      <w:pPr>
        <w:pStyle w:val="Heading5"/>
        <w:spacing w:before="180"/>
      </w:pPr>
      <w:bookmarkStart w:id="94" w:name="_Toc183507324"/>
      <w:r>
        <w:rPr>
          <w:rStyle w:val="CharSectno"/>
        </w:rPr>
        <w:t>30A</w:t>
      </w:r>
      <w:r>
        <w:t>.</w:t>
      </w:r>
      <w:r>
        <w:tab/>
        <w:t>Operator of dog management facility may have dog microchipped at owner’s expense</w:t>
      </w:r>
      <w:bookmarkEnd w:id="94"/>
    </w:p>
    <w:p>
      <w:pPr>
        <w:pStyle w:val="Subsection"/>
        <w:spacing w:before="120"/>
      </w:pPr>
      <w:r>
        <w:tab/>
        <w:t>(1)</w:t>
      </w:r>
      <w:r>
        <w:tab/>
        <w:t xml:space="preserve">The operator of a dog management facility may do anything necessary to ensure that a dog kept at the facility is microchipped before the dog is reclaimed or otherwise transferred from the facility if the operator — </w:t>
      </w:r>
    </w:p>
    <w:p>
      <w:pPr>
        <w:pStyle w:val="Indenta"/>
      </w:pPr>
      <w:r>
        <w:tab/>
        <w:t>(a)</w:t>
      </w:r>
      <w:r>
        <w:tab/>
        <w:t>believes on reasonable grounds that the dog is required under section 21 or 22 to be microchipped but is not microchipped; and</w:t>
      </w:r>
    </w:p>
    <w:p>
      <w:pPr>
        <w:pStyle w:val="Indenta"/>
      </w:pPr>
      <w:r>
        <w:tab/>
        <w:t>(b)</w:t>
      </w:r>
      <w:r>
        <w:tab/>
        <w:t>has no reason to believe that the dog is exempt from microchipping as referred to in section 21(4) or 22(4).</w:t>
      </w:r>
    </w:p>
    <w:p>
      <w:pPr>
        <w:pStyle w:val="Subsection"/>
        <w:spacing w:before="120"/>
      </w:pPr>
      <w:r>
        <w:tab/>
        <w:t>(2)</w:t>
      </w:r>
      <w:r>
        <w:tab/>
        <w:t>The owner of a dog kept at a dog management facility is liable to pay to the operator of the facility the reasonable costs associated with the implantation of a microchip in the dog under subsection (1).</w:t>
      </w:r>
    </w:p>
    <w:p>
      <w:pPr>
        <w:pStyle w:val="Subsection"/>
        <w:spacing w:before="120"/>
      </w:pPr>
      <w:r>
        <w:tab/>
        <w:t>(3)</w:t>
      </w:r>
      <w:r>
        <w:tab/>
        <w:t>The operator of a dog management facility may recover the amount of the costs referred to in subsection (2) from the owner of the dog in a court of competent jurisdiction.</w:t>
      </w:r>
    </w:p>
    <w:p>
      <w:pPr>
        <w:pStyle w:val="Footnotesection"/>
      </w:pPr>
      <w:r>
        <w:tab/>
        <w:t>[Section 30A inserted: No. 18 of 2013 s. 26.]</w:t>
      </w:r>
    </w:p>
    <w:p>
      <w:pPr>
        <w:pStyle w:val="Heading5"/>
        <w:rPr>
          <w:snapToGrid w:val="0"/>
        </w:rPr>
      </w:pPr>
      <w:bookmarkStart w:id="95" w:name="_Toc183507325"/>
      <w:r>
        <w:rPr>
          <w:rStyle w:val="CharSectno"/>
        </w:rPr>
        <w:lastRenderedPageBreak/>
        <w:t>30</w:t>
      </w:r>
      <w:r>
        <w:rPr>
          <w:snapToGrid w:val="0"/>
        </w:rPr>
        <w:t>.</w:t>
      </w:r>
      <w:r>
        <w:rPr>
          <w:snapToGrid w:val="0"/>
        </w:rPr>
        <w:tab/>
        <w:t>Dogs to wear collars, registration tags etc.</w:t>
      </w:r>
      <w:bookmarkEnd w:id="95"/>
      <w:r>
        <w:rPr>
          <w:snapToGrid w:val="0"/>
        </w:rPr>
        <w:t xml:space="preserve"> </w:t>
      </w:r>
    </w:p>
    <w:p>
      <w:pPr>
        <w:pStyle w:val="Subsection"/>
      </w:pPr>
      <w:r>
        <w:tab/>
        <w:t>(1)</w:t>
      </w:r>
      <w:r>
        <w:tab/>
        <w:t>A dog must not be in a public place unless it is wearing a collar to which is securely attached a registration tag that complies with section 18.</w:t>
      </w:r>
    </w:p>
    <w:p>
      <w:pPr>
        <w:pStyle w:val="Subsection"/>
        <w:rPr>
          <w:snapToGrid w:val="0"/>
        </w:rPr>
      </w:pPr>
      <w:r>
        <w:rPr>
          <w:snapToGrid w:val="0"/>
        </w:rPr>
        <w:tab/>
        <w:t>(2)</w:t>
      </w:r>
      <w:r>
        <w:rPr>
          <w:snapToGrid w:val="0"/>
        </w:rPr>
        <w:tab/>
        <w:t xml:space="preserve">If a dog is at any time in a public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for this subsection: a fine of $5 000.</w:t>
      </w:r>
    </w:p>
    <w:p>
      <w:pPr>
        <w:pStyle w:val="Subsection"/>
        <w:rPr>
          <w:snapToGrid w:val="0"/>
        </w:rPr>
      </w:pPr>
      <w:r>
        <w:rPr>
          <w:snapToGrid w:val="0"/>
        </w:rPr>
        <w:tab/>
        <w:t>(3)</w:t>
      </w:r>
      <w:r>
        <w:rPr>
          <w:snapToGrid w:val="0"/>
        </w:rPr>
        <w:tab/>
        <w:t xml:space="preserve">A dog is exempt from the requirements of </w:t>
      </w:r>
      <w:r>
        <w:t>subsection (1)</w:t>
      </w:r>
      <w:r>
        <w:rPr>
          <w:snapToGrid w:val="0"/>
        </w:rPr>
        <w:t xml:space="preserve"> if it is — </w:t>
      </w:r>
    </w:p>
    <w:p>
      <w:pPr>
        <w:pStyle w:val="Indenta"/>
      </w:pPr>
      <w:r>
        <w:tab/>
        <w:t>(a)</w:t>
      </w:r>
      <w:r>
        <w:tab/>
        <w:t xml:space="preserve">a greyhound participating in a greyhound race or trial held under a licence issued under the </w:t>
      </w:r>
      <w:r>
        <w:rPr>
          <w:i/>
        </w:rPr>
        <w:t>Racing and Wagering Western Australia Act 2003</w:t>
      </w:r>
      <w:r>
        <w:t>; or</w:t>
      </w:r>
    </w:p>
    <w:p>
      <w:pPr>
        <w:pStyle w:val="Ednotepara"/>
        <w:spacing w:before="80"/>
      </w:pPr>
      <w:r>
        <w:tab/>
        <w:t>[(b), (c)</w:t>
      </w:r>
      <w:r>
        <w:tab/>
        <w:t>deleted]</w:t>
      </w:r>
    </w:p>
    <w:p>
      <w:pPr>
        <w:pStyle w:val="Indenta"/>
      </w:pPr>
      <w:r>
        <w:tab/>
        <w:t>(d)</w:t>
      </w:r>
      <w:r>
        <w:tab/>
        <w:t>a dog being exhibited for show purposes; or</w:t>
      </w:r>
    </w:p>
    <w:p>
      <w:pPr>
        <w:pStyle w:val="Indenta"/>
      </w:pPr>
      <w:r>
        <w:tab/>
        <w:t>(e)</w:t>
      </w:r>
      <w:r>
        <w:tab/>
        <w:t>a dog which, under the control of a responsible person, is being trained for or is participating in retrieving, duck hunting or some other customary sporting purpose; or</w:t>
      </w:r>
    </w:p>
    <w:p>
      <w:pPr>
        <w:pStyle w:val="Indenta"/>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pPr>
      <w:r>
        <w:tab/>
        <w:t>(4)</w:t>
      </w:r>
      <w:r>
        <w:tab/>
        <w:t>This section does not apply to a dangerous dog.</w:t>
      </w:r>
    </w:p>
    <w:p>
      <w:pPr>
        <w:pStyle w:val="Footnotesection"/>
      </w:pPr>
      <w:r>
        <w:tab/>
        <w:t>[Section 30 inserted: No. 23 of 1987 s. 27; amended: No. 14 of 1996 s. 4; No. 24 of 1996 s. 16; No. 23 of 1998 s. 20; No. 35 of 2003 s. 220(2); No. 18 of 2013 s. 27; No. 29 of 2021 s. 28.]</w:t>
      </w:r>
    </w:p>
    <w:p>
      <w:pPr>
        <w:pStyle w:val="Heading5"/>
        <w:keepNext w:val="0"/>
        <w:keepLines w:val="0"/>
        <w:pageBreakBefore/>
        <w:widowControl w:val="0"/>
        <w:spacing w:before="0"/>
        <w:rPr>
          <w:snapToGrid w:val="0"/>
        </w:rPr>
      </w:pPr>
      <w:bookmarkStart w:id="96" w:name="_Toc183507326"/>
      <w:r>
        <w:rPr>
          <w:rStyle w:val="CharSectno"/>
        </w:rPr>
        <w:lastRenderedPageBreak/>
        <w:t>31</w:t>
      </w:r>
      <w:r>
        <w:rPr>
          <w:snapToGrid w:val="0"/>
        </w:rPr>
        <w:t>.</w:t>
      </w:r>
      <w:r>
        <w:rPr>
          <w:snapToGrid w:val="0"/>
        </w:rPr>
        <w:tab/>
        <w:t>Control of dogs in certain public places</w:t>
      </w:r>
      <w:bookmarkEnd w:id="96"/>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pPr>
      <w:r>
        <w:tab/>
        <w:t>(2A)</w:t>
      </w:r>
      <w:r>
        <w:tab/>
        <w:t xml:space="preserve">Despite subsection (1), a dog shall not be in a public place — </w:t>
      </w:r>
    </w:p>
    <w:p>
      <w:pPr>
        <w:pStyle w:val="Indenta"/>
      </w:pPr>
      <w:r>
        <w:tab/>
        <w:t>(a)</w:t>
      </w:r>
      <w:r>
        <w:tab/>
        <w:t>at all if the place is specified under subsection (2B) as a place where dogs are prohibited at all times; or</w:t>
      </w:r>
    </w:p>
    <w:p>
      <w:pPr>
        <w:pStyle w:val="Indenta"/>
      </w:pPr>
      <w:r>
        <w:tab/>
        <w:t>(b)</w:t>
      </w:r>
      <w:r>
        <w:tab/>
        <w:t>at a time when the place is specified under subsection (2B) as a place where dogs are prohibited at that time.</w:t>
      </w:r>
    </w:p>
    <w:p>
      <w:pPr>
        <w:pStyle w:val="Subsection"/>
      </w:pPr>
      <w:r>
        <w:tab/>
        <w:t>(2B)</w:t>
      </w:r>
      <w:r>
        <w:tab/>
      </w:r>
      <w:r>
        <w:rPr>
          <w:snapToGrid w:val="0"/>
        </w:rPr>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place where dogs are prohibited —</w:t>
      </w:r>
    </w:p>
    <w:p>
      <w:pPr>
        <w:pStyle w:val="Indenta"/>
        <w:rPr>
          <w:snapToGrid w:val="0"/>
        </w:rPr>
      </w:pPr>
      <w:r>
        <w:rPr>
          <w:snapToGrid w:val="0"/>
        </w:rPr>
        <w:tab/>
        <w:t>(a)</w:t>
      </w:r>
      <w:r>
        <w:rPr>
          <w:snapToGrid w:val="0"/>
        </w:rPr>
        <w:tab/>
        <w:t>at all times; or</w:t>
      </w:r>
    </w:p>
    <w:p>
      <w:pPr>
        <w:pStyle w:val="Indenta"/>
      </w:pPr>
      <w:r>
        <w:tab/>
        <w:t>(b)</w:t>
      </w:r>
      <w:r>
        <w:tab/>
        <w:t>at specified times.</w:t>
      </w:r>
    </w:p>
    <w:p>
      <w:pPr>
        <w:pStyle w:val="Subsection"/>
        <w:spacing w:before="200"/>
        <w:rPr>
          <w:snapToGrid w:val="0"/>
        </w:rPr>
      </w:pPr>
      <w:r>
        <w:rPr>
          <w:snapToGrid w:val="0"/>
        </w:rPr>
        <w:tab/>
        <w:t>(2)</w:t>
      </w:r>
      <w:r>
        <w:rPr>
          <w:snapToGrid w:val="0"/>
        </w:rPr>
        <w:tab/>
        <w:t>A dog is exempt from the requirements of subsection (1) if — </w:t>
      </w:r>
    </w:p>
    <w:p>
      <w:pPr>
        <w:pStyle w:val="Indenta"/>
      </w:pPr>
      <w:r>
        <w:tab/>
        <w:t>(a)</w:t>
      </w:r>
      <w:r>
        <w:tab/>
        <w:t>it is in a dog exercise area specified under subsection (3A); or</w:t>
      </w:r>
    </w:p>
    <w:p>
      <w:pPr>
        <w:pStyle w:val="Indenta"/>
      </w:pPr>
      <w:r>
        <w:tab/>
        <w:t>(b)</w:t>
      </w:r>
      <w:r>
        <w:tab/>
        <w:t>it is in a public place that is in an area of the State outside the metropolitan region or outside a townsite, and that is not a rural leashing area specified under subsection (3B); or</w:t>
      </w:r>
    </w:p>
    <w:p>
      <w:pPr>
        <w:pStyle w:val="Indenta"/>
        <w:spacing w:before="90"/>
      </w:pPr>
      <w:r>
        <w:tab/>
        <w:t>(c)</w:t>
      </w:r>
      <w:r>
        <w:tab/>
        <w:t>it is in or on a vehicle; or</w:t>
      </w:r>
    </w:p>
    <w:p>
      <w:pPr>
        <w:pStyle w:val="Indenta"/>
        <w:spacing w:before="90"/>
      </w:pPr>
      <w:r>
        <w:tab/>
        <w:t>(d)</w:t>
      </w:r>
      <w:r>
        <w:tab/>
        <w:t>it is being exhibited for show purposes; or</w:t>
      </w:r>
    </w:p>
    <w:p>
      <w:pPr>
        <w:pStyle w:val="Indenta"/>
        <w:spacing w:before="90"/>
      </w:pPr>
      <w:r>
        <w:lastRenderedPageBreak/>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 or</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 or</w:t>
      </w:r>
    </w:p>
    <w:p>
      <w:pPr>
        <w:pStyle w:val="Indenta"/>
      </w:pPr>
      <w:r>
        <w:tab/>
        <w:t>(g)</w:t>
      </w:r>
      <w:r>
        <w:tab/>
        <w:t xml:space="preserve">it is a foxhound in a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(3A)</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dog exercise area.</w:t>
      </w:r>
    </w:p>
    <w:p>
      <w:pPr>
        <w:pStyle w:val="Subsection"/>
        <w:rPr>
          <w:snapToGrid w:val="0"/>
        </w:rPr>
      </w:pPr>
      <w:r>
        <w:rPr>
          <w:snapToGrid w:val="0"/>
        </w:rPr>
        <w:tab/>
        <w:t>(3B)</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that is under the care, control or management of the local government to be a rural leashing area.</w:t>
      </w:r>
    </w:p>
    <w:p>
      <w:pPr>
        <w:pStyle w:val="Subsection"/>
        <w:rPr>
          <w:snapToGrid w:val="0"/>
        </w:rPr>
      </w:pPr>
      <w:r>
        <w:rPr>
          <w:snapToGrid w:val="0"/>
        </w:rPr>
        <w:tab/>
        <w:t>(3C)</w:t>
      </w:r>
      <w:r>
        <w:rPr>
          <w:snapToGrid w:val="0"/>
        </w:rPr>
        <w:tab/>
        <w:t xml:space="preserve">At least 28 days before specifying a place to be — </w:t>
      </w:r>
    </w:p>
    <w:p>
      <w:pPr>
        <w:pStyle w:val="Indenta"/>
      </w:pPr>
      <w:r>
        <w:tab/>
        <w:t>(a)</w:t>
      </w:r>
      <w:r>
        <w:tab/>
        <w:t>a place where dogs are prohibited at all times or at a time specified under subsection (2B); or</w:t>
      </w:r>
    </w:p>
    <w:p>
      <w:pPr>
        <w:pStyle w:val="Indenta"/>
      </w:pPr>
      <w:r>
        <w:tab/>
        <w:t>(b)</w:t>
      </w:r>
      <w:r>
        <w:tab/>
        <w:t>a dog exercise area under subsection (3A); or</w:t>
      </w:r>
    </w:p>
    <w:p>
      <w:pPr>
        <w:pStyle w:val="Indenta"/>
      </w:pPr>
      <w:r>
        <w:tab/>
        <w:t>(c)</w:t>
      </w:r>
      <w:r>
        <w:tab/>
        <w:t>a rural leashing area under subsection (3B),</w:t>
      </w:r>
    </w:p>
    <w:p>
      <w:pPr>
        <w:pStyle w:val="Subsection"/>
      </w:pPr>
      <w:r>
        <w:rPr>
          <w:snapToGrid w:val="0"/>
        </w:rPr>
        <w:tab/>
      </w:r>
      <w:r>
        <w:rPr>
          <w:snapToGrid w:val="0"/>
        </w:rPr>
        <w:tab/>
        <w:t xml:space="preserve">a local government must give local public notice as defined in the </w:t>
      </w:r>
      <w:r>
        <w:rPr>
          <w:i/>
          <w:snapToGrid w:val="0"/>
        </w:rPr>
        <w:t>Local Government Act 1995</w:t>
      </w:r>
      <w:r>
        <w:rPr>
          <w:snapToGrid w:val="0"/>
        </w:rPr>
        <w:t xml:space="preserve"> section 1.7 of its intention to so specify.</w:t>
      </w:r>
    </w:p>
    <w:p>
      <w:pPr>
        <w:pStyle w:val="Subsection"/>
        <w:rPr>
          <w:snapToGrid w:val="0"/>
        </w:rPr>
      </w:pPr>
      <w:r>
        <w:rPr>
          <w:snapToGrid w:val="0"/>
        </w:rPr>
        <w:tab/>
        <w:t>(3)</w:t>
      </w:r>
      <w:r>
        <w:rPr>
          <w:snapToGrid w:val="0"/>
        </w:rPr>
        <w:tab/>
        <w:t xml:space="preserve">If a dog is at any time in any public place in contravention of subsection (1) </w:t>
      </w:r>
      <w:r>
        <w:t xml:space="preserve">or (2A), every person liable for the control of the </w:t>
      </w:r>
      <w:r>
        <w:lastRenderedPageBreak/>
        <w:t>dog at that time commits an offence 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Subsection"/>
      </w:pPr>
      <w:r>
        <w:rPr>
          <w:snapToGrid w:val="0"/>
        </w:rPr>
        <w:tab/>
        <w:t>(5)</w:t>
      </w:r>
      <w:r>
        <w:rPr>
          <w:snapToGrid w:val="0"/>
        </w:rPr>
        <w:tab/>
        <w:t xml:space="preserve">A </w:t>
      </w:r>
      <w:r>
        <w:t>local</w:t>
      </w:r>
      <w:r>
        <w:rPr>
          <w:snapToGrid w:val="0"/>
        </w:rPr>
        <w:t xml:space="preserve"> government must specify under subsection (3A) such dog exercise areas as are, in the opinion of the local government, sufficient in number, and suitable, for the exercising of dogs in the district.</w:t>
      </w:r>
    </w:p>
    <w:p>
      <w:pPr>
        <w:pStyle w:val="Footnotesection"/>
      </w:pPr>
      <w:r>
        <w:tab/>
        <w:t xml:space="preserve">[Section 31 inserted: No. 23 of 1987 s. 27; amended: No. 14 of 1996 s. 4; No. 24 of 1996 s. 16; No. 18 of 2013 s. 28.] </w:t>
      </w:r>
    </w:p>
    <w:p>
      <w:pPr>
        <w:pStyle w:val="Heading5"/>
        <w:rPr>
          <w:snapToGrid w:val="0"/>
        </w:rPr>
      </w:pPr>
      <w:bookmarkStart w:id="97" w:name="_Toc183507327"/>
      <w:r>
        <w:rPr>
          <w:rStyle w:val="CharSectno"/>
        </w:rPr>
        <w:t>32</w:t>
      </w:r>
      <w:r>
        <w:rPr>
          <w:snapToGrid w:val="0"/>
        </w:rPr>
        <w:t>.</w:t>
      </w:r>
      <w:r>
        <w:rPr>
          <w:snapToGrid w:val="0"/>
        </w:rPr>
        <w:tab/>
        <w:t>Control of dogs in exercise areas and rural areas</w:t>
      </w:r>
      <w:bookmarkEnd w:id="97"/>
      <w:r>
        <w:rPr>
          <w:snapToGrid w:val="0"/>
        </w:rPr>
        <w:t xml:space="preserve"> </w:t>
      </w:r>
    </w:p>
    <w:p>
      <w:pPr>
        <w:pStyle w:val="Subsection"/>
        <w:rPr>
          <w:snapToGrid w:val="0"/>
        </w:rPr>
      </w:pPr>
      <w:r>
        <w:rPr>
          <w:snapToGrid w:val="0"/>
        </w:rPr>
        <w:tab/>
        <w:t>(1)</w:t>
      </w:r>
      <w:r>
        <w:rPr>
          <w:snapToGrid w:val="0"/>
        </w:rPr>
        <w:tab/>
        <w:t>A dog shall not be in — </w:t>
      </w:r>
    </w:p>
    <w:p>
      <w:pPr>
        <w:pStyle w:val="Indenta"/>
      </w:pPr>
      <w:r>
        <w:tab/>
        <w:t>(a)</w:t>
      </w:r>
      <w:r>
        <w:tab/>
        <w:t>a dog exercise area specified under section 31(3A); or</w:t>
      </w:r>
    </w:p>
    <w:p>
      <w:pPr>
        <w:pStyle w:val="Indenta"/>
      </w:pPr>
      <w:r>
        <w:tab/>
        <w:t>(b)</w:t>
      </w:r>
      <w:r>
        <w:tab/>
        <w:t>a public place that is in an area of the State outside the metropolitan region or outside a townsite, and that is not a rural leashing area specified under section 31(3B),</w:t>
      </w:r>
    </w:p>
    <w:p>
      <w:pPr>
        <w:pStyle w:val="Subsection"/>
        <w:rPr>
          <w:snapToGrid w:val="0"/>
        </w:rPr>
      </w:pPr>
      <w:r>
        <w:rPr>
          <w:snapToGrid w:val="0"/>
        </w:rPr>
        <w:tab/>
      </w:r>
      <w:r>
        <w:rPr>
          <w:snapToGrid w:val="0"/>
        </w:rPr>
        <w:tab/>
        <w:t xml:space="preserve">unless — </w:t>
      </w:r>
    </w:p>
    <w:p>
      <w:pPr>
        <w:pStyle w:val="Indenta"/>
      </w:pPr>
      <w:r>
        <w:tab/>
        <w:t>(c)</w:t>
      </w:r>
      <w:r>
        <w:tab/>
        <w:t>the dog is being held in the way referred to in section 31(1)(a); or</w:t>
      </w:r>
    </w:p>
    <w:p>
      <w:pPr>
        <w:pStyle w:val="Indenta"/>
      </w:pPr>
      <w:r>
        <w:tab/>
        <w:t>(d)</w:t>
      </w:r>
      <w:r>
        <w:tab/>
        <w:t>the dog is being tethered in the way referred to in section 31(1)(b); or</w:t>
      </w:r>
    </w:p>
    <w:p>
      <w:pPr>
        <w:pStyle w:val="Indenta"/>
      </w:pPr>
      <w:r>
        <w:tab/>
        <w:t>(e)</w:t>
      </w:r>
      <w:r>
        <w:tab/>
        <w:t>the dog is not a greyhound and is being supervised by a competent person who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 and</w:t>
      </w:r>
    </w:p>
    <w:p>
      <w:pPr>
        <w:pStyle w:val="Indenta"/>
      </w:pPr>
      <w:r>
        <w:tab/>
        <w:t>(b)</w:t>
      </w:r>
      <w:r>
        <w:tab/>
        <w:t>he is capable of controlling it; and</w:t>
      </w:r>
    </w:p>
    <w:p>
      <w:pPr>
        <w:pStyle w:val="Indenta"/>
      </w:pPr>
      <w:r>
        <w:lastRenderedPageBreak/>
        <w:tab/>
        <w:t>(c)</w:t>
      </w:r>
      <w:r>
        <w:tab/>
        <w:t>he is carrying and capable of attaching to the dog for the purpose of controlling it, a chain, cord, leash or harness of sufficient strength and not exceeding the prescribed length.</w:t>
      </w:r>
    </w:p>
    <w:p>
      <w:pPr>
        <w:pStyle w:val="Subsection"/>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(5)</w:t>
      </w:r>
      <w:r>
        <w:tab/>
        <w:t>This section does not apply to a dangerous dog.</w:t>
      </w:r>
    </w:p>
    <w:p>
      <w:pPr>
        <w:pStyle w:val="Footnotesection"/>
        <w:ind w:left="890" w:hanging="890"/>
      </w:pPr>
      <w:r>
        <w:tab/>
        <w:t xml:space="preserve">[Section 32 inserted: No. 23 of 1987 s. 27; amended: No. 14 of 1996 s. 4; No. 24 of 1996 s. 16; No. 18 of 2013 s. 29.] </w:t>
      </w:r>
    </w:p>
    <w:p>
      <w:pPr>
        <w:pStyle w:val="Heading5"/>
        <w:spacing w:before="260"/>
        <w:rPr>
          <w:snapToGrid w:val="0"/>
        </w:rPr>
      </w:pPr>
      <w:bookmarkStart w:id="98" w:name="_Toc183507328"/>
      <w:r>
        <w:rPr>
          <w:rStyle w:val="CharSectno"/>
        </w:rPr>
        <w:t>33</w:t>
      </w:r>
      <w:r>
        <w:rPr>
          <w:snapToGrid w:val="0"/>
        </w:rPr>
        <w:t>.</w:t>
      </w:r>
      <w:r>
        <w:rPr>
          <w:snapToGrid w:val="0"/>
        </w:rPr>
        <w:tab/>
        <w:t>Special provision for greyhounds</w:t>
      </w:r>
      <w:bookmarkEnd w:id="9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 and</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Ednotesubsection"/>
      </w:pPr>
      <w:r>
        <w:tab/>
        <w:t>[(3)</w:t>
      </w:r>
      <w:r>
        <w:tab/>
        <w:t>deleted]</w:t>
      </w:r>
    </w:p>
    <w:p>
      <w:pPr>
        <w:pStyle w:val="Subsection"/>
      </w:pPr>
      <w:r>
        <w:tab/>
        <w:t>(4)</w:t>
      </w:r>
      <w:r>
        <w:tab/>
        <w:t>This section does not apply to a dangerous dog.</w:t>
      </w:r>
    </w:p>
    <w:p>
      <w:pPr>
        <w:pStyle w:val="Footnotesection"/>
        <w:ind w:left="890" w:hanging="890"/>
      </w:pPr>
      <w:r>
        <w:lastRenderedPageBreak/>
        <w:tab/>
        <w:t xml:space="preserve">[Section 33 inserted: No. 23 of 1987 s. 27; amended: No. 24 of 1996 s. 16; No. 23 of 1998 s. 20; No. 35 of 2003 s. 220(3); No. 18 of 2013 s. 30; No. 29 of 2021 s. 4.] </w:t>
      </w:r>
    </w:p>
    <w:p>
      <w:pPr>
        <w:pStyle w:val="Heading5"/>
        <w:spacing w:before="260"/>
        <w:rPr>
          <w:snapToGrid w:val="0"/>
        </w:rPr>
      </w:pPr>
      <w:bookmarkStart w:id="99" w:name="_Toc183507329"/>
      <w:r>
        <w:rPr>
          <w:rStyle w:val="CharSectno"/>
        </w:rPr>
        <w:t>33A</w:t>
      </w:r>
      <w:r>
        <w:rPr>
          <w:snapToGrid w:val="0"/>
        </w:rPr>
        <w:t>.</w:t>
      </w:r>
      <w:r>
        <w:rPr>
          <w:snapToGrid w:val="0"/>
        </w:rPr>
        <w:tab/>
        <w:t>Control of dogs in places that are not public</w:t>
      </w:r>
      <w:bookmarkEnd w:id="99"/>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rPr>
          <w:snapToGrid w:val="0"/>
        </w:rPr>
      </w:pPr>
      <w:r>
        <w:rPr>
          <w:snapToGrid w:val="0"/>
        </w:rPr>
        <w:tab/>
        <w:t>(i)</w:t>
      </w:r>
      <w:r>
        <w:rPr>
          <w:snapToGrid w:val="0"/>
        </w:rPr>
        <w:tab/>
        <w:t>by the occupier or a person apparently authorised to consent on behalf of the occupier; or</w:t>
      </w:r>
    </w:p>
    <w:p>
      <w:pPr>
        <w:pStyle w:val="Indenti"/>
        <w:rPr>
          <w:snapToGrid w:val="0"/>
        </w:rPr>
      </w:pPr>
      <w:r>
        <w:rPr>
          <w:snapToGrid w:val="0"/>
        </w:rPr>
        <w:tab/>
        <w:t>(ii)</w:t>
      </w:r>
      <w:r>
        <w:rPr>
          <w:snapToGrid w:val="0"/>
        </w:rPr>
        <w:tab/>
        <w:t>if the place is unoccupied, by the owner or a person apparently authorised to consent on behalf of the owner; or</w:t>
      </w:r>
    </w:p>
    <w:p>
      <w:pPr>
        <w:pStyle w:val="Indenti"/>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pPr>
      <w:r>
        <w:tab/>
      </w:r>
      <w:r>
        <w:tab/>
        <w:t>or</w:t>
      </w:r>
    </w:p>
    <w:p>
      <w:pPr>
        <w:pStyle w:val="Indenta"/>
      </w:pPr>
      <w:r>
        <w:tab/>
        <w:t>(b)</w:t>
      </w:r>
      <w:r>
        <w:tab/>
        <w:t>in the case of a dangerous dog, it is controlled as required by section 33GA(6), (7) and (8); or</w:t>
      </w:r>
    </w:p>
    <w:p>
      <w:pPr>
        <w:pStyle w:val="Indenta"/>
      </w:pPr>
      <w:r>
        <w:tab/>
        <w:t>(c)</w:t>
      </w:r>
      <w:r>
        <w:tab/>
        <w:t>in the case of a dog other than a dangerous dog, it is held or tethered as required by section 31(1).</w:t>
      </w:r>
    </w:p>
    <w:p>
      <w:pPr>
        <w:pStyle w:val="Subsection"/>
        <w:keepNext/>
        <w:spacing w:before="200"/>
        <w:rPr>
          <w:snapToGrid w:val="0"/>
        </w:rPr>
      </w:pPr>
      <w:r>
        <w:rPr>
          <w:snapToGrid w:val="0"/>
        </w:rPr>
        <w:tab/>
        <w:t>(2)</w:t>
      </w:r>
      <w:r>
        <w:rPr>
          <w:snapToGrid w:val="0"/>
        </w:rPr>
        <w:tab/>
        <w:t>A dog is exempt from the requirements of subsection (1) if it is —</w:t>
      </w:r>
    </w:p>
    <w:p>
      <w:pPr>
        <w:pStyle w:val="Indenta"/>
      </w:pPr>
      <w:r>
        <w:tab/>
        <w:t>(a)</w:t>
      </w:r>
      <w:r>
        <w:tab/>
        <w:t xml:space="preserve">in veterinary premises as defined in the </w:t>
      </w:r>
      <w:r>
        <w:rPr>
          <w:i/>
        </w:rPr>
        <w:t>Veterinary Practice Act 2021</w:t>
      </w:r>
      <w:r>
        <w:t xml:space="preserve"> section 3; or</w:t>
      </w:r>
    </w:p>
    <w:p>
      <w:pPr>
        <w:pStyle w:val="Indenta"/>
      </w:pPr>
      <w:r>
        <w:tab/>
        <w:t>(b)</w:t>
      </w:r>
      <w:r>
        <w:tab/>
        <w:t>in or on a vehicle.</w:t>
      </w:r>
    </w:p>
    <w:p>
      <w:pPr>
        <w:pStyle w:val="Subsection"/>
        <w:keepNext/>
        <w:rPr>
          <w:snapToGrid w:val="0"/>
        </w:rPr>
      </w:pPr>
      <w:r>
        <w:rPr>
          <w:snapToGrid w:val="0"/>
        </w:rPr>
        <w:tab/>
        <w:t>(3)</w:t>
      </w:r>
      <w:r>
        <w:rPr>
          <w:snapToGrid w:val="0"/>
        </w:rPr>
        <w:tab/>
        <w:t xml:space="preserve">If a dog is at any time in any place in contravention of subsection (1) every person liable for the control of the dog at </w:t>
      </w:r>
      <w:r>
        <w:rPr>
          <w:snapToGrid w:val="0"/>
        </w:rPr>
        <w:lastRenderedPageBreak/>
        <w:t xml:space="preserve">that time commits an offence </w:t>
      </w:r>
      <w:r>
        <w:t>unless the person</w:t>
      </w:r>
      <w:r>
        <w:rPr>
          <w:snapToGrid w:val="0"/>
        </w:rPr>
        <w:t xml:space="preserve"> establishes a defence under section 33B.</w:t>
      </w:r>
    </w:p>
    <w:p>
      <w:pPr>
        <w:pStyle w:val="Subsection"/>
      </w:pPr>
      <w:r>
        <w:tab/>
      </w:r>
      <w:r>
        <w:tab/>
        <w:t>Penalty for this subsection:</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ind w:left="890" w:hanging="890"/>
      </w:pPr>
      <w:r>
        <w:tab/>
        <w:t xml:space="preserve">[Section 33A inserted: No. 23 of 1987 s. 27; amended: No. 24 of 1996 s. 16; No. 18 of 2013 s. 31; No. 19 of 2021 s. 230(9); No. 29 of 2021 s. 29.] </w:t>
      </w:r>
    </w:p>
    <w:p>
      <w:pPr>
        <w:pStyle w:val="Heading5"/>
        <w:rPr>
          <w:snapToGrid w:val="0"/>
        </w:rPr>
      </w:pPr>
      <w:bookmarkStart w:id="100" w:name="_Toc183507330"/>
      <w:r>
        <w:rPr>
          <w:rStyle w:val="CharSectno"/>
        </w:rPr>
        <w:t>33B</w:t>
      </w:r>
      <w:r>
        <w:rPr>
          <w:snapToGrid w:val="0"/>
        </w:rPr>
        <w:t>.</w:t>
      </w:r>
      <w:r>
        <w:rPr>
          <w:snapToGrid w:val="0"/>
        </w:rPr>
        <w:tab/>
        <w:t>Defences applicable to offences under this Division</w:t>
      </w:r>
      <w:bookmarkEnd w:id="100"/>
    </w:p>
    <w:p>
      <w:pPr>
        <w:pStyle w:val="Subsection"/>
        <w:rPr>
          <w:snapToGrid w:val="0"/>
        </w:rPr>
      </w:pPr>
      <w:r>
        <w:rPr>
          <w:snapToGrid w:val="0"/>
        </w:rPr>
        <w:tab/>
      </w:r>
      <w:r>
        <w:rPr>
          <w:snapToGrid w:val="0"/>
        </w:rPr>
        <w:tab/>
        <w:t xml:space="preserve">It is a defence to a charge of an offence under section 30(2), 31(3), </w:t>
      </w:r>
      <w:r>
        <w:t xml:space="preserve">32(4) </w:t>
      </w:r>
      <w:r>
        <w:rPr>
          <w:snapToGrid w:val="0"/>
        </w:rPr>
        <w:t>or 33A(3) if the person charged satisfies the court — </w:t>
      </w:r>
    </w:p>
    <w:p>
      <w:pPr>
        <w:pStyle w:val="Indenta"/>
      </w:pPr>
      <w:r>
        <w:tab/>
        <w:t>(a)</w:t>
      </w:r>
      <w:r>
        <w:tab/>
        <w:t>in the case of any person, that he took all reasonable precautions and exercised all due diligence to avoid the contravention; or</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lastRenderedPageBreak/>
        <w:tab/>
        <w:t xml:space="preserve">[Section 33B inserted: No. 23 of 1987 s. 27; amended: No. 18 of 2013 s. 32; No. 29 of 2021 s. 5.] </w:t>
      </w:r>
    </w:p>
    <w:p>
      <w:pPr>
        <w:pStyle w:val="Heading5"/>
        <w:keepLines w:val="0"/>
        <w:rPr>
          <w:snapToGrid w:val="0"/>
        </w:rPr>
      </w:pPr>
      <w:bookmarkStart w:id="101" w:name="_Toc183507331"/>
      <w:r>
        <w:rPr>
          <w:rStyle w:val="CharSectno"/>
        </w:rPr>
        <w:t>33C</w:t>
      </w:r>
      <w:r>
        <w:rPr>
          <w:snapToGrid w:val="0"/>
        </w:rPr>
        <w:t>.</w:t>
      </w:r>
      <w:r>
        <w:rPr>
          <w:snapToGrid w:val="0"/>
        </w:rPr>
        <w:tab/>
        <w:t>Saving</w:t>
      </w:r>
      <w:bookmarkEnd w:id="101"/>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No. 23 of 1987 s. 27.] </w:t>
      </w:r>
    </w:p>
    <w:p>
      <w:pPr>
        <w:pStyle w:val="Heading5"/>
        <w:rPr>
          <w:snapToGrid w:val="0"/>
        </w:rPr>
      </w:pPr>
      <w:bookmarkStart w:id="102" w:name="_Toc183507332"/>
      <w:r>
        <w:rPr>
          <w:rStyle w:val="CharSectno"/>
        </w:rPr>
        <w:t>33D</w:t>
      </w:r>
      <w:r>
        <w:rPr>
          <w:snapToGrid w:val="0"/>
        </w:rPr>
        <w:t>.</w:t>
      </w:r>
      <w:r>
        <w:rPr>
          <w:snapToGrid w:val="0"/>
        </w:rPr>
        <w:tab/>
        <w:t>Dog attacks etc.</w:t>
      </w:r>
      <w:bookmarkEnd w:id="102"/>
      <w:r>
        <w:rPr>
          <w:snapToGrid w:val="0"/>
        </w:rPr>
        <w:t xml:space="preserve"> </w:t>
      </w:r>
    </w:p>
    <w:p>
      <w:pPr>
        <w:pStyle w:val="Subsection"/>
      </w:pPr>
      <w:r>
        <w:tab/>
        <w:t>(1)</w:t>
      </w:r>
      <w:r>
        <w:tab/>
        <w:t>If a dog attacks or chases any person or animal and physical injury is caused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$20 000, but the minimum penalty is a fine of $1 000;</w:t>
      </w:r>
    </w:p>
    <w:p>
      <w:pPr>
        <w:pStyle w:val="Penpara"/>
      </w:pPr>
      <w:r>
        <w:tab/>
        <w:t>(b)</w:t>
      </w:r>
      <w:r>
        <w:tab/>
        <w:t>for an offence relating to a dog other than a dangerous dog, a fine of $10 000.</w:t>
      </w:r>
    </w:p>
    <w:p>
      <w:pPr>
        <w:pStyle w:val="Subsection"/>
      </w:pPr>
      <w:r>
        <w:tab/>
        <w:t>(2A)</w:t>
      </w:r>
      <w:r>
        <w:tab/>
        <w:t>If a dog attacks or chases any person or animal without causing physical injury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$3 000.</w:t>
      </w:r>
    </w:p>
    <w:p>
      <w:pPr>
        <w:pStyle w:val="Subsection"/>
      </w:pPr>
      <w:r>
        <w:tab/>
        <w:t>(2B)</w:t>
      </w:r>
      <w:r>
        <w:tab/>
        <w:t xml:space="preserve">It is a defence to a charge of an offence under subsection (1) or (2A) if the person charged satisfies the court — </w:t>
      </w:r>
    </w:p>
    <w:p>
      <w:pPr>
        <w:pStyle w:val="Indenta"/>
      </w:pPr>
      <w:r>
        <w:tab/>
        <w:t>(a)</w:t>
      </w:r>
      <w:r>
        <w:tab/>
        <w:t xml:space="preserve">in the case of any person, that the dog was being used in good faith in the reasonable defence of any person or </w:t>
      </w:r>
      <w:r>
        <w:lastRenderedPageBreak/>
        <w:t>property or for the droving or removal of any animal found trespassing; or</w:t>
      </w:r>
    </w:p>
    <w:p>
      <w:pPr>
        <w:pStyle w:val="Indenta"/>
      </w:pPr>
      <w:r>
        <w:tab/>
        <w:t>(b)</w:t>
      </w:r>
      <w:r>
        <w:tab/>
        <w:t>in the case of the occupier of premises where the dog is ordinarily kept or ordinarily permitted to live, that at the material time the dog was owned by another person who had reached 18 years of age, and who is identified by the person charged; or</w:t>
      </w:r>
    </w:p>
    <w:p>
      <w:pPr>
        <w:pStyle w:val="Indenta"/>
      </w:pPr>
      <w:r>
        <w:tab/>
        <w:t>(c)</w:t>
      </w:r>
      <w:r>
        <w:tab/>
        <w:t>in the case of the owner, that at the material time the dog was in the possession or control of another person without the owner’s consent, express or implied.</w:t>
      </w:r>
    </w:p>
    <w:p>
      <w:pPr>
        <w:pStyle w:val="Subsection"/>
        <w:rPr>
          <w:snapToGrid w:val="0"/>
        </w:rPr>
      </w:pPr>
      <w:r>
        <w:rPr>
          <w:snapToGrid w:val="0"/>
        </w:rPr>
        <w:tab/>
        <w:t>(2)</w:t>
      </w:r>
      <w:r>
        <w:rPr>
          <w:snapToGrid w:val="0"/>
        </w:rPr>
        <w:tab/>
        <w:t xml:space="preserve">A person shall not set on or urge a dog to attack or chase any person or </w:t>
      </w:r>
      <w:r>
        <w:t xml:space="preserve">animal, </w:t>
      </w:r>
      <w:r>
        <w:rPr>
          <w:snapToGrid w:val="0"/>
        </w:rPr>
        <w:t>whether or not any injury is caused, except in good faith — </w:t>
      </w:r>
    </w:p>
    <w:p>
      <w:pPr>
        <w:pStyle w:val="Indenta"/>
      </w:pPr>
      <w:r>
        <w:tab/>
        <w:t>(a)</w:t>
      </w:r>
      <w:r>
        <w:tab/>
        <w:t>in the reasonable defence of any person or property; or</w:t>
      </w:r>
    </w:p>
    <w:p>
      <w:pPr>
        <w:pStyle w:val="Indenta"/>
      </w:pPr>
      <w:r>
        <w:tab/>
        <w:t>(b)</w:t>
      </w:r>
      <w:r>
        <w:tab/>
        <w:t>for the droving or removal of any animal if — </w:t>
      </w:r>
    </w:p>
    <w:p>
      <w:pPr>
        <w:pStyle w:val="Indenti"/>
        <w:rPr>
          <w:snapToGrid w:val="0"/>
        </w:rPr>
      </w:pPr>
      <w:r>
        <w:rPr>
          <w:snapToGrid w:val="0"/>
        </w:rPr>
        <w:tab/>
        <w:t>(i)</w:t>
      </w:r>
      <w:r>
        <w:rPr>
          <w:snapToGrid w:val="0"/>
        </w:rPr>
        <w:tab/>
        <w:t>the owner or person in charge of the animal consents to the droving or removal; or</w:t>
      </w:r>
    </w:p>
    <w:p>
      <w:pPr>
        <w:pStyle w:val="Indenti"/>
        <w:rPr>
          <w:snapToGrid w:val="0"/>
        </w:rPr>
      </w:pPr>
      <w:r>
        <w:rPr>
          <w:snapToGrid w:val="0"/>
        </w:rPr>
        <w:tab/>
        <w:t>(ii)</w:t>
      </w:r>
      <w:r>
        <w:rPr>
          <w:snapToGrid w:val="0"/>
        </w:rPr>
        <w:tab/>
        <w:t>the animal is found trespassing.</w:t>
      </w:r>
    </w:p>
    <w:p>
      <w:pPr>
        <w:pStyle w:val="Penstart"/>
      </w:pPr>
      <w:r>
        <w:tab/>
        <w:t>Penalty:</w:t>
      </w:r>
    </w:p>
    <w:p>
      <w:pPr>
        <w:pStyle w:val="Penpara"/>
      </w:pPr>
      <w:r>
        <w:tab/>
        <w:t>(a)</w:t>
      </w:r>
      <w:r>
        <w:tab/>
        <w:t>for an offence relating to a dangerous dog, a fine of $20 000 and imprisonment for 2 years, but the minimum penalty is a fine of $1 000;</w:t>
      </w:r>
    </w:p>
    <w:p>
      <w:pPr>
        <w:pStyle w:val="Penpara"/>
      </w:pPr>
      <w:r>
        <w:tab/>
        <w:t>(b)</w:t>
      </w:r>
      <w:r>
        <w:tab/>
        <w:t>for an offence relating to a dog other than a dangerous dog, a fine of $10 000 and imprisonment for 12 months.</w:t>
      </w:r>
    </w:p>
    <w:p>
      <w:pPr>
        <w:pStyle w:val="Subsection"/>
        <w:keepNext/>
      </w:pPr>
      <w:r>
        <w:tab/>
        <w:t>(3)</w:t>
      </w:r>
      <w:r>
        <w:tab/>
        <w:t xml:space="preserve">Nothing in this section affects — </w:t>
      </w:r>
    </w:p>
    <w:p>
      <w:pPr>
        <w:pStyle w:val="Indenta"/>
      </w:pPr>
      <w:r>
        <w:tab/>
        <w:t>(a)</w:t>
      </w:r>
      <w:r>
        <w:tab/>
        <w:t xml:space="preserve">the duty that a person, who has a dog in the person’s charge or under the person’s control, has under </w:t>
      </w:r>
      <w:r>
        <w:rPr>
          <w:i/>
        </w:rPr>
        <w:t xml:space="preserve">The Criminal Code </w:t>
      </w:r>
      <w:r>
        <w:t>section 266(2); or</w:t>
      </w:r>
    </w:p>
    <w:p>
      <w:pPr>
        <w:pStyle w:val="Indenta"/>
      </w:pPr>
      <w:r>
        <w:tab/>
        <w:t>(b)</w:t>
      </w:r>
      <w:r>
        <w:tab/>
        <w:t xml:space="preserve">the operation of </w:t>
      </w:r>
      <w:r>
        <w:rPr>
          <w:i/>
        </w:rPr>
        <w:t xml:space="preserve">The Criminal Code </w:t>
      </w:r>
      <w:r>
        <w:t>section 266(2) or Chapter XXVIII or XXIX, or any other law in relation to the consequences of omitting to perform that duty.</w:t>
      </w:r>
    </w:p>
    <w:p>
      <w:pPr>
        <w:pStyle w:val="Footnotesection"/>
        <w:ind w:left="890" w:hanging="890"/>
      </w:pPr>
      <w:r>
        <w:lastRenderedPageBreak/>
        <w:tab/>
        <w:t xml:space="preserve">[Section 33D inserted: No. 23 of 1987 s. 27; amended: No. 24 of 1996 s. 9 and 16; No. 18 of 2013 s. 33.] </w:t>
      </w:r>
    </w:p>
    <w:p>
      <w:pPr>
        <w:pStyle w:val="Heading3"/>
        <w:rPr>
          <w:snapToGrid w:val="0"/>
        </w:rPr>
      </w:pPr>
      <w:bookmarkStart w:id="103" w:name="_Toc183090406"/>
      <w:bookmarkStart w:id="104" w:name="_Toc183182248"/>
      <w:bookmarkStart w:id="105" w:name="_Toc183419369"/>
      <w:bookmarkStart w:id="106" w:name="_Toc183423433"/>
      <w:bookmarkStart w:id="107" w:name="_Toc183507333"/>
      <w:r>
        <w:rPr>
          <w:rStyle w:val="CharDivNo"/>
        </w:rPr>
        <w:t>Division 2</w:t>
      </w:r>
      <w:r>
        <w:rPr>
          <w:snapToGrid w:val="0"/>
        </w:rPr>
        <w:t> — </w:t>
      </w:r>
      <w:r>
        <w:rPr>
          <w:rStyle w:val="CharDivText"/>
        </w:rPr>
        <w:t>Dangerous dogs</w:t>
      </w:r>
      <w:bookmarkEnd w:id="103"/>
      <w:bookmarkEnd w:id="104"/>
      <w:bookmarkEnd w:id="105"/>
      <w:bookmarkEnd w:id="106"/>
      <w:bookmarkEnd w:id="107"/>
      <w:r>
        <w:rPr>
          <w:rStyle w:val="CharDivText"/>
        </w:rPr>
        <w:t xml:space="preserve"> </w:t>
      </w:r>
    </w:p>
    <w:p>
      <w:pPr>
        <w:pStyle w:val="Footnoteheading"/>
        <w:ind w:left="890"/>
        <w:rPr>
          <w:snapToGrid w:val="0"/>
        </w:rPr>
      </w:pPr>
      <w:r>
        <w:rPr>
          <w:snapToGrid w:val="0"/>
        </w:rPr>
        <w:tab/>
        <w:t xml:space="preserve">[Heading inserted: No. 24 of 1996 s. 10.] </w:t>
      </w:r>
    </w:p>
    <w:p>
      <w:pPr>
        <w:pStyle w:val="Heading5"/>
        <w:spacing w:before="240"/>
        <w:rPr>
          <w:snapToGrid w:val="0"/>
        </w:rPr>
      </w:pPr>
      <w:bookmarkStart w:id="108" w:name="_Toc183507334"/>
      <w:r>
        <w:rPr>
          <w:rStyle w:val="CharSectno"/>
        </w:rPr>
        <w:t>33E</w:t>
      </w:r>
      <w:r>
        <w:rPr>
          <w:snapToGrid w:val="0"/>
        </w:rPr>
        <w:t>.</w:t>
      </w:r>
      <w:r>
        <w:rPr>
          <w:snapToGrid w:val="0"/>
        </w:rPr>
        <w:tab/>
        <w:t>Individual dog may be declared to be dangerous dog (declared)</w:t>
      </w:r>
      <w:bookmarkEnd w:id="108"/>
    </w:p>
    <w:p>
      <w:pPr>
        <w:pStyle w:val="Subsection"/>
        <w:rPr>
          <w:snapToGrid w:val="0"/>
        </w:rPr>
      </w:pPr>
      <w:r>
        <w:rPr>
          <w:snapToGrid w:val="0"/>
        </w:rPr>
        <w:tab/>
        <w:t>(1)</w:t>
      </w:r>
      <w:r>
        <w:rPr>
          <w:snapToGrid w:val="0"/>
        </w:rPr>
        <w:tab/>
        <w:t xml:space="preserve">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w:t>
      </w:r>
      <w:r>
        <w:t xml:space="preserve">an individual dog to be a dangerous dog (declared) </w:t>
      </w:r>
      <w:r>
        <w:rPr>
          <w:snapToGrid w:val="0"/>
        </w:rPr>
        <w:t>if, in the opinion of the local government or that person — </w:t>
      </w:r>
    </w:p>
    <w:p>
      <w:pPr>
        <w:pStyle w:val="Indenta"/>
      </w:pPr>
      <w:r>
        <w:tab/>
        <w:t>(a)</w:t>
      </w:r>
      <w:r>
        <w:tab/>
        <w:t>the dog has caused injury or damage by an attack on, or chasing, a person, animal or vehicle; or</w:t>
      </w:r>
    </w:p>
    <w:p>
      <w:pPr>
        <w:pStyle w:val="Indenta"/>
      </w:pPr>
      <w:r>
        <w:tab/>
        <w:t>(b)</w:t>
      </w:r>
      <w:r>
        <w:tab/>
        <w:t>the dog has, repeatedly, shown a tendency — </w:t>
      </w:r>
    </w:p>
    <w:p>
      <w:pPr>
        <w:pStyle w:val="Indenti"/>
        <w:rPr>
          <w:snapToGrid w:val="0"/>
        </w:rPr>
      </w:pPr>
      <w:r>
        <w:rPr>
          <w:snapToGrid w:val="0"/>
        </w:rPr>
        <w:tab/>
        <w:t>(i)</w:t>
      </w:r>
      <w:r>
        <w:rPr>
          <w:snapToGrid w:val="0"/>
        </w:rPr>
        <w:tab/>
        <w:t>to attack, or chase, a person, animal or vehicle even though no injury has been caused by that behaviour; or</w:t>
      </w:r>
    </w:p>
    <w:p>
      <w:pPr>
        <w:pStyle w:val="Indenti"/>
        <w:rPr>
          <w:snapToGrid w:val="0"/>
        </w:rPr>
      </w:pPr>
      <w:r>
        <w:rPr>
          <w:snapToGrid w:val="0"/>
        </w:rPr>
        <w:tab/>
        <w:t>(ii)</w:t>
      </w:r>
      <w:r>
        <w:rPr>
          <w:snapToGrid w:val="0"/>
        </w:rPr>
        <w:tab/>
        <w:t>to threaten to attack;</w:t>
      </w:r>
    </w:p>
    <w:p>
      <w:pPr>
        <w:pStyle w:val="Indenta"/>
      </w:pPr>
      <w:r>
        <w:tab/>
      </w:r>
      <w:r>
        <w:tab/>
        <w:t>or</w:t>
      </w:r>
    </w:p>
    <w:p>
      <w:pPr>
        <w:pStyle w:val="Indenta"/>
      </w:pPr>
      <w:r>
        <w:tab/>
        <w:t>(c)</w:t>
      </w:r>
      <w:r>
        <w:tab/>
        <w:t>the behaviour of the dog meets other criteria prescribed for the purpose of this section.</w:t>
      </w:r>
    </w:p>
    <w:p>
      <w:pPr>
        <w:pStyle w:val="Subsection"/>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rPr>
          <w:snapToGrid w:val="0"/>
        </w:rPr>
      </w:pPr>
      <w:r>
        <w:rPr>
          <w:snapToGrid w:val="0"/>
        </w:rPr>
        <w:tab/>
        <w:t>(3)</w:t>
      </w:r>
      <w:r>
        <w:rPr>
          <w:snapToGrid w:val="0"/>
        </w:rPr>
        <w:tab/>
        <w:t xml:space="preserve">The owner of a dog declared to be a </w:t>
      </w:r>
      <w:r>
        <w:t xml:space="preserve">dangerous dog (declared), </w:t>
      </w:r>
      <w:r>
        <w:rPr>
          <w:snapToGrid w:val="0"/>
        </w:rPr>
        <w:t>or detained under this Division, shall have the rights referred to in this Division to object and to apply for a review.</w:t>
      </w:r>
    </w:p>
    <w:p>
      <w:pPr>
        <w:pStyle w:val="Footnotesection"/>
        <w:ind w:left="890" w:hanging="890"/>
      </w:pPr>
      <w:r>
        <w:lastRenderedPageBreak/>
        <w:tab/>
        <w:t xml:space="preserve">[Section 33E inserted: No. 24 of 1996 s. 10; amended: No. 10 of 1998 s. 29(1); No. 55 of 2004 s. 259; No. 18 of 2013 s. 34.] </w:t>
      </w:r>
    </w:p>
    <w:p>
      <w:pPr>
        <w:pStyle w:val="Heading5"/>
        <w:rPr>
          <w:snapToGrid w:val="0"/>
        </w:rPr>
      </w:pPr>
      <w:bookmarkStart w:id="109" w:name="_Toc183507335"/>
      <w:r>
        <w:rPr>
          <w:rStyle w:val="CharSectno"/>
        </w:rPr>
        <w:t>33F</w:t>
      </w:r>
      <w:r>
        <w:rPr>
          <w:snapToGrid w:val="0"/>
        </w:rPr>
        <w:t>.</w:t>
      </w:r>
      <w:r>
        <w:rPr>
          <w:snapToGrid w:val="0"/>
        </w:rPr>
        <w:tab/>
        <w:t>Owner to be notified of making of declaration</w:t>
      </w:r>
      <w:bookmarkEnd w:id="109"/>
    </w:p>
    <w:p>
      <w:pPr>
        <w:pStyle w:val="Subsection"/>
        <w:rPr>
          <w:snapToGrid w:val="0"/>
        </w:rPr>
      </w:pPr>
      <w:r>
        <w:rPr>
          <w:snapToGrid w:val="0"/>
        </w:rPr>
        <w:tab/>
        <w:t>(1)</w:t>
      </w:r>
      <w:r>
        <w:rPr>
          <w:snapToGrid w:val="0"/>
        </w:rPr>
        <w:tab/>
        <w:t xml:space="preserve">The local government, or the person by whom the declaration was made on behalf of the local government, must give written notice declaring a dog to be a dangerous dog </w:t>
      </w:r>
      <w:r>
        <w:t xml:space="preserve">(declared) </w:t>
      </w:r>
      <w:r>
        <w:rPr>
          <w:snapToGrid w:val="0"/>
        </w:rPr>
        <w:t>to the owner of that dog.</w:t>
      </w:r>
    </w:p>
    <w:p>
      <w:pPr>
        <w:pStyle w:val="Subsection"/>
        <w:rPr>
          <w:snapToGrid w:val="0"/>
        </w:rPr>
      </w:pPr>
      <w:r>
        <w:rPr>
          <w:snapToGrid w:val="0"/>
        </w:rPr>
        <w:tab/>
        <w:t>(2)</w:t>
      </w:r>
      <w:r>
        <w:rPr>
          <w:snapToGrid w:val="0"/>
        </w:rPr>
        <w:tab/>
        <w:t>A notice to be given under subsection (1) — </w:t>
      </w:r>
    </w:p>
    <w:p>
      <w:pPr>
        <w:pStyle w:val="Indenta"/>
        <w:spacing w:before="120"/>
      </w:pPr>
      <w:r>
        <w:tab/>
        <w:t>(a)</w:t>
      </w:r>
      <w:r>
        <w:tab/>
        <w:t>shall give reasons for the making of the declaration; and</w:t>
      </w:r>
    </w:p>
    <w:p>
      <w:pPr>
        <w:pStyle w:val="Indenta"/>
        <w:spacing w:before="120"/>
      </w:pPr>
      <w:r>
        <w:tab/>
        <w:t>(b)</w:t>
      </w:r>
      <w:r>
        <w:tab/>
        <w:t>shall specify that the owner has a right under this Division, to be exercised within not more than 7 days after the giving of the notice, either — </w:t>
      </w:r>
    </w:p>
    <w:p>
      <w:pPr>
        <w:pStyle w:val="Indenti"/>
        <w:spacing w:before="120"/>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spacing w:before="120"/>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spacing w:before="160"/>
      </w:pPr>
      <w:r>
        <w:tab/>
      </w:r>
      <w:r>
        <w:tab/>
        <w:t>as to the declaration.</w:t>
      </w:r>
    </w:p>
    <w:p>
      <w:pPr>
        <w:pStyle w:val="Subsection"/>
        <w:spacing w:before="120"/>
      </w:pPr>
      <w:r>
        <w:tab/>
        <w:t>(3)</w:t>
      </w:r>
      <w:r>
        <w:tab/>
      </w:r>
      <w:r>
        <w:rPr>
          <w:snapToGrid w:val="0"/>
        </w:rPr>
        <w:t>Whether</w:t>
      </w:r>
      <w:r>
        <w:t xml:space="preserve"> or not an objection is lodged or application for review is made, the declaration of a dog as a dangerous dog (declared) has effect 7 days after the giving of a notice under subsection (1).</w:t>
      </w:r>
    </w:p>
    <w:p>
      <w:pPr>
        <w:pStyle w:val="Ednotesubsection"/>
        <w:spacing w:before="120"/>
      </w:pPr>
      <w:r>
        <w:tab/>
        <w:t>[(4), (5)</w:t>
      </w:r>
      <w:r>
        <w:tab/>
        <w:t>deleted]</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 xml:space="preserve">if the local government dismisses the objection, the owner may, within 7 days after the giving of a notice by </w:t>
      </w:r>
      <w:r>
        <w:lastRenderedPageBreak/>
        <w:t>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Footnotesection"/>
        <w:ind w:left="890" w:hanging="890"/>
      </w:pPr>
      <w:r>
        <w:tab/>
        <w:t xml:space="preserve">[Section 33F inserted: No. 24 of 1996 s. 10; amended: No. 10 of 1998 s. 29(1); No. 55 of 2004 s. 260 and 268; No. 18 of 2013 s. 35.] </w:t>
      </w:r>
    </w:p>
    <w:p>
      <w:pPr>
        <w:pStyle w:val="Heading5"/>
        <w:spacing w:before="180"/>
      </w:pPr>
      <w:bookmarkStart w:id="110" w:name="_Toc183507336"/>
      <w:r>
        <w:rPr>
          <w:rStyle w:val="CharSectno"/>
        </w:rPr>
        <w:t>33GA</w:t>
      </w:r>
      <w:r>
        <w:t>.</w:t>
      </w:r>
      <w:r>
        <w:tab/>
        <w:t>Offences relating to dangerous dogs</w:t>
      </w:r>
      <w:bookmarkEnd w:id="110"/>
    </w:p>
    <w:p>
      <w:pPr>
        <w:pStyle w:val="Subsection"/>
      </w:pPr>
      <w:r>
        <w:tab/>
        <w:t>(1)</w:t>
      </w:r>
      <w:r>
        <w:tab/>
        <w:t xml:space="preserve">Every person liable for the control of — </w:t>
      </w:r>
    </w:p>
    <w:p>
      <w:pPr>
        <w:pStyle w:val="Indenta"/>
        <w:spacing w:before="120"/>
      </w:pPr>
      <w:r>
        <w:tab/>
        <w:t>(a)</w:t>
      </w:r>
      <w:r>
        <w:tab/>
        <w:t xml:space="preserve">a commercial security dog must ensure that the dog wears a collar of a kind prescribed to be worn by commercial security dogs with information attached to or endorsed on the collar in accordance with the regulations; or </w:t>
      </w:r>
    </w:p>
    <w:p>
      <w:pPr>
        <w:pStyle w:val="Indenta"/>
      </w:pPr>
      <w:r>
        <w:tab/>
        <w:t>(b)</w:t>
      </w:r>
      <w:r>
        <w:tab/>
        <w:t>a dangerous dog other than a commercial security dog must ensure that the dog wears a collar of a kind prescribed to be worn by dangerous dogs other than commercial security dogs with information attached to or endorsed on the collar in accordance with the regulations.</w:t>
      </w:r>
    </w:p>
    <w:p>
      <w:pPr>
        <w:pStyle w:val="Penstart"/>
        <w:keepNext/>
      </w:pPr>
      <w:r>
        <w:lastRenderedPageBreak/>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Every person liable for the control of a dangerous dog must ensure that the enclosure within which the dog is confined, whether or not the enclosure is at the premises where the dog is ordinarily kept or ordinarily permitted to live, is constructed to — </w:t>
      </w:r>
    </w:p>
    <w:p>
      <w:pPr>
        <w:pStyle w:val="Indenta"/>
      </w:pPr>
      <w:r>
        <w:tab/>
        <w:t>(a)</w:t>
      </w:r>
      <w:r>
        <w:tab/>
        <w:t>prevent the dog from escaping; and</w:t>
      </w:r>
    </w:p>
    <w:p>
      <w:pPr>
        <w:pStyle w:val="Indenta"/>
      </w:pPr>
      <w:r>
        <w:tab/>
        <w:t>(b)</w:t>
      </w:r>
      <w:r>
        <w:tab/>
        <w:t>prevent the dog from being removed or released from the enclosure without the permission of the person liable for the dog’s control; and</w:t>
      </w:r>
    </w:p>
    <w:p>
      <w:pPr>
        <w:pStyle w:val="Indenta"/>
      </w:pPr>
      <w:r>
        <w:tab/>
        <w:t>(c)</w:t>
      </w:r>
      <w:r>
        <w:tab/>
        <w:t>prevent a child who has not reached 7 years of age from entering, or inserting any part of its body into, the enclosure without the help of an adult.</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(3)</w:t>
      </w:r>
      <w:r>
        <w:tab/>
        <w:t>Subsection (2) does not apply to a commercial security dog when it is working.</w:t>
      </w:r>
    </w:p>
    <w:p>
      <w:pPr>
        <w:pStyle w:val="Subsection"/>
        <w:keepNext/>
      </w:pPr>
      <w:r>
        <w:tab/>
        <w:t>(4)</w:t>
      </w:r>
      <w:r>
        <w:tab/>
        <w:t xml:space="preserve">When a commercial security dog is working at premises, every person liable for the control of the dog and the person who </w:t>
      </w:r>
      <w:r>
        <w:lastRenderedPageBreak/>
        <w:t xml:space="preserve">arranges for the dog to guard or protect the premises must ensure that — </w:t>
      </w:r>
    </w:p>
    <w:p>
      <w:pPr>
        <w:pStyle w:val="Indenta"/>
      </w:pPr>
      <w:r>
        <w:tab/>
        <w:t>(a)</w:t>
      </w:r>
      <w:r>
        <w:tab/>
        <w:t xml:space="preserve">the dog is confined to the premises and that the enclosure within which the dog is confined is constructed to — </w:t>
      </w:r>
    </w:p>
    <w:p>
      <w:pPr>
        <w:pStyle w:val="Indenti"/>
      </w:pPr>
      <w:r>
        <w:tab/>
        <w:t>(i)</w:t>
      </w:r>
      <w:r>
        <w:tab/>
        <w:t>prevent the dog from escaping that enclosure; and</w:t>
      </w:r>
    </w:p>
    <w:p>
      <w:pPr>
        <w:pStyle w:val="Indenti"/>
      </w:pPr>
      <w:r>
        <w:tab/>
        <w:t>(ii)</w:t>
      </w:r>
      <w:r>
        <w:tab/>
        <w:t>prevent the dog from being removed or released from that enclosure without the permission of a person liable for the dog’s control;</w:t>
      </w:r>
    </w:p>
    <w:p>
      <w:pPr>
        <w:pStyle w:val="Indenta"/>
      </w:pPr>
      <w:r>
        <w:tab/>
      </w:r>
      <w:r>
        <w:tab/>
        <w:t>and</w:t>
      </w:r>
    </w:p>
    <w:p>
      <w:pPr>
        <w:pStyle w:val="Indenta"/>
      </w:pPr>
      <w:r>
        <w:tab/>
        <w:t>(b)</w:t>
      </w:r>
      <w:r>
        <w:tab/>
        <w:t xml:space="preserve">during any time that a person other than the dog’s handler has lawful access to the area in which the dog is working — </w:t>
      </w:r>
    </w:p>
    <w:p>
      <w:pPr>
        <w:pStyle w:val="Indenti"/>
      </w:pPr>
      <w:r>
        <w:tab/>
        <w:t>(i)</w:t>
      </w:r>
      <w:r>
        <w:tab/>
        <w:t xml:space="preserve">the dog is confined to an enclosure that is constructed to — </w:t>
      </w:r>
    </w:p>
    <w:p>
      <w:pPr>
        <w:pStyle w:val="IndentI0"/>
      </w:pPr>
      <w:r>
        <w:tab/>
        <w:t>(I)</w:t>
      </w:r>
      <w:r>
        <w:tab/>
        <w:t>prevent the dog from escaping that enclosure; and</w:t>
      </w:r>
    </w:p>
    <w:p>
      <w:pPr>
        <w:pStyle w:val="IndentI0"/>
      </w:pPr>
      <w:r>
        <w:tab/>
        <w:t>(II)</w:t>
      </w:r>
      <w:r>
        <w:tab/>
        <w:t>prevent the dog from being removed or released from that enclosure without the permission of a person liable for the dog’s control; and</w:t>
      </w:r>
    </w:p>
    <w:p>
      <w:pPr>
        <w:pStyle w:val="IndentI0"/>
      </w:pPr>
      <w:r>
        <w:tab/>
        <w:t>(III)</w:t>
      </w:r>
      <w:r>
        <w:tab/>
        <w:t>prevent a child who has not reached 7 years of age from entering, or inserting any part of its body into, that enclosure without the help of an adult;</w:t>
      </w:r>
    </w:p>
    <w:p>
      <w:pPr>
        <w:pStyle w:val="Indenti"/>
      </w:pPr>
      <w:r>
        <w:tab/>
      </w:r>
      <w:r>
        <w:tab/>
        <w:t>or</w:t>
      </w:r>
    </w:p>
    <w:p>
      <w:pPr>
        <w:pStyle w:val="Indenti"/>
        <w:keepLines/>
      </w:pPr>
      <w:r>
        <w:tab/>
        <w:t>(ii)</w:t>
      </w:r>
      <w:r>
        <w:tab/>
        <w:t>the dog is held by means of a chain, cord, leash or harness of sufficient strength and not exceeding the prescribed length by a person who has reached 18 years of age and who is capable of controlling the dog; or</w:t>
      </w:r>
    </w:p>
    <w:p>
      <w:pPr>
        <w:pStyle w:val="Indenti"/>
      </w:pPr>
      <w:r>
        <w:lastRenderedPageBreak/>
        <w:tab/>
        <w:t>(iii)</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(5)</w:t>
      </w:r>
      <w:r>
        <w:tab/>
        <w:t>The occupier of the premises where a dangerous dog is ordinarily kept or ordinarily permitted to live must ensure that a warning sign, of a prescribed kind, is displayed at each entrance to the premises.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(6)</w:t>
      </w:r>
      <w:r>
        <w:tab/>
        <w:t>When a dangerous dog is not confined in an enclosure, every person liable for the control of the dog must ensure that the dog wears a muzzle.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(7)</w:t>
      </w:r>
      <w:r>
        <w:tab/>
        <w:t xml:space="preserve">When a dangerous dog is not confined in an enclosure, every person liable for the control of the dog must ensure that — </w:t>
      </w:r>
    </w:p>
    <w:p>
      <w:pPr>
        <w:pStyle w:val="Indenta"/>
      </w:pPr>
      <w:r>
        <w:lastRenderedPageBreak/>
        <w:tab/>
        <w:t>(a)</w:t>
      </w:r>
      <w:r>
        <w:tab/>
        <w:t>the dog is held by means of a chain, cord, leash or harness of sufficient strength and not exceeding the prescribed length by a person who has reached 18 years of age and who is capable of controlling the dog; or</w:t>
      </w:r>
    </w:p>
    <w:p>
      <w:pPr>
        <w:pStyle w:val="Indenta"/>
      </w:pPr>
      <w:r>
        <w:tab/>
        <w:t>(b)</w:t>
      </w:r>
      <w:r>
        <w:tab/>
        <w:t>the dog is securely tethered on a temporary basis by means of a chain, cord, leash or harness of sufficient strength and not exceeding the prescribed length.</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(8)</w:t>
      </w:r>
      <w:r>
        <w:tab/>
        <w:t>When a dangerous dog is not confined in an enclosure, every person liable for the control of the dog must ensure that the dog is controlled by a person who has reached 18 years of age and who is capable of controlling the dog.</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(9)</w:t>
      </w:r>
      <w:r>
        <w:tab/>
        <w:t xml:space="preserve">Every person liable for the control of a dangerous dog must ensure that the dog is not in a public place — </w:t>
      </w:r>
    </w:p>
    <w:p>
      <w:pPr>
        <w:pStyle w:val="Indenta"/>
      </w:pPr>
      <w:r>
        <w:tab/>
        <w:t>(a)</w:t>
      </w:r>
      <w:r>
        <w:tab/>
        <w:t>at all if the place is specified under section 31(2B) as a place where dogs are prohibited at all times; or</w:t>
      </w:r>
    </w:p>
    <w:p>
      <w:pPr>
        <w:pStyle w:val="Indenta"/>
      </w:pPr>
      <w:r>
        <w:tab/>
        <w:t>(b)</w:t>
      </w:r>
      <w:r>
        <w:tab/>
        <w:t>at a time when the place is specified under section 31(2B) as a place where dogs are prohibited at that time.</w:t>
      </w:r>
    </w:p>
    <w:p>
      <w:pPr>
        <w:pStyle w:val="Penstart"/>
        <w:keepNext/>
      </w:pPr>
      <w:r>
        <w:lastRenderedPageBreak/>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(10)</w:t>
      </w:r>
      <w:r>
        <w:tab/>
        <w:t xml:space="preserve">Every person liable for the control of a dangerous dog must ensure that the dog — </w:t>
      </w:r>
    </w:p>
    <w:p>
      <w:pPr>
        <w:pStyle w:val="Indenta"/>
      </w:pPr>
      <w:r>
        <w:tab/>
        <w:t>(a)</w:t>
      </w:r>
      <w:r>
        <w:tab/>
        <w:t>does not kill a person; and</w:t>
      </w:r>
    </w:p>
    <w:p>
      <w:pPr>
        <w:pStyle w:val="Indenta"/>
      </w:pPr>
      <w:r>
        <w:tab/>
        <w:t>(b)</w:t>
      </w:r>
      <w:r>
        <w:tab/>
        <w:t>does not endanger the life of a person.</w:t>
      </w:r>
    </w:p>
    <w:p>
      <w:pPr>
        <w:pStyle w:val="Subsection"/>
      </w:pPr>
      <w:r>
        <w:tab/>
        <w:t>(11)</w:t>
      </w:r>
      <w:r>
        <w:tab/>
        <w:t>A person who contravenes subsection (10) is guilty of a crime.</w:t>
      </w:r>
    </w:p>
    <w:p>
      <w:pPr>
        <w:pStyle w:val="Penstart"/>
      </w:pPr>
      <w:r>
        <w:tab/>
        <w:t>Penalty: imprisonment for 10 years.</w:t>
      </w:r>
    </w:p>
    <w:p>
      <w:pPr>
        <w:pStyle w:val="Footnotesection"/>
        <w:ind w:left="890" w:hanging="890"/>
      </w:pPr>
      <w:r>
        <w:tab/>
        <w:t xml:space="preserve">[Section 33GA inserted: No. 18 of 2013 s. 36.] </w:t>
      </w:r>
    </w:p>
    <w:p>
      <w:pPr>
        <w:pStyle w:val="Heading5"/>
      </w:pPr>
      <w:bookmarkStart w:id="111" w:name="_Toc183507337"/>
      <w:r>
        <w:rPr>
          <w:rStyle w:val="CharSectno"/>
        </w:rPr>
        <w:t>33GB</w:t>
      </w:r>
      <w:r>
        <w:t>.</w:t>
      </w:r>
      <w:r>
        <w:tab/>
        <w:t>Dangerous dogs (restricted breed) to be sterilised</w:t>
      </w:r>
      <w:bookmarkEnd w:id="111"/>
    </w:p>
    <w:p>
      <w:pPr>
        <w:pStyle w:val="Subsection"/>
      </w:pPr>
      <w:r>
        <w:tab/>
        <w:t>(1)</w:t>
      </w:r>
      <w:r>
        <w:tab/>
        <w:t>The owner of a dangerous dog (restricted breed) that has reached 3 months of age must ensure that the dog is sterilised.</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It is a defence to a charge of an offence under subsection (1) if the person charged satisfies the court that the dog — </w:t>
      </w:r>
    </w:p>
    <w:p>
      <w:pPr>
        <w:pStyle w:val="Indenta"/>
      </w:pPr>
      <w:r>
        <w:tab/>
        <w:t>(a)</w:t>
      </w:r>
      <w:r>
        <w:tab/>
        <w:t>has a physical condition that is likely to cause the dog to die if it is sterilised; or</w:t>
      </w:r>
    </w:p>
    <w:p>
      <w:pPr>
        <w:pStyle w:val="Indenta"/>
        <w:keepNext/>
      </w:pPr>
      <w:r>
        <w:tab/>
        <w:t>(b)</w:t>
      </w:r>
      <w:r>
        <w:tab/>
        <w:t>is sterile.</w:t>
      </w:r>
    </w:p>
    <w:p>
      <w:pPr>
        <w:pStyle w:val="Footnotesection"/>
        <w:ind w:left="890" w:hanging="890"/>
      </w:pPr>
      <w:r>
        <w:tab/>
        <w:t xml:space="preserve">[Section 33GB inserted: No. 18 of 2013 s. 36.] </w:t>
      </w:r>
    </w:p>
    <w:p>
      <w:pPr>
        <w:pStyle w:val="Heading5"/>
      </w:pPr>
      <w:bookmarkStart w:id="112" w:name="_Toc183507338"/>
      <w:r>
        <w:rPr>
          <w:rStyle w:val="CharSectno"/>
        </w:rPr>
        <w:lastRenderedPageBreak/>
        <w:t>33GC</w:t>
      </w:r>
      <w:r>
        <w:t>.</w:t>
      </w:r>
      <w:r>
        <w:tab/>
        <w:t>Restrictions on transferring ownership of dangerous dogs (restricted breed)</w:t>
      </w:r>
      <w:bookmarkEnd w:id="112"/>
    </w:p>
    <w:p>
      <w:pPr>
        <w:pStyle w:val="Subsection"/>
        <w:keepNext/>
      </w:pPr>
      <w:r>
        <w:tab/>
        <w:t>(1)</w:t>
      </w:r>
      <w:r>
        <w:tab/>
        <w:t xml:space="preserve">In this section — </w:t>
      </w:r>
    </w:p>
    <w:p>
      <w:pPr>
        <w:pStyle w:val="Defstart"/>
        <w:keepNext/>
      </w:pPr>
      <w:r>
        <w:tab/>
      </w:r>
      <w:r>
        <w:rPr>
          <w:rStyle w:val="CharDefText"/>
        </w:rPr>
        <w:t>restricted breed pup</w:t>
      </w:r>
      <w:r>
        <w:t xml:space="preserve"> means a pup — </w:t>
      </w:r>
    </w:p>
    <w:p>
      <w:pPr>
        <w:pStyle w:val="Defpara"/>
      </w:pPr>
      <w:r>
        <w:tab/>
        <w:t>(a)</w:t>
      </w:r>
      <w:r>
        <w:tab/>
        <w:t>having at least one parent that is a dangerous dog (restricted breed); and</w:t>
      </w:r>
    </w:p>
    <w:p>
      <w:pPr>
        <w:pStyle w:val="Defpara"/>
      </w:pPr>
      <w:r>
        <w:tab/>
        <w:t>(b)</w:t>
      </w:r>
      <w:r>
        <w:tab/>
        <w:t>that is under 3 months of age.</w:t>
      </w:r>
    </w:p>
    <w:p>
      <w:pPr>
        <w:pStyle w:val="Subsection"/>
      </w:pPr>
      <w:r>
        <w:tab/>
        <w:t>(2)</w:t>
      </w:r>
      <w:r>
        <w:tab/>
        <w:t>A person must not advertise a dangerous dog (restricted breed) or a restricted breed pup as being for sale or otherwise available for transfer of ownership.</w:t>
      </w:r>
    </w:p>
    <w:p>
      <w:pPr>
        <w:pStyle w:val="Penstart"/>
      </w:pPr>
      <w:r>
        <w:tab/>
        <w:t>Penalty: a fine of $10 000, but the minimum penalty is a fine of $500.</w:t>
      </w:r>
    </w:p>
    <w:p>
      <w:pPr>
        <w:pStyle w:val="Subsection"/>
      </w:pPr>
      <w:r>
        <w:tab/>
        <w:t>(3)</w:t>
      </w:r>
      <w:r>
        <w:tab/>
        <w:t xml:space="preserve">A person must not sell a dangerous dog (restricted breed) or a restricted breed pup to another person. </w:t>
      </w:r>
    </w:p>
    <w:p>
      <w:pPr>
        <w:pStyle w:val="Penstart"/>
      </w:pPr>
      <w:r>
        <w:tab/>
        <w:t>Penalty: a fine of $10 000, but the minimum penalty is a fine of $500.</w:t>
      </w:r>
    </w:p>
    <w:p>
      <w:pPr>
        <w:pStyle w:val="Subsection"/>
      </w:pPr>
      <w:r>
        <w:tab/>
        <w:t>(4)</w:t>
      </w:r>
      <w:r>
        <w:tab/>
        <w:t xml:space="preserve">A person must not otherwise transfer the ownership of a dangerous dog (restricted breed) or a restricted breed pup to another person unless — </w:t>
      </w:r>
    </w:p>
    <w:p>
      <w:pPr>
        <w:pStyle w:val="Indenta"/>
      </w:pPr>
      <w:r>
        <w:tab/>
        <w:t>(a)</w:t>
      </w:r>
      <w:r>
        <w:tab/>
        <w:t>the dog or pup forms part of a deceased estate and its ownership is transferred by the executor of the will in relation to, or the administrator for, the estate; or</w:t>
      </w:r>
    </w:p>
    <w:p>
      <w:pPr>
        <w:pStyle w:val="Indenta"/>
      </w:pPr>
      <w:r>
        <w:tab/>
        <w:t>(b)</w:t>
      </w:r>
      <w:r>
        <w:tab/>
        <w:t>the owner of the dog or pup is certified, by a person registered under a written law as a medical practitioner, as being not capable of caring for the dog or fulfilling the responsibilities that an owner of a dangerous dog (restricted breed) has under this Act; or</w:t>
      </w:r>
    </w:p>
    <w:p>
      <w:pPr>
        <w:pStyle w:val="Indenta"/>
      </w:pPr>
      <w:r>
        <w:tab/>
        <w:t>(c)</w:t>
      </w:r>
      <w:r>
        <w:tab/>
        <w:t>the Minister in his absolute discretion forms the view that extraordinary conditions exist in a particular case and a transfer of ownership is justified in that case.</w:t>
      </w:r>
    </w:p>
    <w:p>
      <w:pPr>
        <w:pStyle w:val="Penstart"/>
      </w:pPr>
      <w:r>
        <w:lastRenderedPageBreak/>
        <w:tab/>
        <w:t>Penalty: a fine of $10 000, but the minimum penalty is a fine of $500.</w:t>
      </w:r>
    </w:p>
    <w:p>
      <w:pPr>
        <w:pStyle w:val="Subsection"/>
        <w:spacing w:before="180"/>
      </w:pPr>
      <w:r>
        <w:tab/>
        <w:t>(5)</w:t>
      </w:r>
      <w:r>
        <w:tab/>
        <w:t xml:space="preserve">A person must not — </w:t>
      </w:r>
    </w:p>
    <w:p>
      <w:pPr>
        <w:pStyle w:val="Indenta"/>
      </w:pPr>
      <w:r>
        <w:tab/>
        <w:t>(a)</w:t>
      </w:r>
      <w:r>
        <w:tab/>
        <w:t>buy a dangerous dog (restricted breed) or a restricted breed pup from another person; or</w:t>
      </w:r>
    </w:p>
    <w:p>
      <w:pPr>
        <w:pStyle w:val="Indenta"/>
      </w:pPr>
      <w:r>
        <w:tab/>
        <w:t>(b)</w:t>
      </w:r>
      <w:r>
        <w:tab/>
        <w:t>otherwise accept the ownership of a dangerous dog (restricted breed) or a restricted breed pup from another person except in the circumstances mentioned in subsection (4)(a) or (b).</w:t>
      </w:r>
    </w:p>
    <w:p>
      <w:pPr>
        <w:pStyle w:val="Penstart"/>
      </w:pPr>
      <w:r>
        <w:tab/>
        <w:t>Penalty: a fine of $10 000, but the minimum penalty is a fine of $500.</w:t>
      </w:r>
    </w:p>
    <w:p>
      <w:pPr>
        <w:pStyle w:val="Subsection"/>
        <w:spacing w:before="180"/>
      </w:pPr>
      <w:r>
        <w:tab/>
        <w:t>(6)</w:t>
      </w:r>
      <w:r>
        <w:tab/>
        <w:t>It is a defence to a charge of an offence under subsection (5) in relation to a restricted breed pup if the person charged satisfies the court that the person did not know and did not have reasonable cause to believe that the dog was a restricted breed pup.</w:t>
      </w:r>
    </w:p>
    <w:p>
      <w:pPr>
        <w:pStyle w:val="Footnotesection"/>
        <w:ind w:left="890" w:hanging="890"/>
      </w:pPr>
      <w:r>
        <w:tab/>
        <w:t xml:space="preserve">[Section 33GC inserted: No. 18 of 2013 s. 36.] </w:t>
      </w:r>
    </w:p>
    <w:p>
      <w:pPr>
        <w:pStyle w:val="Heading5"/>
        <w:spacing w:before="240"/>
      </w:pPr>
      <w:bookmarkStart w:id="113" w:name="_Toc183507339"/>
      <w:r>
        <w:rPr>
          <w:rStyle w:val="CharSectno"/>
        </w:rPr>
        <w:t>33GD</w:t>
      </w:r>
      <w:r>
        <w:t>.</w:t>
      </w:r>
      <w:r>
        <w:tab/>
        <w:t>Dangerous dogs (restricted breed) not to be bred</w:t>
      </w:r>
      <w:bookmarkEnd w:id="113"/>
    </w:p>
    <w:p>
      <w:pPr>
        <w:pStyle w:val="Subsection"/>
        <w:spacing w:before="180"/>
      </w:pPr>
      <w:r>
        <w:tab/>
      </w:r>
      <w:r>
        <w:tab/>
        <w:t xml:space="preserve">A person must not — </w:t>
      </w:r>
    </w:p>
    <w:p>
      <w:pPr>
        <w:pStyle w:val="Indenta"/>
      </w:pPr>
      <w:r>
        <w:tab/>
        <w:t>(a)</w:t>
      </w:r>
      <w:r>
        <w:tab/>
        <w:t>breed a dangerous dog (restricted breed); or</w:t>
      </w:r>
    </w:p>
    <w:p>
      <w:pPr>
        <w:pStyle w:val="Indenta"/>
      </w:pPr>
      <w:r>
        <w:tab/>
        <w:t>(b)</w:t>
      </w:r>
      <w:r>
        <w:tab/>
        <w:t>breed from a dangerous dog (restricted breed).</w:t>
      </w:r>
    </w:p>
    <w:p>
      <w:pPr>
        <w:pStyle w:val="Penstart"/>
        <w:spacing w:before="120"/>
      </w:pPr>
      <w:r>
        <w:tab/>
        <w:t>Penalty: a fine of $10 000, but the minimum penalty is a fine of $500.</w:t>
      </w:r>
    </w:p>
    <w:p>
      <w:pPr>
        <w:pStyle w:val="Footnotesection"/>
        <w:spacing w:after="480"/>
        <w:ind w:left="890" w:hanging="890"/>
      </w:pPr>
      <w:r>
        <w:tab/>
        <w:t xml:space="preserve">[Section 33GD inserted: No. 18 of 2013 s. 36.] </w:t>
      </w:r>
    </w:p>
    <w:p>
      <w:pPr>
        <w:pStyle w:val="Heading5"/>
      </w:pPr>
      <w:bookmarkStart w:id="114" w:name="_Toc183507340"/>
      <w:r>
        <w:rPr>
          <w:rStyle w:val="CharSectno"/>
        </w:rPr>
        <w:lastRenderedPageBreak/>
        <w:t>33GE</w:t>
      </w:r>
      <w:r>
        <w:t>.</w:t>
      </w:r>
      <w:r>
        <w:tab/>
        <w:t>Prohibition on transfer of ownership of dangerous dogs (declared) to persons under 18</w:t>
      </w:r>
      <w:bookmarkEnd w:id="114"/>
    </w:p>
    <w:p>
      <w:pPr>
        <w:pStyle w:val="Subsection"/>
        <w:keepNext/>
        <w:spacing w:before="120"/>
      </w:pPr>
      <w:r>
        <w:tab/>
        <w:t>(1)</w:t>
      </w:r>
      <w:r>
        <w:tab/>
        <w:t xml:space="preserve">In this section — </w:t>
      </w:r>
    </w:p>
    <w:p>
      <w:pPr>
        <w:pStyle w:val="Defstart"/>
        <w:keepNext/>
      </w:pPr>
      <w:r>
        <w:tab/>
      </w:r>
      <w:r>
        <w:rPr>
          <w:rStyle w:val="CharDefText"/>
        </w:rPr>
        <w:t>receiver</w:t>
      </w:r>
      <w:r>
        <w:t xml:space="preserve"> means a person to whom — </w:t>
      </w:r>
    </w:p>
    <w:p>
      <w:pPr>
        <w:pStyle w:val="Defpara"/>
      </w:pPr>
      <w:r>
        <w:tab/>
        <w:t>(a)</w:t>
      </w:r>
      <w:r>
        <w:tab/>
        <w:t>a dangerous dog (declared) is sold; or</w:t>
      </w:r>
    </w:p>
    <w:p>
      <w:pPr>
        <w:pStyle w:val="Defpara"/>
      </w:pPr>
      <w:r>
        <w:tab/>
        <w:t>(b)</w:t>
      </w:r>
      <w:r>
        <w:tab/>
        <w:t>the ownership of a dangerous dog (declared) is otherwise transferred;</w:t>
      </w:r>
    </w:p>
    <w:p>
      <w:pPr>
        <w:pStyle w:val="Defstart"/>
      </w:pPr>
      <w:r>
        <w:tab/>
      </w:r>
      <w:r>
        <w:rPr>
          <w:rStyle w:val="CharDefText"/>
        </w:rPr>
        <w:t>relevant time</w:t>
      </w:r>
      <w:r>
        <w:t xml:space="preserve"> means the time at which an offence under subsection (2) is alleged to have been committed.</w:t>
      </w:r>
    </w:p>
    <w:p>
      <w:pPr>
        <w:pStyle w:val="Subsection"/>
        <w:spacing w:before="120"/>
      </w:pPr>
      <w:r>
        <w:tab/>
        <w:t>(2)</w:t>
      </w:r>
      <w:r>
        <w:tab/>
        <w:t>A person must not sell, or otherwise transfer the ownership of, a dangerous dog (declared) to a person who has not reached 18 years of age.</w:t>
      </w:r>
    </w:p>
    <w:p>
      <w:pPr>
        <w:pStyle w:val="Penstart"/>
      </w:pPr>
      <w:r>
        <w:tab/>
        <w:t>Penalty: a fine of $10 000, but the minimum penalty is a fine of $500.</w:t>
      </w:r>
    </w:p>
    <w:p>
      <w:pPr>
        <w:pStyle w:val="Subsection"/>
        <w:keepNext/>
      </w:pPr>
      <w:r>
        <w:tab/>
        <w:t>(3)</w:t>
      </w:r>
      <w:r>
        <w:tab/>
        <w:t xml:space="preserve">It is a defence to a charge of an offence under subsection (2) if the person charged satisfies the court that — </w:t>
      </w:r>
    </w:p>
    <w:p>
      <w:pPr>
        <w:pStyle w:val="Indenta"/>
      </w:pPr>
      <w:r>
        <w:tab/>
        <w:t>(a)</w:t>
      </w:r>
      <w:r>
        <w:tab/>
        <w:t>at or before the relevant time the receiver had produced to the person charged evidence that the receiver had reached 18 years of age; and</w:t>
      </w:r>
    </w:p>
    <w:p>
      <w:pPr>
        <w:pStyle w:val="Indenta"/>
      </w:pPr>
      <w:r>
        <w:tab/>
        <w:t>(b)</w:t>
      </w:r>
      <w:r>
        <w:tab/>
        <w:t>at the relevant time the person charged had no reason to believe that the receiver had not reached 18 years of age.</w:t>
      </w:r>
    </w:p>
    <w:p>
      <w:pPr>
        <w:pStyle w:val="Subsection"/>
      </w:pPr>
      <w:r>
        <w:tab/>
        <w:t>(4)</w:t>
      </w:r>
      <w:r>
        <w:tab/>
        <w:t xml:space="preserve">For the purposes of subsection (3)(a) the following documents can be used as evidence that a person has reached 18 years of age — </w:t>
      </w:r>
    </w:p>
    <w:p>
      <w:pPr>
        <w:pStyle w:val="Indenta"/>
      </w:pPr>
      <w:r>
        <w:tab/>
        <w:t>(a)</w:t>
      </w:r>
      <w:r>
        <w:tab/>
        <w:t>a current passport;</w:t>
      </w:r>
    </w:p>
    <w:p>
      <w:pPr>
        <w:pStyle w:val="Indenta"/>
      </w:pPr>
      <w:r>
        <w:tab/>
        <w:t>(b)</w:t>
      </w:r>
      <w:r>
        <w:tab/>
        <w:t>a current Australian driver’s licence;</w:t>
      </w:r>
    </w:p>
    <w:p>
      <w:pPr>
        <w:pStyle w:val="Indenta"/>
        <w:keepNext/>
      </w:pPr>
      <w:r>
        <w:tab/>
        <w:t>(c)</w:t>
      </w:r>
      <w:r>
        <w:tab/>
        <w:t>a prescribed document,</w:t>
      </w:r>
    </w:p>
    <w:p>
      <w:pPr>
        <w:pStyle w:val="Subsection"/>
      </w:pPr>
      <w:r>
        <w:tab/>
      </w:r>
      <w:r>
        <w:tab/>
        <w:t>that bears a photograph of the person and indicates by reference to the person’s date of birth or otherwise that the person has reached 18 years of age.</w:t>
      </w:r>
    </w:p>
    <w:p>
      <w:pPr>
        <w:pStyle w:val="Footnotesection"/>
        <w:spacing w:before="80"/>
        <w:ind w:left="890" w:hanging="890"/>
      </w:pPr>
      <w:r>
        <w:tab/>
        <w:t xml:space="preserve">[Section 33GE inserted: No. 18 of 2013 s. 36.] </w:t>
      </w:r>
    </w:p>
    <w:p>
      <w:pPr>
        <w:pStyle w:val="Heading5"/>
        <w:spacing w:before="120"/>
        <w:rPr>
          <w:snapToGrid w:val="0"/>
        </w:rPr>
      </w:pPr>
      <w:bookmarkStart w:id="115" w:name="_Toc183507341"/>
      <w:r>
        <w:rPr>
          <w:rStyle w:val="CharSectno"/>
        </w:rPr>
        <w:lastRenderedPageBreak/>
        <w:t>33G</w:t>
      </w:r>
      <w:r>
        <w:rPr>
          <w:snapToGrid w:val="0"/>
        </w:rPr>
        <w:t>.</w:t>
      </w:r>
      <w:r>
        <w:rPr>
          <w:snapToGrid w:val="0"/>
        </w:rPr>
        <w:tab/>
        <w:t>Seizure and destruction</w:t>
      </w:r>
      <w:bookmarkEnd w:id="115"/>
      <w:r>
        <w:rPr>
          <w:snapToGrid w:val="0"/>
        </w:rPr>
        <w:t xml:space="preserve"> </w:t>
      </w:r>
    </w:p>
    <w:p>
      <w:pPr>
        <w:pStyle w:val="Subsection"/>
        <w:spacing w:before="120"/>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spacing w:before="120"/>
        <w:rPr>
          <w:snapToGrid w:val="0"/>
        </w:rPr>
      </w:pPr>
      <w:r>
        <w:tab/>
        <w:t>(2A)</w:t>
      </w:r>
      <w:r>
        <w:tab/>
        <w:t>A</w:t>
      </w:r>
      <w:r>
        <w:rPr>
          <w:snapToGrid w:val="0"/>
        </w:rPr>
        <w:t xml:space="preserve">n authorised person or a police officer who has reasonable grounds to believe that a dangerous dog (restricted breed) has given birth to one or more pups may — </w:t>
      </w:r>
    </w:p>
    <w:p>
      <w:pPr>
        <w:pStyle w:val="Indenta"/>
        <w:rPr>
          <w:snapToGrid w:val="0"/>
        </w:rPr>
      </w:pPr>
      <w:r>
        <w:rPr>
          <w:snapToGrid w:val="0"/>
        </w:rPr>
        <w:tab/>
        <w:t>(a)</w:t>
      </w:r>
      <w:r>
        <w:rPr>
          <w:snapToGrid w:val="0"/>
        </w:rPr>
        <w:tab/>
        <w:t>enter any premises under a warrant issued under section 29(5a) or with the consent of an adult occupier of the premises; and</w:t>
      </w:r>
    </w:p>
    <w:p>
      <w:pPr>
        <w:pStyle w:val="Indenta"/>
        <w:rPr>
          <w:snapToGrid w:val="0"/>
        </w:rPr>
      </w:pPr>
      <w:r>
        <w:rPr>
          <w:snapToGrid w:val="0"/>
        </w:rPr>
        <w:tab/>
        <w:t>(b)</w:t>
      </w:r>
      <w:r>
        <w:rPr>
          <w:snapToGrid w:val="0"/>
        </w:rPr>
        <w:tab/>
        <w:t>seize each pup; and</w:t>
      </w:r>
    </w:p>
    <w:p>
      <w:pPr>
        <w:pStyle w:val="Indenta"/>
        <w:rPr>
          <w:snapToGrid w:val="0"/>
        </w:rPr>
      </w:pPr>
      <w:r>
        <w:rPr>
          <w:snapToGrid w:val="0"/>
        </w:rPr>
        <w:tab/>
        <w:t>(c)</w:t>
      </w:r>
      <w:r>
        <w:rPr>
          <w:snapToGrid w:val="0"/>
        </w:rPr>
        <w:tab/>
        <w:t>detain each pup under section 29(3).</w:t>
      </w:r>
    </w:p>
    <w:p>
      <w:pPr>
        <w:pStyle w:val="Subsection"/>
        <w:spacing w:before="120"/>
        <w:rPr>
          <w:snapToGrid w:val="0"/>
        </w:rPr>
      </w:pPr>
      <w:r>
        <w:rPr>
          <w:snapToGrid w:val="0"/>
        </w:rPr>
        <w:tab/>
        <w:t>(2)</w:t>
      </w:r>
      <w:r>
        <w:rPr>
          <w:snapToGrid w:val="0"/>
        </w:rPr>
        <w:tab/>
        <w:t xml:space="preserve">On the dog being </w:t>
      </w:r>
      <w:r>
        <w:t xml:space="preserve">detained as mentioned in subsection (1) or (2A) </w:t>
      </w:r>
      <w:r>
        <w:rPr>
          <w:snapToGrid w:val="0"/>
        </w:rPr>
        <w:t>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 and</w:t>
      </w:r>
    </w:p>
    <w:p>
      <w:pPr>
        <w:pStyle w:val="Indenta"/>
      </w:pPr>
      <w:r>
        <w:tab/>
        <w:t>(b)</w:t>
      </w:r>
      <w:r>
        <w:tab/>
        <w:t>giving reasons for the seizure; and</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spacing w:before="60"/>
        <w:rPr>
          <w:snapToGrid w:val="0"/>
        </w:rPr>
      </w:pPr>
      <w:r>
        <w:rPr>
          <w:snapToGrid w:val="0"/>
        </w:rPr>
        <w:tab/>
        <w:t>(i)</w:t>
      </w:r>
      <w:r>
        <w:rPr>
          <w:snapToGrid w:val="0"/>
        </w:rPr>
        <w:tab/>
        <w:t xml:space="preserve">to lodge a written objection with the local government, with a subsequent right to apply to </w:t>
      </w:r>
      <w:r>
        <w:rPr>
          <w:snapToGrid w:val="0"/>
        </w:rPr>
        <w:lastRenderedPageBreak/>
        <w:t>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keepLines/>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keepLines/>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keepNext/>
        <w:rPr>
          <w:snapToGrid w:val="0"/>
        </w:rPr>
      </w:pPr>
      <w:r>
        <w:rPr>
          <w:snapToGrid w:val="0"/>
        </w:rPr>
        <w:lastRenderedPageBreak/>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 or</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keepNext/>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keepNext/>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No. 24 of 1996 s. 10; amended: No. 10 of 1998 s. 29(1); No. 55 of 2004 s. 261 and 268; No. 8 of 2009 s. 47(2); No. 18 of 2013 s. 37.] </w:t>
      </w:r>
    </w:p>
    <w:p>
      <w:pPr>
        <w:pStyle w:val="Heading5"/>
        <w:rPr>
          <w:snapToGrid w:val="0"/>
        </w:rPr>
      </w:pPr>
      <w:bookmarkStart w:id="116" w:name="_Toc183507342"/>
      <w:r>
        <w:rPr>
          <w:rStyle w:val="CharSectno"/>
        </w:rPr>
        <w:t>33H</w:t>
      </w:r>
      <w:r>
        <w:rPr>
          <w:snapToGrid w:val="0"/>
        </w:rPr>
        <w:t>.</w:t>
      </w:r>
      <w:r>
        <w:rPr>
          <w:snapToGrid w:val="0"/>
        </w:rPr>
        <w:tab/>
        <w:t>Local government may revoke declaration or proposal to destroy</w:t>
      </w:r>
      <w:bookmarkEnd w:id="116"/>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33F(1) declaring a dog to be a dangerous dog (declared); or</w:t>
      </w:r>
    </w:p>
    <w:p>
      <w:pPr>
        <w:pStyle w:val="Indenta"/>
      </w:pPr>
      <w:r>
        <w:tab/>
        <w:t>(b)</w:t>
      </w:r>
      <w:r>
        <w:tab/>
        <w:t>a notice under section 33G proposing to cause a dog to be destroyed,</w:t>
      </w:r>
    </w:p>
    <w:p>
      <w:pPr>
        <w:pStyle w:val="Subsection"/>
        <w:spacing w:before="120"/>
        <w:rPr>
          <w:snapToGrid w:val="0"/>
        </w:rPr>
      </w:pPr>
      <w:r>
        <w:rPr>
          <w:snapToGrid w:val="0"/>
        </w:rPr>
        <w:tab/>
      </w:r>
      <w:r>
        <w:rPr>
          <w:snapToGrid w:val="0"/>
        </w:rPr>
        <w:tab/>
        <w:t>if the local government is satisfied that the dog can be kept without the likelihood of any contravention of this Act.</w:t>
      </w:r>
    </w:p>
    <w:p>
      <w:pPr>
        <w:pStyle w:val="Subsection"/>
        <w:spacing w:before="180"/>
        <w:rPr>
          <w:snapToGrid w:val="0"/>
        </w:rPr>
      </w:pPr>
      <w:r>
        <w:rPr>
          <w:snapToGrid w:val="0"/>
        </w:rPr>
        <w:lastRenderedPageBreak/>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spacing w:before="180"/>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under subsection (1); or</w:t>
      </w:r>
    </w:p>
    <w:p>
      <w:pPr>
        <w:pStyle w:val="Indenta"/>
      </w:pPr>
      <w:r>
        <w:tab/>
        <w:t>(b)</w:t>
      </w:r>
      <w:r>
        <w:tab/>
        <w:t>if the owner has sought such a revocation, of any refusal so to revoke and of the reasons for the making of the decision.</w:t>
      </w:r>
    </w:p>
    <w:p>
      <w:pPr>
        <w:pStyle w:val="Subsection"/>
        <w:keepNext/>
        <w:spacing w:before="180"/>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spacing w:before="100"/>
      </w:pPr>
      <w:r>
        <w:tab/>
        <w:t>(a)</w:t>
      </w:r>
      <w:r>
        <w:tab/>
        <w:t>any objection or application for review in respect of the notice sought to be revoked has been determined; or</w:t>
      </w:r>
    </w:p>
    <w:p>
      <w:pPr>
        <w:pStyle w:val="Indenta"/>
        <w:spacing w:before="100"/>
      </w:pPr>
      <w:r>
        <w:tab/>
        <w:t>(b)</w:t>
      </w:r>
      <w:r>
        <w:tab/>
        <w:t>one year has elapsed since the giving of that notice, or since any preceding application under subsection (1) was determined.</w:t>
      </w:r>
    </w:p>
    <w:p>
      <w:pPr>
        <w:pStyle w:val="Subsection"/>
        <w:spacing w:before="180"/>
        <w:rPr>
          <w:snapToGrid w:val="0"/>
        </w:rPr>
      </w:pPr>
      <w:r>
        <w:rPr>
          <w:snapToGrid w:val="0"/>
        </w:rPr>
        <w:tab/>
        <w:t>(5)</w:t>
      </w:r>
      <w:r>
        <w:rPr>
          <w:snapToGrid w:val="0"/>
        </w:rPr>
        <w:tab/>
        <w:t>Where an application is lodged with a local government under subsection (1) the local government shall consider it and — </w:t>
      </w:r>
    </w:p>
    <w:p>
      <w:pPr>
        <w:pStyle w:val="Indenta"/>
        <w:spacing w:before="100"/>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spacing w:before="100"/>
      </w:pPr>
      <w:r>
        <w:tab/>
        <w:t>(b)</w:t>
      </w:r>
      <w:r>
        <w:tab/>
        <w:t xml:space="preserve">if the local government has not given notice to the owner stating that the application has been considered, and setting out its determination on the objection, within 35 days after the lodging of the application under </w:t>
      </w:r>
      <w:r>
        <w:lastRenderedPageBreak/>
        <w:t>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ind w:left="890" w:hanging="890"/>
      </w:pPr>
      <w:r>
        <w:tab/>
        <w:t xml:space="preserve">[Section 33H inserted: No. 24 of 1996 s. 10; amended: No. 10 of 1998 s. 29(1); No. 55 of 2004 s. 262; No. 18 of 2013 s. 38.] </w:t>
      </w:r>
    </w:p>
    <w:p>
      <w:pPr>
        <w:pStyle w:val="Heading5"/>
        <w:keepNext w:val="0"/>
        <w:keepLines w:val="0"/>
        <w:spacing w:before="240"/>
        <w:rPr>
          <w:snapToGrid w:val="0"/>
        </w:rPr>
      </w:pPr>
      <w:bookmarkStart w:id="117" w:name="_Toc183507343"/>
      <w:r>
        <w:rPr>
          <w:rStyle w:val="CharSectno"/>
        </w:rPr>
        <w:t>33I</w:t>
      </w:r>
      <w:r>
        <w:rPr>
          <w:snapToGrid w:val="0"/>
        </w:rPr>
        <w:t>.</w:t>
      </w:r>
      <w:r>
        <w:rPr>
          <w:snapToGrid w:val="0"/>
        </w:rPr>
        <w:tab/>
        <w:t>Jurisdiction of State Administrative Tribunal</w:t>
      </w:r>
      <w:bookmarkEnd w:id="117"/>
    </w:p>
    <w:p>
      <w:pPr>
        <w:pStyle w:val="Subsection"/>
        <w:keepNext/>
        <w:spacing w:before="180"/>
        <w:rPr>
          <w:snapToGrid w:val="0"/>
        </w:rPr>
      </w:pPr>
      <w:r>
        <w:rPr>
          <w:snapToGrid w:val="0"/>
        </w:rPr>
        <w:tab/>
        <w:t>(1)</w:t>
      </w:r>
      <w:r>
        <w:rPr>
          <w:snapToGrid w:val="0"/>
        </w:rPr>
        <w:tab/>
        <w:t>An application may be made under this Division to the State Administrative Tribunal for a review of — </w:t>
      </w:r>
    </w:p>
    <w:p>
      <w:pPr>
        <w:pStyle w:val="Indenta"/>
        <w:spacing w:before="100"/>
      </w:pPr>
      <w:r>
        <w:tab/>
        <w:t>(a)</w:t>
      </w:r>
      <w:r>
        <w:tab/>
        <w:t>the decision made by a local government — </w:t>
      </w:r>
    </w:p>
    <w:p>
      <w:pPr>
        <w:pStyle w:val="Indenti"/>
        <w:spacing w:before="100"/>
        <w:rPr>
          <w:snapToGrid w:val="0"/>
        </w:rPr>
      </w:pPr>
      <w:r>
        <w:rPr>
          <w:snapToGrid w:val="0"/>
        </w:rPr>
        <w:tab/>
        <w:t>(i)</w:t>
      </w:r>
      <w:r>
        <w:rPr>
          <w:snapToGrid w:val="0"/>
        </w:rPr>
        <w:tab/>
        <w:t xml:space="preserve">where an objection as to </w:t>
      </w:r>
      <w:r>
        <w:t>a declaration</w:t>
      </w:r>
      <w:r>
        <w:rPr>
          <w:snapToGrid w:val="0"/>
        </w:rPr>
        <w:t xml:space="preserve"> is lodged with the local government under section 33F(2)(b)(i), or an objection is lodged under section 33G(2)(d)(i) to a proposal to destroy a dog, is dismissed; or</w:t>
      </w:r>
    </w:p>
    <w:p>
      <w:pPr>
        <w:pStyle w:val="Indenti"/>
        <w:spacing w:before="100"/>
        <w:rPr>
          <w:snapToGrid w:val="0"/>
        </w:rPr>
      </w:pPr>
      <w:r>
        <w:rPr>
          <w:snapToGrid w:val="0"/>
        </w:rPr>
        <w:tab/>
        <w:t>(ii)</w:t>
      </w:r>
      <w:r>
        <w:rPr>
          <w:snapToGrid w:val="0"/>
        </w:rPr>
        <w:tab/>
        <w:t>where an application lodged under section 33H(1) to revoke any notice is dismissed;</w:t>
      </w:r>
    </w:p>
    <w:p>
      <w:pPr>
        <w:pStyle w:val="Indenta"/>
        <w:spacing w:before="100"/>
      </w:pPr>
      <w:r>
        <w:tab/>
      </w:r>
      <w:r>
        <w:tab/>
        <w:t>or</w:t>
      </w:r>
    </w:p>
    <w:p>
      <w:pPr>
        <w:pStyle w:val="Indenta"/>
        <w:spacing w:before="100"/>
      </w:pPr>
      <w:r>
        <w:tab/>
        <w:t>(b)</w:t>
      </w:r>
      <w:r>
        <w:tab/>
        <w:t>the declaration under section 33E of a dog as a dangerous dog (declared), where no objection is lodged with the local government, where the owner elects to proceed under section 33F(2)(b)(ii) directly; or</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keepNext/>
      </w:pPr>
      <w:r>
        <w:lastRenderedPageBreak/>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No. 24 of 1996 s. 10; amended: No. 10 of 1998 s. 29(1); No. 55 of 2004 s. 263; No. 18 of 2013 s. 39.] </w:t>
      </w:r>
    </w:p>
    <w:p>
      <w:pPr>
        <w:pStyle w:val="Heading5"/>
        <w:rPr>
          <w:snapToGrid w:val="0"/>
        </w:rPr>
      </w:pPr>
      <w:bookmarkStart w:id="118" w:name="_Toc183507344"/>
      <w:r>
        <w:rPr>
          <w:rStyle w:val="CharSectno"/>
        </w:rPr>
        <w:t>33J</w:t>
      </w:r>
      <w:r>
        <w:rPr>
          <w:snapToGrid w:val="0"/>
        </w:rPr>
        <w:t>.</w:t>
      </w:r>
      <w:r>
        <w:rPr>
          <w:snapToGrid w:val="0"/>
        </w:rPr>
        <w:tab/>
        <w:t>Duration of declaration</w:t>
      </w:r>
      <w:bookmarkEnd w:id="118"/>
    </w:p>
    <w:p>
      <w:pPr>
        <w:pStyle w:val="Subsection"/>
        <w:rPr>
          <w:snapToGrid w:val="0"/>
        </w:rPr>
      </w:pPr>
      <w:r>
        <w:rPr>
          <w:snapToGrid w:val="0"/>
        </w:rPr>
        <w:tab/>
      </w:r>
      <w:r>
        <w:rPr>
          <w:snapToGrid w:val="0"/>
        </w:rPr>
        <w:tab/>
      </w:r>
      <w:r>
        <w:t xml:space="preserve">A notice declaring a dog to be a dangerous dog (declared) </w:t>
      </w:r>
      <w:r>
        <w:rPr>
          <w:snapToGrid w:val="0"/>
        </w:rPr>
        <w:t>has effect until — </w:t>
      </w:r>
    </w:p>
    <w:p>
      <w:pPr>
        <w:pStyle w:val="Indenta"/>
      </w:pPr>
      <w:r>
        <w:tab/>
        <w:t>(a)</w:t>
      </w:r>
      <w:r>
        <w:tab/>
        <w:t>the dog dies; or</w:t>
      </w:r>
    </w:p>
    <w:p>
      <w:pPr>
        <w:pStyle w:val="Indenta"/>
      </w:pPr>
      <w:r>
        <w:tab/>
        <w:t>(b)</w:t>
      </w:r>
      <w:r>
        <w:tab/>
        <w:t>the notice is revoked by the local government; or</w:t>
      </w:r>
    </w:p>
    <w:p>
      <w:pPr>
        <w:pStyle w:val="Indenta"/>
      </w:pPr>
      <w:r>
        <w:tab/>
        <w:t>(c)</w:t>
      </w:r>
      <w:r>
        <w:tab/>
        <w:t>the decision pursuant to which the notice was given is quashed by the State Administrative Tribunal,</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No. 24 of 1996 s. 10; amended: No. 10 of 1998 s. 29(1); No. 55 of 2004 s. 264; No. 8 of 2009 s. 47(3); No. 18 of 2013 s. 40.] </w:t>
      </w:r>
    </w:p>
    <w:p>
      <w:pPr>
        <w:pStyle w:val="Heading5"/>
        <w:rPr>
          <w:snapToGrid w:val="0"/>
        </w:rPr>
      </w:pPr>
      <w:bookmarkStart w:id="119" w:name="_Toc183507345"/>
      <w:r>
        <w:rPr>
          <w:rStyle w:val="CharSectno"/>
        </w:rPr>
        <w:t>33K</w:t>
      </w:r>
      <w:r>
        <w:rPr>
          <w:snapToGrid w:val="0"/>
        </w:rPr>
        <w:t>.</w:t>
      </w:r>
      <w:r>
        <w:rPr>
          <w:snapToGrid w:val="0"/>
        </w:rPr>
        <w:tab/>
        <w:t>Duty to notify persons</w:t>
      </w:r>
      <w:bookmarkEnd w:id="119"/>
      <w:r>
        <w:rPr>
          <w:snapToGrid w:val="0"/>
        </w:rPr>
        <w:t xml:space="preserve"> </w:t>
      </w:r>
    </w:p>
    <w:p>
      <w:pPr>
        <w:pStyle w:val="Subsection"/>
      </w:pPr>
      <w:r>
        <w:tab/>
        <w:t>(1)</w:t>
      </w:r>
      <w:r>
        <w:tab/>
        <w:t>The owner of a dangerous dog must ensure that every person liable for the control of the dog is aware of the person’s responsibilities under this Division.</w:t>
      </w:r>
    </w:p>
    <w:p>
      <w:pPr>
        <w:pStyle w:val="Penstart"/>
      </w:pPr>
      <w:r>
        <w:tab/>
        <w:t>Penalty: a fine of $10 000, but the minimum penalty is a fine of $500.</w:t>
      </w:r>
    </w:p>
    <w:p>
      <w:pPr>
        <w:pStyle w:val="Subsection"/>
        <w:rPr>
          <w:snapToGrid w:val="0"/>
        </w:rPr>
      </w:pPr>
      <w:r>
        <w:rPr>
          <w:snapToGrid w:val="0"/>
        </w:rPr>
        <w:lastRenderedPageBreak/>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 or</w:t>
      </w:r>
    </w:p>
    <w:p>
      <w:pPr>
        <w:pStyle w:val="Indenta"/>
      </w:pPr>
      <w:r>
        <w:tab/>
        <w:t>(b)</w:t>
      </w:r>
      <w:r>
        <w:tab/>
        <w:t>if the dog is missing, giving particulars of where it was last known to be located; or</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rPr>
          <w:snapToGrid w:val="0"/>
        </w:rPr>
      </w:pPr>
      <w:r>
        <w:rPr>
          <w:snapToGrid w:val="0"/>
        </w:rPr>
        <w:tab/>
        <w:t>(3)</w:t>
      </w:r>
      <w:r>
        <w:rPr>
          <w:snapToGrid w:val="0"/>
        </w:rPr>
        <w:tab/>
        <w:t xml:space="preserve">Where a person liable for the control of a dangerous dog intends ordinarily to keep the dog in the district of a local government that is not the local government </w:t>
      </w:r>
      <w:r>
        <w:t xml:space="preserve">with which the dog is registered, </w:t>
      </w:r>
      <w:r>
        <w:rPr>
          <w:snapToGrid w:val="0"/>
        </w:rPr>
        <w:t>the person must notify the local government of the district in which the dog is to be kept within 24 hours of the dog commencing to be kept there.</w:t>
      </w:r>
    </w:p>
    <w:p>
      <w:pPr>
        <w:pStyle w:val="Penstart"/>
      </w:pPr>
      <w:r>
        <w:tab/>
        <w:t>Penalty: a fine of $10 000, but the minimum penalty is a fine of $500.</w:t>
      </w:r>
    </w:p>
    <w:p>
      <w:pPr>
        <w:pStyle w:val="Subsection"/>
      </w:pPr>
      <w:r>
        <w:tab/>
        <w:t>(4)</w:t>
      </w:r>
      <w:r>
        <w:tab/>
      </w:r>
      <w:r>
        <w:rPr>
          <w:snapToGrid w:val="0"/>
        </w:rPr>
        <w:t>On</w:t>
      </w:r>
      <w:r>
        <w:t xml:space="preserve"> or before the change of ownership of a dangerous dog (declared), the person transferring ownership must give to the person to whom ownership is to be transferred — </w:t>
      </w:r>
    </w:p>
    <w:p>
      <w:pPr>
        <w:pStyle w:val="Indenta"/>
      </w:pPr>
      <w:r>
        <w:tab/>
        <w:t>(a)</w:t>
      </w:r>
      <w:r>
        <w:tab/>
        <w:t>written notice that the dog is a dangerous dog for the purposes of this Act; and</w:t>
      </w:r>
    </w:p>
    <w:p>
      <w:pPr>
        <w:pStyle w:val="Indenta"/>
        <w:keepLines/>
      </w:pPr>
      <w:r>
        <w:lastRenderedPageBreak/>
        <w:tab/>
        <w:t>(b)</w:t>
      </w:r>
      <w:r>
        <w:tab/>
        <w:t>a copy of the notice given under section 33F(1).</w:t>
      </w:r>
    </w:p>
    <w:p>
      <w:pPr>
        <w:pStyle w:val="Penstart"/>
        <w:keepLines/>
      </w:pPr>
      <w:r>
        <w:tab/>
        <w:t>Penalty: a fine of $10 000, but the minimum penalty is a fine of $500.</w:t>
      </w:r>
    </w:p>
    <w:p>
      <w:pPr>
        <w:pStyle w:val="Subsection"/>
      </w:pPr>
      <w:r>
        <w:tab/>
        <w:t>(5A)</w:t>
      </w:r>
      <w:r>
        <w:tab/>
      </w:r>
      <w:r>
        <w:rPr>
          <w:snapToGrid w:val="0"/>
        </w:rPr>
        <w:t>On</w:t>
      </w:r>
      <w:r>
        <w:t xml:space="preserve"> or before the change of ownership of a dangerous dog (restricted breed) or a commercial security dog, the person transferring ownership must give, to the person to whom ownership is to be transferred, written notice that the dog is a dangerous dog for the purposes of this Act.</w:t>
      </w:r>
    </w:p>
    <w:p>
      <w:pPr>
        <w:pStyle w:val="Penstart"/>
      </w:pPr>
      <w:r>
        <w:tab/>
        <w:t>Penalty: a fine of $10 000, but the minimum penalty is a fine of $500.</w:t>
      </w:r>
    </w:p>
    <w:p>
      <w:pPr>
        <w:pStyle w:val="Subsection"/>
        <w:keepNext/>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Penstart"/>
      </w:pPr>
      <w:r>
        <w:tab/>
        <w:t>Penalty: a fine of $5 000.</w:t>
      </w:r>
    </w:p>
    <w:p>
      <w:pPr>
        <w:pStyle w:val="Footnotesection"/>
        <w:ind w:left="890" w:hanging="890"/>
      </w:pPr>
      <w:r>
        <w:tab/>
        <w:t xml:space="preserve">[Section 33K inserted: No. 24 of 1996 s. 10; amended: No. 10 of 1998 s. 29(1); No. 18 of 2013 s. 41.] </w:t>
      </w:r>
    </w:p>
    <w:p>
      <w:pPr>
        <w:pStyle w:val="Heading5"/>
        <w:spacing w:before="240"/>
      </w:pPr>
      <w:bookmarkStart w:id="120" w:name="_Toc183507346"/>
      <w:r>
        <w:rPr>
          <w:rStyle w:val="CharSectno"/>
        </w:rPr>
        <w:t>33L</w:t>
      </w:r>
      <w:r>
        <w:t>.</w:t>
      </w:r>
      <w:r>
        <w:tab/>
        <w:t>Defences applicable to this Division</w:t>
      </w:r>
      <w:bookmarkEnd w:id="120"/>
    </w:p>
    <w:p>
      <w:pPr>
        <w:pStyle w:val="Subsection"/>
      </w:pPr>
      <w:r>
        <w:tab/>
      </w:r>
      <w:r>
        <w:tab/>
        <w:t xml:space="preserve">It is a defence to a charge of an offence under this Division if the person charged satisfies the court — </w:t>
      </w:r>
    </w:p>
    <w:p>
      <w:pPr>
        <w:pStyle w:val="Indenta"/>
      </w:pPr>
      <w:r>
        <w:tab/>
        <w:t>(a)</w:t>
      </w:r>
      <w:r>
        <w:tab/>
        <w:t>in the case of any person (including a person referred to in paragraph (b), (c) or (d)), that the person took all reasonable precautions and exercised all due diligence to avoid the contravention; or</w:t>
      </w:r>
    </w:p>
    <w:p>
      <w:pPr>
        <w:pStyle w:val="Indenta"/>
      </w:pPr>
      <w:r>
        <w:tab/>
        <w:t>(b)</w:t>
      </w:r>
      <w:r>
        <w:tab/>
        <w:t>in the case of any person other than the owner of the dog to which the charge relates, that the person did not know and did not have reasonable cause to believe that the dog was a dangerous dog for the purposes of this Act; or</w:t>
      </w:r>
    </w:p>
    <w:p>
      <w:pPr>
        <w:pStyle w:val="Indenta"/>
        <w:keepLines/>
      </w:pPr>
      <w:r>
        <w:lastRenderedPageBreak/>
        <w:tab/>
        <w:t>(c)</w:t>
      </w:r>
      <w:r>
        <w:tab/>
        <w:t>in the case of a person who is the occupier of premises where the dog to which the charge relates is ordinarily kept or ordinarily permitted to live, that at the material time the dog was owned by another person who had reached 18 years of age, and who is identified by the person charged; or</w:t>
      </w:r>
    </w:p>
    <w:p>
      <w:pPr>
        <w:pStyle w:val="Indenta"/>
      </w:pPr>
      <w:r>
        <w:tab/>
        <w:t>(d)</w:t>
      </w:r>
      <w:r>
        <w:tab/>
        <w:t xml:space="preserve">in the case of a person who is the owner of the dog to which the charge relates (the </w:t>
      </w:r>
      <w:r>
        <w:rPr>
          <w:rStyle w:val="CharDefText"/>
        </w:rPr>
        <w:t>owner</w:t>
      </w:r>
      <w:r>
        <w:t>), that at the material time the dog was in the possession or control of another person without the owner’s consent, express or implied.</w:t>
      </w:r>
    </w:p>
    <w:p>
      <w:pPr>
        <w:pStyle w:val="Footnotesection"/>
        <w:ind w:left="890" w:hanging="890"/>
      </w:pPr>
      <w:r>
        <w:tab/>
        <w:t xml:space="preserve">[Section 33L inserted: No. 18 of 2013 s. 42.] </w:t>
      </w:r>
    </w:p>
    <w:p>
      <w:pPr>
        <w:pStyle w:val="Heading5"/>
        <w:spacing w:before="240"/>
        <w:rPr>
          <w:snapToGrid w:val="0"/>
        </w:rPr>
      </w:pPr>
      <w:bookmarkStart w:id="121" w:name="_Toc183507347"/>
      <w:r>
        <w:rPr>
          <w:rStyle w:val="CharSectno"/>
        </w:rPr>
        <w:t>33M</w:t>
      </w:r>
      <w:r>
        <w:rPr>
          <w:snapToGrid w:val="0"/>
        </w:rPr>
        <w:t>.</w:t>
      </w:r>
      <w:r>
        <w:rPr>
          <w:snapToGrid w:val="0"/>
        </w:rPr>
        <w:tab/>
        <w:t>Local government expenses to be recoverable</w:t>
      </w:r>
      <w:bookmarkEnd w:id="121"/>
      <w:r>
        <w:rPr>
          <w:snapToGrid w:val="0"/>
        </w:rPr>
        <w:t xml:space="preserve"> </w:t>
      </w:r>
    </w:p>
    <w:p>
      <w:pPr>
        <w:pStyle w:val="Subsection"/>
        <w:rPr>
          <w:snapToGrid w:val="0"/>
        </w:rPr>
      </w:pPr>
      <w:r>
        <w:rPr>
          <w:snapToGrid w:val="0"/>
        </w:rPr>
        <w:tab/>
        <w:t>(1)</w:t>
      </w:r>
      <w:r>
        <w:rPr>
          <w:snapToGrid w:val="0"/>
        </w:rPr>
        <w:tab/>
        <w:t xml:space="preserve">Where a dog is declared to be a </w:t>
      </w:r>
      <w:r>
        <w:t xml:space="preserve">dangerous dog (declared), </w:t>
      </w:r>
      <w:r>
        <w:rPr>
          <w:snapToGrid w:val="0"/>
        </w:rPr>
        <w:t>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and the manner and place in which it is from time to time kept;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keepNext/>
        <w:rPr>
          <w:snapToGrid w:val="0"/>
        </w:rPr>
      </w:pPr>
      <w:r>
        <w:rPr>
          <w:snapToGrid w:val="0"/>
        </w:rPr>
        <w:lastRenderedPageBreak/>
        <w:tab/>
        <w:t>(2)</w:t>
      </w:r>
      <w:r>
        <w:rPr>
          <w:snapToGrid w:val="0"/>
        </w:rPr>
        <w:tab/>
        <w:t>Where the amount of any charge due under subsection (1) in relation to a dog is not paid — </w:t>
      </w:r>
    </w:p>
    <w:p>
      <w:pPr>
        <w:pStyle w:val="Indenta"/>
        <w:spacing w:before="120"/>
      </w:pPr>
      <w:r>
        <w:tab/>
        <w:t>(a)</w:t>
      </w:r>
      <w:r>
        <w:tab/>
        <w:t>the dog is liable to be seized, detained and disposed of under section 29; and</w:t>
      </w:r>
    </w:p>
    <w:p>
      <w:pPr>
        <w:pStyle w:val="Indenta"/>
        <w:spacing w:before="120"/>
      </w:pPr>
      <w:r>
        <w:tab/>
        <w:t>(b)</w:t>
      </w:r>
      <w:r>
        <w:tab/>
        <w:t>whether or not the dog is seized, section 29(5) applies in respect to such money.</w:t>
      </w:r>
    </w:p>
    <w:p>
      <w:pPr>
        <w:pStyle w:val="Footnotesection"/>
        <w:ind w:left="890" w:hanging="890"/>
      </w:pPr>
      <w:r>
        <w:tab/>
        <w:t xml:space="preserve">[Section 33M inserted: No. 24 of 1996 s. 10; amended: No. 10 of 1998 s. 29(1); No. 18 of 2013 s. 43.] </w:t>
      </w:r>
    </w:p>
    <w:p>
      <w:pPr>
        <w:pStyle w:val="Heading3"/>
        <w:widowControl w:val="0"/>
        <w:rPr>
          <w:snapToGrid w:val="0"/>
          <w:sz w:val="24"/>
        </w:rPr>
      </w:pPr>
      <w:bookmarkStart w:id="122" w:name="_Toc183090421"/>
      <w:bookmarkStart w:id="123" w:name="_Toc183182263"/>
      <w:bookmarkStart w:id="124" w:name="_Toc183419384"/>
      <w:bookmarkStart w:id="125" w:name="_Toc183423448"/>
      <w:bookmarkStart w:id="126" w:name="_Toc183507348"/>
      <w:r>
        <w:rPr>
          <w:rStyle w:val="CharDivNo"/>
        </w:rPr>
        <w:t>Division 3</w:t>
      </w:r>
      <w:r>
        <w:rPr>
          <w:snapToGrid w:val="0"/>
        </w:rPr>
        <w:t> — </w:t>
      </w:r>
      <w:r>
        <w:rPr>
          <w:rStyle w:val="CharDivText"/>
        </w:rPr>
        <w:t>Protection of stock; vermin disease and parasite control</w:t>
      </w:r>
      <w:bookmarkEnd w:id="122"/>
      <w:bookmarkEnd w:id="123"/>
      <w:bookmarkEnd w:id="124"/>
      <w:bookmarkEnd w:id="125"/>
      <w:bookmarkEnd w:id="126"/>
      <w:r>
        <w:rPr>
          <w:rStyle w:val="CharDivText"/>
        </w:rPr>
        <w:t xml:space="preserve"> </w:t>
      </w:r>
    </w:p>
    <w:p>
      <w:pPr>
        <w:pStyle w:val="Footnoteheading"/>
        <w:keepNext/>
        <w:ind w:left="890"/>
        <w:rPr>
          <w:snapToGrid w:val="0"/>
        </w:rPr>
      </w:pPr>
      <w:r>
        <w:rPr>
          <w:snapToGrid w:val="0"/>
        </w:rPr>
        <w:tab/>
        <w:t xml:space="preserve">[Heading inserted: No. 24 of 1996 s. 11.] </w:t>
      </w:r>
    </w:p>
    <w:p>
      <w:pPr>
        <w:pStyle w:val="Heading5"/>
        <w:spacing w:before="240"/>
        <w:rPr>
          <w:snapToGrid w:val="0"/>
        </w:rPr>
      </w:pPr>
      <w:bookmarkStart w:id="127" w:name="_Toc183507349"/>
      <w:r>
        <w:rPr>
          <w:rStyle w:val="CharSectno"/>
        </w:rPr>
        <w:t>34</w:t>
      </w:r>
      <w:r>
        <w:rPr>
          <w:snapToGrid w:val="0"/>
        </w:rPr>
        <w:t>.</w:t>
      </w:r>
      <w:r>
        <w:rPr>
          <w:snapToGrid w:val="0"/>
        </w:rPr>
        <w:tab/>
        <w:t>Protection of livestock</w:t>
      </w:r>
      <w:bookmarkEnd w:id="127"/>
      <w:r>
        <w:rPr>
          <w:snapToGrid w:val="0"/>
        </w:rPr>
        <w:t xml:space="preserve"> </w:t>
      </w:r>
    </w:p>
    <w:p>
      <w:pPr>
        <w:pStyle w:val="Subsection"/>
        <w:keepNext/>
        <w:spacing w:before="180"/>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spacing w:before="180"/>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spacing w:before="180"/>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w:t>
      </w:r>
      <w:r>
        <w:rPr>
          <w:snapToGrid w:val="0"/>
        </w:rPr>
        <w:lastRenderedPageBreak/>
        <w:t xml:space="preserve">possession or under his control for the purposes of the definition of </w:t>
      </w:r>
      <w:r>
        <w:rPr>
          <w:b/>
          <w:i/>
          <w:snapToGrid w:val="0"/>
        </w:rPr>
        <w:t>person liable for the control of the dog</w:t>
      </w:r>
      <w:r>
        <w:rPr>
          <w:snapToGrid w:val="0"/>
        </w:rPr>
        <w:t xml:space="preserve"> in section 3.</w:t>
      </w:r>
    </w:p>
    <w:p>
      <w:pPr>
        <w:pStyle w:val="Subsection"/>
        <w:spacing w:before="180"/>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 of any road, reserve or public place; and</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Subsection"/>
        <w:rPr>
          <w:snapToGrid w:val="0"/>
        </w:rPr>
      </w:pPr>
      <w:r>
        <w:tab/>
      </w:r>
      <w:r>
        <w:tab/>
        <w:t>Penalty for this subsection: a fine of</w:t>
      </w:r>
      <w:r>
        <w:rPr>
          <w:snapToGrid w:val="0"/>
        </w:rPr>
        <w:t xml:space="preserve"> $1 000.</w:t>
      </w:r>
    </w:p>
    <w:p>
      <w:pPr>
        <w:pStyle w:val="Footnotesection"/>
        <w:ind w:left="890" w:hanging="890"/>
      </w:pPr>
      <w:r>
        <w:tab/>
        <w:t xml:space="preserve">[Section 34 amended: No. 23 of 1987 s. 28; No. 24 of 1996 s. 16; No. 18 of 2013 s. 44; No. 29 of 2021 s. 31.] </w:t>
      </w:r>
    </w:p>
    <w:p>
      <w:pPr>
        <w:pStyle w:val="Heading5"/>
        <w:spacing w:before="240"/>
        <w:rPr>
          <w:snapToGrid w:val="0"/>
        </w:rPr>
      </w:pPr>
      <w:bookmarkStart w:id="128" w:name="_Toc183507350"/>
      <w:r>
        <w:rPr>
          <w:rStyle w:val="CharSectno"/>
        </w:rPr>
        <w:t>35</w:t>
      </w:r>
      <w:r>
        <w:rPr>
          <w:snapToGrid w:val="0"/>
        </w:rPr>
        <w:t>.</w:t>
      </w:r>
      <w:r>
        <w:rPr>
          <w:snapToGrid w:val="0"/>
        </w:rPr>
        <w:tab/>
        <w:t>Destruction of vermin etc.</w:t>
      </w:r>
      <w:bookmarkEnd w:id="128"/>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Ednotesection"/>
        <w:spacing w:before="120"/>
        <w:ind w:left="890" w:hanging="890"/>
      </w:pPr>
      <w:r>
        <w:lastRenderedPageBreak/>
        <w:t>[</w:t>
      </w:r>
      <w:r>
        <w:rPr>
          <w:b/>
        </w:rPr>
        <w:t>36.</w:t>
      </w:r>
      <w:r>
        <w:tab/>
        <w:t>Deleted: No. 18 of 2013 s. 45.]</w:t>
      </w:r>
    </w:p>
    <w:p>
      <w:pPr>
        <w:pStyle w:val="Ednotesection"/>
        <w:spacing w:before="240"/>
        <w:ind w:left="890" w:hanging="890"/>
      </w:pPr>
      <w:r>
        <w:t>[</w:t>
      </w:r>
      <w:r>
        <w:rPr>
          <w:b/>
        </w:rPr>
        <w:t>37.</w:t>
      </w:r>
      <w:r>
        <w:rPr>
          <w:b/>
        </w:rPr>
        <w:tab/>
      </w:r>
      <w:r>
        <w:t xml:space="preserve">Deleted: No. 23 of 1987 s. 30.] </w:t>
      </w:r>
    </w:p>
    <w:p>
      <w:pPr>
        <w:pStyle w:val="Heading3"/>
        <w:keepLines/>
        <w:rPr>
          <w:snapToGrid w:val="0"/>
        </w:rPr>
      </w:pPr>
      <w:bookmarkStart w:id="129" w:name="_Toc183090424"/>
      <w:bookmarkStart w:id="130" w:name="_Toc183182266"/>
      <w:bookmarkStart w:id="131" w:name="_Toc183419387"/>
      <w:bookmarkStart w:id="132" w:name="_Toc183423451"/>
      <w:bookmarkStart w:id="133" w:name="_Toc183507351"/>
      <w:r>
        <w:rPr>
          <w:rStyle w:val="CharDivNo"/>
        </w:rPr>
        <w:t>Division 4</w:t>
      </w:r>
      <w:r>
        <w:rPr>
          <w:snapToGrid w:val="0"/>
        </w:rPr>
        <w:t> — </w:t>
      </w:r>
      <w:r>
        <w:rPr>
          <w:rStyle w:val="CharDivText"/>
        </w:rPr>
        <w:t>Control of nuisance</w:t>
      </w:r>
      <w:bookmarkEnd w:id="129"/>
      <w:bookmarkEnd w:id="130"/>
      <w:bookmarkEnd w:id="131"/>
      <w:bookmarkEnd w:id="132"/>
      <w:bookmarkEnd w:id="133"/>
      <w:r>
        <w:rPr>
          <w:rStyle w:val="CharDivText"/>
        </w:rPr>
        <w:t xml:space="preserve"> </w:t>
      </w:r>
    </w:p>
    <w:p>
      <w:pPr>
        <w:pStyle w:val="Footnoteheading"/>
        <w:keepNext/>
        <w:keepLines/>
        <w:ind w:left="890"/>
        <w:rPr>
          <w:snapToGrid w:val="0"/>
        </w:rPr>
      </w:pPr>
      <w:r>
        <w:rPr>
          <w:snapToGrid w:val="0"/>
        </w:rPr>
        <w:tab/>
        <w:t xml:space="preserve">[Heading inserted: No. 24 of 1996 s. 11.] </w:t>
      </w:r>
    </w:p>
    <w:p>
      <w:pPr>
        <w:pStyle w:val="Heading5"/>
      </w:pPr>
      <w:bookmarkStart w:id="134" w:name="_Toc183507352"/>
      <w:r>
        <w:rPr>
          <w:rStyle w:val="CharSectno"/>
        </w:rPr>
        <w:t>38</w:t>
      </w:r>
      <w:r>
        <w:t>.</w:t>
      </w:r>
      <w:r>
        <w:tab/>
        <w:t>Nuisance dogs</w:t>
      </w:r>
      <w:bookmarkEnd w:id="134"/>
    </w:p>
    <w:p>
      <w:pPr>
        <w:pStyle w:val="Subsection"/>
        <w:keepNext/>
        <w:keepLines/>
      </w:pPr>
      <w:r>
        <w:tab/>
        <w:t>(1)</w:t>
      </w:r>
      <w:r>
        <w:tab/>
        <w:t xml:space="preserve">For the purposes of this section, a dog is a nuisance if the dog — </w:t>
      </w:r>
    </w:p>
    <w:p>
      <w:pPr>
        <w:pStyle w:val="Indenta"/>
        <w:keepNext/>
        <w:keepLines/>
      </w:pPr>
      <w:r>
        <w:tab/>
        <w:t>(a)</w:t>
      </w:r>
      <w:r>
        <w:tab/>
        <w:t>makes a noise, by barking or otherwise, that persistently occurs or continues to such a degree or extent that it unreasonably interferes with the peace, comfort or convenience of any person in any place; or</w:t>
      </w:r>
    </w:p>
    <w:p>
      <w:pPr>
        <w:pStyle w:val="Indenta"/>
        <w:keepNext/>
        <w:keepLines/>
      </w:pPr>
      <w:r>
        <w:tab/>
        <w:t>(b)</w:t>
      </w:r>
      <w:r>
        <w:tab/>
        <w:t>is shown to be allowed to behave consistently in a manner contrary to the general interest of the community; or</w:t>
      </w:r>
    </w:p>
    <w:p>
      <w:pPr>
        <w:pStyle w:val="Indenta"/>
      </w:pPr>
      <w:r>
        <w:tab/>
        <w:t>(c)</w:t>
      </w:r>
      <w:r>
        <w:tab/>
        <w:t xml:space="preserve">makes a noise, by barking or otherwise, that exceeds — </w:t>
      </w:r>
    </w:p>
    <w:p>
      <w:pPr>
        <w:pStyle w:val="Indenti"/>
      </w:pPr>
      <w:r>
        <w:tab/>
        <w:t>(i)</w:t>
      </w:r>
      <w:r>
        <w:tab/>
        <w:t>a prescribed noise level measured by a prescribed method over a prescribed period of time; or</w:t>
      </w:r>
    </w:p>
    <w:p>
      <w:pPr>
        <w:pStyle w:val="Indenti"/>
      </w:pPr>
      <w:r>
        <w:tab/>
        <w:t>(ii)</w:t>
      </w:r>
      <w:r>
        <w:tab/>
        <w:t>a prescribed number of times of occurrence during or over a prescribed period of time.</w:t>
      </w:r>
    </w:p>
    <w:p>
      <w:pPr>
        <w:pStyle w:val="Subsection"/>
      </w:pPr>
      <w:r>
        <w:tab/>
        <w:t>(2)</w:t>
      </w:r>
      <w:r>
        <w:tab/>
        <w:t>A person may lodge a complaint in a prescribed form with an authorised person, alleging that a dog is a nuisance.</w:t>
      </w:r>
    </w:p>
    <w:p>
      <w:pPr>
        <w:pStyle w:val="Subsection"/>
      </w:pPr>
      <w:r>
        <w:tab/>
        <w:t>(3)</w:t>
      </w:r>
      <w:r>
        <w:tab/>
        <w:t>If an authorised person is satisfied that a dog is a nuisance as alleged in a complaint, the authorised person may issue an order to a person liable for the control of the dog requiring that person to prevent the behaviour that is alleged to constitute the nuisance by a time specified in the order.</w:t>
      </w:r>
    </w:p>
    <w:p>
      <w:pPr>
        <w:pStyle w:val="Subsection"/>
      </w:pPr>
      <w:r>
        <w:tab/>
        <w:t>(4)</w:t>
      </w:r>
      <w:r>
        <w:tab/>
        <w:t>An order has effect for 6 months after the day on which it is issued.</w:t>
      </w:r>
    </w:p>
    <w:p>
      <w:pPr>
        <w:pStyle w:val="Subsection"/>
        <w:keepNext/>
      </w:pPr>
      <w:r>
        <w:lastRenderedPageBreak/>
        <w:tab/>
        <w:t>(5)</w:t>
      </w:r>
      <w:r>
        <w:tab/>
        <w:t>A person to whom an order is issued must comply with the order during the period in which it has effect.</w:t>
      </w:r>
    </w:p>
    <w:p>
      <w:pPr>
        <w:pStyle w:val="Penstart"/>
        <w:keepNext/>
      </w:pPr>
      <w:r>
        <w:tab/>
        <w:t>Penalty:</w:t>
      </w:r>
    </w:p>
    <w:p>
      <w:pPr>
        <w:pStyle w:val="Penpara"/>
        <w:keepNext/>
      </w:pPr>
      <w:r>
        <w:tab/>
        <w:t>(a)</w:t>
      </w:r>
      <w:r>
        <w:tab/>
        <w:t xml:space="preserve">for an offence relating to a dangerous dog — </w:t>
      </w:r>
    </w:p>
    <w:p>
      <w:pPr>
        <w:pStyle w:val="Pensubpara"/>
        <w:keepNext/>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pPr>
      <w:r>
        <w:tab/>
        <w:t>(6)</w:t>
      </w:r>
      <w:r>
        <w:tab/>
        <w:t>This section does not apply to a dog while that dog is kept at an establishment licensed as an approved kennel establishment under section 27.</w:t>
      </w:r>
    </w:p>
    <w:p>
      <w:pPr>
        <w:pStyle w:val="Footnotesection"/>
      </w:pPr>
      <w:r>
        <w:tab/>
        <w:t xml:space="preserve">[Section 38 inserted: No. 18 of 2013 s. 46.] </w:t>
      </w:r>
    </w:p>
    <w:p>
      <w:pPr>
        <w:pStyle w:val="Heading2"/>
      </w:pPr>
      <w:bookmarkStart w:id="135" w:name="_Toc91144605"/>
      <w:bookmarkStart w:id="136" w:name="_Toc91144756"/>
      <w:bookmarkStart w:id="137" w:name="_Toc91145136"/>
      <w:bookmarkStart w:id="138" w:name="_Toc183182268"/>
      <w:bookmarkStart w:id="139" w:name="_Toc183419389"/>
      <w:bookmarkStart w:id="140" w:name="_Toc183423453"/>
      <w:bookmarkStart w:id="141" w:name="_Toc183507353"/>
      <w:bookmarkStart w:id="142" w:name="_Toc183090426"/>
      <w:r>
        <w:rPr>
          <w:rStyle w:val="CharPartNo"/>
        </w:rPr>
        <w:lastRenderedPageBreak/>
        <w:t>Part VIA</w:t>
      </w:r>
      <w:r>
        <w:t> —</w:t>
      </w:r>
      <w:r>
        <w:rPr>
          <w:rStyle w:val="CharPartText"/>
        </w:rPr>
        <w:t> Pet shops and supply of dogs to relevant pet shop businesses</w:t>
      </w:r>
      <w:bookmarkEnd w:id="135"/>
      <w:bookmarkEnd w:id="136"/>
      <w:bookmarkEnd w:id="137"/>
      <w:bookmarkEnd w:id="138"/>
      <w:bookmarkEnd w:id="139"/>
      <w:bookmarkEnd w:id="140"/>
      <w:bookmarkEnd w:id="141"/>
    </w:p>
    <w:p>
      <w:pPr>
        <w:pStyle w:val="Footnoteheading"/>
      </w:pPr>
      <w:r>
        <w:tab/>
        <w:t>[Heading inserted: No. 29 of 2021 s. 32.]</w:t>
      </w:r>
    </w:p>
    <w:p>
      <w:pPr>
        <w:pStyle w:val="Heading3"/>
      </w:pPr>
      <w:bookmarkStart w:id="143" w:name="_Toc91144606"/>
      <w:bookmarkStart w:id="144" w:name="_Toc91144757"/>
      <w:bookmarkStart w:id="145" w:name="_Toc91145137"/>
      <w:bookmarkStart w:id="146" w:name="_Toc183182269"/>
      <w:bookmarkStart w:id="147" w:name="_Toc183419390"/>
      <w:bookmarkStart w:id="148" w:name="_Toc183423454"/>
      <w:bookmarkStart w:id="149" w:name="_Toc183507354"/>
      <w:r>
        <w:rPr>
          <w:rStyle w:val="CharDivNo"/>
        </w:rPr>
        <w:t>Division 1</w:t>
      </w:r>
      <w:r>
        <w:t> —</w:t>
      </w:r>
      <w:r>
        <w:rPr>
          <w:rStyle w:val="CharDivText"/>
        </w:rPr>
        <w:t> Preliminary</w:t>
      </w:r>
      <w:bookmarkEnd w:id="143"/>
      <w:bookmarkEnd w:id="144"/>
      <w:bookmarkEnd w:id="145"/>
      <w:bookmarkEnd w:id="146"/>
      <w:bookmarkEnd w:id="147"/>
      <w:bookmarkEnd w:id="148"/>
      <w:bookmarkEnd w:id="149"/>
    </w:p>
    <w:p>
      <w:pPr>
        <w:pStyle w:val="Footnoteheading"/>
      </w:pPr>
      <w:r>
        <w:tab/>
        <w:t>[Heading inserted: No. 29 of 2021 s. 32.]</w:t>
      </w:r>
    </w:p>
    <w:p>
      <w:pPr>
        <w:pStyle w:val="Heading5"/>
      </w:pPr>
      <w:bookmarkStart w:id="150" w:name="_Toc91145138"/>
      <w:bookmarkStart w:id="151" w:name="_Toc183507355"/>
      <w:r>
        <w:rPr>
          <w:rStyle w:val="CharSectno"/>
        </w:rPr>
        <w:t>38A</w:t>
      </w:r>
      <w:r>
        <w:t>.</w:t>
      </w:r>
      <w:r>
        <w:tab/>
        <w:t>Supply of dogs to relevant pet shop businesses</w:t>
      </w:r>
      <w:bookmarkEnd w:id="150"/>
      <w:bookmarkEnd w:id="151"/>
    </w:p>
    <w:p>
      <w:pPr>
        <w:pStyle w:val="Subsection"/>
      </w:pPr>
      <w:r>
        <w:tab/>
      </w:r>
      <w:r>
        <w:tab/>
        <w:t xml:space="preserve">For the purposes of this Part, a person supplies a dog to a relevant pet shop business if — </w:t>
      </w:r>
    </w:p>
    <w:p>
      <w:pPr>
        <w:pStyle w:val="Indenta"/>
      </w:pPr>
      <w:r>
        <w:tab/>
        <w:t>(a)</w:t>
      </w:r>
      <w:r>
        <w:tab/>
        <w:t>the person supplies the dog to the person who conducts the relevant pet shop business, or a person acting on their behalf; and</w:t>
      </w:r>
    </w:p>
    <w:p>
      <w:pPr>
        <w:pStyle w:val="Indenta"/>
      </w:pPr>
      <w:r>
        <w:tab/>
        <w:t>(b)</w:t>
      </w:r>
      <w:r>
        <w:tab/>
        <w:t>the person who conducts the relevant pet shop business, or the person acting on their behalf, is acting for the purposes of the business.</w:t>
      </w:r>
    </w:p>
    <w:p>
      <w:pPr>
        <w:pStyle w:val="Footnotesection"/>
      </w:pPr>
      <w:bookmarkStart w:id="152" w:name="_Toc91144608"/>
      <w:bookmarkStart w:id="153" w:name="_Toc91144759"/>
      <w:bookmarkStart w:id="154" w:name="_Toc91145139"/>
      <w:r>
        <w:tab/>
        <w:t>[Section 38A inserted: No. 29 of 2021 s. 32.]</w:t>
      </w:r>
    </w:p>
    <w:p>
      <w:pPr>
        <w:pStyle w:val="Heading3"/>
      </w:pPr>
      <w:bookmarkStart w:id="155" w:name="_Toc183182271"/>
      <w:bookmarkStart w:id="156" w:name="_Toc183419392"/>
      <w:bookmarkStart w:id="157" w:name="_Toc183423456"/>
      <w:bookmarkStart w:id="158" w:name="_Toc183507356"/>
      <w:r>
        <w:rPr>
          <w:rStyle w:val="CharDivNo"/>
        </w:rPr>
        <w:t>Division 2</w:t>
      </w:r>
      <w:r>
        <w:t> —</w:t>
      </w:r>
      <w:r>
        <w:rPr>
          <w:rStyle w:val="CharDivText"/>
        </w:rPr>
        <w:t> Approval of pet shop for relevant pet shop business</w:t>
      </w:r>
      <w:bookmarkEnd w:id="152"/>
      <w:bookmarkEnd w:id="153"/>
      <w:bookmarkEnd w:id="154"/>
      <w:bookmarkEnd w:id="155"/>
      <w:bookmarkEnd w:id="156"/>
      <w:bookmarkEnd w:id="157"/>
      <w:bookmarkEnd w:id="158"/>
    </w:p>
    <w:p>
      <w:pPr>
        <w:pStyle w:val="Footnoteheading"/>
      </w:pPr>
      <w:bookmarkStart w:id="159" w:name="_Toc91145140"/>
      <w:r>
        <w:tab/>
        <w:t>[Heading inserted: No. 29 of 2021 s. 32.]</w:t>
      </w:r>
    </w:p>
    <w:p>
      <w:pPr>
        <w:pStyle w:val="Heading5"/>
      </w:pPr>
      <w:bookmarkStart w:id="160" w:name="_Toc183507357"/>
      <w:r>
        <w:rPr>
          <w:rStyle w:val="CharSectno"/>
        </w:rPr>
        <w:t>38B</w:t>
      </w:r>
      <w:r>
        <w:t>.</w:t>
      </w:r>
      <w:r>
        <w:tab/>
        <w:t>Pet shop for relevant pet shop business must be approved</w:t>
      </w:r>
      <w:bookmarkEnd w:id="159"/>
      <w:bookmarkEnd w:id="160"/>
    </w:p>
    <w:p>
      <w:pPr>
        <w:pStyle w:val="Subsection"/>
      </w:pPr>
      <w:r>
        <w:tab/>
      </w:r>
      <w:r>
        <w:tab/>
        <w:t xml:space="preserve">A person must not conduct a relevant pet shop business unless the person holds a pet shop approval for the pet shop granted by the local government in whose district the pet shop is located. </w:t>
      </w:r>
    </w:p>
    <w:p>
      <w:pPr>
        <w:pStyle w:val="Penstart"/>
      </w:pPr>
      <w:r>
        <w:tab/>
        <w:t>Penalty: a fine of $10 000.</w:t>
      </w:r>
    </w:p>
    <w:p>
      <w:pPr>
        <w:pStyle w:val="Footnotesection"/>
      </w:pPr>
      <w:bookmarkStart w:id="161" w:name="_Toc91145141"/>
      <w:r>
        <w:tab/>
        <w:t>[Section 38B inserted: No. 29 of 2021 s. 32.]</w:t>
      </w:r>
    </w:p>
    <w:p>
      <w:pPr>
        <w:pStyle w:val="Heading5"/>
      </w:pPr>
      <w:bookmarkStart w:id="162" w:name="_Toc183507358"/>
      <w:r>
        <w:rPr>
          <w:rStyle w:val="CharSectno"/>
        </w:rPr>
        <w:lastRenderedPageBreak/>
        <w:t>38C</w:t>
      </w:r>
      <w:r>
        <w:t>.</w:t>
      </w:r>
      <w:r>
        <w:tab/>
        <w:t>Application for pet shop approval</w:t>
      </w:r>
      <w:bookmarkEnd w:id="161"/>
      <w:bookmarkEnd w:id="162"/>
    </w:p>
    <w:p>
      <w:pPr>
        <w:pStyle w:val="Subsection"/>
      </w:pPr>
      <w:r>
        <w:tab/>
        <w:t>(1)</w:t>
      </w:r>
      <w:r>
        <w:tab/>
        <w:t xml:space="preserve">A person who intends to conduct, or who conducts, a relevant pet shop business may apply to the local government in whose district the pet shop is located for — </w:t>
      </w:r>
    </w:p>
    <w:p>
      <w:pPr>
        <w:pStyle w:val="Indenta"/>
      </w:pPr>
      <w:r>
        <w:tab/>
        <w:t>(a)</w:t>
      </w:r>
      <w:r>
        <w:tab/>
        <w:t xml:space="preserve">the grant of an approval for the pet shop (a </w:t>
      </w:r>
      <w:r>
        <w:rPr>
          <w:rStyle w:val="CharDefText"/>
        </w:rPr>
        <w:t>pet shop approval</w:t>
      </w:r>
      <w:r>
        <w:t>); or</w:t>
      </w:r>
    </w:p>
    <w:p>
      <w:pPr>
        <w:pStyle w:val="Indenta"/>
      </w:pPr>
      <w:r>
        <w:tab/>
        <w:t>(b)</w:t>
      </w:r>
      <w:r>
        <w:tab/>
        <w:t>the renewal of the pet shop approval for the pet shop.</w:t>
      </w:r>
    </w:p>
    <w:p>
      <w:pPr>
        <w:pStyle w:val="Subsection"/>
      </w:pPr>
      <w:r>
        <w:tab/>
        <w:t>(2)</w:t>
      </w:r>
      <w:r>
        <w:tab/>
        <w:t>An application for the grant or renewal of a pet shop approval must be made in accordance with Part X Division 2.</w:t>
      </w:r>
    </w:p>
    <w:p>
      <w:pPr>
        <w:pStyle w:val="Footnotesection"/>
      </w:pPr>
      <w:bookmarkStart w:id="163" w:name="_Toc91145142"/>
      <w:r>
        <w:tab/>
        <w:t>[Section 38C inserted: No. 29 of 2021 s. 32.]</w:t>
      </w:r>
    </w:p>
    <w:p>
      <w:pPr>
        <w:pStyle w:val="Heading5"/>
      </w:pPr>
      <w:bookmarkStart w:id="164" w:name="_Toc183507359"/>
      <w:r>
        <w:rPr>
          <w:rStyle w:val="CharSectno"/>
        </w:rPr>
        <w:t>38D</w:t>
      </w:r>
      <w:r>
        <w:t>.</w:t>
      </w:r>
      <w:r>
        <w:tab/>
        <w:t>Pet shop approval</w:t>
      </w:r>
      <w:bookmarkEnd w:id="163"/>
      <w:bookmarkEnd w:id="164"/>
    </w:p>
    <w:p>
      <w:pPr>
        <w:pStyle w:val="Subsection"/>
      </w:pPr>
      <w:r>
        <w:tab/>
        <w:t>(1)</w:t>
      </w:r>
      <w:r>
        <w:tab/>
        <w:t xml:space="preserve">On receiving an application for the grant or renewal of a pet shop approval, a local government is to — </w:t>
      </w:r>
    </w:p>
    <w:p>
      <w:pPr>
        <w:pStyle w:val="Indenta"/>
      </w:pPr>
      <w:r>
        <w:tab/>
        <w:t>(a)</w:t>
      </w:r>
      <w:r>
        <w:tab/>
        <w:t>grant or refuse to grant the pet shop approval; or</w:t>
      </w:r>
    </w:p>
    <w:p>
      <w:pPr>
        <w:pStyle w:val="Indenta"/>
      </w:pPr>
      <w:r>
        <w:tab/>
        <w:t>(b)</w:t>
      </w:r>
      <w:r>
        <w:tab/>
        <w:t>renew or refuse to renew the pet shop approval.</w:t>
      </w:r>
    </w:p>
    <w:p>
      <w:pPr>
        <w:pStyle w:val="Subsection"/>
      </w:pPr>
      <w:r>
        <w:tab/>
        <w:t>(2)</w:t>
      </w:r>
      <w:r>
        <w:tab/>
        <w:t>The local government may refuse to grant or renew a pet shop approval only if the local government is satisfied that at least one of the following applies —</w:t>
      </w:r>
    </w:p>
    <w:p>
      <w:pPr>
        <w:pStyle w:val="Indenta"/>
      </w:pPr>
      <w:r>
        <w:tab/>
        <w:t>(a)</w:t>
      </w:r>
      <w:r>
        <w:tab/>
        <w:t>the applicant is a convicted person;</w:t>
      </w:r>
    </w:p>
    <w:p>
      <w:pPr>
        <w:pStyle w:val="Indenta"/>
      </w:pPr>
      <w:r>
        <w:tab/>
        <w:t>(b)</w:t>
      </w:r>
      <w:r>
        <w:tab/>
        <w:t>in the case of a renewal — a circumstance in section 38E(c), (d), (e) or (f);</w:t>
      </w:r>
    </w:p>
    <w:p>
      <w:pPr>
        <w:pStyle w:val="Indenta"/>
      </w:pPr>
      <w:r>
        <w:tab/>
        <w:t>(c)</w:t>
      </w:r>
      <w:r>
        <w:tab/>
        <w:t>the facilities that the applicant proposes to use, or uses, to keep dogs for the purposes of the relevant pet shop business do not meet the requirements of any relevant written law;</w:t>
      </w:r>
    </w:p>
    <w:p>
      <w:pPr>
        <w:pStyle w:val="Indenta"/>
      </w:pPr>
      <w:r>
        <w:tab/>
        <w:t>(d)</w:t>
      </w:r>
      <w:r>
        <w:tab/>
        <w:t>a circumstance prescribed for the purposes of this subsection.</w:t>
      </w:r>
    </w:p>
    <w:p>
      <w:pPr>
        <w:pStyle w:val="Subsection"/>
      </w:pPr>
      <w:r>
        <w:tab/>
        <w:t>(3)</w:t>
      </w:r>
      <w:r>
        <w:tab/>
        <w:t xml:space="preserve">The approval is subject to any conditions the local government — </w:t>
      </w:r>
    </w:p>
    <w:p>
      <w:pPr>
        <w:pStyle w:val="Indenta"/>
      </w:pPr>
      <w:r>
        <w:tab/>
        <w:t>(a)</w:t>
      </w:r>
      <w:r>
        <w:tab/>
        <w:t xml:space="preserve">considers necessary or desirable to impose; and </w:t>
      </w:r>
    </w:p>
    <w:p>
      <w:pPr>
        <w:pStyle w:val="Indenta"/>
      </w:pPr>
      <w:r>
        <w:lastRenderedPageBreak/>
        <w:tab/>
        <w:t>(b)</w:t>
      </w:r>
      <w:r>
        <w:tab/>
        <w:t>specifies in the approval.</w:t>
      </w:r>
    </w:p>
    <w:p>
      <w:pPr>
        <w:pStyle w:val="Subsection"/>
      </w:pPr>
      <w:r>
        <w:tab/>
        <w:t>(4)</w:t>
      </w:r>
      <w:r>
        <w:tab/>
        <w:t>The local government may, at any time by written notice to the holder of the approval, amend or revoke the conditions, or impose new conditions, on the approval.</w:t>
      </w:r>
    </w:p>
    <w:p>
      <w:pPr>
        <w:pStyle w:val="Subsection"/>
      </w:pPr>
      <w:r>
        <w:tab/>
        <w:t>(5)</w:t>
      </w:r>
      <w:r>
        <w:tab/>
        <w:t>A pet shop approval has effect for the period of 1 year beginning on the day on which the approval is granted or, in the case of a renewal, the day on which the approval is renewed, unless it is cancelled earlier in accordance with section 38E.</w:t>
      </w:r>
    </w:p>
    <w:p>
      <w:pPr>
        <w:pStyle w:val="Footnotesection"/>
      </w:pPr>
      <w:bookmarkStart w:id="165" w:name="_Toc91145143"/>
      <w:r>
        <w:tab/>
        <w:t>[Section 38D inserted: No. 29 of 2021 s. 32.]</w:t>
      </w:r>
    </w:p>
    <w:p>
      <w:pPr>
        <w:pStyle w:val="Heading5"/>
      </w:pPr>
      <w:bookmarkStart w:id="166" w:name="_Toc183507360"/>
      <w:r>
        <w:rPr>
          <w:rStyle w:val="CharSectno"/>
        </w:rPr>
        <w:t>38E</w:t>
      </w:r>
      <w:r>
        <w:t>.</w:t>
      </w:r>
      <w:r>
        <w:tab/>
        <w:t>Cancellation of pet shop approval</w:t>
      </w:r>
      <w:bookmarkEnd w:id="165"/>
      <w:bookmarkEnd w:id="166"/>
    </w:p>
    <w:p>
      <w:pPr>
        <w:pStyle w:val="Subsection"/>
      </w:pPr>
      <w:r>
        <w:tab/>
      </w:r>
      <w:r>
        <w:tab/>
        <w:t xml:space="preserve">A local government may cancel a pet shop approval that the local government granted to a person only if the person requests that the local government cancel the approval or the local government is satisfied that — </w:t>
      </w:r>
    </w:p>
    <w:p>
      <w:pPr>
        <w:pStyle w:val="Indenta"/>
      </w:pPr>
      <w:r>
        <w:tab/>
        <w:t>(a)</w:t>
      </w:r>
      <w:r>
        <w:tab/>
        <w:t>any of the things set out in section 38D(2)(a), (c) or (d) applies in relation to the person; or</w:t>
      </w:r>
    </w:p>
    <w:p>
      <w:pPr>
        <w:pStyle w:val="Indenta"/>
      </w:pPr>
      <w:r>
        <w:tab/>
        <w:t>(b)</w:t>
      </w:r>
      <w:r>
        <w:tab/>
        <w:t>the person does not need the approval; or</w:t>
      </w:r>
    </w:p>
    <w:p>
      <w:pPr>
        <w:pStyle w:val="Indenta"/>
      </w:pPr>
      <w:r>
        <w:tab/>
        <w:t>(c)</w:t>
      </w:r>
      <w:r>
        <w:tab/>
        <w:t>the person has not complied with a condition imposed on the approval; or</w:t>
      </w:r>
    </w:p>
    <w:p>
      <w:pPr>
        <w:pStyle w:val="Indenta"/>
      </w:pPr>
      <w:r>
        <w:tab/>
        <w:t>(d)</w:t>
      </w:r>
      <w:r>
        <w:tab/>
        <w:t xml:space="preserve">the person has not complied with a requirement under this Act or the </w:t>
      </w:r>
      <w:r>
        <w:rPr>
          <w:i/>
        </w:rPr>
        <w:t>Animal Welfare Act 2002</w:t>
      </w:r>
      <w:r>
        <w:t>; or</w:t>
      </w:r>
    </w:p>
    <w:p>
      <w:pPr>
        <w:pStyle w:val="Indenta"/>
      </w:pPr>
      <w:r>
        <w:tab/>
        <w:t>(e)</w:t>
      </w:r>
      <w:r>
        <w:tab/>
        <w:t xml:space="preserve">there has been a contravention of this Act or the </w:t>
      </w:r>
      <w:r>
        <w:rPr>
          <w:i/>
        </w:rPr>
        <w:t xml:space="preserve">Animal Welfare Act 2002 </w:t>
      </w:r>
      <w:r>
        <w:t>in relation to the relevant pet shop business conducted by the person or the pet shop to which the approval relates; or</w:t>
      </w:r>
    </w:p>
    <w:p>
      <w:pPr>
        <w:pStyle w:val="Indenta"/>
      </w:pPr>
      <w:r>
        <w:tab/>
        <w:t>(f)</w:t>
      </w:r>
      <w:r>
        <w:tab/>
        <w:t>a circumstance prescribed for the purposes of this section applies.</w:t>
      </w:r>
    </w:p>
    <w:p>
      <w:pPr>
        <w:pStyle w:val="Footnotesection"/>
      </w:pPr>
      <w:bookmarkStart w:id="167" w:name="_Toc91145144"/>
      <w:r>
        <w:tab/>
        <w:t>[Section 38E inserted: No. 29 of 2021 s. 32.]</w:t>
      </w:r>
    </w:p>
    <w:p>
      <w:pPr>
        <w:pStyle w:val="Heading5"/>
      </w:pPr>
      <w:bookmarkStart w:id="168" w:name="_Toc183507361"/>
      <w:r>
        <w:rPr>
          <w:rStyle w:val="CharSectno"/>
        </w:rPr>
        <w:lastRenderedPageBreak/>
        <w:t>38F</w:t>
      </w:r>
      <w:r>
        <w:t>.</w:t>
      </w:r>
      <w:r>
        <w:tab/>
        <w:t>Continuation of pet shop approval until application for renewal decided</w:t>
      </w:r>
      <w:bookmarkEnd w:id="167"/>
      <w:bookmarkEnd w:id="168"/>
    </w:p>
    <w:p>
      <w:pPr>
        <w:pStyle w:val="Subsection"/>
      </w:pPr>
      <w:r>
        <w:tab/>
        <w:t>(1)</w:t>
      </w:r>
      <w:r>
        <w:tab/>
        <w:t xml:space="preserve">This section applies if — </w:t>
      </w:r>
    </w:p>
    <w:p>
      <w:pPr>
        <w:pStyle w:val="Indenta"/>
      </w:pPr>
      <w:r>
        <w:tab/>
        <w:t>(a)</w:t>
      </w:r>
      <w:r>
        <w:tab/>
        <w:t>a person who holds a pet shop approval applies, before the expiry of the approval, for the renewal of the approval; and</w:t>
      </w:r>
    </w:p>
    <w:p>
      <w:pPr>
        <w:pStyle w:val="Indenta"/>
      </w:pPr>
      <w:r>
        <w:tab/>
        <w:t>(b)</w:t>
      </w:r>
      <w:r>
        <w:tab/>
        <w:t>the local government has not renewed the approval or given notice to the person of its decision to refuse to renew the approval.</w:t>
      </w:r>
    </w:p>
    <w:p>
      <w:pPr>
        <w:pStyle w:val="Subsection"/>
      </w:pPr>
      <w:r>
        <w:tab/>
        <w:t>(2)</w:t>
      </w:r>
      <w:r>
        <w:tab/>
        <w:t>The pet shop approval continues to have effect, despite the date of its expiry passing, until the local government renews the approval or has given notice to the person of its decision to refuse to renew the approval.</w:t>
      </w:r>
    </w:p>
    <w:p>
      <w:pPr>
        <w:pStyle w:val="Footnotesection"/>
      </w:pPr>
      <w:bookmarkStart w:id="169" w:name="_Toc91144614"/>
      <w:bookmarkStart w:id="170" w:name="_Toc91144765"/>
      <w:bookmarkStart w:id="171" w:name="_Toc91145145"/>
      <w:r>
        <w:tab/>
        <w:t>[Section 38F inserted: No. 29 of 2021 s. 32.]</w:t>
      </w:r>
    </w:p>
    <w:p>
      <w:pPr>
        <w:pStyle w:val="Heading3"/>
      </w:pPr>
      <w:bookmarkStart w:id="172" w:name="_Toc183182277"/>
      <w:bookmarkStart w:id="173" w:name="_Toc183419398"/>
      <w:bookmarkStart w:id="174" w:name="_Toc183423462"/>
      <w:bookmarkStart w:id="175" w:name="_Toc183507362"/>
      <w:r>
        <w:rPr>
          <w:rStyle w:val="CharDivNo"/>
        </w:rPr>
        <w:t>Division 3</w:t>
      </w:r>
      <w:r>
        <w:t> —</w:t>
      </w:r>
      <w:r>
        <w:rPr>
          <w:rStyle w:val="CharDivText"/>
        </w:rPr>
        <w:t> Obligations of person conducting relevant pet shop business</w:t>
      </w:r>
      <w:bookmarkEnd w:id="169"/>
      <w:bookmarkEnd w:id="170"/>
      <w:bookmarkEnd w:id="171"/>
      <w:bookmarkEnd w:id="172"/>
      <w:bookmarkEnd w:id="173"/>
      <w:bookmarkEnd w:id="174"/>
      <w:bookmarkEnd w:id="175"/>
    </w:p>
    <w:p>
      <w:pPr>
        <w:pStyle w:val="Footnoteheading"/>
      </w:pPr>
      <w:bookmarkStart w:id="176" w:name="_Toc91145146"/>
      <w:r>
        <w:tab/>
        <w:t>[Heading inserted: No. 29 of 2021 s. 32.]</w:t>
      </w:r>
    </w:p>
    <w:p>
      <w:pPr>
        <w:pStyle w:val="Heading5"/>
      </w:pPr>
      <w:bookmarkStart w:id="177" w:name="_Toc183507363"/>
      <w:r>
        <w:rPr>
          <w:rStyle w:val="CharSectno"/>
        </w:rPr>
        <w:t>38G</w:t>
      </w:r>
      <w:r>
        <w:t>.</w:t>
      </w:r>
      <w:r>
        <w:tab/>
        <w:t>Relevant pet shop business only to supply dogs obtained from holder of dog supply approval</w:t>
      </w:r>
      <w:bookmarkEnd w:id="176"/>
      <w:bookmarkEnd w:id="177"/>
    </w:p>
    <w:p>
      <w:pPr>
        <w:pStyle w:val="Subsection"/>
      </w:pPr>
      <w:r>
        <w:tab/>
      </w:r>
      <w:r>
        <w:tab/>
        <w:t>A person who conducts a relevant pet shop business must ensure that a dog is not supplied or offered for supply in the course of the relevant pet shop business unless the dog was supplied to the relevant pet shop business by the holder of a dog supply approval.</w:t>
      </w:r>
    </w:p>
    <w:p>
      <w:pPr>
        <w:pStyle w:val="Penstart"/>
      </w:pPr>
      <w:r>
        <w:tab/>
        <w:t>Penalty: a fine of $10 000.</w:t>
      </w:r>
    </w:p>
    <w:p>
      <w:pPr>
        <w:pStyle w:val="Footnotesection"/>
      </w:pPr>
      <w:bookmarkStart w:id="178" w:name="_Toc91145147"/>
      <w:r>
        <w:tab/>
        <w:t>[Section 38G inserted: No. 29 of 2021 s. 32.]</w:t>
      </w:r>
    </w:p>
    <w:p>
      <w:pPr>
        <w:pStyle w:val="Heading5"/>
      </w:pPr>
      <w:bookmarkStart w:id="179" w:name="_Toc183507364"/>
      <w:r>
        <w:rPr>
          <w:rStyle w:val="CharSectno"/>
        </w:rPr>
        <w:lastRenderedPageBreak/>
        <w:t>38H</w:t>
      </w:r>
      <w:r>
        <w:t>.</w:t>
      </w:r>
      <w:r>
        <w:tab/>
        <w:t>Pet shop to display certificate of registration</w:t>
      </w:r>
      <w:bookmarkEnd w:id="178"/>
      <w:bookmarkEnd w:id="179"/>
    </w:p>
    <w:p>
      <w:pPr>
        <w:pStyle w:val="Subsection"/>
      </w:pPr>
      <w:r>
        <w:tab/>
      </w:r>
      <w:r>
        <w:tab/>
        <w:t>A person who conducts a relevant pet shop business must ensure that the pet shop certificate for the pet shop is displayed publicly at the pet shop.</w:t>
      </w:r>
    </w:p>
    <w:p>
      <w:pPr>
        <w:pStyle w:val="Penstart"/>
      </w:pPr>
      <w:r>
        <w:tab/>
        <w:t>Penalty: a fine of $5 000.</w:t>
      </w:r>
    </w:p>
    <w:p>
      <w:pPr>
        <w:pStyle w:val="Footnotesection"/>
      </w:pPr>
      <w:bookmarkStart w:id="180" w:name="_Toc91145148"/>
      <w:r>
        <w:tab/>
        <w:t>[Section 38H inserted: No. 29 of 2021 s. 32.]</w:t>
      </w:r>
    </w:p>
    <w:p>
      <w:pPr>
        <w:pStyle w:val="Heading5"/>
      </w:pPr>
      <w:bookmarkStart w:id="181" w:name="_Toc183507365"/>
      <w:r>
        <w:rPr>
          <w:rStyle w:val="CharSectno"/>
        </w:rPr>
        <w:t>38I</w:t>
      </w:r>
      <w:r>
        <w:t>.</w:t>
      </w:r>
      <w:r>
        <w:tab/>
        <w:t>Person conducting relevant pet shop business to provide certain information</w:t>
      </w:r>
      <w:bookmarkEnd w:id="180"/>
      <w:bookmarkEnd w:id="181"/>
    </w:p>
    <w:p>
      <w:pPr>
        <w:pStyle w:val="Subsection"/>
      </w:pPr>
      <w:r>
        <w:tab/>
      </w:r>
      <w:r>
        <w:tab/>
        <w:t xml:space="preserve">A person who conducts a relevant pet shop business must ensure that — </w:t>
      </w:r>
    </w:p>
    <w:p>
      <w:pPr>
        <w:pStyle w:val="Indenta"/>
      </w:pPr>
      <w:r>
        <w:tab/>
        <w:t>(a)</w:t>
      </w:r>
      <w:r>
        <w:tab/>
        <w:t xml:space="preserve">any person who is supplied with a dog in the course of the relevant pet shop business is provided, before the dog is supplied, with — </w:t>
      </w:r>
    </w:p>
    <w:p>
      <w:pPr>
        <w:pStyle w:val="Indenti"/>
      </w:pPr>
      <w:r>
        <w:tab/>
        <w:t>(i)</w:t>
      </w:r>
      <w:r>
        <w:tab/>
        <w:t>the prescribed information about the person who supplied the dog to the relevant pet shop business; and</w:t>
      </w:r>
    </w:p>
    <w:p>
      <w:pPr>
        <w:pStyle w:val="Indenti"/>
      </w:pPr>
      <w:r>
        <w:tab/>
        <w:t>(ii)</w:t>
      </w:r>
      <w:r>
        <w:tab/>
        <w:t>the pet shop number for the pet shop;</w:t>
      </w:r>
    </w:p>
    <w:p>
      <w:pPr>
        <w:pStyle w:val="Indenta"/>
      </w:pPr>
      <w:r>
        <w:tab/>
      </w:r>
      <w:r>
        <w:tab/>
        <w:t>and</w:t>
      </w:r>
    </w:p>
    <w:p>
      <w:pPr>
        <w:pStyle w:val="Indenta"/>
      </w:pPr>
      <w:r>
        <w:tab/>
        <w:t>(b)</w:t>
      </w:r>
      <w:r>
        <w:tab/>
        <w:t xml:space="preserve">any person to whom the supply of a dog is offered in the course of the relevant pet shop business is, if the person requests, provided with — </w:t>
      </w:r>
    </w:p>
    <w:p>
      <w:pPr>
        <w:pStyle w:val="Indenti"/>
      </w:pPr>
      <w:r>
        <w:tab/>
        <w:t>(i)</w:t>
      </w:r>
      <w:r>
        <w:tab/>
        <w:t>the prescribed information about the person who supplied the dog to the relevant pet shop business; and</w:t>
      </w:r>
    </w:p>
    <w:p>
      <w:pPr>
        <w:pStyle w:val="Indenti"/>
      </w:pPr>
      <w:r>
        <w:tab/>
        <w:t>(ii)</w:t>
      </w:r>
      <w:r>
        <w:tab/>
        <w:t>the pet shop number for the pet shop.</w:t>
      </w:r>
    </w:p>
    <w:p>
      <w:pPr>
        <w:pStyle w:val="Penstart"/>
      </w:pPr>
      <w:r>
        <w:tab/>
        <w:t>Penalty: a fine of $5 000.</w:t>
      </w:r>
    </w:p>
    <w:p>
      <w:pPr>
        <w:pStyle w:val="Footnotesection"/>
      </w:pPr>
      <w:bookmarkStart w:id="182" w:name="_Toc91145149"/>
      <w:r>
        <w:tab/>
        <w:t>[Section 38I inserted: No. 29 of 2021 s. 32.]</w:t>
      </w:r>
    </w:p>
    <w:p>
      <w:pPr>
        <w:pStyle w:val="Heading5"/>
      </w:pPr>
      <w:bookmarkStart w:id="183" w:name="_Toc183507366"/>
      <w:r>
        <w:rPr>
          <w:rStyle w:val="CharSectno"/>
        </w:rPr>
        <w:lastRenderedPageBreak/>
        <w:t>38J</w:t>
      </w:r>
      <w:r>
        <w:t>.</w:t>
      </w:r>
      <w:r>
        <w:tab/>
        <w:t>Person conducting relevant pet shop business to provide copy of health certificate</w:t>
      </w:r>
      <w:bookmarkEnd w:id="182"/>
      <w:bookmarkEnd w:id="183"/>
    </w:p>
    <w:p>
      <w:pPr>
        <w:pStyle w:val="Subsection"/>
      </w:pPr>
      <w:r>
        <w:tab/>
      </w:r>
      <w:r>
        <w:tab/>
        <w:t xml:space="preserve">A person who conducts a relevant pet shop business must ensure that — </w:t>
      </w:r>
    </w:p>
    <w:p>
      <w:pPr>
        <w:pStyle w:val="Indenta"/>
      </w:pPr>
      <w:r>
        <w:tab/>
        <w:t>(a)</w:t>
      </w:r>
      <w:r>
        <w:tab/>
        <w:t>any person who is supplied with a dog in the course of the relevant pet shop business is provided, before the dog is supplied, with a copy of the health certificate for the dog; and</w:t>
      </w:r>
    </w:p>
    <w:p>
      <w:pPr>
        <w:pStyle w:val="Indenta"/>
      </w:pPr>
      <w:r>
        <w:tab/>
        <w:t>(b)</w:t>
      </w:r>
      <w:r>
        <w:tab/>
        <w:t>any person to whom the supply of a dog is offered in the course of the relevant pet shop business is, if the person requests, provided with a copy of the health certificate for the dog.</w:t>
      </w:r>
    </w:p>
    <w:p>
      <w:pPr>
        <w:pStyle w:val="Penstart"/>
      </w:pPr>
      <w:r>
        <w:tab/>
        <w:t>Penalty: a fine of $5 000.</w:t>
      </w:r>
    </w:p>
    <w:p>
      <w:pPr>
        <w:pStyle w:val="Footnotesection"/>
      </w:pPr>
      <w:bookmarkStart w:id="184" w:name="_Toc91145150"/>
      <w:r>
        <w:tab/>
        <w:t>[Section 38J inserted: No. 29 of 2021 s. 32.]</w:t>
      </w:r>
    </w:p>
    <w:p>
      <w:pPr>
        <w:pStyle w:val="Heading5"/>
      </w:pPr>
      <w:bookmarkStart w:id="185" w:name="_Toc183507367"/>
      <w:r>
        <w:rPr>
          <w:rStyle w:val="CharSectno"/>
        </w:rPr>
        <w:t>38K</w:t>
      </w:r>
      <w:r>
        <w:t>.</w:t>
      </w:r>
      <w:r>
        <w:tab/>
        <w:t>Person conducting relevant pet shop business to keep records relating to source of dogs</w:t>
      </w:r>
      <w:bookmarkEnd w:id="184"/>
      <w:bookmarkEnd w:id="185"/>
    </w:p>
    <w:p>
      <w:pPr>
        <w:pStyle w:val="Subsection"/>
      </w:pPr>
      <w:r>
        <w:tab/>
        <w:t>(1)</w:t>
      </w:r>
      <w:r>
        <w:tab/>
        <w:t xml:space="preserve">In this section — </w:t>
      </w:r>
    </w:p>
    <w:p>
      <w:pPr>
        <w:pStyle w:val="Defstart"/>
      </w:pPr>
      <w:r>
        <w:tab/>
      </w:r>
      <w:r>
        <w:rPr>
          <w:rStyle w:val="CharDefText"/>
        </w:rPr>
        <w:t>relevant dog</w:t>
      </w:r>
      <w:r>
        <w:t xml:space="preserve">, in relation to a person who conducts a relevant pet shop business, means each of the following — </w:t>
      </w:r>
    </w:p>
    <w:p>
      <w:pPr>
        <w:pStyle w:val="Defpara"/>
      </w:pPr>
      <w:r>
        <w:tab/>
        <w:t>(a)</w:t>
      </w:r>
      <w:r>
        <w:tab/>
        <w:t>a dog kept for the purposes of the relevant pet shop business;</w:t>
      </w:r>
    </w:p>
    <w:p>
      <w:pPr>
        <w:pStyle w:val="Defpara"/>
      </w:pPr>
      <w:r>
        <w:tab/>
        <w:t>(b)</w:t>
      </w:r>
      <w:r>
        <w:tab/>
        <w:t>a dog that is supplied or offered for supply in the course of the relevant pet shop business.</w:t>
      </w:r>
    </w:p>
    <w:p>
      <w:pPr>
        <w:pStyle w:val="Subsection"/>
      </w:pPr>
      <w:r>
        <w:tab/>
        <w:t>(2)</w:t>
      </w:r>
      <w:r>
        <w:tab/>
        <w:t xml:space="preserve">A person who conducts a relevant pet shop business must keep, in relation to each relevant dog, a record that — </w:t>
      </w:r>
    </w:p>
    <w:p>
      <w:pPr>
        <w:pStyle w:val="Indenta"/>
      </w:pPr>
      <w:r>
        <w:tab/>
        <w:t>(a)</w:t>
      </w:r>
      <w:r>
        <w:tab/>
        <w:t>contains the prescribed information about the dog, including information about the person who supplied the dog to the relevant pet shop business; and</w:t>
      </w:r>
    </w:p>
    <w:p>
      <w:pPr>
        <w:pStyle w:val="Indenta"/>
      </w:pPr>
      <w:r>
        <w:tab/>
        <w:t>(b)</w:t>
      </w:r>
      <w:r>
        <w:tab/>
        <w:t>includes any evidence necessary to enable the information in the record to be verified.</w:t>
      </w:r>
    </w:p>
    <w:p>
      <w:pPr>
        <w:pStyle w:val="Subsection"/>
      </w:pPr>
      <w:r>
        <w:lastRenderedPageBreak/>
        <w:tab/>
        <w:t>(3)</w:t>
      </w:r>
      <w:r>
        <w:tab/>
        <w:t xml:space="preserve">The person must keep the record, even if the person ceases to conduct the relevant pet shop business — </w:t>
      </w:r>
    </w:p>
    <w:p>
      <w:pPr>
        <w:pStyle w:val="Indenta"/>
      </w:pPr>
      <w:r>
        <w:tab/>
        <w:t>(a)</w:t>
      </w:r>
      <w:r>
        <w:tab/>
        <w:t>in the prescribed way, if any; and</w:t>
      </w:r>
    </w:p>
    <w:p>
      <w:pPr>
        <w:pStyle w:val="Indenta"/>
      </w:pPr>
      <w:r>
        <w:tab/>
        <w:t>(b)</w:t>
      </w:r>
      <w:r>
        <w:tab/>
        <w:t xml:space="preserve">until — </w:t>
      </w:r>
    </w:p>
    <w:p>
      <w:pPr>
        <w:pStyle w:val="Indenti"/>
      </w:pPr>
      <w:r>
        <w:tab/>
        <w:t>(i)</w:t>
      </w:r>
      <w:r>
        <w:tab/>
        <w:t xml:space="preserve">in relation to a dog kept for the purposes of the relevant pet shop business — the end of the period of 5 years after the day on which the relevant dog ceased being kept for the purposes of the relevant pet shop business; and </w:t>
      </w:r>
    </w:p>
    <w:p>
      <w:pPr>
        <w:pStyle w:val="Indenti"/>
      </w:pPr>
      <w:r>
        <w:tab/>
        <w:t>(ii)</w:t>
      </w:r>
      <w:r>
        <w:tab/>
        <w:t>in relation to a dog that is supplied or offered for supply in the course of the relevant pet shop business — the end of the period of 5 years after the day on which the dog is supplied or first offered for supply.</w:t>
      </w:r>
    </w:p>
    <w:p>
      <w:pPr>
        <w:pStyle w:val="Subsection"/>
      </w:pPr>
      <w:r>
        <w:tab/>
        <w:t>(4)</w:t>
      </w:r>
      <w:r>
        <w:tab/>
        <w:t>If the regulations prescribe a time within which a record referred to in subsection (2) must be made, the record must be made within that time.</w:t>
      </w:r>
    </w:p>
    <w:p>
      <w:pPr>
        <w:pStyle w:val="Subsection"/>
      </w:pPr>
      <w:r>
        <w:tab/>
        <w:t>(5)</w:t>
      </w:r>
      <w:r>
        <w:tab/>
        <w:t>A person who fails to comply with this section commits an offence.</w:t>
      </w:r>
    </w:p>
    <w:p>
      <w:pPr>
        <w:pStyle w:val="Penstart"/>
      </w:pPr>
      <w:r>
        <w:tab/>
        <w:t>Penalty for this subsection: a fine of $10 000.</w:t>
      </w:r>
    </w:p>
    <w:p>
      <w:pPr>
        <w:pStyle w:val="Footnotesection"/>
      </w:pPr>
      <w:bookmarkStart w:id="186" w:name="_Toc91145151"/>
      <w:r>
        <w:tab/>
        <w:t>[Section 38K inserted: No. 29 of 2021 s. 32.]</w:t>
      </w:r>
    </w:p>
    <w:p>
      <w:pPr>
        <w:pStyle w:val="Heading5"/>
      </w:pPr>
      <w:bookmarkStart w:id="187" w:name="_Toc183507368"/>
      <w:r>
        <w:rPr>
          <w:rStyle w:val="CharSectno"/>
        </w:rPr>
        <w:t>38L</w:t>
      </w:r>
      <w:r>
        <w:t>.</w:t>
      </w:r>
      <w:r>
        <w:tab/>
        <w:t>Person conducting relevant pet shop business to provide information to local government</w:t>
      </w:r>
      <w:bookmarkEnd w:id="186"/>
      <w:bookmarkEnd w:id="187"/>
    </w:p>
    <w:p>
      <w:pPr>
        <w:pStyle w:val="Subsection"/>
      </w:pPr>
      <w:r>
        <w:tab/>
        <w:t>(1)</w:t>
      </w:r>
      <w:r>
        <w:tab/>
        <w:t>A local government may request a person who conducts or has conducted a relevant pet shop business, the pet shop for which is or was located in the local government’s district, to provide the local government with any record, information or evidence the person is required to keep under section 38K.</w:t>
      </w:r>
    </w:p>
    <w:p>
      <w:pPr>
        <w:pStyle w:val="Subsection"/>
      </w:pPr>
      <w:r>
        <w:tab/>
        <w:t>(2)</w:t>
      </w:r>
      <w:r>
        <w:tab/>
        <w:t xml:space="preserve">The local government may take extracts from, or make copies of, any record, information or evidence provided. </w:t>
      </w:r>
    </w:p>
    <w:p>
      <w:pPr>
        <w:pStyle w:val="Subsection"/>
      </w:pPr>
      <w:r>
        <w:lastRenderedPageBreak/>
        <w:tab/>
        <w:t>(3)</w:t>
      </w:r>
      <w:r>
        <w:tab/>
        <w:t>A request made under subsection (1) must specify the time within which the record, information or evidence must be provided to the local government.</w:t>
      </w:r>
    </w:p>
    <w:p>
      <w:pPr>
        <w:pStyle w:val="Subsection"/>
      </w:pPr>
      <w:r>
        <w:tab/>
        <w:t>(4)</w:t>
      </w:r>
      <w:r>
        <w:tab/>
        <w:t>A person must comply with a request made of the person under subsection (1) within the time specified in the request (or, if another time is agreed between the local government and the person, within that time).</w:t>
      </w:r>
    </w:p>
    <w:p>
      <w:pPr>
        <w:pStyle w:val="Penstart"/>
      </w:pPr>
      <w:r>
        <w:tab/>
        <w:t>Penalty for this subsection: a fine of $10 000.</w:t>
      </w:r>
    </w:p>
    <w:p>
      <w:pPr>
        <w:pStyle w:val="Footnotesection"/>
      </w:pPr>
      <w:bookmarkStart w:id="188" w:name="_Toc91145152"/>
      <w:r>
        <w:tab/>
        <w:t>[Section 38L inserted: No. 29 of 2021 s. 32.]</w:t>
      </w:r>
    </w:p>
    <w:p>
      <w:pPr>
        <w:pStyle w:val="Heading5"/>
      </w:pPr>
      <w:bookmarkStart w:id="189" w:name="_Toc183507369"/>
      <w:r>
        <w:rPr>
          <w:rStyle w:val="CharSectno"/>
        </w:rPr>
        <w:t>38M</w:t>
      </w:r>
      <w:r>
        <w:t>.</w:t>
      </w:r>
      <w:r>
        <w:tab/>
        <w:t>Self</w:t>
      </w:r>
      <w:r>
        <w:noBreakHyphen/>
        <w:t>incrimination</w:t>
      </w:r>
      <w:bookmarkEnd w:id="188"/>
      <w:bookmarkEnd w:id="189"/>
    </w:p>
    <w:p>
      <w:pPr>
        <w:pStyle w:val="Subsection"/>
      </w:pPr>
      <w:r>
        <w:tab/>
        <w:t>(1)</w:t>
      </w:r>
      <w:r>
        <w:tab/>
        <w:t>A person is not excused from complying with a request under section 38L to provide a record, information or evidence on the ground that the record, information or evidence might incriminate the person or make the person liable to a penalty.</w:t>
      </w:r>
    </w:p>
    <w:p>
      <w:pPr>
        <w:pStyle w:val="Subsection"/>
      </w:pPr>
      <w:r>
        <w:tab/>
        <w:t>(2)</w:t>
      </w:r>
      <w:r>
        <w:tab/>
        <w:t>However, any record, information or evidence provided by an individual in compliance with a request made of the individual under section 38L is not admissible in evidence against the individual in any proceedings for an offence other than proceedings for an offence against this Act or for perjury.</w:t>
      </w:r>
    </w:p>
    <w:p>
      <w:pPr>
        <w:pStyle w:val="Footnotesection"/>
      </w:pPr>
      <w:bookmarkStart w:id="190" w:name="_Toc91144622"/>
      <w:bookmarkStart w:id="191" w:name="_Toc91144773"/>
      <w:bookmarkStart w:id="192" w:name="_Toc91145153"/>
      <w:r>
        <w:tab/>
        <w:t>[Section 38M inserted: No. 29 of 2021 s. 32.]</w:t>
      </w:r>
    </w:p>
    <w:p>
      <w:pPr>
        <w:pStyle w:val="Heading3"/>
      </w:pPr>
      <w:bookmarkStart w:id="193" w:name="_Toc183182285"/>
      <w:bookmarkStart w:id="194" w:name="_Toc183419406"/>
      <w:bookmarkStart w:id="195" w:name="_Toc183423470"/>
      <w:bookmarkStart w:id="196" w:name="_Toc183507370"/>
      <w:r>
        <w:rPr>
          <w:rStyle w:val="CharDivNo"/>
        </w:rPr>
        <w:t>Division 4</w:t>
      </w:r>
      <w:r>
        <w:t> —</w:t>
      </w:r>
      <w:r>
        <w:rPr>
          <w:rStyle w:val="CharDivText"/>
        </w:rPr>
        <w:t> Dog supply approval</w:t>
      </w:r>
      <w:bookmarkEnd w:id="190"/>
      <w:bookmarkEnd w:id="191"/>
      <w:bookmarkEnd w:id="192"/>
      <w:bookmarkEnd w:id="193"/>
      <w:bookmarkEnd w:id="194"/>
      <w:bookmarkEnd w:id="195"/>
      <w:bookmarkEnd w:id="196"/>
    </w:p>
    <w:p>
      <w:pPr>
        <w:pStyle w:val="Footnoteheading"/>
      </w:pPr>
      <w:bookmarkStart w:id="197" w:name="_Toc91145154"/>
      <w:r>
        <w:tab/>
        <w:t>[Heading inserted: No. 29 of 2021 s. 32.]</w:t>
      </w:r>
    </w:p>
    <w:p>
      <w:pPr>
        <w:pStyle w:val="Heading5"/>
      </w:pPr>
      <w:bookmarkStart w:id="198" w:name="_Toc183507371"/>
      <w:r>
        <w:rPr>
          <w:rStyle w:val="CharSectno"/>
        </w:rPr>
        <w:t>38N</w:t>
      </w:r>
      <w:r>
        <w:t>.</w:t>
      </w:r>
      <w:r>
        <w:tab/>
        <w:t>Only holder of dog supply approval may supply dogs to relevant pet shop businesses</w:t>
      </w:r>
      <w:bookmarkEnd w:id="197"/>
      <w:bookmarkEnd w:id="198"/>
    </w:p>
    <w:p>
      <w:pPr>
        <w:pStyle w:val="Subsection"/>
      </w:pPr>
      <w:r>
        <w:tab/>
        <w:t>(1)</w:t>
      </w:r>
      <w:r>
        <w:tab/>
        <w:t xml:space="preserve">A person (the </w:t>
      </w:r>
      <w:r>
        <w:rPr>
          <w:rStyle w:val="CharDefText"/>
        </w:rPr>
        <w:t>supplier</w:t>
      </w:r>
      <w:r>
        <w:t xml:space="preserve">) must not supply a dog to a relevant pet shop business unless — </w:t>
      </w:r>
    </w:p>
    <w:p>
      <w:pPr>
        <w:pStyle w:val="Indenta"/>
      </w:pPr>
      <w:r>
        <w:tab/>
        <w:t>(a)</w:t>
      </w:r>
      <w:r>
        <w:tab/>
        <w:t xml:space="preserve">the dog is a stray, abandoned, seized or surrendered dog that is being kept — </w:t>
      </w:r>
    </w:p>
    <w:p>
      <w:pPr>
        <w:pStyle w:val="Indenti"/>
      </w:pPr>
      <w:r>
        <w:lastRenderedPageBreak/>
        <w:tab/>
        <w:t>(i)</w:t>
      </w:r>
      <w:r>
        <w:tab/>
        <w:t xml:space="preserve">as part of refuge operations conducted by the supplier; or </w:t>
      </w:r>
    </w:p>
    <w:p>
      <w:pPr>
        <w:pStyle w:val="Indenti"/>
      </w:pPr>
      <w:r>
        <w:tab/>
        <w:t>(ii)</w:t>
      </w:r>
      <w:r>
        <w:tab/>
        <w:t xml:space="preserve">in a dog management facility operated by the supplier; </w:t>
      </w:r>
    </w:p>
    <w:p>
      <w:pPr>
        <w:pStyle w:val="Indenta"/>
      </w:pPr>
      <w:r>
        <w:tab/>
      </w:r>
      <w:r>
        <w:tab/>
        <w:t xml:space="preserve">and </w:t>
      </w:r>
    </w:p>
    <w:p>
      <w:pPr>
        <w:pStyle w:val="Indenta"/>
      </w:pPr>
      <w:r>
        <w:tab/>
        <w:t>(b)</w:t>
      </w:r>
      <w:r>
        <w:tab/>
        <w:t>the supplier holds a dog supply approval.</w:t>
      </w:r>
    </w:p>
    <w:p>
      <w:pPr>
        <w:pStyle w:val="Penstart"/>
      </w:pPr>
      <w:r>
        <w:tab/>
        <w:t>Penalty for this subsection: a fine of $10 000.</w:t>
      </w:r>
    </w:p>
    <w:p>
      <w:pPr>
        <w:pStyle w:val="Subsection"/>
      </w:pPr>
      <w:r>
        <w:tab/>
        <w:t>(2)</w:t>
      </w:r>
      <w:r>
        <w:tab/>
        <w:t xml:space="preserve">A person (the </w:t>
      </w:r>
      <w:r>
        <w:rPr>
          <w:rStyle w:val="CharDefText"/>
        </w:rPr>
        <w:t>supplier</w:t>
      </w:r>
      <w:r>
        <w:t>) must not supply a dog to a relevant pet shop business unless the supplier has —</w:t>
      </w:r>
    </w:p>
    <w:p>
      <w:pPr>
        <w:pStyle w:val="Indenta"/>
      </w:pPr>
      <w:r>
        <w:tab/>
        <w:t>(a)</w:t>
      </w:r>
      <w:r>
        <w:tab/>
        <w:t xml:space="preserve">obtained, in respect of the dog, a certificate issued by a veterinarian that declares that the veterinarian has completed a health assessment of the dog and that outlines the prescribed information in relation to the health status of the dog (a </w:t>
      </w:r>
      <w:r>
        <w:rPr>
          <w:rStyle w:val="CharDefText"/>
        </w:rPr>
        <w:t>health certificate</w:t>
      </w:r>
      <w:r>
        <w:t xml:space="preserve">); and </w:t>
      </w:r>
    </w:p>
    <w:p>
      <w:pPr>
        <w:pStyle w:val="Indenta"/>
      </w:pPr>
      <w:r>
        <w:tab/>
        <w:t>(b)</w:t>
      </w:r>
      <w:r>
        <w:tab/>
        <w:t>provided the person who conducts the relevant pet shop business, or the person acting on their behalf, with a copy of the health certificate.</w:t>
      </w:r>
    </w:p>
    <w:p>
      <w:pPr>
        <w:pStyle w:val="Penstart"/>
      </w:pPr>
      <w:r>
        <w:tab/>
        <w:t>Penalty for this subsection: a fine of $5 000.</w:t>
      </w:r>
    </w:p>
    <w:p>
      <w:pPr>
        <w:pStyle w:val="Footnotesection"/>
      </w:pPr>
      <w:bookmarkStart w:id="199" w:name="_Toc91145155"/>
      <w:r>
        <w:tab/>
        <w:t>[Section 38N inserted: No. 29 of 2021 s. 32.]</w:t>
      </w:r>
    </w:p>
    <w:p>
      <w:pPr>
        <w:pStyle w:val="Heading5"/>
      </w:pPr>
      <w:bookmarkStart w:id="200" w:name="_Toc183507372"/>
      <w:r>
        <w:rPr>
          <w:rStyle w:val="CharSectno"/>
        </w:rPr>
        <w:t>38O</w:t>
      </w:r>
      <w:r>
        <w:t>.</w:t>
      </w:r>
      <w:r>
        <w:tab/>
        <w:t>Person conducting refuge operations or operating dog management facility may apply for dog supply approval</w:t>
      </w:r>
      <w:bookmarkEnd w:id="199"/>
      <w:bookmarkEnd w:id="200"/>
    </w:p>
    <w:p>
      <w:pPr>
        <w:pStyle w:val="Subsection"/>
      </w:pPr>
      <w:r>
        <w:tab/>
        <w:t>(1)</w:t>
      </w:r>
      <w:r>
        <w:tab/>
        <w:t xml:space="preserve">A person who conducts refuge operations or is the operator of a dog management facility may apply to the CEO for the grant of an approval to supply to relevant pet shop businesses dogs kept as part of the refuge operations or in the dog management facility (a </w:t>
      </w:r>
      <w:r>
        <w:rPr>
          <w:rStyle w:val="CharDefText"/>
        </w:rPr>
        <w:t>dog supply approval</w:t>
      </w:r>
      <w:r>
        <w:t>).</w:t>
      </w:r>
    </w:p>
    <w:p>
      <w:pPr>
        <w:pStyle w:val="Subsection"/>
      </w:pPr>
      <w:r>
        <w:tab/>
        <w:t>(2)</w:t>
      </w:r>
      <w:r>
        <w:tab/>
        <w:t xml:space="preserve">An application for the grant of an approval must — </w:t>
      </w:r>
    </w:p>
    <w:p>
      <w:pPr>
        <w:pStyle w:val="Indenta"/>
      </w:pPr>
      <w:r>
        <w:tab/>
        <w:t>(a)</w:t>
      </w:r>
      <w:r>
        <w:tab/>
        <w:t>be made in a manner and form approved by the CEO; and</w:t>
      </w:r>
    </w:p>
    <w:p>
      <w:pPr>
        <w:pStyle w:val="Indenta"/>
      </w:pPr>
      <w:r>
        <w:tab/>
        <w:t>(b)</w:t>
      </w:r>
      <w:r>
        <w:tab/>
        <w:t>contain the information prescribed; and</w:t>
      </w:r>
    </w:p>
    <w:p>
      <w:pPr>
        <w:pStyle w:val="Indenta"/>
      </w:pPr>
      <w:r>
        <w:lastRenderedPageBreak/>
        <w:tab/>
        <w:t>(c)</w:t>
      </w:r>
      <w:r>
        <w:tab/>
        <w:t>without limiting paragraph (b), contain information regarding the intended sources of dogs to be supplied; and</w:t>
      </w:r>
    </w:p>
    <w:p>
      <w:pPr>
        <w:pStyle w:val="Indenta"/>
      </w:pPr>
      <w:r>
        <w:tab/>
        <w:t>(d)</w:t>
      </w:r>
      <w:r>
        <w:tab/>
        <w:t>be accompanied by the fee, if any, prescribed; and</w:t>
      </w:r>
    </w:p>
    <w:p>
      <w:pPr>
        <w:pStyle w:val="Indenta"/>
      </w:pPr>
      <w:r>
        <w:tab/>
        <w:t>(e)</w:t>
      </w:r>
      <w:r>
        <w:tab/>
        <w:t>comply with any other requirements that are prescribed.</w:t>
      </w:r>
    </w:p>
    <w:p>
      <w:pPr>
        <w:pStyle w:val="Subsection"/>
      </w:pPr>
      <w:r>
        <w:tab/>
        <w:t>(3)</w:t>
      </w:r>
      <w:r>
        <w:tab/>
        <w:t xml:space="preserve">The CEO may require the applicant to give the CEO, within a specified time, any document or information that the CEO requires to determine the application and may require the applicant to verify the information by statutory declaration. </w:t>
      </w:r>
    </w:p>
    <w:p>
      <w:pPr>
        <w:pStyle w:val="Subsection"/>
      </w:pPr>
      <w:r>
        <w:tab/>
        <w:t>(4)</w:t>
      </w:r>
      <w:r>
        <w:tab/>
        <w:t>The CEO may refuse to consider an application if the applicant does not comply with a requirement under subsection (3) within the specified time.</w:t>
      </w:r>
    </w:p>
    <w:p>
      <w:pPr>
        <w:pStyle w:val="Footnotesection"/>
      </w:pPr>
      <w:bookmarkStart w:id="201" w:name="_Toc91145156"/>
      <w:r>
        <w:tab/>
        <w:t>[Section 38O inserted: No. 29 of 2021 s. 32.]</w:t>
      </w:r>
    </w:p>
    <w:p>
      <w:pPr>
        <w:pStyle w:val="Heading5"/>
      </w:pPr>
      <w:bookmarkStart w:id="202" w:name="_Toc183507373"/>
      <w:r>
        <w:rPr>
          <w:rStyle w:val="CharSectno"/>
        </w:rPr>
        <w:t>38P</w:t>
      </w:r>
      <w:r>
        <w:t>.</w:t>
      </w:r>
      <w:r>
        <w:tab/>
        <w:t>Dog supply approval</w:t>
      </w:r>
      <w:bookmarkEnd w:id="201"/>
      <w:bookmarkEnd w:id="202"/>
    </w:p>
    <w:p>
      <w:pPr>
        <w:pStyle w:val="Subsection"/>
      </w:pPr>
      <w:r>
        <w:tab/>
        <w:t>(1)</w:t>
      </w:r>
      <w:r>
        <w:tab/>
        <w:t>On receiving an application for the grant of a dog supply approval, the CEO is to grant or refuse to grant the dog supply approval.</w:t>
      </w:r>
    </w:p>
    <w:p>
      <w:pPr>
        <w:pStyle w:val="Subsection"/>
      </w:pPr>
      <w:r>
        <w:tab/>
        <w:t>(2)</w:t>
      </w:r>
      <w:r>
        <w:tab/>
        <w:t xml:space="preserve">The CEO may refuse to grant a dog supply approval only if the CEO is satisfied that at least one of the following applies — </w:t>
      </w:r>
    </w:p>
    <w:p>
      <w:pPr>
        <w:pStyle w:val="Indenta"/>
      </w:pPr>
      <w:r>
        <w:tab/>
        <w:t>(a)</w:t>
      </w:r>
      <w:r>
        <w:tab/>
        <w:t>the applicant is a convicted person;</w:t>
      </w:r>
    </w:p>
    <w:p>
      <w:pPr>
        <w:pStyle w:val="Indenta"/>
      </w:pPr>
      <w:r>
        <w:tab/>
        <w:t>(b)</w:t>
      </w:r>
      <w:r>
        <w:tab/>
        <w:t>in the case of an applicant who purports to conduct refuge operations — there are reasonable grounds to suspect that the applicant is not conducting genuine refuge operations;</w:t>
      </w:r>
    </w:p>
    <w:p>
      <w:pPr>
        <w:pStyle w:val="Indenta"/>
      </w:pPr>
      <w:r>
        <w:tab/>
        <w:t>(c)</w:t>
      </w:r>
      <w:r>
        <w:tab/>
        <w:t>the dog management facility does not, or the facilities that the applicant uses to keep dogs for the purposes of the refuge operations do not, meet the requirements of any relevant written law;</w:t>
      </w:r>
    </w:p>
    <w:p>
      <w:pPr>
        <w:pStyle w:val="Indenta"/>
      </w:pPr>
      <w:r>
        <w:tab/>
        <w:t>(d)</w:t>
      </w:r>
      <w:r>
        <w:tab/>
        <w:t>a local government objects to the grant of the approval;</w:t>
      </w:r>
    </w:p>
    <w:p>
      <w:pPr>
        <w:pStyle w:val="Indenta"/>
      </w:pPr>
      <w:r>
        <w:tab/>
        <w:t>(e)</w:t>
      </w:r>
      <w:r>
        <w:tab/>
        <w:t>a circumstance prescribed for the purposes of this subsection.</w:t>
      </w:r>
    </w:p>
    <w:p>
      <w:pPr>
        <w:pStyle w:val="Subsection"/>
      </w:pPr>
      <w:r>
        <w:lastRenderedPageBreak/>
        <w:tab/>
        <w:t>(3)</w:t>
      </w:r>
      <w:r>
        <w:tab/>
        <w:t xml:space="preserve">The approval is subject to any conditions the CEO — </w:t>
      </w:r>
    </w:p>
    <w:p>
      <w:pPr>
        <w:pStyle w:val="Indenta"/>
      </w:pPr>
      <w:r>
        <w:tab/>
        <w:t>(a)</w:t>
      </w:r>
      <w:r>
        <w:tab/>
        <w:t>considers necessary or desirable to impose; and</w:t>
      </w:r>
    </w:p>
    <w:p>
      <w:pPr>
        <w:pStyle w:val="Indenta"/>
      </w:pPr>
      <w:r>
        <w:tab/>
        <w:t>(b)</w:t>
      </w:r>
      <w:r>
        <w:tab/>
        <w:t xml:space="preserve">specifies in the approval. </w:t>
      </w:r>
    </w:p>
    <w:p>
      <w:pPr>
        <w:pStyle w:val="Subsection"/>
      </w:pPr>
      <w:r>
        <w:tab/>
        <w:t>(4)</w:t>
      </w:r>
      <w:r>
        <w:tab/>
        <w:t>The CEO may, at any time by written notice to the holder of the approval, amend or revoke the conditions, or impose new conditions, on the approval.</w:t>
      </w:r>
    </w:p>
    <w:p>
      <w:pPr>
        <w:pStyle w:val="Subsection"/>
      </w:pPr>
      <w:r>
        <w:tab/>
        <w:t>(5)</w:t>
      </w:r>
      <w:r>
        <w:tab/>
        <w:t>A dog supply approval remains in force unless and until it is cancelled in accordance with section 38Q.</w:t>
      </w:r>
    </w:p>
    <w:p>
      <w:pPr>
        <w:pStyle w:val="Footnotesection"/>
      </w:pPr>
      <w:bookmarkStart w:id="203" w:name="_Toc91145157"/>
      <w:r>
        <w:tab/>
        <w:t>[Section 38P inserted: No. 29 of 2021 s. 32.]</w:t>
      </w:r>
    </w:p>
    <w:p>
      <w:pPr>
        <w:pStyle w:val="Heading5"/>
      </w:pPr>
      <w:bookmarkStart w:id="204" w:name="_Toc183507374"/>
      <w:r>
        <w:rPr>
          <w:rStyle w:val="CharSectno"/>
        </w:rPr>
        <w:t>38Q</w:t>
      </w:r>
      <w:r>
        <w:t>.</w:t>
      </w:r>
      <w:r>
        <w:tab/>
        <w:t>Cancellation of dog supply approval</w:t>
      </w:r>
      <w:bookmarkEnd w:id="203"/>
      <w:bookmarkEnd w:id="204"/>
    </w:p>
    <w:p>
      <w:pPr>
        <w:pStyle w:val="Subsection"/>
      </w:pPr>
      <w:r>
        <w:tab/>
      </w:r>
      <w:r>
        <w:tab/>
        <w:t xml:space="preserve">The CEO may cancel a dog supply approval granted to a person only if the person requests that the CEO cancel the approval or the CEO is satisfied that — </w:t>
      </w:r>
    </w:p>
    <w:p>
      <w:pPr>
        <w:pStyle w:val="Indenta"/>
      </w:pPr>
      <w:r>
        <w:tab/>
        <w:t>(a)</w:t>
      </w:r>
      <w:r>
        <w:tab/>
        <w:t>any of the things set out in section 38P(2) applies in relation to the person; or</w:t>
      </w:r>
    </w:p>
    <w:p>
      <w:pPr>
        <w:pStyle w:val="Indenta"/>
      </w:pPr>
      <w:r>
        <w:tab/>
        <w:t>(b)</w:t>
      </w:r>
      <w:r>
        <w:tab/>
        <w:t>the person does not need the approval; or</w:t>
      </w:r>
    </w:p>
    <w:p>
      <w:pPr>
        <w:pStyle w:val="Indenta"/>
      </w:pPr>
      <w:r>
        <w:tab/>
        <w:t>(c)</w:t>
      </w:r>
      <w:r>
        <w:tab/>
        <w:t>the person has not complied with a condition imposed on the approval; or</w:t>
      </w:r>
    </w:p>
    <w:p>
      <w:pPr>
        <w:pStyle w:val="Indenta"/>
      </w:pPr>
      <w:r>
        <w:tab/>
        <w:t>(d)</w:t>
      </w:r>
      <w:r>
        <w:tab/>
        <w:t>the person has supplied to a relevant pet shop business a dog which the CEO suspects, on reasonable grounds, is not a stray, abandoned, seized or surrendered dog; or</w:t>
      </w:r>
    </w:p>
    <w:p>
      <w:pPr>
        <w:pStyle w:val="Indenta"/>
      </w:pPr>
      <w:r>
        <w:tab/>
        <w:t>(e)</w:t>
      </w:r>
      <w:r>
        <w:tab/>
        <w:t xml:space="preserve">the person has not complied with a requirement under this Act or the </w:t>
      </w:r>
      <w:r>
        <w:rPr>
          <w:i/>
        </w:rPr>
        <w:t>Animal Welfare Act 2002</w:t>
      </w:r>
      <w:r>
        <w:t>; or</w:t>
      </w:r>
    </w:p>
    <w:p>
      <w:pPr>
        <w:pStyle w:val="Indenta"/>
      </w:pPr>
      <w:r>
        <w:tab/>
        <w:t>(f)</w:t>
      </w:r>
      <w:r>
        <w:tab/>
        <w:t xml:space="preserve">there has been a contravention of this Act or the </w:t>
      </w:r>
      <w:r>
        <w:rPr>
          <w:i/>
        </w:rPr>
        <w:t xml:space="preserve">Animal Welfare Act 2002 </w:t>
      </w:r>
      <w:r>
        <w:t>in relation to the refuge operations or dog management facility to which the approval relates; or</w:t>
      </w:r>
    </w:p>
    <w:p>
      <w:pPr>
        <w:pStyle w:val="Indenta"/>
      </w:pPr>
      <w:r>
        <w:tab/>
        <w:t>(g)</w:t>
      </w:r>
      <w:r>
        <w:tab/>
        <w:t>a circumstance prescribed for the purposes of this section applies.</w:t>
      </w:r>
    </w:p>
    <w:p>
      <w:pPr>
        <w:pStyle w:val="Footnotesection"/>
      </w:pPr>
      <w:bookmarkStart w:id="205" w:name="_Toc91145158"/>
      <w:r>
        <w:tab/>
        <w:t>[Section 38Q inserted: No. 29 of 2021 s. 32.]</w:t>
      </w:r>
    </w:p>
    <w:p>
      <w:pPr>
        <w:pStyle w:val="Heading5"/>
      </w:pPr>
      <w:bookmarkStart w:id="206" w:name="_Toc183507375"/>
      <w:r>
        <w:rPr>
          <w:rStyle w:val="CharSectno"/>
        </w:rPr>
        <w:lastRenderedPageBreak/>
        <w:t>38R</w:t>
      </w:r>
      <w:r>
        <w:t>.</w:t>
      </w:r>
      <w:r>
        <w:tab/>
        <w:t>Notice of certain decisions made under this Division</w:t>
      </w:r>
      <w:bookmarkEnd w:id="205"/>
      <w:bookmarkEnd w:id="206"/>
    </w:p>
    <w:p>
      <w:pPr>
        <w:pStyle w:val="Subsection"/>
      </w:pPr>
      <w:r>
        <w:tab/>
        <w:t>(1)</w:t>
      </w:r>
      <w:r>
        <w:tab/>
        <w:t xml:space="preserve">This section applies to each of the following — </w:t>
      </w:r>
    </w:p>
    <w:p>
      <w:pPr>
        <w:pStyle w:val="Indenta"/>
      </w:pPr>
      <w:r>
        <w:tab/>
        <w:t>(a)</w:t>
      </w:r>
      <w:r>
        <w:tab/>
        <w:t xml:space="preserve">a decision to refuse to grant a dog supply approval; </w:t>
      </w:r>
    </w:p>
    <w:p>
      <w:pPr>
        <w:pStyle w:val="Indenta"/>
      </w:pPr>
      <w:r>
        <w:tab/>
        <w:t>(b)</w:t>
      </w:r>
      <w:r>
        <w:tab/>
        <w:t xml:space="preserve">a decision to cancel a dog supply approval (other than a decision to cancel the approval at the request of the person who held the approval); </w:t>
      </w:r>
    </w:p>
    <w:p>
      <w:pPr>
        <w:pStyle w:val="Indenta"/>
      </w:pPr>
      <w:r>
        <w:tab/>
        <w:t>(c)</w:t>
      </w:r>
      <w:r>
        <w:tab/>
        <w:t>a decision to impose or amend conditions on a dog supply approval.</w:t>
      </w:r>
    </w:p>
    <w:p>
      <w:pPr>
        <w:pStyle w:val="Subsection"/>
      </w:pPr>
      <w:r>
        <w:tab/>
        <w:t>(2)</w:t>
      </w:r>
      <w:r>
        <w:tab/>
        <w:t xml:space="preserve">Within 7 days after the day on which the CEO makes a decision referred to in subsection (1), the CEO is to give to the applicant for, or holder of, the approval to which the decision relates written notice of the decision and the reasons for the decision. </w:t>
      </w:r>
    </w:p>
    <w:p>
      <w:pPr>
        <w:pStyle w:val="Subsection"/>
      </w:pPr>
      <w:r>
        <w:tab/>
        <w:t>(3)</w:t>
      </w:r>
      <w:r>
        <w:tab/>
        <w:t>The regulations may provide for the review by the State Administrative Tribunal of a decision of the CEO referred to in subsection (1) and may provide for the effect of a decision to be suspended while a right of review exists or a review is underway.</w:t>
      </w:r>
    </w:p>
    <w:p>
      <w:pPr>
        <w:pStyle w:val="Footnotesection"/>
      </w:pPr>
      <w:bookmarkStart w:id="207" w:name="_Toc91145159"/>
      <w:r>
        <w:tab/>
        <w:t>[Section 38R inserted: No. 29 of 2021 s. 32.]</w:t>
      </w:r>
    </w:p>
    <w:p>
      <w:pPr>
        <w:pStyle w:val="Heading5"/>
      </w:pPr>
      <w:bookmarkStart w:id="208" w:name="_Toc183507376"/>
      <w:r>
        <w:rPr>
          <w:rStyle w:val="CharSectno"/>
        </w:rPr>
        <w:t>38S</w:t>
      </w:r>
      <w:r>
        <w:t>.</w:t>
      </w:r>
      <w:r>
        <w:tab/>
        <w:t>Record of dog supply approval</w:t>
      </w:r>
      <w:bookmarkEnd w:id="207"/>
      <w:bookmarkEnd w:id="208"/>
    </w:p>
    <w:p>
      <w:pPr>
        <w:pStyle w:val="Subsection"/>
      </w:pPr>
      <w:r>
        <w:tab/>
        <w:t>(1)</w:t>
      </w:r>
      <w:r>
        <w:tab/>
        <w:t>As soon as practicable after the CEO makes a decision to grant or refuse to grant a dog supply approval, the CEO is to enter the decision and the prescribed information in the centralised registration system.</w:t>
      </w:r>
    </w:p>
    <w:p>
      <w:pPr>
        <w:pStyle w:val="Subsection"/>
      </w:pPr>
      <w:r>
        <w:tab/>
        <w:t>(2)</w:t>
      </w:r>
      <w:r>
        <w:tab/>
        <w:t xml:space="preserve">The CEO is to ensure that the information recorded under subsection (1) is updated to reflect — </w:t>
      </w:r>
    </w:p>
    <w:p>
      <w:pPr>
        <w:pStyle w:val="Indenta"/>
      </w:pPr>
      <w:r>
        <w:tab/>
        <w:t>(a)</w:t>
      </w:r>
      <w:r>
        <w:tab/>
        <w:t>any change to the information notified under section 38T; and</w:t>
      </w:r>
    </w:p>
    <w:p>
      <w:pPr>
        <w:pStyle w:val="Indenta"/>
      </w:pPr>
      <w:r>
        <w:tab/>
        <w:t>(b)</w:t>
      </w:r>
      <w:r>
        <w:tab/>
        <w:t>any imposition or amendment of conditions on the dog supply approval; and</w:t>
      </w:r>
    </w:p>
    <w:p>
      <w:pPr>
        <w:pStyle w:val="Indenta"/>
      </w:pPr>
      <w:r>
        <w:tab/>
        <w:t>(c)</w:t>
      </w:r>
      <w:r>
        <w:tab/>
        <w:t>any cancellation of the dog supply approval; and</w:t>
      </w:r>
    </w:p>
    <w:p>
      <w:pPr>
        <w:pStyle w:val="Indenta"/>
      </w:pPr>
      <w:r>
        <w:lastRenderedPageBreak/>
        <w:tab/>
        <w:t>(d)</w:t>
      </w:r>
      <w:r>
        <w:tab/>
        <w:t>the outcome of any review provided for under section 38R(3).</w:t>
      </w:r>
    </w:p>
    <w:p>
      <w:pPr>
        <w:pStyle w:val="Footnotesection"/>
      </w:pPr>
      <w:bookmarkStart w:id="209" w:name="_Toc91145160"/>
      <w:r>
        <w:tab/>
        <w:t>[Section 38S inserted: No. 29 of 2021 s. 32.]</w:t>
      </w:r>
    </w:p>
    <w:p>
      <w:pPr>
        <w:pStyle w:val="Heading5"/>
      </w:pPr>
      <w:bookmarkStart w:id="210" w:name="_Toc183507377"/>
      <w:r>
        <w:rPr>
          <w:rStyle w:val="CharSectno"/>
        </w:rPr>
        <w:t>38T</w:t>
      </w:r>
      <w:r>
        <w:t>.</w:t>
      </w:r>
      <w:r>
        <w:tab/>
        <w:t>Notice of change to information</w:t>
      </w:r>
      <w:bookmarkEnd w:id="209"/>
      <w:bookmarkEnd w:id="210"/>
    </w:p>
    <w:p>
      <w:pPr>
        <w:pStyle w:val="Subsection"/>
      </w:pPr>
      <w:r>
        <w:tab/>
      </w:r>
      <w:r>
        <w:tab/>
        <w:t>The holder of a dog supply approval must, within 7 days after the day on which the holder becomes aware of a change to any of the information prescribed under section 38S(1) in respect of the dog supply approval, give notice in writing of the change to the CEO.</w:t>
      </w:r>
    </w:p>
    <w:p>
      <w:pPr>
        <w:pStyle w:val="Penstart"/>
      </w:pPr>
      <w:r>
        <w:tab/>
        <w:t>Penalty: a fine of $5 000.</w:t>
      </w:r>
    </w:p>
    <w:p>
      <w:pPr>
        <w:pStyle w:val="Footnotesection"/>
      </w:pPr>
      <w:bookmarkStart w:id="211" w:name="_Toc91145161"/>
      <w:r>
        <w:tab/>
        <w:t>[Section 38T inserted: No. 29 of 2021 s. 32.]</w:t>
      </w:r>
    </w:p>
    <w:p>
      <w:pPr>
        <w:pStyle w:val="Heading5"/>
      </w:pPr>
      <w:bookmarkStart w:id="212" w:name="_Toc183507378"/>
      <w:r>
        <w:rPr>
          <w:rStyle w:val="CharSectno"/>
        </w:rPr>
        <w:t>38U</w:t>
      </w:r>
      <w:r>
        <w:t>.</w:t>
      </w:r>
      <w:r>
        <w:tab/>
        <w:t>Certificate and unique number to be given to holder of dog supply approval</w:t>
      </w:r>
      <w:bookmarkEnd w:id="211"/>
      <w:bookmarkEnd w:id="212"/>
    </w:p>
    <w:p>
      <w:pPr>
        <w:pStyle w:val="Subsection"/>
      </w:pPr>
      <w:r>
        <w:tab/>
        <w:t>(1)</w:t>
      </w:r>
      <w:r>
        <w:tab/>
        <w:t xml:space="preserve">If the CEO grants a dog supply approval to a person, the CEO must — </w:t>
      </w:r>
    </w:p>
    <w:p>
      <w:pPr>
        <w:pStyle w:val="Indenta"/>
      </w:pPr>
      <w:r>
        <w:tab/>
        <w:t>(a)</w:t>
      </w:r>
      <w:r>
        <w:tab/>
        <w:t>give the person a certificate containing the prescribed information; and</w:t>
      </w:r>
    </w:p>
    <w:p>
      <w:pPr>
        <w:pStyle w:val="Indenta"/>
      </w:pPr>
      <w:r>
        <w:tab/>
        <w:t>(b)</w:t>
      </w:r>
      <w:r>
        <w:tab/>
        <w:t>issue the person with a unique number for the dog supply approval.</w:t>
      </w:r>
    </w:p>
    <w:p>
      <w:pPr>
        <w:pStyle w:val="Subsection"/>
      </w:pPr>
      <w:r>
        <w:tab/>
        <w:t>(2)</w:t>
      </w:r>
      <w:r>
        <w:tab/>
        <w:t>The CEO may give a person who holds a dog supply approval a new certificate if the CEO is satisfied that the person’s certificate has been stolen, lost, damaged or destroyed.</w:t>
      </w:r>
    </w:p>
    <w:p>
      <w:pPr>
        <w:pStyle w:val="Footnotesection"/>
      </w:pPr>
      <w:bookmarkStart w:id="213" w:name="_Toc91144631"/>
      <w:bookmarkStart w:id="214" w:name="_Toc91144782"/>
      <w:bookmarkStart w:id="215" w:name="_Toc91145162"/>
      <w:r>
        <w:tab/>
        <w:t>[Section 38U inserted: No. 29 of 2021 s. 32.]</w:t>
      </w:r>
    </w:p>
    <w:p>
      <w:pPr>
        <w:pStyle w:val="Heading3"/>
      </w:pPr>
      <w:bookmarkStart w:id="216" w:name="_Toc183182294"/>
      <w:bookmarkStart w:id="217" w:name="_Toc183419415"/>
      <w:bookmarkStart w:id="218" w:name="_Toc183423479"/>
      <w:bookmarkStart w:id="219" w:name="_Toc183507379"/>
      <w:r>
        <w:rPr>
          <w:rStyle w:val="CharDivNo"/>
        </w:rPr>
        <w:lastRenderedPageBreak/>
        <w:t>Division 5</w:t>
      </w:r>
      <w:r>
        <w:t> —</w:t>
      </w:r>
      <w:r>
        <w:rPr>
          <w:rStyle w:val="CharDivText"/>
        </w:rPr>
        <w:t> Obligations of holder of dog supply approval</w:t>
      </w:r>
      <w:bookmarkEnd w:id="213"/>
      <w:bookmarkEnd w:id="214"/>
      <w:bookmarkEnd w:id="215"/>
      <w:bookmarkEnd w:id="216"/>
      <w:bookmarkEnd w:id="217"/>
      <w:bookmarkEnd w:id="218"/>
      <w:bookmarkEnd w:id="219"/>
    </w:p>
    <w:p>
      <w:pPr>
        <w:pStyle w:val="Footnoteheading"/>
        <w:keepNext/>
      </w:pPr>
      <w:bookmarkStart w:id="220" w:name="_Toc91145163"/>
      <w:r>
        <w:tab/>
        <w:t>[Heading inserted: No. 29 of 2021 s. 32.]</w:t>
      </w:r>
    </w:p>
    <w:p>
      <w:pPr>
        <w:pStyle w:val="Heading5"/>
      </w:pPr>
      <w:bookmarkStart w:id="221" w:name="_Toc183507380"/>
      <w:r>
        <w:rPr>
          <w:rStyle w:val="CharSectno"/>
        </w:rPr>
        <w:t>38V</w:t>
      </w:r>
      <w:r>
        <w:t>.</w:t>
      </w:r>
      <w:r>
        <w:tab/>
        <w:t>Holder of dog supply approval to keep records</w:t>
      </w:r>
      <w:bookmarkEnd w:id="220"/>
      <w:bookmarkEnd w:id="221"/>
    </w:p>
    <w:p>
      <w:pPr>
        <w:pStyle w:val="Subsection"/>
      </w:pPr>
      <w:r>
        <w:tab/>
        <w:t>(1)</w:t>
      </w:r>
      <w:r>
        <w:tab/>
        <w:t xml:space="preserve">A person who holds a dog supply approval must keep, in relation to each dog supplied by the person to a relevant pet shop business, a record that — </w:t>
      </w:r>
    </w:p>
    <w:p>
      <w:pPr>
        <w:pStyle w:val="Indenta"/>
      </w:pPr>
      <w:r>
        <w:tab/>
        <w:t>(a)</w:t>
      </w:r>
      <w:r>
        <w:tab/>
        <w:t>contains the prescribed information in relation to the source and history of the dog; and</w:t>
      </w:r>
    </w:p>
    <w:p>
      <w:pPr>
        <w:pStyle w:val="Indenta"/>
      </w:pPr>
      <w:r>
        <w:tab/>
        <w:t>(b)</w:t>
      </w:r>
      <w:r>
        <w:tab/>
        <w:t>includes any evidence necessary to enable the information in the record to be verified.</w:t>
      </w:r>
    </w:p>
    <w:p>
      <w:pPr>
        <w:pStyle w:val="Subsection"/>
      </w:pPr>
      <w:r>
        <w:tab/>
        <w:t>(2)</w:t>
      </w:r>
      <w:r>
        <w:tab/>
        <w:t xml:space="preserve">The person must keep the record, even if the person ceases to hold the dog supply approval — </w:t>
      </w:r>
    </w:p>
    <w:p>
      <w:pPr>
        <w:pStyle w:val="Indenta"/>
      </w:pPr>
      <w:r>
        <w:tab/>
        <w:t>(a)</w:t>
      </w:r>
      <w:r>
        <w:tab/>
        <w:t>in the prescribed way, if any; and</w:t>
      </w:r>
    </w:p>
    <w:p>
      <w:pPr>
        <w:pStyle w:val="Indenta"/>
      </w:pPr>
      <w:r>
        <w:tab/>
        <w:t>(b)</w:t>
      </w:r>
      <w:r>
        <w:tab/>
        <w:t>for 5 years after the day on which the dog was supplied by the person.</w:t>
      </w:r>
    </w:p>
    <w:p>
      <w:pPr>
        <w:pStyle w:val="Subsection"/>
      </w:pPr>
      <w:r>
        <w:tab/>
        <w:t>(3)</w:t>
      </w:r>
      <w:r>
        <w:tab/>
        <w:t>If the regulations prescribe a time within which a record referred to in subsection (1) must be made, the record must be made within that time.</w:t>
      </w:r>
    </w:p>
    <w:p>
      <w:pPr>
        <w:pStyle w:val="Subsection"/>
      </w:pPr>
      <w:r>
        <w:tab/>
        <w:t>(4)</w:t>
      </w:r>
      <w:r>
        <w:tab/>
        <w:t>A person who fails to comply with this section commits an offence.</w:t>
      </w:r>
    </w:p>
    <w:p>
      <w:pPr>
        <w:pStyle w:val="Penstart"/>
      </w:pPr>
      <w:r>
        <w:tab/>
        <w:t>Penalty for this subsection: a fine of $5 000.</w:t>
      </w:r>
    </w:p>
    <w:p>
      <w:pPr>
        <w:pStyle w:val="Footnotesection"/>
      </w:pPr>
      <w:bookmarkStart w:id="222" w:name="_Toc91145164"/>
      <w:r>
        <w:tab/>
        <w:t>[Section 38V inserted: No. 29 of 2021 s. 32.]</w:t>
      </w:r>
    </w:p>
    <w:p>
      <w:pPr>
        <w:pStyle w:val="Heading5"/>
      </w:pPr>
      <w:bookmarkStart w:id="223" w:name="_Toc183507381"/>
      <w:r>
        <w:rPr>
          <w:rStyle w:val="CharSectno"/>
        </w:rPr>
        <w:t>38W</w:t>
      </w:r>
      <w:r>
        <w:t>.</w:t>
      </w:r>
      <w:r>
        <w:tab/>
        <w:t>Holder of dog supply approval to provide information to CEO</w:t>
      </w:r>
      <w:bookmarkEnd w:id="222"/>
      <w:bookmarkEnd w:id="223"/>
    </w:p>
    <w:p>
      <w:pPr>
        <w:pStyle w:val="Subsection"/>
      </w:pPr>
      <w:r>
        <w:tab/>
        <w:t>(1)</w:t>
      </w:r>
      <w:r>
        <w:tab/>
        <w:t xml:space="preserve">The CEO may request a person who holds or has held a dog supply approval to provide the CEO with any of the following — </w:t>
      </w:r>
    </w:p>
    <w:p>
      <w:pPr>
        <w:pStyle w:val="Indenta"/>
      </w:pPr>
      <w:r>
        <w:tab/>
        <w:t>(a)</w:t>
      </w:r>
      <w:r>
        <w:tab/>
        <w:t xml:space="preserve">any record, information or evidence the person is required to keep under section 38V; </w:t>
      </w:r>
    </w:p>
    <w:p>
      <w:pPr>
        <w:pStyle w:val="Indenta"/>
      </w:pPr>
      <w:r>
        <w:lastRenderedPageBreak/>
        <w:tab/>
        <w:t>(b)</w:t>
      </w:r>
      <w:r>
        <w:tab/>
        <w:t>any other information, evidence or document that the CEO requires to determine if the dog supply approval should remain in force.</w:t>
      </w:r>
    </w:p>
    <w:p>
      <w:pPr>
        <w:pStyle w:val="Subsection"/>
      </w:pPr>
      <w:r>
        <w:tab/>
        <w:t>(2)</w:t>
      </w:r>
      <w:r>
        <w:tab/>
        <w:t xml:space="preserve">The CEO may take extracts from, or make copies of, any record, information, evidence or document provided. </w:t>
      </w:r>
    </w:p>
    <w:p>
      <w:pPr>
        <w:pStyle w:val="Subsection"/>
      </w:pPr>
      <w:r>
        <w:tab/>
        <w:t>(3)</w:t>
      </w:r>
      <w:r>
        <w:tab/>
        <w:t>A request made under subsection (1) must specify the time within which the record, information, evidence or document must be provided to the CEO.</w:t>
      </w:r>
    </w:p>
    <w:p>
      <w:pPr>
        <w:pStyle w:val="Subsection"/>
      </w:pPr>
      <w:r>
        <w:tab/>
        <w:t>(4)</w:t>
      </w:r>
      <w:r>
        <w:tab/>
        <w:t>A person must comply with a request made of the person under subsection (1) within the time specified in the request (or, if another time is agreed between the CEO and the person, within that time).</w:t>
      </w:r>
    </w:p>
    <w:p>
      <w:pPr>
        <w:pStyle w:val="Penstart"/>
      </w:pPr>
      <w:r>
        <w:tab/>
        <w:t>Penalty for this subsection: a fine of $5 000.</w:t>
      </w:r>
    </w:p>
    <w:p>
      <w:pPr>
        <w:pStyle w:val="Footnotesection"/>
      </w:pPr>
      <w:bookmarkStart w:id="224" w:name="_Toc91145165"/>
      <w:r>
        <w:tab/>
        <w:t>[Section 38W inserted: No. 29 of 2021 s. 32.]</w:t>
      </w:r>
    </w:p>
    <w:p>
      <w:pPr>
        <w:pStyle w:val="Heading5"/>
      </w:pPr>
      <w:bookmarkStart w:id="225" w:name="_Toc183507382"/>
      <w:r>
        <w:rPr>
          <w:rStyle w:val="CharSectno"/>
        </w:rPr>
        <w:t>38X</w:t>
      </w:r>
      <w:r>
        <w:t>.</w:t>
      </w:r>
      <w:r>
        <w:tab/>
        <w:t>Holder of dog supply approval to provide information to local government</w:t>
      </w:r>
      <w:bookmarkEnd w:id="224"/>
      <w:bookmarkEnd w:id="225"/>
    </w:p>
    <w:p>
      <w:pPr>
        <w:pStyle w:val="Subsection"/>
      </w:pPr>
      <w:r>
        <w:tab/>
        <w:t>(1)</w:t>
      </w:r>
      <w:r>
        <w:tab/>
        <w:t xml:space="preserve">In this section, a relevant pet shop business is an </w:t>
      </w:r>
      <w:r>
        <w:rPr>
          <w:rStyle w:val="CharDefText"/>
        </w:rPr>
        <w:t>applicable pet shop business</w:t>
      </w:r>
      <w:r>
        <w:t xml:space="preserve"> in relation to a local government if the pet shop is located in the local government’s district.</w:t>
      </w:r>
    </w:p>
    <w:p>
      <w:pPr>
        <w:pStyle w:val="Subsection"/>
      </w:pPr>
      <w:r>
        <w:tab/>
        <w:t>(2)</w:t>
      </w:r>
      <w:r>
        <w:tab/>
        <w:t xml:space="preserve">A local government may request a person who holds or has held, or purports to hold or have held, a dog supply approval, and who supplies or has supplied dogs to an applicable pet shop business, to provide the local government with any of the following — </w:t>
      </w:r>
    </w:p>
    <w:p>
      <w:pPr>
        <w:pStyle w:val="Indenta"/>
      </w:pPr>
      <w:r>
        <w:tab/>
        <w:t>(a)</w:t>
      </w:r>
      <w:r>
        <w:tab/>
        <w:t>evidence that the person holds or has held the dog supply approval;</w:t>
      </w:r>
    </w:p>
    <w:p>
      <w:pPr>
        <w:pStyle w:val="Indenta"/>
      </w:pPr>
      <w:r>
        <w:tab/>
        <w:t>(b)</w:t>
      </w:r>
      <w:r>
        <w:tab/>
        <w:t>a copy of the health certificate of any dog supplied by the person to an applicable pet shop business in the previous 5 years or, if a shorter period, the period since the person was granted the dog supply approval.</w:t>
      </w:r>
    </w:p>
    <w:p>
      <w:pPr>
        <w:pStyle w:val="Subsection"/>
      </w:pPr>
      <w:r>
        <w:lastRenderedPageBreak/>
        <w:tab/>
        <w:t>(3)</w:t>
      </w:r>
      <w:r>
        <w:tab/>
        <w:t>The local government may take extracts from, or make copies of, any evidence or copy provided.</w:t>
      </w:r>
    </w:p>
    <w:p>
      <w:pPr>
        <w:pStyle w:val="Subsection"/>
      </w:pPr>
      <w:r>
        <w:tab/>
        <w:t>(4)</w:t>
      </w:r>
      <w:r>
        <w:tab/>
        <w:t>A request made under subsection (2) must specify the time within which the evidence or copy must be provided to the local government.</w:t>
      </w:r>
    </w:p>
    <w:p>
      <w:pPr>
        <w:pStyle w:val="Subsection"/>
      </w:pPr>
      <w:r>
        <w:tab/>
        <w:t>(5)</w:t>
      </w:r>
      <w:r>
        <w:tab/>
        <w:t>A person must comply with a request made of the person under subsection (2) within the time specified in the request (or, if another time is agreed between the local government and the person, within that time).</w:t>
      </w:r>
    </w:p>
    <w:p>
      <w:pPr>
        <w:pStyle w:val="Penstart"/>
      </w:pPr>
      <w:r>
        <w:tab/>
        <w:t xml:space="preserve">Penalty for this subsection: a fine of $5 000. </w:t>
      </w:r>
    </w:p>
    <w:p>
      <w:pPr>
        <w:pStyle w:val="Footnotesection"/>
      </w:pPr>
      <w:bookmarkStart w:id="226" w:name="_Toc91145166"/>
      <w:r>
        <w:tab/>
        <w:t>[Section 38X inserted: No. 29 of 2021 s. 32.]</w:t>
      </w:r>
    </w:p>
    <w:p>
      <w:pPr>
        <w:pStyle w:val="Heading5"/>
      </w:pPr>
      <w:bookmarkStart w:id="227" w:name="_Toc183507383"/>
      <w:r>
        <w:rPr>
          <w:rStyle w:val="CharSectno"/>
        </w:rPr>
        <w:t>38Y</w:t>
      </w:r>
      <w:r>
        <w:t>.</w:t>
      </w:r>
      <w:r>
        <w:tab/>
        <w:t>Self</w:t>
      </w:r>
      <w:r>
        <w:noBreakHyphen/>
        <w:t>incrimination</w:t>
      </w:r>
      <w:bookmarkEnd w:id="226"/>
      <w:bookmarkEnd w:id="227"/>
    </w:p>
    <w:p>
      <w:pPr>
        <w:pStyle w:val="Subsection"/>
      </w:pPr>
      <w:r>
        <w:tab/>
        <w:t>(1)</w:t>
      </w:r>
      <w:r>
        <w:tab/>
        <w:t>A person is not excused from complying with a request under this Division to provide information, evidence, a record or a document on the ground that the information, evidence, record or document might incriminate the person or make the person liable to a penalty.</w:t>
      </w:r>
    </w:p>
    <w:p>
      <w:pPr>
        <w:pStyle w:val="Subsection"/>
      </w:pPr>
      <w:r>
        <w:tab/>
        <w:t>(2)</w:t>
      </w:r>
      <w:r>
        <w:tab/>
        <w:t xml:space="preserve">However, any information, evidence, record or document provided by an individual in compliance with a request made of the individual under this Division is not admissible in evidence against the individual in any proceedings for an offence other than — </w:t>
      </w:r>
    </w:p>
    <w:p>
      <w:pPr>
        <w:pStyle w:val="Indenta"/>
      </w:pPr>
      <w:r>
        <w:tab/>
        <w:t>(a)</w:t>
      </w:r>
      <w:r>
        <w:tab/>
        <w:t>if it is provided in compliance with a request under section 38W(1)(a) — proceedings for an offence against this Act or for perjury; or</w:t>
      </w:r>
    </w:p>
    <w:p>
      <w:pPr>
        <w:pStyle w:val="Indenta"/>
      </w:pPr>
      <w:r>
        <w:tab/>
        <w:t>(b)</w:t>
      </w:r>
      <w:r>
        <w:tab/>
        <w:t>in any other case — proceedings for perjury or an offence against section 43AA.</w:t>
      </w:r>
    </w:p>
    <w:p>
      <w:pPr>
        <w:pStyle w:val="Footnotesection"/>
      </w:pPr>
      <w:r>
        <w:tab/>
        <w:t>[Section 38Y inserted: No. 29 of 2021 s. 32.]</w:t>
      </w:r>
    </w:p>
    <w:p>
      <w:pPr>
        <w:pStyle w:val="Heading2"/>
      </w:pPr>
      <w:bookmarkStart w:id="228" w:name="_Toc183182299"/>
      <w:bookmarkStart w:id="229" w:name="_Toc183419420"/>
      <w:bookmarkStart w:id="230" w:name="_Toc183423484"/>
      <w:bookmarkStart w:id="231" w:name="_Toc183507384"/>
      <w:r>
        <w:rPr>
          <w:rStyle w:val="CharPartNo"/>
        </w:rPr>
        <w:lastRenderedPageBreak/>
        <w:t>Part VII</w:t>
      </w:r>
      <w:r>
        <w:rPr>
          <w:rStyle w:val="CharDivNo"/>
        </w:rPr>
        <w:t> </w:t>
      </w:r>
      <w:r>
        <w:t>—</w:t>
      </w:r>
      <w:r>
        <w:rPr>
          <w:rStyle w:val="CharDivText"/>
        </w:rPr>
        <w:t> </w:t>
      </w:r>
      <w:r>
        <w:rPr>
          <w:rStyle w:val="CharPartText"/>
        </w:rPr>
        <w:t>Enforcement</w:t>
      </w:r>
      <w:bookmarkEnd w:id="142"/>
      <w:bookmarkEnd w:id="228"/>
      <w:bookmarkEnd w:id="229"/>
      <w:bookmarkEnd w:id="230"/>
      <w:bookmarkEnd w:id="231"/>
    </w:p>
    <w:p>
      <w:pPr>
        <w:pStyle w:val="Heading5"/>
        <w:rPr>
          <w:snapToGrid w:val="0"/>
        </w:rPr>
      </w:pPr>
      <w:bookmarkStart w:id="232" w:name="_Toc183507385"/>
      <w:r>
        <w:rPr>
          <w:rStyle w:val="CharSectno"/>
        </w:rPr>
        <w:t>39</w:t>
      </w:r>
      <w:r>
        <w:rPr>
          <w:snapToGrid w:val="0"/>
        </w:rPr>
        <w:t>.</w:t>
      </w:r>
      <w:r>
        <w:rPr>
          <w:snapToGrid w:val="0"/>
        </w:rPr>
        <w:tab/>
        <w:t>Dogs causing injury or damage may be destroyed</w:t>
      </w:r>
      <w:bookmarkEnd w:id="232"/>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lastRenderedPageBreak/>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pPr>
      <w:r>
        <w:tab/>
        <w:t>Penalty: a fine of $5 000.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No. 24 of 1996 s. 12; amended: No. 10 of 1998 s. 29(1); No. 59 of 2004 s. 141; No. 18 of 2013 s. 47.] </w:t>
      </w:r>
    </w:p>
    <w:p>
      <w:pPr>
        <w:pStyle w:val="Heading5"/>
        <w:rPr>
          <w:snapToGrid w:val="0"/>
        </w:rPr>
      </w:pPr>
      <w:bookmarkStart w:id="233" w:name="_Toc183507386"/>
      <w:r>
        <w:rPr>
          <w:rStyle w:val="CharSectno"/>
        </w:rPr>
        <w:t>40</w:t>
      </w:r>
      <w:r>
        <w:rPr>
          <w:snapToGrid w:val="0"/>
        </w:rPr>
        <w:t>.</w:t>
      </w:r>
      <w:r>
        <w:rPr>
          <w:snapToGrid w:val="0"/>
        </w:rPr>
        <w:tab/>
        <w:t>Destruction of dogs etc.</w:t>
      </w:r>
      <w:bookmarkEnd w:id="233"/>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 and</w:t>
      </w:r>
    </w:p>
    <w:p>
      <w:pPr>
        <w:pStyle w:val="Indenta"/>
      </w:pPr>
      <w:r>
        <w:tab/>
        <w:t>(b)</w:t>
      </w:r>
      <w:r>
        <w:tab/>
        <w:t>provide that the order shall be remitted in specified circumstances; and</w:t>
      </w:r>
    </w:p>
    <w:p>
      <w:pPr>
        <w:pStyle w:val="Indenta"/>
      </w:pPr>
      <w:r>
        <w:tab/>
        <w:t>(c)</w:t>
      </w:r>
      <w:r>
        <w:tab/>
        <w:t>order the seizure and detention of the dog, whether or not an order is made for the destruction of the dog; and</w:t>
      </w:r>
    </w:p>
    <w:p>
      <w:pPr>
        <w:pStyle w:val="Indenta"/>
      </w:pPr>
      <w:r>
        <w:tab/>
        <w:t>(d)</w:t>
      </w:r>
      <w:r>
        <w:tab/>
        <w:t>make an order requiring that the dog be controlled, or be controlled in a specified manner; and</w:t>
      </w:r>
    </w:p>
    <w:p>
      <w:pPr>
        <w:pStyle w:val="Indenta"/>
      </w:pPr>
      <w:r>
        <w:tab/>
        <w:t>(e)</w:t>
      </w:r>
      <w:r>
        <w:tab/>
        <w:t>make an order requiring that the dog be disposed of, or be disposed of in a specified manner; and</w:t>
      </w:r>
    </w:p>
    <w:p>
      <w:pPr>
        <w:pStyle w:val="Indenta"/>
      </w:pPr>
      <w:r>
        <w:tab/>
        <w:t>(ea)</w:t>
      </w:r>
      <w:r>
        <w:tab/>
        <w:t>where the dog has been detained under section 29(5b) or an order is made under paragraph (c), make any order it thinks fit as to the payment of any cost, charge or fee of a kind referred to in section 29(4); and</w:t>
      </w:r>
    </w:p>
    <w:p>
      <w:pPr>
        <w:pStyle w:val="Indenta"/>
      </w:pPr>
      <w:r>
        <w:lastRenderedPageBreak/>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 and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No. 23 of 1987 s. 32; No. 14 of 1996 s. 4; No. 55 of 2004 s. 267.] </w:t>
      </w:r>
    </w:p>
    <w:p>
      <w:pPr>
        <w:pStyle w:val="Heading5"/>
        <w:spacing w:before="120"/>
        <w:rPr>
          <w:snapToGrid w:val="0"/>
        </w:rPr>
      </w:pPr>
      <w:bookmarkStart w:id="234" w:name="_Toc183507387"/>
      <w:r>
        <w:rPr>
          <w:rStyle w:val="CharSectno"/>
        </w:rPr>
        <w:t>41</w:t>
      </w:r>
      <w:r>
        <w:rPr>
          <w:snapToGrid w:val="0"/>
        </w:rPr>
        <w:t>.</w:t>
      </w:r>
      <w:r>
        <w:rPr>
          <w:snapToGrid w:val="0"/>
        </w:rPr>
        <w:tab/>
        <w:t>Indemnity as to destruction of dogs</w:t>
      </w:r>
      <w:bookmarkEnd w:id="234"/>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spacing w:before="240"/>
      </w:pPr>
      <w:r>
        <w:t>[</w:t>
      </w:r>
      <w:r>
        <w:rPr>
          <w:b/>
        </w:rPr>
        <w:t>42.</w:t>
      </w:r>
      <w:r>
        <w:rPr>
          <w:b/>
        </w:rPr>
        <w:tab/>
      </w:r>
      <w:r>
        <w:t xml:space="preserve">Deleted: No. 23 of 1987 s. 33.] </w:t>
      </w:r>
    </w:p>
    <w:p>
      <w:pPr>
        <w:pStyle w:val="Heading5"/>
        <w:spacing w:before="240"/>
        <w:rPr>
          <w:snapToGrid w:val="0"/>
        </w:rPr>
      </w:pPr>
      <w:bookmarkStart w:id="235" w:name="_Toc183507388"/>
      <w:r>
        <w:rPr>
          <w:rStyle w:val="CharSectno"/>
        </w:rPr>
        <w:lastRenderedPageBreak/>
        <w:t>43</w:t>
      </w:r>
      <w:r>
        <w:rPr>
          <w:snapToGrid w:val="0"/>
        </w:rPr>
        <w:t>.</w:t>
      </w:r>
      <w:r>
        <w:rPr>
          <w:snapToGrid w:val="0"/>
        </w:rPr>
        <w:tab/>
        <w:t>Offences relating to enforcement etc.</w:t>
      </w:r>
      <w:bookmarkEnd w:id="235"/>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 or</w:t>
      </w:r>
    </w:p>
    <w:p>
      <w:pPr>
        <w:pStyle w:val="Indenta"/>
      </w:pPr>
      <w:r>
        <w:tab/>
        <w:t>(b)</w:t>
      </w:r>
      <w:r>
        <w:tab/>
        <w:t>impedes, delays or in any way obstructs a person authorised under this Act in the exercise of his powers or the carrying out of his duties under this Act; or</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keepLines/>
        <w:rPr>
          <w:snapToGrid w:val="0"/>
        </w:rPr>
      </w:pPr>
      <w:r>
        <w:rPr>
          <w:snapToGrid w:val="0"/>
        </w:rPr>
        <w:lastRenderedPageBreak/>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keepLines/>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No. 23 of 1987 s. 34; No. 24 of 1996 s. 13 and 16; No. 18 of 2013 s. 48.] </w:t>
      </w:r>
    </w:p>
    <w:p>
      <w:pPr>
        <w:pStyle w:val="Heading5"/>
      </w:pPr>
      <w:bookmarkStart w:id="236" w:name="_Toc91145168"/>
      <w:bookmarkStart w:id="237" w:name="_Toc183507389"/>
      <w:r>
        <w:rPr>
          <w:rStyle w:val="CharSectno"/>
        </w:rPr>
        <w:t>43AA</w:t>
      </w:r>
      <w:r>
        <w:t>.</w:t>
      </w:r>
      <w:r>
        <w:tab/>
        <w:t>False or misleading information</w:t>
      </w:r>
      <w:bookmarkEnd w:id="236"/>
      <w:bookmarkEnd w:id="237"/>
    </w:p>
    <w:p>
      <w:pPr>
        <w:pStyle w:val="Subsection"/>
      </w:pPr>
      <w:r>
        <w:tab/>
        <w:t>(1)</w:t>
      </w:r>
      <w:r>
        <w:tab/>
        <w:t xml:space="preserve">A person must not do anything set out in subsection (2) — </w:t>
      </w:r>
    </w:p>
    <w:p>
      <w:pPr>
        <w:pStyle w:val="Indenta"/>
      </w:pPr>
      <w:r>
        <w:tab/>
        <w:t>(a)</w:t>
      </w:r>
      <w:r>
        <w:tab/>
        <w:t>in, or in connection with, an application for an approval under this Act; or</w:t>
      </w:r>
    </w:p>
    <w:p>
      <w:pPr>
        <w:pStyle w:val="Indenta"/>
      </w:pPr>
      <w:r>
        <w:tab/>
        <w:t>(b)</w:t>
      </w:r>
      <w:r>
        <w:tab/>
        <w:t>in, or in connection with, a notice or document given under this Act; or</w:t>
      </w:r>
    </w:p>
    <w:p>
      <w:pPr>
        <w:pStyle w:val="Indenta"/>
      </w:pPr>
      <w:r>
        <w:tab/>
        <w:t>(c)</w:t>
      </w:r>
      <w:r>
        <w:tab/>
        <w:t>in dealing with a person who is performing a function under this Act; or</w:t>
      </w:r>
    </w:p>
    <w:p>
      <w:pPr>
        <w:pStyle w:val="Indenta"/>
      </w:pPr>
      <w:r>
        <w:lastRenderedPageBreak/>
        <w:tab/>
        <w:t>(d)</w:t>
      </w:r>
      <w:r>
        <w:tab/>
        <w:t>in compliance, or purported compliance, with a requirement under this Act.</w:t>
      </w:r>
    </w:p>
    <w:p>
      <w:pPr>
        <w:pStyle w:val="Penstart"/>
      </w:pPr>
      <w:r>
        <w:tab/>
        <w:t>Penalty for this subsection: a fine of $5 000.</w:t>
      </w:r>
    </w:p>
    <w:p>
      <w:pPr>
        <w:pStyle w:val="Subsection"/>
      </w:pPr>
      <w:r>
        <w:tab/>
        <w:t>(2)</w:t>
      </w:r>
      <w:r>
        <w:tab/>
        <w:t xml:space="preserve">The things to which subsection (1) applies are making a statement or giving information that — </w:t>
      </w:r>
    </w:p>
    <w:p>
      <w:pPr>
        <w:pStyle w:val="Indenta"/>
      </w:pPr>
      <w:r>
        <w:tab/>
        <w:t>(a)</w:t>
      </w:r>
      <w:r>
        <w:tab/>
        <w:t>the person knows is false or misleading in a material particular; or</w:t>
      </w:r>
    </w:p>
    <w:p>
      <w:pPr>
        <w:pStyle w:val="Indenta"/>
      </w:pPr>
      <w:r>
        <w:tab/>
        <w:t>(b)</w:t>
      </w:r>
      <w:r>
        <w:tab/>
        <w:t>omits anything without which the statement or information is, to the person’s knowledge, misleading in a material particular.</w:t>
      </w:r>
    </w:p>
    <w:p>
      <w:pPr>
        <w:pStyle w:val="Footnotesection"/>
      </w:pPr>
      <w:r>
        <w:tab/>
        <w:t>[Section 43AA inserted: No. 29 of 2021 s. 33.]</w:t>
      </w:r>
    </w:p>
    <w:p>
      <w:pPr>
        <w:pStyle w:val="Heading5"/>
        <w:rPr>
          <w:snapToGrid w:val="0"/>
        </w:rPr>
      </w:pPr>
      <w:bookmarkStart w:id="238" w:name="_Toc183507390"/>
      <w:r>
        <w:rPr>
          <w:rStyle w:val="CharSectno"/>
        </w:rPr>
        <w:t>43A</w:t>
      </w:r>
      <w:r>
        <w:rPr>
          <w:snapToGrid w:val="0"/>
        </w:rPr>
        <w:t>.</w:t>
      </w:r>
      <w:r>
        <w:rPr>
          <w:snapToGrid w:val="0"/>
        </w:rPr>
        <w:tab/>
        <w:t>Name and address to be supplied</w:t>
      </w:r>
      <w:bookmarkEnd w:id="238"/>
      <w:r>
        <w:rPr>
          <w:snapToGrid w:val="0"/>
        </w:rPr>
        <w:t xml:space="preserve"> </w:t>
      </w:r>
    </w:p>
    <w:p>
      <w:pPr>
        <w:pStyle w:val="Subsection"/>
      </w:pPr>
      <w:r>
        <w:rPr>
          <w:snapToGrid w:val="0"/>
        </w:rPr>
        <w:tab/>
        <w:t>(1)</w:t>
      </w:r>
      <w:r>
        <w:rPr>
          <w:snapToGrid w:val="0"/>
        </w:rPr>
        <w:tab/>
      </w:r>
      <w:r>
        <w:t xml:space="preserve">In this section — </w:t>
      </w:r>
    </w:p>
    <w:p>
      <w:pPr>
        <w:pStyle w:val="Defstart"/>
      </w:pPr>
      <w:r>
        <w:tab/>
      </w:r>
      <w:r>
        <w:rPr>
          <w:rStyle w:val="CharDefText"/>
        </w:rPr>
        <w:t>relevant person</w:t>
      </w:r>
      <w:r>
        <w:t xml:space="preserve"> means an authorised person or a designated person.</w:t>
      </w:r>
    </w:p>
    <w:p>
      <w:pPr>
        <w:pStyle w:val="Subsection"/>
        <w:rPr>
          <w:snapToGrid w:val="0"/>
        </w:rPr>
      </w:pPr>
      <w:r>
        <w:rPr>
          <w:snapToGrid w:val="0"/>
        </w:rPr>
        <w:tab/>
        <w:t>(2)</w:t>
      </w:r>
      <w:r>
        <w:rPr>
          <w:snapToGrid w:val="0"/>
        </w:rPr>
        <w:tab/>
        <w:t>A person who is alleged by a relevant person to be concerned in the commission of an offence against this Act must give to that relevant person on demand their full name, date of birth and residential address.</w:t>
      </w:r>
    </w:p>
    <w:p>
      <w:pPr>
        <w:pStyle w:val="Subsection"/>
        <w:keepNext/>
      </w:pPr>
      <w:r>
        <w:tab/>
      </w:r>
      <w:r>
        <w:tab/>
        <w:t>Penalty for this subsection:</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spacing w:before="100"/>
        <w:ind w:left="890" w:hanging="890"/>
      </w:pPr>
      <w:r>
        <w:tab/>
        <w:t xml:space="preserve">[Section 43A inserted: No. 23 of 1987 s. 35; amended: No. 24 of 1996 s. 16; No. 18 of 2013 s. 49; No. 29 of 2021 s. 34.] </w:t>
      </w:r>
    </w:p>
    <w:p>
      <w:pPr>
        <w:pStyle w:val="Heading5"/>
      </w:pPr>
      <w:bookmarkStart w:id="239" w:name="_Toc91145171"/>
      <w:bookmarkStart w:id="240" w:name="_Toc183507391"/>
      <w:r>
        <w:rPr>
          <w:rStyle w:val="CharSectno"/>
        </w:rPr>
        <w:lastRenderedPageBreak/>
        <w:t>43B</w:t>
      </w:r>
      <w:r>
        <w:t>.</w:t>
      </w:r>
      <w:r>
        <w:tab/>
        <w:t>General powers of relevant persons</w:t>
      </w:r>
      <w:bookmarkEnd w:id="239"/>
      <w:bookmarkEnd w:id="240"/>
    </w:p>
    <w:p>
      <w:pPr>
        <w:pStyle w:val="Subsection"/>
        <w:keepNext/>
      </w:pPr>
      <w:r>
        <w:rPr>
          <w:snapToGrid w:val="0"/>
        </w:rPr>
        <w:tab/>
        <w:t>(1)</w:t>
      </w:r>
      <w:r>
        <w:rPr>
          <w:snapToGrid w:val="0"/>
        </w:rPr>
        <w:tab/>
      </w:r>
      <w:r>
        <w:t xml:space="preserve">In this section — </w:t>
      </w:r>
    </w:p>
    <w:p>
      <w:pPr>
        <w:pStyle w:val="Defstart"/>
      </w:pPr>
      <w:r>
        <w:tab/>
      </w:r>
      <w:r>
        <w:rPr>
          <w:rStyle w:val="CharDefText"/>
        </w:rPr>
        <w:t>authorised purpose</w:t>
      </w:r>
      <w:r>
        <w:t xml:space="preserve"> means the purpose of investigating whether, or collecting evidence that — </w:t>
      </w:r>
    </w:p>
    <w:p>
      <w:pPr>
        <w:pStyle w:val="Defpara"/>
      </w:pPr>
      <w:r>
        <w:tab/>
        <w:t>(a)</w:t>
      </w:r>
      <w:r>
        <w:tab/>
        <w:t>an offence is being, or has been, committed against this Act; or</w:t>
      </w:r>
    </w:p>
    <w:p>
      <w:pPr>
        <w:pStyle w:val="Defpara"/>
      </w:pPr>
      <w:r>
        <w:tab/>
        <w:t>(b)</w:t>
      </w:r>
      <w:r>
        <w:tab/>
        <w:t>grounds exist for the cancellation of an approval to breed, a pet shop approval or a dog supply approval;</w:t>
      </w:r>
    </w:p>
    <w:p>
      <w:pPr>
        <w:pStyle w:val="Defstart"/>
      </w:pPr>
      <w:r>
        <w:tab/>
      </w:r>
      <w:r>
        <w:rPr>
          <w:rStyle w:val="CharDefText"/>
        </w:rPr>
        <w:t>relevant person</w:t>
      </w:r>
      <w:r>
        <w:t xml:space="preserve"> means an authorised person or a designated person.</w:t>
      </w:r>
    </w:p>
    <w:p>
      <w:pPr>
        <w:pStyle w:val="Subsection"/>
      </w:pPr>
      <w:r>
        <w:tab/>
        <w:t>(2)</w:t>
      </w:r>
      <w:r>
        <w:tab/>
        <w:t xml:space="preserve">A relevant person may, in any premises lawfully entered, do any one or more of the following as is reasonably required for an authorised purpose — </w:t>
      </w:r>
    </w:p>
    <w:p>
      <w:pPr>
        <w:pStyle w:val="Indenta"/>
      </w:pPr>
      <w:r>
        <w:tab/>
        <w:t>(a)</w:t>
      </w:r>
      <w:r>
        <w:tab/>
        <w:t>examine, seize, copy or take extracts from a document;</w:t>
      </w:r>
    </w:p>
    <w:p>
      <w:pPr>
        <w:pStyle w:val="Indenta"/>
      </w:pPr>
      <w:r>
        <w:tab/>
        <w:t>(b)</w:t>
      </w:r>
      <w:r>
        <w:tab/>
        <w:t>take photographs, films and audio, video or other recordings;</w:t>
      </w:r>
    </w:p>
    <w:p>
      <w:pPr>
        <w:pStyle w:val="Indenta"/>
      </w:pPr>
      <w:r>
        <w:tab/>
        <w:t>(c)</w:t>
      </w:r>
      <w:r>
        <w:tab/>
        <w:t>direct a person to answer questions;</w:t>
      </w:r>
    </w:p>
    <w:p>
      <w:pPr>
        <w:pStyle w:val="Indenta"/>
      </w:pPr>
      <w:r>
        <w:tab/>
        <w:t>(d)</w:t>
      </w:r>
      <w:r>
        <w:tab/>
        <w:t>examine, including by scanning, a dog;</w:t>
      </w:r>
    </w:p>
    <w:p>
      <w:pPr>
        <w:pStyle w:val="Indenta"/>
      </w:pPr>
      <w:r>
        <w:tab/>
        <w:t>(e)</w:t>
      </w:r>
      <w:r>
        <w:tab/>
        <w:t>take any other action that the relevant person believes, on reasonable grounds, is necessary.</w:t>
      </w:r>
    </w:p>
    <w:p>
      <w:pPr>
        <w:pStyle w:val="Footnotesection"/>
        <w:keepNext/>
        <w:spacing w:before="100"/>
        <w:ind w:left="890" w:hanging="890"/>
      </w:pPr>
      <w:r>
        <w:tab/>
        <w:t>[Section 43B inserted: No. 29 of 2021 s. 35.]</w:t>
      </w:r>
    </w:p>
    <w:p>
      <w:pPr>
        <w:pStyle w:val="Heading5"/>
        <w:spacing w:before="200"/>
        <w:rPr>
          <w:snapToGrid w:val="0"/>
        </w:rPr>
      </w:pPr>
      <w:bookmarkStart w:id="241" w:name="_Toc183507392"/>
      <w:r>
        <w:rPr>
          <w:rStyle w:val="CharSectno"/>
        </w:rPr>
        <w:t>44</w:t>
      </w:r>
      <w:r>
        <w:rPr>
          <w:snapToGrid w:val="0"/>
        </w:rPr>
        <w:t>.</w:t>
      </w:r>
      <w:r>
        <w:rPr>
          <w:snapToGrid w:val="0"/>
        </w:rPr>
        <w:tab/>
        <w:t>Enforcement proceedings</w:t>
      </w:r>
      <w:bookmarkEnd w:id="241"/>
      <w:r>
        <w:rPr>
          <w:snapToGrid w:val="0"/>
        </w:rPr>
        <w:t xml:space="preserve"> </w:t>
      </w:r>
    </w:p>
    <w:p>
      <w:pPr>
        <w:pStyle w:val="Ednotesubsection"/>
      </w:pPr>
      <w:r>
        <w:tab/>
        <w:t>[(1)</w:t>
      </w:r>
      <w:r>
        <w:tab/>
        <w:t>deleted]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pPr>
      <w:r>
        <w:tab/>
        <w:t>(a)</w:t>
      </w:r>
      <w:r>
        <w:tab/>
        <w:t>by any police officer, in the name of the Crown; or</w:t>
      </w:r>
    </w:p>
    <w:p>
      <w:pPr>
        <w:pStyle w:val="Indenta"/>
      </w:pPr>
      <w:r>
        <w:tab/>
        <w:t>(b)</w:t>
      </w:r>
      <w:r>
        <w:tab/>
        <w:t>by any employee of a local government authorised in that behalf by the local government, in the name of the local government; or</w:t>
      </w:r>
    </w:p>
    <w:p>
      <w:pPr>
        <w:pStyle w:val="Indenta"/>
      </w:pPr>
      <w:r>
        <w:tab/>
        <w:t>(ba)</w:t>
      </w:r>
      <w:r>
        <w:tab/>
        <w:t>by the CEO or a designated person; or</w:t>
      </w:r>
    </w:p>
    <w:p>
      <w:pPr>
        <w:pStyle w:val="Indenta"/>
      </w:pPr>
      <w:r>
        <w:lastRenderedPageBreak/>
        <w:tab/>
        <w:t>(c)</w:t>
      </w:r>
      <w:r>
        <w:tab/>
        <w:t>by any person aggrieved.</w:t>
      </w:r>
    </w:p>
    <w:p>
      <w:pPr>
        <w:pStyle w:val="Subsection"/>
        <w:rPr>
          <w:snapToGrid w:val="0"/>
        </w:rPr>
      </w:pPr>
      <w:r>
        <w:rPr>
          <w:snapToGrid w:val="0"/>
        </w:rPr>
        <w:tab/>
        <w:t>(3)</w:t>
      </w:r>
      <w:r>
        <w:rPr>
          <w:snapToGrid w:val="0"/>
        </w:rPr>
        <w:tab/>
        <w:t xml:space="preserve">Where proceedings under this Act are taken by an employee of a local </w:t>
      </w:r>
      <w:r>
        <w:t>government, the CEO or a designated person, no proof is required that the person is authorised to take the proceedings (or, in the case of an employee of a local government, of the appointment of that employee as an employee of the local government), but the averment on the process that the person is authorised to take the proceedings is</w:t>
      </w:r>
      <w:r>
        <w:rPr>
          <w:snapToGrid w:val="0"/>
        </w:rPr>
        <w:t xml:space="preserve"> deemed to be sufficient proof of the fact.</w:t>
      </w:r>
    </w:p>
    <w:p>
      <w:pPr>
        <w:pStyle w:val="Subsection"/>
      </w:pPr>
      <w:r>
        <w:tab/>
        <w:t>(4)</w:t>
      </w:r>
      <w:r>
        <w:tab/>
        <w:t>Despite subsection (2), a prosecution of an offence against section 33GA(10) can be commenced only by a police officer.</w:t>
      </w:r>
    </w:p>
    <w:p>
      <w:pPr>
        <w:pStyle w:val="Subsection"/>
      </w:pPr>
      <w:r>
        <w:tab/>
        <w:t>(5)</w:t>
      </w:r>
      <w:r>
        <w:tab/>
        <w:t xml:space="preserve">Subsections (2) and (4) do not limit the functions of the Director of Public Prosecutions under the </w:t>
      </w:r>
      <w:r>
        <w:rPr>
          <w:i/>
        </w:rPr>
        <w:t>Director of Public Prosecutions Act 1991</w:t>
      </w:r>
      <w:r>
        <w:t xml:space="preserve"> section 11.</w:t>
      </w:r>
    </w:p>
    <w:p>
      <w:pPr>
        <w:pStyle w:val="Footnotesection"/>
        <w:spacing w:before="100"/>
        <w:ind w:left="890" w:hanging="890"/>
      </w:pPr>
      <w:r>
        <w:tab/>
        <w:t xml:space="preserve">[Section 44 amended: No. 14 of 1996 s. 4; No. 59 of 2004 s. 141; No. 18 of 2013 s. 50; No. 29 of 2021 s. 36.] </w:t>
      </w:r>
    </w:p>
    <w:p>
      <w:pPr>
        <w:pStyle w:val="Heading5"/>
        <w:keepLines w:val="0"/>
        <w:widowControl w:val="0"/>
        <w:rPr>
          <w:snapToGrid w:val="0"/>
        </w:rPr>
      </w:pPr>
      <w:bookmarkStart w:id="242" w:name="_Toc183507393"/>
      <w:r>
        <w:rPr>
          <w:rStyle w:val="CharSectno"/>
        </w:rPr>
        <w:t>45</w:t>
      </w:r>
      <w:r>
        <w:rPr>
          <w:snapToGrid w:val="0"/>
        </w:rPr>
        <w:t>.</w:t>
      </w:r>
      <w:r>
        <w:rPr>
          <w:snapToGrid w:val="0"/>
        </w:rPr>
        <w:tab/>
        <w:t>Evidentiary provisions</w:t>
      </w:r>
      <w:bookmarkEnd w:id="242"/>
      <w:r>
        <w:rPr>
          <w:snapToGrid w:val="0"/>
        </w:rPr>
        <w:t xml:space="preserve"> </w:t>
      </w:r>
    </w:p>
    <w:p>
      <w:pPr>
        <w:pStyle w:val="Subsection"/>
        <w:keepNext/>
      </w:pPr>
      <w:r>
        <w:tab/>
        <w:t>(1)</w:t>
      </w:r>
      <w:r>
        <w:tab/>
        <w:t xml:space="preserve">In any proceeding for an offence against this Act in relation to a specified dog — </w:t>
      </w:r>
    </w:p>
    <w:p>
      <w:pPr>
        <w:pStyle w:val="Indenta"/>
        <w:keepNext/>
      </w:pPr>
      <w:r>
        <w:tab/>
        <w:t>(a)</w:t>
      </w:r>
      <w:r>
        <w:tab/>
        <w:t xml:space="preserve">an averment in a prosecution notice alleging an offence against this Act that at a particular time — </w:t>
      </w:r>
    </w:p>
    <w:p>
      <w:pPr>
        <w:pStyle w:val="Indenti"/>
      </w:pPr>
      <w:r>
        <w:tab/>
        <w:t>(i)</w:t>
      </w:r>
      <w:r>
        <w:tab/>
        <w:t>a specified person was the registered owner of the dog; or</w:t>
      </w:r>
    </w:p>
    <w:p>
      <w:pPr>
        <w:pStyle w:val="Indenti"/>
      </w:pPr>
      <w:r>
        <w:tab/>
        <w:t>(ii)</w:t>
      </w:r>
      <w:r>
        <w:tab/>
        <w:t>the dog was ordinarily kept by a specified person; or</w:t>
      </w:r>
    </w:p>
    <w:p>
      <w:pPr>
        <w:pStyle w:val="Indenti"/>
      </w:pPr>
      <w:r>
        <w:tab/>
        <w:t>(iii)</w:t>
      </w:r>
      <w:r>
        <w:tab/>
        <w:t>a specified person had the dog in the person’s possession or under the person’s control; or</w:t>
      </w:r>
    </w:p>
    <w:p>
      <w:pPr>
        <w:pStyle w:val="Indenti"/>
      </w:pPr>
      <w:r>
        <w:tab/>
        <w:t>(iv)</w:t>
      </w:r>
      <w:r>
        <w:tab/>
        <w:t>a specified person was the occupier of any premises where the dog was ordinarily kept or ordinarily permitted to live; or</w:t>
      </w:r>
    </w:p>
    <w:p>
      <w:pPr>
        <w:pStyle w:val="Indenti"/>
      </w:pPr>
      <w:r>
        <w:tab/>
        <w:t>(v)</w:t>
      </w:r>
      <w:r>
        <w:tab/>
        <w:t>the dog was not registered; or</w:t>
      </w:r>
    </w:p>
    <w:p>
      <w:pPr>
        <w:pStyle w:val="Indenti"/>
      </w:pPr>
      <w:r>
        <w:lastRenderedPageBreak/>
        <w:tab/>
        <w:t>(vi)</w:t>
      </w:r>
      <w:r>
        <w:tab/>
        <w:t>the dog was of a particular breed or was a mix of particular breeds; or</w:t>
      </w:r>
    </w:p>
    <w:p>
      <w:pPr>
        <w:pStyle w:val="Indenti"/>
      </w:pPr>
      <w:r>
        <w:tab/>
        <w:t>(vii)</w:t>
      </w:r>
      <w:r>
        <w:tab/>
        <w:t>the dog was not sterilised; or</w:t>
      </w:r>
    </w:p>
    <w:p>
      <w:pPr>
        <w:pStyle w:val="Indenti"/>
      </w:pPr>
      <w:r>
        <w:tab/>
        <w:t>(viii)</w:t>
      </w:r>
      <w:r>
        <w:tab/>
        <w:t>the dog was not microchipped; or</w:t>
      </w:r>
    </w:p>
    <w:p>
      <w:pPr>
        <w:pStyle w:val="Indenti"/>
      </w:pPr>
      <w:r>
        <w:tab/>
        <w:t>(ix)</w:t>
      </w:r>
      <w:r>
        <w:tab/>
        <w:t>that a specified person’s name was recorded as the owner of the dog in a microchip database; or</w:t>
      </w:r>
    </w:p>
    <w:p>
      <w:pPr>
        <w:pStyle w:val="Indenti"/>
      </w:pPr>
      <w:r>
        <w:tab/>
        <w:t>(x)</w:t>
      </w:r>
      <w:r>
        <w:tab/>
        <w:t>that a specified database was a microchip database; or</w:t>
      </w:r>
    </w:p>
    <w:p>
      <w:pPr>
        <w:pStyle w:val="Indenti"/>
      </w:pPr>
      <w:r>
        <w:tab/>
        <w:t>(xi)</w:t>
      </w:r>
      <w:r>
        <w:tab/>
        <w:t>that a specified person or body was a microchip database company in relation to the dog; or</w:t>
      </w:r>
    </w:p>
    <w:p>
      <w:pPr>
        <w:pStyle w:val="Indenti"/>
      </w:pPr>
      <w:r>
        <w:tab/>
        <w:t>(xii)</w:t>
      </w:r>
      <w:r>
        <w:tab/>
        <w:t>the dog had reached 3 months of age; or</w:t>
      </w:r>
    </w:p>
    <w:p>
      <w:pPr>
        <w:pStyle w:val="Indenti"/>
      </w:pPr>
      <w:r>
        <w:tab/>
        <w:t>(xiii)</w:t>
      </w:r>
      <w:r>
        <w:tab/>
        <w:t>the dog was under 3 months of age; or</w:t>
      </w:r>
    </w:p>
    <w:p>
      <w:pPr>
        <w:pStyle w:val="Indenti"/>
      </w:pPr>
      <w:r>
        <w:tab/>
        <w:t>(xiv)</w:t>
      </w:r>
      <w:r>
        <w:tab/>
        <w:t>the dog was the pup of a particular dog,</w:t>
      </w:r>
    </w:p>
    <w:p>
      <w:pPr>
        <w:pStyle w:val="Indenta"/>
      </w:pPr>
      <w:r>
        <w:tab/>
      </w:r>
      <w:r>
        <w:tab/>
        <w:t>is evidence of that fact; and</w:t>
      </w:r>
    </w:p>
    <w:p>
      <w:pPr>
        <w:pStyle w:val="Indenta"/>
      </w:pPr>
      <w:r>
        <w:tab/>
        <w:t>(b)</w:t>
      </w:r>
      <w:r>
        <w:tab/>
        <w:t>the onus of proving that at a particular time the dog was registered, sterilised, microchipped or was under the age of 3 months lies on the person making that assertion.</w:t>
      </w:r>
    </w:p>
    <w:p>
      <w:pPr>
        <w:pStyle w:val="Subsection"/>
      </w:pPr>
      <w:r>
        <w:tab/>
        <w:t>(2A)</w:t>
      </w:r>
      <w:r>
        <w:tab/>
        <w:t>In any proceedings, whether civil or criminal, the onus of proving that a particular dog was not a dangerous dog (restricted breed)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No. 23 of 1987 s. 36; amended: No. 18 of 2013 s. 51.] </w:t>
      </w:r>
    </w:p>
    <w:p>
      <w:pPr>
        <w:pStyle w:val="Heading5"/>
        <w:rPr>
          <w:snapToGrid w:val="0"/>
        </w:rPr>
      </w:pPr>
      <w:bookmarkStart w:id="243" w:name="_Toc183507394"/>
      <w:r>
        <w:rPr>
          <w:rStyle w:val="CharSectno"/>
        </w:rPr>
        <w:lastRenderedPageBreak/>
        <w:t>45A</w:t>
      </w:r>
      <w:r>
        <w:rPr>
          <w:snapToGrid w:val="0"/>
        </w:rPr>
        <w:t>.</w:t>
      </w:r>
      <w:r>
        <w:rPr>
          <w:snapToGrid w:val="0"/>
        </w:rPr>
        <w:tab/>
        <w:t>Modified penalties</w:t>
      </w:r>
      <w:bookmarkEnd w:id="243"/>
      <w:r>
        <w:rPr>
          <w:snapToGrid w:val="0"/>
        </w:rPr>
        <w:t xml:space="preserve"> </w:t>
      </w:r>
    </w:p>
    <w:p>
      <w:pPr>
        <w:pStyle w:val="Subsection"/>
      </w:pPr>
      <w:r>
        <w:tab/>
        <w:t>(1)</w:t>
      </w:r>
      <w:r>
        <w:tab/>
        <w:t xml:space="preserve">Regulations may provide for a modified penalty for an offence — </w:t>
      </w:r>
    </w:p>
    <w:p>
      <w:pPr>
        <w:pStyle w:val="Indenta"/>
      </w:pPr>
      <w:r>
        <w:tab/>
        <w:t>(a)</w:t>
      </w:r>
      <w:r>
        <w:tab/>
        <w:t>against a provision of this Act, other than the regulations, for which the maximum penalty does not exceed $10 000; or</w:t>
      </w:r>
    </w:p>
    <w:p>
      <w:pPr>
        <w:pStyle w:val="Indenta"/>
      </w:pPr>
      <w:r>
        <w:tab/>
        <w:t>(b)</w:t>
      </w:r>
      <w:r>
        <w:tab/>
        <w:t>a regulation made under section 48 or 54.</w:t>
      </w:r>
    </w:p>
    <w:p>
      <w:pPr>
        <w:pStyle w:val="Subsection"/>
      </w:pPr>
      <w:r>
        <w:tab/>
        <w:t>(2)</w:t>
      </w:r>
      <w:r>
        <w:tab/>
        <w:t>Local laws may provide for a modified penalty for an offence against those local laws.</w:t>
      </w:r>
    </w:p>
    <w:p>
      <w:pPr>
        <w:pStyle w:val="Subsection"/>
        <w:rPr>
          <w:snapToGrid w:val="0"/>
        </w:rPr>
      </w:pPr>
      <w:r>
        <w:tab/>
        <w:t>(3)</w:t>
      </w:r>
      <w:r>
        <w:tab/>
      </w:r>
      <w:r>
        <w:rPr>
          <w:snapToGrid w:val="0"/>
        </w:rPr>
        <w:t>A modified penalty for an offence must not exceed 10% of the maximum penalty for that offence.</w:t>
      </w:r>
    </w:p>
    <w:p>
      <w:pPr>
        <w:pStyle w:val="Subsection"/>
        <w:rPr>
          <w:snapToGrid w:val="0"/>
        </w:rPr>
      </w:pPr>
      <w:r>
        <w:rPr>
          <w:snapToGrid w:val="0"/>
        </w:rPr>
        <w:tab/>
        <w:t>(4)</w:t>
      </w:r>
      <w:r>
        <w:rPr>
          <w:snapToGrid w:val="0"/>
        </w:rPr>
        <w:tab/>
        <w:t xml:space="preserve">Where a person does not contest an allegation that he committed an offence to which a modified penalty applies, the production of an acknowledgement from </w:t>
      </w:r>
      <w:r>
        <w:t>the local government or designated person by whom that person was notified of the commission of the offence that the modified penalty has been paid to that local government or designated person is</w:t>
      </w:r>
      <w:r>
        <w:rPr>
          <w:snapToGrid w:val="0"/>
        </w:rPr>
        <w:t xml:space="preserv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No. 23 of 1987 s. 37; amended: No. 14 of 1996 s. 4; No. 24 of 1996 s. 14 and 16; No. 18 of 2013 s. 52; No. 29 of 2021 s. 38.] </w:t>
      </w:r>
    </w:p>
    <w:p>
      <w:pPr>
        <w:pStyle w:val="Heading5"/>
      </w:pPr>
      <w:bookmarkStart w:id="244" w:name="_Toc183507395"/>
      <w:r>
        <w:rPr>
          <w:rStyle w:val="CharSectno"/>
        </w:rPr>
        <w:lastRenderedPageBreak/>
        <w:t>46A</w:t>
      </w:r>
      <w:r>
        <w:t>.</w:t>
      </w:r>
      <w:r>
        <w:tab/>
        <w:t>Order to attend dog training course, ban on owning or keeping dogs</w:t>
      </w:r>
      <w:bookmarkEnd w:id="244"/>
    </w:p>
    <w:p>
      <w:pPr>
        <w:pStyle w:val="Subsection"/>
      </w:pPr>
      <w:r>
        <w:tab/>
        <w:t>(1)</w:t>
      </w:r>
      <w:r>
        <w:tab/>
        <w:t xml:space="preserve">A court that convicts a person of — </w:t>
      </w:r>
    </w:p>
    <w:p>
      <w:pPr>
        <w:pStyle w:val="Indenta"/>
      </w:pPr>
      <w:r>
        <w:tab/>
        <w:t>(a)</w:t>
      </w:r>
      <w:r>
        <w:tab/>
        <w:t>an offence against this Act for which there is a minimum penalty may, in addition to imposing a penalty, order the person to attend with the dog and complete a dog training course specified in the order; or</w:t>
      </w:r>
    </w:p>
    <w:p>
      <w:pPr>
        <w:pStyle w:val="Indenta"/>
      </w:pPr>
      <w:r>
        <w:tab/>
        <w:t>(b)</w:t>
      </w:r>
      <w:r>
        <w:tab/>
        <w:t>any other offence against this Act may, as an alternative to or in addition to, imposing a penalty, order the person to attend with the dog and complete a dog training course specified in the order.</w:t>
      </w:r>
    </w:p>
    <w:p>
      <w:pPr>
        <w:pStyle w:val="Subsection"/>
      </w:pPr>
      <w:r>
        <w:tab/>
        <w:t>(2)</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pPr>
      <w:r>
        <w:tab/>
      </w:r>
      <w:r>
        <w:tab/>
        <w:t>the court may, in addition to imposing the penalty for the offence referred to in paragraph (a), order that the person is banned from owning or keeping a dog permanently or for a period specified in the order.</w:t>
      </w:r>
    </w:p>
    <w:p>
      <w:pPr>
        <w:pStyle w:val="Subsection"/>
        <w:keepNext/>
      </w:pPr>
      <w:r>
        <w:tab/>
        <w:t>(3)</w:t>
      </w:r>
      <w:r>
        <w:tab/>
        <w:t xml:space="preserve">A court that makes an order made under subsection (1) or (2) is to provide a copy of the order to — </w:t>
      </w:r>
    </w:p>
    <w:p>
      <w:pPr>
        <w:pStyle w:val="Indenta"/>
        <w:keepNext/>
      </w:pPr>
      <w:r>
        <w:tab/>
        <w:t>(a)</w:t>
      </w:r>
      <w:r>
        <w:tab/>
        <w:t>the local government for the district in which the person subject to the order lives; and</w:t>
      </w:r>
    </w:p>
    <w:p>
      <w:pPr>
        <w:pStyle w:val="Indenta"/>
      </w:pPr>
      <w:r>
        <w:tab/>
        <w:t>(b)</w:t>
      </w:r>
      <w:r>
        <w:tab/>
        <w:t>the CEO.</w:t>
      </w:r>
    </w:p>
    <w:p>
      <w:pPr>
        <w:pStyle w:val="Subsection"/>
      </w:pPr>
      <w:r>
        <w:tab/>
        <w:t>(4)</w:t>
      </w:r>
      <w:r>
        <w:tab/>
        <w:t>A person who does not comply with an order made under subsection (1) or (2) is guilty of contempt of court.</w:t>
      </w:r>
    </w:p>
    <w:p>
      <w:pPr>
        <w:pStyle w:val="Subsection"/>
      </w:pPr>
      <w:r>
        <w:tab/>
        <w:t>(5)</w:t>
      </w:r>
      <w:r>
        <w:tab/>
        <w:t xml:space="preserve">A person who is guilty of contempt of court under subsection (4) may be summarily convicted by the Court and on conviction is liable to imprisonment for a term not exceeding 12 months, or to a fine not exceeding $5 000, or to both, or in </w:t>
      </w:r>
      <w:r>
        <w:lastRenderedPageBreak/>
        <w:t>default of immediate payment of the fine imposed, to imprisonment —</w:t>
      </w:r>
    </w:p>
    <w:p>
      <w:pPr>
        <w:pStyle w:val="Indenta"/>
      </w:pPr>
      <w:r>
        <w:tab/>
        <w:t>(a)</w:t>
      </w:r>
      <w:r>
        <w:tab/>
        <w:t>until the fine is paid; or</w:t>
      </w:r>
    </w:p>
    <w:p>
      <w:pPr>
        <w:pStyle w:val="Indenta"/>
      </w:pPr>
      <w:r>
        <w:tab/>
        <w:t>(b)</w:t>
      </w:r>
      <w:r>
        <w:tab/>
        <w:t>for a term not exceeding 12 months,</w:t>
      </w:r>
    </w:p>
    <w:p>
      <w:pPr>
        <w:pStyle w:val="Subsection"/>
      </w:pPr>
      <w:r>
        <w:tab/>
      </w:r>
      <w:r>
        <w:tab/>
        <w:t>whichever may be the shorter period.</w:t>
      </w:r>
    </w:p>
    <w:p>
      <w:pPr>
        <w:pStyle w:val="Footnotesection"/>
      </w:pPr>
      <w:r>
        <w:tab/>
        <w:t xml:space="preserve">[Section 46A inserted: No. 18 of 2013 s. 53.] </w:t>
      </w:r>
    </w:p>
    <w:p>
      <w:pPr>
        <w:pStyle w:val="Heading2"/>
      </w:pPr>
      <w:bookmarkStart w:id="245" w:name="_Toc183090436"/>
      <w:bookmarkStart w:id="246" w:name="_Toc183182311"/>
      <w:bookmarkStart w:id="247" w:name="_Toc183419432"/>
      <w:bookmarkStart w:id="248" w:name="_Toc183423496"/>
      <w:bookmarkStart w:id="249" w:name="_Toc183507396"/>
      <w:r>
        <w:rPr>
          <w:rStyle w:val="CharPartNo"/>
        </w:rPr>
        <w:lastRenderedPageBreak/>
        <w:t>Part VIII</w:t>
      </w:r>
      <w:r>
        <w:rPr>
          <w:rStyle w:val="CharDivNo"/>
        </w:rPr>
        <w:t> </w:t>
      </w:r>
      <w:r>
        <w:t>—</w:t>
      </w:r>
      <w:r>
        <w:rPr>
          <w:rStyle w:val="CharDivText"/>
        </w:rPr>
        <w:t> </w:t>
      </w:r>
      <w:r>
        <w:rPr>
          <w:rStyle w:val="CharPartText"/>
        </w:rPr>
        <w:t>Civil remedies, etc.</w:t>
      </w:r>
      <w:bookmarkEnd w:id="245"/>
      <w:bookmarkEnd w:id="246"/>
      <w:bookmarkEnd w:id="247"/>
      <w:bookmarkEnd w:id="248"/>
      <w:bookmarkEnd w:id="249"/>
      <w:r>
        <w:rPr>
          <w:rStyle w:val="CharPartText"/>
        </w:rPr>
        <w:t xml:space="preserve"> </w:t>
      </w:r>
    </w:p>
    <w:p>
      <w:pPr>
        <w:pStyle w:val="Heading5"/>
        <w:spacing w:before="260"/>
        <w:rPr>
          <w:snapToGrid w:val="0"/>
        </w:rPr>
      </w:pPr>
      <w:bookmarkStart w:id="250" w:name="_Toc183507397"/>
      <w:r>
        <w:rPr>
          <w:rStyle w:val="CharSectno"/>
        </w:rPr>
        <w:t>46</w:t>
      </w:r>
      <w:r>
        <w:rPr>
          <w:snapToGrid w:val="0"/>
        </w:rPr>
        <w:t>.</w:t>
      </w:r>
      <w:r>
        <w:rPr>
          <w:snapToGrid w:val="0"/>
        </w:rPr>
        <w:tab/>
        <w:t>Damages</w:t>
      </w:r>
      <w:bookmarkEnd w:id="250"/>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lastRenderedPageBreak/>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No. 23 of 1987 s. 38; No. 24 of 1996 s. 15.] </w:t>
      </w:r>
    </w:p>
    <w:p>
      <w:pPr>
        <w:pStyle w:val="Heading5"/>
      </w:pPr>
      <w:bookmarkStart w:id="251" w:name="_Toc183507398"/>
      <w:r>
        <w:rPr>
          <w:rStyle w:val="CharSectno"/>
        </w:rPr>
        <w:t>47</w:t>
      </w:r>
      <w:r>
        <w:t>.</w:t>
      </w:r>
      <w:r>
        <w:tab/>
        <w:t>Veterinary service expenses recoverable from local government</w:t>
      </w:r>
      <w:bookmarkEnd w:id="251"/>
    </w:p>
    <w:p>
      <w:pPr>
        <w:pStyle w:val="Subsection"/>
      </w:pPr>
      <w:r>
        <w:tab/>
        <w:t>(1)</w:t>
      </w:r>
      <w:r>
        <w:tab/>
        <w:t xml:space="preserve">In this section — </w:t>
      </w:r>
    </w:p>
    <w:p>
      <w:pPr>
        <w:pStyle w:val="Defstart"/>
      </w:pPr>
      <w:r>
        <w:tab/>
      </w:r>
      <w:r>
        <w:rPr>
          <w:rStyle w:val="CharDefText"/>
        </w:rPr>
        <w:t>representative</w:t>
      </w:r>
      <w:r>
        <w:t xml:space="preserve">, in relation to a local government, means — </w:t>
      </w:r>
    </w:p>
    <w:p>
      <w:pPr>
        <w:pStyle w:val="Defpara"/>
      </w:pPr>
      <w:r>
        <w:tab/>
        <w:t>(a)</w:t>
      </w:r>
      <w:r>
        <w:tab/>
        <w:t>a person who is an authorised person by virtue of an appointment or designation made by that local government; or</w:t>
      </w:r>
    </w:p>
    <w:p>
      <w:pPr>
        <w:pStyle w:val="Defpara"/>
      </w:pPr>
      <w:r>
        <w:tab/>
        <w:t>(b)</w:t>
      </w:r>
      <w:r>
        <w:tab/>
        <w:t>an employee of the local government,</w:t>
      </w:r>
    </w:p>
    <w:p>
      <w:pPr>
        <w:pStyle w:val="Defstart"/>
      </w:pPr>
      <w:r>
        <w:tab/>
        <w:t>who, at the relevant time, is performing a function on behalf of the local government.</w:t>
      </w:r>
    </w:p>
    <w:p>
      <w:pPr>
        <w:pStyle w:val="Subsection"/>
      </w:pPr>
      <w:r>
        <w:tab/>
        <w:t>(2)</w:t>
      </w:r>
      <w:r>
        <w:tab/>
        <w:t>A local government is liable to pay for the veterinary services requested in respect of a dog by a representative of the local government.</w:t>
      </w:r>
    </w:p>
    <w:p>
      <w:pPr>
        <w:pStyle w:val="Subsection"/>
      </w:pPr>
      <w:r>
        <w:lastRenderedPageBreak/>
        <w:tab/>
        <w:t>(3)</w:t>
      </w:r>
      <w:r>
        <w:tab/>
        <w:t>A veterinarian who provides services in respect of a dog at the request of a local government’s representative may recover the amount of the costs for the services from the local government in a court of competent jurisdiction.</w:t>
      </w:r>
    </w:p>
    <w:p>
      <w:pPr>
        <w:pStyle w:val="Footnotesection"/>
      </w:pPr>
      <w:r>
        <w:tab/>
        <w:t xml:space="preserve">[Section 47 inserted: No. 18 of 2013 s. 54; amended: No. 19 of 2016 s. 133.] </w:t>
      </w:r>
    </w:p>
    <w:p>
      <w:pPr>
        <w:pStyle w:val="Heading2"/>
      </w:pPr>
      <w:bookmarkStart w:id="252" w:name="_Toc183090439"/>
      <w:bookmarkStart w:id="253" w:name="_Toc183182314"/>
      <w:bookmarkStart w:id="254" w:name="_Toc183419435"/>
      <w:bookmarkStart w:id="255" w:name="_Toc183423499"/>
      <w:bookmarkStart w:id="256" w:name="_Toc183507399"/>
      <w:r>
        <w:rPr>
          <w:rStyle w:val="CharPartNo"/>
        </w:rPr>
        <w:lastRenderedPageBreak/>
        <w:t>Part IX</w:t>
      </w:r>
      <w:r>
        <w:rPr>
          <w:rStyle w:val="CharDivNo"/>
        </w:rPr>
        <w:t> </w:t>
      </w:r>
      <w:r>
        <w:t>—</w:t>
      </w:r>
      <w:r>
        <w:rPr>
          <w:rStyle w:val="CharDivText"/>
        </w:rPr>
        <w:t> </w:t>
      </w:r>
      <w:r>
        <w:rPr>
          <w:rStyle w:val="CharPartText"/>
        </w:rPr>
        <w:t>Local laws</w:t>
      </w:r>
      <w:bookmarkEnd w:id="252"/>
      <w:bookmarkEnd w:id="253"/>
      <w:bookmarkEnd w:id="254"/>
      <w:bookmarkEnd w:id="255"/>
      <w:bookmarkEnd w:id="256"/>
      <w:r>
        <w:rPr>
          <w:rStyle w:val="CharPartText"/>
        </w:rPr>
        <w:t xml:space="preserve"> </w:t>
      </w:r>
    </w:p>
    <w:p>
      <w:pPr>
        <w:pStyle w:val="Footnoteheading"/>
        <w:ind w:left="890"/>
        <w:rPr>
          <w:snapToGrid w:val="0"/>
        </w:rPr>
      </w:pPr>
      <w:r>
        <w:rPr>
          <w:snapToGrid w:val="0"/>
        </w:rPr>
        <w:tab/>
        <w:t xml:space="preserve">[Heading amended: No. 14 of 1996 s. 4.] </w:t>
      </w:r>
    </w:p>
    <w:p>
      <w:pPr>
        <w:pStyle w:val="Heading5"/>
        <w:rPr>
          <w:snapToGrid w:val="0"/>
        </w:rPr>
      </w:pPr>
      <w:bookmarkStart w:id="257" w:name="_Toc183507400"/>
      <w:r>
        <w:rPr>
          <w:rStyle w:val="CharSectno"/>
        </w:rPr>
        <w:t>48</w:t>
      </w:r>
      <w:r>
        <w:rPr>
          <w:snapToGrid w:val="0"/>
        </w:rPr>
        <w:t>.</w:t>
      </w:r>
      <w:r>
        <w:rPr>
          <w:snapToGrid w:val="0"/>
        </w:rPr>
        <w:tab/>
        <w:t>Regulations to operate as local laws</w:t>
      </w:r>
      <w:bookmarkEnd w:id="257"/>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No. 14 of 1996 s. 4.] </w:t>
      </w:r>
    </w:p>
    <w:p>
      <w:pPr>
        <w:pStyle w:val="Heading5"/>
        <w:rPr>
          <w:snapToGrid w:val="0"/>
        </w:rPr>
      </w:pPr>
      <w:bookmarkStart w:id="258" w:name="_Toc183507401"/>
      <w:r>
        <w:rPr>
          <w:rStyle w:val="CharSectno"/>
        </w:rPr>
        <w:t>49</w:t>
      </w:r>
      <w:r>
        <w:rPr>
          <w:snapToGrid w:val="0"/>
        </w:rPr>
        <w:t>.</w:t>
      </w:r>
      <w:r>
        <w:rPr>
          <w:snapToGrid w:val="0"/>
        </w:rPr>
        <w:tab/>
        <w:t>Local laws</w:t>
      </w:r>
      <w:bookmarkEnd w:id="258"/>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 and</w:t>
      </w:r>
    </w:p>
    <w:p>
      <w:pPr>
        <w:pStyle w:val="Indenta"/>
      </w:pPr>
      <w:r>
        <w:tab/>
        <w:t>(b)</w:t>
      </w:r>
      <w:r>
        <w:tab/>
        <w:t xml:space="preserve">in accordance with Subdivision 2 of Division 2 of Part 3 of the </w:t>
      </w:r>
      <w:r>
        <w:rPr>
          <w:i/>
        </w:rPr>
        <w:t>Local Government Act 1995</w:t>
      </w:r>
      <w:r>
        <w:t>; and</w:t>
      </w:r>
    </w:p>
    <w:p>
      <w:pPr>
        <w:pStyle w:val="Indenta"/>
        <w:keepNext/>
      </w:pPr>
      <w:r>
        <w:lastRenderedPageBreak/>
        <w:tab/>
        <w:t>(c)</w:t>
      </w:r>
      <w:r>
        <w:tab/>
        <w:t>for the purposes permitted by section 51.</w:t>
      </w:r>
    </w:p>
    <w:p>
      <w:pPr>
        <w:pStyle w:val="Footnotesection"/>
        <w:ind w:left="890" w:hanging="890"/>
      </w:pPr>
      <w:r>
        <w:tab/>
        <w:t xml:space="preserve">[Section 49 inserted: No. 14 of 1996 s. 4.] </w:t>
      </w:r>
    </w:p>
    <w:p>
      <w:pPr>
        <w:pStyle w:val="Heading5"/>
        <w:rPr>
          <w:snapToGrid w:val="0"/>
        </w:rPr>
      </w:pPr>
      <w:bookmarkStart w:id="259" w:name="_Toc183507402"/>
      <w:r>
        <w:rPr>
          <w:rStyle w:val="CharSectno"/>
        </w:rPr>
        <w:t>49A</w:t>
      </w:r>
      <w:r>
        <w:rPr>
          <w:snapToGrid w:val="0"/>
        </w:rPr>
        <w:t>.</w:t>
      </w:r>
      <w:r>
        <w:rPr>
          <w:snapToGrid w:val="0"/>
        </w:rPr>
        <w:tab/>
        <w:t>Model local laws</w:t>
      </w:r>
      <w:bookmarkEnd w:id="259"/>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No. 14 of 1996 s. 4.] </w:t>
      </w:r>
    </w:p>
    <w:p>
      <w:pPr>
        <w:pStyle w:val="Heading5"/>
        <w:rPr>
          <w:snapToGrid w:val="0"/>
        </w:rPr>
      </w:pPr>
      <w:bookmarkStart w:id="260" w:name="_Toc183507403"/>
      <w:r>
        <w:rPr>
          <w:rStyle w:val="CharSectno"/>
        </w:rPr>
        <w:t>49B</w:t>
      </w:r>
      <w:r>
        <w:rPr>
          <w:snapToGrid w:val="0"/>
        </w:rPr>
        <w:t>.</w:t>
      </w:r>
      <w:r>
        <w:rPr>
          <w:snapToGrid w:val="0"/>
        </w:rPr>
        <w:tab/>
        <w:t>Governor may amend or repeal local laws</w:t>
      </w:r>
      <w:bookmarkEnd w:id="260"/>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lastRenderedPageBreak/>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No. 14 of 1996 s. 4.] </w:t>
      </w:r>
    </w:p>
    <w:p>
      <w:pPr>
        <w:pStyle w:val="Heading5"/>
        <w:rPr>
          <w:snapToGrid w:val="0"/>
        </w:rPr>
      </w:pPr>
      <w:bookmarkStart w:id="261" w:name="_Toc183507404"/>
      <w:r>
        <w:rPr>
          <w:rStyle w:val="CharSectno"/>
        </w:rPr>
        <w:t>50</w:t>
      </w:r>
      <w:r>
        <w:rPr>
          <w:snapToGrid w:val="0"/>
        </w:rPr>
        <w:t>.</w:t>
      </w:r>
      <w:r>
        <w:rPr>
          <w:snapToGrid w:val="0"/>
        </w:rPr>
        <w:tab/>
        <w:t>General provisions relating to regulations and local laws</w:t>
      </w:r>
      <w:bookmarkEnd w:id="261"/>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 xml:space="preserve">Any regulation made under section 48 or local law may make provision for the imposition of penalties not exceeding </w:t>
      </w:r>
      <w:r>
        <w:t xml:space="preserve">$5 000 </w:t>
      </w:r>
      <w:r>
        <w:rPr>
          <w:snapToGrid w:val="0"/>
        </w:rPr>
        <w:t>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lastRenderedPageBreak/>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No. 23 of 1987 s. 41; No. 14 of 1996 s. 4; No. 24 of 1996 s. 16; No. 18 of 2013 s. 55.] </w:t>
      </w:r>
    </w:p>
    <w:p>
      <w:pPr>
        <w:pStyle w:val="Heading5"/>
        <w:rPr>
          <w:snapToGrid w:val="0"/>
        </w:rPr>
      </w:pPr>
      <w:bookmarkStart w:id="262" w:name="_Toc183507405"/>
      <w:r>
        <w:rPr>
          <w:rStyle w:val="CharSectno"/>
        </w:rPr>
        <w:t>51</w:t>
      </w:r>
      <w:r>
        <w:rPr>
          <w:snapToGrid w:val="0"/>
        </w:rPr>
        <w:t>.</w:t>
      </w:r>
      <w:r>
        <w:rPr>
          <w:snapToGrid w:val="0"/>
        </w:rPr>
        <w:tab/>
        <w:t>Local law making powers</w:t>
      </w:r>
      <w:bookmarkEnd w:id="262"/>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Ednotepara"/>
      </w:pPr>
      <w:r>
        <w:tab/>
        <w:t>[(b)</w:t>
      </w:r>
      <w:r>
        <w:tab/>
        <w:t>deleted]</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where a dog is kept must be fenced in a manner capable of confining the dog;</w:t>
      </w:r>
    </w:p>
    <w:p>
      <w:pPr>
        <w:pStyle w:val="Indenta"/>
      </w:pPr>
      <w:r>
        <w:tab/>
        <w:t>(e)</w:t>
      </w:r>
      <w:r>
        <w:tab/>
        <w:t>providing for the establishment and maintenance of dog management facilities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Ednotepara"/>
      </w:pPr>
      <w:r>
        <w:tab/>
        <w:t>[(h)</w:t>
      </w:r>
      <w:r>
        <w:tab/>
        <w:t>deleted]</w:t>
      </w:r>
    </w:p>
    <w:p>
      <w:pPr>
        <w:pStyle w:val="Indenta"/>
      </w:pPr>
      <w:r>
        <w:tab/>
        <w:t>(i)</w:t>
      </w:r>
      <w:r>
        <w:tab/>
        <w:t>providing for the licensing, regulating, construction, use, and inspection of approved kennel establishments.</w:t>
      </w:r>
    </w:p>
    <w:p>
      <w:pPr>
        <w:pStyle w:val="Footnotesection"/>
      </w:pPr>
      <w:r>
        <w:tab/>
        <w:t xml:space="preserve">[Section 51 amended: No. 23 of 1987 s. 42; No. 14 of 1996 s. 4; No. 18 of 2013 s. 56.] </w:t>
      </w:r>
    </w:p>
    <w:p>
      <w:pPr>
        <w:pStyle w:val="Heading5"/>
        <w:rPr>
          <w:snapToGrid w:val="0"/>
        </w:rPr>
      </w:pPr>
      <w:bookmarkStart w:id="263" w:name="_Toc183507406"/>
      <w:r>
        <w:rPr>
          <w:rStyle w:val="CharSectno"/>
        </w:rPr>
        <w:lastRenderedPageBreak/>
        <w:t>52</w:t>
      </w:r>
      <w:r>
        <w:rPr>
          <w:snapToGrid w:val="0"/>
        </w:rPr>
        <w:t>.</w:t>
      </w:r>
      <w:r>
        <w:rPr>
          <w:snapToGrid w:val="0"/>
        </w:rPr>
        <w:tab/>
        <w:t>Revocation of local laws</w:t>
      </w:r>
      <w:bookmarkEnd w:id="263"/>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rPr>
        <w:t>Health (Miscellaneous Provisions) Act 1911</w:t>
      </w:r>
      <w:r>
        <w:t>,</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No. 14 of 1996 s. 4; No. 38 of 2005 s. 15; No. 19 of 2016 s. 134.] </w:t>
      </w:r>
    </w:p>
    <w:p>
      <w:pPr>
        <w:pStyle w:val="Heading2"/>
      </w:pPr>
      <w:bookmarkStart w:id="264" w:name="_Toc183182322"/>
      <w:bookmarkStart w:id="265" w:name="_Toc183419443"/>
      <w:bookmarkStart w:id="266" w:name="_Toc183423507"/>
      <w:bookmarkStart w:id="267" w:name="_Toc183507407"/>
      <w:r>
        <w:rPr>
          <w:rStyle w:val="CharPartNo"/>
        </w:rPr>
        <w:lastRenderedPageBreak/>
        <w:t>Part X</w:t>
      </w:r>
      <w:r>
        <w:t> —</w:t>
      </w:r>
      <w:r>
        <w:rPr>
          <w:rStyle w:val="CharPartText"/>
        </w:rPr>
        <w:t> Miscellaneous</w:t>
      </w:r>
      <w:bookmarkEnd w:id="264"/>
      <w:bookmarkEnd w:id="265"/>
      <w:bookmarkEnd w:id="266"/>
      <w:bookmarkEnd w:id="267"/>
    </w:p>
    <w:p>
      <w:pPr>
        <w:pStyle w:val="Footnoteheading"/>
      </w:pPr>
      <w:r>
        <w:tab/>
        <w:t>[Heading inserted: No. 29 of 2021 s. 39.]</w:t>
      </w:r>
    </w:p>
    <w:p>
      <w:pPr>
        <w:pStyle w:val="Heading3"/>
        <w:rPr>
          <w:bCs/>
          <w:iCs/>
        </w:rPr>
      </w:pPr>
      <w:bookmarkStart w:id="268" w:name="_Toc91144647"/>
      <w:bookmarkStart w:id="269" w:name="_Toc91144798"/>
      <w:bookmarkStart w:id="270" w:name="_Toc91145178"/>
      <w:bookmarkStart w:id="271" w:name="_Toc183182323"/>
      <w:bookmarkStart w:id="272" w:name="_Toc183419444"/>
      <w:bookmarkStart w:id="273" w:name="_Toc183423508"/>
      <w:bookmarkStart w:id="274" w:name="_Toc183507408"/>
      <w:r>
        <w:rPr>
          <w:rStyle w:val="CharDivNo"/>
          <w:bCs/>
          <w:iCs/>
        </w:rPr>
        <w:t>Division 1</w:t>
      </w:r>
      <w:r>
        <w:rPr>
          <w:bCs/>
          <w:iCs/>
        </w:rPr>
        <w:t> </w:t>
      </w:r>
      <w:r>
        <w:t>—</w:t>
      </w:r>
      <w:r>
        <w:rPr>
          <w:rStyle w:val="CharDivText"/>
          <w:bCs/>
          <w:iCs/>
        </w:rPr>
        <w:t> Regulations</w:t>
      </w:r>
      <w:bookmarkEnd w:id="268"/>
      <w:bookmarkEnd w:id="269"/>
      <w:bookmarkEnd w:id="270"/>
      <w:bookmarkEnd w:id="271"/>
      <w:bookmarkEnd w:id="272"/>
      <w:bookmarkEnd w:id="273"/>
      <w:bookmarkEnd w:id="274"/>
    </w:p>
    <w:p>
      <w:pPr>
        <w:pStyle w:val="Footnoteheading"/>
      </w:pPr>
      <w:r>
        <w:tab/>
        <w:t>[Heading inserted: No. 29 of 2021 s. 40.]</w:t>
      </w:r>
    </w:p>
    <w:p>
      <w:pPr>
        <w:pStyle w:val="Ednotesection"/>
      </w:pPr>
      <w:r>
        <w:t>[</w:t>
      </w:r>
      <w:r>
        <w:rPr>
          <w:b/>
        </w:rPr>
        <w:t>53.</w:t>
      </w:r>
      <w:r>
        <w:tab/>
        <w:t>Deleted: No. 18 of 2013 s. 57.]</w:t>
      </w:r>
    </w:p>
    <w:p>
      <w:pPr>
        <w:pStyle w:val="Heading5"/>
        <w:rPr>
          <w:snapToGrid w:val="0"/>
        </w:rPr>
      </w:pPr>
      <w:bookmarkStart w:id="275" w:name="_Toc183507409"/>
      <w:r>
        <w:rPr>
          <w:rStyle w:val="CharSectno"/>
        </w:rPr>
        <w:t>54</w:t>
      </w:r>
      <w:r>
        <w:rPr>
          <w:snapToGrid w:val="0"/>
        </w:rPr>
        <w:t>.</w:t>
      </w:r>
      <w:r>
        <w:rPr>
          <w:snapToGrid w:val="0"/>
        </w:rPr>
        <w:tab/>
        <w:t>Regulations generally</w:t>
      </w:r>
      <w:bookmarkEnd w:id="275"/>
      <w:r>
        <w:rPr>
          <w:snapToGrid w:val="0"/>
        </w:rPr>
        <w:t xml:space="preserve"> </w:t>
      </w:r>
    </w:p>
    <w:p>
      <w:pPr>
        <w:pStyle w:val="Subsection"/>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pPr>
      <w:r>
        <w:tab/>
        <w:t>(2A)</w:t>
      </w:r>
      <w:r>
        <w:tab/>
        <w:t>Without limiting subsection (1), the Governor may make regulations to make provision for a register of dangerous dogs.</w:t>
      </w:r>
    </w:p>
    <w:p>
      <w:pPr>
        <w:pStyle w:val="Subsection"/>
      </w:pPr>
      <w:r>
        <w:tab/>
        <w:t>(2B)</w:t>
      </w:r>
      <w:r>
        <w:tab/>
        <w:t xml:space="preserve">Despite the </w:t>
      </w:r>
      <w:r>
        <w:rPr>
          <w:i/>
        </w:rPr>
        <w:t>Interpretation Act 1984</w:t>
      </w:r>
      <w:r>
        <w:t xml:space="preserve"> section 41(1)(b), a regulation prescribing a breed of dog to be a restricted breed for the purposes of the definition of </w:t>
      </w:r>
      <w:r>
        <w:rPr>
          <w:b/>
          <w:bCs/>
          <w:i/>
          <w:iCs/>
        </w:rPr>
        <w:t>dangerous dog (restricted breed)</w:t>
      </w:r>
      <w:r>
        <w:t xml:space="preserve"> in section 3(1) comes into operation on the 7</w:t>
      </w:r>
      <w:r>
        <w:rPr>
          <w:vertAlign w:val="superscript"/>
        </w:rPr>
        <w:t>th</w:t>
      </w:r>
      <w:r>
        <w:t xml:space="preserve"> day after publication in the </w:t>
      </w:r>
      <w:r>
        <w:rPr>
          <w:i/>
          <w:iCs/>
        </w:rPr>
        <w:t>Gazette</w:t>
      </w:r>
      <w:r>
        <w:t xml:space="preserve"> or if a later day is specified or provided for in the regulation, on that day.</w:t>
      </w:r>
    </w:p>
    <w:p>
      <w:pPr>
        <w:pStyle w:val="Subsection"/>
      </w:pPr>
      <w:r>
        <w:tab/>
        <w:t>(2C)</w:t>
      </w:r>
      <w:r>
        <w:tab/>
        <w:t xml:space="preserve">Without limiting subsection (1), regulations may — </w:t>
      </w:r>
    </w:p>
    <w:p>
      <w:pPr>
        <w:pStyle w:val="Indenta"/>
      </w:pPr>
      <w:r>
        <w:tab/>
        <w:t>(a)</w:t>
      </w:r>
      <w:r>
        <w:tab/>
        <w:t xml:space="preserve">require or permit any notice, information or document required or authorised to be given under this Act to be given in a certain way or ways, including — </w:t>
      </w:r>
    </w:p>
    <w:p>
      <w:pPr>
        <w:pStyle w:val="Indenti"/>
      </w:pPr>
      <w:r>
        <w:tab/>
        <w:t>(i)</w:t>
      </w:r>
      <w:r>
        <w:tab/>
        <w:t xml:space="preserve">by using the centralised registration system; or </w:t>
      </w:r>
    </w:p>
    <w:p>
      <w:pPr>
        <w:pStyle w:val="Indenti"/>
      </w:pPr>
      <w:r>
        <w:tab/>
        <w:t>(ii)</w:t>
      </w:r>
      <w:r>
        <w:tab/>
        <w:t xml:space="preserve">by any other means by which the notice, information or document can be accessed electronically; </w:t>
      </w:r>
    </w:p>
    <w:p>
      <w:pPr>
        <w:pStyle w:val="Indenta"/>
      </w:pPr>
      <w:r>
        <w:tab/>
      </w:r>
      <w:r>
        <w:tab/>
        <w:t>and</w:t>
      </w:r>
    </w:p>
    <w:p>
      <w:pPr>
        <w:pStyle w:val="Indenta"/>
      </w:pPr>
      <w:r>
        <w:lastRenderedPageBreak/>
        <w:tab/>
        <w:t>(b)</w:t>
      </w:r>
      <w:r>
        <w:tab/>
        <w:t>make provision for or in relation to the time at which the notice, information or document is taken to have been given.</w:t>
      </w:r>
    </w:p>
    <w:p>
      <w:pPr>
        <w:pStyle w:val="Subsection"/>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rPr>
          <w:snapToGrid w:val="0"/>
        </w:rPr>
      </w:pPr>
      <w:r>
        <w:rPr>
          <w:snapToGrid w:val="0"/>
        </w:rPr>
        <w:tab/>
        <w:t>(3)</w:t>
      </w:r>
      <w:r>
        <w:rPr>
          <w:snapToGrid w:val="0"/>
        </w:rPr>
        <w:tab/>
        <w:t>The provisions of section 50(1), (2) and (3) have effect in relation to regulations</w:t>
      </w:r>
      <w:r>
        <w:t xml:space="preserve"> mentioned in this section in the same way that they apply to a regulation made under section 48.</w:t>
      </w:r>
    </w:p>
    <w:p>
      <w:pPr>
        <w:pStyle w:val="Footnotesection"/>
        <w:ind w:left="890" w:hanging="890"/>
      </w:pPr>
      <w:r>
        <w:tab/>
        <w:t>[Section 54 amended: No. 14 of 1996 s. 4; No. 18 of 2013 s. 58; No. 29 of 2021 s. 41.]</w:t>
      </w:r>
    </w:p>
    <w:p>
      <w:pPr>
        <w:pStyle w:val="Heading3"/>
      </w:pPr>
      <w:bookmarkStart w:id="276" w:name="_Toc91144650"/>
      <w:bookmarkStart w:id="277" w:name="_Toc91144801"/>
      <w:bookmarkStart w:id="278" w:name="_Toc91145181"/>
      <w:bookmarkStart w:id="279" w:name="_Toc183182325"/>
      <w:bookmarkStart w:id="280" w:name="_Toc183419446"/>
      <w:bookmarkStart w:id="281" w:name="_Toc183423510"/>
      <w:bookmarkStart w:id="282" w:name="_Toc183507410"/>
      <w:bookmarkStart w:id="283" w:name="_Toc183090449"/>
      <w:r>
        <w:rPr>
          <w:rStyle w:val="CharDivNo"/>
        </w:rPr>
        <w:t>Division 2</w:t>
      </w:r>
      <w:r>
        <w:t> —</w:t>
      </w:r>
      <w:r>
        <w:rPr>
          <w:rStyle w:val="CharDivText"/>
        </w:rPr>
        <w:t> Local government approvals</w:t>
      </w:r>
      <w:bookmarkEnd w:id="276"/>
      <w:bookmarkEnd w:id="277"/>
      <w:bookmarkEnd w:id="278"/>
      <w:bookmarkEnd w:id="279"/>
      <w:bookmarkEnd w:id="280"/>
      <w:bookmarkEnd w:id="281"/>
      <w:bookmarkEnd w:id="282"/>
    </w:p>
    <w:p>
      <w:pPr>
        <w:pStyle w:val="Footnoteheading"/>
      </w:pPr>
      <w:bookmarkStart w:id="284" w:name="_Toc91144651"/>
      <w:bookmarkStart w:id="285" w:name="_Toc91144802"/>
      <w:bookmarkStart w:id="286" w:name="_Toc91145182"/>
      <w:r>
        <w:tab/>
        <w:t>[Heading inserted: No. 29 of 2021 s. 42.]</w:t>
      </w:r>
    </w:p>
    <w:p>
      <w:pPr>
        <w:pStyle w:val="Heading4"/>
      </w:pPr>
      <w:bookmarkStart w:id="287" w:name="_Toc183182326"/>
      <w:bookmarkStart w:id="288" w:name="_Toc183419447"/>
      <w:bookmarkStart w:id="289" w:name="_Toc183423511"/>
      <w:bookmarkStart w:id="290" w:name="_Toc183507411"/>
      <w:r>
        <w:t>Subdivision 1 — Applications for approval</w:t>
      </w:r>
      <w:bookmarkEnd w:id="284"/>
      <w:bookmarkEnd w:id="285"/>
      <w:bookmarkEnd w:id="286"/>
      <w:bookmarkEnd w:id="287"/>
      <w:bookmarkEnd w:id="288"/>
      <w:bookmarkEnd w:id="289"/>
      <w:bookmarkEnd w:id="290"/>
    </w:p>
    <w:p>
      <w:pPr>
        <w:pStyle w:val="Footnoteheading"/>
      </w:pPr>
      <w:bookmarkStart w:id="291" w:name="_Toc91145183"/>
      <w:r>
        <w:tab/>
        <w:t>[Heading inserted: No. 29 of 2021 s. 42.]</w:t>
      </w:r>
    </w:p>
    <w:p>
      <w:pPr>
        <w:pStyle w:val="Heading5"/>
      </w:pPr>
      <w:bookmarkStart w:id="292" w:name="_Toc183507412"/>
      <w:r>
        <w:rPr>
          <w:rStyle w:val="CharSectno"/>
        </w:rPr>
        <w:t>54A</w:t>
      </w:r>
      <w:r>
        <w:t>.</w:t>
      </w:r>
      <w:r>
        <w:tab/>
        <w:t>Applications</w:t>
      </w:r>
      <w:bookmarkEnd w:id="291"/>
      <w:bookmarkEnd w:id="292"/>
    </w:p>
    <w:p>
      <w:pPr>
        <w:pStyle w:val="Subsection"/>
      </w:pPr>
      <w:r>
        <w:tab/>
        <w:t>(1)</w:t>
      </w:r>
      <w:r>
        <w:tab/>
        <w:t xml:space="preserve">An application for the grant of an approval to breed, or for the grant or renewal of a pet shop approval, must — </w:t>
      </w:r>
    </w:p>
    <w:p>
      <w:pPr>
        <w:pStyle w:val="Indenta"/>
      </w:pPr>
      <w:r>
        <w:tab/>
        <w:t>(a)</w:t>
      </w:r>
      <w:r>
        <w:tab/>
        <w:t>be made in a manner and form approved by the CEO; and</w:t>
      </w:r>
    </w:p>
    <w:p>
      <w:pPr>
        <w:pStyle w:val="Indenta"/>
      </w:pPr>
      <w:r>
        <w:tab/>
        <w:t>(b)</w:t>
      </w:r>
      <w:r>
        <w:tab/>
        <w:t>contain the information prescribed; and</w:t>
      </w:r>
    </w:p>
    <w:p>
      <w:pPr>
        <w:pStyle w:val="Indenta"/>
      </w:pPr>
      <w:r>
        <w:tab/>
        <w:t>(c)</w:t>
      </w:r>
      <w:r>
        <w:tab/>
        <w:t>be accompanied by the fee, if any, prescribed; and</w:t>
      </w:r>
    </w:p>
    <w:p>
      <w:pPr>
        <w:pStyle w:val="Indenta"/>
      </w:pPr>
      <w:r>
        <w:tab/>
        <w:t>(d)</w:t>
      </w:r>
      <w:r>
        <w:tab/>
        <w:t>comply with any other requirements that are prescribed.</w:t>
      </w:r>
    </w:p>
    <w:p>
      <w:pPr>
        <w:pStyle w:val="Subsection"/>
      </w:pPr>
      <w:r>
        <w:tab/>
        <w:t>(2)</w:t>
      </w:r>
      <w:r>
        <w:tab/>
        <w:t xml:space="preserve">A local government that receives an application may require the applicant to give the local government, within a specified time, any document or information that the local government requires </w:t>
      </w:r>
      <w:r>
        <w:lastRenderedPageBreak/>
        <w:t>to determine the application and may require the applicant to verify the information by statutory declaration.</w:t>
      </w:r>
    </w:p>
    <w:p>
      <w:pPr>
        <w:pStyle w:val="Subsection"/>
      </w:pPr>
      <w:r>
        <w:tab/>
        <w:t>(3)</w:t>
      </w:r>
      <w:r>
        <w:tab/>
        <w:t>The local government may refuse to consider an application if the applicant does not comply with a requirement under subsection (2) within the specified time.</w:t>
      </w:r>
    </w:p>
    <w:p>
      <w:pPr>
        <w:pStyle w:val="Footnotesection"/>
      </w:pPr>
      <w:bookmarkStart w:id="293" w:name="_Toc91145184"/>
      <w:r>
        <w:tab/>
        <w:t>[Section 54A inserted: No. 29 of 2021 s. 42.]</w:t>
      </w:r>
    </w:p>
    <w:p>
      <w:pPr>
        <w:pStyle w:val="Heading5"/>
      </w:pPr>
      <w:bookmarkStart w:id="294" w:name="_Toc183507413"/>
      <w:r>
        <w:rPr>
          <w:rStyle w:val="CharSectno"/>
        </w:rPr>
        <w:t>54B</w:t>
      </w:r>
      <w:r>
        <w:t>.</w:t>
      </w:r>
      <w:r>
        <w:tab/>
        <w:t>Record of approval</w:t>
      </w:r>
      <w:bookmarkEnd w:id="293"/>
      <w:bookmarkEnd w:id="294"/>
    </w:p>
    <w:p>
      <w:pPr>
        <w:pStyle w:val="Subsection"/>
      </w:pPr>
      <w:r>
        <w:tab/>
        <w:t>(1)</w:t>
      </w:r>
      <w:r>
        <w:tab/>
        <w:t>As soon as practicable after a local government makes a decision to grant or refuse to grant an approval to breed or a pet shop approval, or to renew or refuse to renew a pet shop approval, the local government is to enter the decision and the prescribed information in the centralised registration system.</w:t>
      </w:r>
    </w:p>
    <w:p>
      <w:pPr>
        <w:pStyle w:val="Subsection"/>
      </w:pPr>
      <w:r>
        <w:tab/>
        <w:t>(2)</w:t>
      </w:r>
      <w:r>
        <w:tab/>
        <w:t xml:space="preserve">A local government is to ensure that the information recorded under subsection (1) is updated to reflect — </w:t>
      </w:r>
    </w:p>
    <w:p>
      <w:pPr>
        <w:pStyle w:val="Indenta"/>
      </w:pPr>
      <w:r>
        <w:tab/>
        <w:t>(a)</w:t>
      </w:r>
      <w:r>
        <w:tab/>
        <w:t>any change to the information notified under section 54C; and</w:t>
      </w:r>
    </w:p>
    <w:p>
      <w:pPr>
        <w:pStyle w:val="Indenta"/>
      </w:pPr>
      <w:r>
        <w:tab/>
        <w:t>(b)</w:t>
      </w:r>
      <w:r>
        <w:tab/>
        <w:t>any imposition or amendment of conditions on the approval to breed or pet shop approval; and</w:t>
      </w:r>
    </w:p>
    <w:p>
      <w:pPr>
        <w:pStyle w:val="Indenta"/>
      </w:pPr>
      <w:r>
        <w:tab/>
        <w:t>(c)</w:t>
      </w:r>
      <w:r>
        <w:tab/>
        <w:t>any expiry or cancellation of the approval to breed or pet shop approval; and</w:t>
      </w:r>
    </w:p>
    <w:p>
      <w:pPr>
        <w:pStyle w:val="Indenta"/>
      </w:pPr>
      <w:r>
        <w:tab/>
        <w:t>(d)</w:t>
      </w:r>
      <w:r>
        <w:tab/>
        <w:t>the outcome of any objection or review under section 54G or 54H.</w:t>
      </w:r>
    </w:p>
    <w:p>
      <w:pPr>
        <w:pStyle w:val="Footnotesection"/>
      </w:pPr>
      <w:bookmarkStart w:id="295" w:name="_Toc91145185"/>
      <w:r>
        <w:tab/>
        <w:t>[Section 54B inserted: No. 29 of 2021 s. 42.]</w:t>
      </w:r>
    </w:p>
    <w:p>
      <w:pPr>
        <w:pStyle w:val="Heading5"/>
      </w:pPr>
      <w:bookmarkStart w:id="296" w:name="_Toc183507414"/>
      <w:r>
        <w:rPr>
          <w:rStyle w:val="CharSectno"/>
        </w:rPr>
        <w:t>54C</w:t>
      </w:r>
      <w:r>
        <w:t>.</w:t>
      </w:r>
      <w:r>
        <w:tab/>
        <w:t>Notice of change to information</w:t>
      </w:r>
      <w:bookmarkEnd w:id="295"/>
      <w:bookmarkEnd w:id="296"/>
    </w:p>
    <w:p>
      <w:pPr>
        <w:pStyle w:val="Subsection"/>
      </w:pPr>
      <w:r>
        <w:tab/>
      </w:r>
      <w:r>
        <w:tab/>
        <w:t>The holder of an approval to breed or a pet shop approval must, within 7 days after the day on which the holder becomes aware of a change to any of the information prescribed under section 54B(1) in respect of the approval, give notice in writing of the change to the local government that granted the approval.</w:t>
      </w:r>
    </w:p>
    <w:p>
      <w:pPr>
        <w:pStyle w:val="Penstart"/>
      </w:pPr>
      <w:r>
        <w:tab/>
        <w:t>Penalty: a fine of $5 000.</w:t>
      </w:r>
    </w:p>
    <w:p>
      <w:pPr>
        <w:pStyle w:val="Footnotesection"/>
      </w:pPr>
      <w:bookmarkStart w:id="297" w:name="_Toc91145186"/>
      <w:r>
        <w:lastRenderedPageBreak/>
        <w:tab/>
        <w:t>[Section 54C inserted: No. 29 of 2021 s. 42.]</w:t>
      </w:r>
    </w:p>
    <w:p>
      <w:pPr>
        <w:pStyle w:val="Heading5"/>
      </w:pPr>
      <w:bookmarkStart w:id="298" w:name="_Toc183507415"/>
      <w:r>
        <w:rPr>
          <w:rStyle w:val="CharSectno"/>
        </w:rPr>
        <w:t>54D</w:t>
      </w:r>
      <w:r>
        <w:t>.</w:t>
      </w:r>
      <w:r>
        <w:tab/>
        <w:t>Certificate and unique number to be given to holder of approval</w:t>
      </w:r>
      <w:bookmarkEnd w:id="297"/>
      <w:bookmarkEnd w:id="298"/>
    </w:p>
    <w:p>
      <w:pPr>
        <w:pStyle w:val="Subsection"/>
      </w:pPr>
      <w:r>
        <w:tab/>
        <w:t>(1)</w:t>
      </w:r>
      <w:r>
        <w:tab/>
        <w:t xml:space="preserve">If a local government grants an approval to breed or a pet shop approval to a person, the local government must — </w:t>
      </w:r>
    </w:p>
    <w:p>
      <w:pPr>
        <w:pStyle w:val="Indenta"/>
      </w:pPr>
      <w:r>
        <w:tab/>
        <w:t>(a)</w:t>
      </w:r>
      <w:r>
        <w:tab/>
        <w:t>give the person a certificate containing the prescribed information; and</w:t>
      </w:r>
    </w:p>
    <w:p>
      <w:pPr>
        <w:pStyle w:val="Indenta"/>
      </w:pPr>
      <w:r>
        <w:tab/>
        <w:t>(b)</w:t>
      </w:r>
      <w:r>
        <w:tab/>
        <w:t xml:space="preserve">in the case of a pet shop approval — issue the person with a unique number for the pet shop to which the approval relates (a </w:t>
      </w:r>
      <w:r>
        <w:rPr>
          <w:rStyle w:val="CharDefText"/>
        </w:rPr>
        <w:t>pet shop number</w:t>
      </w:r>
      <w:r>
        <w:t>).</w:t>
      </w:r>
    </w:p>
    <w:p>
      <w:pPr>
        <w:pStyle w:val="Subsection"/>
      </w:pPr>
      <w:r>
        <w:tab/>
        <w:t>(2)</w:t>
      </w:r>
      <w:r>
        <w:tab/>
        <w:t>If a local government renews a pet shop approval held by a person, the local government must give the person a certificate containing the prescribed information.</w:t>
      </w:r>
    </w:p>
    <w:p>
      <w:pPr>
        <w:pStyle w:val="Subsection"/>
      </w:pPr>
      <w:r>
        <w:tab/>
        <w:t>(3)</w:t>
      </w:r>
      <w:r>
        <w:tab/>
        <w:t>A local government may give a person who holds an approval to breed or a pet shop approval granted by the local government a new certificate if the local government is satisfied that the person’s certificate has been stolen, lost, damaged or destroyed.</w:t>
      </w:r>
    </w:p>
    <w:p>
      <w:pPr>
        <w:pStyle w:val="Footnotesection"/>
      </w:pPr>
      <w:bookmarkStart w:id="299" w:name="_Toc91144656"/>
      <w:bookmarkStart w:id="300" w:name="_Toc91144807"/>
      <w:bookmarkStart w:id="301" w:name="_Toc91145187"/>
      <w:r>
        <w:tab/>
        <w:t>[Section 54D inserted: No. 29 of 2021 s. 42.]</w:t>
      </w:r>
    </w:p>
    <w:p>
      <w:pPr>
        <w:pStyle w:val="Heading4"/>
      </w:pPr>
      <w:bookmarkStart w:id="302" w:name="_Toc183182331"/>
      <w:bookmarkStart w:id="303" w:name="_Toc183419452"/>
      <w:bookmarkStart w:id="304" w:name="_Toc183423516"/>
      <w:bookmarkStart w:id="305" w:name="_Toc183507416"/>
      <w:r>
        <w:t>Subdivision 2 — Objection and review process</w:t>
      </w:r>
      <w:bookmarkEnd w:id="299"/>
      <w:bookmarkEnd w:id="300"/>
      <w:bookmarkEnd w:id="301"/>
      <w:bookmarkEnd w:id="302"/>
      <w:bookmarkEnd w:id="303"/>
      <w:bookmarkEnd w:id="304"/>
      <w:bookmarkEnd w:id="305"/>
    </w:p>
    <w:p>
      <w:pPr>
        <w:pStyle w:val="Footnoteheading"/>
      </w:pPr>
      <w:bookmarkStart w:id="306" w:name="_Toc91145188"/>
      <w:r>
        <w:tab/>
        <w:t>[Heading inserted: No. 29 of 2021 s. 42.]</w:t>
      </w:r>
    </w:p>
    <w:p>
      <w:pPr>
        <w:pStyle w:val="Heading5"/>
      </w:pPr>
      <w:bookmarkStart w:id="307" w:name="_Toc183507417"/>
      <w:r>
        <w:rPr>
          <w:rStyle w:val="CharSectno"/>
        </w:rPr>
        <w:t>54E</w:t>
      </w:r>
      <w:r>
        <w:t>.</w:t>
      </w:r>
      <w:r>
        <w:tab/>
        <w:t>Notice of certain decisions made by local government</w:t>
      </w:r>
      <w:bookmarkEnd w:id="306"/>
      <w:bookmarkEnd w:id="307"/>
    </w:p>
    <w:p>
      <w:pPr>
        <w:pStyle w:val="Subsection"/>
      </w:pPr>
      <w:r>
        <w:tab/>
        <w:t>(1)</w:t>
      </w:r>
      <w:r>
        <w:tab/>
        <w:t xml:space="preserve">This section applies to each of the following — </w:t>
      </w:r>
    </w:p>
    <w:p>
      <w:pPr>
        <w:pStyle w:val="Indenta"/>
      </w:pPr>
      <w:r>
        <w:tab/>
        <w:t>(a)</w:t>
      </w:r>
      <w:r>
        <w:tab/>
        <w:t>a decision to refuse to grant an approval to breed;</w:t>
      </w:r>
    </w:p>
    <w:p>
      <w:pPr>
        <w:pStyle w:val="Indenta"/>
      </w:pPr>
      <w:r>
        <w:tab/>
        <w:t>(b)</w:t>
      </w:r>
      <w:r>
        <w:tab/>
        <w:t>a decision to refuse to grant or renew a pet shop approval;</w:t>
      </w:r>
    </w:p>
    <w:p>
      <w:pPr>
        <w:pStyle w:val="Indenta"/>
      </w:pPr>
      <w:r>
        <w:tab/>
        <w:t>(c)</w:t>
      </w:r>
      <w:r>
        <w:tab/>
        <w:t xml:space="preserve">a decision to cancel an approval to breed or a pet shop approval (other than a decision to cancel the approval at the request of the person who held the approval); </w:t>
      </w:r>
    </w:p>
    <w:p>
      <w:pPr>
        <w:pStyle w:val="Indenta"/>
      </w:pPr>
      <w:r>
        <w:lastRenderedPageBreak/>
        <w:tab/>
        <w:t>(d)</w:t>
      </w:r>
      <w:r>
        <w:tab/>
        <w:t>a decision to impose or amend conditions on an approval to breed or a pet shop approval.</w:t>
      </w:r>
    </w:p>
    <w:p>
      <w:pPr>
        <w:pStyle w:val="Subsection"/>
      </w:pPr>
      <w:r>
        <w:tab/>
        <w:t>(2)</w:t>
      </w:r>
      <w:r>
        <w:tab/>
        <w:t xml:space="preserve">Within 7 days after the day on which a local government makes a decision referred to in subsection (1), the local government is to give to the applicant for, or holder of, the approval to which the decision relates written notice of — </w:t>
      </w:r>
    </w:p>
    <w:p>
      <w:pPr>
        <w:pStyle w:val="Indenta"/>
      </w:pPr>
      <w:r>
        <w:tab/>
        <w:t>(a)</w:t>
      </w:r>
      <w:r>
        <w:tab/>
        <w:t>the decision; and</w:t>
      </w:r>
    </w:p>
    <w:p>
      <w:pPr>
        <w:pStyle w:val="Indenta"/>
      </w:pPr>
      <w:r>
        <w:tab/>
        <w:t>(b)</w:t>
      </w:r>
      <w:r>
        <w:tab/>
        <w:t>the reasons for the decision; and</w:t>
      </w:r>
    </w:p>
    <w:p>
      <w:pPr>
        <w:pStyle w:val="Indenta"/>
      </w:pPr>
      <w:r>
        <w:tab/>
        <w:t>(c)</w:t>
      </w:r>
      <w:r>
        <w:tab/>
        <w:t xml:space="preserve">the person’s rights under sections 54F and 54H either — </w:t>
      </w:r>
    </w:p>
    <w:p>
      <w:pPr>
        <w:pStyle w:val="Indenti"/>
      </w:pPr>
      <w:r>
        <w:tab/>
        <w:t>(i)</w:t>
      </w:r>
      <w:r>
        <w:tab/>
        <w:t>to lodge a written objection against the decision with the local government, with a subsequent right to apply to the State Administrative Tribunal for a review of the decision made by the local government on the objection; or</w:t>
      </w:r>
    </w:p>
    <w:p>
      <w:pPr>
        <w:pStyle w:val="Indenti"/>
      </w:pPr>
      <w:r>
        <w:tab/>
        <w:t>(ii)</w:t>
      </w:r>
      <w:r>
        <w:tab/>
        <w:t xml:space="preserve">to apply directly to the State Administrative Tribunal for a review of the decision. </w:t>
      </w:r>
    </w:p>
    <w:p>
      <w:pPr>
        <w:pStyle w:val="Footnotesection"/>
      </w:pPr>
      <w:bookmarkStart w:id="308" w:name="_Toc91145189"/>
      <w:r>
        <w:tab/>
        <w:t>[Section 54E inserted: No. 29 of 2021 s. 42.]</w:t>
      </w:r>
    </w:p>
    <w:p>
      <w:pPr>
        <w:pStyle w:val="Heading5"/>
      </w:pPr>
      <w:bookmarkStart w:id="309" w:name="_Toc183507418"/>
      <w:r>
        <w:rPr>
          <w:rStyle w:val="CharSectno"/>
        </w:rPr>
        <w:t>54F</w:t>
      </w:r>
      <w:r>
        <w:t>.</w:t>
      </w:r>
      <w:r>
        <w:tab/>
        <w:t>Objection may be lodged</w:t>
      </w:r>
      <w:bookmarkEnd w:id="308"/>
      <w:bookmarkEnd w:id="309"/>
    </w:p>
    <w:p>
      <w:pPr>
        <w:pStyle w:val="Subsection"/>
      </w:pPr>
      <w:r>
        <w:tab/>
        <w:t>(1)</w:t>
      </w:r>
      <w:r>
        <w:tab/>
        <w:t>A person who has been given notice under section 54E of a decision by a local government may, within 28 days after the day on which the person was given the notice, object in writing to the decision.</w:t>
      </w:r>
    </w:p>
    <w:p>
      <w:pPr>
        <w:pStyle w:val="Subsection"/>
      </w:pPr>
      <w:r>
        <w:tab/>
        <w:t>(2)</w:t>
      </w:r>
      <w:r>
        <w:tab/>
        <w:t>The objection is made by preparing it in a form approved by the CEO and containing the information prescribed, and lodging it with the local government in a manner approved by the local government.</w:t>
      </w:r>
    </w:p>
    <w:p>
      <w:pPr>
        <w:pStyle w:val="Subsection"/>
      </w:pPr>
      <w:r>
        <w:tab/>
        <w:t>(3)</w:t>
      </w:r>
      <w:r>
        <w:tab/>
        <w:t>Subsection (1) does not apply if the person has applied for a review of the decision under section 54H.</w:t>
      </w:r>
    </w:p>
    <w:p>
      <w:pPr>
        <w:pStyle w:val="Footnotesection"/>
      </w:pPr>
      <w:bookmarkStart w:id="310" w:name="_Toc91145190"/>
      <w:r>
        <w:tab/>
        <w:t>[Section 54F inserted: No. 29 of 2021 s. 42.]</w:t>
      </w:r>
    </w:p>
    <w:p>
      <w:pPr>
        <w:pStyle w:val="Heading5"/>
      </w:pPr>
      <w:bookmarkStart w:id="311" w:name="_Toc183507419"/>
      <w:r>
        <w:rPr>
          <w:rStyle w:val="CharSectno"/>
        </w:rPr>
        <w:lastRenderedPageBreak/>
        <w:t>54G</w:t>
      </w:r>
      <w:r>
        <w:t>.</w:t>
      </w:r>
      <w:r>
        <w:tab/>
        <w:t>Dealing with objection</w:t>
      </w:r>
      <w:bookmarkEnd w:id="310"/>
      <w:bookmarkEnd w:id="311"/>
    </w:p>
    <w:p>
      <w:pPr>
        <w:pStyle w:val="Subsection"/>
      </w:pPr>
      <w:r>
        <w:tab/>
        <w:t>(1)</w:t>
      </w:r>
      <w:r>
        <w:tab/>
        <w:t>The objection is to be dealt with by the council of the local government or by a committee authorised by the council to deal with the objection.</w:t>
      </w:r>
    </w:p>
    <w:p>
      <w:pPr>
        <w:pStyle w:val="Subsection"/>
      </w:pPr>
      <w:r>
        <w:tab/>
        <w:t>(2)</w:t>
      </w:r>
      <w:r>
        <w:tab/>
        <w:t>A committee cannot deal with an objection against a decision that the committee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 xml:space="preserve">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substituting for it another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Footnotesection"/>
      </w:pPr>
      <w:bookmarkStart w:id="312" w:name="_Toc91145191"/>
      <w:r>
        <w:tab/>
        <w:t>[Section 54G inserted: No. 29 of 2021 s. 42.]</w:t>
      </w:r>
    </w:p>
    <w:p>
      <w:pPr>
        <w:pStyle w:val="Heading5"/>
      </w:pPr>
      <w:bookmarkStart w:id="313" w:name="_Toc183507420"/>
      <w:r>
        <w:rPr>
          <w:rStyle w:val="CharSectno"/>
        </w:rPr>
        <w:t>54H</w:t>
      </w:r>
      <w:r>
        <w:t>.</w:t>
      </w:r>
      <w:r>
        <w:tab/>
        <w:t>Review of decisions</w:t>
      </w:r>
      <w:bookmarkEnd w:id="312"/>
      <w:bookmarkEnd w:id="313"/>
    </w:p>
    <w:p>
      <w:pPr>
        <w:pStyle w:val="Subsection"/>
      </w:pPr>
      <w:r>
        <w:tab/>
        <w:t>(1)</w:t>
      </w:r>
      <w:r>
        <w:tab/>
        <w:t xml:space="preserve">A person who has been given notice under section 54E of a decision by a local government may apply to the State Administrative Tribunal for a review of the decision if the person — </w:t>
      </w:r>
    </w:p>
    <w:p>
      <w:pPr>
        <w:pStyle w:val="Indenta"/>
      </w:pPr>
      <w:r>
        <w:tab/>
        <w:t>(a)</w:t>
      </w:r>
      <w:r>
        <w:tab/>
        <w:t>has not lodged an objection to the decision under section 54F; or</w:t>
      </w:r>
    </w:p>
    <w:p>
      <w:pPr>
        <w:pStyle w:val="Indenta"/>
      </w:pPr>
      <w:r>
        <w:tab/>
        <w:t>(b)</w:t>
      </w:r>
      <w:r>
        <w:tab/>
        <w:t>has lodged an objection but, at the expiration of 35 days after the day on which the objection was lodged, has not been given notice in writing of how it has been decided to dispose of the objection.</w:t>
      </w:r>
    </w:p>
    <w:p>
      <w:pPr>
        <w:pStyle w:val="Subsection"/>
      </w:pPr>
      <w:r>
        <w:lastRenderedPageBreak/>
        <w:tab/>
        <w:t>(2)</w:t>
      </w:r>
      <w:r>
        <w:tab/>
        <w:t xml:space="preserve">An application under subsection (1) must be made — </w:t>
      </w:r>
    </w:p>
    <w:p>
      <w:pPr>
        <w:pStyle w:val="Indenta"/>
      </w:pPr>
      <w:r>
        <w:tab/>
        <w:t>(a)</w:t>
      </w:r>
      <w:r>
        <w:tab/>
        <w:t>if subsection (1)(a) applies — within 42 days after the day on which the person is given the notice under section 54E; or</w:t>
      </w:r>
    </w:p>
    <w:p>
      <w:pPr>
        <w:pStyle w:val="Indenta"/>
      </w:pPr>
      <w:r>
        <w:tab/>
        <w:t>(b)</w:t>
      </w:r>
      <w:r>
        <w:tab/>
        <w:t>if subsection (1)(b) applies — more than 35 days, but within 77 days, after the day on which the person lodged the objection.</w:t>
      </w:r>
    </w:p>
    <w:p>
      <w:pPr>
        <w:pStyle w:val="Subsection"/>
      </w:pPr>
      <w:r>
        <w:tab/>
        <w:t>(3)</w:t>
      </w:r>
      <w:r>
        <w:tab/>
        <w:t>If the person lodged an objection and has been given notice in writing of how it has been decided to dispose of the objection, the person may apply to the State Administrative Tribunal, within 42 days after the day on which the person was given the notice, for a review of the decision on the objection.</w:t>
      </w:r>
    </w:p>
    <w:p>
      <w:pPr>
        <w:pStyle w:val="Footnotesection"/>
      </w:pPr>
      <w:bookmarkStart w:id="314" w:name="_Toc91145192"/>
      <w:r>
        <w:tab/>
        <w:t>[Section 54H inserted: No. 29 of 2021 s. 42.]</w:t>
      </w:r>
    </w:p>
    <w:p>
      <w:pPr>
        <w:pStyle w:val="Heading5"/>
      </w:pPr>
      <w:bookmarkStart w:id="315" w:name="_Toc183507421"/>
      <w:r>
        <w:rPr>
          <w:rStyle w:val="CharSectno"/>
        </w:rPr>
        <w:t>54I</w:t>
      </w:r>
      <w:r>
        <w:t>.</w:t>
      </w:r>
      <w:r>
        <w:tab/>
        <w:t>Suspension of effect of some decisions</w:t>
      </w:r>
      <w:bookmarkEnd w:id="314"/>
      <w:bookmarkEnd w:id="315"/>
    </w:p>
    <w:p>
      <w:pPr>
        <w:pStyle w:val="Subsection"/>
      </w:pPr>
      <w:r>
        <w:tab/>
        <w:t>(1)</w:t>
      </w:r>
      <w:r>
        <w:tab/>
        <w:t xml:space="preserve">This section applies if — </w:t>
      </w:r>
    </w:p>
    <w:p>
      <w:pPr>
        <w:pStyle w:val="Indenta"/>
      </w:pPr>
      <w:r>
        <w:tab/>
        <w:t>(a)</w:t>
      </w:r>
      <w:r>
        <w:tab/>
        <w:t>a decision has been made to —</w:t>
      </w:r>
    </w:p>
    <w:p>
      <w:pPr>
        <w:pStyle w:val="Indenti"/>
      </w:pPr>
      <w:r>
        <w:tab/>
        <w:t>(i)</w:t>
      </w:r>
      <w:r>
        <w:tab/>
        <w:t>cancel an approval to breed or a pet shop approval (other than at the request of the person who held the approval); or</w:t>
      </w:r>
    </w:p>
    <w:p>
      <w:pPr>
        <w:pStyle w:val="Indenti"/>
      </w:pPr>
      <w:r>
        <w:tab/>
        <w:t>(ii)</w:t>
      </w:r>
      <w:r>
        <w:tab/>
        <w:t>not renew a pet shop approval;</w:t>
      </w:r>
    </w:p>
    <w:p>
      <w:pPr>
        <w:pStyle w:val="Indenta"/>
      </w:pPr>
      <w:r>
        <w:tab/>
      </w:r>
      <w:r>
        <w:tab/>
        <w:t>or</w:t>
      </w:r>
    </w:p>
    <w:p>
      <w:pPr>
        <w:pStyle w:val="Indenta"/>
      </w:pPr>
      <w:r>
        <w:tab/>
        <w:t>(b)</w:t>
      </w:r>
      <w:r>
        <w:tab/>
        <w:t xml:space="preserve">a decision has been made under section 54G to dispose of an objection in a way that results in — </w:t>
      </w:r>
    </w:p>
    <w:p>
      <w:pPr>
        <w:pStyle w:val="Indenti"/>
      </w:pPr>
      <w:r>
        <w:tab/>
        <w:t>(i)</w:t>
      </w:r>
      <w:r>
        <w:tab/>
        <w:t>an approval to breed or a pet shop approval being cancelled; or</w:t>
      </w:r>
    </w:p>
    <w:p>
      <w:pPr>
        <w:pStyle w:val="Indenti"/>
      </w:pPr>
      <w:r>
        <w:tab/>
        <w:t>(ii)</w:t>
      </w:r>
      <w:r>
        <w:tab/>
        <w:t>a pet shop approval not being renewed.</w:t>
      </w:r>
    </w:p>
    <w:p>
      <w:pPr>
        <w:pStyle w:val="Subsection"/>
      </w:pPr>
      <w:r>
        <w:tab/>
        <w:t>(2)</w:t>
      </w:r>
      <w:r>
        <w:tab/>
        <w:t xml:space="preserve">The effect of the decision is suspended, and the approval is taken to continue to have effect, until — </w:t>
      </w:r>
    </w:p>
    <w:p>
      <w:pPr>
        <w:pStyle w:val="Indenta"/>
      </w:pPr>
      <w:r>
        <w:tab/>
        <w:t>(a)</w:t>
      </w:r>
      <w:r>
        <w:tab/>
        <w:t xml:space="preserve">if an application is made to the State Administrative Tribunal under section 54H for a review of the </w:t>
      </w:r>
      <w:r>
        <w:lastRenderedPageBreak/>
        <w:t>decision — the State Administrative Tribunal determines the application; or</w:t>
      </w:r>
    </w:p>
    <w:p>
      <w:pPr>
        <w:pStyle w:val="Indenta"/>
      </w:pPr>
      <w:r>
        <w:tab/>
        <w:t>(b)</w:t>
      </w:r>
      <w:r>
        <w:tab/>
        <w:t xml:space="preserve">in any other case — there is no longer any right to lodge an objection under section 54F or apply to the State Administrative Tribunal under section 54H in relation to the decision. </w:t>
      </w:r>
    </w:p>
    <w:p>
      <w:pPr>
        <w:pStyle w:val="Subsection"/>
      </w:pPr>
      <w:r>
        <w:tab/>
        <w:t>(3)</w:t>
      </w:r>
      <w:r>
        <w:tab/>
        <w:t>Subsection (2) does not apply if the State Administrative Tribunal orders that the effect of the decision should not be suspended.</w:t>
      </w:r>
    </w:p>
    <w:p>
      <w:pPr>
        <w:pStyle w:val="Footnotesection"/>
      </w:pPr>
      <w:r>
        <w:tab/>
        <w:t>[Section 54I inserted: No. 29 of 2021 s. 42.]</w:t>
      </w:r>
    </w:p>
    <w:p>
      <w:pPr>
        <w:pStyle w:val="Heading2"/>
      </w:pPr>
      <w:bookmarkStart w:id="316" w:name="_Toc183182337"/>
      <w:bookmarkStart w:id="317" w:name="_Toc183419458"/>
      <w:bookmarkStart w:id="318" w:name="_Toc183423522"/>
      <w:bookmarkStart w:id="319" w:name="_Toc183507422"/>
      <w:r>
        <w:rPr>
          <w:rStyle w:val="CharPartNo"/>
        </w:rPr>
        <w:lastRenderedPageBreak/>
        <w:t>Part XI</w:t>
      </w:r>
      <w:r>
        <w:rPr>
          <w:b w:val="0"/>
        </w:rPr>
        <w:t> </w:t>
      </w:r>
      <w:r>
        <w:t>—</w:t>
      </w:r>
      <w:r>
        <w:rPr>
          <w:b w:val="0"/>
        </w:rPr>
        <w:t> </w:t>
      </w:r>
      <w:r>
        <w:rPr>
          <w:rStyle w:val="CharPartText"/>
        </w:rPr>
        <w:t>Transitional provisions</w:t>
      </w:r>
      <w:bookmarkEnd w:id="283"/>
      <w:bookmarkEnd w:id="316"/>
      <w:bookmarkEnd w:id="317"/>
      <w:bookmarkEnd w:id="318"/>
      <w:bookmarkEnd w:id="319"/>
    </w:p>
    <w:p>
      <w:pPr>
        <w:pStyle w:val="Footnoteheading"/>
      </w:pPr>
      <w:r>
        <w:tab/>
        <w:t xml:space="preserve">[Heading inserted: No. 18 of 2013 s. 59.] </w:t>
      </w:r>
    </w:p>
    <w:p>
      <w:pPr>
        <w:pStyle w:val="Heading3"/>
      </w:pPr>
      <w:bookmarkStart w:id="320" w:name="_Toc183090450"/>
      <w:bookmarkStart w:id="321" w:name="_Toc183182338"/>
      <w:bookmarkStart w:id="322" w:name="_Toc183419459"/>
      <w:bookmarkStart w:id="323" w:name="_Toc183423523"/>
      <w:bookmarkStart w:id="324" w:name="_Toc183507423"/>
      <w:r>
        <w:rPr>
          <w:rStyle w:val="CharDivNo"/>
        </w:rPr>
        <w:t>Division 1</w:t>
      </w:r>
      <w:r>
        <w:t> — </w:t>
      </w:r>
      <w:r>
        <w:rPr>
          <w:rStyle w:val="CharDivText"/>
        </w:rPr>
        <w:t xml:space="preserve">Transitional provisions for the </w:t>
      </w:r>
      <w:r>
        <w:rPr>
          <w:rStyle w:val="CharDivText"/>
          <w:i/>
        </w:rPr>
        <w:t>Dog Amendment Act 2013</w:t>
      </w:r>
      <w:bookmarkEnd w:id="320"/>
      <w:bookmarkEnd w:id="321"/>
      <w:bookmarkEnd w:id="322"/>
      <w:bookmarkEnd w:id="323"/>
      <w:bookmarkEnd w:id="324"/>
    </w:p>
    <w:p>
      <w:pPr>
        <w:pStyle w:val="Footnoteheading"/>
      </w:pPr>
      <w:r>
        <w:tab/>
        <w:t xml:space="preserve">[Heading inserted: No. 18 of 2013 s. 59; amended: No. 16 of 2019 s. 110.] </w:t>
      </w:r>
    </w:p>
    <w:p>
      <w:pPr>
        <w:pStyle w:val="Heading5"/>
      </w:pPr>
      <w:bookmarkStart w:id="325" w:name="_Toc183507424"/>
      <w:r>
        <w:rPr>
          <w:rStyle w:val="CharSectno"/>
        </w:rPr>
        <w:t>55</w:t>
      </w:r>
      <w:r>
        <w:t>.</w:t>
      </w:r>
      <w:r>
        <w:tab/>
        <w:t xml:space="preserve">Application of </w:t>
      </w:r>
      <w:r>
        <w:rPr>
          <w:i/>
          <w:iCs/>
        </w:rPr>
        <w:t>Interpretation Act 1984</w:t>
      </w:r>
      <w:bookmarkEnd w:id="325"/>
    </w:p>
    <w:p>
      <w:pPr>
        <w:pStyle w:val="Subsection"/>
        <w:spacing w:before="100"/>
      </w:pPr>
      <w:r>
        <w:tab/>
      </w:r>
      <w:r>
        <w:tab/>
        <w:t xml:space="preserve">The </w:t>
      </w:r>
      <w:r>
        <w:rPr>
          <w:snapToGrid w:val="0"/>
        </w:rPr>
        <w:t>provisions</w:t>
      </w:r>
      <w:r>
        <w:t xml:space="preserve"> of this Division do not prejudice or affect the application of the </w:t>
      </w:r>
      <w:r>
        <w:rPr>
          <w:i/>
        </w:rPr>
        <w:t>Interpretation Act 1984</w:t>
      </w:r>
      <w:r>
        <w:t xml:space="preserve"> to and in relation to the repeals of provisions of the </w:t>
      </w:r>
      <w:r>
        <w:rPr>
          <w:i/>
          <w:iCs/>
        </w:rPr>
        <w:t>Dog Act 1976</w:t>
      </w:r>
      <w:r>
        <w:t xml:space="preserve"> effected by the </w:t>
      </w:r>
      <w:r>
        <w:rPr>
          <w:i/>
          <w:iCs/>
        </w:rPr>
        <w:t>Dog Amendment Act 2013</w:t>
      </w:r>
      <w:r>
        <w:t>.</w:t>
      </w:r>
    </w:p>
    <w:p>
      <w:pPr>
        <w:pStyle w:val="Footnotesection"/>
      </w:pPr>
      <w:r>
        <w:tab/>
        <w:t xml:space="preserve">[Section 55 inserted: No. 18 of 2013 s. 59.] </w:t>
      </w:r>
    </w:p>
    <w:p>
      <w:pPr>
        <w:pStyle w:val="Heading5"/>
      </w:pPr>
      <w:bookmarkStart w:id="326" w:name="_Toc183507425"/>
      <w:r>
        <w:rPr>
          <w:rStyle w:val="CharSectno"/>
        </w:rPr>
        <w:t>56</w:t>
      </w:r>
      <w:r>
        <w:t>.</w:t>
      </w:r>
      <w:r>
        <w:tab/>
        <w:t>Authorisations in relation to assistance dogs</w:t>
      </w:r>
      <w:bookmarkEnd w:id="326"/>
    </w:p>
    <w:p>
      <w:pPr>
        <w:pStyle w:val="Subsection"/>
        <w:spacing w:before="100"/>
      </w:pPr>
      <w:r>
        <w:tab/>
      </w:r>
      <w:r>
        <w:tab/>
        <w:t xml:space="preserve">A dog </w:t>
      </w:r>
      <w:r>
        <w:rPr>
          <w:snapToGrid w:val="0"/>
        </w:rPr>
        <w:t>specified</w:t>
      </w:r>
      <w:r>
        <w:t xml:space="preserve"> in an authority given by the Minister under the </w:t>
      </w:r>
      <w:r>
        <w:rPr>
          <w:i/>
          <w:iCs/>
        </w:rPr>
        <w:t>Dog Act 1976</w:t>
      </w:r>
      <w:r>
        <w:t xml:space="preserve"> section 8 and in effect immediately before the day on which the </w:t>
      </w:r>
      <w:r>
        <w:rPr>
          <w:i/>
          <w:iCs/>
        </w:rPr>
        <w:t>Dog Amendment Act 2013</w:t>
      </w:r>
      <w:r>
        <w:t xml:space="preserve"> section 7 comes into operation is, on and from that day, to be taken to be an assistance dog as defined in the </w:t>
      </w:r>
      <w:r>
        <w:rPr>
          <w:i/>
          <w:iCs/>
        </w:rPr>
        <w:t>Dog Act 1976</w:t>
      </w:r>
      <w:r>
        <w:t xml:space="preserve"> section 8(1) as inserted by the </w:t>
      </w:r>
      <w:r>
        <w:rPr>
          <w:i/>
          <w:iCs/>
        </w:rPr>
        <w:t>Dog Amendment Act 2013</w:t>
      </w:r>
      <w:r>
        <w:t xml:space="preserve"> section 7.</w:t>
      </w:r>
    </w:p>
    <w:p>
      <w:pPr>
        <w:pStyle w:val="Footnotesection"/>
      </w:pPr>
      <w:r>
        <w:tab/>
        <w:t xml:space="preserve">[Section 56 inserted: No. 18 of 2013 s. 59.] </w:t>
      </w:r>
    </w:p>
    <w:p>
      <w:pPr>
        <w:pStyle w:val="Heading5"/>
      </w:pPr>
      <w:bookmarkStart w:id="327" w:name="_Toc183507426"/>
      <w:r>
        <w:rPr>
          <w:rStyle w:val="CharSectno"/>
        </w:rPr>
        <w:t>57</w:t>
      </w:r>
      <w:r>
        <w:t>.</w:t>
      </w:r>
      <w:r>
        <w:tab/>
        <w:t>Registration procedure</w:t>
      </w:r>
      <w:bookmarkEnd w:id="327"/>
    </w:p>
    <w:p>
      <w:pPr>
        <w:pStyle w:val="Subsection"/>
        <w:spacing w:before="100"/>
      </w:pPr>
      <w:r>
        <w:tab/>
      </w:r>
      <w:r>
        <w:tab/>
        <w:t xml:space="preserve">An </w:t>
      </w:r>
      <w:r>
        <w:rPr>
          <w:snapToGrid w:val="0"/>
        </w:rPr>
        <w:t>application</w:t>
      </w:r>
      <w:r>
        <w:t xml:space="preserve"> for registration delivered under the </w:t>
      </w:r>
      <w:r>
        <w:rPr>
          <w:i/>
          <w:iCs/>
        </w:rPr>
        <w:t>Dog Act 1976</w:t>
      </w:r>
      <w:r>
        <w:t xml:space="preserve"> section 16(1) but not finally dealt with under section 16(2) of that Act before the day on which the </w:t>
      </w:r>
      <w:r>
        <w:rPr>
          <w:i/>
          <w:iCs/>
        </w:rPr>
        <w:t>Dog Amendment Act 2013</w:t>
      </w:r>
      <w:r>
        <w:t xml:space="preserve"> section 14 comes into operation is, on and from that day, to be dealt with as if the </w:t>
      </w:r>
      <w:r>
        <w:rPr>
          <w:i/>
          <w:iCs/>
        </w:rPr>
        <w:t>Dog Amendment Act 2013</w:t>
      </w:r>
      <w:r>
        <w:t xml:space="preserve"> section 14 had not been enacted.</w:t>
      </w:r>
    </w:p>
    <w:p>
      <w:pPr>
        <w:pStyle w:val="Footnotesection"/>
      </w:pPr>
      <w:r>
        <w:tab/>
        <w:t xml:space="preserve">[Section 57 inserted: No. 18 of 2013 s. 59.] </w:t>
      </w:r>
    </w:p>
    <w:p>
      <w:pPr>
        <w:pStyle w:val="Heading5"/>
      </w:pPr>
      <w:bookmarkStart w:id="328" w:name="_Toc183507427"/>
      <w:r>
        <w:rPr>
          <w:rStyle w:val="CharSectno"/>
        </w:rPr>
        <w:lastRenderedPageBreak/>
        <w:t>58</w:t>
      </w:r>
      <w:r>
        <w:t>.</w:t>
      </w:r>
      <w:r>
        <w:tab/>
        <w:t>Detained dogs</w:t>
      </w:r>
      <w:bookmarkEnd w:id="328"/>
    </w:p>
    <w:p>
      <w:pPr>
        <w:pStyle w:val="Subsection"/>
      </w:pPr>
      <w:r>
        <w:tab/>
      </w:r>
      <w:r>
        <w:tab/>
        <w:t xml:space="preserve">A dog that is being detained by or on behalf of a local government immediately before the day on which the </w:t>
      </w:r>
      <w:r>
        <w:rPr>
          <w:i/>
          <w:iCs/>
        </w:rPr>
        <w:t>Dog Amendment Act 2013</w:t>
      </w:r>
      <w:r>
        <w:t xml:space="preserve"> section 25 comes into operation, having been seized under the </w:t>
      </w:r>
      <w:r>
        <w:rPr>
          <w:i/>
          <w:iCs/>
        </w:rPr>
        <w:t>Dog Act 1976</w:t>
      </w:r>
      <w:r>
        <w:t xml:space="preserve"> section 29(3) is, on and from that day, to be dealt with as if the </w:t>
      </w:r>
      <w:r>
        <w:rPr>
          <w:i/>
          <w:iCs/>
        </w:rPr>
        <w:t>Dog Amendment Act 2013</w:t>
      </w:r>
      <w:r>
        <w:t xml:space="preserve"> section 25 had not been enacted.</w:t>
      </w:r>
    </w:p>
    <w:p>
      <w:pPr>
        <w:pStyle w:val="Footnotesection"/>
      </w:pPr>
      <w:r>
        <w:tab/>
        <w:t xml:space="preserve">[Section 58 inserted: No. 18 of 2013 s. 59.] </w:t>
      </w:r>
    </w:p>
    <w:p>
      <w:pPr>
        <w:pStyle w:val="Heading5"/>
      </w:pPr>
      <w:bookmarkStart w:id="329" w:name="_Toc183507428"/>
      <w:r>
        <w:rPr>
          <w:rStyle w:val="CharSectno"/>
        </w:rPr>
        <w:t>59</w:t>
      </w:r>
      <w:r>
        <w:t>.</w:t>
      </w:r>
      <w:r>
        <w:tab/>
        <w:t>Dogs declared to be dangerous dogs</w:t>
      </w:r>
      <w:bookmarkEnd w:id="329"/>
    </w:p>
    <w:p>
      <w:pPr>
        <w:pStyle w:val="Subsection"/>
      </w:pPr>
      <w:r>
        <w:tab/>
      </w:r>
      <w:r>
        <w:tab/>
        <w:t xml:space="preserve">A declaration under the </w:t>
      </w:r>
      <w:r>
        <w:rPr>
          <w:i/>
          <w:iCs/>
        </w:rPr>
        <w:t>Dog Act 1976</w:t>
      </w:r>
      <w:r>
        <w:t xml:space="preserve"> section 33E(1) that is in effect immediately before the day on which the </w:t>
      </w:r>
      <w:r>
        <w:rPr>
          <w:i/>
          <w:iCs/>
        </w:rPr>
        <w:t>Dog Amendment Act 2013</w:t>
      </w:r>
      <w:r>
        <w:t xml:space="preserve"> section 34 comes into operation is, on and from that day, to be taken to be a declaration under the </w:t>
      </w:r>
      <w:r>
        <w:rPr>
          <w:i/>
          <w:iCs/>
        </w:rPr>
        <w:t>Dog Act 1976</w:t>
      </w:r>
      <w:r>
        <w:t xml:space="preserve"> section 33E(1) as amended by the </w:t>
      </w:r>
      <w:r>
        <w:rPr>
          <w:i/>
          <w:iCs/>
        </w:rPr>
        <w:t>Dog Amendment Act 2013</w:t>
      </w:r>
      <w:r>
        <w:t xml:space="preserve"> section 34 but any order imposed by the notice given under the </w:t>
      </w:r>
      <w:r>
        <w:rPr>
          <w:i/>
          <w:iCs/>
        </w:rPr>
        <w:t>Dog Act 1976</w:t>
      </w:r>
      <w:r>
        <w:t xml:space="preserve"> section 33F(1) ceases to have effect.</w:t>
      </w:r>
    </w:p>
    <w:p>
      <w:pPr>
        <w:pStyle w:val="Footnotesection"/>
      </w:pPr>
      <w:r>
        <w:tab/>
        <w:t xml:space="preserve">[Section 59 inserted: No. 18 of 2013 s. 59.] </w:t>
      </w:r>
    </w:p>
    <w:p>
      <w:pPr>
        <w:pStyle w:val="Heading5"/>
      </w:pPr>
      <w:bookmarkStart w:id="330" w:name="_Toc183507429"/>
      <w:r>
        <w:rPr>
          <w:rStyle w:val="CharSectno"/>
        </w:rPr>
        <w:t>60</w:t>
      </w:r>
      <w:r>
        <w:t>.</w:t>
      </w:r>
      <w:r>
        <w:tab/>
        <w:t>Transitional regulations</w:t>
      </w:r>
      <w:bookmarkEnd w:id="330"/>
    </w:p>
    <w:p>
      <w:pPr>
        <w:pStyle w:val="Subsection"/>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 xml:space="preserve">in the case of transitional regulations under subsection (2)(a) — the day on which the </w:t>
      </w:r>
      <w:r>
        <w:rPr>
          <w:i/>
          <w:iCs/>
        </w:rPr>
        <w:t>Dog Amendment Act 2013</w:t>
      </w:r>
      <w:r>
        <w:t xml:space="preserve"> section 59 commences; or</w:t>
      </w:r>
    </w:p>
    <w:p>
      <w:pPr>
        <w:pStyle w:val="Defpara"/>
      </w:pPr>
      <w:r>
        <w:tab/>
        <w:t>(b)</w:t>
      </w:r>
      <w:r>
        <w:tab/>
        <w:t>in the case of transitional regulations under subsection (2)(b) — the day on which the amending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lastRenderedPageBreak/>
        <w:tab/>
      </w:r>
      <w:r>
        <w:rPr>
          <w:rStyle w:val="CharDefText"/>
        </w:rPr>
        <w:t>transitional regulations</w:t>
      </w:r>
      <w:r>
        <w:t xml:space="preserve"> means regulations under subsection (2).</w:t>
      </w:r>
    </w:p>
    <w:p>
      <w:pPr>
        <w:pStyle w:val="Subsection"/>
      </w:pPr>
      <w:r>
        <w:tab/>
        <w:t>(2)</w:t>
      </w:r>
      <w:r>
        <w:tab/>
        <w:t xml:space="preserve">Regulations may prescribe anything else required, necessary or convenient to be prescribed in relation to a transitional matter in connection with — </w:t>
      </w:r>
    </w:p>
    <w:p>
      <w:pPr>
        <w:pStyle w:val="Indenta"/>
      </w:pPr>
      <w:r>
        <w:tab/>
        <w:t>(a)</w:t>
      </w:r>
      <w:r>
        <w:tab/>
        <w:t xml:space="preserve">the enactment of the </w:t>
      </w:r>
      <w:r>
        <w:rPr>
          <w:i/>
          <w:iCs/>
        </w:rPr>
        <w:t>Dog Amendment Act 2013</w:t>
      </w:r>
      <w:r>
        <w:t>; or</w:t>
      </w:r>
    </w:p>
    <w:p>
      <w:pPr>
        <w:pStyle w:val="Indenta"/>
      </w:pPr>
      <w:r>
        <w:tab/>
        <w:t>(b)</w:t>
      </w:r>
      <w:r>
        <w:tab/>
        <w:t xml:space="preserve">an amendment made to the </w:t>
      </w:r>
      <w:r>
        <w:rPr>
          <w:i/>
          <w:iCs/>
        </w:rPr>
        <w:t>Dog Amendment Act 2013</w:t>
      </w:r>
      <w:r>
        <w:t xml:space="preserve"> by a provision of another Act (the </w:t>
      </w:r>
      <w:r>
        <w:rPr>
          <w:rStyle w:val="CharDefText"/>
        </w:rPr>
        <w:t>amending provision</w:t>
      </w:r>
      <w:r>
        <w:t>).</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mentioned in subsection (4),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 xml:space="preserve">[Section 60 inserted: No. 18 of 2013 s. 59.] </w:t>
      </w:r>
    </w:p>
    <w:p>
      <w:pPr>
        <w:pStyle w:val="Heading3"/>
      </w:pPr>
      <w:bookmarkStart w:id="331" w:name="_Toc183090457"/>
      <w:bookmarkStart w:id="332" w:name="_Toc183182345"/>
      <w:bookmarkStart w:id="333" w:name="_Toc183419466"/>
      <w:bookmarkStart w:id="334" w:name="_Toc183423530"/>
      <w:bookmarkStart w:id="335" w:name="_Toc183507430"/>
      <w:r>
        <w:rPr>
          <w:rStyle w:val="CharDivNo"/>
        </w:rPr>
        <w:t>Division 2</w:t>
      </w:r>
      <w:r>
        <w:t> — </w:t>
      </w:r>
      <w:r>
        <w:rPr>
          <w:rStyle w:val="CharDivText"/>
        </w:rPr>
        <w:t xml:space="preserve">Transitional provision for the </w:t>
      </w:r>
      <w:r>
        <w:rPr>
          <w:rStyle w:val="CharDivText"/>
          <w:i/>
        </w:rPr>
        <w:t>Local Government Legislation Amendment Act 2019</w:t>
      </w:r>
      <w:bookmarkEnd w:id="331"/>
      <w:bookmarkEnd w:id="332"/>
      <w:bookmarkEnd w:id="333"/>
      <w:bookmarkEnd w:id="334"/>
      <w:bookmarkEnd w:id="335"/>
    </w:p>
    <w:p>
      <w:pPr>
        <w:pStyle w:val="Footnoteheading"/>
      </w:pPr>
      <w:r>
        <w:tab/>
        <w:t>[Heading inserted: No. 16 of 2019 s. 111.]</w:t>
      </w:r>
    </w:p>
    <w:p>
      <w:pPr>
        <w:pStyle w:val="Heading5"/>
      </w:pPr>
      <w:bookmarkStart w:id="336" w:name="_Toc183507431"/>
      <w:r>
        <w:rPr>
          <w:rStyle w:val="CharSectno"/>
        </w:rPr>
        <w:t>61</w:t>
      </w:r>
      <w:r>
        <w:t>.</w:t>
      </w:r>
      <w:r>
        <w:tab/>
        <w:t>Authorised persons</w:t>
      </w:r>
      <w:bookmarkEnd w:id="336"/>
    </w:p>
    <w:p>
      <w:pPr>
        <w:pStyle w:val="Subsection"/>
      </w:pPr>
      <w:r>
        <w:tab/>
        <w:t>(1)</w:t>
      </w:r>
      <w:r>
        <w:tab/>
        <w:t xml:space="preserve">This section applies to a person who, immediately before the day on which the </w:t>
      </w:r>
      <w:r>
        <w:rPr>
          <w:i/>
        </w:rPr>
        <w:t xml:space="preserve">Local Government Legislation Amendment </w:t>
      </w:r>
      <w:r>
        <w:rPr>
          <w:i/>
        </w:rPr>
        <w:lastRenderedPageBreak/>
        <w:t>Act 2019</w:t>
      </w:r>
      <w:r>
        <w:t xml:space="preserve"> section 109 comes into operation, was a person appointed under section 29(1).</w:t>
      </w:r>
    </w:p>
    <w:p>
      <w:pPr>
        <w:pStyle w:val="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29(1) immediately before the day referred to in subsection (1).</w:t>
      </w:r>
    </w:p>
    <w:p>
      <w:pPr>
        <w:pStyle w:val="Footnotesection"/>
      </w:pPr>
      <w:r>
        <w:tab/>
        <w:t>[Section 61 inserted: No. 16 of 2019 s. 111.]</w:t>
      </w:r>
    </w:p>
    <w:p>
      <w:pPr>
        <w:pStyle w:val="Heading3"/>
        <w:rPr>
          <w:i/>
        </w:rPr>
      </w:pPr>
      <w:bookmarkStart w:id="337" w:name="_Toc183090459"/>
      <w:bookmarkStart w:id="338" w:name="_Toc183182347"/>
      <w:bookmarkStart w:id="339" w:name="_Toc183419468"/>
      <w:bookmarkStart w:id="340" w:name="_Toc183423532"/>
      <w:bookmarkStart w:id="341" w:name="_Toc183507432"/>
      <w:r>
        <w:rPr>
          <w:rStyle w:val="CharDivNo"/>
        </w:rPr>
        <w:t>Division 3</w:t>
      </w:r>
      <w:r>
        <w:t> — </w:t>
      </w:r>
      <w:r>
        <w:rPr>
          <w:rStyle w:val="CharDivText"/>
        </w:rPr>
        <w:t xml:space="preserve">Transitional provisions for the </w:t>
      </w:r>
      <w:r>
        <w:rPr>
          <w:rStyle w:val="CharDivText"/>
          <w:i/>
        </w:rPr>
        <w:t>Dog Amendment (Stop Puppy Farming) Act 2021</w:t>
      </w:r>
      <w:bookmarkEnd w:id="337"/>
      <w:bookmarkEnd w:id="338"/>
      <w:bookmarkEnd w:id="339"/>
      <w:bookmarkEnd w:id="340"/>
      <w:bookmarkEnd w:id="341"/>
    </w:p>
    <w:p>
      <w:pPr>
        <w:pStyle w:val="Footnoteheading"/>
      </w:pPr>
      <w:r>
        <w:tab/>
        <w:t>[Heading inserted: No. 29 of 2021 s. 44.]</w:t>
      </w:r>
    </w:p>
    <w:p>
      <w:pPr>
        <w:pStyle w:val="Heading5"/>
      </w:pPr>
      <w:bookmarkStart w:id="342" w:name="_Toc183507433"/>
      <w:r>
        <w:rPr>
          <w:rStyle w:val="CharSectno"/>
        </w:rPr>
        <w:t>62</w:t>
      </w:r>
      <w:r>
        <w:t>.</w:t>
      </w:r>
      <w:r>
        <w:tab/>
        <w:t>Transitional provision for centralised registration system</w:t>
      </w:r>
      <w:bookmarkEnd w:id="342"/>
    </w:p>
    <w:p>
      <w:pPr>
        <w:pStyle w:val="Subsection"/>
      </w:pPr>
      <w:r>
        <w:tab/>
        <w:t>(1)</w:t>
      </w:r>
      <w:r>
        <w:tab/>
        <w:t xml:space="preserve">In this section — </w:t>
      </w:r>
    </w:p>
    <w:p>
      <w:pPr>
        <w:pStyle w:val="Defstart"/>
      </w:pPr>
      <w:r>
        <w:tab/>
      </w:r>
      <w:r>
        <w:rPr>
          <w:rStyle w:val="CharDefText"/>
        </w:rPr>
        <w:t>centralised registration system</w:t>
      </w:r>
      <w:r>
        <w:t xml:space="preserve"> means the electronic database or system the CEO will be required to establish and maintain when the </w:t>
      </w:r>
      <w:r>
        <w:rPr>
          <w:i/>
        </w:rPr>
        <w:t>Dog Amendment (Stop Puppy Farming) Act 2021</w:t>
      </w:r>
      <w:r>
        <w:t xml:space="preserve"> section 14 comes into operation;</w:t>
      </w:r>
    </w:p>
    <w:p>
      <w:pPr>
        <w:pStyle w:val="Defstart"/>
      </w:pPr>
      <w:r>
        <w:tab/>
      </w:r>
      <w:r>
        <w:rPr>
          <w:rStyle w:val="CharDefText"/>
        </w:rPr>
        <w:t>commencement day</w:t>
      </w:r>
      <w:r>
        <w:t xml:space="preserve"> means the day on which the </w:t>
      </w:r>
      <w:r>
        <w:rPr>
          <w:i/>
        </w:rPr>
        <w:t>Dog Amendment (Stop Puppy Farming) Act 2021</w:t>
      </w:r>
      <w:r>
        <w:t xml:space="preserve"> section 14 comes into operation.</w:t>
      </w:r>
    </w:p>
    <w:p>
      <w:pPr>
        <w:pStyle w:val="Subsection"/>
      </w:pPr>
      <w:r>
        <w:tab/>
        <w:t>(2)</w:t>
      </w:r>
      <w:r>
        <w:tab/>
        <w:t xml:space="preserve">The CEO may establish and maintain the centralised registration system before the commencement day and may — </w:t>
      </w:r>
    </w:p>
    <w:p>
      <w:pPr>
        <w:pStyle w:val="Indenta"/>
      </w:pPr>
      <w:r>
        <w:tab/>
        <w:t>(a)</w:t>
      </w:r>
      <w:r>
        <w:tab/>
        <w:t>permit a local government to record in the centralised registration system any information that the local government is required under this Act to record in a register maintained by it; and</w:t>
      </w:r>
    </w:p>
    <w:p>
      <w:pPr>
        <w:pStyle w:val="Indenta"/>
      </w:pPr>
      <w:r>
        <w:tab/>
        <w:t>(b)</w:t>
      </w:r>
      <w:r>
        <w:tab/>
        <w:t>cause or permit information to be transferred from a register maintained by a local government to the centralised registration system.</w:t>
      </w:r>
    </w:p>
    <w:p>
      <w:pPr>
        <w:pStyle w:val="Subsection"/>
      </w:pPr>
      <w:r>
        <w:lastRenderedPageBreak/>
        <w:tab/>
        <w:t>(3)</w:t>
      </w:r>
      <w:r>
        <w:tab/>
        <w:t>If a local government records information in the centralised registration system under subsection (2)(a), or information from a register maintained by the local government is transferred to the centralised registration system under subsection (2)(b), before the commencement day the information is taken, for the purposes of this Act, to be information recorded by the local government on a register maintained by the local government.</w:t>
      </w:r>
    </w:p>
    <w:p>
      <w:pPr>
        <w:pStyle w:val="Footnotesection"/>
      </w:pPr>
      <w:r>
        <w:tab/>
        <w:t>[Section 62 inserted: No. 29 of 2021 s. 44.]</w:t>
      </w:r>
    </w:p>
    <w:p>
      <w:pPr>
        <w:pStyle w:val="Heading5"/>
      </w:pPr>
      <w:bookmarkStart w:id="343" w:name="_Toc91145200"/>
      <w:bookmarkStart w:id="344" w:name="_Toc183507434"/>
      <w:r>
        <w:rPr>
          <w:rStyle w:val="CharSectno"/>
        </w:rPr>
        <w:t>63</w:t>
      </w:r>
      <w:r>
        <w:t>.</w:t>
      </w:r>
      <w:r>
        <w:tab/>
        <w:t>Registered unsterilised dogs</w:t>
      </w:r>
      <w:bookmarkEnd w:id="343"/>
      <w:bookmarkEnd w:id="34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Dog Amendment (Stop Puppy Farming) Act 2021 </w:t>
      </w:r>
      <w:r>
        <w:t>section 16 comes into operation.</w:t>
      </w:r>
    </w:p>
    <w:p>
      <w:pPr>
        <w:pStyle w:val="Subsection"/>
      </w:pPr>
      <w:r>
        <w:tab/>
        <w:t>(2)</w:t>
      </w:r>
      <w:r>
        <w:tab/>
        <w:t xml:space="preserve">If the registration of a dog that is not sterilised is, at the time immediately before the commencement day, in effect under this Act, section 15, as it is immediately before the commencement day, continues to apply to the registration (until the registration ceases to have effect in accordance with that section) as if the </w:t>
      </w:r>
      <w:r>
        <w:rPr>
          <w:i/>
        </w:rPr>
        <w:t xml:space="preserve">Dog Amendment (Stop Puppy Farming) Act 2021 </w:t>
      </w:r>
      <w:r>
        <w:t>section 16 had not been enacted.</w:t>
      </w:r>
    </w:p>
    <w:p>
      <w:pPr>
        <w:pStyle w:val="Footnotesection"/>
      </w:pPr>
      <w:bookmarkStart w:id="345" w:name="_Toc91145201"/>
      <w:r>
        <w:tab/>
        <w:t>[Section 63 inserted: No. 29 of 2021 s. 45.]</w:t>
      </w:r>
    </w:p>
    <w:p>
      <w:pPr>
        <w:pStyle w:val="Heading5"/>
      </w:pPr>
      <w:bookmarkStart w:id="346" w:name="_Toc183507435"/>
      <w:r>
        <w:rPr>
          <w:rStyle w:val="CharSectno"/>
        </w:rPr>
        <w:t>64</w:t>
      </w:r>
      <w:r>
        <w:t>.</w:t>
      </w:r>
      <w:r>
        <w:tab/>
        <w:t>Application for registration</w:t>
      </w:r>
      <w:bookmarkEnd w:id="345"/>
      <w:bookmarkEnd w:id="346"/>
    </w:p>
    <w:p>
      <w:pPr>
        <w:pStyle w:val="Subsection"/>
      </w:pPr>
      <w:r>
        <w:tab/>
      </w:r>
      <w:r>
        <w:tab/>
        <w:t xml:space="preserve">An </w:t>
      </w:r>
      <w:r>
        <w:rPr>
          <w:snapToGrid w:val="0"/>
        </w:rPr>
        <w:t>application</w:t>
      </w:r>
      <w:r>
        <w:t xml:space="preserve"> for registration delivered under section 16(1) but not finally dealt with under section 16(2) before the day on which the </w:t>
      </w:r>
      <w:r>
        <w:rPr>
          <w:i/>
        </w:rPr>
        <w:t>Dog Amendment (Stop Puppy Farming) Act 2021</w:t>
      </w:r>
      <w:r>
        <w:t xml:space="preserve"> section 17 comes into operation</w:t>
      </w:r>
      <w:r>
        <w:rPr>
          <w:vertAlign w:val="superscript"/>
        </w:rPr>
        <w:t xml:space="preserve"> </w:t>
      </w:r>
      <w:r>
        <w:t xml:space="preserve">is, on and from that day, to be dealt with as if the </w:t>
      </w:r>
      <w:r>
        <w:rPr>
          <w:i/>
        </w:rPr>
        <w:t xml:space="preserve">Dog Amendment (Stop Puppy Farming) Act 2021 </w:t>
      </w:r>
      <w:r>
        <w:t>section 17(5) had not been enacted.</w:t>
      </w:r>
    </w:p>
    <w:p>
      <w:pPr>
        <w:pStyle w:val="Footnotesection"/>
      </w:pPr>
      <w:bookmarkStart w:id="347" w:name="_Toc91145202"/>
      <w:r>
        <w:tab/>
        <w:t>[Section 64 inserted: No. 29 of 2021 s. 45.]</w:t>
      </w:r>
    </w:p>
    <w:p>
      <w:pPr>
        <w:pStyle w:val="Heading5"/>
      </w:pPr>
      <w:bookmarkStart w:id="348" w:name="_Toc183507436"/>
      <w:r>
        <w:rPr>
          <w:rStyle w:val="CharSectno"/>
        </w:rPr>
        <w:lastRenderedPageBreak/>
        <w:t>65</w:t>
      </w:r>
      <w:r>
        <w:t>.</w:t>
      </w:r>
      <w:r>
        <w:tab/>
        <w:t>Transition period for relevant pet shop businesses</w:t>
      </w:r>
      <w:bookmarkEnd w:id="347"/>
      <w:bookmarkEnd w:id="348"/>
    </w:p>
    <w:p>
      <w:pPr>
        <w:pStyle w:val="Subsection"/>
      </w:pPr>
      <w:r>
        <w:tab/>
        <w:t>(1)</w:t>
      </w:r>
      <w:r>
        <w:tab/>
        <w:t xml:space="preserve">In this section — </w:t>
      </w:r>
    </w:p>
    <w:p>
      <w:pPr>
        <w:pStyle w:val="Defstart"/>
      </w:pPr>
      <w:r>
        <w:tab/>
      </w:r>
      <w:r>
        <w:rPr>
          <w:rStyle w:val="CharDefText"/>
        </w:rPr>
        <w:t>application day</w:t>
      </w:r>
      <w:r>
        <w:t xml:space="preserve"> means the prescribed date;</w:t>
      </w:r>
    </w:p>
    <w:p>
      <w:pPr>
        <w:pStyle w:val="Defstart"/>
      </w:pPr>
      <w:r>
        <w:tab/>
      </w:r>
      <w:r>
        <w:rPr>
          <w:rStyle w:val="CharDefText"/>
        </w:rPr>
        <w:t>commencement day</w:t>
      </w:r>
      <w:r>
        <w:t xml:space="preserve"> means the day on which the </w:t>
      </w:r>
      <w:r>
        <w:rPr>
          <w:i/>
        </w:rPr>
        <w:t>Dog Amendment (Stop Puppy Farming) Act 2021</w:t>
      </w:r>
      <w:r>
        <w:t xml:space="preserve"> section 32 comes into operation;</w:t>
      </w:r>
    </w:p>
    <w:p>
      <w:pPr>
        <w:pStyle w:val="Defstart"/>
      </w:pPr>
      <w:r>
        <w:tab/>
      </w:r>
      <w:r>
        <w:rPr>
          <w:rStyle w:val="CharDefText"/>
        </w:rPr>
        <w:t>pre</w:t>
      </w:r>
      <w:r>
        <w:rPr>
          <w:rStyle w:val="CharDefText"/>
        </w:rPr>
        <w:noBreakHyphen/>
        <w:t>existing dog</w:t>
      </w:r>
      <w:r>
        <w:t>, in relation to a relevant pet shop business, means a dog that is supplied to the relevant pet shop business (within the meaning of section 38A) before the application day.</w:t>
      </w:r>
    </w:p>
    <w:p>
      <w:pPr>
        <w:pStyle w:val="Subsection"/>
      </w:pPr>
      <w:r>
        <w:tab/>
        <w:t>(2)</w:t>
      </w:r>
      <w:r>
        <w:tab/>
        <w:t xml:space="preserve">If, immediately before the commencement day, a person conducts a relevant pet shop business — </w:t>
      </w:r>
    </w:p>
    <w:p>
      <w:pPr>
        <w:pStyle w:val="Indenta"/>
      </w:pPr>
      <w:r>
        <w:tab/>
        <w:t>(a)</w:t>
      </w:r>
      <w:r>
        <w:tab/>
        <w:t>sections 38B, 38G, 38H, 38I, 38J, 38K and 38L do not apply to the person in relation to the relevant pet shop business and the pet shop before the application day; and</w:t>
      </w:r>
    </w:p>
    <w:p>
      <w:pPr>
        <w:pStyle w:val="Indenta"/>
      </w:pPr>
      <w:r>
        <w:tab/>
        <w:t>(b)</w:t>
      </w:r>
      <w:r>
        <w:tab/>
        <w:t>sections 38G, 38I, 38J, 38K and 38L do not apply to the person in relation to a pre</w:t>
      </w:r>
      <w:r>
        <w:noBreakHyphen/>
        <w:t xml:space="preserve">existing dog. </w:t>
      </w:r>
    </w:p>
    <w:p>
      <w:pPr>
        <w:pStyle w:val="Subsection"/>
      </w:pPr>
      <w:r>
        <w:tab/>
        <w:t>(3)</w:t>
      </w:r>
      <w:r>
        <w:tab/>
        <w:t>Section 38N does not apply to a person before the application day.</w:t>
      </w:r>
    </w:p>
    <w:p>
      <w:pPr>
        <w:pStyle w:val="Footnotesection"/>
      </w:pPr>
      <w:r>
        <w:tab/>
        <w:t>[Section 65 inserted: No. 29 of 2021 s. 45.]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410" w:right="2410" w:bottom="1134" w:left="2410" w:header="1134" w:footer="3544" w:gutter="0"/>
          <w:pgNumType w:start="1"/>
          <w:cols w:space="720"/>
          <w:noEndnote/>
          <w:titlePg/>
          <w:docGrid w:linePitch="326"/>
        </w:sectPr>
      </w:pPr>
    </w:p>
    <w:p>
      <w:pPr>
        <w:pStyle w:val="nHeading2"/>
      </w:pPr>
      <w:bookmarkStart w:id="349" w:name="_Toc183090461"/>
      <w:bookmarkStart w:id="350" w:name="_Toc183182352"/>
      <w:bookmarkStart w:id="351" w:name="_Toc183419473"/>
      <w:bookmarkStart w:id="352" w:name="_Toc183423537"/>
      <w:bookmarkStart w:id="353" w:name="_Toc183507437"/>
      <w:r>
        <w:lastRenderedPageBreak/>
        <w:t>Notes</w:t>
      </w:r>
      <w:bookmarkEnd w:id="349"/>
      <w:bookmarkEnd w:id="350"/>
      <w:bookmarkEnd w:id="351"/>
      <w:bookmarkEnd w:id="352"/>
      <w:bookmarkEnd w:id="353"/>
    </w:p>
    <w:p>
      <w:pPr>
        <w:pStyle w:val="nStatement"/>
      </w:pPr>
      <w:r>
        <w:t xml:space="preserve">This is a compilation of the </w:t>
      </w:r>
      <w:r>
        <w:rPr>
          <w:i/>
          <w:noProof/>
        </w:rPr>
        <w:t>Dog Act 1976</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 For provisions that have not yet come into operation see the uncommenced provisions table.</w:t>
      </w:r>
    </w:p>
    <w:p>
      <w:pPr>
        <w:pStyle w:val="nHeading3"/>
      </w:pPr>
      <w:bookmarkStart w:id="354" w:name="_Toc183507438"/>
      <w:r>
        <w:t>Compilation table</w:t>
      </w:r>
      <w:bookmarkEnd w:id="354"/>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61"/>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Dog Act 1976</w:t>
            </w:r>
          </w:p>
        </w:tc>
        <w:tc>
          <w:tcPr>
            <w:tcW w:w="1134" w:type="dxa"/>
            <w:tcBorders>
              <w:top w:val="single" w:sz="8" w:space="0" w:color="auto"/>
            </w:tcBorders>
          </w:tcPr>
          <w:p>
            <w:pPr>
              <w:pStyle w:val="nTable"/>
              <w:spacing w:after="40"/>
            </w:pPr>
            <w:r>
              <w:t>58 of 1976</w:t>
            </w:r>
          </w:p>
        </w:tc>
        <w:tc>
          <w:tcPr>
            <w:tcW w:w="1134" w:type="dxa"/>
            <w:tcBorders>
              <w:top w:val="single" w:sz="8" w:space="0" w:color="auto"/>
            </w:tcBorders>
          </w:tcPr>
          <w:p>
            <w:pPr>
              <w:pStyle w:val="nTable"/>
              <w:spacing w:after="40"/>
            </w:pPr>
            <w:r>
              <w:t>16 Sep 1976</w:t>
            </w:r>
          </w:p>
        </w:tc>
        <w:tc>
          <w:tcPr>
            <w:tcW w:w="2561" w:type="dxa"/>
            <w:tcBorders>
              <w:top w:val="single" w:sz="8" w:space="0" w:color="auto"/>
            </w:tcBorders>
          </w:tcPr>
          <w:p>
            <w:pPr>
              <w:pStyle w:val="nTable"/>
              <w:spacing w:after="40"/>
            </w:pPr>
            <w:r>
              <w:t xml:space="preserve">Act other than s. 21: 24 Dec 1976 (see s. 2(1) and </w:t>
            </w:r>
            <w:r>
              <w:rPr>
                <w:i/>
              </w:rPr>
              <w:t>Gazette</w:t>
            </w:r>
            <w:r>
              <w:t xml:space="preserve"> 24 Dec 1976 p. 5029);</w:t>
            </w:r>
            <w:r>
              <w:br/>
              <w:t xml:space="preserve">s. 21: 1 Jul 1977 (see s. 2(2) and </w:t>
            </w:r>
            <w:r>
              <w:rPr>
                <w:i/>
              </w:rPr>
              <w:t>Gazette</w:t>
            </w:r>
            <w:r>
              <w:t xml:space="preserve"> 3 Jun 1977 p. 1635)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Act Amendment Act 1977</w:t>
            </w:r>
          </w:p>
        </w:tc>
        <w:tc>
          <w:tcPr>
            <w:tcW w:w="1134" w:type="dxa"/>
          </w:tcPr>
          <w:p>
            <w:pPr>
              <w:pStyle w:val="nTable"/>
              <w:spacing w:after="40"/>
            </w:pPr>
            <w:r>
              <w:t>57 of 1977</w:t>
            </w:r>
          </w:p>
        </w:tc>
        <w:tc>
          <w:tcPr>
            <w:tcW w:w="1134" w:type="dxa"/>
          </w:tcPr>
          <w:p>
            <w:pPr>
              <w:pStyle w:val="nTable"/>
              <w:spacing w:after="40"/>
            </w:pPr>
            <w:r>
              <w:t>23 Nov 1977</w:t>
            </w:r>
          </w:p>
        </w:tc>
        <w:tc>
          <w:tcPr>
            <w:tcW w:w="2561" w:type="dxa"/>
          </w:tcPr>
          <w:p>
            <w:pPr>
              <w:pStyle w:val="nTable"/>
              <w:spacing w:after="40"/>
            </w:pPr>
            <w:r>
              <w:t>23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1983</w:t>
            </w:r>
          </w:p>
        </w:tc>
        <w:tc>
          <w:tcPr>
            <w:tcW w:w="1134" w:type="dxa"/>
          </w:tcPr>
          <w:p>
            <w:pPr>
              <w:pStyle w:val="nTable"/>
              <w:spacing w:after="40"/>
            </w:pPr>
            <w:r>
              <w:t>64 of 1983</w:t>
            </w:r>
          </w:p>
        </w:tc>
        <w:tc>
          <w:tcPr>
            <w:tcW w:w="1134" w:type="dxa"/>
          </w:tcPr>
          <w:p>
            <w:pPr>
              <w:pStyle w:val="nTable"/>
              <w:spacing w:after="40"/>
            </w:pPr>
            <w:r>
              <w:t>13 Dec 1983</w:t>
            </w:r>
          </w:p>
        </w:tc>
        <w:tc>
          <w:tcPr>
            <w:tcW w:w="2561" w:type="dxa"/>
          </w:tcPr>
          <w:p>
            <w:pPr>
              <w:pStyle w:val="nTable"/>
              <w:spacing w:after="40"/>
            </w:pPr>
            <w:r>
              <w:t>17 Nov 1983 (see s. 2)</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approved 17 Sep 1984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1987</w:t>
            </w:r>
          </w:p>
        </w:tc>
        <w:tc>
          <w:tcPr>
            <w:tcW w:w="1134" w:type="dxa"/>
          </w:tcPr>
          <w:p>
            <w:pPr>
              <w:pStyle w:val="nTable"/>
              <w:spacing w:after="40"/>
            </w:pPr>
            <w:r>
              <w:t>23 of 1987</w:t>
            </w:r>
          </w:p>
        </w:tc>
        <w:tc>
          <w:tcPr>
            <w:tcW w:w="1134" w:type="dxa"/>
          </w:tcPr>
          <w:p>
            <w:pPr>
              <w:pStyle w:val="nTable"/>
              <w:spacing w:after="40"/>
            </w:pPr>
            <w:r>
              <w:t>25 Jun 1987</w:t>
            </w:r>
          </w:p>
        </w:tc>
        <w:tc>
          <w:tcPr>
            <w:tcW w:w="2561" w:type="dxa"/>
          </w:tcPr>
          <w:p>
            <w:pPr>
              <w:pStyle w:val="nTable"/>
              <w:spacing w:after="40"/>
            </w:pPr>
            <w:r>
              <w:t xml:space="preserve">s. 1 and 2: 25 Jun 1987; </w:t>
            </w:r>
            <w:r>
              <w:br/>
              <w:t xml:space="preserve">Act other than s. 1 and 2: 1 Nov 1987 (see s. 2 and </w:t>
            </w:r>
            <w:r>
              <w:rPr>
                <w:i/>
              </w:rPr>
              <w:t>Gazette</w:t>
            </w:r>
            <w:r>
              <w:t xml:space="preserve"> 18 Sep 1987 p. 3587)</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11 Feb 1988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1996</w:t>
            </w:r>
          </w:p>
        </w:tc>
        <w:tc>
          <w:tcPr>
            <w:tcW w:w="1134" w:type="dxa"/>
          </w:tcPr>
          <w:p>
            <w:pPr>
              <w:pStyle w:val="nTable"/>
              <w:spacing w:after="40"/>
            </w:pPr>
            <w:r>
              <w:t>24 of 1996</w:t>
            </w:r>
          </w:p>
        </w:tc>
        <w:tc>
          <w:tcPr>
            <w:tcW w:w="1134" w:type="dxa"/>
          </w:tcPr>
          <w:p>
            <w:pPr>
              <w:pStyle w:val="nTable"/>
              <w:spacing w:after="40"/>
            </w:pPr>
            <w:r>
              <w:t>27 Aug 1996</w:t>
            </w:r>
          </w:p>
        </w:tc>
        <w:tc>
          <w:tcPr>
            <w:tcW w:w="2561" w:type="dxa"/>
          </w:tcPr>
          <w:p>
            <w:pPr>
              <w:pStyle w:val="nTable"/>
              <w:spacing w:after="40"/>
            </w:pPr>
            <w:r>
              <w:t>s. 1 and 2: 27 Aug 1996;</w:t>
            </w:r>
            <w:r>
              <w:br/>
              <w:t xml:space="preserve">Act other than s. 1 and 2: 14 Sep 1996 (see s. 2 and </w:t>
            </w:r>
            <w:r>
              <w:rPr>
                <w:i/>
              </w:rPr>
              <w:t>Gazette</w:t>
            </w:r>
            <w:r>
              <w:t xml:space="preserve"> 13 Sep 1996 p. 4675)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61" w:type="dxa"/>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20 Nov 1996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(Land Administration) Act 1997 </w:t>
            </w:r>
            <w:r>
              <w:t>s. 141</w:t>
            </w:r>
          </w:p>
        </w:tc>
        <w:tc>
          <w:tcPr>
            <w:tcW w:w="1134" w:type="dxa"/>
          </w:tcPr>
          <w:p>
            <w:pPr>
              <w:pStyle w:val="nTable"/>
              <w:spacing w:after="40"/>
            </w:pPr>
            <w:r>
              <w:t>31 of 1997</w:t>
            </w:r>
          </w:p>
        </w:tc>
        <w:tc>
          <w:tcPr>
            <w:tcW w:w="1134" w:type="dxa"/>
          </w:tcPr>
          <w:p>
            <w:pPr>
              <w:pStyle w:val="nTable"/>
              <w:spacing w:after="40"/>
            </w:pPr>
            <w:r>
              <w:t>3 Oct 1997</w:t>
            </w:r>
          </w:p>
        </w:tc>
        <w:tc>
          <w:tcPr>
            <w:tcW w:w="2561"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49</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(No. 2) 1998 </w:t>
            </w:r>
            <w:r>
              <w:t>s. 29</w:t>
            </w:r>
          </w:p>
        </w:tc>
        <w:tc>
          <w:tcPr>
            <w:tcW w:w="1134" w:type="dxa"/>
          </w:tcPr>
          <w:p>
            <w:pPr>
              <w:pStyle w:val="nTable"/>
              <w:spacing w:after="40"/>
            </w:pPr>
            <w:r>
              <w:t>10 of 1998</w:t>
            </w:r>
          </w:p>
        </w:tc>
        <w:tc>
          <w:tcPr>
            <w:tcW w:w="1134" w:type="dxa"/>
          </w:tcPr>
          <w:p>
            <w:pPr>
              <w:pStyle w:val="nTable"/>
              <w:spacing w:after="40"/>
            </w:pPr>
            <w:r>
              <w:t>30 Apr 1998</w:t>
            </w:r>
          </w:p>
        </w:tc>
        <w:tc>
          <w:tcPr>
            <w:tcW w:w="2561"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Western Australian Greyhound Racing Association Amendment Act 1998 </w:t>
            </w:r>
            <w:r>
              <w:t>s. 20</w:t>
            </w:r>
          </w:p>
        </w:tc>
        <w:tc>
          <w:tcPr>
            <w:tcW w:w="1134" w:type="dxa"/>
          </w:tcPr>
          <w:p>
            <w:pPr>
              <w:pStyle w:val="nTable"/>
              <w:spacing w:after="40"/>
            </w:pPr>
            <w:r>
              <w:t>23 of 1998</w:t>
            </w:r>
          </w:p>
        </w:tc>
        <w:tc>
          <w:tcPr>
            <w:tcW w:w="1134" w:type="dxa"/>
          </w:tcPr>
          <w:p>
            <w:pPr>
              <w:pStyle w:val="nTable"/>
              <w:spacing w:after="40"/>
            </w:pPr>
            <w:r>
              <w:t>30 Jun 1998</w:t>
            </w:r>
          </w:p>
        </w:tc>
        <w:tc>
          <w:tcPr>
            <w:tcW w:w="2561" w:type="dxa"/>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9 Nov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Racing and Gambling Legislation Amendment and Repeal Act 2003</w:t>
            </w:r>
            <w:r>
              <w:t xml:space="preserve"> s. 220</w:t>
            </w:r>
            <w:r>
              <w:rPr>
                <w:vertAlign w:val="superscript"/>
              </w:rPr>
              <w:t> 1</w:t>
            </w:r>
          </w:p>
        </w:tc>
        <w:tc>
          <w:tcPr>
            <w:tcW w:w="1134" w:type="dxa"/>
          </w:tcPr>
          <w:p>
            <w:pPr>
              <w:pStyle w:val="nTable"/>
              <w:spacing w:after="40"/>
            </w:pPr>
            <w:r>
              <w:t>35 of 2003</w:t>
            </w:r>
          </w:p>
        </w:tc>
        <w:tc>
          <w:tcPr>
            <w:tcW w:w="1134" w:type="dxa"/>
          </w:tcPr>
          <w:p>
            <w:pPr>
              <w:pStyle w:val="nTable"/>
              <w:spacing w:after="40"/>
            </w:pPr>
            <w:r>
              <w:t>26 Jun 2003</w:t>
            </w:r>
          </w:p>
        </w:tc>
        <w:tc>
          <w:tcPr>
            <w:tcW w:w="2561" w:type="dxa"/>
          </w:tcPr>
          <w:p>
            <w:pPr>
              <w:pStyle w:val="nTable"/>
              <w:spacing w:after="40"/>
            </w:pPr>
            <w:r>
              <w:t xml:space="preserve">1 Aug 2003 (see s. 2 and </w:t>
            </w:r>
            <w:r>
              <w:rPr>
                <w:i/>
              </w:rPr>
              <w:t>Gazette</w:t>
            </w:r>
            <w:r>
              <w:t xml:space="preserve"> 29 Jul 2003 p. 3259)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iCs/>
                <w:snapToGrid w:val="0"/>
              </w:rPr>
              <w:t>Courts Legislation Amendment and Repeal Act 2004</w:t>
            </w:r>
            <w:r>
              <w:rPr>
                <w:snapToGrid w:val="0"/>
              </w:rPr>
              <w:t xml:space="preserve"> s. 141</w:t>
            </w:r>
            <w:r>
              <w:rPr>
                <w:snapToGrid w:val="0"/>
                <w:vertAlign w:val="superscript"/>
              </w:rPr>
              <w:t> 2</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6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State Administrative Tribunal (Conferral of Jurisdiction) Amendment and Repeal Act 2004</w:t>
            </w:r>
            <w:r>
              <w:rPr>
                <w:iCs/>
                <w:u w:val="words"/>
              </w:rPr>
              <w:t xml:space="preserve"> </w:t>
            </w:r>
            <w:r>
              <w:rPr>
                <w:iCs/>
              </w:rPr>
              <w:t>Pt. 2</w:t>
            </w:r>
            <w:r>
              <w:t xml:space="preserve"> Div. 38</w:t>
            </w:r>
            <w:r>
              <w:rPr>
                <w:vertAlign w:val="superscript"/>
              </w:rPr>
              <w:t> 3, 4</w:t>
            </w:r>
          </w:p>
        </w:tc>
        <w:tc>
          <w:tcPr>
            <w:tcW w:w="1134" w:type="dxa"/>
          </w:tcPr>
          <w:p>
            <w:pPr>
              <w:pStyle w:val="nTable"/>
              <w:spacing w:after="40"/>
            </w:pPr>
            <w:r>
              <w:t>55 of 2004</w:t>
            </w:r>
          </w:p>
        </w:tc>
        <w:tc>
          <w:tcPr>
            <w:tcW w:w="1134" w:type="dxa"/>
          </w:tcPr>
          <w:p>
            <w:pPr>
              <w:pStyle w:val="nTable"/>
              <w:spacing w:after="40"/>
            </w:pPr>
            <w:r>
              <w:t>24 Nov 2004</w:t>
            </w:r>
          </w:p>
        </w:tc>
        <w:tc>
          <w:tcPr>
            <w:tcW w:w="2561"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6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6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rPr>
                <w:snapToGrid w:val="0"/>
              </w:rPr>
            </w:pPr>
            <w:r>
              <w:rPr>
                <w:b/>
              </w:rPr>
              <w:t xml:space="preserve">Reprint 5:  The </w:t>
            </w:r>
            <w:r>
              <w:rPr>
                <w:b/>
                <w:i/>
              </w:rPr>
              <w:t>Dog Act 1976</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ind w:right="113"/>
              <w:rPr>
                <w:i/>
              </w:rPr>
            </w:pPr>
            <w:r>
              <w:rPr>
                <w:i/>
                <w:snapToGrid w:val="0"/>
              </w:rPr>
              <w:lastRenderedPageBreak/>
              <w:t>Land Information Authority Act 2006</w:t>
            </w:r>
            <w:r>
              <w:rPr>
                <w:iCs/>
                <w:snapToGrid w:val="0"/>
              </w:rPr>
              <w:t xml:space="preserve"> s. 132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6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6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Dog Amendment Act 2013</w:t>
            </w:r>
            <w:r>
              <w:t xml:space="preserve"> Pt. 2</w:t>
            </w:r>
            <w:r>
              <w:rPr>
                <w:vertAlign w:val="superscript"/>
              </w:rPr>
              <w:t> 5</w:t>
            </w:r>
          </w:p>
        </w:tc>
        <w:tc>
          <w:tcPr>
            <w:tcW w:w="1134" w:type="dxa"/>
          </w:tcPr>
          <w:p>
            <w:pPr>
              <w:pStyle w:val="nTable"/>
              <w:spacing w:after="40"/>
            </w:pPr>
            <w:r>
              <w:t>18 of 2013</w:t>
            </w:r>
          </w:p>
        </w:tc>
        <w:tc>
          <w:tcPr>
            <w:tcW w:w="1134" w:type="dxa"/>
          </w:tcPr>
          <w:p>
            <w:pPr>
              <w:pStyle w:val="nTable"/>
              <w:spacing w:after="40"/>
            </w:pPr>
            <w:r>
              <w:t>29 Oct 2013</w:t>
            </w:r>
          </w:p>
        </w:tc>
        <w:tc>
          <w:tcPr>
            <w:tcW w:w="2561" w:type="dxa"/>
          </w:tcPr>
          <w:p>
            <w:pPr>
              <w:pStyle w:val="nTable"/>
              <w:spacing w:after="40"/>
            </w:pPr>
            <w:r>
              <w:t xml:space="preserve">1 Nov 2013 (see s. 2(b) and </w:t>
            </w:r>
            <w:r>
              <w:rPr>
                <w:i/>
              </w:rPr>
              <w:t>Gazette</w:t>
            </w:r>
            <w:r>
              <w:t xml:space="preserve"> 31 Oct 2013 p. 4829)</w:t>
            </w:r>
          </w:p>
        </w:tc>
      </w:tr>
      <w:tr>
        <w:tblPrEx>
          <w:tblBorders>
            <w:top w:val="none" w:sz="0" w:space="0" w:color="auto"/>
            <w:bottom w:val="none" w:sz="0" w:space="0" w:color="auto"/>
            <w:insideH w:val="none" w:sz="0" w:space="0" w:color="auto"/>
          </w:tblBorders>
        </w:tblPrEx>
        <w:trPr>
          <w:cantSplit/>
        </w:trPr>
        <w:tc>
          <w:tcPr>
            <w:tcW w:w="7097" w:type="dxa"/>
            <w:gridSpan w:val="4"/>
            <w:shd w:val="clear" w:color="auto" w:fill="auto"/>
          </w:tcPr>
          <w:p>
            <w:pPr>
              <w:pStyle w:val="nTable"/>
              <w:spacing w:after="40"/>
            </w:pPr>
            <w:r>
              <w:rPr>
                <w:b/>
              </w:rPr>
              <w:t xml:space="preserve">Reprint 6:  The </w:t>
            </w:r>
            <w:r>
              <w:rPr>
                <w:b/>
                <w:i/>
              </w:rPr>
              <w:t>Dog Act 1976</w:t>
            </w:r>
            <w:r>
              <w:rPr>
                <w:b/>
              </w:rPr>
              <w:t xml:space="preserve"> as at 4 Jul 2014</w:t>
            </w:r>
            <w:r>
              <w:t xml:space="preserve"> (includes amendments listed above)</w:t>
            </w:r>
          </w:p>
        </w:tc>
      </w:tr>
      <w:tr>
        <w:trPr>
          <w:cantSplit/>
        </w:trPr>
        <w:tc>
          <w:tcPr>
            <w:tcW w:w="2268" w:type="dxa"/>
            <w:tcBorders>
              <w:top w:val="nil"/>
              <w:bottom w:val="nil"/>
            </w:tcBorders>
          </w:tcPr>
          <w:p>
            <w:pPr>
              <w:pStyle w:val="nTable"/>
              <w:spacing w:after="40"/>
              <w:rPr>
                <w:b/>
              </w:rPr>
            </w:pPr>
            <w:r>
              <w:rPr>
                <w:i/>
              </w:rPr>
              <w:t>Public Health (Consequential Provisions) Act 2016</w:t>
            </w:r>
            <w:r>
              <w:t xml:space="preserve"> Pt. 3 Div. 11</w:t>
            </w:r>
          </w:p>
        </w:tc>
        <w:tc>
          <w:tcPr>
            <w:tcW w:w="1134" w:type="dxa"/>
            <w:tcBorders>
              <w:top w:val="nil"/>
              <w:bottom w:val="nil"/>
            </w:tcBorders>
          </w:tcPr>
          <w:p>
            <w:pPr>
              <w:pStyle w:val="nTable"/>
              <w:spacing w:after="40"/>
              <w:rPr>
                <w:b/>
              </w:rPr>
            </w:pPr>
            <w:r>
              <w:t>19 of 2016</w:t>
            </w:r>
          </w:p>
        </w:tc>
        <w:tc>
          <w:tcPr>
            <w:tcW w:w="1134" w:type="dxa"/>
            <w:tcBorders>
              <w:top w:val="nil"/>
              <w:bottom w:val="nil"/>
            </w:tcBorders>
          </w:tcPr>
          <w:p>
            <w:pPr>
              <w:pStyle w:val="nTable"/>
              <w:spacing w:after="40"/>
              <w:rPr>
                <w:b/>
              </w:rPr>
            </w:pPr>
            <w:r>
              <w:t>25 Jul 2016</w:t>
            </w:r>
          </w:p>
        </w:tc>
        <w:tc>
          <w:tcPr>
            <w:tcW w:w="2561" w:type="dxa"/>
            <w:tcBorders>
              <w:top w:val="nil"/>
              <w:bottom w:val="nil"/>
            </w:tcBorders>
          </w:tcPr>
          <w:p>
            <w:pPr>
              <w:pStyle w:val="nTable"/>
              <w:spacing w:after="40"/>
              <w:rPr>
                <w:b/>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tcPr>
          <w:p>
            <w:pPr>
              <w:pStyle w:val="nTable"/>
              <w:spacing w:after="40"/>
              <w:rPr>
                <w:i/>
              </w:rPr>
            </w:pPr>
            <w:r>
              <w:rPr>
                <w:i/>
              </w:rPr>
              <w:t>Local Government Legislation Amendment Act 2019</w:t>
            </w:r>
            <w:r>
              <w:t xml:space="preserve"> Pt. 4 Div. 5</w:t>
            </w:r>
          </w:p>
        </w:tc>
        <w:tc>
          <w:tcPr>
            <w:tcW w:w="1134" w:type="dxa"/>
            <w:tcBorders>
              <w:top w:val="nil"/>
              <w:bottom w:val="nil"/>
            </w:tcBorders>
          </w:tcPr>
          <w:p>
            <w:pPr>
              <w:pStyle w:val="nTable"/>
              <w:spacing w:after="40"/>
            </w:pPr>
            <w:r>
              <w:t>16 of 2019</w:t>
            </w:r>
          </w:p>
        </w:tc>
        <w:tc>
          <w:tcPr>
            <w:tcW w:w="1134" w:type="dxa"/>
            <w:tcBorders>
              <w:top w:val="nil"/>
              <w:bottom w:val="nil"/>
            </w:tcBorders>
          </w:tcPr>
          <w:p>
            <w:pPr>
              <w:pStyle w:val="nTable"/>
              <w:spacing w:after="40"/>
            </w:pPr>
            <w:r>
              <w:t>5 Jul 2019</w:t>
            </w:r>
          </w:p>
        </w:tc>
        <w:tc>
          <w:tcPr>
            <w:tcW w:w="2561" w:type="dxa"/>
            <w:tcBorders>
              <w:top w:val="nil"/>
              <w:bottom w:val="nil"/>
            </w:tcBorders>
          </w:tcPr>
          <w:p>
            <w:pPr>
              <w:pStyle w:val="nTable"/>
              <w:spacing w:after="40"/>
              <w:rPr>
                <w:snapToGrid w:val="0"/>
              </w:rPr>
            </w:pPr>
            <w:r>
              <w:rPr>
                <w:snapToGrid w:val="0"/>
              </w:rPr>
              <w:t>7 Nov 2020 (see s. 2(b) and SL 2020/212 cl. 2)</w:t>
            </w:r>
          </w:p>
        </w:tc>
      </w:tr>
      <w:tr>
        <w:trPr>
          <w:cantSplit/>
        </w:trPr>
        <w:tc>
          <w:tcPr>
            <w:tcW w:w="2268" w:type="dxa"/>
            <w:tcBorders>
              <w:top w:val="nil"/>
              <w:bottom w:val="nil"/>
            </w:tcBorders>
          </w:tcPr>
          <w:p>
            <w:pPr>
              <w:pStyle w:val="nTable"/>
              <w:spacing w:after="40"/>
              <w:rPr>
                <w:i/>
              </w:rPr>
            </w:pPr>
            <w:r>
              <w:rPr>
                <w:i/>
              </w:rPr>
              <w:t>Veterinary Practice Act 2021</w:t>
            </w:r>
            <w:r>
              <w:t xml:space="preserve"> s. 230</w:t>
            </w:r>
          </w:p>
        </w:tc>
        <w:tc>
          <w:tcPr>
            <w:tcW w:w="1134" w:type="dxa"/>
            <w:tcBorders>
              <w:top w:val="nil"/>
              <w:bottom w:val="nil"/>
            </w:tcBorders>
          </w:tcPr>
          <w:p>
            <w:pPr>
              <w:pStyle w:val="nTable"/>
              <w:spacing w:after="40"/>
            </w:pPr>
            <w:r>
              <w:t>19 of 2021</w:t>
            </w:r>
          </w:p>
        </w:tc>
        <w:tc>
          <w:tcPr>
            <w:tcW w:w="1134" w:type="dxa"/>
            <w:tcBorders>
              <w:top w:val="nil"/>
              <w:bottom w:val="nil"/>
            </w:tcBorders>
          </w:tcPr>
          <w:p>
            <w:pPr>
              <w:pStyle w:val="nTable"/>
              <w:spacing w:after="40"/>
            </w:pPr>
            <w:r>
              <w:t>27 Oct 2021</w:t>
            </w:r>
          </w:p>
        </w:tc>
        <w:tc>
          <w:tcPr>
            <w:tcW w:w="2561" w:type="dxa"/>
            <w:tcBorders>
              <w:top w:val="nil"/>
              <w:bottom w:val="nil"/>
            </w:tcBorders>
          </w:tcPr>
          <w:p>
            <w:pPr>
              <w:pStyle w:val="nTable"/>
              <w:spacing w:after="40"/>
              <w:rPr>
                <w:snapToGrid w:val="0"/>
              </w:rPr>
            </w:pPr>
            <w:r>
              <w:rPr>
                <w:snapToGrid w:val="0"/>
              </w:rPr>
              <w:t>18 Jun 2022 (see s. 2(b) and SL 2022/81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Dog Amendment (Stop Puppy Farming) Act 2021 </w:t>
            </w:r>
            <w:r>
              <w:rPr>
                <w:iCs/>
              </w:rPr>
              <w:t xml:space="preserve">Pt. 2 </w:t>
            </w:r>
            <w:r>
              <w:t>(other than s. 7, 8(8), 9(2), 12, 15</w:t>
            </w:r>
            <w:r>
              <w:noBreakHyphen/>
              <w:t>19, 20(3), 22</w:t>
            </w:r>
            <w:r>
              <w:noBreakHyphen/>
              <w:t>24, 26, 27, 30, 37, 43 and Div. 4 and 5)</w:t>
            </w:r>
          </w:p>
        </w:tc>
        <w:tc>
          <w:tcPr>
            <w:tcW w:w="1134" w:type="dxa"/>
          </w:tcPr>
          <w:p>
            <w:pPr>
              <w:pStyle w:val="nTable"/>
              <w:spacing w:after="40"/>
            </w:pPr>
            <w:r>
              <w:t>29 of 2021</w:t>
            </w:r>
          </w:p>
        </w:tc>
        <w:tc>
          <w:tcPr>
            <w:tcW w:w="1134" w:type="dxa"/>
          </w:tcPr>
          <w:p>
            <w:pPr>
              <w:pStyle w:val="nTable"/>
              <w:spacing w:after="40"/>
            </w:pPr>
            <w:r>
              <w:t>22 Dec 2021</w:t>
            </w:r>
          </w:p>
        </w:tc>
        <w:tc>
          <w:tcPr>
            <w:tcW w:w="2561" w:type="dxa"/>
          </w:tcPr>
          <w:p>
            <w:pPr>
              <w:pStyle w:val="nTable"/>
              <w:spacing w:after="40"/>
              <w:rPr>
                <w:snapToGrid w:val="0"/>
              </w:rPr>
            </w:pPr>
            <w:r>
              <w:rPr>
                <w:snapToGrid w:val="0"/>
              </w:rPr>
              <w:t>Pt. 2 Div. 1 and 2: 23 Dec 2021 (see s. 2(b));</w:t>
            </w:r>
            <w:r>
              <w:rPr>
                <w:snapToGrid w:val="0"/>
              </w:rPr>
              <w:br/>
              <w:t>s. 44: 27 Aug 2022 (see s. 2(e) and SL 2022/150 cl. 2);</w:t>
            </w:r>
            <w:r>
              <w:rPr>
                <w:snapToGrid w:val="0"/>
              </w:rPr>
              <w:br/>
            </w:r>
            <w:r>
              <w:t xml:space="preserve">s. 6, 8(1)-(7), 9(1), 10, 11, 13, 14, 20(1) and (2), 21, 25, 28, 29, 31-36, 38-42 and 45: 28 Nov 2024 </w:t>
            </w:r>
            <w:r>
              <w:rPr>
                <w:snapToGrid w:val="0"/>
              </w:rPr>
              <w:t>(see s. 2(e) and SL 2024/241 cl. 2)</w:t>
            </w:r>
          </w:p>
        </w:tc>
      </w:tr>
      <w:tr>
        <w:trPr>
          <w:cantSplit/>
        </w:trPr>
        <w:tc>
          <w:tcPr>
            <w:tcW w:w="7097" w:type="dxa"/>
            <w:gridSpan w:val="4"/>
            <w:tcBorders>
              <w:top w:val="nil"/>
              <w:bottom w:val="nil"/>
            </w:tcBorders>
          </w:tcPr>
          <w:p>
            <w:pPr>
              <w:pStyle w:val="nTable"/>
              <w:spacing w:after="40"/>
              <w:rPr>
                <w:snapToGrid w:val="0"/>
              </w:rPr>
            </w:pPr>
            <w:r>
              <w:rPr>
                <w:b/>
                <w:i/>
                <w:noProof/>
                <w:snapToGrid w:val="0"/>
              </w:rPr>
              <w:t>Dog Act 1976</w:t>
            </w:r>
            <w:r>
              <w:rPr>
                <w:b/>
                <w:snapToGrid w:val="0"/>
              </w:rPr>
              <w:t xml:space="preserve"> with editorial changes as at 4 Oct 2024</w:t>
            </w:r>
          </w:p>
        </w:tc>
      </w:tr>
      <w:tr>
        <w:trPr>
          <w:cantSplit/>
        </w:trPr>
        <w:tc>
          <w:tcPr>
            <w:tcW w:w="7097" w:type="dxa"/>
            <w:gridSpan w:val="4"/>
            <w:tcBorders>
              <w:top w:val="nil"/>
              <w:bottom w:val="single" w:sz="8" w:space="0" w:color="auto"/>
            </w:tcBorders>
          </w:tcPr>
          <w:p>
            <w:pPr>
              <w:pStyle w:val="nTable"/>
              <w:spacing w:after="40"/>
              <w:rPr>
                <w:b/>
                <w:i/>
                <w:noProof/>
                <w:snapToGrid w:val="0"/>
              </w:rPr>
            </w:pPr>
            <w:r>
              <w:rPr>
                <w:b/>
                <w:i/>
                <w:noProof/>
                <w:snapToGrid w:val="0"/>
              </w:rPr>
              <w:t>Dog Act 1976</w:t>
            </w:r>
            <w:r>
              <w:rPr>
                <w:b/>
                <w:iCs/>
                <w:noProof/>
                <w:snapToGrid w:val="0"/>
              </w:rPr>
              <w:t xml:space="preserve"> with editorial changes as at 26 Nov 2024</w:t>
            </w:r>
          </w:p>
        </w:tc>
      </w:tr>
    </w:tbl>
    <w:p>
      <w:pPr>
        <w:pStyle w:val="nHeading3"/>
        <w:keepLines/>
      </w:pPr>
      <w:bookmarkStart w:id="355" w:name="_Toc183507439"/>
      <w:r>
        <w:lastRenderedPageBreak/>
        <w:t>Editorial changes table</w:t>
      </w:r>
      <w:bookmarkEnd w:id="355"/>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keepLines/>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Borders>
              <w:bottom w:val="single" w:sz="8" w:space="0" w:color="auto"/>
            </w:tcBorders>
          </w:tcPr>
          <w:p>
            <w:pPr>
              <w:pStyle w:val="nTable"/>
              <w:keepNext/>
              <w:keepLines/>
              <w:spacing w:after="40"/>
              <w:rPr>
                <w:b/>
              </w:rPr>
            </w:pPr>
            <w:r>
              <w:rPr>
                <w:b/>
              </w:rPr>
              <w:t>Provision/s affected</w:t>
            </w:r>
          </w:p>
        </w:tc>
        <w:tc>
          <w:tcPr>
            <w:tcW w:w="2694" w:type="dxa"/>
            <w:tcBorders>
              <w:bottom w:val="single" w:sz="8" w:space="0" w:color="auto"/>
            </w:tcBorders>
          </w:tcPr>
          <w:p>
            <w:pPr>
              <w:pStyle w:val="nTable"/>
              <w:keepNext/>
              <w:keepLines/>
              <w:spacing w:after="40"/>
              <w:rPr>
                <w:b/>
              </w:rPr>
            </w:pPr>
            <w:r>
              <w:rPr>
                <w:b/>
              </w:rPr>
              <w:t xml:space="preserve">Authorising provision of </w:t>
            </w:r>
            <w:r>
              <w:rPr>
                <w:b/>
                <w:i/>
                <w:iCs/>
              </w:rPr>
              <w:t>Legislation Act 2021</w:t>
            </w:r>
            <w:r>
              <w:rPr>
                <w:b/>
              </w:rPr>
              <w:t xml:space="preserve"> Part 3</w:t>
            </w:r>
          </w:p>
        </w:tc>
        <w:tc>
          <w:tcPr>
            <w:tcW w:w="1559" w:type="dxa"/>
            <w:tcBorders>
              <w:bottom w:val="single" w:sz="8" w:space="0" w:color="auto"/>
            </w:tcBorders>
          </w:tcPr>
          <w:p>
            <w:pPr>
              <w:pStyle w:val="nTable"/>
              <w:keepNext/>
              <w:keepLines/>
              <w:spacing w:after="40"/>
              <w:rPr>
                <w:b/>
              </w:rPr>
            </w:pPr>
            <w:r>
              <w:rPr>
                <w:b/>
              </w:rPr>
              <w:t>Effective date</w:t>
            </w:r>
            <w:r>
              <w:br/>
            </w:r>
            <w:r>
              <w:rPr>
                <w:b/>
              </w:rPr>
              <w:t>of change</w:t>
            </w:r>
          </w:p>
        </w:tc>
      </w:tr>
      <w:tr>
        <w:tc>
          <w:tcPr>
            <w:tcW w:w="2807" w:type="dxa"/>
            <w:tcBorders>
              <w:bottom w:val="nil"/>
            </w:tcBorders>
          </w:tcPr>
          <w:p>
            <w:pPr>
              <w:pStyle w:val="nTable"/>
              <w:spacing w:after="40"/>
            </w:pPr>
            <w:r>
              <w:t>s. 7(3)(b)(i)</w:t>
            </w:r>
          </w:p>
        </w:tc>
        <w:tc>
          <w:tcPr>
            <w:tcW w:w="2694" w:type="dxa"/>
            <w:tcBorders>
              <w:bottom w:val="nil"/>
            </w:tcBorders>
          </w:tcPr>
          <w:p>
            <w:pPr>
              <w:pStyle w:val="nTable"/>
              <w:keepNext/>
              <w:keepLines/>
              <w:spacing w:after="40"/>
            </w:pPr>
            <w:r>
              <w:t>s. 26(1)</w:t>
            </w:r>
          </w:p>
        </w:tc>
        <w:tc>
          <w:tcPr>
            <w:tcW w:w="1559" w:type="dxa"/>
            <w:tcBorders>
              <w:bottom w:val="nil"/>
            </w:tcBorders>
          </w:tcPr>
          <w:p>
            <w:pPr>
              <w:pStyle w:val="nTable"/>
              <w:keepNext/>
              <w:keepLines/>
              <w:spacing w:after="40"/>
            </w:pPr>
            <w:r>
              <w:t>4 Oct 2024</w:t>
            </w:r>
          </w:p>
        </w:tc>
      </w:tr>
      <w:tr>
        <w:tc>
          <w:tcPr>
            <w:tcW w:w="2807" w:type="dxa"/>
            <w:tcBorders>
              <w:top w:val="nil"/>
            </w:tcBorders>
          </w:tcPr>
          <w:p>
            <w:pPr>
              <w:pStyle w:val="nTable"/>
              <w:spacing w:after="40"/>
            </w:pPr>
            <w:r>
              <w:t>s. 7(3)(b)(i)</w:t>
            </w:r>
          </w:p>
        </w:tc>
        <w:tc>
          <w:tcPr>
            <w:tcW w:w="2694" w:type="dxa"/>
            <w:tcBorders>
              <w:top w:val="nil"/>
            </w:tcBorders>
          </w:tcPr>
          <w:p>
            <w:pPr>
              <w:pStyle w:val="nTable"/>
              <w:keepNext/>
              <w:keepLines/>
              <w:spacing w:after="40"/>
            </w:pPr>
            <w:r>
              <w:t>s. 26(2)</w:t>
            </w:r>
          </w:p>
        </w:tc>
        <w:tc>
          <w:tcPr>
            <w:tcW w:w="1559" w:type="dxa"/>
            <w:tcBorders>
              <w:top w:val="nil"/>
            </w:tcBorders>
          </w:tcPr>
          <w:p>
            <w:pPr>
              <w:pStyle w:val="nTable"/>
              <w:keepNext/>
              <w:keepLines/>
              <w:spacing w:after="40"/>
            </w:pPr>
            <w:r>
              <w:t>26 Nov 2024</w:t>
            </w:r>
          </w:p>
        </w:tc>
      </w:tr>
    </w:tbl>
    <w:p>
      <w:pPr>
        <w:pStyle w:val="nHeading3"/>
      </w:pPr>
      <w:bookmarkStart w:id="356" w:name="_Toc183507440"/>
      <w:r>
        <w:t>Uncommenced provisions table</w:t>
      </w:r>
      <w:bookmarkEnd w:id="356"/>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6"/>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CellMar>
            <w:left w:w="57" w:type="dxa"/>
            <w:right w:w="57" w:type="dxa"/>
          </w:tblCellMar>
        </w:tblPrEx>
        <w:tc>
          <w:tcPr>
            <w:tcW w:w="2273" w:type="dxa"/>
            <w:tcBorders>
              <w:top w:val="nil"/>
              <w:bottom w:val="nil"/>
            </w:tcBorders>
          </w:tcPr>
          <w:p>
            <w:pPr>
              <w:pStyle w:val="nTable"/>
              <w:spacing w:after="40"/>
              <w:rPr>
                <w:noProof/>
                <w:snapToGrid w:val="0"/>
                <w:vertAlign w:val="superscript"/>
              </w:rPr>
            </w:pPr>
            <w:r>
              <w:rPr>
                <w:i/>
              </w:rPr>
              <w:t>Public Health (Consequential Provisions) Act 2016</w:t>
            </w:r>
            <w:r>
              <w:t xml:space="preserve"> Pt. 5 Div. 5</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6" w:type="dxa"/>
            <w:tcBorders>
              <w:top w:val="nil"/>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73" w:type="dxa"/>
            <w:tcBorders>
              <w:top w:val="nil"/>
              <w:bottom w:val="nil"/>
              <w:right w:val="nil"/>
            </w:tcBorders>
          </w:tcPr>
          <w:p>
            <w:pPr>
              <w:pStyle w:val="nTable"/>
              <w:spacing w:after="40"/>
              <w:rPr>
                <w:i/>
              </w:rPr>
            </w:pPr>
            <w:r>
              <w:rPr>
                <w:i/>
              </w:rPr>
              <w:t>TAB (Disposal) Act 2019</w:t>
            </w:r>
            <w:r>
              <w:t xml:space="preserve"> s. 148</w:t>
            </w:r>
          </w:p>
        </w:tc>
        <w:tc>
          <w:tcPr>
            <w:tcW w:w="1134" w:type="dxa"/>
            <w:tcBorders>
              <w:top w:val="nil"/>
              <w:left w:val="nil"/>
              <w:bottom w:val="nil"/>
              <w:right w:val="nil"/>
            </w:tcBorders>
          </w:tcPr>
          <w:p>
            <w:pPr>
              <w:pStyle w:val="nTable"/>
              <w:spacing w:after="40"/>
            </w:pPr>
            <w:r>
              <w:t>21 of 2019</w:t>
            </w:r>
          </w:p>
        </w:tc>
        <w:tc>
          <w:tcPr>
            <w:tcW w:w="1134" w:type="dxa"/>
            <w:tcBorders>
              <w:top w:val="nil"/>
              <w:left w:val="nil"/>
              <w:bottom w:val="nil"/>
              <w:right w:val="nil"/>
            </w:tcBorders>
          </w:tcPr>
          <w:p>
            <w:pPr>
              <w:pStyle w:val="nTable"/>
              <w:spacing w:after="40"/>
            </w:pPr>
            <w:r>
              <w:t>18 Sep 2019</w:t>
            </w:r>
          </w:p>
        </w:tc>
        <w:tc>
          <w:tcPr>
            <w:tcW w:w="2556" w:type="dxa"/>
            <w:tcBorders>
              <w:top w:val="nil"/>
              <w:left w:val="nil"/>
              <w:bottom w:val="nil"/>
            </w:tcBorders>
          </w:tcPr>
          <w:p>
            <w:pPr>
              <w:pStyle w:val="nTable"/>
              <w:spacing w:after="40"/>
              <w:rPr>
                <w:snapToGrid w:val="0"/>
              </w:rPr>
            </w:pPr>
            <w:r>
              <w:t>To be proclaimed (see s. 2(1)(b)(xiii))</w:t>
            </w:r>
          </w:p>
        </w:tc>
      </w:tr>
      <w:tr>
        <w:tblPrEx>
          <w:tblCellMar>
            <w:left w:w="57" w:type="dxa"/>
            <w:right w:w="57" w:type="dxa"/>
          </w:tblCellMar>
        </w:tblPrEx>
        <w:tc>
          <w:tcPr>
            <w:tcW w:w="2273" w:type="dxa"/>
            <w:tcBorders>
              <w:top w:val="nil"/>
              <w:bottom w:val="single" w:sz="4" w:space="0" w:color="auto"/>
              <w:right w:val="nil"/>
            </w:tcBorders>
          </w:tcPr>
          <w:p>
            <w:pPr>
              <w:pStyle w:val="nTable"/>
              <w:spacing w:after="40"/>
              <w:rPr>
                <w:i/>
              </w:rPr>
            </w:pPr>
            <w:r>
              <w:rPr>
                <w:i/>
              </w:rPr>
              <w:t>Dog Amendment (Stop Puppy Farming) Act 2021</w:t>
            </w:r>
            <w:r>
              <w:t xml:space="preserve"> s. 7, 8(8), 9(2), 12, 15</w:t>
            </w:r>
            <w:r>
              <w:noBreakHyphen/>
              <w:t>19, 20(3), 22</w:t>
            </w:r>
            <w:r>
              <w:noBreakHyphen/>
              <w:t>24, 26, 27, 30, 37, 43 and Pt. 2 Div. 4 and 5</w:t>
            </w:r>
          </w:p>
        </w:tc>
        <w:tc>
          <w:tcPr>
            <w:tcW w:w="1134" w:type="dxa"/>
            <w:tcBorders>
              <w:top w:val="nil"/>
              <w:left w:val="nil"/>
              <w:bottom w:val="single" w:sz="4" w:space="0" w:color="auto"/>
              <w:right w:val="nil"/>
            </w:tcBorders>
          </w:tcPr>
          <w:p>
            <w:pPr>
              <w:pStyle w:val="nTable"/>
              <w:spacing w:after="40"/>
            </w:pPr>
            <w:r>
              <w:t>29 of 2021</w:t>
            </w:r>
          </w:p>
        </w:tc>
        <w:tc>
          <w:tcPr>
            <w:tcW w:w="1134" w:type="dxa"/>
            <w:tcBorders>
              <w:top w:val="nil"/>
              <w:left w:val="nil"/>
              <w:bottom w:val="single" w:sz="4" w:space="0" w:color="auto"/>
              <w:right w:val="nil"/>
            </w:tcBorders>
          </w:tcPr>
          <w:p>
            <w:pPr>
              <w:pStyle w:val="nTable"/>
              <w:spacing w:after="40"/>
              <w:rPr>
                <w:highlight w:val="yellow"/>
              </w:rPr>
            </w:pPr>
            <w:r>
              <w:t>22 Dec 2021</w:t>
            </w:r>
          </w:p>
        </w:tc>
        <w:tc>
          <w:tcPr>
            <w:tcW w:w="2556" w:type="dxa"/>
            <w:tcBorders>
              <w:top w:val="nil"/>
              <w:left w:val="nil"/>
              <w:bottom w:val="single" w:sz="4" w:space="0" w:color="auto"/>
            </w:tcBorders>
          </w:tcPr>
          <w:p>
            <w:pPr>
              <w:pStyle w:val="nTable"/>
              <w:spacing w:after="40"/>
              <w:rPr>
                <w:snapToGrid w:val="0"/>
              </w:rPr>
            </w:pPr>
            <w:r>
              <w:rPr>
                <w:snapToGrid w:val="0"/>
              </w:rPr>
              <w:t>To be proclaimed (see s. 2(c), (d) and (e))</w:t>
            </w:r>
          </w:p>
        </w:tc>
      </w:tr>
    </w:tbl>
    <w:p>
      <w:pPr>
        <w:pStyle w:val="nHeading3"/>
      </w:pPr>
      <w:bookmarkStart w:id="357" w:name="_Toc183507441"/>
      <w:r>
        <w:t>Other notes</w:t>
      </w:r>
      <w:bookmarkEnd w:id="357"/>
    </w:p>
    <w:p>
      <w:pPr>
        <w:pStyle w:val="nNote"/>
        <w:spacing w:before="160"/>
      </w:pPr>
      <w:r>
        <w:rPr>
          <w:vertAlign w:val="superscript"/>
        </w:rPr>
        <w:t>1</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lastRenderedPageBreak/>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pPr>
      <w:r>
        <w:tab/>
        <w:t>(3)</w:t>
      </w:r>
      <w:r>
        <w:tab/>
        <w:t>Nothing in this section prevents subsidiary legislation from being amended in accordance with the Act under which it was made.</w:t>
      </w:r>
    </w:p>
    <w:p>
      <w:pPr>
        <w:pStyle w:val="BlankClose"/>
      </w:pPr>
    </w:p>
    <w:p>
      <w:pPr>
        <w:pStyle w:val="nNote"/>
        <w:tabs>
          <w:tab w:val="left" w:pos="2520"/>
        </w:tabs>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15 was deleted by the </w:t>
      </w:r>
      <w:r>
        <w:rPr>
          <w:i/>
          <w:iCs/>
          <w:snapToGrid w:val="0"/>
        </w:rPr>
        <w:t>Criminal Law and Evidence Amendment Act 2008</w:t>
      </w:r>
      <w:r>
        <w:rPr>
          <w:snapToGrid w:val="0"/>
        </w:rPr>
        <w:t xml:space="preserve"> s. 77(13).</w:t>
      </w:r>
    </w:p>
    <w:p>
      <w:pPr>
        <w:pStyle w:val="nNote"/>
        <w:rPr>
          <w:iCs/>
        </w:rPr>
      </w:pPr>
      <w:r>
        <w:rPr>
          <w:vertAlign w:val="superscript"/>
        </w:rPr>
        <w:t>3</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r>
        <w:rPr>
          <w:iCs/>
          <w:vertAlign w:val="superscript"/>
        </w:rPr>
        <w:t>4</w:t>
      </w:r>
      <w:r>
        <w:rPr>
          <w:iCs/>
        </w:rPr>
        <w:tab/>
        <w:t xml:space="preserve">The </w:t>
      </w:r>
      <w:r>
        <w:rPr>
          <w:i/>
        </w:rPr>
        <w:t>State Administrative Tribunal Regulations 2004</w:t>
      </w:r>
      <w:r>
        <w:rPr>
          <w:iCs/>
        </w:rPr>
        <w:t xml:space="preserve"> r. 47 reads as follows:</w:t>
      </w:r>
    </w:p>
    <w:p>
      <w:pPr>
        <w:pStyle w:val="BlankOpen"/>
      </w:pPr>
    </w:p>
    <w:p>
      <w:pPr>
        <w:pStyle w:val="nzHeading5"/>
        <w:spacing w:before="0"/>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BlankClose"/>
      </w:pPr>
    </w:p>
    <w:p>
      <w:pPr>
        <w:pStyle w:val="nNote"/>
        <w:spacing w:before="60"/>
        <w:rPr>
          <w:iCs/>
        </w:rPr>
      </w:pPr>
      <w:r>
        <w:rPr>
          <w:iCs/>
          <w:vertAlign w:val="superscript"/>
        </w:rPr>
        <w:t>5</w:t>
      </w:r>
      <w:r>
        <w:rPr>
          <w:iCs/>
        </w:rPr>
        <w:tab/>
        <w:t xml:space="preserve">The </w:t>
      </w:r>
      <w:r>
        <w:rPr>
          <w:i/>
          <w:sz w:val="19"/>
        </w:rPr>
        <w:t>Dog Amendment Act 2013</w:t>
      </w:r>
      <w:r>
        <w:rPr>
          <w:sz w:val="19"/>
        </w:rPr>
        <w:t xml:space="preserve"> s.</w:t>
      </w:r>
      <w:r>
        <w:rPr>
          <w:iCs/>
        </w:rPr>
        <w:t> 60 reads as follows:</w:t>
      </w:r>
    </w:p>
    <w:p>
      <w:pPr>
        <w:pStyle w:val="BlankOpen"/>
      </w:pPr>
    </w:p>
    <w:p>
      <w:pPr>
        <w:pStyle w:val="nzHeading5"/>
        <w:spacing w:before="0"/>
      </w:pPr>
      <w:r>
        <w:t>60.</w:t>
      </w:r>
      <w:r>
        <w:tab/>
        <w:t>Review of Act</w:t>
      </w:r>
    </w:p>
    <w:p>
      <w:pPr>
        <w:pStyle w:val="nzSubsection"/>
        <w:rPr>
          <w:snapToGrid w:val="0"/>
        </w:rPr>
      </w:pPr>
      <w:r>
        <w:rPr>
          <w:snapToGrid w:val="0"/>
        </w:rPr>
        <w:tab/>
        <w:t>(1)</w:t>
      </w:r>
      <w:r>
        <w:rPr>
          <w:snapToGrid w:val="0"/>
        </w:rPr>
        <w:tab/>
        <w:t>The Minister must carry out a review of the operation and effectiveness of this Act as soon as practicable after 1 January 2019.</w:t>
      </w:r>
    </w:p>
    <w:p>
      <w:pPr>
        <w:pStyle w:val="nzSubsection"/>
        <w:rPr>
          <w:snapToGrid w:val="0"/>
        </w:rPr>
      </w:pPr>
      <w:r>
        <w:rPr>
          <w:snapToGrid w:val="0"/>
        </w:rPr>
        <w:tab/>
        <w:t>(2)</w:t>
      </w:r>
      <w:r>
        <w:rPr>
          <w:snapToGrid w:val="0"/>
        </w:rPr>
        <w:tab/>
        <w:t>The Minister must prepare a report based on the review and, as soon as is practicable after the report is prepared, cause it to be laid before each House of Parliament.</w:t>
      </w:r>
    </w:p>
    <w:p>
      <w:pPr>
        <w:pStyle w:val="BlankClose"/>
      </w:pPr>
    </w:p>
    <w:p>
      <w:pPr>
        <w:pStyle w:val="nNote"/>
        <w:spacing w:before="160"/>
        <w:rPr>
          <w:snapToGrid w:val="0"/>
        </w:rPr>
      </w:pPr>
      <w:r>
        <w:rPr>
          <w:snapToGrid w:val="0"/>
          <w:vertAlign w:val="superscript"/>
        </w:rPr>
        <w:t>6</w:t>
      </w:r>
      <w:r>
        <w:rPr>
          <w:snapToGrid w:val="0"/>
        </w:rPr>
        <w:tab/>
        <w:t xml:space="preserve">Formerly known as </w:t>
      </w:r>
      <w:r>
        <w:rPr>
          <w:i/>
          <w:iCs/>
          <w:snapToGrid w:val="0"/>
        </w:rPr>
        <w:t>Royal Society for the Prevention of Cruelty to Animals (Inc.) of Western Australia</w:t>
      </w:r>
      <w:r>
        <w:rPr>
          <w:snapToGrid w:val="0"/>
        </w:rPr>
        <w:t>.</w:t>
      </w: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359" w:name="_Toc183419478"/>
      <w:bookmarkStart w:id="360" w:name="_Toc183423542"/>
      <w:bookmarkStart w:id="361" w:name="_Toc183507442"/>
      <w:r>
        <w:rPr>
          <w:sz w:val="28"/>
        </w:rPr>
        <w:lastRenderedPageBreak/>
        <w:t>Defined terms</w:t>
      </w:r>
      <w:bookmarkEnd w:id="359"/>
      <w:bookmarkEnd w:id="360"/>
      <w:bookmarkEnd w:id="3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provision</w:t>
      </w:r>
      <w:r>
        <w:tab/>
        <w:t>60(2)</w:t>
      </w:r>
    </w:p>
    <w:p>
      <w:pPr>
        <w:pStyle w:val="DefinedTerms"/>
      </w:pPr>
      <w:r>
        <w:t>applicable pet shop business</w:t>
      </w:r>
      <w:r>
        <w:tab/>
        <w:t>38X(1)</w:t>
      </w:r>
    </w:p>
    <w:p>
      <w:pPr>
        <w:pStyle w:val="DefinedTerms"/>
      </w:pPr>
      <w:r>
        <w:t>application day</w:t>
      </w:r>
      <w:r>
        <w:tab/>
        <w:t>65(1)</w:t>
      </w:r>
    </w:p>
    <w:p>
      <w:pPr>
        <w:pStyle w:val="DefinedTerms"/>
      </w:pPr>
      <w:r>
        <w:t>approval to breed</w:t>
      </w:r>
      <w:r>
        <w:tab/>
        <w:t>3(1)</w:t>
      </w:r>
    </w:p>
    <w:p>
      <w:pPr>
        <w:pStyle w:val="DefinedTerms"/>
      </w:pPr>
      <w:r>
        <w:t>assistance dog</w:t>
      </w:r>
      <w:r>
        <w:tab/>
        <w:t>8(1)</w:t>
      </w:r>
    </w:p>
    <w:p>
      <w:pPr>
        <w:pStyle w:val="DefinedTerms"/>
      </w:pPr>
      <w:r>
        <w:t>attack</w:t>
      </w:r>
      <w:r>
        <w:tab/>
        <w:t>3(1)</w:t>
      </w:r>
    </w:p>
    <w:p>
      <w:pPr>
        <w:pStyle w:val="DefinedTerms"/>
      </w:pPr>
      <w:r>
        <w:t>attack dog</w:t>
      </w:r>
      <w:r>
        <w:tab/>
        <w:t>29(5a)</w:t>
      </w:r>
    </w:p>
    <w:p>
      <w:pPr>
        <w:pStyle w:val="DefinedTerms"/>
      </w:pPr>
      <w:r>
        <w:t>authorised person</w:t>
      </w:r>
      <w:r>
        <w:tab/>
        <w:t>3(1)</w:t>
      </w:r>
    </w:p>
    <w:p>
      <w:pPr>
        <w:pStyle w:val="DefinedTerms"/>
      </w:pPr>
      <w:r>
        <w:t>authorised purpose</w:t>
      </w:r>
      <w:r>
        <w:tab/>
        <w:t>43B(1)</w:t>
      </w:r>
    </w:p>
    <w:p>
      <w:pPr>
        <w:pStyle w:val="DefinedTerms"/>
      </w:pPr>
      <w:r>
        <w:t>centralised registration system</w:t>
      </w:r>
      <w:r>
        <w:tab/>
        <w:t>3(1), 13A(1), 62(1)</w:t>
      </w:r>
    </w:p>
    <w:p>
      <w:pPr>
        <w:pStyle w:val="DefinedTerms"/>
      </w:pPr>
      <w:r>
        <w:t>CEO</w:t>
      </w:r>
      <w:r>
        <w:tab/>
        <w:t>3(1)</w:t>
      </w:r>
    </w:p>
    <w:p>
      <w:pPr>
        <w:pStyle w:val="DefinedTerms"/>
      </w:pPr>
      <w:r>
        <w:t>commencement day</w:t>
      </w:r>
      <w:r>
        <w:tab/>
        <w:t>60(1), 62(1), 63(1), 65(1)</w:t>
      </w:r>
    </w:p>
    <w:p>
      <w:pPr>
        <w:pStyle w:val="DefinedTerms"/>
      </w:pPr>
      <w:r>
        <w:t>commercial security dog</w:t>
      </w:r>
      <w:r>
        <w:tab/>
        <w:t>3(1)</w:t>
      </w:r>
    </w:p>
    <w:p>
      <w:pPr>
        <w:pStyle w:val="DefinedTerms"/>
      </w:pPr>
      <w:r>
        <w:t>convicted person</w:t>
      </w:r>
      <w:r>
        <w:tab/>
        <w:t>3(1)</w:t>
      </w:r>
    </w:p>
    <w:p>
      <w:pPr>
        <w:pStyle w:val="DefinedTerms"/>
      </w:pPr>
      <w:r>
        <w:t>dangerous dog</w:t>
      </w:r>
      <w:r>
        <w:tab/>
        <w:t>3(1)</w:t>
      </w:r>
    </w:p>
    <w:p>
      <w:pPr>
        <w:pStyle w:val="DefinedTerms"/>
      </w:pPr>
      <w:r>
        <w:t>dangerous dog (declared)</w:t>
      </w:r>
      <w:r>
        <w:tab/>
        <w:t>3(1)</w:t>
      </w:r>
    </w:p>
    <w:p>
      <w:pPr>
        <w:pStyle w:val="DefinedTerms"/>
      </w:pPr>
      <w:r>
        <w:t>dangerous dog (restricted breed)</w:t>
      </w:r>
      <w:r>
        <w:tab/>
        <w:t>3(1)</w:t>
      </w:r>
    </w:p>
    <w:p>
      <w:pPr>
        <w:pStyle w:val="DefinedTerms"/>
      </w:pPr>
      <w:r>
        <w:t>Department</w:t>
      </w:r>
      <w:r>
        <w:tab/>
        <w:t>3(1)</w:t>
      </w:r>
    </w:p>
    <w:p>
      <w:pPr>
        <w:pStyle w:val="DefinedTerms"/>
      </w:pPr>
      <w:r>
        <w:t>designated person</w:t>
      </w:r>
      <w:r>
        <w:tab/>
        <w:t>3(1), 9B(1)</w:t>
      </w:r>
    </w:p>
    <w:p>
      <w:pPr>
        <w:pStyle w:val="DefinedTerms"/>
      </w:pPr>
      <w:r>
        <w:t>detention period</w:t>
      </w:r>
      <w:r>
        <w:tab/>
        <w:t>29(8A)</w:t>
      </w:r>
    </w:p>
    <w:p>
      <w:pPr>
        <w:pStyle w:val="DefinedTerms"/>
      </w:pPr>
      <w:r>
        <w:t>district</w:t>
      </w:r>
      <w:r>
        <w:tab/>
        <w:t>3(1)</w:t>
      </w:r>
    </w:p>
    <w:p>
      <w:pPr>
        <w:pStyle w:val="DefinedTerms"/>
      </w:pPr>
      <w:r>
        <w:t>dog</w:t>
      </w:r>
      <w:r>
        <w:tab/>
        <w:t>17A(1)</w:t>
      </w:r>
    </w:p>
    <w:p>
      <w:pPr>
        <w:pStyle w:val="DefinedTerms"/>
      </w:pPr>
      <w:r>
        <w:t>dog management facility</w:t>
      </w:r>
      <w:r>
        <w:tab/>
        <w:t>3(1)</w:t>
      </w:r>
    </w:p>
    <w:p>
      <w:pPr>
        <w:pStyle w:val="DefinedTerms"/>
      </w:pPr>
      <w:r>
        <w:t>dog owner number</w:t>
      </w:r>
      <w:r>
        <w:tab/>
        <w:t>3(1), 13B(1)</w:t>
      </w:r>
    </w:p>
    <w:p>
      <w:pPr>
        <w:pStyle w:val="DefinedTerms"/>
      </w:pPr>
      <w:r>
        <w:t>dog supply approval</w:t>
      </w:r>
      <w:r>
        <w:tab/>
        <w:t>3(1), 38O(1)</w:t>
      </w:r>
    </w:p>
    <w:p>
      <w:pPr>
        <w:pStyle w:val="DefinedTerms"/>
      </w:pPr>
      <w:r>
        <w:t>dwelling</w:t>
      </w:r>
      <w:r>
        <w:tab/>
        <w:t>3(1)</w:t>
      </w:r>
    </w:p>
    <w:p>
      <w:pPr>
        <w:pStyle w:val="DefinedTerms"/>
      </w:pPr>
      <w:r>
        <w:t>effectively confined</w:t>
      </w:r>
      <w:r>
        <w:tab/>
        <w:t>3(1)</w:t>
      </w:r>
    </w:p>
    <w:p>
      <w:pPr>
        <w:pStyle w:val="DefinedTerms"/>
      </w:pPr>
      <w:r>
        <w:t>Gazettal day</w:t>
      </w:r>
      <w:r>
        <w:tab/>
        <w:t>60(1)</w:t>
      </w:r>
    </w:p>
    <w:p>
      <w:pPr>
        <w:pStyle w:val="DefinedTerms"/>
      </w:pPr>
      <w:r>
        <w:t>health certificate</w:t>
      </w:r>
      <w:r>
        <w:tab/>
        <w:t>3(1), 38N(2)</w:t>
      </w:r>
    </w:p>
    <w:p>
      <w:pPr>
        <w:pStyle w:val="DefinedTerms"/>
      </w:pPr>
      <w:r>
        <w:t>livestock</w:t>
      </w:r>
      <w:r>
        <w:tab/>
        <w:t>34(2)</w:t>
      </w:r>
    </w:p>
    <w:p>
      <w:pPr>
        <w:pStyle w:val="DefinedTerms"/>
      </w:pPr>
      <w:r>
        <w:t>metropolitan region</w:t>
      </w:r>
      <w:r>
        <w:tab/>
        <w:t>3(1)</w:t>
      </w:r>
    </w:p>
    <w:p>
      <w:pPr>
        <w:pStyle w:val="DefinedTerms"/>
      </w:pPr>
      <w:r>
        <w:t>microchip</w:t>
      </w:r>
      <w:r>
        <w:tab/>
        <w:t>3(1)</w:t>
      </w:r>
    </w:p>
    <w:p>
      <w:pPr>
        <w:pStyle w:val="DefinedTerms"/>
      </w:pPr>
      <w:r>
        <w:t>microchip database</w:t>
      </w:r>
      <w:r>
        <w:tab/>
        <w:t>3(1)</w:t>
      </w:r>
    </w:p>
    <w:p>
      <w:pPr>
        <w:pStyle w:val="DefinedTerms"/>
      </w:pPr>
      <w:r>
        <w:t>microchip database company</w:t>
      </w:r>
      <w:r>
        <w:tab/>
        <w:t>3(1)</w:t>
      </w:r>
    </w:p>
    <w:p>
      <w:pPr>
        <w:pStyle w:val="DefinedTerms"/>
      </w:pPr>
      <w:r>
        <w:t>microchip implanter</w:t>
      </w:r>
      <w:r>
        <w:tab/>
        <w:t>3(1)</w:t>
      </w:r>
    </w:p>
    <w:p>
      <w:pPr>
        <w:pStyle w:val="DefinedTerms"/>
      </w:pPr>
      <w:r>
        <w:t>microchipped</w:t>
      </w:r>
      <w:r>
        <w:tab/>
        <w:t>3(1)</w:t>
      </w:r>
    </w:p>
    <w:p>
      <w:pPr>
        <w:pStyle w:val="DefinedTerms"/>
      </w:pPr>
      <w:r>
        <w:t>mobile home</w:t>
      </w:r>
      <w:r>
        <w:tab/>
        <w:t>3(1)</w:t>
      </w:r>
    </w:p>
    <w:p>
      <w:pPr>
        <w:pStyle w:val="DefinedTerms"/>
      </w:pPr>
      <w:r>
        <w:t>non-profit organisation</w:t>
      </w:r>
      <w:r>
        <w:tab/>
        <w:t>3(1)</w:t>
      </w:r>
    </w:p>
    <w:p>
      <w:pPr>
        <w:pStyle w:val="DefinedTerms"/>
      </w:pPr>
      <w:r>
        <w:t>offer</w:t>
      </w:r>
      <w:r>
        <w:tab/>
        <w:t>3(1)</w:t>
      </w:r>
    </w:p>
    <w:p>
      <w:pPr>
        <w:pStyle w:val="DefinedTerms"/>
      </w:pPr>
      <w:r>
        <w:lastRenderedPageBreak/>
        <w:t>operative day</w:t>
      </w:r>
      <w:r>
        <w:tab/>
        <w:t>60(4)</w:t>
      </w:r>
    </w:p>
    <w:p>
      <w:pPr>
        <w:pStyle w:val="DefinedTerms"/>
      </w:pPr>
      <w:r>
        <w:t>owner</w:t>
      </w:r>
      <w:r>
        <w:tab/>
        <w:t>3(1), 33L</w:t>
      </w:r>
    </w:p>
    <w:p>
      <w:pPr>
        <w:pStyle w:val="DefinedTerms"/>
      </w:pPr>
      <w:r>
        <w:t>owner’s delegate</w:t>
      </w:r>
      <w:r>
        <w:tab/>
        <w:t>3(1)</w:t>
      </w:r>
    </w:p>
    <w:p>
      <w:pPr>
        <w:pStyle w:val="DefinedTerms"/>
      </w:pPr>
      <w:r>
        <w:t>person liable for the control of the dog</w:t>
      </w:r>
      <w:r>
        <w:tab/>
        <w:t>3(1)</w:t>
      </w:r>
    </w:p>
    <w:p>
      <w:pPr>
        <w:pStyle w:val="DefinedTerms"/>
      </w:pPr>
      <w:r>
        <w:t>pet shop</w:t>
      </w:r>
      <w:r>
        <w:tab/>
        <w:t>3(1)</w:t>
      </w:r>
    </w:p>
    <w:p>
      <w:pPr>
        <w:pStyle w:val="DefinedTerms"/>
      </w:pPr>
      <w:r>
        <w:t>pet shop approval</w:t>
      </w:r>
      <w:r>
        <w:tab/>
        <w:t>3(1), 38C(1)</w:t>
      </w:r>
    </w:p>
    <w:p>
      <w:pPr>
        <w:pStyle w:val="DefinedTerms"/>
      </w:pPr>
      <w:r>
        <w:t>pet shop certificate</w:t>
      </w:r>
      <w:r>
        <w:tab/>
        <w:t>3(1)</w:t>
      </w:r>
    </w:p>
    <w:p>
      <w:pPr>
        <w:pStyle w:val="DefinedTerms"/>
      </w:pPr>
      <w:r>
        <w:t>pet shop number</w:t>
      </w:r>
      <w:r>
        <w:tab/>
        <w:t>3(1), 54D(1)</w:t>
      </w:r>
    </w:p>
    <w:p>
      <w:pPr>
        <w:pStyle w:val="DefinedTerms"/>
      </w:pPr>
      <w:r>
        <w:t>police officer</w:t>
      </w:r>
      <w:r>
        <w:tab/>
        <w:t>3(1)</w:t>
      </w:r>
    </w:p>
    <w:p>
      <w:pPr>
        <w:pStyle w:val="DefinedTerms"/>
      </w:pPr>
      <w:r>
        <w:t>pre-existing dog</w:t>
      </w:r>
      <w:r>
        <w:tab/>
        <w:t>65(1)</w:t>
      </w:r>
    </w:p>
    <w:p>
      <w:pPr>
        <w:pStyle w:val="DefinedTerms"/>
      </w:pPr>
      <w:r>
        <w:t>premises</w:t>
      </w:r>
      <w:r>
        <w:tab/>
        <w:t>3(1)</w:t>
      </w:r>
    </w:p>
    <w:p>
      <w:pPr>
        <w:pStyle w:val="DefinedTerms"/>
      </w:pPr>
      <w:r>
        <w:t>prescribed</w:t>
      </w:r>
      <w:r>
        <w:tab/>
        <w:t>3(1)</w:t>
      </w:r>
    </w:p>
    <w:p>
      <w:pPr>
        <w:pStyle w:val="DefinedTerms"/>
      </w:pPr>
      <w:r>
        <w:t>provocation</w:t>
      </w:r>
      <w:r>
        <w:tab/>
        <w:t>3(1)</w:t>
      </w:r>
    </w:p>
    <w:p>
      <w:pPr>
        <w:pStyle w:val="DefinedTerms"/>
      </w:pPr>
      <w:r>
        <w:t>public officer</w:t>
      </w:r>
      <w:r>
        <w:tab/>
        <w:t>6(6)</w:t>
      </w:r>
    </w:p>
    <w:p>
      <w:pPr>
        <w:pStyle w:val="DefinedTerms"/>
      </w:pPr>
      <w:r>
        <w:t>public place</w:t>
      </w:r>
      <w:r>
        <w:tab/>
        <w:t>3(1)</w:t>
      </w:r>
    </w:p>
    <w:p>
      <w:pPr>
        <w:pStyle w:val="DefinedTerms"/>
      </w:pPr>
      <w:r>
        <w:t>receiver</w:t>
      </w:r>
      <w:r>
        <w:tab/>
        <w:t>33GE(1)</w:t>
      </w:r>
    </w:p>
    <w:p>
      <w:pPr>
        <w:pStyle w:val="DefinedTerms"/>
      </w:pPr>
      <w:r>
        <w:t>refuge operations</w:t>
      </w:r>
      <w:r>
        <w:tab/>
        <w:t>3(1)</w:t>
      </w:r>
    </w:p>
    <w:p>
      <w:pPr>
        <w:pStyle w:val="DefinedTerms"/>
      </w:pPr>
      <w:r>
        <w:t>registered owner</w:t>
      </w:r>
      <w:r>
        <w:tab/>
        <w:t>3(1)</w:t>
      </w:r>
    </w:p>
    <w:p>
      <w:pPr>
        <w:pStyle w:val="DefinedTerms"/>
      </w:pPr>
      <w:r>
        <w:t>registration officer</w:t>
      </w:r>
      <w:r>
        <w:tab/>
        <w:t>3(1)</w:t>
      </w:r>
    </w:p>
    <w:p>
      <w:pPr>
        <w:pStyle w:val="DefinedTerms"/>
      </w:pPr>
      <w:r>
        <w:t xml:space="preserve">relevant day </w:t>
      </w:r>
      <w:r>
        <w:tab/>
        <w:t>22(1)</w:t>
      </w:r>
    </w:p>
    <w:p>
      <w:pPr>
        <w:pStyle w:val="DefinedTerms"/>
      </w:pPr>
      <w:r>
        <w:t>relevant dog</w:t>
      </w:r>
      <w:r>
        <w:tab/>
        <w:t>38K(1)</w:t>
      </w:r>
    </w:p>
    <w:p>
      <w:pPr>
        <w:pStyle w:val="DefinedTerms"/>
      </w:pPr>
      <w:r>
        <w:t>relevant person</w:t>
      </w:r>
      <w:r>
        <w:tab/>
        <w:t>43A(1), 43B(1)</w:t>
      </w:r>
    </w:p>
    <w:p>
      <w:pPr>
        <w:pStyle w:val="DefinedTerms"/>
      </w:pPr>
      <w:r>
        <w:t>relevant pet shop business</w:t>
      </w:r>
      <w:r>
        <w:tab/>
        <w:t>3(1)</w:t>
      </w:r>
    </w:p>
    <w:p>
      <w:pPr>
        <w:pStyle w:val="DefinedTerms"/>
      </w:pPr>
      <w:r>
        <w:t>relevant time</w:t>
      </w:r>
      <w:r>
        <w:tab/>
        <w:t>33GE(1)</w:t>
      </w:r>
    </w:p>
    <w:p>
      <w:pPr>
        <w:pStyle w:val="DefinedTerms"/>
      </w:pPr>
      <w:r>
        <w:t>representative</w:t>
      </w:r>
      <w:r>
        <w:tab/>
        <w:t>47(1)</w:t>
      </w:r>
    </w:p>
    <w:p>
      <w:pPr>
        <w:pStyle w:val="DefinedTerms"/>
      </w:pPr>
      <w:r>
        <w:t>restricted breed pup</w:t>
      </w:r>
      <w:r>
        <w:tab/>
        <w:t>33GC(1)</w:t>
      </w:r>
    </w:p>
    <w:p>
      <w:pPr>
        <w:pStyle w:val="DefinedTerms"/>
      </w:pPr>
      <w:r>
        <w:t>scan</w:t>
      </w:r>
      <w:r>
        <w:tab/>
        <w:t>3(1)</w:t>
      </w:r>
    </w:p>
    <w:p>
      <w:pPr>
        <w:pStyle w:val="DefinedTerms"/>
      </w:pPr>
      <w:r>
        <w:t>shop</w:t>
      </w:r>
      <w:r>
        <w:tab/>
        <w:t>3(1)</w:t>
      </w:r>
    </w:p>
    <w:p>
      <w:pPr>
        <w:pStyle w:val="DefinedTerms"/>
      </w:pPr>
      <w:r>
        <w:t>specified</w:t>
      </w:r>
      <w:r>
        <w:tab/>
        <w:t>50(3)</w:t>
      </w:r>
    </w:p>
    <w:p>
      <w:pPr>
        <w:pStyle w:val="DefinedTerms"/>
      </w:pPr>
      <w:r>
        <w:t>sterilised</w:t>
      </w:r>
      <w:r>
        <w:tab/>
        <w:t>3(1)</w:t>
      </w:r>
    </w:p>
    <w:p>
      <w:pPr>
        <w:pStyle w:val="DefinedTerms"/>
      </w:pPr>
      <w:r>
        <w:t>supplier</w:t>
      </w:r>
      <w:r>
        <w:tab/>
        <w:t>38N(1) and (2)</w:t>
      </w:r>
    </w:p>
    <w:p>
      <w:pPr>
        <w:pStyle w:val="DefinedTerms"/>
      </w:pPr>
      <w:r>
        <w:t>supply</w:t>
      </w:r>
      <w:r>
        <w:tab/>
        <w:t>3(1)</w:t>
      </w:r>
    </w:p>
    <w:p>
      <w:pPr>
        <w:pStyle w:val="DefinedTerms"/>
      </w:pPr>
      <w:r>
        <w:t>townsite</w:t>
      </w:r>
      <w:r>
        <w:tab/>
        <w:t>3(1)</w:t>
      </w:r>
    </w:p>
    <w:p>
      <w:pPr>
        <w:pStyle w:val="DefinedTerms"/>
      </w:pPr>
      <w:r>
        <w:t>transfer</w:t>
      </w:r>
      <w:r>
        <w:tab/>
        <w:t>3(1)</w:t>
      </w:r>
    </w:p>
    <w:p>
      <w:pPr>
        <w:pStyle w:val="DefinedTerms"/>
      </w:pPr>
      <w:r>
        <w:t>transitional matter</w:t>
      </w:r>
      <w:r>
        <w:tab/>
        <w:t>60(1)</w:t>
      </w:r>
    </w:p>
    <w:p>
      <w:pPr>
        <w:pStyle w:val="DefinedTerms"/>
      </w:pPr>
      <w:r>
        <w:t>transitional regulations</w:t>
      </w:r>
      <w:r>
        <w:tab/>
        <w:t>60(1)</w:t>
      </w:r>
    </w:p>
    <w:p>
      <w:pPr>
        <w:pStyle w:val="DefinedTerms"/>
      </w:pPr>
      <w:r>
        <w:t>vehicle</w:t>
      </w:r>
      <w:r>
        <w:tab/>
        <w:t>3(1)</w:t>
      </w:r>
    </w:p>
    <w:p>
      <w:pPr>
        <w:pStyle w:val="DefinedTerms"/>
      </w:pPr>
      <w:r>
        <w:t>veterinarian</w:t>
      </w:r>
      <w:r>
        <w:tab/>
        <w:t>3(1)</w:t>
      </w:r>
    </w:p>
    <w:p>
      <w:pPr>
        <w:pStyle w:val="DefinedTerms"/>
      </w:pPr>
      <w:r>
        <w:t>working</w:t>
      </w:r>
      <w:r>
        <w:tab/>
        <w:t>3(1)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3E685A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AAE4BA5" w14:textId="3983C0C4" w:rsidR="000D1E71" w:rsidRDefault="000D1E7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21F3D">
                        <w:rPr>
                          <w:sz w:val="16"/>
                        </w:rPr>
                        <w:t>2024</w:t>
                      </w:r>
                      <w:r>
                        <w:rPr>
                          <w:sz w:val="16"/>
                        </w:rPr>
                        <w:fldChar w:fldCharType="end"/>
                      </w:r>
                      <w:r>
                        <w:rPr>
                          <w:sz w:val="16"/>
                        </w:rPr>
                        <w:t>.</w:t>
                      </w:r>
                    </w:p>
                    <w:p w14:paraId="3B98F938" w14:textId="77777777" w:rsidR="000D1E71" w:rsidRDefault="000D1E7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69DB1FB" w14:textId="6918C32B" w:rsidR="000D1E71" w:rsidRDefault="000D1E7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21F3D">
                        <w:rPr>
                          <w:sz w:val="16"/>
                        </w:rPr>
                        <w:t>2024</w:t>
                      </w:r>
                      <w:r>
                        <w:rPr>
                          <w:sz w:val="16"/>
                        </w:rPr>
                        <w:fldChar w:fldCharType="end"/>
                      </w:r>
                      <w:r>
                        <w:rPr>
                          <w:sz w:val="16"/>
                        </w:rPr>
                        <w:t>.</w:t>
                      </w:r>
                    </w:p>
                    <w:p w14:paraId="1AC1E5D1" w14:textId="77777777" w:rsidR="000D1E71" w:rsidRDefault="000D1E7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1134" w:right="2410" w:bottom="1134" w:left="2410" w:header="113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58" w:name="Compilation"/>
    <w:bookmarkEnd w:id="3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62" w:name="DefinedTerms"/>
    <w:bookmarkEnd w:id="36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3" w:name="Coversheet"/>
    <w:bookmarkEnd w:id="3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8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1140257"/>
    <w:docVar w:name="WAFER_20131218112610" w:val="RemoveTocBookmarks,RemoveUnusedBookmarks,RemoveLanguageTags,UsedStyles,ResetPageSize,UpdateArrangement"/>
    <w:docVar w:name="WAFER_20131218112610_GUID" w:val="8e4784de-0bc2-4c64-9eff-33f36363f70e"/>
    <w:docVar w:name="WAFER_20131218112922" w:val="RemoveTocBookmarks,RemoveUnusedBookmarks,RemoveLanguageTags,UsedStyles,ResetPageSize,UpdateArrangement"/>
    <w:docVar w:name="WAFER_20131218112922_GUID" w:val="28ef742a-f3c2-497a-8737-b50db727ba9f"/>
    <w:docVar w:name="WAFER_20140606151035" w:val="RemoveTocBookmarks,RemoveLanguageTags,RemoveTrackChanges,RunningHeaders"/>
    <w:docVar w:name="WAFER_20140606151035_GUID" w:val="786ebb7b-3741-488d-959e-86a648ed9bb0"/>
    <w:docVar w:name="WAFER_20140606151104" w:val="RemoveTocBookmarks,RemoveLanguageTags,RemoveTrackChanges,RunningHeaders"/>
    <w:docVar w:name="WAFER_20140606151104_GUID" w:val="e68b653e-d73c-426d-9eed-17296bad9e32"/>
    <w:docVar w:name="WAFER_20140609113220" w:val="RemoveTocBookmarks,RemoveUnusedBookmarks,RemoveLanguageTags,UsedStyles,ResetPageSize"/>
    <w:docVar w:name="WAFER_20140609113220_GUID" w:val="32c799c1-ef4b-4e4b-9fa1-b5579c6f6100"/>
    <w:docVar w:name="WAFER_20150410164821" w:val="ResetPageSize,UpdateArrangement,UpdateNTable"/>
    <w:docVar w:name="WAFER_20150410164821_GUID" w:val="3376de2a-fd59-4b9c-9c23-0898f99e7408"/>
    <w:docVar w:name="WAFER_20151103114132" w:val="UpdateStyles,UsedStyles"/>
    <w:docVar w:name="WAFER_20151103114132_GUID" w:val="e8604e1b-0d15-4e05-9dcc-73fdb17d859a"/>
    <w:docVar w:name="WAFER_20170111145819" w:val="RemoveTocBookmarks,RemoveUnusedBookmarks,RemoveLanguageTags,UsedStyles,ResetPageSize"/>
    <w:docVar w:name="WAFER_20170111145819_GUID" w:val="b479e862-3c4a-49e4-b33c-90bf3e252c68"/>
    <w:docVar w:name="WAFER_20190919171008" w:val="RemoveTocBookmarks,RemoveUnusedBookmarks,RemoveLanguageTags,ResetPageSize,RunningHeaders,UpdateStyles,UsedStyles"/>
    <w:docVar w:name="WAFER_20190919171008_GUID" w:val="45f69d7f-603f-4ad7-814e-90f458299a91"/>
    <w:docVar w:name="WAFER_20200213110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131_GUID" w:val="98df0f63-49cb-4bde-b9ce-cbde83c759c0"/>
    <w:docVar w:name="WAFER_20201015163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930_GUID" w:val="0cb48ada-7e8b-485d-955e-35e7c8b13e51"/>
    <w:docVar w:name="WAFER_2020111615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155427_GUID" w:val="fd8c3b31-9e64-42de-b35d-230120093b7d"/>
    <w:docVar w:name="WAFER_202110281151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5106_GUID" w:val="f1ff8f19-b608-4474-97ed-8bdc86042be9"/>
    <w:docVar w:name="WAFER_20211028115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5127_GUID" w:val="1f01b1a5-460c-4daf-b6ce-b373d8d2e0f2"/>
    <w:docVar w:name="WAFER_202112211115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525_GUID" w:val="81d1593a-8be3-4752-95d2-25f7d2bde80d"/>
    <w:docVar w:name="WAFER_202206091551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38_GUID" w:val="708a4674-680e-4dfb-a1cc-a04509f1fb71"/>
    <w:docVar w:name="WAFER_202208241412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41252_GUID" w:val="882f621c-e00d-40ef-8ffe-7edd7cb3181f"/>
    <w:docVar w:name="WAFER_20240529144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529144945_GUID" w:val="af70e64e-7dcf-46f8-a69e-b63e87c7ceae"/>
    <w:docVar w:name="WAFER_20241121140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40257_GUID" w:val="f52baced-8824-4d23-ae7e-84e2eb0017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8177"/>
    <o:shapelayout v:ext="edit">
      <o:idmap v:ext="edit" data="1"/>
    </o:shapelayout>
  </w:shapeDefaults>
  <w:decimalSymbol w:val="."/>
  <w:listSeparator w:val=","/>
  <w15:docId w15:val="{EAE508EC-E44B-455B-8272-AB2EADD89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dnotepart">
    <w:name w:val="Ednote(part)"/>
    <w:basedOn w:val="Normal"/>
    <w:pPr>
      <w:spacing w:before="220" w:line="260" w:lineRule="atLeast"/>
      <w:outlineLvl w:val="4"/>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A23F8-BD26-4609-916E-82D05BC54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37567</Words>
  <Characters>170934</Characters>
  <Application>Microsoft Office Word</Application>
  <DocSecurity>0</DocSecurity>
  <Lines>4748</Lines>
  <Paragraphs>2673</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205828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1976 - 08-b0-00</dc:title>
  <dc:subject/>
  <dc:creator/>
  <cp:keywords/>
  <dc:description/>
  <cp:lastModifiedBy>Master Repository Process</cp:lastModifiedBy>
  <cp:revision>4</cp:revision>
  <cp:lastPrinted>2020-11-16T07:53:00Z</cp:lastPrinted>
  <dcterms:created xsi:type="dcterms:W3CDTF">2025-05-29T04:32:00Z</dcterms:created>
  <dcterms:modified xsi:type="dcterms:W3CDTF">2025-05-29T04:33:00Z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DocumentType">
    <vt:lpwstr>Act</vt:lpwstr>
  </property>
  <property fmtid="{D5CDD505-2E9C-101B-9397-08002B2CF9AE}" pid="4" name="OwlsUID">
    <vt:i4>230</vt:i4>
  </property>
  <property fmtid="{D5CDD505-2E9C-101B-9397-08002B2CF9AE}" pid="5" name="AsAtDate">
    <vt:lpwstr>28 Nov 2024</vt:lpwstr>
  </property>
  <property fmtid="{D5CDD505-2E9C-101B-9397-08002B2CF9AE}" pid="6" name="Suffix">
    <vt:lpwstr>08-b0-00</vt:lpwstr>
  </property>
  <property fmtid="{D5CDD505-2E9C-101B-9397-08002B2CF9AE}" pid="7" name="Official">
    <vt:lpwstr/>
  </property>
  <property fmtid="{D5CDD505-2E9C-101B-9397-08002B2CF9AE}" pid="8" name="ReprintNo">
    <vt:lpwstr>7</vt:lpwstr>
  </property>
  <property fmtid="{D5CDD505-2E9C-101B-9397-08002B2CF9AE}" pid="9" name="ReprintedAsAt">
    <vt:filetime>2024-10-03T16:00:00Z</vt:filetime>
  </property>
  <property fmtid="{D5CDD505-2E9C-101B-9397-08002B2CF9AE}" pid="10" name="CommencementDate">
    <vt:lpwstr>20241128</vt:lpwstr>
  </property>
  <property fmtid="{D5CDD505-2E9C-101B-9397-08002B2CF9AE}" pid="11" name="CommencementAsAt">
    <vt:filetime>2024-11-27T16:00:00Z</vt:filetime>
  </property>
  <property fmtid="{D5CDD505-2E9C-101B-9397-08002B2CF9AE}" pid="12" name="CommencementYear">
    <vt:lpwstr>2024</vt:lpwstr>
  </property>
</Properties>
</file>